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C25" w:rsidRPr="00B17431" w:rsidRDefault="00702C25" w:rsidP="00702C25">
      <w:pPr>
        <w:rPr>
          <w:rFonts w:ascii="Times New Roman" w:hAnsi="Times New Roman" w:cs="Times New Roman"/>
          <w:b/>
          <w:sz w:val="24"/>
          <w:szCs w:val="24"/>
        </w:rPr>
      </w:pPr>
      <w:r>
        <w:rPr>
          <w:rFonts w:ascii="Times New Roman" w:hAnsi="Times New Roman" w:cs="Times New Roman"/>
          <w:b/>
          <w:sz w:val="24"/>
          <w:szCs w:val="24"/>
        </w:rPr>
        <w:t xml:space="preserve">The  Potential  of  </w:t>
      </w:r>
      <w:r w:rsidRPr="007E459E">
        <w:rPr>
          <w:rFonts w:ascii="Times New Roman" w:hAnsi="Times New Roman" w:cs="Times New Roman"/>
          <w:b/>
          <w:i/>
          <w:sz w:val="24"/>
          <w:szCs w:val="24"/>
        </w:rPr>
        <w:t>Andropogon  gayanus</w:t>
      </w:r>
      <w:r>
        <w:rPr>
          <w:rFonts w:ascii="Times New Roman" w:hAnsi="Times New Roman" w:cs="Times New Roman"/>
          <w:b/>
          <w:sz w:val="24"/>
          <w:szCs w:val="24"/>
        </w:rPr>
        <w:t xml:space="preserve">  as  a  Suitable  Substrate  for  the  Production  of  Bioethanol.</w:t>
      </w:r>
    </w:p>
    <w:p w:rsidR="00702C25" w:rsidRPr="00467C3C" w:rsidRDefault="00702C25" w:rsidP="00702C25">
      <w:pPr>
        <w:rPr>
          <w:rFonts w:ascii="Times New Roman" w:hAnsi="Times New Roman" w:cs="Times New Roman"/>
          <w:b/>
          <w:sz w:val="24"/>
          <w:szCs w:val="24"/>
        </w:rPr>
      </w:pPr>
      <w:r w:rsidRPr="00730E83">
        <w:rPr>
          <w:rFonts w:ascii="Times New Roman" w:hAnsi="Times New Roman" w:cs="Times New Roman"/>
          <w:b/>
          <w:sz w:val="24"/>
          <w:szCs w:val="24"/>
        </w:rPr>
        <w:t>Abdulsalam</w:t>
      </w:r>
      <w:r>
        <w:rPr>
          <w:rFonts w:ascii="Times New Roman" w:hAnsi="Times New Roman" w:cs="Times New Roman"/>
          <w:b/>
          <w:sz w:val="24"/>
          <w:szCs w:val="24"/>
        </w:rPr>
        <w:t xml:space="preserve">  A. A</w:t>
      </w:r>
      <w:r>
        <w:rPr>
          <w:rFonts w:ascii="Times New Roman" w:hAnsi="Times New Roman" w:cs="Times New Roman"/>
          <w:b/>
          <w:sz w:val="24"/>
          <w:szCs w:val="24"/>
          <w:vertAlign w:val="superscript"/>
        </w:rPr>
        <w:t>x 1</w:t>
      </w:r>
      <w:r>
        <w:rPr>
          <w:rFonts w:ascii="Times New Roman" w:hAnsi="Times New Roman" w:cs="Times New Roman"/>
          <w:b/>
          <w:sz w:val="24"/>
          <w:szCs w:val="24"/>
        </w:rPr>
        <w:t>.,  Olokoba  S. W</w:t>
      </w:r>
      <w:r>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r>
        <w:rPr>
          <w:rFonts w:ascii="Times New Roman" w:hAnsi="Times New Roman" w:cs="Times New Roman"/>
          <w:b/>
          <w:sz w:val="24"/>
          <w:szCs w:val="24"/>
          <w:vertAlign w:val="superscript"/>
        </w:rPr>
        <w:t xml:space="preserve"> </w:t>
      </w:r>
      <w:r>
        <w:rPr>
          <w:rFonts w:ascii="Times New Roman" w:hAnsi="Times New Roman" w:cs="Times New Roman"/>
          <w:b/>
          <w:sz w:val="24"/>
          <w:szCs w:val="24"/>
        </w:rPr>
        <w:t>Dan  Ilela  U.Y</w:t>
      </w:r>
      <w:r>
        <w:rPr>
          <w:rFonts w:ascii="Times New Roman" w:hAnsi="Times New Roman" w:cs="Times New Roman"/>
          <w:b/>
          <w:sz w:val="24"/>
          <w:szCs w:val="24"/>
          <w:vertAlign w:val="superscript"/>
        </w:rPr>
        <w:t>3</w:t>
      </w:r>
      <w:r>
        <w:rPr>
          <w:rFonts w:ascii="Times New Roman" w:hAnsi="Times New Roman" w:cs="Times New Roman"/>
          <w:b/>
          <w:sz w:val="24"/>
          <w:szCs w:val="24"/>
        </w:rPr>
        <w:t>.,  Haliru  M</w:t>
      </w:r>
      <w:r>
        <w:rPr>
          <w:rFonts w:ascii="Times New Roman" w:hAnsi="Times New Roman" w:cs="Times New Roman"/>
          <w:b/>
          <w:sz w:val="24"/>
          <w:szCs w:val="24"/>
          <w:vertAlign w:val="superscript"/>
        </w:rPr>
        <w:t>4</w:t>
      </w:r>
      <w:r>
        <w:rPr>
          <w:rFonts w:ascii="Times New Roman" w:hAnsi="Times New Roman" w:cs="Times New Roman"/>
          <w:b/>
          <w:sz w:val="24"/>
          <w:szCs w:val="24"/>
        </w:rPr>
        <w:t>.,  Adamu  H</w:t>
      </w:r>
      <w:r>
        <w:rPr>
          <w:rFonts w:ascii="Times New Roman" w:hAnsi="Times New Roman" w:cs="Times New Roman"/>
          <w:b/>
          <w:sz w:val="24"/>
          <w:szCs w:val="24"/>
          <w:vertAlign w:val="superscript"/>
        </w:rPr>
        <w:t>5</w:t>
      </w:r>
      <w:r>
        <w:rPr>
          <w:rFonts w:ascii="Times New Roman" w:hAnsi="Times New Roman" w:cs="Times New Roman"/>
          <w:b/>
          <w:sz w:val="24"/>
          <w:szCs w:val="24"/>
        </w:rPr>
        <w:t>.,  Adejumo  Mutiu</w:t>
      </w:r>
      <w:r>
        <w:rPr>
          <w:rFonts w:ascii="Times New Roman" w:hAnsi="Times New Roman" w:cs="Times New Roman"/>
          <w:b/>
          <w:sz w:val="24"/>
          <w:szCs w:val="24"/>
          <w:vertAlign w:val="superscript"/>
        </w:rPr>
        <w:t>6</w:t>
      </w:r>
      <w:r>
        <w:rPr>
          <w:rFonts w:ascii="Times New Roman" w:hAnsi="Times New Roman" w:cs="Times New Roman"/>
          <w:b/>
          <w:sz w:val="24"/>
          <w:szCs w:val="24"/>
        </w:rPr>
        <w:t>., Ogunbolude  O. K</w:t>
      </w:r>
      <w:r>
        <w:rPr>
          <w:rFonts w:ascii="Times New Roman" w:hAnsi="Times New Roman" w:cs="Times New Roman"/>
          <w:b/>
          <w:sz w:val="24"/>
          <w:szCs w:val="24"/>
          <w:vertAlign w:val="superscript"/>
        </w:rPr>
        <w:t>7</w:t>
      </w:r>
      <w:r>
        <w:rPr>
          <w:rFonts w:ascii="Times New Roman" w:hAnsi="Times New Roman" w:cs="Times New Roman"/>
          <w:b/>
          <w:sz w:val="24"/>
          <w:szCs w:val="24"/>
        </w:rPr>
        <w:t xml:space="preserve">. </w:t>
      </w:r>
      <w:r w:rsidRPr="004C2C9B">
        <w:rPr>
          <w:rFonts w:ascii="Times New Roman" w:hAnsi="Times New Roman" w:cs="Times New Roman"/>
          <w:b/>
          <w:sz w:val="28"/>
          <w:szCs w:val="24"/>
        </w:rPr>
        <w:t xml:space="preserve">            </w:t>
      </w:r>
    </w:p>
    <w:p w:rsidR="00702C25" w:rsidRPr="004F4085" w:rsidRDefault="00702C25" w:rsidP="00702C25">
      <w:pPr>
        <w:jc w:val="both"/>
        <w:rPr>
          <w:rFonts w:ascii="Times New Roman" w:hAnsi="Times New Roman" w:cs="Times New Roman"/>
          <w:sz w:val="24"/>
          <w:szCs w:val="24"/>
        </w:rPr>
      </w:pPr>
      <w:r>
        <w:rPr>
          <w:rFonts w:ascii="Times New Roman" w:hAnsi="Times New Roman" w:cs="Times New Roman"/>
          <w:b/>
          <w:sz w:val="24"/>
          <w:szCs w:val="24"/>
          <w:vertAlign w:val="superscript"/>
        </w:rPr>
        <w:t>1,2,7</w:t>
      </w:r>
      <w:r w:rsidRPr="004F4085">
        <w:rPr>
          <w:rFonts w:ascii="Times New Roman" w:hAnsi="Times New Roman" w:cs="Times New Roman"/>
          <w:sz w:val="24"/>
          <w:szCs w:val="24"/>
        </w:rPr>
        <w:t>Postgraduate Student,  Department  of  Chemistry  and  Industrial  Chemistry, Kwara  State  University,  Malete, Ilorin.</w:t>
      </w:r>
    </w:p>
    <w:p w:rsidR="00702C25" w:rsidRPr="004F4085" w:rsidRDefault="00702C25" w:rsidP="00702C25">
      <w:pPr>
        <w:jc w:val="both"/>
        <w:rPr>
          <w:rFonts w:ascii="Times New Roman" w:hAnsi="Times New Roman" w:cs="Times New Roman"/>
          <w:sz w:val="24"/>
          <w:szCs w:val="24"/>
        </w:rPr>
      </w:pPr>
      <w:r>
        <w:rPr>
          <w:rFonts w:ascii="Times New Roman" w:hAnsi="Times New Roman" w:cs="Times New Roman"/>
          <w:sz w:val="24"/>
          <w:szCs w:val="24"/>
          <w:vertAlign w:val="superscript"/>
        </w:rPr>
        <w:t>3,4,5,6</w:t>
      </w:r>
      <w:r w:rsidRPr="004F4085">
        <w:rPr>
          <w:rFonts w:ascii="Times New Roman" w:hAnsi="Times New Roman" w:cs="Times New Roman"/>
          <w:sz w:val="24"/>
          <w:szCs w:val="24"/>
          <w:vertAlign w:val="superscript"/>
        </w:rPr>
        <w:t xml:space="preserve"> </w:t>
      </w:r>
      <w:r w:rsidRPr="004F4085">
        <w:rPr>
          <w:rFonts w:ascii="Times New Roman" w:hAnsi="Times New Roman" w:cs="Times New Roman"/>
          <w:sz w:val="24"/>
          <w:szCs w:val="24"/>
        </w:rPr>
        <w:t>Department  of  Sciences,  Kebbi  State  Polytechnic,  Dakingari.,  Kebbi  State.</w:t>
      </w:r>
    </w:p>
    <w:p w:rsidR="00702C25" w:rsidRDefault="00702C25" w:rsidP="00702C25">
      <w:pPr>
        <w:jc w:val="both"/>
        <w:rPr>
          <w:rFonts w:ascii="Times New Roman" w:hAnsi="Times New Roman" w:cs="Times New Roman"/>
          <w:b/>
          <w:sz w:val="24"/>
          <w:szCs w:val="24"/>
          <w:vertAlign w:val="superscript"/>
        </w:rPr>
      </w:pPr>
    </w:p>
    <w:p w:rsidR="00702C25" w:rsidRPr="004F4085" w:rsidRDefault="00702C25" w:rsidP="00702C25">
      <w:pPr>
        <w:jc w:val="both"/>
        <w:rPr>
          <w:rFonts w:ascii="Times New Roman" w:hAnsi="Times New Roman" w:cs="Times New Roman"/>
          <w:sz w:val="24"/>
          <w:szCs w:val="24"/>
          <w:u w:val="single"/>
        </w:rPr>
      </w:pPr>
      <w:r w:rsidRPr="004F4085">
        <w:rPr>
          <w:rFonts w:ascii="Times New Roman" w:hAnsi="Times New Roman" w:cs="Times New Roman"/>
          <w:b/>
          <w:sz w:val="24"/>
          <w:szCs w:val="24"/>
          <w:vertAlign w:val="superscript"/>
        </w:rPr>
        <w:t>x</w:t>
      </w:r>
      <w:r w:rsidRPr="004F4085">
        <w:rPr>
          <w:rFonts w:ascii="Times New Roman" w:hAnsi="Times New Roman" w:cs="Times New Roman"/>
          <w:sz w:val="24"/>
          <w:szCs w:val="24"/>
        </w:rPr>
        <w:t xml:space="preserve">Corresponding  authors’email:  </w:t>
      </w:r>
      <w:hyperlink r:id="rId7" w:history="1">
        <w:r w:rsidRPr="004F4085">
          <w:rPr>
            <w:rStyle w:val="Hyperlink"/>
            <w:rFonts w:ascii="Times New Roman" w:hAnsi="Times New Roman" w:cs="Times New Roman"/>
            <w:sz w:val="24"/>
            <w:szCs w:val="24"/>
          </w:rPr>
          <w:t>solidfoundationdkg@gmail.com</w:t>
        </w:r>
      </w:hyperlink>
    </w:p>
    <w:p w:rsidR="00702C25" w:rsidRPr="00A73762" w:rsidRDefault="00702C25" w:rsidP="00702C25">
      <w:pPr>
        <w:jc w:val="both"/>
        <w:rPr>
          <w:rFonts w:ascii="Times New Roman" w:hAnsi="Times New Roman" w:cs="Times New Roman"/>
          <w:sz w:val="24"/>
          <w:szCs w:val="24"/>
          <w:u w:val="single"/>
        </w:rPr>
      </w:pPr>
    </w:p>
    <w:p w:rsidR="00702C25" w:rsidRPr="001D609D" w:rsidRDefault="00702C25" w:rsidP="00702C25">
      <w:pPr>
        <w:jc w:val="both"/>
        <w:rPr>
          <w:rFonts w:ascii="Times New Roman" w:hAnsi="Times New Roman" w:cs="Times New Roman"/>
          <w:b/>
          <w:sz w:val="24"/>
          <w:szCs w:val="24"/>
          <w:u w:val="single"/>
        </w:rPr>
      </w:pPr>
      <w:r w:rsidRPr="001D609D">
        <w:rPr>
          <w:rFonts w:ascii="Times New Roman" w:hAnsi="Times New Roman" w:cs="Times New Roman"/>
          <w:b/>
          <w:sz w:val="24"/>
          <w:szCs w:val="24"/>
          <w:u w:val="single"/>
        </w:rPr>
        <w:t>Abstract</w:t>
      </w:r>
      <w:r>
        <w:rPr>
          <w:rFonts w:ascii="Times New Roman" w:hAnsi="Times New Roman" w:cs="Times New Roman"/>
          <w:b/>
          <w:sz w:val="24"/>
          <w:szCs w:val="24"/>
          <w:u w:val="single"/>
        </w:rPr>
        <w:t>………</w:t>
      </w:r>
      <w:r w:rsidR="001503FB">
        <w:rPr>
          <w:rFonts w:ascii="Times New Roman" w:hAnsi="Times New Roman" w:cs="Times New Roman"/>
          <w:b/>
          <w:sz w:val="24"/>
          <w:szCs w:val="24"/>
          <w:u w:val="single"/>
        </w:rPr>
        <w:t>………………………………………………………………………………..</w:t>
      </w:r>
    </w:p>
    <w:p w:rsidR="00702C25" w:rsidRDefault="00702C25" w:rsidP="00702C25">
      <w:pPr>
        <w:jc w:val="both"/>
        <w:rPr>
          <w:rFonts w:ascii="Times New Roman" w:hAnsi="Times New Roman" w:cs="Times New Roman"/>
          <w:sz w:val="24"/>
          <w:szCs w:val="24"/>
        </w:rPr>
      </w:pPr>
      <w:r>
        <w:rPr>
          <w:rFonts w:ascii="Times New Roman" w:hAnsi="Times New Roman" w:cs="Times New Roman"/>
          <w:sz w:val="24"/>
          <w:szCs w:val="24"/>
        </w:rPr>
        <w:t xml:space="preserve">The  release  of  greenhouse  gas  emission  from  fossil  fuel  has  been  a  concern  to  the  environment  and  the  researcher.  This  research  was  carried  out  to  study  the  potential  of  gamba  grass  ( </w:t>
      </w:r>
      <w:r w:rsidRPr="00983FDE">
        <w:rPr>
          <w:rFonts w:ascii="Times New Roman" w:hAnsi="Times New Roman" w:cs="Times New Roman"/>
          <w:i/>
          <w:sz w:val="24"/>
          <w:szCs w:val="24"/>
        </w:rPr>
        <w:t>Andropogon  gayanus</w:t>
      </w:r>
      <w:r>
        <w:rPr>
          <w:rFonts w:ascii="Times New Roman" w:hAnsi="Times New Roman" w:cs="Times New Roman"/>
          <w:sz w:val="24"/>
          <w:szCs w:val="24"/>
        </w:rPr>
        <w:t xml:space="preserve"> )  as  a  promising  substrate  to  produce  bioethanol.  The  grass  was  sundrie</w:t>
      </w:r>
      <w:r w:rsidR="001503FB">
        <w:rPr>
          <w:rFonts w:ascii="Times New Roman" w:hAnsi="Times New Roman" w:cs="Times New Roman"/>
          <w:sz w:val="24"/>
          <w:szCs w:val="24"/>
        </w:rPr>
        <w:t xml:space="preserve">d  for  about  21days,  ground  </w:t>
      </w:r>
      <w:r>
        <w:rPr>
          <w:rFonts w:ascii="Times New Roman" w:hAnsi="Times New Roman" w:cs="Times New Roman"/>
          <w:sz w:val="24"/>
          <w:szCs w:val="24"/>
        </w:rPr>
        <w:t xml:space="preserve">into  fine  particles  and  sieved  to  a  powdered  form  in  a  sample  bottle  closely  tight.  The  proximate  analysis  and  chemical  composition  of  the  sample  were  carried  out.  The  results  of  the  proximate  analysis  revealed  that  the  carbohydrate  content  was  66.17 %,  8.95 %  of  moisture </w:t>
      </w:r>
      <w:r w:rsidR="007D3E7A">
        <w:rPr>
          <w:rFonts w:ascii="Times New Roman" w:hAnsi="Times New Roman" w:cs="Times New Roman"/>
          <w:sz w:val="24"/>
          <w:szCs w:val="24"/>
        </w:rPr>
        <w:t xml:space="preserve"> content,  11</w:t>
      </w:r>
      <w:r w:rsidR="007E29B8">
        <w:rPr>
          <w:rFonts w:ascii="Times New Roman" w:hAnsi="Times New Roman" w:cs="Times New Roman"/>
          <w:sz w:val="24"/>
          <w:szCs w:val="24"/>
        </w:rPr>
        <w:t>.75 %  crude  fibre</w:t>
      </w:r>
      <w:r>
        <w:rPr>
          <w:rFonts w:ascii="Times New Roman" w:hAnsi="Times New Roman" w:cs="Times New Roman"/>
          <w:sz w:val="24"/>
          <w:szCs w:val="24"/>
        </w:rPr>
        <w:t xml:space="preserve">  and  7.5%  ash  content.  The  chemical  composition  of  the  grass  shows  cellulose  content  3</w:t>
      </w:r>
      <w:r w:rsidR="001503FB">
        <w:rPr>
          <w:rFonts w:ascii="Times New Roman" w:hAnsi="Times New Roman" w:cs="Times New Roman"/>
          <w:sz w:val="24"/>
          <w:szCs w:val="24"/>
        </w:rPr>
        <w:t>6.40 %,  34.12 %  hemicellulose</w:t>
      </w:r>
      <w:r>
        <w:rPr>
          <w:rFonts w:ascii="Times New Roman" w:hAnsi="Times New Roman" w:cs="Times New Roman"/>
          <w:sz w:val="24"/>
          <w:szCs w:val="24"/>
        </w:rPr>
        <w:t xml:space="preserve">  content  and  7.20 %  lignin  content.  The  results  of  the  analysis  shows  that  the  substrate  has  high  potential  for  a  better  yield  of  bioethanol.</w:t>
      </w:r>
    </w:p>
    <w:p w:rsidR="00517469" w:rsidRPr="00D37BFD" w:rsidRDefault="00702C25" w:rsidP="00D37BFD">
      <w:pPr>
        <w:jc w:val="both"/>
        <w:rPr>
          <w:rFonts w:ascii="Times New Roman" w:hAnsi="Times New Roman" w:cs="Times New Roman"/>
          <w:sz w:val="24"/>
          <w:szCs w:val="24"/>
        </w:rPr>
      </w:pPr>
      <w:r w:rsidRPr="00555B73">
        <w:rPr>
          <w:rFonts w:ascii="Times New Roman" w:hAnsi="Times New Roman" w:cs="Times New Roman"/>
          <w:b/>
          <w:sz w:val="24"/>
          <w:szCs w:val="24"/>
        </w:rPr>
        <w:t>Keywords</w:t>
      </w:r>
      <w:r>
        <w:rPr>
          <w:rFonts w:ascii="Times New Roman" w:hAnsi="Times New Roman" w:cs="Times New Roman"/>
          <w:sz w:val="24"/>
          <w:szCs w:val="24"/>
        </w:rPr>
        <w:t>:  Bioethanol,  Renewable  ene</w:t>
      </w:r>
      <w:r w:rsidR="006964ED">
        <w:rPr>
          <w:rFonts w:ascii="Times New Roman" w:hAnsi="Times New Roman" w:cs="Times New Roman"/>
          <w:sz w:val="24"/>
          <w:szCs w:val="24"/>
        </w:rPr>
        <w:t>rgy,  Gamba  grass,  Proximate,   Biofuel, Sustainability</w:t>
      </w:r>
      <w:r>
        <w:rPr>
          <w:rFonts w:ascii="Times New Roman" w:hAnsi="Times New Roman" w:cs="Times New Roman"/>
          <w:sz w:val="24"/>
          <w:szCs w:val="24"/>
        </w:rPr>
        <w:t>.</w:t>
      </w:r>
    </w:p>
    <w:p w:rsidR="00DE1C0C" w:rsidRPr="00251F22" w:rsidRDefault="00072AB4" w:rsidP="00072AB4">
      <w:pPr>
        <w:jc w:val="center"/>
        <w:rPr>
          <w:rFonts w:ascii="Times New Roman" w:hAnsi="Times New Roman" w:cs="Times New Roman"/>
          <w:b/>
          <w:sz w:val="24"/>
          <w:szCs w:val="24"/>
        </w:rPr>
      </w:pPr>
      <w:r>
        <w:rPr>
          <w:rFonts w:ascii="Times New Roman" w:hAnsi="Times New Roman" w:cs="Times New Roman"/>
          <w:b/>
          <w:sz w:val="24"/>
          <w:szCs w:val="24"/>
        </w:rPr>
        <w:t xml:space="preserve">1.0 </w:t>
      </w:r>
      <w:r w:rsidR="00DE1C0C" w:rsidRPr="00251F22">
        <w:rPr>
          <w:rFonts w:ascii="Times New Roman" w:hAnsi="Times New Roman" w:cs="Times New Roman"/>
          <w:b/>
          <w:sz w:val="24"/>
          <w:szCs w:val="24"/>
        </w:rPr>
        <w:t>INTRODUCTION</w:t>
      </w:r>
    </w:p>
    <w:p w:rsidR="00DE1C0C" w:rsidRPr="00251F22" w:rsidRDefault="000B3F3C" w:rsidP="00D21720">
      <w:pPr>
        <w:spacing w:before="240"/>
        <w:jc w:val="both"/>
        <w:rPr>
          <w:rFonts w:ascii="Times New Roman" w:hAnsi="Times New Roman" w:cs="Times New Roman"/>
          <w:sz w:val="24"/>
          <w:szCs w:val="24"/>
        </w:rPr>
      </w:pPr>
      <w:r w:rsidRPr="00251F22">
        <w:rPr>
          <w:rFonts w:ascii="Times New Roman" w:hAnsi="Times New Roman" w:cs="Times New Roman"/>
          <w:sz w:val="24"/>
          <w:szCs w:val="24"/>
        </w:rPr>
        <w:t>The  non-renewable  energy</w:t>
      </w:r>
      <w:r w:rsidR="001503FB">
        <w:rPr>
          <w:rFonts w:ascii="Times New Roman" w:hAnsi="Times New Roman" w:cs="Times New Roman"/>
          <w:sz w:val="24"/>
          <w:szCs w:val="24"/>
        </w:rPr>
        <w:t xml:space="preserve">  has  been  the  major  source</w:t>
      </w:r>
      <w:r w:rsidRPr="00251F22">
        <w:rPr>
          <w:rFonts w:ascii="Times New Roman" w:hAnsi="Times New Roman" w:cs="Times New Roman"/>
          <w:sz w:val="24"/>
          <w:szCs w:val="24"/>
        </w:rPr>
        <w:t xml:space="preserve">   of  energy  for  the  past  decades.  Th</w:t>
      </w:r>
      <w:r w:rsidR="00E955F8">
        <w:rPr>
          <w:rFonts w:ascii="Times New Roman" w:hAnsi="Times New Roman" w:cs="Times New Roman"/>
          <w:sz w:val="24"/>
          <w:szCs w:val="24"/>
        </w:rPr>
        <w:t>e  increase  in  population  and  demand  for  energy  have</w:t>
      </w:r>
      <w:r w:rsidRPr="00251F22">
        <w:rPr>
          <w:rFonts w:ascii="Times New Roman" w:hAnsi="Times New Roman" w:cs="Times New Roman"/>
          <w:sz w:val="24"/>
          <w:szCs w:val="24"/>
        </w:rPr>
        <w:t xml:space="preserve">  given  rise  to  the  utilization  of  fossil  fuel  causing  reduction  in  the  availability  of  the  resources  ( Muhammad  and  Saha,  2022 ).  However,  persistent  utilization  of  gasoline  give</w:t>
      </w:r>
      <w:r w:rsidR="001503FB">
        <w:rPr>
          <w:rFonts w:ascii="Times New Roman" w:hAnsi="Times New Roman" w:cs="Times New Roman"/>
          <w:sz w:val="24"/>
          <w:szCs w:val="24"/>
        </w:rPr>
        <w:t>s</w:t>
      </w:r>
      <w:r w:rsidRPr="00251F22">
        <w:rPr>
          <w:rFonts w:ascii="Times New Roman" w:hAnsi="Times New Roman" w:cs="Times New Roman"/>
          <w:sz w:val="24"/>
          <w:szCs w:val="24"/>
        </w:rPr>
        <w:t xml:space="preserve">  rise  to  emission  of  greenhouse  gas  leading  to  climate  change  and  environmental  pollution  (Muhammad  and  Saha,  2022 ).</w:t>
      </w:r>
    </w:p>
    <w:p w:rsidR="0000610C" w:rsidRPr="00251F22" w:rsidRDefault="00203519" w:rsidP="00D21720">
      <w:pPr>
        <w:spacing w:before="240"/>
        <w:jc w:val="both"/>
        <w:rPr>
          <w:rFonts w:ascii="Times New Roman" w:hAnsi="Times New Roman" w:cs="Times New Roman"/>
          <w:sz w:val="24"/>
          <w:szCs w:val="24"/>
        </w:rPr>
      </w:pPr>
      <w:r w:rsidRPr="00251F22">
        <w:rPr>
          <w:rFonts w:ascii="Times New Roman" w:hAnsi="Times New Roman" w:cs="Times New Roman"/>
          <w:sz w:val="24"/>
          <w:szCs w:val="24"/>
        </w:rPr>
        <w:t xml:space="preserve">High  demand  and  consumption  of  energy  reduces  the  crude  oil  reservoir,  leading  to  scarcity  and  high  price  of  fossil  </w:t>
      </w:r>
      <w:r w:rsidR="00E955F8">
        <w:rPr>
          <w:rFonts w:ascii="Times New Roman" w:hAnsi="Times New Roman" w:cs="Times New Roman"/>
          <w:sz w:val="24"/>
          <w:szCs w:val="24"/>
        </w:rPr>
        <w:t>fuel.  This  prompted  research</w:t>
      </w:r>
      <w:r w:rsidRPr="00251F22">
        <w:rPr>
          <w:rFonts w:ascii="Times New Roman" w:hAnsi="Times New Roman" w:cs="Times New Roman"/>
          <w:sz w:val="24"/>
          <w:szCs w:val="24"/>
        </w:rPr>
        <w:t xml:space="preserve">  for  a  replacement  of  traditional  fuel  to  a  more  sustainable  resources  ( UEPA,  2023 ).  </w:t>
      </w:r>
      <w:r w:rsidR="0000610C" w:rsidRPr="00251F22">
        <w:rPr>
          <w:rFonts w:ascii="Times New Roman" w:hAnsi="Times New Roman" w:cs="Times New Roman"/>
          <w:sz w:val="24"/>
          <w:szCs w:val="24"/>
        </w:rPr>
        <w:t>Advancement  in  biofuel  production  has  enhance</w:t>
      </w:r>
      <w:r w:rsidR="00E955F8">
        <w:rPr>
          <w:rFonts w:ascii="Times New Roman" w:hAnsi="Times New Roman" w:cs="Times New Roman"/>
          <w:sz w:val="24"/>
          <w:szCs w:val="24"/>
        </w:rPr>
        <w:t>d</w:t>
      </w:r>
      <w:r w:rsidR="0000610C" w:rsidRPr="00251F22">
        <w:rPr>
          <w:rFonts w:ascii="Times New Roman" w:hAnsi="Times New Roman" w:cs="Times New Roman"/>
          <w:sz w:val="24"/>
          <w:szCs w:val="24"/>
        </w:rPr>
        <w:t xml:space="preserve">  greener  energy  and  contributing  to  a  sustainable  energy  in  future.  Bioethanol,  a  biofuel</w:t>
      </w:r>
      <w:r w:rsidR="00E955F8">
        <w:rPr>
          <w:rFonts w:ascii="Times New Roman" w:hAnsi="Times New Roman" w:cs="Times New Roman"/>
          <w:sz w:val="24"/>
          <w:szCs w:val="24"/>
        </w:rPr>
        <w:t>,</w:t>
      </w:r>
      <w:r w:rsidR="0000610C" w:rsidRPr="00251F22">
        <w:rPr>
          <w:rFonts w:ascii="Times New Roman" w:hAnsi="Times New Roman" w:cs="Times New Roman"/>
          <w:sz w:val="24"/>
          <w:szCs w:val="24"/>
        </w:rPr>
        <w:t xml:space="preserve">  is  the  most  widely  acceptable  liquid  fuel,  as  a  viable  alternative  to  petroleum  based  fuels.  The  bioethanol  reduces  greenhous</w:t>
      </w:r>
      <w:r w:rsidR="00E955F8">
        <w:rPr>
          <w:rFonts w:ascii="Times New Roman" w:hAnsi="Times New Roman" w:cs="Times New Roman"/>
          <w:sz w:val="24"/>
          <w:szCs w:val="24"/>
        </w:rPr>
        <w:t>e  gas  emission  and  enhances</w:t>
      </w:r>
      <w:r w:rsidR="0000610C" w:rsidRPr="00251F22">
        <w:rPr>
          <w:rFonts w:ascii="Times New Roman" w:hAnsi="Times New Roman" w:cs="Times New Roman"/>
          <w:sz w:val="24"/>
          <w:szCs w:val="24"/>
        </w:rPr>
        <w:t xml:space="preserve">  energy  security.  It  promotes  rural  development  and  drive</w:t>
      </w:r>
      <w:r w:rsidR="00E955F8">
        <w:rPr>
          <w:rFonts w:ascii="Times New Roman" w:hAnsi="Times New Roman" w:cs="Times New Roman"/>
          <w:sz w:val="24"/>
          <w:szCs w:val="24"/>
        </w:rPr>
        <w:t>s</w:t>
      </w:r>
      <w:r w:rsidR="0000610C" w:rsidRPr="00251F22">
        <w:rPr>
          <w:rFonts w:ascii="Times New Roman" w:hAnsi="Times New Roman" w:cs="Times New Roman"/>
          <w:sz w:val="24"/>
          <w:szCs w:val="24"/>
        </w:rPr>
        <w:t xml:space="preserve">  economic  growth.</w:t>
      </w:r>
    </w:p>
    <w:p w:rsidR="003E6929" w:rsidRPr="00251F22" w:rsidRDefault="00E955F8" w:rsidP="00D21720">
      <w:pPr>
        <w:spacing w:before="240"/>
        <w:jc w:val="both"/>
        <w:rPr>
          <w:rFonts w:ascii="Times New Roman" w:hAnsi="Times New Roman" w:cs="Times New Roman"/>
          <w:sz w:val="24"/>
          <w:szCs w:val="24"/>
        </w:rPr>
      </w:pPr>
      <w:r>
        <w:rPr>
          <w:rFonts w:ascii="Times New Roman" w:hAnsi="Times New Roman" w:cs="Times New Roman"/>
          <w:sz w:val="24"/>
          <w:szCs w:val="24"/>
        </w:rPr>
        <w:lastRenderedPageBreak/>
        <w:t>According  to  the  European  U</w:t>
      </w:r>
      <w:r w:rsidR="003E6929" w:rsidRPr="00251F22">
        <w:rPr>
          <w:rFonts w:ascii="Times New Roman" w:hAnsi="Times New Roman" w:cs="Times New Roman"/>
          <w:sz w:val="24"/>
          <w:szCs w:val="24"/>
        </w:rPr>
        <w:t xml:space="preserve">nion,  liquid  biofuel  production  has  been  increasing  at  a  geometric  ratio  in  the  past  ten  years.  In  2019,  over  159  </w:t>
      </w:r>
      <w:r>
        <w:rPr>
          <w:rFonts w:ascii="Times New Roman" w:hAnsi="Times New Roman" w:cs="Times New Roman"/>
          <w:sz w:val="24"/>
          <w:szCs w:val="24"/>
        </w:rPr>
        <w:t>billion  litres  of  biofuel  was</w:t>
      </w:r>
      <w:r w:rsidR="003E6929" w:rsidRPr="00251F22">
        <w:rPr>
          <w:rFonts w:ascii="Times New Roman" w:hAnsi="Times New Roman" w:cs="Times New Roman"/>
          <w:sz w:val="24"/>
          <w:szCs w:val="24"/>
        </w:rPr>
        <w:t xml:space="preserve">  produced  globally  ( WBA,  2021 ).  The  average  energy  content  of  bioethanol  is  21.1 MJ/Liter  for  transportation,  as  it  reduces  carbon  monoxide  emission  (UEPA,  2023).  </w:t>
      </w:r>
    </w:p>
    <w:p w:rsidR="000B3F3C" w:rsidRPr="00251F22" w:rsidRDefault="003E6929" w:rsidP="00D21720">
      <w:pPr>
        <w:spacing w:before="240"/>
        <w:jc w:val="both"/>
        <w:rPr>
          <w:rFonts w:ascii="Times New Roman" w:hAnsi="Times New Roman" w:cs="Times New Roman"/>
          <w:sz w:val="24"/>
          <w:szCs w:val="24"/>
        </w:rPr>
      </w:pPr>
      <w:r w:rsidRPr="00251F22">
        <w:rPr>
          <w:rFonts w:ascii="Times New Roman" w:hAnsi="Times New Roman" w:cs="Times New Roman"/>
          <w:sz w:val="24"/>
          <w:szCs w:val="24"/>
        </w:rPr>
        <w:t xml:space="preserve">There  is  food-fuel  competition  as  a  result  of  substrate </w:t>
      </w:r>
      <w:r w:rsidR="00203519" w:rsidRPr="00251F22">
        <w:rPr>
          <w:rFonts w:ascii="Times New Roman" w:hAnsi="Times New Roman" w:cs="Times New Roman"/>
          <w:sz w:val="24"/>
          <w:szCs w:val="24"/>
        </w:rPr>
        <w:t xml:space="preserve"> </w:t>
      </w:r>
      <w:r w:rsidRPr="00251F22">
        <w:rPr>
          <w:rFonts w:ascii="Times New Roman" w:hAnsi="Times New Roman" w:cs="Times New Roman"/>
          <w:sz w:val="24"/>
          <w:szCs w:val="24"/>
        </w:rPr>
        <w:t xml:space="preserve"> for  bioethanol  from  the  first  generation  biofuel.  Therefore,  research  has  been  focused  on  the  second  generation  biofuel  from  agricultural  residues,  and  other  cellulosic  wastes  (Hirani  et  al.,  2018 ).</w:t>
      </w:r>
      <w:r w:rsidR="006B7107" w:rsidRPr="00251F22">
        <w:rPr>
          <w:rFonts w:ascii="Times New Roman" w:hAnsi="Times New Roman" w:cs="Times New Roman"/>
          <w:sz w:val="24"/>
          <w:szCs w:val="24"/>
        </w:rPr>
        <w:t xml:space="preserve">  The  conversion  of  lignocellulosic  biomass  to  biofuel,  reduces  greenhouse  gas  emission  and  a  promising  resources  for  renewable  energy  (Beig  et  al.,  2021 ).</w:t>
      </w:r>
    </w:p>
    <w:p w:rsidR="006B7107" w:rsidRPr="00251F22" w:rsidRDefault="006B7107" w:rsidP="00D21720">
      <w:pPr>
        <w:spacing w:before="240"/>
        <w:jc w:val="both"/>
        <w:rPr>
          <w:rFonts w:ascii="Times New Roman" w:hAnsi="Times New Roman" w:cs="Times New Roman"/>
          <w:sz w:val="24"/>
          <w:szCs w:val="24"/>
        </w:rPr>
      </w:pPr>
      <w:r w:rsidRPr="00251F22">
        <w:rPr>
          <w:rFonts w:ascii="Times New Roman" w:hAnsi="Times New Roman" w:cs="Times New Roman"/>
          <w:sz w:val="24"/>
          <w:szCs w:val="24"/>
        </w:rPr>
        <w:t>Bioethnol  from  lignocellulosic  biomass  could  be  the  best  option  for  a  sustainable  biofuel  as  it  compete  with   no  food  market  for  human  consumption.  The  conversion  of  these  wastes  to  biofuel  has  help  to  reduce  environmental  pollution  and  makes  the  environment  eco-friendly.</w:t>
      </w:r>
    </w:p>
    <w:p w:rsidR="009D6E62" w:rsidRPr="00251F22" w:rsidRDefault="00AB56CE" w:rsidP="00D21720">
      <w:pPr>
        <w:spacing w:before="240"/>
        <w:jc w:val="both"/>
        <w:rPr>
          <w:rFonts w:ascii="Times New Roman" w:hAnsi="Times New Roman" w:cs="Times New Roman"/>
          <w:sz w:val="24"/>
          <w:szCs w:val="24"/>
        </w:rPr>
      </w:pPr>
      <w:r w:rsidRPr="00251F22">
        <w:rPr>
          <w:rFonts w:ascii="Times New Roman" w:hAnsi="Times New Roman" w:cs="Times New Roman"/>
          <w:sz w:val="24"/>
          <w:szCs w:val="24"/>
        </w:rPr>
        <w:t>Gamba  grass  is  highly  productive,  used  for  pastures  and  act  as  a  fire-resistance.  It  is  2.5m  high  with  culms  of  about  450/plant.  It  is  straight,  about  1.5 – 2.5m  high.  It  is  up  to  1m  long  and  1.5 – 5cm  wide.  It  was  originated  from  Africa  and  introduced  to  the  Northern  Territory  as  pasture  spices.  It  is  common  in  the  tropical  and  subtropical  savanna  region  of  Africa,  from  Senegal  down  to  Sudan,  Mozambique,  Botswana,  Namibia  and  South  Africa.</w:t>
      </w:r>
      <w:r w:rsidR="009D6E62" w:rsidRPr="00251F22">
        <w:rPr>
          <w:rFonts w:ascii="Times New Roman" w:hAnsi="Times New Roman" w:cs="Times New Roman"/>
          <w:sz w:val="24"/>
          <w:szCs w:val="24"/>
        </w:rPr>
        <w:t xml:space="preserve">  It  was  prominent  in  countries  such  as  Australia  and  South  Africa  ( Daf,  2020 ).  It  can  grow  in  areas  between  400  -  3000m  of  rainfall  per  year,  and  9 months   if  there  is  dry  season.  It  usually  grows  at  peak  in  the  sun  and  can  only  tolerate  light  shade.  </w:t>
      </w:r>
      <w:r w:rsidR="00A006BD" w:rsidRPr="00251F22">
        <w:rPr>
          <w:rFonts w:ascii="Times New Roman" w:hAnsi="Times New Roman" w:cs="Times New Roman"/>
          <w:sz w:val="24"/>
          <w:szCs w:val="24"/>
        </w:rPr>
        <w:t xml:space="preserve">It  does  not  thrive  well  in  an  area  where  the  temperature  is  below  4.4 </w:t>
      </w:r>
      <w:r w:rsidR="00A006BD" w:rsidRPr="00251F22">
        <w:rPr>
          <w:rFonts w:ascii="Times New Roman" w:hAnsi="Times New Roman" w:cs="Times New Roman"/>
          <w:sz w:val="24"/>
          <w:szCs w:val="24"/>
          <w:vertAlign w:val="superscript"/>
        </w:rPr>
        <w:t>o</w:t>
      </w:r>
      <w:r w:rsidR="00490A58" w:rsidRPr="00251F22">
        <w:rPr>
          <w:rFonts w:ascii="Times New Roman" w:hAnsi="Times New Roman" w:cs="Times New Roman"/>
          <w:sz w:val="24"/>
          <w:szCs w:val="24"/>
          <w:vertAlign w:val="superscript"/>
        </w:rPr>
        <w:t xml:space="preserve"> </w:t>
      </w:r>
      <w:r w:rsidR="00A006BD" w:rsidRPr="00251F22">
        <w:rPr>
          <w:rFonts w:ascii="Times New Roman" w:hAnsi="Times New Roman" w:cs="Times New Roman"/>
          <w:sz w:val="24"/>
          <w:szCs w:val="24"/>
        </w:rPr>
        <w:t xml:space="preserve">C.   However,  it  can  tolerate  frost (Cook </w:t>
      </w:r>
      <w:r w:rsidR="00A006BD" w:rsidRPr="00251F22">
        <w:rPr>
          <w:rFonts w:ascii="Times New Roman" w:hAnsi="Times New Roman" w:cs="Times New Roman"/>
          <w:i/>
          <w:sz w:val="24"/>
          <w:szCs w:val="24"/>
        </w:rPr>
        <w:t>et  al.,</w:t>
      </w:r>
      <w:r w:rsidR="00A006BD" w:rsidRPr="00251F22">
        <w:rPr>
          <w:rFonts w:ascii="Times New Roman" w:hAnsi="Times New Roman" w:cs="Times New Roman"/>
          <w:sz w:val="24"/>
          <w:szCs w:val="24"/>
        </w:rPr>
        <w:t>2020).</w:t>
      </w:r>
    </w:p>
    <w:p w:rsidR="00A006BD" w:rsidRDefault="00C72704" w:rsidP="00C72704">
      <w:pPr>
        <w:pStyle w:val="ListParagraph"/>
        <w:spacing w:before="240"/>
        <w:ind w:left="420"/>
        <w:jc w:val="center"/>
        <w:rPr>
          <w:rFonts w:ascii="Times New Roman" w:hAnsi="Times New Roman" w:cs="Times New Roman"/>
          <w:b/>
          <w:sz w:val="24"/>
          <w:szCs w:val="24"/>
        </w:rPr>
      </w:pPr>
      <w:r w:rsidRPr="00C72704">
        <w:rPr>
          <w:rFonts w:ascii="Times New Roman" w:hAnsi="Times New Roman" w:cs="Times New Roman"/>
          <w:b/>
          <w:sz w:val="24"/>
          <w:szCs w:val="24"/>
        </w:rPr>
        <w:t>11.  MATERIALS  AND  METHODS</w:t>
      </w:r>
    </w:p>
    <w:p w:rsidR="00C72704" w:rsidRDefault="00834AFE" w:rsidP="00C72704">
      <w:pPr>
        <w:spacing w:before="240"/>
        <w:rPr>
          <w:rFonts w:ascii="Times New Roman" w:hAnsi="Times New Roman" w:cs="Times New Roman"/>
          <w:b/>
          <w:sz w:val="24"/>
          <w:szCs w:val="24"/>
        </w:rPr>
      </w:pPr>
      <w:r>
        <w:rPr>
          <w:rFonts w:ascii="Times New Roman" w:hAnsi="Times New Roman" w:cs="Times New Roman"/>
          <w:b/>
          <w:sz w:val="24"/>
          <w:szCs w:val="24"/>
        </w:rPr>
        <w:t>a.</w:t>
      </w:r>
      <w:r w:rsidR="009309D7">
        <w:rPr>
          <w:rFonts w:ascii="Times New Roman" w:hAnsi="Times New Roman" w:cs="Times New Roman"/>
          <w:b/>
          <w:sz w:val="24"/>
          <w:szCs w:val="24"/>
        </w:rPr>
        <w:t>Sample  Collection</w:t>
      </w:r>
    </w:p>
    <w:p w:rsidR="00C72704" w:rsidRDefault="00DC0F4D" w:rsidP="00C72704">
      <w:pPr>
        <w:spacing w:before="240"/>
        <w:rPr>
          <w:rFonts w:ascii="Times New Roman" w:hAnsi="Times New Roman" w:cs="Times New Roman"/>
          <w:sz w:val="24"/>
          <w:szCs w:val="24"/>
        </w:rPr>
      </w:pPr>
      <w:r>
        <w:rPr>
          <w:rFonts w:ascii="Times New Roman" w:hAnsi="Times New Roman" w:cs="Times New Roman"/>
          <w:sz w:val="24"/>
          <w:szCs w:val="24"/>
        </w:rPr>
        <w:t>ss</w:t>
      </w:r>
      <w:r w:rsidR="00C72704">
        <w:rPr>
          <w:rFonts w:ascii="Times New Roman" w:hAnsi="Times New Roman" w:cs="Times New Roman"/>
          <w:sz w:val="24"/>
          <w:szCs w:val="24"/>
        </w:rPr>
        <w:t>The  Gamba  grass  collected  behind  the  Faculty  of  Agriculture,  Kebbi  State  University  o</w:t>
      </w:r>
      <w:r w:rsidR="00EE3281">
        <w:rPr>
          <w:rFonts w:ascii="Times New Roman" w:hAnsi="Times New Roman" w:cs="Times New Roman"/>
          <w:sz w:val="24"/>
          <w:szCs w:val="24"/>
        </w:rPr>
        <w:t>f  Science  and  Technology,  A</w:t>
      </w:r>
      <w:r w:rsidR="00C72704">
        <w:rPr>
          <w:rFonts w:ascii="Times New Roman" w:hAnsi="Times New Roman" w:cs="Times New Roman"/>
          <w:sz w:val="24"/>
          <w:szCs w:val="24"/>
        </w:rPr>
        <w:t>l</w:t>
      </w:r>
      <w:r w:rsidR="00EE3281">
        <w:rPr>
          <w:rFonts w:ascii="Times New Roman" w:hAnsi="Times New Roman" w:cs="Times New Roman"/>
          <w:sz w:val="24"/>
          <w:szCs w:val="24"/>
        </w:rPr>
        <w:t>i</w:t>
      </w:r>
      <w:r w:rsidR="00C72704">
        <w:rPr>
          <w:rFonts w:ascii="Times New Roman" w:hAnsi="Times New Roman" w:cs="Times New Roman"/>
          <w:sz w:val="24"/>
          <w:szCs w:val="24"/>
        </w:rPr>
        <w:t>ero,  Kebbi  Sate.</w:t>
      </w:r>
    </w:p>
    <w:p w:rsidR="00C72704" w:rsidRDefault="00834AFE" w:rsidP="00C72704">
      <w:pPr>
        <w:spacing w:before="240"/>
        <w:rPr>
          <w:rFonts w:ascii="Times New Roman" w:hAnsi="Times New Roman" w:cs="Times New Roman"/>
          <w:b/>
          <w:sz w:val="24"/>
          <w:szCs w:val="24"/>
        </w:rPr>
      </w:pPr>
      <w:r>
        <w:rPr>
          <w:rFonts w:ascii="Times New Roman" w:hAnsi="Times New Roman" w:cs="Times New Roman"/>
          <w:b/>
          <w:sz w:val="24"/>
          <w:szCs w:val="24"/>
        </w:rPr>
        <w:t>b.</w:t>
      </w:r>
      <w:r w:rsidR="009309D7">
        <w:rPr>
          <w:rFonts w:ascii="Times New Roman" w:hAnsi="Times New Roman" w:cs="Times New Roman"/>
          <w:b/>
          <w:sz w:val="24"/>
          <w:szCs w:val="24"/>
        </w:rPr>
        <w:t>Sample  T</w:t>
      </w:r>
      <w:r w:rsidR="009309D7" w:rsidRPr="00C72704">
        <w:rPr>
          <w:rFonts w:ascii="Times New Roman" w:hAnsi="Times New Roman" w:cs="Times New Roman"/>
          <w:b/>
          <w:sz w:val="24"/>
          <w:szCs w:val="24"/>
        </w:rPr>
        <w:t>reatment</w:t>
      </w:r>
    </w:p>
    <w:p w:rsidR="00D37BFD" w:rsidRDefault="00C72704" w:rsidP="00D04832">
      <w:pPr>
        <w:spacing w:before="240"/>
        <w:rPr>
          <w:rFonts w:ascii="Times New Roman" w:hAnsi="Times New Roman" w:cs="Times New Roman"/>
          <w:sz w:val="24"/>
          <w:szCs w:val="24"/>
        </w:rPr>
      </w:pPr>
      <w:r>
        <w:rPr>
          <w:rFonts w:ascii="Times New Roman" w:hAnsi="Times New Roman" w:cs="Times New Roman"/>
          <w:sz w:val="24"/>
          <w:szCs w:val="24"/>
        </w:rPr>
        <w:t>The  Gamba  grass  was  cut  into  pieces  and  sun  dried  for  twenty-one  (21 )  days.  The  sample  was  grounded  into  fine  powder  using  pestle  and  mortar.  The  powdered  sample  was  stored  at  room  temperature  in  an  air  tight  container  (Tambuwal  et  al.,  2018 ).</w:t>
      </w:r>
    </w:p>
    <w:p w:rsidR="00D04832" w:rsidRPr="00D04832" w:rsidRDefault="00D04832" w:rsidP="00D04832">
      <w:pPr>
        <w:spacing w:before="240"/>
        <w:rPr>
          <w:rFonts w:ascii="Times New Roman" w:hAnsi="Times New Roman" w:cs="Times New Roman"/>
          <w:sz w:val="24"/>
          <w:szCs w:val="24"/>
        </w:rPr>
      </w:pPr>
    </w:p>
    <w:p w:rsidR="00E918B2" w:rsidRDefault="00E918B2" w:rsidP="00E25BF1">
      <w:pPr>
        <w:spacing w:line="480" w:lineRule="auto"/>
        <w:jc w:val="both"/>
        <w:rPr>
          <w:rFonts w:ascii="Times New Roman" w:hAnsi="Times New Roman" w:cs="Times New Roman"/>
          <w:b/>
          <w:sz w:val="24"/>
          <w:szCs w:val="24"/>
        </w:rPr>
      </w:pPr>
    </w:p>
    <w:p w:rsidR="00E918B2" w:rsidRDefault="00E918B2" w:rsidP="00E25BF1">
      <w:pPr>
        <w:spacing w:line="480" w:lineRule="auto"/>
        <w:jc w:val="both"/>
        <w:rPr>
          <w:rFonts w:ascii="Times New Roman" w:hAnsi="Times New Roman" w:cs="Times New Roman"/>
          <w:b/>
          <w:sz w:val="24"/>
          <w:szCs w:val="24"/>
        </w:rPr>
      </w:pPr>
    </w:p>
    <w:p w:rsidR="00D37BFD" w:rsidRDefault="00834AFE" w:rsidP="00E25BF1">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c. </w:t>
      </w:r>
      <w:r w:rsidR="009309D7">
        <w:rPr>
          <w:rFonts w:ascii="Times New Roman" w:hAnsi="Times New Roman" w:cs="Times New Roman"/>
          <w:b/>
          <w:sz w:val="24"/>
          <w:szCs w:val="24"/>
        </w:rPr>
        <w:t>Determination of Cellulose,  Hemicellulose,  and  L</w:t>
      </w:r>
      <w:r w:rsidR="009309D7" w:rsidRPr="00E25BF1">
        <w:rPr>
          <w:rFonts w:ascii="Times New Roman" w:hAnsi="Times New Roman" w:cs="Times New Roman"/>
          <w:b/>
          <w:sz w:val="24"/>
          <w:szCs w:val="24"/>
        </w:rPr>
        <w:t>ignin  content</w:t>
      </w:r>
    </w:p>
    <w:p w:rsidR="006D7846" w:rsidRDefault="006D7846" w:rsidP="006D7846">
      <w:pPr>
        <w:spacing w:line="480" w:lineRule="auto"/>
        <w:jc w:val="both"/>
        <w:rPr>
          <w:rFonts w:cstheme="minorHAnsi"/>
          <w:b/>
          <w:sz w:val="24"/>
          <w:szCs w:val="24"/>
        </w:rPr>
      </w:pPr>
      <w:r w:rsidRPr="008E6F32">
        <w:rPr>
          <w:rFonts w:cstheme="minorHAnsi"/>
          <w:b/>
          <w:sz w:val="24"/>
          <w:szCs w:val="24"/>
          <w:u w:val="single"/>
        </w:rPr>
        <w:t>EXTRACTIVES</w:t>
      </w:r>
    </w:p>
    <w:p w:rsidR="006D7846" w:rsidRPr="00E244E9" w:rsidRDefault="006D7846" w:rsidP="006D7846">
      <w:pPr>
        <w:spacing w:line="480" w:lineRule="auto"/>
        <w:jc w:val="both"/>
        <w:rPr>
          <w:rFonts w:cstheme="minorHAnsi"/>
          <w:sz w:val="24"/>
          <w:szCs w:val="24"/>
        </w:rPr>
      </w:pPr>
      <w:r w:rsidRPr="00E244E9">
        <w:rPr>
          <w:rFonts w:cstheme="minorHAnsi"/>
          <w:sz w:val="24"/>
          <w:szCs w:val="24"/>
        </w:rPr>
        <w:t>2.5g  of  dried  raw   sample  was  loaded  into  the  cellulose  thimble  of  the  soxhlet  extractor.  150ml  of  acetone  was  added  and  the  extractor  adjusted  to  70</w:t>
      </w:r>
      <w:r w:rsidRPr="00E244E9">
        <w:rPr>
          <w:rFonts w:cstheme="minorHAnsi"/>
          <w:sz w:val="24"/>
          <w:szCs w:val="24"/>
          <w:vertAlign w:val="superscript"/>
        </w:rPr>
        <w:t>0</w:t>
      </w:r>
      <w:r w:rsidRPr="00E244E9">
        <w:rPr>
          <w:rFonts w:cstheme="minorHAnsi"/>
          <w:sz w:val="24"/>
          <w:szCs w:val="24"/>
        </w:rPr>
        <w:t>C  for  4hr  run  on  the  heating  mantle.</w:t>
      </w:r>
    </w:p>
    <w:p w:rsidR="006D7846" w:rsidRPr="00E244E9" w:rsidRDefault="006D7846" w:rsidP="006D7846">
      <w:pPr>
        <w:spacing w:line="480" w:lineRule="auto"/>
        <w:jc w:val="both"/>
        <w:rPr>
          <w:rFonts w:cstheme="minorHAnsi"/>
          <w:sz w:val="24"/>
          <w:szCs w:val="24"/>
        </w:rPr>
      </w:pPr>
      <w:r w:rsidRPr="00E244E9">
        <w:rPr>
          <w:rFonts w:cstheme="minorHAnsi"/>
          <w:sz w:val="24"/>
          <w:szCs w:val="24"/>
        </w:rPr>
        <w:t>After  extraction,  the  sample  was  air  dried  at  room   temperature  for  few  minutes.</w:t>
      </w:r>
    </w:p>
    <w:p w:rsidR="006D7846" w:rsidRPr="00E244E9" w:rsidRDefault="006D7846" w:rsidP="006D7846">
      <w:pPr>
        <w:spacing w:line="480" w:lineRule="auto"/>
        <w:jc w:val="both"/>
        <w:rPr>
          <w:rFonts w:cstheme="minorHAnsi"/>
          <w:sz w:val="24"/>
          <w:szCs w:val="24"/>
        </w:rPr>
      </w:pPr>
      <w:r w:rsidRPr="00E244E9">
        <w:rPr>
          <w:rFonts w:cstheme="minorHAnsi"/>
          <w:sz w:val="24"/>
          <w:szCs w:val="24"/>
        </w:rPr>
        <w:t>The  residue (extractive)  was  placed  in  an  oven   105</w:t>
      </w:r>
      <w:r w:rsidRPr="00E244E9">
        <w:rPr>
          <w:rFonts w:cstheme="minorHAnsi"/>
          <w:sz w:val="24"/>
          <w:szCs w:val="24"/>
          <w:vertAlign w:val="superscript"/>
        </w:rPr>
        <w:t>0</w:t>
      </w:r>
      <w:r w:rsidRPr="00E244E9">
        <w:rPr>
          <w:rFonts w:cstheme="minorHAnsi"/>
          <w:sz w:val="24"/>
          <w:szCs w:val="24"/>
        </w:rPr>
        <w:t xml:space="preserve">C   for  1hr  and  air  dried  until  a  constant  weight  was  achieved.  </w:t>
      </w:r>
    </w:p>
    <w:p w:rsidR="006D7846" w:rsidRPr="00E244E9" w:rsidRDefault="006D7846" w:rsidP="006D7846">
      <w:pPr>
        <w:spacing w:line="480" w:lineRule="auto"/>
        <w:jc w:val="both"/>
        <w:rPr>
          <w:rFonts w:cstheme="minorHAnsi"/>
          <w:sz w:val="24"/>
          <w:szCs w:val="24"/>
        </w:rPr>
      </w:pPr>
      <w:r w:rsidRPr="00E244E9">
        <w:rPr>
          <w:rFonts w:cstheme="minorHAnsi"/>
          <w:sz w:val="24"/>
          <w:szCs w:val="24"/>
        </w:rPr>
        <w:t xml:space="preserve">The  percentage  weight (w/w)  of  the  extractives  was  evaluated  as  the  difference  in  weight  between  the  raw  biomass  and  </w:t>
      </w:r>
      <w:r w:rsidR="00052BB1">
        <w:rPr>
          <w:rFonts w:cstheme="minorHAnsi"/>
          <w:sz w:val="24"/>
          <w:szCs w:val="24"/>
        </w:rPr>
        <w:t>the  extractive-free  biomass  (</w:t>
      </w:r>
      <w:r w:rsidRPr="00E244E9">
        <w:rPr>
          <w:rFonts w:cstheme="minorHAnsi"/>
          <w:sz w:val="24"/>
          <w:szCs w:val="24"/>
        </w:rPr>
        <w:t>Lin et al., 2010).</w:t>
      </w:r>
    </w:p>
    <w:p w:rsidR="006D7846" w:rsidRPr="00E244E9" w:rsidRDefault="006D7846" w:rsidP="006D7846">
      <w:pPr>
        <w:spacing w:line="480" w:lineRule="auto"/>
        <w:jc w:val="both"/>
        <w:rPr>
          <w:rFonts w:cstheme="minorHAnsi"/>
          <w:b/>
          <w:sz w:val="24"/>
          <w:szCs w:val="24"/>
        </w:rPr>
      </w:pPr>
      <w:r w:rsidRPr="00E244E9">
        <w:rPr>
          <w:rFonts w:cstheme="minorHAnsi"/>
          <w:b/>
          <w:sz w:val="24"/>
          <w:szCs w:val="24"/>
          <w:u w:val="single"/>
        </w:rPr>
        <w:t>HEMICELLULOSE  CONTENT</w:t>
      </w:r>
    </w:p>
    <w:p w:rsidR="006D7846" w:rsidRPr="00E244E9" w:rsidRDefault="006D7846" w:rsidP="006D7846">
      <w:pPr>
        <w:spacing w:line="480" w:lineRule="auto"/>
        <w:jc w:val="both"/>
        <w:rPr>
          <w:rFonts w:cstheme="minorHAnsi"/>
          <w:sz w:val="24"/>
          <w:szCs w:val="24"/>
        </w:rPr>
      </w:pPr>
      <w:r w:rsidRPr="00E244E9">
        <w:rPr>
          <w:rFonts w:cstheme="minorHAnsi"/>
          <w:sz w:val="24"/>
          <w:szCs w:val="24"/>
        </w:rPr>
        <w:t>1g  of  the  extracted  dried  biomass  was  added  into  a  250ml  flask.  150ml  of  500mol/m</w:t>
      </w:r>
      <w:r w:rsidRPr="00E244E9">
        <w:rPr>
          <w:rFonts w:cstheme="minorHAnsi"/>
          <w:sz w:val="24"/>
          <w:szCs w:val="24"/>
          <w:vertAlign w:val="superscript"/>
        </w:rPr>
        <w:t>3</w:t>
      </w:r>
      <w:r w:rsidRPr="00E244E9">
        <w:rPr>
          <w:rFonts w:cstheme="minorHAnsi"/>
          <w:sz w:val="24"/>
          <w:szCs w:val="24"/>
        </w:rPr>
        <w:t xml:space="preserve">  was  added.  The  mixture  was  boiled  for  3hrs  with  distilled  water.</w:t>
      </w:r>
    </w:p>
    <w:p w:rsidR="007A4128" w:rsidRDefault="006D7846" w:rsidP="006D7846">
      <w:pPr>
        <w:spacing w:line="480" w:lineRule="auto"/>
        <w:jc w:val="both"/>
        <w:rPr>
          <w:rFonts w:cstheme="minorHAnsi"/>
          <w:sz w:val="24"/>
          <w:szCs w:val="24"/>
        </w:rPr>
      </w:pPr>
      <w:r w:rsidRPr="00E244E9">
        <w:rPr>
          <w:rFonts w:cstheme="minorHAnsi"/>
          <w:sz w:val="24"/>
          <w:szCs w:val="24"/>
        </w:rPr>
        <w:t xml:space="preserve">It  was  allowed  to  cool  and  filtered  through  vacuum  </w:t>
      </w:r>
      <w:r w:rsidR="00411083" w:rsidRPr="00E244E9">
        <w:rPr>
          <w:rFonts w:cstheme="minorHAnsi"/>
          <w:sz w:val="24"/>
          <w:szCs w:val="24"/>
        </w:rPr>
        <w:t>filtration</w:t>
      </w:r>
      <w:r w:rsidRPr="00E244E9">
        <w:rPr>
          <w:rFonts w:cstheme="minorHAnsi"/>
          <w:sz w:val="24"/>
          <w:szCs w:val="24"/>
        </w:rPr>
        <w:t>.</w:t>
      </w:r>
      <w:r w:rsidR="002E2439">
        <w:rPr>
          <w:rFonts w:cstheme="minorHAnsi"/>
          <w:sz w:val="24"/>
          <w:szCs w:val="24"/>
        </w:rPr>
        <w:t xml:space="preserve"> </w:t>
      </w:r>
      <w:r w:rsidRPr="00E244E9">
        <w:rPr>
          <w:rFonts w:cstheme="minorHAnsi"/>
          <w:sz w:val="24"/>
          <w:szCs w:val="24"/>
        </w:rPr>
        <w:t>The  residue  was  washed  under  running  tap  water  until  neutral  p H.  The  residue  was  dried  to  a  constant  weight  at  105</w:t>
      </w:r>
      <w:r w:rsidRPr="00E244E9">
        <w:rPr>
          <w:rFonts w:cstheme="minorHAnsi"/>
          <w:sz w:val="24"/>
          <w:szCs w:val="24"/>
          <w:vertAlign w:val="superscript"/>
        </w:rPr>
        <w:t>0</w:t>
      </w:r>
      <w:r w:rsidRPr="00E244E9">
        <w:rPr>
          <w:rFonts w:cstheme="minorHAnsi"/>
          <w:sz w:val="24"/>
          <w:szCs w:val="24"/>
        </w:rPr>
        <w:t>C  in  an  oven.</w:t>
      </w:r>
      <w:r w:rsidR="007A4128">
        <w:rPr>
          <w:rFonts w:cstheme="minorHAnsi"/>
          <w:sz w:val="24"/>
          <w:szCs w:val="24"/>
        </w:rPr>
        <w:t xml:space="preserve">   </w:t>
      </w:r>
      <w:r w:rsidRPr="00E244E9">
        <w:rPr>
          <w:rFonts w:cstheme="minorHAnsi"/>
          <w:sz w:val="24"/>
          <w:szCs w:val="24"/>
        </w:rPr>
        <w:t>The  percentage  hemicelluloses  content  is  the  difference  between  the  weight  before  and  after  treatment (Lin et al., 2010).</w:t>
      </w:r>
    </w:p>
    <w:p w:rsidR="00967870" w:rsidRDefault="00967870" w:rsidP="006D7846">
      <w:pPr>
        <w:spacing w:line="480" w:lineRule="auto"/>
        <w:jc w:val="both"/>
        <w:rPr>
          <w:rFonts w:cstheme="minorHAnsi"/>
          <w:sz w:val="24"/>
          <w:szCs w:val="24"/>
        </w:rPr>
      </w:pPr>
    </w:p>
    <w:p w:rsidR="00967870" w:rsidRDefault="00967870" w:rsidP="006D7846">
      <w:pPr>
        <w:spacing w:line="480" w:lineRule="auto"/>
        <w:jc w:val="both"/>
        <w:rPr>
          <w:rFonts w:cstheme="minorHAnsi"/>
          <w:sz w:val="24"/>
          <w:szCs w:val="24"/>
        </w:rPr>
      </w:pPr>
    </w:p>
    <w:p w:rsidR="006D7846" w:rsidRPr="007A4128" w:rsidRDefault="006D7846" w:rsidP="006D7846">
      <w:pPr>
        <w:spacing w:line="480" w:lineRule="auto"/>
        <w:jc w:val="both"/>
        <w:rPr>
          <w:rFonts w:cstheme="minorHAnsi"/>
          <w:sz w:val="24"/>
          <w:szCs w:val="24"/>
        </w:rPr>
      </w:pPr>
      <w:r w:rsidRPr="00E244E9">
        <w:rPr>
          <w:rFonts w:cstheme="minorHAnsi"/>
          <w:b/>
          <w:sz w:val="24"/>
          <w:szCs w:val="24"/>
          <w:u w:val="single"/>
        </w:rPr>
        <w:lastRenderedPageBreak/>
        <w:t>LIGNIN  CONTENT</w:t>
      </w:r>
    </w:p>
    <w:p w:rsidR="006D7846" w:rsidRPr="00E244E9" w:rsidRDefault="006D7846" w:rsidP="006D7846">
      <w:pPr>
        <w:spacing w:line="480" w:lineRule="auto"/>
        <w:jc w:val="both"/>
        <w:rPr>
          <w:rFonts w:cstheme="minorHAnsi"/>
          <w:sz w:val="24"/>
          <w:szCs w:val="24"/>
        </w:rPr>
      </w:pPr>
      <w:r w:rsidRPr="00E244E9">
        <w:rPr>
          <w:rFonts w:cstheme="minorHAnsi"/>
          <w:sz w:val="24"/>
          <w:szCs w:val="24"/>
        </w:rPr>
        <w:t>0.3g  of  dried  extracted  raw  biomass  was  weighed  in  a  test  tube.  3ml  of  72%  H</w:t>
      </w:r>
      <w:r w:rsidRPr="00E244E9">
        <w:rPr>
          <w:rFonts w:cstheme="minorHAnsi"/>
          <w:sz w:val="24"/>
          <w:szCs w:val="24"/>
          <w:vertAlign w:val="subscript"/>
        </w:rPr>
        <w:t>2</w:t>
      </w:r>
      <w:r w:rsidRPr="00E244E9">
        <w:rPr>
          <w:rFonts w:cstheme="minorHAnsi"/>
          <w:sz w:val="24"/>
          <w:szCs w:val="24"/>
        </w:rPr>
        <w:t>SO</w:t>
      </w:r>
      <w:r w:rsidRPr="00E244E9">
        <w:rPr>
          <w:rFonts w:cstheme="minorHAnsi"/>
          <w:sz w:val="24"/>
          <w:szCs w:val="24"/>
          <w:vertAlign w:val="subscript"/>
        </w:rPr>
        <w:t>4</w:t>
      </w:r>
      <w:r w:rsidRPr="00E244E9">
        <w:rPr>
          <w:rFonts w:cstheme="minorHAnsi"/>
          <w:sz w:val="24"/>
          <w:szCs w:val="24"/>
        </w:rPr>
        <w:t xml:space="preserve">   was   added. The  test  tube  was  kept  for  2hr  at  room  temperature  with  careful  shaking  at  30min  interval  for    of  complete  hydrolysis.  After  initial  hydrolysis,  84ml  of  distilled  water  was  added.</w:t>
      </w:r>
      <w:r w:rsidR="001D118D">
        <w:rPr>
          <w:rFonts w:cstheme="minorHAnsi"/>
          <w:sz w:val="24"/>
          <w:szCs w:val="24"/>
        </w:rPr>
        <w:t xml:space="preserve"> </w:t>
      </w:r>
      <w:r w:rsidRPr="00E244E9">
        <w:rPr>
          <w:rFonts w:cstheme="minorHAnsi"/>
          <w:sz w:val="24"/>
          <w:szCs w:val="24"/>
        </w:rPr>
        <w:t>The  mixture  was  kept  in  an  autoclave  at  121</w:t>
      </w:r>
      <w:r w:rsidRPr="00E244E9">
        <w:rPr>
          <w:rFonts w:cstheme="minorHAnsi"/>
          <w:sz w:val="24"/>
          <w:szCs w:val="24"/>
          <w:vertAlign w:val="superscript"/>
        </w:rPr>
        <w:t>0</w:t>
      </w:r>
      <w:r w:rsidRPr="00E244E9">
        <w:rPr>
          <w:rFonts w:cstheme="minorHAnsi"/>
          <w:sz w:val="24"/>
          <w:szCs w:val="24"/>
        </w:rPr>
        <w:t>C  for  1hr  for  the  second  hydrolysis.  The  slurry  was  cooled  at  room  temperature.</w:t>
      </w:r>
    </w:p>
    <w:p w:rsidR="006D7846" w:rsidRPr="00E244E9" w:rsidRDefault="006D7846" w:rsidP="006D7846">
      <w:pPr>
        <w:spacing w:line="480" w:lineRule="auto"/>
        <w:jc w:val="both"/>
        <w:rPr>
          <w:rFonts w:cstheme="minorHAnsi"/>
          <w:sz w:val="24"/>
          <w:szCs w:val="24"/>
        </w:rPr>
      </w:pPr>
      <w:r w:rsidRPr="00E244E9">
        <w:rPr>
          <w:rFonts w:cstheme="minorHAnsi"/>
          <w:sz w:val="24"/>
          <w:szCs w:val="24"/>
        </w:rPr>
        <w:t>The  hydrolyzates  was  filtered  through  vacuum  using  a  filtering  crucible.</w:t>
      </w:r>
      <w:r w:rsidR="00C00D75">
        <w:rPr>
          <w:rFonts w:cstheme="minorHAnsi"/>
          <w:sz w:val="24"/>
          <w:szCs w:val="24"/>
        </w:rPr>
        <w:t xml:space="preserve">  </w:t>
      </w:r>
      <w:r w:rsidRPr="00E244E9">
        <w:rPr>
          <w:rFonts w:cstheme="minorHAnsi"/>
          <w:sz w:val="24"/>
          <w:szCs w:val="24"/>
        </w:rPr>
        <w:t>The  acid  insoluble  lignin  was  determine  by  drying  the  residue  at  105</w:t>
      </w:r>
      <w:r w:rsidRPr="00E244E9">
        <w:rPr>
          <w:rFonts w:cstheme="minorHAnsi"/>
          <w:sz w:val="24"/>
          <w:szCs w:val="24"/>
          <w:vertAlign w:val="superscript"/>
        </w:rPr>
        <w:t>0</w:t>
      </w:r>
      <w:r w:rsidRPr="00E244E9">
        <w:rPr>
          <w:rFonts w:cstheme="minorHAnsi"/>
          <w:sz w:val="24"/>
          <w:szCs w:val="24"/>
        </w:rPr>
        <w:t>C  and  accounting  for  ash  by  incinerating  the  hydrolyzates  at  575</w:t>
      </w:r>
      <w:r w:rsidRPr="00E244E9">
        <w:rPr>
          <w:rFonts w:cstheme="minorHAnsi"/>
          <w:sz w:val="24"/>
          <w:szCs w:val="24"/>
          <w:vertAlign w:val="superscript"/>
        </w:rPr>
        <w:t>0</w:t>
      </w:r>
      <w:r w:rsidRPr="00E244E9">
        <w:rPr>
          <w:rFonts w:cstheme="minorHAnsi"/>
          <w:sz w:val="24"/>
          <w:szCs w:val="24"/>
        </w:rPr>
        <w:t>C  in  a  muffle  furnace .</w:t>
      </w:r>
    </w:p>
    <w:p w:rsidR="00A07B44" w:rsidRPr="00E244E9" w:rsidRDefault="006D7846" w:rsidP="006D7846">
      <w:pPr>
        <w:spacing w:line="480" w:lineRule="auto"/>
        <w:jc w:val="both"/>
        <w:rPr>
          <w:rFonts w:cstheme="minorHAnsi"/>
          <w:sz w:val="24"/>
          <w:szCs w:val="24"/>
        </w:rPr>
      </w:pPr>
      <w:r w:rsidRPr="00E244E9">
        <w:rPr>
          <w:rFonts w:cstheme="minorHAnsi"/>
          <w:sz w:val="24"/>
          <w:szCs w:val="24"/>
        </w:rPr>
        <w:t>The  acid  soluble  lignin  fraction  was  determine  by  measuring  the  acid  hydrolysate  absorbance  at  320nm.</w:t>
      </w:r>
      <w:r w:rsidR="00C00D75">
        <w:rPr>
          <w:rFonts w:cstheme="minorHAnsi"/>
          <w:sz w:val="24"/>
          <w:szCs w:val="24"/>
        </w:rPr>
        <w:t xml:space="preserve">  </w:t>
      </w:r>
      <w:r w:rsidRPr="00E244E9">
        <w:rPr>
          <w:rFonts w:cstheme="minorHAnsi"/>
          <w:sz w:val="24"/>
          <w:szCs w:val="24"/>
        </w:rPr>
        <w:t>The  lignin  content  calculated  as  the  summation  of  acid  insoluble  lignin  and  acid  soluble  lignin (Sluter, 2001).</w:t>
      </w:r>
    </w:p>
    <w:p w:rsidR="00F46C26" w:rsidRDefault="00F46C26" w:rsidP="00F46C26">
      <w:pPr>
        <w:spacing w:line="480" w:lineRule="auto"/>
        <w:jc w:val="both"/>
        <w:rPr>
          <w:rFonts w:cstheme="minorHAnsi"/>
          <w:b/>
          <w:sz w:val="24"/>
          <w:szCs w:val="24"/>
          <w:u w:val="single"/>
        </w:rPr>
      </w:pPr>
      <w:r w:rsidRPr="002C2E7D">
        <w:rPr>
          <w:rFonts w:cstheme="minorHAnsi"/>
          <w:b/>
          <w:sz w:val="24"/>
          <w:szCs w:val="24"/>
          <w:u w:val="single"/>
        </w:rPr>
        <w:t>CELLULOSE  CONTENT</w:t>
      </w:r>
    </w:p>
    <w:p w:rsidR="00F46C26" w:rsidRPr="007A4128" w:rsidRDefault="00F46C26" w:rsidP="007A4128">
      <w:pPr>
        <w:spacing w:line="480" w:lineRule="auto"/>
        <w:jc w:val="both"/>
        <w:rPr>
          <w:rFonts w:cstheme="minorHAnsi"/>
          <w:sz w:val="24"/>
          <w:szCs w:val="24"/>
        </w:rPr>
      </w:pPr>
      <w:r w:rsidRPr="00F46C26">
        <w:rPr>
          <w:rFonts w:cstheme="minorHAnsi"/>
          <w:sz w:val="24"/>
          <w:szCs w:val="24"/>
        </w:rPr>
        <w:t>This  was  calculated  by  difference,  assuming  that  extractives,  hemicelluloses,  lignin,  ash ( Lin et al., 2010).</w:t>
      </w:r>
    </w:p>
    <w:p w:rsidR="00A07B44" w:rsidRDefault="00A07B44" w:rsidP="00A07B44">
      <w:pPr>
        <w:spacing w:before="240"/>
        <w:rPr>
          <w:rFonts w:ascii="Times New Roman" w:hAnsi="Times New Roman" w:cs="Times New Roman"/>
          <w:b/>
          <w:sz w:val="24"/>
          <w:szCs w:val="24"/>
        </w:rPr>
      </w:pPr>
      <w:r>
        <w:rPr>
          <w:rFonts w:ascii="Times New Roman" w:hAnsi="Times New Roman" w:cs="Times New Roman"/>
          <w:b/>
          <w:sz w:val="24"/>
          <w:szCs w:val="24"/>
        </w:rPr>
        <w:t>Table  1 :</w:t>
      </w:r>
      <w:r w:rsidR="006D7846">
        <w:rPr>
          <w:rFonts w:ascii="Times New Roman" w:hAnsi="Times New Roman" w:cs="Times New Roman"/>
          <w:b/>
          <w:sz w:val="24"/>
          <w:szCs w:val="24"/>
        </w:rPr>
        <w:t xml:space="preserve">  Proximate  Analysis  of  Gamba </w:t>
      </w:r>
      <w:r>
        <w:rPr>
          <w:rFonts w:ascii="Times New Roman" w:hAnsi="Times New Roman" w:cs="Times New Roman"/>
          <w:b/>
          <w:sz w:val="24"/>
          <w:szCs w:val="24"/>
        </w:rPr>
        <w:t xml:space="preserve"> grass</w:t>
      </w:r>
    </w:p>
    <w:tbl>
      <w:tblPr>
        <w:tblStyle w:val="TableGrid"/>
        <w:tblW w:w="0" w:type="auto"/>
        <w:tblLook w:val="04A0"/>
      </w:tblPr>
      <w:tblGrid>
        <w:gridCol w:w="1915"/>
        <w:gridCol w:w="1915"/>
        <w:gridCol w:w="1915"/>
        <w:gridCol w:w="1915"/>
        <w:gridCol w:w="1916"/>
      </w:tblGrid>
      <w:tr w:rsidR="00A07B44" w:rsidTr="00DE42BC">
        <w:tc>
          <w:tcPr>
            <w:tcW w:w="1915" w:type="dxa"/>
          </w:tcPr>
          <w:p w:rsidR="00A07B44" w:rsidRDefault="00A07B44" w:rsidP="00DE42BC">
            <w:pPr>
              <w:spacing w:before="240"/>
              <w:rPr>
                <w:rFonts w:ascii="Times New Roman" w:hAnsi="Times New Roman" w:cs="Times New Roman"/>
                <w:b/>
                <w:sz w:val="24"/>
                <w:szCs w:val="24"/>
              </w:rPr>
            </w:pPr>
            <w:r>
              <w:rPr>
                <w:rFonts w:ascii="Times New Roman" w:hAnsi="Times New Roman" w:cs="Times New Roman"/>
                <w:b/>
                <w:sz w:val="24"/>
                <w:szCs w:val="24"/>
              </w:rPr>
              <w:t>CONTENT</w:t>
            </w:r>
          </w:p>
        </w:tc>
        <w:tc>
          <w:tcPr>
            <w:tcW w:w="1915" w:type="dxa"/>
          </w:tcPr>
          <w:p w:rsidR="00A07B44" w:rsidRDefault="00A07B44" w:rsidP="00DE42BC">
            <w:pPr>
              <w:spacing w:before="240"/>
              <w:rPr>
                <w:rFonts w:ascii="Times New Roman" w:hAnsi="Times New Roman" w:cs="Times New Roman"/>
                <w:b/>
                <w:sz w:val="24"/>
                <w:szCs w:val="24"/>
              </w:rPr>
            </w:pPr>
            <w:r>
              <w:rPr>
                <w:rFonts w:ascii="Times New Roman" w:hAnsi="Times New Roman" w:cs="Times New Roman"/>
                <w:b/>
                <w:sz w:val="24"/>
                <w:szCs w:val="24"/>
              </w:rPr>
              <w:t>Moisture</w:t>
            </w:r>
          </w:p>
        </w:tc>
        <w:tc>
          <w:tcPr>
            <w:tcW w:w="1915" w:type="dxa"/>
          </w:tcPr>
          <w:p w:rsidR="00A07B44" w:rsidRDefault="00A07B44" w:rsidP="00DE42BC">
            <w:pPr>
              <w:spacing w:before="240"/>
              <w:rPr>
                <w:rFonts w:ascii="Times New Roman" w:hAnsi="Times New Roman" w:cs="Times New Roman"/>
                <w:b/>
                <w:sz w:val="24"/>
                <w:szCs w:val="24"/>
              </w:rPr>
            </w:pPr>
            <w:r>
              <w:rPr>
                <w:rFonts w:ascii="Times New Roman" w:hAnsi="Times New Roman" w:cs="Times New Roman"/>
                <w:b/>
                <w:sz w:val="24"/>
                <w:szCs w:val="24"/>
              </w:rPr>
              <w:t>Ash</w:t>
            </w:r>
          </w:p>
        </w:tc>
        <w:tc>
          <w:tcPr>
            <w:tcW w:w="1915" w:type="dxa"/>
          </w:tcPr>
          <w:p w:rsidR="00A07B44" w:rsidRDefault="00A07B44" w:rsidP="00DE42BC">
            <w:pPr>
              <w:spacing w:before="240"/>
              <w:rPr>
                <w:rFonts w:ascii="Times New Roman" w:hAnsi="Times New Roman" w:cs="Times New Roman"/>
                <w:b/>
                <w:sz w:val="24"/>
                <w:szCs w:val="24"/>
              </w:rPr>
            </w:pPr>
            <w:r>
              <w:rPr>
                <w:rFonts w:ascii="Times New Roman" w:hAnsi="Times New Roman" w:cs="Times New Roman"/>
                <w:b/>
                <w:sz w:val="24"/>
                <w:szCs w:val="24"/>
              </w:rPr>
              <w:t>Crude  Fibre</w:t>
            </w:r>
          </w:p>
        </w:tc>
        <w:tc>
          <w:tcPr>
            <w:tcW w:w="1916" w:type="dxa"/>
          </w:tcPr>
          <w:p w:rsidR="00A07B44" w:rsidRDefault="00A07B44" w:rsidP="00DE42BC">
            <w:pPr>
              <w:spacing w:before="240"/>
              <w:rPr>
                <w:rFonts w:ascii="Times New Roman" w:hAnsi="Times New Roman" w:cs="Times New Roman"/>
                <w:b/>
                <w:sz w:val="24"/>
                <w:szCs w:val="24"/>
              </w:rPr>
            </w:pPr>
            <w:r>
              <w:rPr>
                <w:rFonts w:ascii="Times New Roman" w:hAnsi="Times New Roman" w:cs="Times New Roman"/>
                <w:b/>
                <w:sz w:val="24"/>
                <w:szCs w:val="24"/>
              </w:rPr>
              <w:t>Carbohydrate</w:t>
            </w:r>
          </w:p>
        </w:tc>
      </w:tr>
      <w:tr w:rsidR="00A07B44" w:rsidTr="007B36C3">
        <w:trPr>
          <w:trHeight w:val="710"/>
        </w:trPr>
        <w:tc>
          <w:tcPr>
            <w:tcW w:w="1915" w:type="dxa"/>
            <w:tcBorders>
              <w:bottom w:val="single" w:sz="4" w:space="0" w:color="000000" w:themeColor="text1"/>
            </w:tcBorders>
          </w:tcPr>
          <w:p w:rsidR="00A07B44" w:rsidRDefault="00A07B44" w:rsidP="00DE42BC">
            <w:pPr>
              <w:spacing w:before="240"/>
              <w:rPr>
                <w:rFonts w:ascii="Times New Roman" w:hAnsi="Times New Roman" w:cs="Times New Roman"/>
                <w:b/>
                <w:sz w:val="24"/>
                <w:szCs w:val="24"/>
              </w:rPr>
            </w:pPr>
            <w:r>
              <w:rPr>
                <w:rFonts w:ascii="Times New Roman" w:hAnsi="Times New Roman" w:cs="Times New Roman"/>
                <w:b/>
                <w:sz w:val="24"/>
                <w:szCs w:val="24"/>
              </w:rPr>
              <w:t>%</w:t>
            </w:r>
          </w:p>
        </w:tc>
        <w:tc>
          <w:tcPr>
            <w:tcW w:w="1915" w:type="dxa"/>
            <w:tcBorders>
              <w:bottom w:val="single" w:sz="4" w:space="0" w:color="000000" w:themeColor="text1"/>
            </w:tcBorders>
          </w:tcPr>
          <w:p w:rsidR="00A07B44" w:rsidRDefault="00EE667B" w:rsidP="00DE42BC">
            <w:pPr>
              <w:spacing w:before="240"/>
              <w:rPr>
                <w:rFonts w:ascii="Times New Roman" w:hAnsi="Times New Roman" w:cs="Times New Roman"/>
                <w:b/>
                <w:sz w:val="24"/>
                <w:szCs w:val="24"/>
              </w:rPr>
            </w:pPr>
            <w:r>
              <w:rPr>
                <w:rFonts w:ascii="Times New Roman" w:hAnsi="Times New Roman" w:cs="Times New Roman"/>
                <w:b/>
                <w:sz w:val="24"/>
                <w:szCs w:val="24"/>
              </w:rPr>
              <w:t>8.95 ± 0.06</w:t>
            </w:r>
          </w:p>
        </w:tc>
        <w:tc>
          <w:tcPr>
            <w:tcW w:w="1915" w:type="dxa"/>
            <w:tcBorders>
              <w:bottom w:val="single" w:sz="4" w:space="0" w:color="000000" w:themeColor="text1"/>
            </w:tcBorders>
          </w:tcPr>
          <w:p w:rsidR="00A07B44" w:rsidRDefault="00EE667B" w:rsidP="00DE42BC">
            <w:pPr>
              <w:spacing w:before="240"/>
              <w:rPr>
                <w:rFonts w:ascii="Times New Roman" w:hAnsi="Times New Roman" w:cs="Times New Roman"/>
                <w:b/>
                <w:sz w:val="24"/>
                <w:szCs w:val="24"/>
              </w:rPr>
            </w:pPr>
            <w:r>
              <w:rPr>
                <w:rFonts w:ascii="Times New Roman" w:hAnsi="Times New Roman" w:cs="Times New Roman"/>
                <w:b/>
                <w:sz w:val="24"/>
                <w:szCs w:val="24"/>
              </w:rPr>
              <w:t>7.5 ± 0.07</w:t>
            </w:r>
          </w:p>
        </w:tc>
        <w:tc>
          <w:tcPr>
            <w:tcW w:w="1915" w:type="dxa"/>
            <w:tcBorders>
              <w:bottom w:val="single" w:sz="4" w:space="0" w:color="000000" w:themeColor="text1"/>
            </w:tcBorders>
          </w:tcPr>
          <w:p w:rsidR="00A07B44" w:rsidRDefault="00EE667B" w:rsidP="00DE42BC">
            <w:pPr>
              <w:spacing w:before="240"/>
              <w:rPr>
                <w:rFonts w:ascii="Times New Roman" w:hAnsi="Times New Roman" w:cs="Times New Roman"/>
                <w:b/>
                <w:sz w:val="24"/>
                <w:szCs w:val="24"/>
              </w:rPr>
            </w:pPr>
            <w:r>
              <w:rPr>
                <w:rFonts w:ascii="Times New Roman" w:hAnsi="Times New Roman" w:cs="Times New Roman"/>
                <w:b/>
                <w:sz w:val="24"/>
                <w:szCs w:val="24"/>
              </w:rPr>
              <w:t>11.75 ± 0.52</w:t>
            </w:r>
          </w:p>
        </w:tc>
        <w:tc>
          <w:tcPr>
            <w:tcW w:w="1916" w:type="dxa"/>
            <w:tcBorders>
              <w:bottom w:val="single" w:sz="4" w:space="0" w:color="000000" w:themeColor="text1"/>
            </w:tcBorders>
          </w:tcPr>
          <w:p w:rsidR="00A07B44" w:rsidRDefault="00EE667B" w:rsidP="00DE42BC">
            <w:pPr>
              <w:spacing w:before="240"/>
              <w:rPr>
                <w:rFonts w:ascii="Times New Roman" w:hAnsi="Times New Roman" w:cs="Times New Roman"/>
                <w:b/>
                <w:sz w:val="24"/>
                <w:szCs w:val="24"/>
              </w:rPr>
            </w:pPr>
            <w:r>
              <w:rPr>
                <w:rFonts w:ascii="Times New Roman" w:hAnsi="Times New Roman" w:cs="Times New Roman"/>
                <w:b/>
                <w:sz w:val="24"/>
                <w:szCs w:val="24"/>
              </w:rPr>
              <w:t>66.17 ± 1.22</w:t>
            </w:r>
          </w:p>
        </w:tc>
      </w:tr>
    </w:tbl>
    <w:p w:rsidR="006D7846" w:rsidRDefault="006D7846" w:rsidP="00C72704">
      <w:pPr>
        <w:spacing w:before="240"/>
        <w:rPr>
          <w:rFonts w:ascii="Times New Roman" w:hAnsi="Times New Roman" w:cs="Times New Roman"/>
          <w:b/>
          <w:sz w:val="24"/>
          <w:szCs w:val="24"/>
        </w:rPr>
      </w:pPr>
    </w:p>
    <w:p w:rsidR="00967870" w:rsidRDefault="00967870" w:rsidP="00C72704">
      <w:pPr>
        <w:spacing w:before="240"/>
        <w:rPr>
          <w:rFonts w:ascii="Times New Roman" w:hAnsi="Times New Roman" w:cs="Times New Roman"/>
          <w:b/>
          <w:sz w:val="24"/>
          <w:szCs w:val="24"/>
        </w:rPr>
      </w:pPr>
    </w:p>
    <w:p w:rsidR="00DC1557" w:rsidRDefault="001E502E" w:rsidP="00C72704">
      <w:pPr>
        <w:spacing w:before="240"/>
        <w:rPr>
          <w:rFonts w:ascii="Times New Roman" w:hAnsi="Times New Roman" w:cs="Times New Roman"/>
          <w:b/>
          <w:sz w:val="24"/>
          <w:szCs w:val="24"/>
        </w:rPr>
      </w:pPr>
      <w:r>
        <w:rPr>
          <w:rFonts w:ascii="Times New Roman" w:hAnsi="Times New Roman" w:cs="Times New Roman"/>
          <w:b/>
          <w:sz w:val="24"/>
          <w:szCs w:val="24"/>
        </w:rPr>
        <w:lastRenderedPageBreak/>
        <w:t>Table  2</w:t>
      </w:r>
      <w:r w:rsidR="00A94601">
        <w:rPr>
          <w:rFonts w:ascii="Times New Roman" w:hAnsi="Times New Roman" w:cs="Times New Roman"/>
          <w:b/>
          <w:sz w:val="24"/>
          <w:szCs w:val="24"/>
        </w:rPr>
        <w:t xml:space="preserve">  :  Chemical  C</w:t>
      </w:r>
      <w:r w:rsidR="007E1ED3" w:rsidRPr="007E1ED3">
        <w:rPr>
          <w:rFonts w:ascii="Times New Roman" w:hAnsi="Times New Roman" w:cs="Times New Roman"/>
          <w:b/>
          <w:sz w:val="24"/>
          <w:szCs w:val="24"/>
        </w:rPr>
        <w:t>omposition  of  the  Gamba  grass</w:t>
      </w:r>
    </w:p>
    <w:tbl>
      <w:tblPr>
        <w:tblStyle w:val="TableGrid"/>
        <w:tblW w:w="9918" w:type="dxa"/>
        <w:tblLook w:val="04A0"/>
      </w:tblPr>
      <w:tblGrid>
        <w:gridCol w:w="1403"/>
        <w:gridCol w:w="2868"/>
        <w:gridCol w:w="2928"/>
        <w:gridCol w:w="2719"/>
      </w:tblGrid>
      <w:tr w:rsidR="006D7846" w:rsidTr="006D7846">
        <w:tc>
          <w:tcPr>
            <w:tcW w:w="1403" w:type="dxa"/>
          </w:tcPr>
          <w:p w:rsidR="006D7846" w:rsidRDefault="006D7846" w:rsidP="006D7846">
            <w:pPr>
              <w:spacing w:before="240"/>
              <w:rPr>
                <w:rFonts w:ascii="Times New Roman" w:hAnsi="Times New Roman" w:cs="Times New Roman"/>
                <w:b/>
                <w:sz w:val="24"/>
                <w:szCs w:val="24"/>
              </w:rPr>
            </w:pPr>
            <w:r>
              <w:rPr>
                <w:rFonts w:ascii="Times New Roman" w:hAnsi="Times New Roman" w:cs="Times New Roman"/>
                <w:b/>
                <w:sz w:val="24"/>
                <w:szCs w:val="24"/>
              </w:rPr>
              <w:t>CONTENT</w:t>
            </w:r>
          </w:p>
        </w:tc>
        <w:tc>
          <w:tcPr>
            <w:tcW w:w="2868" w:type="dxa"/>
          </w:tcPr>
          <w:p w:rsidR="006D7846" w:rsidRDefault="0082726C" w:rsidP="006D7846">
            <w:pPr>
              <w:spacing w:before="240"/>
              <w:rPr>
                <w:rFonts w:ascii="Times New Roman" w:hAnsi="Times New Roman" w:cs="Times New Roman"/>
                <w:b/>
                <w:sz w:val="24"/>
                <w:szCs w:val="24"/>
              </w:rPr>
            </w:pPr>
            <w:r>
              <w:rPr>
                <w:rFonts w:ascii="Times New Roman" w:hAnsi="Times New Roman" w:cs="Times New Roman"/>
                <w:b/>
                <w:sz w:val="24"/>
                <w:szCs w:val="24"/>
              </w:rPr>
              <w:t>Cellulose</w:t>
            </w:r>
          </w:p>
        </w:tc>
        <w:tc>
          <w:tcPr>
            <w:tcW w:w="2928" w:type="dxa"/>
          </w:tcPr>
          <w:p w:rsidR="006D7846" w:rsidRDefault="0082726C" w:rsidP="006D7846">
            <w:pPr>
              <w:spacing w:before="240"/>
              <w:rPr>
                <w:rFonts w:ascii="Times New Roman" w:hAnsi="Times New Roman" w:cs="Times New Roman"/>
                <w:b/>
                <w:sz w:val="24"/>
                <w:szCs w:val="24"/>
              </w:rPr>
            </w:pPr>
            <w:r>
              <w:rPr>
                <w:rFonts w:ascii="Times New Roman" w:hAnsi="Times New Roman" w:cs="Times New Roman"/>
                <w:b/>
                <w:sz w:val="24"/>
                <w:szCs w:val="24"/>
              </w:rPr>
              <w:t>Hemicellulose</w:t>
            </w:r>
          </w:p>
        </w:tc>
        <w:tc>
          <w:tcPr>
            <w:tcW w:w="2719" w:type="dxa"/>
          </w:tcPr>
          <w:p w:rsidR="006D7846" w:rsidRDefault="0082726C" w:rsidP="006D7846">
            <w:pPr>
              <w:spacing w:before="240"/>
              <w:rPr>
                <w:rFonts w:ascii="Times New Roman" w:hAnsi="Times New Roman" w:cs="Times New Roman"/>
                <w:b/>
                <w:sz w:val="24"/>
                <w:szCs w:val="24"/>
              </w:rPr>
            </w:pPr>
            <w:r>
              <w:rPr>
                <w:rFonts w:ascii="Times New Roman" w:hAnsi="Times New Roman" w:cs="Times New Roman"/>
                <w:b/>
                <w:sz w:val="24"/>
                <w:szCs w:val="24"/>
              </w:rPr>
              <w:t>Lignin</w:t>
            </w:r>
          </w:p>
        </w:tc>
      </w:tr>
      <w:tr w:rsidR="006D7846" w:rsidTr="00EE667B">
        <w:trPr>
          <w:trHeight w:val="80"/>
        </w:trPr>
        <w:tc>
          <w:tcPr>
            <w:tcW w:w="1403" w:type="dxa"/>
            <w:tcBorders>
              <w:bottom w:val="single" w:sz="4" w:space="0" w:color="000000" w:themeColor="text1"/>
            </w:tcBorders>
          </w:tcPr>
          <w:p w:rsidR="006D7846" w:rsidRDefault="006D7846" w:rsidP="006D7846">
            <w:pPr>
              <w:spacing w:before="240"/>
              <w:rPr>
                <w:rFonts w:ascii="Times New Roman" w:hAnsi="Times New Roman" w:cs="Times New Roman"/>
                <w:b/>
                <w:sz w:val="24"/>
                <w:szCs w:val="24"/>
              </w:rPr>
            </w:pPr>
            <w:r>
              <w:rPr>
                <w:rFonts w:ascii="Times New Roman" w:hAnsi="Times New Roman" w:cs="Times New Roman"/>
                <w:b/>
                <w:sz w:val="24"/>
                <w:szCs w:val="24"/>
              </w:rPr>
              <w:t>%</w:t>
            </w:r>
          </w:p>
        </w:tc>
        <w:tc>
          <w:tcPr>
            <w:tcW w:w="2868" w:type="dxa"/>
            <w:tcBorders>
              <w:bottom w:val="single" w:sz="4" w:space="0" w:color="000000" w:themeColor="text1"/>
            </w:tcBorders>
          </w:tcPr>
          <w:p w:rsidR="006D7846" w:rsidRDefault="00EE667B" w:rsidP="006D7846">
            <w:pPr>
              <w:spacing w:before="240"/>
              <w:rPr>
                <w:rFonts w:ascii="Times New Roman" w:hAnsi="Times New Roman" w:cs="Times New Roman"/>
                <w:b/>
                <w:sz w:val="24"/>
                <w:szCs w:val="24"/>
              </w:rPr>
            </w:pPr>
            <w:r>
              <w:rPr>
                <w:rFonts w:ascii="Times New Roman" w:hAnsi="Times New Roman" w:cs="Times New Roman"/>
                <w:b/>
                <w:sz w:val="24"/>
                <w:szCs w:val="24"/>
              </w:rPr>
              <w:t>36.40 ± 0.43</w:t>
            </w:r>
          </w:p>
        </w:tc>
        <w:tc>
          <w:tcPr>
            <w:tcW w:w="2928" w:type="dxa"/>
            <w:tcBorders>
              <w:bottom w:val="single" w:sz="4" w:space="0" w:color="000000" w:themeColor="text1"/>
            </w:tcBorders>
          </w:tcPr>
          <w:p w:rsidR="006D7846" w:rsidRDefault="00EE667B" w:rsidP="006D7846">
            <w:pPr>
              <w:spacing w:before="240"/>
              <w:rPr>
                <w:rFonts w:ascii="Times New Roman" w:hAnsi="Times New Roman" w:cs="Times New Roman"/>
                <w:b/>
                <w:sz w:val="24"/>
                <w:szCs w:val="24"/>
              </w:rPr>
            </w:pPr>
            <w:r>
              <w:rPr>
                <w:rFonts w:ascii="Times New Roman" w:hAnsi="Times New Roman" w:cs="Times New Roman"/>
                <w:b/>
                <w:sz w:val="24"/>
                <w:szCs w:val="24"/>
              </w:rPr>
              <w:t>34.40 ± 0.67</w:t>
            </w:r>
          </w:p>
        </w:tc>
        <w:tc>
          <w:tcPr>
            <w:tcW w:w="2719" w:type="dxa"/>
            <w:tcBorders>
              <w:bottom w:val="single" w:sz="4" w:space="0" w:color="000000" w:themeColor="text1"/>
            </w:tcBorders>
          </w:tcPr>
          <w:p w:rsidR="006D7846" w:rsidRDefault="00EE667B" w:rsidP="006D7846">
            <w:pPr>
              <w:spacing w:before="240"/>
              <w:rPr>
                <w:rFonts w:ascii="Times New Roman" w:hAnsi="Times New Roman" w:cs="Times New Roman"/>
                <w:b/>
                <w:sz w:val="24"/>
                <w:szCs w:val="24"/>
              </w:rPr>
            </w:pPr>
            <w:r>
              <w:rPr>
                <w:rFonts w:ascii="Times New Roman" w:hAnsi="Times New Roman" w:cs="Times New Roman"/>
                <w:b/>
                <w:sz w:val="24"/>
                <w:szCs w:val="24"/>
              </w:rPr>
              <w:t>7.20 ± 0.81</w:t>
            </w:r>
          </w:p>
        </w:tc>
      </w:tr>
    </w:tbl>
    <w:p w:rsidR="006D7846" w:rsidRDefault="006D7846" w:rsidP="006D7846">
      <w:pPr>
        <w:spacing w:before="240"/>
        <w:rPr>
          <w:rFonts w:ascii="Times New Roman" w:hAnsi="Times New Roman" w:cs="Times New Roman"/>
          <w:b/>
          <w:sz w:val="24"/>
          <w:szCs w:val="24"/>
        </w:rPr>
      </w:pPr>
    </w:p>
    <w:p w:rsidR="007E1ED3" w:rsidRDefault="001230B9" w:rsidP="001230B9">
      <w:pPr>
        <w:spacing w:before="240"/>
        <w:jc w:val="center"/>
        <w:rPr>
          <w:rFonts w:ascii="Times New Roman" w:hAnsi="Times New Roman" w:cs="Times New Roman"/>
          <w:b/>
          <w:sz w:val="24"/>
          <w:szCs w:val="24"/>
        </w:rPr>
      </w:pPr>
      <w:r>
        <w:rPr>
          <w:rFonts w:ascii="Times New Roman" w:hAnsi="Times New Roman" w:cs="Times New Roman"/>
          <w:b/>
          <w:sz w:val="24"/>
          <w:szCs w:val="24"/>
        </w:rPr>
        <w:t>111.  RESULTS  AND  DISCUSSION</w:t>
      </w:r>
    </w:p>
    <w:p w:rsidR="001230B9" w:rsidRDefault="00644F45" w:rsidP="001230B9">
      <w:pPr>
        <w:spacing w:before="240"/>
        <w:rPr>
          <w:rFonts w:ascii="Times New Roman" w:hAnsi="Times New Roman" w:cs="Times New Roman"/>
          <w:sz w:val="24"/>
          <w:szCs w:val="24"/>
        </w:rPr>
      </w:pPr>
      <w:r>
        <w:rPr>
          <w:rFonts w:ascii="Times New Roman" w:hAnsi="Times New Roman" w:cs="Times New Roman"/>
          <w:sz w:val="24"/>
          <w:szCs w:val="24"/>
        </w:rPr>
        <w:t xml:space="preserve">The  results  obtained  from  </w:t>
      </w:r>
      <w:r w:rsidR="00633BA3">
        <w:rPr>
          <w:rFonts w:ascii="Times New Roman" w:hAnsi="Times New Roman" w:cs="Times New Roman"/>
          <w:sz w:val="24"/>
          <w:szCs w:val="24"/>
        </w:rPr>
        <w:t xml:space="preserve">the  proximate  analysis  of  gamba  grass  as  shown  in  Table  1.  The  results  show  high  percentage  of  carbohydrate  66.17 %,  and  low  moisture  content  8.95%,  and  ash  content  7.5%.  The  Crude  fiber  content  11.75%  is  in  line  with  the  percentage  range  </w:t>
      </w:r>
      <w:r w:rsidR="00105B03">
        <w:rPr>
          <w:rFonts w:ascii="Times New Roman" w:hAnsi="Times New Roman" w:cs="Times New Roman"/>
          <w:sz w:val="24"/>
          <w:szCs w:val="24"/>
        </w:rPr>
        <w:t>of  grasses  of  crude  fiber  between  11 -  28%.  The  high  level  of  the  carbohydrate  is  also  in  line  with  the  report  of  parameswara  et  al., ( 2010 ).  The  high  content  of  carbohydrates  further  shows  that  gamba  grass  is  a  good  source  of   sugars  which  is  suitable  for  the  production  of  biofuel.</w:t>
      </w:r>
    </w:p>
    <w:p w:rsidR="00105B03" w:rsidRDefault="00105B03" w:rsidP="001230B9">
      <w:pPr>
        <w:spacing w:before="240"/>
        <w:rPr>
          <w:rFonts w:ascii="Times New Roman" w:hAnsi="Times New Roman" w:cs="Times New Roman"/>
          <w:sz w:val="24"/>
          <w:szCs w:val="24"/>
        </w:rPr>
      </w:pPr>
      <w:r>
        <w:rPr>
          <w:rFonts w:ascii="Times New Roman" w:hAnsi="Times New Roman" w:cs="Times New Roman"/>
          <w:sz w:val="24"/>
          <w:szCs w:val="24"/>
        </w:rPr>
        <w:t xml:space="preserve">The  basic  composition  of  the  three  lignocellulosic  biomass  as  shown  in  </w:t>
      </w:r>
      <w:r w:rsidR="00740295">
        <w:rPr>
          <w:rFonts w:ascii="Times New Roman" w:hAnsi="Times New Roman" w:cs="Times New Roman"/>
          <w:sz w:val="24"/>
          <w:szCs w:val="24"/>
        </w:rPr>
        <w:t>Table  2.  Each  experiment  was  repl</w:t>
      </w:r>
      <w:r w:rsidR="009A0767">
        <w:rPr>
          <w:rFonts w:ascii="Times New Roman" w:hAnsi="Times New Roman" w:cs="Times New Roman"/>
          <w:sz w:val="24"/>
          <w:szCs w:val="24"/>
        </w:rPr>
        <w:t>icated.  The  results  indicate</w:t>
      </w:r>
      <w:r w:rsidR="00740295">
        <w:rPr>
          <w:rFonts w:ascii="Times New Roman" w:hAnsi="Times New Roman" w:cs="Times New Roman"/>
          <w:sz w:val="24"/>
          <w:szCs w:val="24"/>
        </w:rPr>
        <w:t xml:space="preserve">  the  average  values  of  the  replicated  experiment.  The</w:t>
      </w:r>
      <w:r w:rsidR="009A0767">
        <w:rPr>
          <w:rFonts w:ascii="Times New Roman" w:hAnsi="Times New Roman" w:cs="Times New Roman"/>
          <w:sz w:val="24"/>
          <w:szCs w:val="24"/>
        </w:rPr>
        <w:t xml:space="preserve">  results  of  the  study  fall</w:t>
      </w:r>
      <w:r w:rsidR="00740295">
        <w:rPr>
          <w:rFonts w:ascii="Times New Roman" w:hAnsi="Times New Roman" w:cs="Times New Roman"/>
          <w:sz w:val="24"/>
          <w:szCs w:val="24"/>
        </w:rPr>
        <w:t xml:space="preserve">  with  the  most  reported  values  for  grasses.  The  cellulose  content  36.40%,  hemicelluloses  34.40%,  and  lignin  7.20%.  The  results  in  table  2  is  in  line  with  the  report  by  Devi  et  al.,  (2021 ).  The  results  in  Table  1  and  2  as  compared  with  most  other  reported  values  in  the  literature.  Gamba  grass  has  a  high  potential  for  bioethanol.</w:t>
      </w:r>
    </w:p>
    <w:p w:rsidR="004A5FC0" w:rsidRDefault="004A5FC0" w:rsidP="00B37F0A">
      <w:pPr>
        <w:spacing w:before="240"/>
        <w:jc w:val="center"/>
        <w:rPr>
          <w:rFonts w:ascii="Times New Roman" w:hAnsi="Times New Roman" w:cs="Times New Roman"/>
          <w:b/>
          <w:sz w:val="24"/>
          <w:szCs w:val="24"/>
        </w:rPr>
      </w:pPr>
      <w:r w:rsidRPr="004A5FC0">
        <w:rPr>
          <w:rFonts w:ascii="Times New Roman" w:hAnsi="Times New Roman" w:cs="Times New Roman"/>
          <w:b/>
          <w:sz w:val="24"/>
          <w:szCs w:val="24"/>
        </w:rPr>
        <w:t>IV.  CONCLUSION</w:t>
      </w:r>
    </w:p>
    <w:p w:rsidR="00B37F0A" w:rsidRDefault="00B37F0A" w:rsidP="00B37F0A">
      <w:pPr>
        <w:spacing w:before="240"/>
        <w:rPr>
          <w:rFonts w:ascii="Times New Roman" w:hAnsi="Times New Roman" w:cs="Times New Roman"/>
          <w:sz w:val="24"/>
          <w:szCs w:val="24"/>
        </w:rPr>
      </w:pPr>
      <w:r>
        <w:rPr>
          <w:rFonts w:ascii="Times New Roman" w:hAnsi="Times New Roman" w:cs="Times New Roman"/>
          <w:sz w:val="24"/>
          <w:szCs w:val="24"/>
        </w:rPr>
        <w:t>The   study  has  highlighted  a  simple  method  for  the  compositional  analysis  of  gamba  grass.  The  result  obtained  compared  to  the  study  reported  by  other  researchers  revealed  that  the  grass  has  a  great  potential  for  bioethanol  production.</w:t>
      </w:r>
    </w:p>
    <w:p w:rsidR="00B37F0A" w:rsidRDefault="00B37F0A" w:rsidP="00B37F0A">
      <w:pPr>
        <w:spacing w:before="240"/>
        <w:rPr>
          <w:rFonts w:ascii="Times New Roman" w:hAnsi="Times New Roman" w:cs="Times New Roman"/>
          <w:b/>
          <w:sz w:val="24"/>
          <w:szCs w:val="24"/>
        </w:rPr>
      </w:pPr>
      <w:r w:rsidRPr="00B37F0A">
        <w:rPr>
          <w:rFonts w:ascii="Times New Roman" w:hAnsi="Times New Roman" w:cs="Times New Roman"/>
          <w:b/>
          <w:sz w:val="24"/>
          <w:szCs w:val="24"/>
        </w:rPr>
        <w:t xml:space="preserve">References </w:t>
      </w:r>
    </w:p>
    <w:p w:rsidR="00B37F0A" w:rsidRDefault="00B87CD2" w:rsidP="00B37F0A">
      <w:pPr>
        <w:spacing w:before="240"/>
        <w:rPr>
          <w:rFonts w:ascii="Times New Roman" w:hAnsi="Times New Roman" w:cs="Times New Roman"/>
          <w:sz w:val="24"/>
          <w:szCs w:val="24"/>
        </w:rPr>
      </w:pPr>
      <w:r>
        <w:rPr>
          <w:rFonts w:ascii="Times New Roman" w:hAnsi="Times New Roman" w:cs="Times New Roman"/>
          <w:sz w:val="24"/>
          <w:szCs w:val="24"/>
        </w:rPr>
        <w:t xml:space="preserve">Beig,  B.,  Raiz,  M.,  Naqvi,  S.,  Hassan,  M.,  Zheng,  Z.,  Karimi,  K.,  Pugazhendhi,  A.,  </w:t>
      </w:r>
    </w:p>
    <w:p w:rsidR="00B87CD2" w:rsidRDefault="00B87CD2" w:rsidP="00B37F0A">
      <w:pPr>
        <w:spacing w:before="240"/>
        <w:rPr>
          <w:rFonts w:ascii="Times New Roman" w:hAnsi="Times New Roman" w:cs="Times New Roman"/>
          <w:sz w:val="24"/>
          <w:szCs w:val="24"/>
        </w:rPr>
      </w:pPr>
      <w:r>
        <w:rPr>
          <w:rFonts w:ascii="Times New Roman" w:hAnsi="Times New Roman" w:cs="Times New Roman"/>
          <w:sz w:val="24"/>
          <w:szCs w:val="24"/>
        </w:rPr>
        <w:t xml:space="preserve">        Atabani,  A.E (2021).  Current  challenges  and  innovative  Development  in  pretreatment  </w:t>
      </w:r>
    </w:p>
    <w:p w:rsidR="00B87CD2" w:rsidRDefault="00B87CD2" w:rsidP="00B37F0A">
      <w:pPr>
        <w:spacing w:before="240"/>
        <w:rPr>
          <w:rFonts w:ascii="Times New Roman" w:hAnsi="Times New Roman" w:cs="Times New Roman"/>
          <w:sz w:val="24"/>
          <w:szCs w:val="24"/>
        </w:rPr>
      </w:pPr>
      <w:r>
        <w:rPr>
          <w:rFonts w:ascii="Times New Roman" w:hAnsi="Times New Roman" w:cs="Times New Roman"/>
          <w:sz w:val="24"/>
          <w:szCs w:val="24"/>
        </w:rPr>
        <w:t xml:space="preserve">         Lignocelluosic  biomass  for  Biofuel  production. A  review:  287,  119670.</w:t>
      </w:r>
    </w:p>
    <w:p w:rsidR="008250BC" w:rsidRPr="00D3040A" w:rsidRDefault="008250BC" w:rsidP="008250BC">
      <w:pPr>
        <w:spacing w:before="240" w:after="5" w:line="263" w:lineRule="auto"/>
        <w:ind w:left="720" w:right="30" w:hanging="720"/>
        <w:jc w:val="both"/>
        <w:rPr>
          <w:rFonts w:ascii="Times New Roman" w:hAnsi="Times New Roman" w:cs="Times New Roman"/>
          <w:sz w:val="24"/>
          <w:szCs w:val="24"/>
        </w:rPr>
      </w:pPr>
      <w:r>
        <w:rPr>
          <w:rFonts w:ascii="Times New Roman" w:hAnsi="Times New Roman" w:cs="Times New Roman"/>
          <w:sz w:val="24"/>
          <w:szCs w:val="24"/>
        </w:rPr>
        <w:t>Daf</w:t>
      </w:r>
      <w:r w:rsidRPr="00D3040A">
        <w:rPr>
          <w:rFonts w:ascii="Times New Roman" w:hAnsi="Times New Roman" w:cs="Times New Roman"/>
          <w:sz w:val="24"/>
          <w:szCs w:val="24"/>
        </w:rPr>
        <w:t>, A.; Singh, A.; Bajar, S.; Pant, D.; Din, Z.U.</w:t>
      </w:r>
      <w:r>
        <w:rPr>
          <w:rFonts w:ascii="Times New Roman" w:hAnsi="Times New Roman" w:cs="Times New Roman"/>
          <w:sz w:val="24"/>
          <w:szCs w:val="24"/>
        </w:rPr>
        <w:t xml:space="preserve"> (2021). </w:t>
      </w:r>
      <w:r w:rsidRPr="00D3040A">
        <w:rPr>
          <w:rFonts w:ascii="Times New Roman" w:hAnsi="Times New Roman" w:cs="Times New Roman"/>
          <w:sz w:val="24"/>
          <w:szCs w:val="24"/>
        </w:rPr>
        <w:t xml:space="preserve"> Ethanol from Lignocellulosic Biomass: </w:t>
      </w:r>
      <w:hyperlink r:id="rId8">
        <w:r w:rsidRPr="00D3040A">
          <w:rPr>
            <w:rFonts w:ascii="Times New Roman" w:hAnsi="Times New Roman" w:cs="Times New Roman"/>
            <w:sz w:val="24"/>
            <w:szCs w:val="24"/>
          </w:rPr>
          <w:t>An in-Dept</w:t>
        </w:r>
      </w:hyperlink>
      <w:r w:rsidRPr="00D3040A">
        <w:rPr>
          <w:rFonts w:ascii="Times New Roman" w:hAnsi="Times New Roman" w:cs="Times New Roman"/>
          <w:sz w:val="24"/>
          <w:szCs w:val="24"/>
        </w:rPr>
        <w:t xml:space="preserve">h Analysis of Pre-Treatment Methods, Fermentation Approaches and Detoxification Processes. </w:t>
      </w:r>
      <w:r w:rsidRPr="00D3040A">
        <w:rPr>
          <w:rFonts w:ascii="Times New Roman" w:eastAsia="Calibri" w:hAnsi="Times New Roman" w:cs="Times New Roman"/>
          <w:i/>
          <w:sz w:val="24"/>
          <w:szCs w:val="24"/>
        </w:rPr>
        <w:t>J. Environ. Chem. Eng. 9</w:t>
      </w:r>
      <w:r>
        <w:rPr>
          <w:rFonts w:ascii="Times New Roman" w:hAnsi="Times New Roman" w:cs="Times New Roman"/>
          <w:sz w:val="24"/>
          <w:szCs w:val="24"/>
        </w:rPr>
        <w:t xml:space="preserve">, 105798. </w:t>
      </w:r>
    </w:p>
    <w:p w:rsidR="008250BC" w:rsidRDefault="008250BC" w:rsidP="008250BC">
      <w:pPr>
        <w:spacing w:before="240" w:after="5" w:line="263" w:lineRule="auto"/>
        <w:ind w:left="720" w:right="30" w:hanging="720"/>
        <w:jc w:val="both"/>
        <w:rPr>
          <w:rFonts w:ascii="Times New Roman" w:hAnsi="Times New Roman" w:cs="Times New Roman"/>
          <w:sz w:val="24"/>
          <w:szCs w:val="24"/>
        </w:rPr>
      </w:pPr>
      <w:r>
        <w:rPr>
          <w:rFonts w:ascii="Times New Roman" w:hAnsi="Times New Roman" w:cs="Times New Roman"/>
          <w:sz w:val="24"/>
          <w:szCs w:val="24"/>
        </w:rPr>
        <w:lastRenderedPageBreak/>
        <w:t>Devi</w:t>
      </w:r>
      <w:r w:rsidRPr="00D3040A">
        <w:rPr>
          <w:rFonts w:ascii="Times New Roman" w:hAnsi="Times New Roman" w:cs="Times New Roman"/>
          <w:sz w:val="24"/>
          <w:szCs w:val="24"/>
        </w:rPr>
        <w:t>, P.; Pal, P.; Kevin, J.D.</w:t>
      </w:r>
      <w:r>
        <w:rPr>
          <w:rFonts w:ascii="Times New Roman" w:hAnsi="Times New Roman" w:cs="Times New Roman"/>
          <w:sz w:val="24"/>
          <w:szCs w:val="24"/>
        </w:rPr>
        <w:t xml:space="preserve">; Das, D.B. (2020). </w:t>
      </w:r>
      <w:r w:rsidRPr="00D3040A">
        <w:rPr>
          <w:rFonts w:ascii="Times New Roman" w:hAnsi="Times New Roman" w:cs="Times New Roman"/>
          <w:sz w:val="24"/>
          <w:szCs w:val="24"/>
        </w:rPr>
        <w:t xml:space="preserve">Lignocellulosic Bioethanol Production: Prospects of Emerging Membrane Technologies to Improve the Process—A Critical Review. </w:t>
      </w:r>
      <w:r w:rsidRPr="00D3040A">
        <w:rPr>
          <w:rFonts w:ascii="Times New Roman" w:eastAsia="Calibri" w:hAnsi="Times New Roman" w:cs="Times New Roman"/>
          <w:i/>
          <w:sz w:val="24"/>
          <w:szCs w:val="24"/>
        </w:rPr>
        <w:t>Rev. Chem. Eng. 36</w:t>
      </w:r>
      <w:r>
        <w:rPr>
          <w:rFonts w:ascii="Times New Roman" w:hAnsi="Times New Roman" w:cs="Times New Roman"/>
          <w:sz w:val="24"/>
          <w:szCs w:val="24"/>
        </w:rPr>
        <w:t xml:space="preserve">, 333–367. </w:t>
      </w:r>
    </w:p>
    <w:p w:rsidR="008264A5" w:rsidRDefault="008264A5" w:rsidP="00F5593E">
      <w:pPr>
        <w:spacing w:before="240" w:after="5" w:line="263" w:lineRule="auto"/>
        <w:ind w:left="720" w:right="30" w:hanging="720"/>
        <w:jc w:val="both"/>
        <w:rPr>
          <w:rFonts w:ascii="Times New Roman" w:hAnsi="Times New Roman" w:cs="Times New Roman"/>
          <w:sz w:val="24"/>
          <w:szCs w:val="24"/>
        </w:rPr>
      </w:pPr>
      <w:r>
        <w:rPr>
          <w:rFonts w:ascii="Times New Roman" w:hAnsi="Times New Roman" w:cs="Times New Roman"/>
          <w:sz w:val="24"/>
          <w:szCs w:val="24"/>
        </w:rPr>
        <w:t>European  Union:  Biofuels  annual.  For  bioethano  production (2018):  A  Circular  Bioeconomy  Approach.  Bioenerg. Res.Fuel, and  future. In  Bioethanol  production  from Food  Crops; Ray, R.C, Ramachandran.</w:t>
      </w:r>
    </w:p>
    <w:p w:rsidR="008250BC" w:rsidRDefault="008250BC" w:rsidP="008250BC">
      <w:pPr>
        <w:spacing w:before="240" w:after="5" w:line="263" w:lineRule="auto"/>
        <w:ind w:left="720" w:right="30" w:hanging="720"/>
        <w:jc w:val="both"/>
        <w:rPr>
          <w:rFonts w:ascii="Times New Roman" w:hAnsi="Times New Roman" w:cs="Times New Roman"/>
          <w:sz w:val="24"/>
          <w:szCs w:val="24"/>
        </w:rPr>
      </w:pPr>
      <w:r>
        <w:rPr>
          <w:rFonts w:ascii="Times New Roman" w:hAnsi="Times New Roman" w:cs="Times New Roman"/>
          <w:sz w:val="24"/>
          <w:szCs w:val="24"/>
        </w:rPr>
        <w:t>Hiraini,  A.H.,  Jared,  N.,  Asif,  M.,  Basu,  S.K.,  Kumar,  A.,  Ogita,  S.,  Yau,  Y.  Y (2018).  Eds,  141- 154.</w:t>
      </w:r>
    </w:p>
    <w:p w:rsidR="009A7307" w:rsidRDefault="009A7307" w:rsidP="00F5593E">
      <w:pPr>
        <w:spacing w:before="240" w:after="5" w:line="263" w:lineRule="auto"/>
        <w:ind w:left="720" w:right="30" w:hanging="720"/>
        <w:jc w:val="both"/>
        <w:rPr>
          <w:rFonts w:ascii="Times New Roman" w:hAnsi="Times New Roman" w:cs="Times New Roman"/>
          <w:sz w:val="24"/>
          <w:szCs w:val="24"/>
        </w:rPr>
      </w:pPr>
      <w:r>
        <w:rPr>
          <w:rFonts w:ascii="Times New Roman" w:hAnsi="Times New Roman" w:cs="Times New Roman"/>
          <w:sz w:val="24"/>
          <w:szCs w:val="24"/>
        </w:rPr>
        <w:t>John,  C  (2016  ).  Department  of  Agriculture  and  Fisheries,  Weed  of  Australia  Bioresouce.  State  of  Queenland.  Gamba  grass:  147.</w:t>
      </w:r>
    </w:p>
    <w:p w:rsidR="004A2C72" w:rsidRPr="00F70172" w:rsidRDefault="004A2C72" w:rsidP="004A2C72">
      <w:pPr>
        <w:spacing w:before="240" w:after="5" w:line="263" w:lineRule="auto"/>
        <w:ind w:left="720" w:right="30" w:hanging="720"/>
        <w:jc w:val="both"/>
        <w:rPr>
          <w:rFonts w:ascii="Times New Roman" w:hAnsi="Times New Roman" w:cs="Times New Roman"/>
          <w:sz w:val="24"/>
          <w:szCs w:val="24"/>
        </w:rPr>
      </w:pPr>
      <w:r w:rsidRPr="00D3040A">
        <w:rPr>
          <w:rFonts w:ascii="Times New Roman" w:hAnsi="Times New Roman" w:cs="Times New Roman"/>
          <w:sz w:val="24"/>
          <w:szCs w:val="24"/>
        </w:rPr>
        <w:t xml:space="preserve">Lin, X.; Jiang, K.; Liu, X.; </w:t>
      </w:r>
      <w:hyperlink r:id="rId9">
        <w:r w:rsidRPr="00D3040A">
          <w:rPr>
            <w:rFonts w:ascii="Times New Roman" w:hAnsi="Times New Roman" w:cs="Times New Roman"/>
            <w:sz w:val="24"/>
            <w:szCs w:val="24"/>
          </w:rPr>
          <w:t>Han, D.; Zh</w:t>
        </w:r>
      </w:hyperlink>
      <w:r w:rsidRPr="00D3040A">
        <w:rPr>
          <w:rFonts w:ascii="Times New Roman" w:hAnsi="Times New Roman" w:cs="Times New Roman"/>
          <w:sz w:val="24"/>
          <w:szCs w:val="24"/>
        </w:rPr>
        <w:t>ang, Q.</w:t>
      </w:r>
      <w:r>
        <w:rPr>
          <w:rFonts w:ascii="Times New Roman" w:hAnsi="Times New Roman" w:cs="Times New Roman"/>
          <w:sz w:val="24"/>
          <w:szCs w:val="24"/>
        </w:rPr>
        <w:t xml:space="preserve"> (2010).</w:t>
      </w:r>
      <w:r w:rsidRPr="00D3040A">
        <w:rPr>
          <w:rFonts w:ascii="Times New Roman" w:hAnsi="Times New Roman" w:cs="Times New Roman"/>
          <w:sz w:val="24"/>
          <w:szCs w:val="24"/>
        </w:rPr>
        <w:t xml:space="preserve"> Review on Development of Ionic Liquids in Lignocellulosic Biomass Refining. </w:t>
      </w:r>
      <w:r w:rsidRPr="00D3040A">
        <w:rPr>
          <w:rFonts w:ascii="Times New Roman" w:eastAsia="Calibri" w:hAnsi="Times New Roman" w:cs="Times New Roman"/>
          <w:i/>
          <w:sz w:val="24"/>
          <w:szCs w:val="24"/>
        </w:rPr>
        <w:t>J. Mol. Liq. 359</w:t>
      </w:r>
      <w:r>
        <w:rPr>
          <w:rFonts w:ascii="Times New Roman" w:hAnsi="Times New Roman" w:cs="Times New Roman"/>
          <w:sz w:val="24"/>
          <w:szCs w:val="24"/>
        </w:rPr>
        <w:t xml:space="preserve">, 119326. </w:t>
      </w:r>
    </w:p>
    <w:p w:rsidR="009B575E" w:rsidRDefault="009B575E" w:rsidP="009B575E">
      <w:pPr>
        <w:spacing w:before="240" w:after="5" w:line="263" w:lineRule="auto"/>
        <w:ind w:left="720" w:right="30" w:hanging="720"/>
        <w:jc w:val="both"/>
        <w:rPr>
          <w:rFonts w:ascii="Times New Roman" w:hAnsi="Times New Roman" w:cs="Times New Roman"/>
          <w:sz w:val="24"/>
          <w:szCs w:val="24"/>
        </w:rPr>
      </w:pPr>
      <w:r>
        <w:rPr>
          <w:rFonts w:ascii="Times New Roman" w:hAnsi="Times New Roman" w:cs="Times New Roman"/>
          <w:sz w:val="24"/>
          <w:szCs w:val="24"/>
        </w:rPr>
        <w:t>Muhammad,  M. L;  and  Saha,  B.(2022) Recent Adraneen in Greener  and energy efficient</w:t>
      </w:r>
    </w:p>
    <w:p w:rsidR="009B575E" w:rsidRDefault="009B575E" w:rsidP="009B575E">
      <w:pPr>
        <w:spacing w:before="240" w:after="5" w:line="263" w:lineRule="auto"/>
        <w:ind w:left="720" w:right="30" w:hanging="720"/>
        <w:jc w:val="both"/>
        <w:rPr>
          <w:rFonts w:ascii="Times New Roman" w:hAnsi="Times New Roman" w:cs="Times New Roman"/>
          <w:sz w:val="24"/>
          <w:szCs w:val="24"/>
        </w:rPr>
      </w:pPr>
      <w:r>
        <w:rPr>
          <w:rFonts w:ascii="Times New Roman" w:hAnsi="Times New Roman" w:cs="Times New Roman"/>
          <w:sz w:val="24"/>
          <w:szCs w:val="24"/>
        </w:rPr>
        <w:t xml:space="preserve">            Alkene Expoxidation processes. Energies, 15(8). </w:t>
      </w:r>
    </w:p>
    <w:p w:rsidR="00C32D3A" w:rsidRDefault="00C32D3A" w:rsidP="00C32D3A">
      <w:pPr>
        <w:spacing w:before="240" w:after="5" w:line="263" w:lineRule="auto"/>
        <w:ind w:left="720" w:right="30" w:hanging="720"/>
        <w:jc w:val="both"/>
        <w:rPr>
          <w:rFonts w:ascii="Times New Roman" w:hAnsi="Times New Roman" w:cs="Times New Roman"/>
          <w:sz w:val="24"/>
          <w:szCs w:val="24"/>
        </w:rPr>
      </w:pPr>
      <w:r>
        <w:rPr>
          <w:rFonts w:ascii="Times New Roman" w:hAnsi="Times New Roman" w:cs="Times New Roman"/>
          <w:sz w:val="24"/>
          <w:szCs w:val="24"/>
        </w:rPr>
        <w:t xml:space="preserve">Tambuwal,  A.D.,  Muhammad,  I.B.,  Alhaji,  S.,  Muhammad,  S.,  Ogbiko,  C  (2018).  Production  and  characterization  of  bioethanol  from  solamum  Lycopersicum  stalk  Hydrolysates  by  the  Simultaneous  Sacchrification  and  Fermentation  using  Zymomonas  Mobilis  and  Saccharomyces  Cerevisae. </w:t>
      </w:r>
      <w:r w:rsidRPr="006B15E5">
        <w:rPr>
          <w:rFonts w:ascii="Times New Roman" w:hAnsi="Times New Roman" w:cs="Times New Roman"/>
          <w:i/>
          <w:sz w:val="24"/>
          <w:szCs w:val="24"/>
        </w:rPr>
        <w:t>Biological  and  Pharmaceutical  Sciences,</w:t>
      </w:r>
      <w:r>
        <w:rPr>
          <w:rFonts w:ascii="Times New Roman" w:hAnsi="Times New Roman" w:cs="Times New Roman"/>
          <w:sz w:val="24"/>
          <w:szCs w:val="24"/>
        </w:rPr>
        <w:t xml:space="preserve">  5 (3),  71-72</w:t>
      </w:r>
    </w:p>
    <w:p w:rsidR="00D15384" w:rsidRDefault="00D15384" w:rsidP="00E7063E">
      <w:pPr>
        <w:spacing w:before="240" w:after="5" w:line="263" w:lineRule="auto"/>
        <w:ind w:left="720" w:right="30" w:hanging="720"/>
        <w:jc w:val="both"/>
        <w:rPr>
          <w:rFonts w:ascii="Times New Roman" w:hAnsi="Times New Roman" w:cs="Times New Roman"/>
          <w:sz w:val="24"/>
          <w:szCs w:val="24"/>
        </w:rPr>
      </w:pPr>
      <w:r>
        <w:rPr>
          <w:rFonts w:ascii="Times New Roman" w:hAnsi="Times New Roman" w:cs="Times New Roman"/>
          <w:sz w:val="24"/>
          <w:szCs w:val="24"/>
        </w:rPr>
        <w:t>World  Bio energy  Association (2021).  Global  Bio energy  Statistics,  United  State,   39 – 40.</w:t>
      </w:r>
    </w:p>
    <w:p w:rsidR="005C2EB5" w:rsidRDefault="005C2EB5" w:rsidP="00E7063E">
      <w:pPr>
        <w:spacing w:before="240" w:after="5" w:line="263" w:lineRule="auto"/>
        <w:ind w:left="720" w:right="30" w:hanging="720"/>
        <w:jc w:val="both"/>
        <w:rPr>
          <w:rFonts w:ascii="Times New Roman" w:hAnsi="Times New Roman" w:cs="Times New Roman"/>
          <w:sz w:val="24"/>
          <w:szCs w:val="24"/>
        </w:rPr>
      </w:pPr>
      <w:r>
        <w:rPr>
          <w:rFonts w:ascii="Times New Roman" w:hAnsi="Times New Roman" w:cs="Times New Roman"/>
          <w:sz w:val="24"/>
          <w:szCs w:val="24"/>
        </w:rPr>
        <w:t>World  State  Environmental  Protection  Agency (2022 ).  Economics  of  Biofuel.</w:t>
      </w:r>
    </w:p>
    <w:p w:rsidR="00C32D3A" w:rsidRDefault="00C32D3A" w:rsidP="009B575E">
      <w:pPr>
        <w:spacing w:before="240" w:after="5" w:line="263" w:lineRule="auto"/>
        <w:ind w:left="720" w:right="30" w:hanging="720"/>
        <w:jc w:val="both"/>
        <w:rPr>
          <w:rFonts w:ascii="Times New Roman" w:hAnsi="Times New Roman" w:cs="Times New Roman"/>
          <w:sz w:val="24"/>
          <w:szCs w:val="24"/>
        </w:rPr>
      </w:pPr>
    </w:p>
    <w:p w:rsidR="008250BC" w:rsidRDefault="008250BC" w:rsidP="008250BC">
      <w:pPr>
        <w:spacing w:before="240" w:after="5" w:line="263" w:lineRule="auto"/>
        <w:ind w:left="720" w:right="30" w:hanging="720"/>
        <w:jc w:val="both"/>
        <w:rPr>
          <w:rFonts w:ascii="Times New Roman" w:hAnsi="Times New Roman" w:cs="Times New Roman"/>
          <w:sz w:val="24"/>
          <w:szCs w:val="24"/>
        </w:rPr>
      </w:pPr>
    </w:p>
    <w:p w:rsidR="00B87CD2" w:rsidRDefault="00B87CD2" w:rsidP="00B37F0A">
      <w:pPr>
        <w:spacing w:before="240"/>
        <w:rPr>
          <w:rFonts w:ascii="Times New Roman" w:hAnsi="Times New Roman" w:cs="Times New Roman"/>
          <w:sz w:val="24"/>
          <w:szCs w:val="24"/>
        </w:rPr>
      </w:pPr>
    </w:p>
    <w:p w:rsidR="00567648" w:rsidRDefault="00567648" w:rsidP="00B37F0A">
      <w:pPr>
        <w:spacing w:before="240"/>
        <w:rPr>
          <w:rFonts w:ascii="Times New Roman" w:hAnsi="Times New Roman" w:cs="Times New Roman"/>
          <w:sz w:val="24"/>
          <w:szCs w:val="24"/>
        </w:rPr>
      </w:pPr>
    </w:p>
    <w:p w:rsidR="00567648" w:rsidRDefault="00567648" w:rsidP="00B37F0A">
      <w:pPr>
        <w:spacing w:before="240"/>
        <w:rPr>
          <w:rFonts w:ascii="Times New Roman" w:hAnsi="Times New Roman" w:cs="Times New Roman"/>
          <w:sz w:val="24"/>
          <w:szCs w:val="24"/>
        </w:rPr>
      </w:pPr>
    </w:p>
    <w:p w:rsidR="00567648" w:rsidRDefault="00567648" w:rsidP="00B37F0A">
      <w:pPr>
        <w:spacing w:before="240"/>
        <w:rPr>
          <w:rFonts w:ascii="Times New Roman" w:hAnsi="Times New Roman" w:cs="Times New Roman"/>
          <w:sz w:val="24"/>
          <w:szCs w:val="24"/>
        </w:rPr>
      </w:pPr>
    </w:p>
    <w:p w:rsidR="00567648" w:rsidRDefault="00567648" w:rsidP="00B37F0A">
      <w:pPr>
        <w:spacing w:before="240"/>
        <w:rPr>
          <w:rFonts w:ascii="Times New Roman" w:hAnsi="Times New Roman" w:cs="Times New Roman"/>
          <w:sz w:val="24"/>
          <w:szCs w:val="24"/>
        </w:rPr>
      </w:pPr>
    </w:p>
    <w:p w:rsidR="00567648" w:rsidRDefault="00567648" w:rsidP="00B37F0A">
      <w:pPr>
        <w:spacing w:before="240"/>
        <w:rPr>
          <w:rFonts w:ascii="Times New Roman" w:hAnsi="Times New Roman" w:cs="Times New Roman"/>
          <w:sz w:val="24"/>
          <w:szCs w:val="24"/>
        </w:rPr>
      </w:pPr>
    </w:p>
    <w:p w:rsidR="00567648" w:rsidRPr="00B37F0A" w:rsidRDefault="00567648" w:rsidP="00B37F0A">
      <w:pPr>
        <w:spacing w:before="240"/>
        <w:rPr>
          <w:rFonts w:ascii="Times New Roman" w:hAnsi="Times New Roman" w:cs="Times New Roman"/>
          <w:sz w:val="24"/>
          <w:szCs w:val="24"/>
        </w:rPr>
      </w:pPr>
    </w:p>
    <w:sectPr w:rsidR="00567648" w:rsidRPr="00B37F0A" w:rsidSect="00677608">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DF3" w:rsidRDefault="00257DF3" w:rsidP="00720F8E">
      <w:pPr>
        <w:spacing w:after="0" w:line="240" w:lineRule="auto"/>
      </w:pPr>
      <w:r>
        <w:separator/>
      </w:r>
    </w:p>
  </w:endnote>
  <w:endnote w:type="continuationSeparator" w:id="1">
    <w:p w:rsidR="00257DF3" w:rsidRDefault="00257DF3" w:rsidP="00720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0235"/>
      <w:docPartObj>
        <w:docPartGallery w:val="Page Numbers (Bottom of Page)"/>
        <w:docPartUnique/>
      </w:docPartObj>
    </w:sdtPr>
    <w:sdtContent>
      <w:p w:rsidR="00720F8E" w:rsidRDefault="00D169D5">
        <w:pPr>
          <w:pStyle w:val="Footer"/>
          <w:jc w:val="center"/>
        </w:pPr>
        <w:fldSimple w:instr=" PAGE   \* MERGEFORMAT ">
          <w:r w:rsidR="00967870">
            <w:rPr>
              <w:noProof/>
            </w:rPr>
            <w:t>7</w:t>
          </w:r>
        </w:fldSimple>
      </w:p>
    </w:sdtContent>
  </w:sdt>
  <w:p w:rsidR="00720F8E" w:rsidRDefault="00720F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DF3" w:rsidRDefault="00257DF3" w:rsidP="00720F8E">
      <w:pPr>
        <w:spacing w:after="0" w:line="240" w:lineRule="auto"/>
      </w:pPr>
      <w:r>
        <w:separator/>
      </w:r>
    </w:p>
  </w:footnote>
  <w:footnote w:type="continuationSeparator" w:id="1">
    <w:p w:rsidR="00257DF3" w:rsidRDefault="00257DF3" w:rsidP="00720F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D3860"/>
    <w:multiLevelType w:val="hybridMultilevel"/>
    <w:tmpl w:val="FD508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2A6DB0"/>
    <w:multiLevelType w:val="multilevel"/>
    <w:tmpl w:val="70AAB63C"/>
    <w:lvl w:ilvl="0">
      <w:start w:val="1"/>
      <w:numFmt w:val="decimal"/>
      <w:lvlText w:val="%1.0"/>
      <w:lvlJc w:val="left"/>
      <w:pPr>
        <w:ind w:left="780" w:hanging="360"/>
      </w:pPr>
      <w:rPr>
        <w:rFonts w:hint="default"/>
      </w:rPr>
    </w:lvl>
    <w:lvl w:ilvl="1">
      <w:start w:val="1"/>
      <w:numFmt w:val="decimal"/>
      <w:lvlText w:val="%1.%2"/>
      <w:lvlJc w:val="left"/>
      <w:pPr>
        <w:ind w:left="1500" w:hanging="360"/>
      </w:pPr>
      <w:rPr>
        <w:rFonts w:hint="default"/>
      </w:rPr>
    </w:lvl>
    <w:lvl w:ilvl="2">
      <w:start w:val="1"/>
      <w:numFmt w:val="decimal"/>
      <w:lvlText w:val="%1.%2.%3"/>
      <w:lvlJc w:val="left"/>
      <w:pPr>
        <w:ind w:left="2580" w:hanging="720"/>
      </w:pPr>
      <w:rPr>
        <w:rFonts w:hint="default"/>
      </w:rPr>
    </w:lvl>
    <w:lvl w:ilvl="3">
      <w:start w:val="1"/>
      <w:numFmt w:val="decimal"/>
      <w:lvlText w:val="%1.%2.%3.%4"/>
      <w:lvlJc w:val="left"/>
      <w:pPr>
        <w:ind w:left="3300" w:hanging="720"/>
      </w:pPr>
      <w:rPr>
        <w:rFonts w:hint="default"/>
      </w:rPr>
    </w:lvl>
    <w:lvl w:ilvl="4">
      <w:start w:val="1"/>
      <w:numFmt w:val="decimal"/>
      <w:lvlText w:val="%1.%2.%3.%4.%5"/>
      <w:lvlJc w:val="left"/>
      <w:pPr>
        <w:ind w:left="4380" w:hanging="1080"/>
      </w:pPr>
      <w:rPr>
        <w:rFonts w:hint="default"/>
      </w:rPr>
    </w:lvl>
    <w:lvl w:ilvl="5">
      <w:start w:val="1"/>
      <w:numFmt w:val="decimal"/>
      <w:lvlText w:val="%1.%2.%3.%4.%5.%6"/>
      <w:lvlJc w:val="left"/>
      <w:pPr>
        <w:ind w:left="5100" w:hanging="1080"/>
      </w:pPr>
      <w:rPr>
        <w:rFonts w:hint="default"/>
      </w:rPr>
    </w:lvl>
    <w:lvl w:ilvl="6">
      <w:start w:val="1"/>
      <w:numFmt w:val="decimal"/>
      <w:lvlText w:val="%1.%2.%3.%4.%5.%6.%7"/>
      <w:lvlJc w:val="left"/>
      <w:pPr>
        <w:ind w:left="618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7980" w:hanging="1800"/>
      </w:pPr>
      <w:rPr>
        <w:rFonts w:hint="default"/>
      </w:rPr>
    </w:lvl>
  </w:abstractNum>
  <w:abstractNum w:abstractNumId="2">
    <w:nsid w:val="1A223985"/>
    <w:multiLevelType w:val="hybridMultilevel"/>
    <w:tmpl w:val="CED20B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F62F15"/>
    <w:multiLevelType w:val="multilevel"/>
    <w:tmpl w:val="F5D8120A"/>
    <w:lvl w:ilvl="0">
      <w:start w:val="1"/>
      <w:numFmt w:val="decimal"/>
      <w:lvlText w:val="%1.0"/>
      <w:lvlJc w:val="left"/>
      <w:pPr>
        <w:ind w:left="3525" w:hanging="360"/>
      </w:pPr>
      <w:rPr>
        <w:rFonts w:hint="default"/>
      </w:rPr>
    </w:lvl>
    <w:lvl w:ilvl="1">
      <w:start w:val="1"/>
      <w:numFmt w:val="decimal"/>
      <w:lvlText w:val="%1.%2"/>
      <w:lvlJc w:val="left"/>
      <w:pPr>
        <w:ind w:left="4245" w:hanging="360"/>
      </w:pPr>
      <w:rPr>
        <w:rFonts w:hint="default"/>
      </w:rPr>
    </w:lvl>
    <w:lvl w:ilvl="2">
      <w:start w:val="1"/>
      <w:numFmt w:val="decimal"/>
      <w:lvlText w:val="%1.%2.%3"/>
      <w:lvlJc w:val="left"/>
      <w:pPr>
        <w:ind w:left="5325" w:hanging="720"/>
      </w:pPr>
      <w:rPr>
        <w:rFonts w:hint="default"/>
      </w:rPr>
    </w:lvl>
    <w:lvl w:ilvl="3">
      <w:start w:val="1"/>
      <w:numFmt w:val="decimal"/>
      <w:lvlText w:val="%1.%2.%3.%4"/>
      <w:lvlJc w:val="left"/>
      <w:pPr>
        <w:ind w:left="6045" w:hanging="720"/>
      </w:pPr>
      <w:rPr>
        <w:rFonts w:hint="default"/>
      </w:rPr>
    </w:lvl>
    <w:lvl w:ilvl="4">
      <w:start w:val="1"/>
      <w:numFmt w:val="decimal"/>
      <w:lvlText w:val="%1.%2.%3.%4.%5"/>
      <w:lvlJc w:val="left"/>
      <w:pPr>
        <w:ind w:left="7125" w:hanging="1080"/>
      </w:pPr>
      <w:rPr>
        <w:rFonts w:hint="default"/>
      </w:rPr>
    </w:lvl>
    <w:lvl w:ilvl="5">
      <w:start w:val="1"/>
      <w:numFmt w:val="decimal"/>
      <w:lvlText w:val="%1.%2.%3.%4.%5.%6"/>
      <w:lvlJc w:val="left"/>
      <w:pPr>
        <w:ind w:left="7845" w:hanging="1080"/>
      </w:pPr>
      <w:rPr>
        <w:rFonts w:hint="default"/>
      </w:rPr>
    </w:lvl>
    <w:lvl w:ilvl="6">
      <w:start w:val="1"/>
      <w:numFmt w:val="decimal"/>
      <w:lvlText w:val="%1.%2.%3.%4.%5.%6.%7"/>
      <w:lvlJc w:val="left"/>
      <w:pPr>
        <w:ind w:left="8925" w:hanging="1440"/>
      </w:pPr>
      <w:rPr>
        <w:rFonts w:hint="default"/>
      </w:rPr>
    </w:lvl>
    <w:lvl w:ilvl="7">
      <w:start w:val="1"/>
      <w:numFmt w:val="decimal"/>
      <w:lvlText w:val="%1.%2.%3.%4.%5.%6.%7.%8"/>
      <w:lvlJc w:val="left"/>
      <w:pPr>
        <w:ind w:left="9645" w:hanging="1440"/>
      </w:pPr>
      <w:rPr>
        <w:rFonts w:hint="default"/>
      </w:rPr>
    </w:lvl>
    <w:lvl w:ilvl="8">
      <w:start w:val="1"/>
      <w:numFmt w:val="decimal"/>
      <w:lvlText w:val="%1.%2.%3.%4.%5.%6.%7.%8.%9"/>
      <w:lvlJc w:val="left"/>
      <w:pPr>
        <w:ind w:left="10725" w:hanging="1800"/>
      </w:pPr>
      <w:rPr>
        <w:rFonts w:hint="default"/>
      </w:rPr>
    </w:lvl>
  </w:abstractNum>
  <w:abstractNum w:abstractNumId="4">
    <w:nsid w:val="3E8C4B2F"/>
    <w:multiLevelType w:val="hybridMultilevel"/>
    <w:tmpl w:val="199E0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4F5EC2"/>
    <w:multiLevelType w:val="multilevel"/>
    <w:tmpl w:val="F79A8112"/>
    <w:lvl w:ilvl="0">
      <w:start w:val="1"/>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F04243"/>
    <w:rsid w:val="0000610C"/>
    <w:rsid w:val="00017BFD"/>
    <w:rsid w:val="00052BB1"/>
    <w:rsid w:val="00072AB4"/>
    <w:rsid w:val="000B3F3C"/>
    <w:rsid w:val="000B76E6"/>
    <w:rsid w:val="00104881"/>
    <w:rsid w:val="00105B03"/>
    <w:rsid w:val="001230B9"/>
    <w:rsid w:val="001503FB"/>
    <w:rsid w:val="00156F55"/>
    <w:rsid w:val="0016130B"/>
    <w:rsid w:val="001D118D"/>
    <w:rsid w:val="001E502E"/>
    <w:rsid w:val="00203519"/>
    <w:rsid w:val="00230CC3"/>
    <w:rsid w:val="00234714"/>
    <w:rsid w:val="00251F22"/>
    <w:rsid w:val="00257DF3"/>
    <w:rsid w:val="00260C00"/>
    <w:rsid w:val="00261A05"/>
    <w:rsid w:val="002E2439"/>
    <w:rsid w:val="00362425"/>
    <w:rsid w:val="003E6929"/>
    <w:rsid w:val="00411083"/>
    <w:rsid w:val="00415DB4"/>
    <w:rsid w:val="00422B68"/>
    <w:rsid w:val="00461BA4"/>
    <w:rsid w:val="00490A58"/>
    <w:rsid w:val="004A2C72"/>
    <w:rsid w:val="004A5FC0"/>
    <w:rsid w:val="0051041B"/>
    <w:rsid w:val="00517469"/>
    <w:rsid w:val="00567648"/>
    <w:rsid w:val="005C0D95"/>
    <w:rsid w:val="005C2EB5"/>
    <w:rsid w:val="005C5ECA"/>
    <w:rsid w:val="00633BA3"/>
    <w:rsid w:val="00644F45"/>
    <w:rsid w:val="00667C51"/>
    <w:rsid w:val="00677608"/>
    <w:rsid w:val="00695B65"/>
    <w:rsid w:val="006964ED"/>
    <w:rsid w:val="006B7107"/>
    <w:rsid w:val="006C62B9"/>
    <w:rsid w:val="006D526C"/>
    <w:rsid w:val="006D7846"/>
    <w:rsid w:val="00702C25"/>
    <w:rsid w:val="00720F8E"/>
    <w:rsid w:val="00740295"/>
    <w:rsid w:val="00754B78"/>
    <w:rsid w:val="007A4128"/>
    <w:rsid w:val="007B36C3"/>
    <w:rsid w:val="007D3E7A"/>
    <w:rsid w:val="007E1ED3"/>
    <w:rsid w:val="007E29B8"/>
    <w:rsid w:val="007F4704"/>
    <w:rsid w:val="008250BC"/>
    <w:rsid w:val="008264A5"/>
    <w:rsid w:val="0082726C"/>
    <w:rsid w:val="00834AFE"/>
    <w:rsid w:val="00840DE1"/>
    <w:rsid w:val="009309D7"/>
    <w:rsid w:val="00950905"/>
    <w:rsid w:val="00957007"/>
    <w:rsid w:val="00967870"/>
    <w:rsid w:val="009A0767"/>
    <w:rsid w:val="009A7197"/>
    <w:rsid w:val="009A7307"/>
    <w:rsid w:val="009B575E"/>
    <w:rsid w:val="009C1F0C"/>
    <w:rsid w:val="009D5E2D"/>
    <w:rsid w:val="009D6E62"/>
    <w:rsid w:val="00A00017"/>
    <w:rsid w:val="00A006BD"/>
    <w:rsid w:val="00A07B44"/>
    <w:rsid w:val="00A53B9A"/>
    <w:rsid w:val="00A94601"/>
    <w:rsid w:val="00AB56CE"/>
    <w:rsid w:val="00B26811"/>
    <w:rsid w:val="00B37F0A"/>
    <w:rsid w:val="00B87CD2"/>
    <w:rsid w:val="00BF0C9D"/>
    <w:rsid w:val="00C00D75"/>
    <w:rsid w:val="00C15FA7"/>
    <w:rsid w:val="00C16887"/>
    <w:rsid w:val="00C32D3A"/>
    <w:rsid w:val="00C63F8A"/>
    <w:rsid w:val="00C72704"/>
    <w:rsid w:val="00CF589D"/>
    <w:rsid w:val="00D04832"/>
    <w:rsid w:val="00D15384"/>
    <w:rsid w:val="00D169D5"/>
    <w:rsid w:val="00D21720"/>
    <w:rsid w:val="00D2539D"/>
    <w:rsid w:val="00D34FA6"/>
    <w:rsid w:val="00D37BFD"/>
    <w:rsid w:val="00DA1918"/>
    <w:rsid w:val="00DC0F4D"/>
    <w:rsid w:val="00DC1557"/>
    <w:rsid w:val="00DE1C0C"/>
    <w:rsid w:val="00DE762B"/>
    <w:rsid w:val="00E244E9"/>
    <w:rsid w:val="00E25BF1"/>
    <w:rsid w:val="00E466DD"/>
    <w:rsid w:val="00E7063E"/>
    <w:rsid w:val="00E901E4"/>
    <w:rsid w:val="00E918B2"/>
    <w:rsid w:val="00E955F8"/>
    <w:rsid w:val="00EE3281"/>
    <w:rsid w:val="00EE667B"/>
    <w:rsid w:val="00F04243"/>
    <w:rsid w:val="00F06AF4"/>
    <w:rsid w:val="00F238FF"/>
    <w:rsid w:val="00F24179"/>
    <w:rsid w:val="00F369F8"/>
    <w:rsid w:val="00F46C26"/>
    <w:rsid w:val="00F5593E"/>
    <w:rsid w:val="00F64F33"/>
    <w:rsid w:val="00F769DD"/>
    <w:rsid w:val="00FC4E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760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174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40DE1"/>
    <w:pPr>
      <w:ind w:left="720"/>
      <w:contextualSpacing/>
    </w:pPr>
  </w:style>
  <w:style w:type="paragraph" w:styleId="BalloonText">
    <w:name w:val="Balloon Text"/>
    <w:basedOn w:val="Normal"/>
    <w:link w:val="BalloonTextChar"/>
    <w:uiPriority w:val="99"/>
    <w:semiHidden/>
    <w:unhideWhenUsed/>
    <w:rsid w:val="00D253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539D"/>
    <w:rPr>
      <w:rFonts w:ascii="Tahoma" w:hAnsi="Tahoma" w:cs="Tahoma"/>
      <w:sz w:val="16"/>
      <w:szCs w:val="16"/>
    </w:rPr>
  </w:style>
  <w:style w:type="character" w:styleId="Hyperlink">
    <w:name w:val="Hyperlink"/>
    <w:basedOn w:val="DefaultParagraphFont"/>
    <w:uiPriority w:val="99"/>
    <w:unhideWhenUsed/>
    <w:rsid w:val="00702C25"/>
    <w:rPr>
      <w:color w:val="0563C1" w:themeColor="hyperlink"/>
      <w:u w:val="single"/>
    </w:rPr>
  </w:style>
  <w:style w:type="paragraph" w:styleId="Header">
    <w:name w:val="header"/>
    <w:basedOn w:val="Normal"/>
    <w:link w:val="HeaderChar"/>
    <w:uiPriority w:val="99"/>
    <w:semiHidden/>
    <w:unhideWhenUsed/>
    <w:rsid w:val="00720F8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20F8E"/>
  </w:style>
  <w:style w:type="paragraph" w:styleId="Footer">
    <w:name w:val="footer"/>
    <w:basedOn w:val="Normal"/>
    <w:link w:val="FooterChar"/>
    <w:uiPriority w:val="99"/>
    <w:unhideWhenUsed/>
    <w:rsid w:val="00720F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F8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016/j.indcrop.2019.111663" TargetMode="External"/><Relationship Id="rId3" Type="http://schemas.openxmlformats.org/officeDocument/2006/relationships/settings" Target="settings.xml"/><Relationship Id="rId7" Type="http://schemas.openxmlformats.org/officeDocument/2006/relationships/hyperlink" Target="mailto:solidfoundationdkg@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oi.org/10.1016/j.molliq.2022.1193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7</Pages>
  <Words>1795</Words>
  <Characters>10238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88</cp:revision>
  <dcterms:created xsi:type="dcterms:W3CDTF">2023-04-24T03:39:00Z</dcterms:created>
  <dcterms:modified xsi:type="dcterms:W3CDTF">2024-09-09T16:25:00Z</dcterms:modified>
</cp:coreProperties>
</file>