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94F" w:rsidRPr="00380501" w:rsidRDefault="0057094F" w:rsidP="003C73D9">
      <w:pPr>
        <w:spacing w:line="360" w:lineRule="auto"/>
        <w:jc w:val="both"/>
        <w:rPr>
          <w:rFonts w:ascii="Palatino Linotype" w:hAnsi="Palatino Linotype"/>
          <w:b/>
          <w:sz w:val="32"/>
          <w:szCs w:val="32"/>
          <w:lang w:eastAsia="en-GB" w:bidi="en-US"/>
        </w:rPr>
      </w:pPr>
      <w:r w:rsidRPr="00380501">
        <w:rPr>
          <w:rFonts w:ascii="Palatino Linotype" w:hAnsi="Palatino Linotype"/>
          <w:b/>
          <w:sz w:val="32"/>
          <w:szCs w:val="32"/>
        </w:rPr>
        <w:t xml:space="preserve">Validation of Automatic Flood Detection Algorithm in Google Earth Engine </w:t>
      </w:r>
      <w:r w:rsidR="0073510D">
        <w:rPr>
          <w:rFonts w:ascii="Palatino Linotype" w:hAnsi="Palatino Linotype"/>
          <w:b/>
          <w:sz w:val="32"/>
          <w:szCs w:val="32"/>
        </w:rPr>
        <w:t xml:space="preserve">Cloud </w:t>
      </w:r>
      <w:r w:rsidRPr="00380501">
        <w:rPr>
          <w:rFonts w:ascii="Palatino Linotype" w:hAnsi="Palatino Linotype"/>
          <w:b/>
          <w:sz w:val="32"/>
          <w:szCs w:val="32"/>
        </w:rPr>
        <w:t>Platform Using Synthetic Aperture Radar Data and Random Forest Method</w:t>
      </w:r>
    </w:p>
    <w:p w:rsidR="00D80633" w:rsidRPr="003C73D9" w:rsidRDefault="00D80633"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D80633"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 xml:space="preserve">Sa’ad Ibrahim </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 xml:space="preserve">Department of Geography, </w:t>
      </w:r>
      <w:r w:rsidR="0057094F" w:rsidRPr="003C73D9">
        <w:rPr>
          <w:rFonts w:ascii="Palatino Linotype" w:eastAsia="Times New Roman" w:hAnsi="Palatino Linotype" w:cs="Times New Roman"/>
          <w:snapToGrid w:val="0"/>
          <w:sz w:val="24"/>
          <w:szCs w:val="24"/>
          <w:lang w:eastAsia="en-GB" w:bidi="en-US"/>
        </w:rPr>
        <w:t xml:space="preserve">School of Art and Social Sciences, </w:t>
      </w:r>
      <w:r w:rsidRPr="003C73D9">
        <w:rPr>
          <w:rFonts w:ascii="Palatino Linotype" w:eastAsia="Times New Roman" w:hAnsi="Palatino Linotype" w:cs="Times New Roman"/>
          <w:snapToGrid w:val="0"/>
          <w:sz w:val="24"/>
          <w:szCs w:val="24"/>
          <w:lang w:eastAsia="en-GB" w:bidi="en-US"/>
        </w:rPr>
        <w:t>Adamu Augie College of Education, Argu</w:t>
      </w:r>
      <w:bookmarkStart w:id="0" w:name="_GoBack"/>
      <w:bookmarkEnd w:id="0"/>
      <w:r w:rsidRPr="003C73D9">
        <w:rPr>
          <w:rFonts w:ascii="Palatino Linotype" w:eastAsia="Times New Roman" w:hAnsi="Palatino Linotype" w:cs="Times New Roman"/>
          <w:snapToGrid w:val="0"/>
          <w:sz w:val="24"/>
          <w:szCs w:val="24"/>
          <w:lang w:eastAsia="en-GB" w:bidi="en-US"/>
        </w:rPr>
        <w:t>ngu PMB 1012, Kebbi State, Nigeria; saadarg1@yahoo.com</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w:t>
      </w:r>
      <w:r w:rsidRPr="003C73D9">
        <w:rPr>
          <w:rFonts w:ascii="Palatino Linotype" w:eastAsia="Times New Roman" w:hAnsi="Palatino Linotype" w:cs="Times New Roman"/>
          <w:snapToGrid w:val="0"/>
          <w:sz w:val="24"/>
          <w:szCs w:val="24"/>
          <w:lang w:eastAsia="en-GB" w:bidi="en-US"/>
        </w:rPr>
        <w:tab/>
        <w:t xml:space="preserve">Correspondence: </w:t>
      </w:r>
      <w:hyperlink r:id="rId4" w:history="1">
        <w:r w:rsidRPr="003C73D9">
          <w:rPr>
            <w:rStyle w:val="Hyperlink"/>
            <w:rFonts w:ascii="Palatino Linotype" w:eastAsia="Times New Roman" w:hAnsi="Palatino Linotype" w:cs="Times New Roman"/>
            <w:snapToGrid w:val="0"/>
            <w:sz w:val="24"/>
            <w:szCs w:val="24"/>
            <w:lang w:eastAsia="en-GB" w:bidi="en-US"/>
          </w:rPr>
          <w:t>saadarg1@yahoo.com</w:t>
        </w:r>
      </w:hyperlink>
    </w:p>
    <w:p w:rsidR="00A02755" w:rsidRPr="003C73D9" w:rsidRDefault="00D80633" w:rsidP="003C73D9">
      <w:pPr>
        <w:pStyle w:val="Heading1"/>
        <w:spacing w:line="360" w:lineRule="auto"/>
        <w:jc w:val="both"/>
        <w:rPr>
          <w:rFonts w:ascii="Palatino Linotype" w:eastAsia="Times New Roman" w:hAnsi="Palatino Linotype"/>
          <w:snapToGrid w:val="0"/>
          <w:sz w:val="24"/>
          <w:szCs w:val="24"/>
          <w:lang w:eastAsia="en-GB" w:bidi="en-US"/>
        </w:rPr>
      </w:pPr>
      <w:r w:rsidRPr="003C73D9">
        <w:rPr>
          <w:rFonts w:ascii="Palatino Linotype" w:eastAsia="Times New Roman" w:hAnsi="Palatino Linotype"/>
          <w:snapToGrid w:val="0"/>
          <w:sz w:val="24"/>
          <w:szCs w:val="24"/>
          <w:lang w:eastAsia="en-GB" w:bidi="en-US"/>
        </w:rPr>
        <w:t>Abstract</w:t>
      </w:r>
    </w:p>
    <w:p w:rsidR="00A02755" w:rsidRPr="003C73D9" w:rsidRDefault="00D974AB" w:rsidP="00F3419C">
      <w:pPr>
        <w:spacing w:line="240" w:lineRule="auto"/>
        <w:jc w:val="both"/>
        <w:rPr>
          <w:rFonts w:ascii="Palatino Linotype" w:eastAsia="Times New Roman" w:hAnsi="Palatino Linotype" w:cs="Times New Roman"/>
          <w:snapToGrid w:val="0"/>
          <w:sz w:val="24"/>
          <w:szCs w:val="24"/>
          <w:lang w:eastAsia="en-GB" w:bidi="en-US"/>
        </w:rPr>
      </w:pPr>
      <w:r w:rsidRPr="00D974AB">
        <w:rPr>
          <w:rFonts w:ascii="Palatino Linotype" w:eastAsia="Times New Roman" w:hAnsi="Palatino Linotype" w:cs="Times New Roman"/>
          <w:sz w:val="24"/>
          <w:szCs w:val="24"/>
          <w:lang w:val="en-US"/>
        </w:rPr>
        <w:t xml:space="preserve">A great number of communities in Africa are threatened by flood disasters. While mapping the spatial extent of flooding is </w:t>
      </w:r>
      <w:r>
        <w:rPr>
          <w:rFonts w:ascii="Palatino Linotype" w:eastAsia="Times New Roman" w:hAnsi="Palatino Linotype" w:cs="Times New Roman"/>
          <w:sz w:val="24"/>
          <w:szCs w:val="24"/>
          <w:lang w:val="en-US"/>
        </w:rPr>
        <w:t>necessary</w:t>
      </w:r>
      <w:r w:rsidRPr="00D974AB">
        <w:rPr>
          <w:rFonts w:ascii="Palatino Linotype" w:eastAsia="Times New Roman" w:hAnsi="Palatino Linotype" w:cs="Times New Roman"/>
          <w:sz w:val="24"/>
          <w:szCs w:val="24"/>
          <w:lang w:val="en-US"/>
        </w:rPr>
        <w:t xml:space="preserve"> for emergency response as well as for adaptation decisions, accurately mapping the extent of these floods across regions requires a significant amount of training data, usually obtained via field surveys. Field surveys can be </w:t>
      </w:r>
      <w:r>
        <w:rPr>
          <w:rFonts w:ascii="Palatino Linotype" w:eastAsia="Times New Roman" w:hAnsi="Palatino Linotype" w:cs="Times New Roman"/>
          <w:sz w:val="24"/>
          <w:szCs w:val="24"/>
          <w:lang w:val="en-US"/>
        </w:rPr>
        <w:t>time-consuming</w:t>
      </w:r>
      <w:r w:rsidRPr="00D974AB">
        <w:rPr>
          <w:rFonts w:ascii="Palatino Linotype" w:eastAsia="Times New Roman" w:hAnsi="Palatino Linotype" w:cs="Times New Roman"/>
          <w:sz w:val="24"/>
          <w:szCs w:val="24"/>
          <w:lang w:val="en-US"/>
        </w:rPr>
        <w:t xml:space="preserve">, costly and impractical in inaccessible terrain. This </w:t>
      </w:r>
      <w:r>
        <w:rPr>
          <w:rFonts w:ascii="Palatino Linotype" w:eastAsia="Times New Roman" w:hAnsi="Palatino Linotype" w:cs="Times New Roman"/>
          <w:sz w:val="24"/>
          <w:szCs w:val="24"/>
          <w:lang w:val="en-US"/>
        </w:rPr>
        <w:t>necessitates</w:t>
      </w:r>
      <w:r w:rsidRPr="00D974AB">
        <w:rPr>
          <w:rFonts w:ascii="Palatino Linotype" w:eastAsia="Times New Roman" w:hAnsi="Palatino Linotype" w:cs="Times New Roman"/>
          <w:sz w:val="24"/>
          <w:szCs w:val="24"/>
          <w:lang w:val="en-US"/>
        </w:rPr>
        <w:t xml:space="preserve"> the application of automatic algorithms for flood detection. Therefore, it is important to assess the effectiveness of the current automated techniques to guarantee their precision.</w:t>
      </w:r>
      <w:r>
        <w:rPr>
          <w:rFonts w:ascii="Palatino Linotype" w:eastAsia="Times New Roman" w:hAnsi="Palatino Linotype" w:cs="Times New Roman"/>
          <w:sz w:val="24"/>
          <w:szCs w:val="24"/>
          <w:lang w:val="en-US"/>
        </w:rPr>
        <w:t xml:space="preserve"> </w:t>
      </w:r>
      <w:r w:rsidRPr="00D974AB">
        <w:rPr>
          <w:rFonts w:ascii="Palatino Linotype" w:eastAsia="Times New Roman" w:hAnsi="Palatino Linotype" w:cs="Times New Roman"/>
          <w:sz w:val="24"/>
          <w:szCs w:val="24"/>
          <w:lang w:val="en-US"/>
        </w:rPr>
        <w:t xml:space="preserve">This study employed the RF method to delineate flood extent as a basis for the validation of automatic flood detection algorithms using Sentinel-1 data within the </w:t>
      </w:r>
      <w:r w:rsidR="00477256">
        <w:rPr>
          <w:rFonts w:ascii="Palatino Linotype" w:eastAsia="Times New Roman" w:hAnsi="Palatino Linotype" w:cs="Times New Roman"/>
          <w:sz w:val="24"/>
          <w:szCs w:val="24"/>
          <w:lang w:val="en-US"/>
        </w:rPr>
        <w:t>Google Earth Engine (</w:t>
      </w:r>
      <w:r w:rsidRPr="00D974AB">
        <w:rPr>
          <w:rFonts w:ascii="Palatino Linotype" w:eastAsia="Times New Roman" w:hAnsi="Palatino Linotype" w:cs="Times New Roman"/>
          <w:sz w:val="24"/>
          <w:szCs w:val="24"/>
          <w:lang w:val="en-US"/>
        </w:rPr>
        <w:t>GEE</w:t>
      </w:r>
      <w:r w:rsidR="00477256">
        <w:rPr>
          <w:rFonts w:ascii="Palatino Linotype" w:eastAsia="Times New Roman" w:hAnsi="Palatino Linotype" w:cs="Times New Roman"/>
          <w:sz w:val="24"/>
          <w:szCs w:val="24"/>
          <w:lang w:val="en-US"/>
        </w:rPr>
        <w:t>)</w:t>
      </w:r>
      <w:r w:rsidRPr="00D974AB">
        <w:rPr>
          <w:rFonts w:ascii="Palatino Linotype" w:eastAsia="Times New Roman" w:hAnsi="Palatino Linotype" w:cs="Times New Roman"/>
          <w:sz w:val="24"/>
          <w:szCs w:val="24"/>
          <w:lang w:val="en-US"/>
        </w:rPr>
        <w:t xml:space="preserve"> platform. RF's overall accuracy was 99% while Otsu's automatic flood detection algorithms were 76%. The validation results highlight how combining machine learning techniques with SAR data might improve flood monitoring and aid in disaster management efforts</w:t>
      </w:r>
      <w:r>
        <w:rPr>
          <w:rFonts w:ascii="Palatino Linotype" w:eastAsia="Times New Roman" w:hAnsi="Palatino Linotype" w:cs="Times New Roman"/>
          <w:sz w:val="24"/>
          <w:szCs w:val="24"/>
          <w:lang w:val="en-US"/>
        </w:rPr>
        <w:t>.</w:t>
      </w:r>
      <w:r w:rsidR="00F3419C">
        <w:rPr>
          <w:rFonts w:ascii="Palatino Linotype" w:eastAsia="Times New Roman" w:hAnsi="Palatino Linotype" w:cs="Times New Roman"/>
          <w:sz w:val="24"/>
          <w:szCs w:val="24"/>
          <w:lang w:val="en-US"/>
        </w:rPr>
        <w:t xml:space="preserve"> </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06727E" w:rsidRDefault="00A02755" w:rsidP="003C73D9">
      <w:pPr>
        <w:pStyle w:val="Heading1"/>
        <w:spacing w:line="360" w:lineRule="auto"/>
        <w:jc w:val="both"/>
        <w:rPr>
          <w:rFonts w:ascii="Palatino Linotype" w:eastAsia="Times New Roman" w:hAnsi="Palatino Linotype"/>
          <w:snapToGrid w:val="0"/>
          <w:color w:val="auto"/>
          <w:sz w:val="24"/>
          <w:szCs w:val="24"/>
          <w:lang w:eastAsia="en-GB" w:bidi="en-US"/>
        </w:rPr>
      </w:pPr>
      <w:r w:rsidRPr="0006727E">
        <w:rPr>
          <w:rFonts w:ascii="Palatino Linotype" w:eastAsia="Times New Roman" w:hAnsi="Palatino Linotype"/>
          <w:snapToGrid w:val="0"/>
          <w:color w:val="auto"/>
          <w:sz w:val="24"/>
          <w:szCs w:val="24"/>
          <w:lang w:eastAsia="en-GB" w:bidi="en-US"/>
        </w:rPr>
        <w:lastRenderedPageBreak/>
        <w:t>1. Introduction</w:t>
      </w:r>
    </w:p>
    <w:p w:rsidR="005D24EA" w:rsidRPr="009D3EF4" w:rsidRDefault="009D3EF4" w:rsidP="009D3EF4">
      <w:pPr>
        <w:pStyle w:val="NormalWeb"/>
        <w:spacing w:line="360" w:lineRule="auto"/>
        <w:jc w:val="both"/>
      </w:pPr>
      <w:r w:rsidRPr="009D3EF4">
        <w:rPr>
          <w:rFonts w:ascii="Palatino Linotype" w:hAnsi="Palatino Linotype"/>
        </w:rPr>
        <w:t>Globally, there is a collective effort to tackle environmental challenges to promote sustainable living.</w:t>
      </w:r>
      <w:r>
        <w:t xml:space="preserve"> </w:t>
      </w:r>
      <w:r w:rsidR="00D15E7C" w:rsidRPr="00E45E35">
        <w:rPr>
          <w:rFonts w:ascii="Palatino Linotype" w:hAnsi="Palatino Linotype" w:cs="Arial"/>
          <w:snapToGrid w:val="0"/>
          <w:color w:val="222222"/>
          <w:shd w:val="clear" w:color="auto" w:fill="FFFFFF"/>
          <w:lang w:eastAsia="en-GB" w:bidi="en-US"/>
        </w:rPr>
        <w:t xml:space="preserve">In Nigeria, </w:t>
      </w:r>
      <w:r w:rsidR="00D15E7C" w:rsidRPr="003C73D9">
        <w:rPr>
          <w:rFonts w:ascii="Palatino Linotype" w:hAnsi="Palatino Linotype" w:cs="Arial"/>
          <w:snapToGrid w:val="0"/>
          <w:color w:val="222222"/>
          <w:shd w:val="clear" w:color="auto" w:fill="FFFFFF"/>
          <w:lang w:eastAsia="en-GB" w:bidi="en-US"/>
        </w:rPr>
        <w:t xml:space="preserve">for example, </w:t>
      </w:r>
      <w:r w:rsidR="00D15E7C" w:rsidRPr="00E45E35">
        <w:rPr>
          <w:rFonts w:ascii="Palatino Linotype" w:hAnsi="Palatino Linotype" w:cs="Arial"/>
          <w:snapToGrid w:val="0"/>
          <w:color w:val="222222"/>
          <w:shd w:val="clear" w:color="auto" w:fill="FFFFFF"/>
          <w:lang w:eastAsia="en-GB" w:bidi="en-US"/>
        </w:rPr>
        <w:t xml:space="preserve">conservation policy aims to maintain a high-quality environment to promote good health and well-being. It also aims to conserve and responsibly utilise natural resources for the benefit of current and future generations. The policy supports the development of detailed land suitability/capability inventories, comprehensive land classifications, assessments of current land use practices, water damage prevention through flood control, identification of causes and extent of damage, and the creation of a regulatory framework for sustainable land use </w:t>
      </w:r>
      <w:r w:rsidR="00D15E7C" w:rsidRPr="00E45E35">
        <w:rPr>
          <w:rFonts w:ascii="Palatino Linotype" w:hAnsi="Palatino Linotype" w:cs="Arial"/>
          <w:snapToGrid w:val="0"/>
          <w:color w:val="222222"/>
          <w:shd w:val="clear" w:color="auto" w:fill="FFFFFF"/>
          <w:lang w:eastAsia="en-GB" w:bidi="en-US"/>
        </w:rPr>
      </w:r>
      <w:r w:rsidR="00185E7F">
        <w:rPr>
          <w:rFonts w:ascii="Palatino Linotype" w:hAnsi="Palatino Linotype" w:cs="Arial"/>
          <w:snapToGrid w:val="0"/>
          <w:color w:val="222222"/>
          <w:shd w:val="clear" w:color="auto" w:fill="FFFFFF"/>
          <w:lang w:eastAsia="en-GB" w:bidi="en-US"/>
        </w:rPr>
        <w:instrText xml:space="preserve"/>
      </w:r>
      <w:r w:rsidR="00D15E7C" w:rsidRPr="00E45E35">
        <w:rPr>
          <w:rFonts w:ascii="Palatino Linotype" w:hAnsi="Palatino Linotype" w:cs="Arial"/>
          <w:snapToGrid w:val="0"/>
          <w:color w:val="222222"/>
          <w:shd w:val="clear" w:color="auto" w:fill="FFFFFF"/>
          <w:lang w:eastAsia="en-GB" w:bidi="en-US"/>
        </w:rPr>
      </w:r>
      <w:r w:rsidR="00D15E7C" w:rsidRPr="003C73D9">
        <w:rPr>
          <w:rFonts w:ascii="Palatino Linotype" w:hAnsi="Palatino Linotype" w:cs="Arial"/>
          <w:noProof/>
          <w:snapToGrid w:val="0"/>
          <w:color w:val="222222"/>
          <w:shd w:val="clear" w:color="auto" w:fill="FFFFFF"/>
          <w:lang w:eastAsia="en-GB" w:bidi="en-US"/>
        </w:rPr>
        <w:t>(NESREA, 2017)</w:t>
      </w:r>
      <w:r w:rsidR="00D15E7C" w:rsidRPr="00E45E35">
        <w:rPr>
          <w:rFonts w:ascii="Palatino Linotype" w:hAnsi="Palatino Linotype" w:cs="Arial"/>
          <w:snapToGrid w:val="0"/>
          <w:color w:val="222222"/>
          <w:shd w:val="clear" w:color="auto" w:fill="FFFFFF"/>
          <w:lang w:eastAsia="en-GB" w:bidi="en-US"/>
        </w:rPr>
      </w:r>
      <w:r w:rsidR="00D15E7C" w:rsidRPr="003C73D9">
        <w:rPr>
          <w:rFonts w:ascii="Palatino Linotype" w:hAnsi="Palatino Linotype" w:cs="Arial"/>
          <w:snapToGrid w:val="0"/>
          <w:color w:val="222222"/>
          <w:shd w:val="clear" w:color="auto" w:fill="FFFFFF"/>
          <w:lang w:eastAsia="en-GB" w:bidi="en-US"/>
        </w:rPr>
        <w:t xml:space="preserve">. However, </w:t>
      </w:r>
      <w:r w:rsidR="00D15E7C" w:rsidRPr="003A1A88">
        <w:rPr>
          <w:rFonts w:ascii="Palatino Linotype" w:hAnsi="Palatino Linotype"/>
          <w:snapToGrid w:val="0"/>
          <w:lang w:eastAsia="en-GB" w:bidi="en-US"/>
        </w:rPr>
      </w:r>
      <w:r w:rsidR="00D15E7C" w:rsidRPr="003C73D9">
        <w:rPr>
          <w:rFonts w:ascii="Palatino Linotype" w:hAnsi="Palatino Linotype"/>
          <w:snapToGrid w:val="0"/>
          <w:lang w:eastAsia="en-GB" w:bidi="en-US"/>
        </w:rPr>
        <w:instrText xml:space="preserve"/>
      </w:r>
      <w:r w:rsidR="00D15E7C" w:rsidRPr="003A1A88">
        <w:rPr>
          <w:rFonts w:ascii="Palatino Linotype" w:hAnsi="Palatino Linotype"/>
          <w:snapToGrid w:val="0"/>
          <w:lang w:eastAsia="en-GB" w:bidi="en-US"/>
        </w:rPr>
      </w:r>
      <w:r w:rsidR="00D15E7C" w:rsidRPr="003C73D9">
        <w:rPr>
          <w:rFonts w:ascii="Palatino Linotype" w:hAnsi="Palatino Linotype"/>
          <w:noProof/>
          <w:snapToGrid w:val="0"/>
          <w:lang w:eastAsia="en-GB" w:bidi="en-US"/>
        </w:rPr>
        <w:t>Mashi et al. (2019)</w:t>
      </w:r>
      <w:r w:rsidR="00D15E7C" w:rsidRPr="003A1A88">
        <w:rPr>
          <w:rFonts w:ascii="Palatino Linotype" w:hAnsi="Palatino Linotype"/>
          <w:snapToGrid w:val="0"/>
          <w:lang w:eastAsia="en-GB" w:bidi="en-US"/>
        </w:rPr>
      </w:r>
      <w:r w:rsidR="00D15E7C" w:rsidRPr="003A1A88">
        <w:rPr>
          <w:rFonts w:ascii="Palatino Linotype" w:hAnsi="Palatino Linotype"/>
          <w:snapToGrid w:val="0"/>
          <w:lang w:eastAsia="en-GB" w:bidi="en-US"/>
        </w:rPr>
        <w:t xml:space="preserve"> </w:t>
      </w:r>
      <w:r w:rsidR="00D15E7C" w:rsidRPr="00E45E35">
        <w:rPr>
          <w:rFonts w:ascii="Palatino Linotype" w:hAnsi="Palatino Linotype"/>
          <w:snapToGrid w:val="0"/>
          <w:lang w:eastAsia="en-GB" w:bidi="en-US"/>
        </w:rPr>
        <w:t>emphasized that Nigeria's emergency management legislation is weak in providing necessary action plans, highlighting that effective legislation and action plans should cover prevention, mitigation, preparedness, response, resilience, and recovery comprehensively.</w:t>
      </w:r>
      <w:r w:rsidR="00D15E7C" w:rsidRPr="003C73D9">
        <w:rPr>
          <w:rFonts w:ascii="Palatino Linotype" w:hAnsi="Palatino Linotype"/>
          <w:snapToGrid w:val="0"/>
          <w:lang w:eastAsia="en-GB" w:bidi="en-US"/>
        </w:rPr>
        <w:t xml:space="preserve"> </w:t>
      </w:r>
      <w:r w:rsidR="005D24EA" w:rsidRPr="003C73D9">
        <w:rPr>
          <w:rFonts w:ascii="Palatino Linotype" w:hAnsi="Palatino Linotype"/>
        </w:rPr>
        <w:t>Flooding is a serious disaster that requires urgent attention to safeguard food security.</w:t>
      </w:r>
    </w:p>
    <w:p w:rsidR="005D24EA" w:rsidRPr="003C73D9" w:rsidRDefault="00FC6958" w:rsidP="00B5693C">
      <w:pPr>
        <w:spacing w:line="360" w:lineRule="auto"/>
        <w:jc w:val="both"/>
        <w:rPr>
          <w:rFonts w:ascii="Palatino Linotype" w:eastAsia="Times New Roman" w:hAnsi="Palatino Linotype" w:cs="Open Sans"/>
          <w:color w:val="464646"/>
          <w:sz w:val="24"/>
          <w:szCs w:val="24"/>
          <w:shd w:val="clear" w:color="auto" w:fill="FFFFFF"/>
          <w:lang w:eastAsia="en-GB"/>
        </w:rPr>
      </w:pPr>
      <w:r w:rsidRPr="00FC6958">
        <w:rPr>
          <w:rFonts w:ascii="Palatino Linotype" w:eastAsia="Times New Roman" w:hAnsi="Palatino Linotype" w:cs="Times New Roman"/>
          <w:snapToGrid w:val="0"/>
          <w:color w:val="000000"/>
          <w:sz w:val="24"/>
          <w:szCs w:val="24"/>
          <w:lang w:val="en-US" w:eastAsia="de-DE" w:bidi="en-US"/>
        </w:rPr>
        <w:t>One of the key approaches to addressing this issue is tracking the magnitude or extent of the event. This is a crucial step in qua</w:t>
      </w:r>
      <w:r>
        <w:rPr>
          <w:rFonts w:ascii="Palatino Linotype" w:eastAsia="Times New Roman" w:hAnsi="Palatino Linotype" w:cs="Times New Roman"/>
          <w:snapToGrid w:val="0"/>
          <w:color w:val="000000"/>
          <w:sz w:val="24"/>
          <w:szCs w:val="24"/>
          <w:lang w:val="en-US" w:eastAsia="de-DE" w:bidi="en-US"/>
        </w:rPr>
        <w:t>ntifying its impact on land use</w:t>
      </w:r>
      <w:r w:rsidR="00D15E7C" w:rsidRPr="003C73D9">
        <w:rPr>
          <w:rFonts w:ascii="Palatino Linotype" w:eastAsia="Times New Roman" w:hAnsi="Palatino Linotype" w:cs="Times New Roman"/>
          <w:snapToGrid w:val="0"/>
          <w:color w:val="000000"/>
          <w:sz w:val="24"/>
          <w:szCs w:val="24"/>
          <w:lang w:val="en-US" w:eastAsia="de-DE" w:bidi="en-US"/>
        </w:rPr>
        <w:t>. Remote sensing</w:t>
      </w:r>
      <w:r w:rsidR="00D15E7C" w:rsidRPr="00E45E35">
        <w:rPr>
          <w:rFonts w:ascii="Palatino Linotype" w:eastAsia="Times New Roman" w:hAnsi="Palatino Linotype" w:cs="Times New Roman"/>
          <w:snapToGrid w:val="0"/>
          <w:color w:val="000000"/>
          <w:sz w:val="24"/>
          <w:szCs w:val="24"/>
          <w:lang w:val="en-US" w:eastAsia="de-DE" w:bidi="en-US"/>
        </w:rPr>
        <w:t xml:space="preserve"> techniques are also quite viable </w:t>
      </w:r>
      <w:r w:rsidR="00D15E7C" w:rsidRPr="003C73D9">
        <w:rPr>
          <w:rFonts w:ascii="Palatino Linotype" w:eastAsia="Times New Roman" w:hAnsi="Palatino Linotype" w:cs="Times New Roman"/>
          <w:snapToGrid w:val="0"/>
          <w:color w:val="000000"/>
          <w:sz w:val="24"/>
          <w:szCs w:val="24"/>
          <w:lang w:val="en-US" w:eastAsia="de-DE" w:bidi="en-US"/>
        </w:rPr>
        <w:t xml:space="preserve">for flood detection </w:t>
      </w:r>
      <w:r w:rsidR="00D15E7C" w:rsidRPr="00E45E35">
        <w:rPr>
          <w:rFonts w:ascii="Palatino Linotype" w:eastAsia="Times New Roman" w:hAnsi="Palatino Linotype" w:cs="Times New Roman"/>
          <w:snapToGrid w:val="0"/>
          <w:color w:val="000000"/>
          <w:sz w:val="24"/>
          <w:szCs w:val="24"/>
          <w:lang w:val="en-US" w:eastAsia="de-DE" w:bidi="en-US"/>
        </w:rPr>
        <w:t xml:space="preserve">and easily accessible and transferable to climate change research partly due to the advancement in Earth observation </w:t>
      </w:r>
      <w:r>
        <w:rPr>
          <w:rFonts w:ascii="Palatino Linotype" w:eastAsia="Times New Roman" w:hAnsi="Palatino Linotype" w:cs="Times New Roman"/>
          <w:snapToGrid w:val="0"/>
          <w:color w:val="000000"/>
          <w:sz w:val="24"/>
          <w:szCs w:val="24"/>
          <w:lang w:val="en-US" w:eastAsia="de-DE" w:bidi="en-US"/>
        </w:rPr>
        <w:t>coupled</w:t>
      </w:r>
      <w:r w:rsidR="00D15E7C" w:rsidRPr="00E45E35">
        <w:rPr>
          <w:rFonts w:ascii="Palatino Linotype" w:eastAsia="Times New Roman" w:hAnsi="Palatino Linotype" w:cs="Times New Roman"/>
          <w:snapToGrid w:val="0"/>
          <w:color w:val="000000"/>
          <w:sz w:val="24"/>
          <w:szCs w:val="24"/>
          <w:lang w:val="en-US" w:eastAsia="de-DE" w:bidi="en-US"/>
        </w:rPr>
        <w:t xml:space="preserve"> with </w:t>
      </w:r>
      <w:r>
        <w:rPr>
          <w:rFonts w:ascii="Palatino Linotype" w:eastAsia="Times New Roman" w:hAnsi="Palatino Linotype" w:cs="Times New Roman"/>
          <w:snapToGrid w:val="0"/>
          <w:color w:val="000000"/>
          <w:sz w:val="24"/>
          <w:szCs w:val="24"/>
          <w:lang w:val="en-US" w:eastAsia="de-DE" w:bidi="en-US"/>
        </w:rPr>
        <w:t xml:space="preserve">the </w:t>
      </w:r>
      <w:r w:rsidR="00D15E7C" w:rsidRPr="00E45E35">
        <w:rPr>
          <w:rFonts w:ascii="Palatino Linotype" w:eastAsia="Times New Roman" w:hAnsi="Palatino Linotype" w:cs="Times New Roman"/>
          <w:snapToGrid w:val="0"/>
          <w:color w:val="000000"/>
          <w:sz w:val="24"/>
          <w:szCs w:val="24"/>
          <w:lang w:val="en-US" w:eastAsia="de-DE" w:bidi="en-US"/>
        </w:rPr>
        <w:t xml:space="preserve">proliferation </w:t>
      </w:r>
      <w:r>
        <w:rPr>
          <w:rFonts w:ascii="Palatino Linotype" w:eastAsia="Times New Roman" w:hAnsi="Palatino Linotype" w:cs="Times New Roman"/>
          <w:snapToGrid w:val="0"/>
          <w:color w:val="000000"/>
          <w:sz w:val="24"/>
          <w:szCs w:val="24"/>
          <w:lang w:val="en-US" w:eastAsia="de-DE" w:bidi="en-US"/>
        </w:rPr>
        <w:t>of</w:t>
      </w:r>
      <w:r w:rsidR="00D15E7C" w:rsidRPr="00E45E35">
        <w:rPr>
          <w:rFonts w:ascii="Palatino Linotype" w:eastAsia="Times New Roman" w:hAnsi="Palatino Linotype" w:cs="Times New Roman"/>
          <w:snapToGrid w:val="0"/>
          <w:color w:val="000000"/>
          <w:sz w:val="24"/>
          <w:szCs w:val="24"/>
          <w:lang w:val="en-US" w:eastAsia="de-DE" w:bidi="en-US"/>
        </w:rPr>
        <w:t xml:space="preserve"> satellite missions </w:t>
      </w:r>
      <w:r w:rsidR="00D15E7C" w:rsidRPr="00E45E35">
        <w:rPr>
          <w:rFonts w:ascii="Palatino Linotype" w:eastAsia="Times New Roman" w:hAnsi="Palatino Linotype" w:cs="Times New Roman"/>
          <w:snapToGrid w:val="0"/>
          <w:color w:val="000000"/>
          <w:sz w:val="24"/>
          <w:szCs w:val="24"/>
          <w:lang w:val="en-US" w:eastAsia="de-DE" w:bidi="en-US"/>
        </w:rPr>
      </w:r>
      <w:r w:rsidR="00185E7F">
        <w:rPr>
          <w:rFonts w:ascii="Palatino Linotype" w:eastAsia="Times New Roman" w:hAnsi="Palatino Linotype" w:cs="Times New Roman"/>
          <w:snapToGrid w:val="0"/>
          <w:color w:val="000000"/>
          <w:sz w:val="24"/>
          <w:szCs w:val="24"/>
          <w:lang w:val="en-US" w:eastAsia="de-DE" w:bidi="en-US"/>
        </w:rPr>
        <w:instrText xml:space="preserve"/>
      </w:r>
      <w:r w:rsidR="00D15E7C" w:rsidRPr="00E45E35">
        <w:rPr>
          <w:rFonts w:ascii="Palatino Linotype" w:eastAsia="Times New Roman" w:hAnsi="Palatino Linotype" w:cs="Times New Roman"/>
          <w:snapToGrid w:val="0"/>
          <w:color w:val="000000"/>
          <w:sz w:val="24"/>
          <w:szCs w:val="24"/>
          <w:lang w:val="en-US" w:eastAsia="de-DE" w:bidi="en-US"/>
        </w:rPr>
      </w:r>
      <w:r w:rsidR="00D15E7C" w:rsidRPr="003C73D9">
        <w:rPr>
          <w:rFonts w:ascii="Palatino Linotype" w:eastAsia="Times New Roman" w:hAnsi="Palatino Linotype" w:cs="Times New Roman"/>
          <w:noProof/>
          <w:snapToGrid w:val="0"/>
          <w:color w:val="000000"/>
          <w:sz w:val="24"/>
          <w:szCs w:val="24"/>
          <w:lang w:val="en-US" w:eastAsia="de-DE" w:bidi="en-US"/>
        </w:rPr>
        <w:t>(Jones et al., 2023)</w:t>
      </w:r>
      <w:r w:rsidR="00D15E7C" w:rsidRPr="00E45E35">
        <w:rPr>
          <w:rFonts w:ascii="Palatino Linotype" w:eastAsia="Times New Roman" w:hAnsi="Palatino Linotype" w:cs="Times New Roman"/>
          <w:snapToGrid w:val="0"/>
          <w:color w:val="000000"/>
          <w:sz w:val="24"/>
          <w:szCs w:val="24"/>
          <w:lang w:val="en-US" w:eastAsia="de-DE" w:bidi="en-US"/>
        </w:rPr>
      </w:r>
      <w:r w:rsidR="00D15E7C" w:rsidRPr="00E45E35">
        <w:rPr>
          <w:rFonts w:ascii="Palatino Linotype" w:eastAsia="Times New Roman" w:hAnsi="Palatino Linotype" w:cs="Times New Roman"/>
          <w:snapToGrid w:val="0"/>
          <w:color w:val="000000"/>
          <w:sz w:val="24"/>
          <w:szCs w:val="24"/>
          <w:lang w:val="en-US" w:eastAsia="de-DE" w:bidi="en-US"/>
        </w:rPr>
        <w:t>.</w:t>
      </w:r>
      <w:r w:rsidR="00D15E7C" w:rsidRPr="00E45E35">
        <w:rPr>
          <w:rFonts w:ascii="Palatino Linotype" w:eastAsia="Times New Roman" w:hAnsi="Palatino Linotype" w:cs="Open Sans"/>
          <w:color w:val="464646"/>
          <w:sz w:val="24"/>
          <w:szCs w:val="24"/>
          <w:shd w:val="clear" w:color="auto" w:fill="FFFFFF"/>
          <w:lang w:eastAsia="en-GB"/>
        </w:rPr>
        <w:t xml:space="preserve"> </w:t>
      </w:r>
      <w:r w:rsidR="00D15E7C" w:rsidRPr="003C73D9">
        <w:rPr>
          <w:rFonts w:ascii="Palatino Linotype" w:eastAsia="Times New Roman" w:hAnsi="Palatino Linotype" w:cs="Open Sans"/>
          <w:color w:val="464646"/>
          <w:sz w:val="24"/>
          <w:szCs w:val="24"/>
          <w:shd w:val="clear" w:color="auto" w:fill="FFFFFF"/>
          <w:lang w:eastAsia="en-GB"/>
        </w:rPr>
        <w:t>For example, m</w:t>
      </w:r>
      <w:r w:rsidR="00D15E7C" w:rsidRPr="00E45E35">
        <w:rPr>
          <w:rFonts w:ascii="Palatino Linotype" w:eastAsia="Times New Roman" w:hAnsi="Palatino Linotype" w:cs="Open Sans"/>
          <w:color w:val="464646"/>
          <w:sz w:val="24"/>
          <w:szCs w:val="24"/>
          <w:shd w:val="clear" w:color="auto" w:fill="FFFFFF"/>
          <w:lang w:eastAsia="en-GB"/>
        </w:rPr>
        <w:t>achine learning techniques such as decision trees, K-means clustering, K-nearest neighbour (</w:t>
      </w:r>
      <w:proofErr w:type="spellStart"/>
      <w:r w:rsidR="00D15E7C" w:rsidRPr="00E45E35">
        <w:rPr>
          <w:rFonts w:ascii="Palatino Linotype" w:eastAsia="Times New Roman" w:hAnsi="Palatino Linotype" w:cs="Open Sans"/>
          <w:color w:val="464646"/>
          <w:sz w:val="24"/>
          <w:szCs w:val="24"/>
          <w:shd w:val="clear" w:color="auto" w:fill="FFFFFF"/>
          <w:lang w:eastAsia="en-GB"/>
        </w:rPr>
        <w:t>kNN</w:t>
      </w:r>
      <w:proofErr w:type="spellEnd"/>
      <w:r w:rsidR="00D15E7C" w:rsidRPr="00E45E35">
        <w:rPr>
          <w:rFonts w:ascii="Palatino Linotype" w:eastAsia="Times New Roman" w:hAnsi="Palatino Linotype" w:cs="Open Sans"/>
          <w:color w:val="464646"/>
          <w:sz w:val="24"/>
          <w:szCs w:val="24"/>
          <w:shd w:val="clear" w:color="auto" w:fill="FFFFFF"/>
          <w:lang w:eastAsia="en-GB"/>
        </w:rPr>
        <w:t>), Support vector machines (SVN), neural networks and random forests (RF) have become widely used for land use land cover (LULC) and flood and non-flood classifications</w:t>
      </w:r>
      <w:r w:rsidR="00D15E7C" w:rsidRPr="003C73D9">
        <w:rPr>
          <w:rFonts w:ascii="Palatino Linotype" w:eastAsia="Times New Roman" w:hAnsi="Palatino Linotype" w:cs="Open Sans"/>
          <w:color w:val="464646"/>
          <w:sz w:val="24"/>
          <w:szCs w:val="24"/>
          <w:shd w:val="clear" w:color="auto" w:fill="FFFFFF"/>
          <w:lang w:eastAsia="en-GB"/>
        </w:rPr>
        <w:t xml:space="preserve">. RF has shown promise in many previous studies </w:t>
      </w:r>
      <w:r w:rsidR="00D15E7C" w:rsidRPr="003A1A88">
        <w:rPr>
          <w:rFonts w:ascii="Palatino Linotype" w:eastAsia="Times New Roman" w:hAnsi="Palatino Linotype" w:cs="Open Sans"/>
          <w:color w:val="464646"/>
          <w:sz w:val="24"/>
          <w:szCs w:val="24"/>
          <w:shd w:val="clear" w:color="auto" w:fill="FFFFFF"/>
          <w:lang w:eastAsia="en-GB"/>
        </w:rPr>
      </w:r>
      <w:r w:rsidR="00D15E7C" w:rsidRPr="003C73D9">
        <w:rPr>
          <w:rFonts w:ascii="Palatino Linotype" w:eastAsia="Times New Roman" w:hAnsi="Palatino Linotype" w:cs="Open Sans"/>
          <w:color w:val="464646"/>
          <w:sz w:val="24"/>
          <w:szCs w:val="24"/>
          <w:shd w:val="clear" w:color="auto" w:fill="FFFFFF"/>
          <w:lang w:eastAsia="en-GB"/>
        </w:rPr>
        <w:instrText xml:space="preserve"/>
      </w:r>
      <w:r w:rsidR="00D15E7C" w:rsidRPr="003C73D9">
        <w:rPr>
          <w:rFonts w:ascii="Palatino Linotype" w:eastAsia="Times New Roman" w:hAnsi="Palatino Linotype" w:cs="Open Sans"/>
          <w:color w:val="464646"/>
          <w:sz w:val="24"/>
          <w:szCs w:val="24"/>
          <w:shd w:val="clear" w:color="auto" w:fill="FFFFFF"/>
          <w:lang w:eastAsia="en-GB"/>
        </w:rPr>
      </w:r>
      <w:r w:rsidR="00D15E7C" w:rsidRPr="003C73D9">
        <w:rPr>
          <w:rFonts w:ascii="Palatino Linotype" w:eastAsia="Times New Roman" w:hAnsi="Palatino Linotype" w:cs="Open Sans"/>
          <w:color w:val="464646"/>
          <w:sz w:val="24"/>
          <w:szCs w:val="24"/>
          <w:shd w:val="clear" w:color="auto" w:fill="FFFFFF"/>
          <w:lang w:eastAsia="en-GB"/>
        </w:rPr>
        <w:instrText xml:space="preserve"/>
      </w:r>
      <w:r w:rsidR="00D15E7C" w:rsidRPr="003C73D9">
        <w:rPr>
          <w:rFonts w:ascii="Palatino Linotype" w:eastAsia="Times New Roman" w:hAnsi="Palatino Linotype" w:cs="Open Sans"/>
          <w:color w:val="464646"/>
          <w:sz w:val="24"/>
          <w:szCs w:val="24"/>
          <w:shd w:val="clear" w:color="auto" w:fill="FFFFFF"/>
          <w:lang w:eastAsia="en-GB"/>
        </w:rPr>
      </w:r>
      <w:r w:rsidR="00D15E7C" w:rsidRPr="003C73D9">
        <w:rPr>
          <w:rFonts w:ascii="Palatino Linotype" w:eastAsia="Times New Roman" w:hAnsi="Palatino Linotype" w:cs="Open Sans"/>
          <w:color w:val="464646"/>
          <w:sz w:val="24"/>
          <w:szCs w:val="24"/>
          <w:shd w:val="clear" w:color="auto" w:fill="FFFFFF"/>
          <w:lang w:eastAsia="en-GB"/>
        </w:rPr>
      </w:r>
      <w:r w:rsidR="00D15E7C" w:rsidRPr="003A1A88">
        <w:rPr>
          <w:rFonts w:ascii="Palatino Linotype" w:eastAsia="Times New Roman" w:hAnsi="Palatino Linotype" w:cs="Open Sans"/>
          <w:color w:val="464646"/>
          <w:sz w:val="24"/>
          <w:szCs w:val="24"/>
          <w:shd w:val="clear" w:color="auto" w:fill="FFFFFF"/>
          <w:lang w:eastAsia="en-GB"/>
        </w:rPr>
      </w:r>
      <w:r w:rsidR="00D15E7C" w:rsidRPr="003A1A88">
        <w:rPr>
          <w:rFonts w:ascii="Palatino Linotype" w:eastAsia="Times New Roman" w:hAnsi="Palatino Linotype" w:cs="Open Sans"/>
          <w:color w:val="464646"/>
          <w:sz w:val="24"/>
          <w:szCs w:val="24"/>
          <w:shd w:val="clear" w:color="auto" w:fill="FFFFFF"/>
          <w:lang w:eastAsia="en-GB"/>
        </w:rPr>
      </w:r>
      <w:r w:rsidR="00D15E7C" w:rsidRPr="003C73D9">
        <w:rPr>
          <w:rFonts w:ascii="Palatino Linotype" w:eastAsia="Times New Roman" w:hAnsi="Palatino Linotype" w:cs="Open Sans"/>
          <w:noProof/>
          <w:color w:val="464646"/>
          <w:sz w:val="24"/>
          <w:szCs w:val="24"/>
          <w:shd w:val="clear" w:color="auto" w:fill="FFFFFF"/>
          <w:lang w:eastAsia="en-GB"/>
        </w:rPr>
        <w:t>(Balzter et al., 2015; Ibrahim, 2023; Zare &amp; Schumann, 2021)</w:t>
      </w:r>
      <w:r w:rsidR="00D15E7C" w:rsidRPr="003A1A88">
        <w:rPr>
          <w:rFonts w:ascii="Palatino Linotype" w:eastAsia="Times New Roman" w:hAnsi="Palatino Linotype" w:cs="Open Sans"/>
          <w:color w:val="464646"/>
          <w:sz w:val="24"/>
          <w:szCs w:val="24"/>
          <w:shd w:val="clear" w:color="auto" w:fill="FFFFFF"/>
          <w:lang w:eastAsia="en-GB"/>
        </w:rPr>
      </w:r>
      <w:r w:rsidR="00D15E7C" w:rsidRPr="003A1A88">
        <w:rPr>
          <w:rFonts w:ascii="Palatino Linotype" w:eastAsia="Times New Roman" w:hAnsi="Palatino Linotype" w:cs="Open Sans"/>
          <w:color w:val="464646"/>
          <w:sz w:val="24"/>
          <w:szCs w:val="24"/>
          <w:shd w:val="clear" w:color="auto" w:fill="FFFFFF"/>
          <w:lang w:eastAsia="en-GB"/>
        </w:rPr>
        <w:t xml:space="preserve">. </w:t>
      </w:r>
    </w:p>
    <w:p w:rsidR="00D15E7C" w:rsidRPr="00305E45" w:rsidRDefault="00D15E7C" w:rsidP="003C73D9">
      <w:pPr>
        <w:adjustRightInd w:val="0"/>
        <w:snapToGrid w:val="0"/>
        <w:spacing w:after="0" w:line="360" w:lineRule="auto"/>
        <w:jc w:val="both"/>
        <w:rPr>
          <w:rFonts w:ascii="Palatino Linotype" w:eastAsia="Times New Roman" w:hAnsi="Palatino Linotype" w:cs="Open Sans"/>
          <w:color w:val="464646"/>
          <w:sz w:val="24"/>
          <w:szCs w:val="24"/>
          <w:shd w:val="clear" w:color="auto" w:fill="FFFFFF"/>
          <w:lang w:eastAsia="en-GB"/>
        </w:rPr>
      </w:pPr>
      <w:proofErr w:type="spellStart"/>
      <w:r w:rsidRPr="00E45E35">
        <w:rPr>
          <w:rFonts w:ascii="Palatino Linotype" w:eastAsia="Times New Roman" w:hAnsi="Palatino Linotype" w:cs="Open Sans"/>
          <w:color w:val="464646"/>
          <w:sz w:val="24"/>
          <w:szCs w:val="24"/>
          <w:shd w:val="clear" w:color="auto" w:fill="FFFFFF"/>
          <w:lang w:eastAsia="en-GB"/>
        </w:rPr>
        <w:lastRenderedPageBreak/>
        <w:t>Billah</w:t>
      </w:r>
      <w:proofErr w:type="spellEnd"/>
      <w:r w:rsidRPr="00E45E35">
        <w:rPr>
          <w:rFonts w:ascii="Palatino Linotype" w:eastAsia="Times New Roman" w:hAnsi="Palatino Linotype" w:cs="Open Sans"/>
          <w:color w:val="464646"/>
          <w:sz w:val="24"/>
          <w:szCs w:val="24"/>
          <w:shd w:val="clear" w:color="auto" w:fill="FFFFFF"/>
          <w:lang w:eastAsia="en-GB"/>
        </w:rPr>
        <w:t xml:space="preserve"> et al. </w:t>
      </w:r>
      <w:r w:rsidRPr="00E45E35">
        <w:rPr>
          <w:rFonts w:ascii="Palatino Linotype" w:eastAsia="Times New Roman" w:hAnsi="Palatino Linotype" w:cs="Open Sans"/>
          <w:color w:val="464646"/>
          <w:sz w:val="24"/>
          <w:szCs w:val="24"/>
          <w:shd w:val="clear" w:color="auto" w:fill="FFFFFF"/>
          <w:lang w:eastAsia="en-GB"/>
        </w:rPr>
      </w:r>
      <w:r w:rsidR="00185E7F">
        <w:rPr>
          <w:rFonts w:ascii="Palatino Linotype" w:eastAsia="Times New Roman" w:hAnsi="Palatino Linotype" w:cs="Open Sans"/>
          <w:color w:val="464646"/>
          <w:sz w:val="24"/>
          <w:szCs w:val="24"/>
          <w:shd w:val="clear" w:color="auto" w:fill="FFFFFF"/>
          <w:lang w:eastAsia="en-GB"/>
        </w:rPr>
        <w:instrText xml:space="preserve"/>
      </w:r>
      <w:r w:rsidRPr="00E45E35">
        <w:rPr>
          <w:rFonts w:ascii="Palatino Linotype" w:eastAsia="Times New Roman" w:hAnsi="Palatino Linotype" w:cs="Open Sans"/>
          <w:color w:val="464646"/>
          <w:sz w:val="24"/>
          <w:szCs w:val="24"/>
          <w:shd w:val="clear" w:color="auto" w:fill="FFFFFF"/>
          <w:lang w:eastAsia="en-GB"/>
        </w:rPr>
      </w:r>
      <w:r w:rsidRPr="003C73D9">
        <w:rPr>
          <w:rFonts w:ascii="Palatino Linotype" w:eastAsia="Times New Roman" w:hAnsi="Palatino Linotype" w:cs="Open Sans"/>
          <w:noProof/>
          <w:color w:val="464646"/>
          <w:sz w:val="24"/>
          <w:szCs w:val="24"/>
          <w:shd w:val="clear" w:color="auto" w:fill="FFFFFF"/>
          <w:lang w:eastAsia="en-GB"/>
        </w:rPr>
        <w:t>(Billah et al., 2023)</w:t>
      </w:r>
      <w:r w:rsidRPr="00E45E35">
        <w:rPr>
          <w:rFonts w:ascii="Palatino Linotype" w:eastAsia="Times New Roman" w:hAnsi="Palatino Linotype" w:cs="Open Sans"/>
          <w:color w:val="464646"/>
          <w:sz w:val="24"/>
          <w:szCs w:val="24"/>
          <w:shd w:val="clear" w:color="auto" w:fill="FFFFFF"/>
          <w:lang w:eastAsia="en-GB"/>
        </w:rPr>
      </w:r>
      <w:r w:rsidRPr="00E45E35">
        <w:rPr>
          <w:rFonts w:ascii="Palatino Linotype" w:eastAsia="Times New Roman" w:hAnsi="Palatino Linotype" w:cs="Open Sans"/>
          <w:color w:val="464646"/>
          <w:sz w:val="24"/>
          <w:szCs w:val="24"/>
          <w:shd w:val="clear" w:color="auto" w:fill="FFFFFF"/>
          <w:lang w:eastAsia="en-GB"/>
        </w:rPr>
        <w:t xml:space="preserve"> perform land use mapping to assess rapid flood damage using Sentinel-1 and Sentinel-2 data by comparing random forest (RF) maximum likelihood classification methods.</w:t>
      </w:r>
      <w:r w:rsidR="00305E45">
        <w:rPr>
          <w:rFonts w:ascii="Palatino Linotype" w:eastAsia="Times New Roman" w:hAnsi="Palatino Linotype" w:cs="Open Sans"/>
          <w:color w:val="464646"/>
          <w:sz w:val="24"/>
          <w:szCs w:val="24"/>
          <w:shd w:val="clear" w:color="auto" w:fill="FFFFFF"/>
          <w:lang w:eastAsia="en-GB"/>
        </w:rPr>
        <w:t xml:space="preserve"> </w:t>
      </w:r>
      <w:r w:rsidRPr="00E45E35">
        <w:rPr>
          <w:rFonts w:ascii="Palatino Linotype" w:eastAsia="Times New Roman" w:hAnsi="Palatino Linotype" w:cs="Open Sans"/>
          <w:color w:val="464646"/>
          <w:sz w:val="24"/>
          <w:szCs w:val="24"/>
          <w:shd w:val="clear" w:color="auto" w:fill="FFFFFF"/>
          <w:lang w:eastAsia="en-GB"/>
        </w:rPr>
        <w:t xml:space="preserve">Another recent study by </w:t>
      </w:r>
      <w:r w:rsidRPr="00E45E35">
        <w:rPr>
          <w:rFonts w:ascii="Palatino Linotype" w:eastAsia="Times New Roman" w:hAnsi="Palatino Linotype" w:cs="Open Sans"/>
          <w:color w:val="464646"/>
          <w:sz w:val="24"/>
          <w:szCs w:val="24"/>
          <w:shd w:val="clear" w:color="auto" w:fill="FFFFFF"/>
          <w:lang w:eastAsia="en-GB"/>
        </w:rPr>
      </w:r>
      <w:r w:rsidR="00185E7F">
        <w:rPr>
          <w:rFonts w:ascii="Palatino Linotype" w:eastAsia="Times New Roman" w:hAnsi="Palatino Linotype" w:cs="Open Sans"/>
          <w:color w:val="464646"/>
          <w:sz w:val="24"/>
          <w:szCs w:val="24"/>
          <w:shd w:val="clear" w:color="auto" w:fill="FFFFFF"/>
          <w:lang w:eastAsia="en-GB"/>
        </w:rPr>
        <w:instrText xml:space="preserve"/>
      </w:r>
      <w:r w:rsidRPr="00E45E35">
        <w:rPr>
          <w:rFonts w:ascii="Palatino Linotype" w:eastAsia="Times New Roman" w:hAnsi="Palatino Linotype" w:cs="Open Sans"/>
          <w:color w:val="464646"/>
          <w:sz w:val="24"/>
          <w:szCs w:val="24"/>
          <w:shd w:val="clear" w:color="auto" w:fill="FFFFFF"/>
          <w:lang w:eastAsia="en-GB"/>
        </w:rPr>
      </w:r>
      <w:r w:rsidRPr="003C73D9">
        <w:rPr>
          <w:rFonts w:ascii="Palatino Linotype" w:eastAsia="Times New Roman" w:hAnsi="Palatino Linotype" w:cs="Open Sans"/>
          <w:noProof/>
          <w:color w:val="464646"/>
          <w:sz w:val="24"/>
          <w:szCs w:val="24"/>
          <w:shd w:val="clear" w:color="auto" w:fill="FFFFFF"/>
          <w:lang w:eastAsia="en-GB"/>
        </w:rPr>
        <w:t>Ganjirad and Delavar (2023)</w:t>
      </w:r>
      <w:r w:rsidRPr="00E45E35">
        <w:rPr>
          <w:rFonts w:ascii="Palatino Linotype" w:eastAsia="Times New Roman" w:hAnsi="Palatino Linotype" w:cs="Open Sans"/>
          <w:color w:val="464646"/>
          <w:sz w:val="24"/>
          <w:szCs w:val="24"/>
          <w:shd w:val="clear" w:color="auto" w:fill="FFFFFF"/>
          <w:lang w:eastAsia="en-GB"/>
        </w:rPr>
      </w:r>
      <w:r w:rsidRPr="00E45E35">
        <w:rPr>
          <w:rFonts w:ascii="Palatino Linotype" w:eastAsia="Times New Roman" w:hAnsi="Palatino Linotype" w:cs="Open Sans"/>
          <w:color w:val="464646"/>
          <w:sz w:val="24"/>
          <w:szCs w:val="24"/>
          <w:shd w:val="clear" w:color="auto" w:fill="FFFFFF"/>
          <w:lang w:eastAsia="en-GB"/>
        </w:rPr>
        <w:t xml:space="preserve"> </w:t>
      </w:r>
      <w:r w:rsidR="00305E45">
        <w:rPr>
          <w:rFonts w:ascii="Palatino Linotype" w:eastAsia="Times New Roman" w:hAnsi="Palatino Linotype" w:cs="Open Sans"/>
          <w:color w:val="464646"/>
          <w:sz w:val="24"/>
          <w:szCs w:val="24"/>
          <w:shd w:val="clear" w:color="auto" w:fill="FFFFFF"/>
          <w:lang w:eastAsia="en-GB"/>
        </w:rPr>
        <w:t>provides</w:t>
      </w:r>
      <w:r w:rsidRPr="00E45E35">
        <w:rPr>
          <w:rFonts w:ascii="Palatino Linotype" w:eastAsia="Times New Roman" w:hAnsi="Palatino Linotype" w:cs="Open Sans"/>
          <w:color w:val="464646"/>
          <w:sz w:val="24"/>
          <w:szCs w:val="24"/>
          <w:shd w:val="clear" w:color="auto" w:fill="FFFFFF"/>
          <w:lang w:eastAsia="en-GB"/>
        </w:rPr>
        <w:t xml:space="preserve"> a comparative analysis of RF and support vector machines (SVN) to </w:t>
      </w:r>
      <w:r w:rsidR="00305E45">
        <w:rPr>
          <w:rFonts w:ascii="Palatino Linotype" w:eastAsia="Times New Roman" w:hAnsi="Palatino Linotype" w:cs="Open Sans"/>
          <w:color w:val="464646"/>
          <w:sz w:val="24"/>
          <w:szCs w:val="24"/>
          <w:shd w:val="clear" w:color="auto" w:fill="FFFFFF"/>
          <w:lang w:eastAsia="en-GB"/>
        </w:rPr>
        <w:t>estimate</w:t>
      </w:r>
      <w:r w:rsidRPr="00E45E35">
        <w:rPr>
          <w:rFonts w:ascii="Palatino Linotype" w:eastAsia="Times New Roman" w:hAnsi="Palatino Linotype" w:cs="Open Sans"/>
          <w:color w:val="464646"/>
          <w:sz w:val="24"/>
          <w:szCs w:val="24"/>
          <w:shd w:val="clear" w:color="auto" w:fill="FFFFFF"/>
          <w:lang w:eastAsia="en-GB"/>
        </w:rPr>
        <w:t xml:space="preserve"> flood risk in </w:t>
      </w:r>
      <w:r w:rsidRPr="00E45E35">
        <w:rPr>
          <w:rFonts w:ascii="Palatino Linotype" w:eastAsia="Times New Roman" w:hAnsi="Palatino Linotype" w:cs="Times New Roman"/>
          <w:sz w:val="24"/>
          <w:szCs w:val="24"/>
          <w:lang w:eastAsia="en-GB"/>
        </w:rPr>
        <w:t>Louisiana (</w:t>
      </w:r>
      <w:r w:rsidR="00305E45">
        <w:rPr>
          <w:rFonts w:ascii="Palatino Linotype" w:eastAsia="Times New Roman" w:hAnsi="Palatino Linotype" w:cs="Times New Roman"/>
          <w:sz w:val="24"/>
          <w:szCs w:val="24"/>
          <w:lang w:eastAsia="en-GB"/>
        </w:rPr>
        <w:t>United States</w:t>
      </w:r>
      <w:r w:rsidRPr="00E45E35">
        <w:rPr>
          <w:rFonts w:ascii="Palatino Linotype" w:eastAsia="Times New Roman" w:hAnsi="Palatino Linotype" w:cs="Times New Roman"/>
          <w:sz w:val="24"/>
          <w:szCs w:val="24"/>
          <w:lang w:eastAsia="en-GB"/>
        </w:rPr>
        <w:t xml:space="preserve">) by integrating spectral indices (e.g., Modified Normalized Difference Water Index (MNDWI) and topographical features. results show that RF has </w:t>
      </w:r>
      <w:r w:rsidR="00305E45">
        <w:rPr>
          <w:rFonts w:ascii="Palatino Linotype" w:eastAsia="Times New Roman" w:hAnsi="Palatino Linotype" w:cs="Times New Roman"/>
          <w:sz w:val="24"/>
          <w:szCs w:val="24"/>
          <w:lang w:eastAsia="en-GB"/>
        </w:rPr>
        <w:t xml:space="preserve">a </w:t>
      </w:r>
      <w:r w:rsidRPr="00E45E35">
        <w:rPr>
          <w:rFonts w:ascii="Palatino Linotype" w:eastAsia="Times New Roman" w:hAnsi="Palatino Linotype" w:cs="Times New Roman"/>
          <w:sz w:val="24"/>
          <w:szCs w:val="24"/>
          <w:lang w:eastAsia="en-GB"/>
        </w:rPr>
        <w:t xml:space="preserve">low mean absolute (MAE) error (0.04) compared to SVN (0.09). </w:t>
      </w:r>
      <w:proofErr w:type="spellStart"/>
      <w:r w:rsidRPr="00E45E35">
        <w:rPr>
          <w:rFonts w:ascii="Palatino Linotype" w:eastAsia="Times New Roman" w:hAnsi="Palatino Linotype" w:cs="Arial"/>
          <w:color w:val="222222"/>
          <w:sz w:val="24"/>
          <w:szCs w:val="24"/>
          <w:shd w:val="clear" w:color="auto" w:fill="FFFFFF"/>
          <w:lang w:eastAsia="en-GB"/>
        </w:rPr>
        <w:t>Loukika</w:t>
      </w:r>
      <w:proofErr w:type="spellEnd"/>
      <w:r w:rsidRPr="00E45E35">
        <w:rPr>
          <w:rFonts w:ascii="Palatino Linotype" w:eastAsia="Times New Roman" w:hAnsi="Palatino Linotype" w:cs="Arial"/>
          <w:color w:val="222222"/>
          <w:sz w:val="24"/>
          <w:szCs w:val="24"/>
          <w:shd w:val="clear" w:color="auto" w:fill="FFFFFF"/>
          <w:lang w:eastAsia="en-GB"/>
        </w:rPr>
        <w:t xml:space="preserve"> et al. </w:t>
      </w:r>
      <w:r w:rsidRPr="00E45E35">
        <w:rPr>
          <w:rFonts w:ascii="Palatino Linotype" w:eastAsia="Times New Roman" w:hAnsi="Palatino Linotype" w:cs="Arial"/>
          <w:color w:val="222222"/>
          <w:sz w:val="24"/>
          <w:szCs w:val="24"/>
          <w:shd w:val="clear" w:color="auto" w:fill="FFFFFF"/>
          <w:lang w:eastAsia="en-GB"/>
        </w:rPr>
      </w:r>
      <w:r w:rsidR="00185E7F">
        <w:rPr>
          <w:rFonts w:ascii="Palatino Linotype" w:eastAsia="Times New Roman" w:hAnsi="Palatino Linotype" w:cs="Arial"/>
          <w:color w:val="222222"/>
          <w:sz w:val="24"/>
          <w:szCs w:val="24"/>
          <w:shd w:val="clear" w:color="auto" w:fill="FFFFFF"/>
          <w:lang w:eastAsia="en-GB"/>
        </w:rPr>
        <w:instrText xml:space="preserve"/>
      </w:r>
      <w:r w:rsidRPr="00E45E35">
        <w:rPr>
          <w:rFonts w:ascii="Palatino Linotype" w:eastAsia="Times New Roman" w:hAnsi="Palatino Linotype" w:cs="Arial"/>
          <w:color w:val="222222"/>
          <w:sz w:val="24"/>
          <w:szCs w:val="24"/>
          <w:shd w:val="clear" w:color="auto" w:fill="FFFFFF"/>
          <w:lang w:eastAsia="en-GB"/>
        </w:rPr>
      </w:r>
      <w:r w:rsidRPr="003C73D9">
        <w:rPr>
          <w:rFonts w:ascii="Palatino Linotype" w:eastAsia="Times New Roman" w:hAnsi="Palatino Linotype" w:cs="Arial"/>
          <w:noProof/>
          <w:color w:val="222222"/>
          <w:sz w:val="24"/>
          <w:szCs w:val="24"/>
          <w:shd w:val="clear" w:color="auto" w:fill="FFFFFF"/>
          <w:lang w:eastAsia="en-GB"/>
        </w:rPr>
        <w:t>(Loukika et al., 2021)</w:t>
      </w:r>
      <w:r w:rsidRPr="00E45E35">
        <w:rPr>
          <w:rFonts w:ascii="Palatino Linotype" w:eastAsia="Times New Roman" w:hAnsi="Palatino Linotype" w:cs="Arial"/>
          <w:color w:val="222222"/>
          <w:sz w:val="24"/>
          <w:szCs w:val="24"/>
          <w:shd w:val="clear" w:color="auto" w:fill="FFFFFF"/>
          <w:lang w:eastAsia="en-GB"/>
        </w:rPr>
      </w:r>
      <w:r w:rsidRPr="00E45E35">
        <w:rPr>
          <w:rFonts w:ascii="Palatino Linotype" w:eastAsia="Times New Roman" w:hAnsi="Palatino Linotype" w:cs="Arial"/>
          <w:color w:val="222222"/>
          <w:sz w:val="24"/>
          <w:szCs w:val="24"/>
          <w:shd w:val="clear" w:color="auto" w:fill="FFFFFF"/>
          <w:lang w:eastAsia="en-GB"/>
        </w:rPr>
        <w:t xml:space="preserve"> classified LULC in a river basin by comparing SVM, RF, and CART based on Landsat and Sentinel-2 data. The results indicate that RF outperformed both classification methods, achieving accuracy rates of 94.85% and 95.8% compared to SVM's 90.88% and 93.8% and CART's 82.88% and 86.4% for Landsat and Sentinel-2, respectively. Ren et al. </w:t>
      </w:r>
      <w:r w:rsidRPr="00E45E35">
        <w:rPr>
          <w:rFonts w:ascii="Palatino Linotype" w:eastAsia="Times New Roman" w:hAnsi="Palatino Linotype" w:cs="Arial"/>
          <w:color w:val="222222"/>
          <w:sz w:val="24"/>
          <w:szCs w:val="24"/>
          <w:shd w:val="clear" w:color="auto" w:fill="FFFFFF"/>
          <w:lang w:eastAsia="en-GB"/>
        </w:rPr>
      </w:r>
      <w:r w:rsidR="00185E7F">
        <w:rPr>
          <w:rFonts w:ascii="Palatino Linotype" w:eastAsia="Times New Roman" w:hAnsi="Palatino Linotype" w:cs="Arial"/>
          <w:color w:val="222222"/>
          <w:sz w:val="24"/>
          <w:szCs w:val="24"/>
          <w:shd w:val="clear" w:color="auto" w:fill="FFFFFF"/>
          <w:lang w:eastAsia="en-GB"/>
        </w:rPr>
        <w:instrText xml:space="preserve"/>
      </w:r>
      <w:r w:rsidRPr="00E45E35">
        <w:rPr>
          <w:rFonts w:ascii="Palatino Linotype" w:eastAsia="Times New Roman" w:hAnsi="Palatino Linotype" w:cs="Arial"/>
          <w:color w:val="222222"/>
          <w:sz w:val="24"/>
          <w:szCs w:val="24"/>
          <w:shd w:val="clear" w:color="auto" w:fill="FFFFFF"/>
          <w:lang w:eastAsia="en-GB"/>
        </w:rPr>
      </w:r>
      <w:r w:rsidRPr="003C73D9">
        <w:rPr>
          <w:rFonts w:ascii="Palatino Linotype" w:eastAsia="Times New Roman" w:hAnsi="Palatino Linotype" w:cs="Arial"/>
          <w:noProof/>
          <w:color w:val="222222"/>
          <w:sz w:val="24"/>
          <w:szCs w:val="24"/>
          <w:shd w:val="clear" w:color="auto" w:fill="FFFFFF"/>
          <w:lang w:eastAsia="en-GB"/>
        </w:rPr>
        <w:t>(Ren et al., 2024)</w:t>
      </w:r>
      <w:r w:rsidRPr="00E45E35">
        <w:rPr>
          <w:rFonts w:ascii="Palatino Linotype" w:eastAsia="Times New Roman" w:hAnsi="Palatino Linotype" w:cs="Arial"/>
          <w:color w:val="222222"/>
          <w:sz w:val="24"/>
          <w:szCs w:val="24"/>
          <w:shd w:val="clear" w:color="auto" w:fill="FFFFFF"/>
          <w:lang w:eastAsia="en-GB"/>
        </w:rPr>
      </w:r>
      <w:r w:rsidRPr="00E45E35">
        <w:rPr>
          <w:rFonts w:ascii="Palatino Linotype" w:eastAsia="Times New Roman" w:hAnsi="Palatino Linotype" w:cs="Arial"/>
          <w:color w:val="222222"/>
          <w:sz w:val="24"/>
          <w:szCs w:val="24"/>
          <w:shd w:val="clear" w:color="auto" w:fill="FFFFFF"/>
          <w:lang w:eastAsia="en-GB"/>
        </w:rPr>
        <w:t xml:space="preserve"> evaluated flood susceptibility using RF, </w:t>
      </w:r>
      <w:proofErr w:type="spellStart"/>
      <w:r w:rsidRPr="00E45E35">
        <w:rPr>
          <w:rFonts w:ascii="Palatino Linotype" w:eastAsia="Times New Roman" w:hAnsi="Palatino Linotype" w:cs="Arial"/>
          <w:color w:val="222222"/>
          <w:sz w:val="24"/>
          <w:szCs w:val="24"/>
          <w:shd w:val="clear" w:color="auto" w:fill="FFFFFF"/>
          <w:lang w:eastAsia="en-GB"/>
        </w:rPr>
        <w:t>XGBoost</w:t>
      </w:r>
      <w:proofErr w:type="spellEnd"/>
      <w:r w:rsidRPr="00E45E35">
        <w:rPr>
          <w:rFonts w:ascii="Palatino Linotype" w:eastAsia="Times New Roman" w:hAnsi="Palatino Linotype" w:cs="Arial"/>
          <w:color w:val="222222"/>
          <w:sz w:val="24"/>
          <w:szCs w:val="24"/>
          <w:shd w:val="clear" w:color="auto" w:fill="FFFFFF"/>
          <w:lang w:eastAsia="en-GB"/>
        </w:rPr>
        <w:t xml:space="preserve">, SVM, and ANN. The findings indicate that RF achieved the highest accuracy, 0.87. </w:t>
      </w:r>
      <w:proofErr w:type="spellStart"/>
      <w:r w:rsidRPr="00E45E35">
        <w:rPr>
          <w:rFonts w:ascii="Palatino Linotype" w:eastAsia="Times New Roman" w:hAnsi="Palatino Linotype" w:cs="Arial"/>
          <w:color w:val="222222"/>
          <w:sz w:val="24"/>
          <w:szCs w:val="24"/>
          <w:shd w:val="clear" w:color="auto" w:fill="FFFFFF"/>
          <w:lang w:eastAsia="en-GB"/>
        </w:rPr>
        <w:t>XGBoost</w:t>
      </w:r>
      <w:proofErr w:type="spellEnd"/>
      <w:r w:rsidRPr="00E45E35">
        <w:rPr>
          <w:rFonts w:ascii="Palatino Linotype" w:eastAsia="Times New Roman" w:hAnsi="Palatino Linotype" w:cs="Arial"/>
          <w:color w:val="222222"/>
          <w:sz w:val="24"/>
          <w:szCs w:val="24"/>
          <w:shd w:val="clear" w:color="auto" w:fill="FFFFFF"/>
          <w:lang w:eastAsia="en-GB"/>
        </w:rPr>
        <w:t xml:space="preserve"> followed closely at 0.84, outperforming both ANN (0.83) and SVM (0.82). The RF approach is highly robust because of its numerous advantages</w:t>
      </w:r>
      <w:r w:rsidR="00FC7A0E" w:rsidRPr="003C73D9">
        <w:rPr>
          <w:rFonts w:ascii="Palatino Linotype" w:eastAsia="Times New Roman" w:hAnsi="Palatino Linotype" w:cs="Arial"/>
          <w:color w:val="222222"/>
          <w:sz w:val="24"/>
          <w:szCs w:val="24"/>
          <w:shd w:val="clear" w:color="auto" w:fill="FFFFFF"/>
          <w:lang w:eastAsia="en-GB"/>
        </w:rPr>
        <w:t xml:space="preserve"> over other machine learning</w:t>
      </w:r>
      <w:r w:rsidRPr="00E45E35">
        <w:rPr>
          <w:rFonts w:ascii="Palatino Linotype" w:eastAsia="Times New Roman" w:hAnsi="Palatino Linotype" w:cs="Arial"/>
          <w:color w:val="222222"/>
          <w:sz w:val="24"/>
          <w:szCs w:val="24"/>
          <w:shd w:val="clear" w:color="auto" w:fill="FFFFFF"/>
          <w:lang w:eastAsia="en-GB"/>
        </w:rPr>
        <w:t xml:space="preserve"> </w:t>
      </w:r>
      <w:r w:rsidRPr="00E45E35">
        <w:rPr>
          <w:rFonts w:ascii="Palatino Linotype" w:eastAsia="Times New Roman" w:hAnsi="Palatino Linotype" w:cs="Arial"/>
          <w:color w:val="222222"/>
          <w:sz w:val="24"/>
          <w:szCs w:val="24"/>
          <w:shd w:val="clear" w:color="auto" w:fill="FFFFFF"/>
          <w:lang w:eastAsia="en-GB"/>
        </w:rPr>
      </w:r>
      <w:r w:rsidRPr="003C73D9">
        <w:rPr>
          <w:rFonts w:ascii="Palatino Linotype" w:eastAsia="Times New Roman" w:hAnsi="Palatino Linotype" w:cs="Arial"/>
          <w:color w:val="222222"/>
          <w:sz w:val="24"/>
          <w:szCs w:val="24"/>
          <w:shd w:val="clear" w:color="auto" w:fill="FFFFFF"/>
          <w:lang w:eastAsia="en-GB"/>
        </w:rPr>
        <w:instrText xml:space="preserve"/>
      </w:r>
      <w:r w:rsidRPr="00E45E35">
        <w:rPr>
          <w:rFonts w:ascii="Palatino Linotype" w:eastAsia="Times New Roman" w:hAnsi="Palatino Linotype" w:cs="Arial"/>
          <w:color w:val="222222"/>
          <w:sz w:val="24"/>
          <w:szCs w:val="24"/>
          <w:shd w:val="clear" w:color="auto" w:fill="FFFFFF"/>
          <w:lang w:eastAsia="en-GB"/>
        </w:rPr>
      </w:r>
      <w:r w:rsidRPr="003C73D9">
        <w:rPr>
          <w:rFonts w:ascii="Palatino Linotype" w:eastAsia="Times New Roman" w:hAnsi="Palatino Linotype" w:cs="Arial"/>
          <w:noProof/>
          <w:color w:val="222222"/>
          <w:sz w:val="24"/>
          <w:szCs w:val="24"/>
          <w:shd w:val="clear" w:color="auto" w:fill="FFFFFF"/>
          <w:lang w:eastAsia="en-GB"/>
        </w:rPr>
        <w:t>(Maxwell et al., 2018)</w:t>
      </w:r>
      <w:r w:rsidRPr="00E45E35">
        <w:rPr>
          <w:rFonts w:ascii="Palatino Linotype" w:eastAsia="Times New Roman" w:hAnsi="Palatino Linotype" w:cs="Arial"/>
          <w:color w:val="222222"/>
          <w:sz w:val="24"/>
          <w:szCs w:val="24"/>
          <w:shd w:val="clear" w:color="auto" w:fill="FFFFFF"/>
          <w:lang w:eastAsia="en-GB"/>
        </w:rPr>
      </w:r>
      <w:r w:rsidRPr="00E45E35">
        <w:rPr>
          <w:rFonts w:ascii="Palatino Linotype" w:eastAsia="Times New Roman" w:hAnsi="Palatino Linotype" w:cs="Arial"/>
          <w:color w:val="222222"/>
          <w:sz w:val="24"/>
          <w:szCs w:val="24"/>
          <w:shd w:val="clear" w:color="auto" w:fill="FFFFFF"/>
          <w:lang w:eastAsia="en-GB"/>
        </w:rPr>
        <w:t>.</w:t>
      </w:r>
    </w:p>
    <w:p w:rsidR="00F97356" w:rsidRPr="003C73D9" w:rsidRDefault="005D24EA"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r w:rsidRPr="003C73D9">
        <w:rPr>
          <w:rFonts w:ascii="Palatino Linotype" w:eastAsia="Times New Roman" w:hAnsi="Palatino Linotype" w:cs="Times New Roman"/>
          <w:snapToGrid w:val="0"/>
          <w:color w:val="000000"/>
          <w:sz w:val="24"/>
          <w:szCs w:val="24"/>
          <w:lang w:val="en-US" w:eastAsia="de-DE" w:bidi="en-US"/>
        </w:rPr>
        <w:t>F</w:t>
      </w:r>
      <w:r w:rsidR="00D15E7C" w:rsidRPr="00E45E35">
        <w:rPr>
          <w:rFonts w:ascii="Palatino Linotype" w:eastAsia="Times New Roman" w:hAnsi="Palatino Linotype" w:cs="Times New Roman"/>
          <w:snapToGrid w:val="0"/>
          <w:color w:val="000000"/>
          <w:sz w:val="24"/>
          <w:szCs w:val="24"/>
          <w:lang w:val="en-US" w:eastAsia="de-DE" w:bidi="en-US"/>
        </w:rPr>
        <w:t xml:space="preserve">looding is becoming more frequent and unpredictable due to uncertainty in climate extremes </w:t>
      </w:r>
      <w:r w:rsidR="00D15E7C" w:rsidRPr="00E45E35">
        <w:rPr>
          <w:rFonts w:ascii="Palatino Linotype" w:eastAsia="Times New Roman" w:hAnsi="Palatino Linotype" w:cs="Times New Roman"/>
          <w:snapToGrid w:val="0"/>
          <w:color w:val="000000"/>
          <w:sz w:val="24"/>
          <w:szCs w:val="24"/>
          <w:lang w:val="en-US" w:eastAsia="de-DE" w:bidi="en-US"/>
        </w:rPr>
      </w:r>
      <w:r w:rsidR="00185E7F">
        <w:rPr>
          <w:rFonts w:ascii="Palatino Linotype" w:eastAsia="Times New Roman" w:hAnsi="Palatino Linotype" w:cs="Times New Roman"/>
          <w:snapToGrid w:val="0"/>
          <w:color w:val="000000"/>
          <w:sz w:val="24"/>
          <w:szCs w:val="24"/>
          <w:lang w:val="en-US" w:eastAsia="de-DE" w:bidi="en-US"/>
        </w:rPr>
        <w:instrText xml:space="preserve"/>
      </w:r>
      <w:r w:rsidR="00D15E7C" w:rsidRPr="00E45E35">
        <w:rPr>
          <w:rFonts w:ascii="Palatino Linotype" w:eastAsia="Times New Roman" w:hAnsi="Palatino Linotype" w:cs="Times New Roman"/>
          <w:snapToGrid w:val="0"/>
          <w:color w:val="000000"/>
          <w:sz w:val="24"/>
          <w:szCs w:val="24"/>
          <w:lang w:val="en-US" w:eastAsia="de-DE" w:bidi="en-US"/>
        </w:rPr>
      </w:r>
      <w:r w:rsidR="00D15E7C" w:rsidRPr="003C73D9">
        <w:rPr>
          <w:rFonts w:ascii="Palatino Linotype" w:eastAsia="Times New Roman" w:hAnsi="Palatino Linotype" w:cs="Times New Roman"/>
          <w:noProof/>
          <w:snapToGrid w:val="0"/>
          <w:color w:val="000000"/>
          <w:sz w:val="24"/>
          <w:szCs w:val="24"/>
          <w:lang w:val="en-US" w:eastAsia="de-DE" w:bidi="en-US"/>
        </w:rPr>
        <w:t>(Cred, 2020; Tellman et al., 2021)</w:t>
      </w:r>
      <w:r w:rsidR="00D15E7C" w:rsidRPr="00E45E35">
        <w:rPr>
          <w:rFonts w:ascii="Palatino Linotype" w:eastAsia="Times New Roman" w:hAnsi="Palatino Linotype" w:cs="Times New Roman"/>
          <w:snapToGrid w:val="0"/>
          <w:color w:val="000000"/>
          <w:sz w:val="24"/>
          <w:szCs w:val="24"/>
          <w:lang w:val="en-US" w:eastAsia="de-DE" w:bidi="en-US"/>
        </w:rPr>
      </w:r>
      <w:r w:rsidR="00D15E7C" w:rsidRPr="00E45E35">
        <w:rPr>
          <w:rFonts w:ascii="Palatino Linotype" w:eastAsia="Times New Roman" w:hAnsi="Palatino Linotype" w:cs="Times New Roman"/>
          <w:snapToGrid w:val="0"/>
          <w:color w:val="000000"/>
          <w:sz w:val="24"/>
          <w:szCs w:val="24"/>
          <w:lang w:val="en-US" w:eastAsia="de-DE" w:bidi="en-US"/>
        </w:rPr>
        <w:t xml:space="preserve">, upsetting established crop cycles and putting yields at risk </w:t>
      </w:r>
      <w:r w:rsidR="00D15E7C" w:rsidRPr="00E45E35">
        <w:rPr>
          <w:rFonts w:ascii="Palatino Linotype" w:eastAsia="Times New Roman" w:hAnsi="Palatino Linotype" w:cs="Times New Roman"/>
          <w:snapToGrid w:val="0"/>
          <w:color w:val="000000"/>
          <w:sz w:val="24"/>
          <w:szCs w:val="24"/>
          <w:lang w:val="en-US" w:eastAsia="de-DE" w:bidi="en-US"/>
        </w:rPr>
      </w:r>
      <w:r w:rsidR="00185E7F">
        <w:rPr>
          <w:rFonts w:ascii="Palatino Linotype" w:eastAsia="Times New Roman" w:hAnsi="Palatino Linotype" w:cs="Times New Roman"/>
          <w:snapToGrid w:val="0"/>
          <w:color w:val="000000"/>
          <w:sz w:val="24"/>
          <w:szCs w:val="24"/>
          <w:lang w:val="en-US" w:eastAsia="de-DE" w:bidi="en-US"/>
        </w:rPr>
        <w:instrText xml:space="preserve"/>
      </w:r>
      <w:r w:rsidR="00D15E7C" w:rsidRPr="00E45E35">
        <w:rPr>
          <w:rFonts w:ascii="Palatino Linotype" w:eastAsia="Times New Roman" w:hAnsi="Palatino Linotype" w:cs="Times New Roman"/>
          <w:snapToGrid w:val="0"/>
          <w:color w:val="000000"/>
          <w:sz w:val="24"/>
          <w:szCs w:val="24"/>
          <w:lang w:val="en-US" w:eastAsia="de-DE" w:bidi="en-US"/>
        </w:rPr>
      </w:r>
      <w:r w:rsidR="00D15E7C" w:rsidRPr="003C73D9">
        <w:rPr>
          <w:rFonts w:ascii="Palatino Linotype" w:eastAsia="Times New Roman" w:hAnsi="Palatino Linotype" w:cs="Times New Roman"/>
          <w:noProof/>
          <w:snapToGrid w:val="0"/>
          <w:color w:val="000000"/>
          <w:sz w:val="24"/>
          <w:szCs w:val="24"/>
          <w:lang w:val="en-US" w:eastAsia="de-DE" w:bidi="en-US"/>
        </w:rPr>
        <w:t>(Raza et al., 2019)</w:t>
      </w:r>
      <w:r w:rsidR="00D15E7C" w:rsidRPr="00E45E35">
        <w:rPr>
          <w:rFonts w:ascii="Palatino Linotype" w:eastAsia="Times New Roman" w:hAnsi="Palatino Linotype" w:cs="Times New Roman"/>
          <w:snapToGrid w:val="0"/>
          <w:color w:val="000000"/>
          <w:sz w:val="24"/>
          <w:szCs w:val="24"/>
          <w:lang w:val="en-US" w:eastAsia="de-DE" w:bidi="en-US"/>
        </w:rPr>
      </w:r>
      <w:r w:rsidR="00D15E7C" w:rsidRPr="00E45E35">
        <w:rPr>
          <w:rFonts w:ascii="Palatino Linotype" w:eastAsia="Times New Roman" w:hAnsi="Palatino Linotype" w:cs="Times New Roman"/>
          <w:snapToGrid w:val="0"/>
          <w:color w:val="000000"/>
          <w:sz w:val="24"/>
          <w:szCs w:val="24"/>
          <w:lang w:val="en-US" w:eastAsia="de-DE" w:bidi="en-US"/>
        </w:rPr>
        <w:t xml:space="preserve"> and further worsening, food security, </w:t>
      </w:r>
      <w:r w:rsidR="00F97356" w:rsidRPr="003C73D9">
        <w:rPr>
          <w:rFonts w:ascii="Palatino Linotype" w:eastAsia="Times New Roman" w:hAnsi="Palatino Linotype" w:cs="Times New Roman"/>
          <w:snapToGrid w:val="0"/>
          <w:color w:val="000000"/>
          <w:sz w:val="24"/>
          <w:szCs w:val="24"/>
          <w:lang w:val="en-US" w:eastAsia="de-DE" w:bidi="en-US"/>
        </w:rPr>
        <w:t xml:space="preserve">and </w:t>
      </w:r>
      <w:r w:rsidR="00D15E7C" w:rsidRPr="00E45E35">
        <w:rPr>
          <w:rFonts w:ascii="Palatino Linotype" w:eastAsia="Times New Roman" w:hAnsi="Palatino Linotype" w:cs="Times New Roman"/>
          <w:snapToGrid w:val="0"/>
          <w:color w:val="000000"/>
          <w:sz w:val="24"/>
          <w:szCs w:val="24"/>
          <w:lang w:val="en-US" w:eastAsia="de-DE" w:bidi="en-US"/>
        </w:rPr>
        <w:t xml:space="preserve">subsistence and livelihoods of local communities </w:t>
      </w:r>
      <w:r w:rsidR="00D15E7C" w:rsidRPr="00E45E35">
        <w:rPr>
          <w:rFonts w:ascii="Palatino Linotype" w:eastAsia="Times New Roman" w:hAnsi="Palatino Linotype" w:cs="Times New Roman"/>
          <w:snapToGrid w:val="0"/>
          <w:color w:val="000000"/>
          <w:sz w:val="24"/>
          <w:szCs w:val="24"/>
          <w:lang w:val="en-US" w:eastAsia="de-DE" w:bidi="en-US"/>
        </w:rPr>
      </w:r>
      <w:r w:rsidR="00185E7F">
        <w:rPr>
          <w:rFonts w:ascii="Palatino Linotype" w:eastAsia="Times New Roman" w:hAnsi="Palatino Linotype" w:cs="Times New Roman"/>
          <w:snapToGrid w:val="0"/>
          <w:color w:val="000000"/>
          <w:sz w:val="24"/>
          <w:szCs w:val="24"/>
          <w:lang w:val="en-US" w:eastAsia="de-DE" w:bidi="en-US"/>
        </w:rPr>
        <w:instrText xml:space="preserve"/>
      </w:r>
      <w:r w:rsidR="00D15E7C" w:rsidRPr="00E45E35">
        <w:rPr>
          <w:rFonts w:ascii="Palatino Linotype" w:eastAsia="Times New Roman" w:hAnsi="Palatino Linotype" w:cs="Times New Roman"/>
          <w:snapToGrid w:val="0"/>
          <w:color w:val="000000"/>
          <w:sz w:val="24"/>
          <w:szCs w:val="24"/>
          <w:lang w:val="en-US" w:eastAsia="de-DE" w:bidi="en-US"/>
        </w:rPr>
      </w:r>
      <w:r w:rsidR="00D15E7C" w:rsidRPr="003C73D9">
        <w:rPr>
          <w:rFonts w:ascii="Palatino Linotype" w:eastAsia="Times New Roman" w:hAnsi="Palatino Linotype" w:cs="Times New Roman"/>
          <w:noProof/>
          <w:snapToGrid w:val="0"/>
          <w:color w:val="000000"/>
          <w:sz w:val="24"/>
          <w:szCs w:val="24"/>
          <w:lang w:val="en-US" w:eastAsia="de-DE" w:bidi="en-US"/>
        </w:rPr>
        <w:t>(FAO, 2018)</w:t>
      </w:r>
      <w:r w:rsidR="00D15E7C" w:rsidRPr="00E45E35">
        <w:rPr>
          <w:rFonts w:ascii="Palatino Linotype" w:eastAsia="Times New Roman" w:hAnsi="Palatino Linotype" w:cs="Times New Roman"/>
          <w:snapToGrid w:val="0"/>
          <w:color w:val="000000"/>
          <w:sz w:val="24"/>
          <w:szCs w:val="24"/>
          <w:lang w:val="en-US" w:eastAsia="de-DE" w:bidi="en-US"/>
        </w:rPr>
      </w:r>
      <w:r w:rsidR="00D15E7C" w:rsidRPr="00E45E35">
        <w:rPr>
          <w:rFonts w:ascii="Palatino Linotype" w:eastAsia="Times New Roman" w:hAnsi="Palatino Linotype" w:cs="Times New Roman"/>
          <w:snapToGrid w:val="0"/>
          <w:color w:val="000000"/>
          <w:sz w:val="24"/>
          <w:szCs w:val="24"/>
          <w:lang w:val="en-US" w:eastAsia="de-DE" w:bidi="en-US"/>
        </w:rPr>
        <w:t xml:space="preserve">. </w:t>
      </w:r>
    </w:p>
    <w:p w:rsidR="00FC7A0E" w:rsidRPr="00C705F3" w:rsidRDefault="00F97356"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r w:rsidRPr="003C73D9">
        <w:rPr>
          <w:rFonts w:ascii="Palatino Linotype" w:eastAsia="Times New Roman" w:hAnsi="Palatino Linotype" w:cs="Times New Roman"/>
          <w:snapToGrid w:val="0"/>
          <w:color w:val="000000"/>
          <w:sz w:val="24"/>
          <w:szCs w:val="24"/>
          <w:lang w:val="en-US" w:eastAsia="de-DE" w:bidi="en-US"/>
        </w:rPr>
        <w:t>Remote sensing approaches for mapping the spatial extent of flood events are highly viable, but the need for extensive training data over large areas through field campaigns is quite costly</w:t>
      </w:r>
      <w:r w:rsidR="00D15E7C" w:rsidRPr="00E45E35">
        <w:rPr>
          <w:rFonts w:ascii="Palatino Linotype" w:eastAsia="Times New Roman" w:hAnsi="Palatino Linotype" w:cs="Times New Roman"/>
          <w:snapToGrid w:val="0"/>
          <w:color w:val="000000"/>
          <w:sz w:val="24"/>
          <w:szCs w:val="24"/>
          <w:lang w:val="en-US" w:eastAsia="de-DE" w:bidi="en-US"/>
        </w:rPr>
        <w:t xml:space="preserve">. </w:t>
      </w:r>
      <w:r w:rsidRPr="003C73D9">
        <w:rPr>
          <w:rFonts w:ascii="Palatino Linotype" w:eastAsia="Times New Roman" w:hAnsi="Palatino Linotype" w:cs="Times New Roman"/>
          <w:snapToGrid w:val="0"/>
          <w:color w:val="000000"/>
          <w:sz w:val="24"/>
          <w:szCs w:val="24"/>
          <w:lang w:val="en-US" w:eastAsia="de-DE" w:bidi="en-US"/>
        </w:rPr>
        <w:t>At the same time, the advantages provided by the Google Earth Engine cloud computing platform present a viable option for mapping land use and land cover (LULC).</w:t>
      </w:r>
      <w:r w:rsidR="00FC7A0E" w:rsidRPr="003C73D9">
        <w:rPr>
          <w:rFonts w:ascii="Palatino Linotype" w:eastAsia="Times New Roman" w:hAnsi="Palatino Linotype" w:cs="Times New Roman"/>
          <w:snapToGrid w:val="0"/>
          <w:color w:val="000000"/>
          <w:sz w:val="24"/>
          <w:szCs w:val="24"/>
          <w:lang w:val="en-US" w:eastAsia="de-DE" w:bidi="en-US"/>
        </w:rPr>
        <w:t xml:space="preserve"> </w:t>
      </w:r>
      <w:r w:rsidR="00EA3A7B" w:rsidRPr="003C73D9">
        <w:rPr>
          <w:rFonts w:ascii="Palatino Linotype" w:eastAsia="Times New Roman" w:hAnsi="Palatino Linotype" w:cs="Times New Roman"/>
          <w:snapToGrid w:val="0"/>
          <w:color w:val="000000"/>
          <w:sz w:val="24"/>
          <w:szCs w:val="24"/>
          <w:lang w:val="en-US" w:eastAsia="de-DE" w:bidi="en-US"/>
        </w:rPr>
        <w:t>This study aims to validate one of the most widely used automatic flood detection algorithms using Sentinel-1 Synthetic Aperture Radar (SAR) data within the Google Earth Engine (GEE) platform</w:t>
      </w:r>
      <w:r w:rsidR="00C705F3">
        <w:rPr>
          <w:rFonts w:ascii="Palatino Linotype" w:eastAsia="Times New Roman" w:hAnsi="Palatino Linotype" w:cs="Times New Roman"/>
          <w:snapToGrid w:val="0"/>
          <w:color w:val="000000"/>
          <w:sz w:val="24"/>
          <w:szCs w:val="24"/>
          <w:lang w:val="en-US" w:eastAsia="de-DE" w:bidi="en-US"/>
        </w:rPr>
        <w:t>.</w:t>
      </w:r>
    </w:p>
    <w:p w:rsidR="00FC7A0E" w:rsidRPr="003C73D9" w:rsidRDefault="00FC7A0E"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lastRenderedPageBreak/>
        <w:t>2. Material and method</w:t>
      </w:r>
    </w:p>
    <w:p w:rsidR="00FC7A0E" w:rsidRPr="003C73D9"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2.1 Study area</w:t>
      </w:r>
    </w:p>
    <w:p w:rsidR="00F536AD" w:rsidRPr="003C73D9" w:rsidRDefault="00F536AD" w:rsidP="00305E45">
      <w:pPr>
        <w:spacing w:before="120" w:after="120" w:line="360" w:lineRule="auto"/>
        <w:jc w:val="both"/>
        <w:rPr>
          <w:rFonts w:ascii="Palatino Linotype" w:hAnsi="Palatino Linotype"/>
          <w:sz w:val="24"/>
          <w:szCs w:val="24"/>
        </w:rPr>
      </w:pPr>
      <w:r w:rsidRPr="003C73D9">
        <w:rPr>
          <w:rFonts w:ascii="Palatino Linotype" w:hAnsi="Palatino Linotype"/>
          <w:sz w:val="24"/>
          <w:szCs w:val="24"/>
        </w:rPr>
        <w:t>The study area is located in Argungu, Kebbi State, in north-western Nigeria. This region is known for the cultivation of rice, as well as other cereals and vegetable crops, with a large portion of the population engaged in rice farming during both the rainy and dry seasons. However, annual flood events significantly impact rice production, making it challenging for farmers to sustain their livelihoods. Mapping the spatial extent of these floods is a crucial step in addressing this issue.</w:t>
      </w:r>
    </w:p>
    <w:p w:rsidR="00BB3677" w:rsidRPr="003C73D9" w:rsidRDefault="00F55C08"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drawing>
          <wp:inline distT="0" distB="0" distL="0" distR="0">
            <wp:extent cx="5943600" cy="2755661"/>
            <wp:effectExtent l="0" t="0" r="0" b="6985"/>
            <wp:docPr id="9" name="Picture 9" descr="C:\Users\saada\Documents\IBR_2024\study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da\Documents\IBR_2024\study_are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55661"/>
                    </a:xfrm>
                    <a:prstGeom prst="rect">
                      <a:avLst/>
                    </a:prstGeom>
                    <a:noFill/>
                    <a:ln>
                      <a:noFill/>
                    </a:ln>
                  </pic:spPr>
                </pic:pic>
              </a:graphicData>
            </a:graphic>
          </wp:inline>
        </w:drawing>
      </w:r>
    </w:p>
    <w:p w:rsidR="00BB3677" w:rsidRPr="003C73D9" w:rsidRDefault="00BB3677"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 xml:space="preserve">Figure 1: the study area based on a high-resolution true-color imagery </w:t>
      </w:r>
    </w:p>
    <w:p w:rsidR="008C3C55"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2.2 Sentinel-1 data</w:t>
      </w:r>
    </w:p>
    <w:p w:rsidR="004F2EB0" w:rsidRPr="003C73D9" w:rsidRDefault="003C73D9" w:rsidP="003C73D9">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rPr>
        <w:t>Sentinel-1 data, which is provided by the European Space Agency's Copernicus Programme, is a dual-polarization C-band Synthetic Aperture Radar (SAR) data. In this study, publicly available Sentinel-1 data on Google Earth Engine (GEE) will be utilized. The data is available in both single polarization (VV) and dual polarization (VV and VH).</w:t>
      </w:r>
      <w:r w:rsidR="00B5693C">
        <w:rPr>
          <w:rFonts w:ascii="Palatino Linotype" w:hAnsi="Palatino Linotype"/>
          <w:sz w:val="24"/>
          <w:szCs w:val="24"/>
        </w:rPr>
        <w:t xml:space="preserve"> Figure 2 </w:t>
      </w:r>
      <w:r w:rsidR="00FC6958">
        <w:rPr>
          <w:rFonts w:ascii="Palatino Linotype" w:hAnsi="Palatino Linotype"/>
          <w:sz w:val="24"/>
          <w:szCs w:val="24"/>
        </w:rPr>
        <w:t>indicates</w:t>
      </w:r>
      <w:r w:rsidR="00B5693C">
        <w:rPr>
          <w:rFonts w:ascii="Palatino Linotype" w:hAnsi="Palatino Linotype"/>
          <w:sz w:val="24"/>
          <w:szCs w:val="24"/>
        </w:rPr>
        <w:t xml:space="preserve"> the Sentinel-1 backscatter in VV polarization.</w:t>
      </w:r>
    </w:p>
    <w:p w:rsidR="00CD0FA9" w:rsidRDefault="00F55C08"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3C66D93E" wp14:editId="67A5F675">
            <wp:extent cx="6022730" cy="2772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22730" cy="2772000"/>
                    </a:xfrm>
                    <a:prstGeom prst="rect">
                      <a:avLst/>
                    </a:prstGeom>
                  </pic:spPr>
                </pic:pic>
              </a:graphicData>
            </a:graphic>
          </wp:inline>
        </w:drawing>
      </w:r>
    </w:p>
    <w:p w:rsidR="00B5693C" w:rsidRPr="003C73D9" w:rsidRDefault="00B5693C" w:rsidP="003C73D9">
      <w:pPr>
        <w:spacing w:line="360" w:lineRule="auto"/>
        <w:jc w:val="both"/>
        <w:rPr>
          <w:rFonts w:ascii="Palatino Linotype" w:hAnsi="Palatino Linotype"/>
          <w:sz w:val="24"/>
          <w:szCs w:val="24"/>
          <w:lang w:val="en-US" w:eastAsia="de-DE" w:bidi="en-US"/>
        </w:rPr>
      </w:pPr>
      <w:r>
        <w:rPr>
          <w:rFonts w:ascii="Palatino Linotype" w:hAnsi="Palatino Linotype"/>
          <w:sz w:val="24"/>
          <w:szCs w:val="24"/>
          <w:lang w:val="en-US" w:eastAsia="de-DE" w:bidi="en-US"/>
        </w:rPr>
        <w:t>Figure 2: Sentinel-1 backscatter (VV) polarization</w:t>
      </w:r>
    </w:p>
    <w:p w:rsidR="00FC7A0E"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2.3</w:t>
      </w:r>
      <w:r w:rsidR="00FC7A0E" w:rsidRPr="003C73D9">
        <w:rPr>
          <w:rFonts w:ascii="Palatino Linotype" w:eastAsia="Times New Roman" w:hAnsi="Palatino Linotype"/>
          <w:snapToGrid w:val="0"/>
          <w:color w:val="auto"/>
          <w:sz w:val="24"/>
          <w:szCs w:val="24"/>
          <w:lang w:val="en-US" w:eastAsia="de-DE" w:bidi="en-US"/>
        </w:rPr>
        <w:t xml:space="preserve"> Method</w:t>
      </w:r>
    </w:p>
    <w:p w:rsidR="00FC7A0E" w:rsidRPr="003C73D9" w:rsidRDefault="008C3C55" w:rsidP="003C73D9">
      <w:pPr>
        <w:pStyle w:val="Heading3"/>
        <w:spacing w:line="360" w:lineRule="auto"/>
        <w:jc w:val="both"/>
        <w:rPr>
          <w:rFonts w:ascii="Palatino Linotype" w:eastAsia="Times New Roman" w:hAnsi="Palatino Linotype"/>
          <w:snapToGrid w:val="0"/>
          <w:color w:val="auto"/>
          <w:lang w:val="en-US" w:eastAsia="de-DE" w:bidi="en-US"/>
        </w:rPr>
      </w:pPr>
      <w:r w:rsidRPr="003C73D9">
        <w:rPr>
          <w:rFonts w:ascii="Palatino Linotype" w:eastAsia="Times New Roman" w:hAnsi="Palatino Linotype"/>
          <w:snapToGrid w:val="0"/>
          <w:color w:val="auto"/>
          <w:lang w:val="en-US" w:eastAsia="de-DE" w:bidi="en-US"/>
        </w:rPr>
        <w:t>2.3</w:t>
      </w:r>
      <w:r w:rsidR="00FC7A0E" w:rsidRPr="003C73D9">
        <w:rPr>
          <w:rFonts w:ascii="Palatino Linotype" w:eastAsia="Times New Roman" w:hAnsi="Palatino Linotype"/>
          <w:snapToGrid w:val="0"/>
          <w:color w:val="auto"/>
          <w:lang w:val="en-US" w:eastAsia="de-DE" w:bidi="en-US"/>
        </w:rPr>
        <w:t xml:space="preserve">.1 RF classification </w:t>
      </w:r>
    </w:p>
    <w:p w:rsidR="00185E7F" w:rsidRDefault="003F40B3" w:rsidP="002A57E8">
      <w:pPr>
        <w:spacing w:line="360" w:lineRule="auto"/>
        <w:jc w:val="both"/>
        <w:rPr>
          <w:rFonts w:ascii="Palatino Linotype" w:hAnsi="Palatino Linotype"/>
          <w:sz w:val="24"/>
          <w:szCs w:val="24"/>
          <w:lang w:val="en-US" w:eastAsia="de-DE" w:bidi="en-US"/>
        </w:rPr>
      </w:pPr>
      <w:r w:rsidRPr="003F40B3">
        <w:rPr>
          <w:rFonts w:ascii="Palatino Linotype" w:hAnsi="Palatino Linotype"/>
          <w:sz w:val="24"/>
          <w:szCs w:val="24"/>
          <w:lang w:val="en-US" w:eastAsia="de-DE" w:bidi="en-US"/>
        </w:rPr>
        <w:t>For the Random Forest (RF) classification, training areas were carefully selected</w:t>
      </w:r>
      <w:r w:rsidR="00817206">
        <w:rPr>
          <w:rFonts w:ascii="Palatino Linotype" w:hAnsi="Palatino Linotype"/>
          <w:sz w:val="24"/>
          <w:szCs w:val="24"/>
          <w:lang w:val="en-US" w:eastAsia="de-DE" w:bidi="en-US"/>
        </w:rPr>
        <w:t xml:space="preserve"> based on high-resolution imagery</w:t>
      </w:r>
      <w:r w:rsidRPr="003F40B3">
        <w:rPr>
          <w:rFonts w:ascii="Palatino Linotype" w:hAnsi="Palatino Linotype"/>
          <w:sz w:val="24"/>
          <w:szCs w:val="24"/>
          <w:lang w:val="en-US" w:eastAsia="de-DE" w:bidi="en-US"/>
        </w:rPr>
        <w:t>, and 100 decision trees were chosen for the classification process. The classification was performed within the Google Earth Engine (GEE) platform, leveraging its cloud computing capabilities to efficiently analyze the large spatial datasets</w:t>
      </w:r>
      <w:r w:rsidR="00185E7F">
        <w:rPr>
          <w:rFonts w:ascii="Palatino Linotype" w:hAnsi="Palatino Linotype"/>
          <w:sz w:val="24"/>
          <w:szCs w:val="24"/>
          <w:lang w:val="en-US" w:eastAsia="de-DE" w:bidi="en-US"/>
        </w:rPr>
        <w:t xml:space="preserve"> </w:t>
      </w:r>
    </w:p>
    <w:p w:rsidR="00FC7A0E" w:rsidRPr="00185E7F" w:rsidRDefault="008C3C55" w:rsidP="00185E7F">
      <w:pPr>
        <w:pStyle w:val="Heading3"/>
        <w:rPr>
          <w:rFonts w:ascii="Palatino Linotype" w:eastAsia="Times New Roman" w:hAnsi="Palatino Linotype"/>
          <w:snapToGrid w:val="0"/>
          <w:color w:val="auto"/>
          <w:lang w:val="en-US" w:eastAsia="de-DE" w:bidi="en-US"/>
        </w:rPr>
      </w:pPr>
      <w:r w:rsidRPr="00185E7F">
        <w:rPr>
          <w:rFonts w:ascii="Palatino Linotype" w:eastAsia="Times New Roman" w:hAnsi="Palatino Linotype"/>
          <w:snapToGrid w:val="0"/>
          <w:color w:val="auto"/>
          <w:lang w:val="en-US" w:eastAsia="de-DE" w:bidi="en-US"/>
        </w:rPr>
        <w:t>2.3</w:t>
      </w:r>
      <w:r w:rsidR="00FC7A0E" w:rsidRPr="00185E7F">
        <w:rPr>
          <w:rFonts w:ascii="Palatino Linotype" w:eastAsia="Times New Roman" w:hAnsi="Palatino Linotype"/>
          <w:snapToGrid w:val="0"/>
          <w:color w:val="auto"/>
          <w:lang w:val="en-US" w:eastAsia="de-DE" w:bidi="en-US"/>
        </w:rPr>
        <w:t>.2 Automatic water detection method</w:t>
      </w:r>
      <w:r w:rsidR="00185E7F">
        <w:rPr>
          <w:rFonts w:ascii="Palatino Linotype" w:eastAsia="Times New Roman" w:hAnsi="Palatino Linotype"/>
          <w:snapToGrid w:val="0"/>
          <w:color w:val="auto"/>
          <w:lang w:val="en-US" w:eastAsia="de-DE" w:bidi="en-US"/>
        </w:rPr>
        <w:t xml:space="preserve"> using Otsu algorithm</w:t>
      </w:r>
      <w:r w:rsidR="003F40B3" w:rsidRPr="00185E7F">
        <w:rPr>
          <w:rFonts w:ascii="Palatino Linotype" w:eastAsia="Times New Roman" w:hAnsi="Palatino Linotype"/>
          <w:snapToGrid w:val="0"/>
          <w:color w:val="auto"/>
          <w:lang w:val="en-US" w:eastAsia="de-DE" w:bidi="en-US"/>
        </w:rPr>
        <w:t>.</w:t>
      </w:r>
    </w:p>
    <w:p w:rsidR="007C479A" w:rsidRPr="003C73D9" w:rsidRDefault="007C479A" w:rsidP="00185E7F">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 xml:space="preserve">The Otsu algorithm is commonly used for automatic image thresholding, which is useful for detecting water in remote sensing images. This method finds the threshold value that minimizes intra-class variance (or, equivalently, maximizes inter-class variance) between two classes. The method usually converts the image to grayscale, </w:t>
      </w:r>
      <w:r w:rsidR="00B807EC" w:rsidRPr="003C73D9">
        <w:rPr>
          <w:rFonts w:ascii="Palatino Linotype" w:hAnsi="Palatino Linotype"/>
          <w:sz w:val="24"/>
          <w:szCs w:val="24"/>
          <w:lang w:val="en-US" w:eastAsia="de-DE" w:bidi="en-US"/>
        </w:rPr>
        <w:t>calculates</w:t>
      </w:r>
      <w:r w:rsidRPr="003C73D9">
        <w:rPr>
          <w:rFonts w:ascii="Palatino Linotype" w:hAnsi="Palatino Linotype"/>
          <w:sz w:val="24"/>
          <w:szCs w:val="24"/>
          <w:lang w:val="en-US" w:eastAsia="de-DE" w:bidi="en-US"/>
        </w:rPr>
        <w:t xml:space="preserve"> the histogram of the grayscale image and estimates probabilities. Based on these scenarios, it computes the mean pixel values for the two classes</w:t>
      </w:r>
      <w:r w:rsidR="00185E7F">
        <w:rPr>
          <w:rFonts w:ascii="Palatino Linotype" w:hAnsi="Palatino Linotype"/>
          <w:sz w:val="24"/>
          <w:szCs w:val="24"/>
          <w:lang w:val="en-US" w:eastAsia="de-DE" w:bidi="en-US"/>
        </w:rPr>
        <w:t xml:space="preserve"> </w:t>
      </w:r>
      <w:r w:rsidR="00185E7F">
        <w:rPr>
          <w:rFonts w:ascii="Palatino Linotype" w:hAnsi="Palatino Linotype"/>
          <w:sz w:val="24"/>
          <w:szCs w:val="24"/>
          <w:lang w:val="en-US" w:eastAsia="de-DE" w:bidi="en-US"/>
        </w:rPr>
      </w:r>
      <w:r w:rsidR="00185E7F">
        <w:rPr>
          <w:rFonts w:ascii="Palatino Linotype" w:hAnsi="Palatino Linotype"/>
          <w:sz w:val="24"/>
          <w:szCs w:val="24"/>
          <w:lang w:val="en-US" w:eastAsia="de-DE" w:bidi="en-US"/>
        </w:rPr>
        <w:instrText xml:space="preserve"/>
      </w:r>
      <w:r w:rsidR="00185E7F">
        <w:rPr>
          <w:rFonts w:ascii="Palatino Linotype" w:hAnsi="Palatino Linotype"/>
          <w:sz w:val="24"/>
          <w:szCs w:val="24"/>
          <w:lang w:val="en-US" w:eastAsia="de-DE" w:bidi="en-US"/>
        </w:rPr>
      </w:r>
      <w:r w:rsidR="00185E7F">
        <w:rPr>
          <w:rFonts w:ascii="Palatino Linotype" w:hAnsi="Palatino Linotype"/>
          <w:sz w:val="24"/>
          <w:szCs w:val="24"/>
          <w:lang w:val="en-US" w:eastAsia="de-DE" w:bidi="en-US"/>
        </w:rPr>
        <w:instrText xml:space="preserve"/>
      </w:r>
      <w:r w:rsidR="00185E7F">
        <w:rPr>
          <w:rFonts w:ascii="Palatino Linotype" w:hAnsi="Palatino Linotype"/>
          <w:sz w:val="24"/>
          <w:szCs w:val="24"/>
          <w:lang w:val="en-US" w:eastAsia="de-DE" w:bidi="en-US"/>
        </w:rPr>
      </w:r>
      <w:r w:rsidR="00185E7F">
        <w:rPr>
          <w:rFonts w:ascii="Palatino Linotype" w:hAnsi="Palatino Linotype"/>
          <w:sz w:val="24"/>
          <w:szCs w:val="24"/>
          <w:lang w:val="en-US" w:eastAsia="de-DE" w:bidi="en-US"/>
        </w:rPr>
      </w:r>
      <w:r w:rsidR="00185E7F">
        <w:rPr>
          <w:rFonts w:ascii="Palatino Linotype" w:hAnsi="Palatino Linotype"/>
          <w:sz w:val="24"/>
          <w:szCs w:val="24"/>
          <w:lang w:val="en-US" w:eastAsia="de-DE" w:bidi="en-US"/>
        </w:rPr>
      </w:r>
      <w:r w:rsidR="00185E7F">
        <w:rPr>
          <w:rFonts w:ascii="Palatino Linotype" w:hAnsi="Palatino Linotype"/>
          <w:noProof/>
          <w:sz w:val="24"/>
          <w:szCs w:val="24"/>
          <w:lang w:val="en-US" w:eastAsia="de-DE" w:bidi="en-US"/>
        </w:rPr>
        <w:t>(Cao et al., 2019; Sang et al., 2024; Xu et al., 2011)</w:t>
      </w:r>
      <w:r w:rsidR="00185E7F">
        <w:rPr>
          <w:rFonts w:ascii="Palatino Linotype" w:hAnsi="Palatino Linotype"/>
          <w:sz w:val="24"/>
          <w:szCs w:val="24"/>
          <w:lang w:val="en-US" w:eastAsia="de-DE" w:bidi="en-US"/>
        </w:rPr>
      </w:r>
      <w:r w:rsidR="00185E7F" w:rsidRPr="003F40B3">
        <w:rPr>
          <w:rFonts w:ascii="Palatino Linotype" w:hAnsi="Palatino Linotype"/>
          <w:sz w:val="24"/>
          <w:szCs w:val="24"/>
          <w:lang w:val="en-US" w:eastAsia="de-DE" w:bidi="en-US"/>
        </w:rPr>
        <w:t>.</w:t>
      </w:r>
    </w:p>
    <w:p w:rsidR="00FC7A0E" w:rsidRPr="003C73D9" w:rsidRDefault="008C3C55" w:rsidP="003C73D9">
      <w:pPr>
        <w:pStyle w:val="Heading3"/>
        <w:spacing w:line="360" w:lineRule="auto"/>
        <w:jc w:val="both"/>
        <w:rPr>
          <w:rFonts w:ascii="Palatino Linotype" w:eastAsia="Times New Roman" w:hAnsi="Palatino Linotype"/>
          <w:snapToGrid w:val="0"/>
          <w:color w:val="auto"/>
          <w:lang w:val="en-US" w:eastAsia="de-DE" w:bidi="en-US"/>
        </w:rPr>
      </w:pPr>
      <w:r w:rsidRPr="003C73D9">
        <w:rPr>
          <w:rFonts w:ascii="Palatino Linotype" w:eastAsia="Times New Roman" w:hAnsi="Palatino Linotype"/>
          <w:snapToGrid w:val="0"/>
          <w:color w:val="auto"/>
          <w:lang w:val="en-US" w:eastAsia="de-DE" w:bidi="en-US"/>
        </w:rPr>
        <w:lastRenderedPageBreak/>
        <w:t>2.3</w:t>
      </w:r>
      <w:r w:rsidR="00FC7A0E" w:rsidRPr="003C73D9">
        <w:rPr>
          <w:rFonts w:ascii="Palatino Linotype" w:eastAsia="Times New Roman" w:hAnsi="Palatino Linotype"/>
          <w:snapToGrid w:val="0"/>
          <w:color w:val="auto"/>
          <w:lang w:val="en-US" w:eastAsia="de-DE" w:bidi="en-US"/>
        </w:rPr>
        <w:t>.3 Validation</w:t>
      </w:r>
    </w:p>
    <w:p w:rsidR="00AC7E13" w:rsidRPr="003C73D9" w:rsidRDefault="00AC7E13"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To validate the Sentinel-I data, RF classification of flooded and non-flooded areas was used. 500 pixels were extracted from the Sentinel-1 RF classified image and their coincidence pixels were extracted from the Sentinel-1 Otsu automatic flood algorithm for validation. This method was tested for its reliability by computing producers, consumers, and overall accuracy.</w:t>
      </w:r>
    </w:p>
    <w:p w:rsidR="00FC7A0E" w:rsidRPr="003C73D9" w:rsidRDefault="00FC7A0E"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3. Results</w:t>
      </w:r>
    </w:p>
    <w:p w:rsidR="00FC7A0E" w:rsidRPr="003C73D9"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3.1 Sentinel-1 flood classification based on RF</w:t>
      </w:r>
    </w:p>
    <w:p w:rsidR="00F83069" w:rsidRPr="006D6DE5" w:rsidRDefault="00F83069" w:rsidP="003C73D9">
      <w:pPr>
        <w:spacing w:before="240" w:after="240" w:line="360" w:lineRule="auto"/>
        <w:jc w:val="both"/>
        <w:rPr>
          <w:rFonts w:ascii="Palatino Linotype" w:hAnsi="Palatino Linotype"/>
          <w:sz w:val="24"/>
          <w:szCs w:val="24"/>
          <w:lang w:val="en-US" w:eastAsia="de-DE" w:bidi="en-US"/>
        </w:rPr>
      </w:pPr>
      <w:r w:rsidRPr="003C73D9">
        <w:rPr>
          <w:rFonts w:ascii="Palatino Linotype" w:eastAsia="Times New Roman" w:hAnsi="Palatino Linotype" w:cs="Times New Roman"/>
          <w:sz w:val="24"/>
          <w:szCs w:val="24"/>
          <w:lang w:val="en-US"/>
        </w:rPr>
        <w:t>Figure 3 indicates results derived using the RF classification method for flood detection</w:t>
      </w:r>
      <w:r w:rsidRPr="005A4071">
        <w:rPr>
          <w:rFonts w:ascii="Palatino Linotype" w:eastAsia="Times New Roman" w:hAnsi="Palatino Linotype" w:cs="Times New Roman"/>
          <w:sz w:val="24"/>
          <w:szCs w:val="24"/>
          <w:lang w:val="en-US"/>
        </w:rPr>
        <w:t xml:space="preserve">. The findings show </w:t>
      </w:r>
      <w:r w:rsidRPr="003C73D9">
        <w:rPr>
          <w:rFonts w:ascii="Palatino Linotype" w:eastAsia="Times New Roman" w:hAnsi="Palatino Linotype" w:cs="Times New Roman"/>
          <w:sz w:val="24"/>
          <w:szCs w:val="24"/>
          <w:lang w:val="en-US"/>
        </w:rPr>
        <w:t>spatial</w:t>
      </w:r>
      <w:r w:rsidRPr="005A4071">
        <w:rPr>
          <w:rFonts w:ascii="Palatino Linotype" w:eastAsia="Times New Roman" w:hAnsi="Palatino Linotype" w:cs="Times New Roman"/>
          <w:sz w:val="24"/>
          <w:szCs w:val="24"/>
          <w:lang w:val="en-US"/>
        </w:rPr>
        <w:t xml:space="preserve"> patterns that allow flooded and non-flooded areas to be identified. Areas affected by floods are shown in cyan, denoting locations where water has accumulated or remained as a result of flooding incidents. Lower backscatter values in the SAR data, which normally indicate surfaces covered in water, may be indicative of these places. However, the places that are not inundated are indicated in green, indicating that during the observation time, these areas were either dry or unaffected by the flood</w:t>
      </w:r>
      <w:r w:rsidRPr="003C73D9">
        <w:rPr>
          <w:rFonts w:ascii="Palatino Linotype" w:eastAsia="Times New Roman" w:hAnsi="Palatino Linotype" w:cs="Times New Roman"/>
          <w:sz w:val="24"/>
          <w:szCs w:val="24"/>
          <w:lang w:val="en-US"/>
        </w:rPr>
        <w:t xml:space="preserve">. The variable importance of the RF </w:t>
      </w:r>
      <w:r w:rsidR="00A94900" w:rsidRPr="003C73D9">
        <w:rPr>
          <w:rFonts w:ascii="Palatino Linotype" w:eastAsia="Times New Roman" w:hAnsi="Palatino Linotype" w:cs="Times New Roman"/>
          <w:sz w:val="24"/>
          <w:szCs w:val="24"/>
          <w:lang w:val="en-US"/>
        </w:rPr>
        <w:t>shows</w:t>
      </w:r>
      <w:r w:rsidRPr="003C73D9">
        <w:rPr>
          <w:rFonts w:ascii="Palatino Linotype" w:eastAsia="Times New Roman" w:hAnsi="Palatino Linotype" w:cs="Times New Roman"/>
          <w:sz w:val="24"/>
          <w:szCs w:val="24"/>
          <w:lang w:val="en-US"/>
        </w:rPr>
        <w:t xml:space="preserve"> that VV polarization </w:t>
      </w:r>
      <w:r w:rsidR="00A94900" w:rsidRPr="003C73D9">
        <w:rPr>
          <w:rFonts w:ascii="Palatino Linotype" w:eastAsia="Times New Roman" w:hAnsi="Palatino Linotype" w:cs="Times New Roman"/>
          <w:sz w:val="24"/>
          <w:szCs w:val="24"/>
          <w:lang w:val="en-US"/>
        </w:rPr>
        <w:t>is more important to the model</w:t>
      </w:r>
      <w:r w:rsidR="00A960D4" w:rsidRPr="003C73D9">
        <w:rPr>
          <w:rFonts w:ascii="Palatino Linotype" w:eastAsia="Times New Roman" w:hAnsi="Palatino Linotype" w:cs="Times New Roman"/>
          <w:sz w:val="24"/>
          <w:szCs w:val="24"/>
          <w:lang w:val="en-US"/>
        </w:rPr>
        <w:t xml:space="preserve"> (Figure 3)</w:t>
      </w:r>
      <w:r w:rsidR="00A94900" w:rsidRPr="003C73D9">
        <w:rPr>
          <w:rFonts w:ascii="Palatino Linotype" w:eastAsia="Times New Roman" w:hAnsi="Palatino Linotype" w:cs="Times New Roman"/>
          <w:sz w:val="24"/>
          <w:szCs w:val="24"/>
          <w:lang w:val="en-US"/>
        </w:rPr>
        <w:t>.</w:t>
      </w:r>
    </w:p>
    <w:p w:rsidR="007C479A" w:rsidRPr="003C73D9" w:rsidRDefault="00F83069"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04F25947" wp14:editId="6057A287">
            <wp:extent cx="5943600" cy="2521329"/>
            <wp:effectExtent l="0" t="0" r="0" b="0"/>
            <wp:docPr id="6" name="Picture 6" descr="C:\Users\saada\Documents\IBR_2024\Sen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da\Documents\IBR_2024\Sen_R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21329"/>
                    </a:xfrm>
                    <a:prstGeom prst="rect">
                      <a:avLst/>
                    </a:prstGeom>
                    <a:noFill/>
                    <a:ln>
                      <a:noFill/>
                    </a:ln>
                  </pic:spPr>
                </pic:pic>
              </a:graphicData>
            </a:graphic>
          </wp:inline>
        </w:drawing>
      </w:r>
      <w:r w:rsidRPr="003C73D9">
        <w:rPr>
          <w:rFonts w:ascii="Palatino Linotype" w:hAnsi="Palatino Linotype"/>
          <w:sz w:val="24"/>
          <w:szCs w:val="24"/>
          <w:lang w:val="en-US" w:eastAsia="de-DE" w:bidi="en-US"/>
        </w:rPr>
        <w:t xml:space="preserve"> </w:t>
      </w:r>
      <w:r w:rsidRPr="003C73D9">
        <w:rPr>
          <w:rFonts w:ascii="Palatino Linotype" w:hAnsi="Palatino Linotype"/>
          <w:noProof/>
          <w:sz w:val="24"/>
          <w:szCs w:val="24"/>
          <w:lang w:val="en-US"/>
        </w:rPr>
        <w:drawing>
          <wp:inline distT="0" distB="0" distL="0" distR="0" wp14:anchorId="1D02F58E" wp14:editId="1592FA44">
            <wp:extent cx="1331029" cy="576000"/>
            <wp:effectExtent l="0" t="0" r="2540" b="0"/>
            <wp:docPr id="7" name="Picture 7" descr="C:\Users\saada\Documents\IBR_2024\FLOOD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da\Documents\IBR_2024\FLOODE_LEGE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029" cy="576000"/>
                    </a:xfrm>
                    <a:prstGeom prst="rect">
                      <a:avLst/>
                    </a:prstGeom>
                    <a:noFill/>
                    <a:ln>
                      <a:noFill/>
                    </a:ln>
                  </pic:spPr>
                </pic:pic>
              </a:graphicData>
            </a:graphic>
          </wp:inline>
        </w:drawing>
      </w:r>
    </w:p>
    <w:p w:rsidR="008C3C55" w:rsidRPr="003C73D9" w:rsidRDefault="00F83069" w:rsidP="00E211BF">
      <w:pPr>
        <w:spacing w:line="276" w:lineRule="auto"/>
        <w:jc w:val="both"/>
        <w:rPr>
          <w:rFonts w:ascii="Palatino Linotype" w:hAnsi="Palatino Linotype" w:cstheme="minorHAnsi"/>
          <w:sz w:val="24"/>
          <w:szCs w:val="24"/>
          <w:lang w:val="en-US" w:eastAsia="de-DE" w:bidi="en-US"/>
        </w:rPr>
      </w:pPr>
      <w:r w:rsidRPr="003C73D9">
        <w:rPr>
          <w:rFonts w:ascii="Palatino Linotype" w:hAnsi="Palatino Linotype"/>
          <w:sz w:val="24"/>
          <w:szCs w:val="24"/>
          <w:lang w:val="en-US" w:eastAsia="de-DE" w:bidi="en-US"/>
        </w:rPr>
        <w:t>Figure 3: Sentinel-1 RF classification showing flooded and non-flooded sites and the variable importance based on feature selection</w:t>
      </w:r>
    </w:p>
    <w:p w:rsidR="00FC7A0E"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 xml:space="preserve">3.2 </w:t>
      </w:r>
      <w:r w:rsidR="008C3C55" w:rsidRPr="003C73D9">
        <w:rPr>
          <w:rFonts w:ascii="Palatino Linotype" w:eastAsia="Times New Roman" w:hAnsi="Palatino Linotype"/>
          <w:snapToGrid w:val="0"/>
          <w:color w:val="auto"/>
          <w:sz w:val="24"/>
          <w:szCs w:val="24"/>
          <w:lang w:val="en-US" w:eastAsia="de-DE" w:bidi="en-US"/>
        </w:rPr>
        <w:t>Sentinel-1 flood classification based on Otsu</w:t>
      </w:r>
    </w:p>
    <w:p w:rsidR="00863D46" w:rsidRPr="00863D46" w:rsidRDefault="00863D46" w:rsidP="00863D46">
      <w:pPr>
        <w:spacing w:line="360" w:lineRule="auto"/>
        <w:jc w:val="both"/>
        <w:rPr>
          <w:rFonts w:ascii="Palatino Linotype" w:hAnsi="Palatino Linotype"/>
          <w:sz w:val="24"/>
          <w:szCs w:val="24"/>
          <w:lang w:val="en-US" w:eastAsia="de-DE" w:bidi="en-US"/>
        </w:rPr>
      </w:pPr>
      <w:r>
        <w:rPr>
          <w:rFonts w:ascii="Palatino Linotype" w:hAnsi="Palatino Linotype"/>
          <w:sz w:val="24"/>
          <w:szCs w:val="24"/>
          <w:lang w:val="en-US" w:eastAsia="de-DE" w:bidi="en-US"/>
        </w:rPr>
        <w:t xml:space="preserve">Similarly, Figure 4 which was </w:t>
      </w:r>
      <w:r w:rsidRPr="00863D46">
        <w:rPr>
          <w:rFonts w:ascii="Palatino Linotype" w:hAnsi="Palatino Linotype"/>
          <w:sz w:val="24"/>
          <w:szCs w:val="24"/>
          <w:lang w:val="en-US" w:eastAsia="de-DE" w:bidi="en-US"/>
        </w:rPr>
        <w:t xml:space="preserve">derived using </w:t>
      </w:r>
      <w:r>
        <w:rPr>
          <w:rFonts w:ascii="Palatino Linotype" w:hAnsi="Palatino Linotype"/>
          <w:sz w:val="24"/>
          <w:szCs w:val="24"/>
          <w:lang w:val="en-US" w:eastAsia="de-DE" w:bidi="en-US"/>
        </w:rPr>
        <w:t>Otsu’s algorithm shows</w:t>
      </w:r>
      <w:r w:rsidRPr="00863D46">
        <w:rPr>
          <w:rFonts w:ascii="Palatino Linotype" w:hAnsi="Palatino Linotype"/>
          <w:sz w:val="24"/>
          <w:szCs w:val="24"/>
          <w:lang w:val="en-US" w:eastAsia="de-DE" w:bidi="en-US"/>
        </w:rPr>
        <w:t xml:space="preserve"> spatial patterns that allow flooded and non-flooded areas to be identified. Areas affected by floods are shown in cyan, denoting locations where water has accumulated or remained as a result of flooding incidents. Lower backscatter values in the SAR data, which normally indicate surfaces covered in water, may be indicative of these places. However, the places that are not inundated are indicated in green, indicating that during the observation time, these areas were either dry or unaffected by the flood. </w:t>
      </w:r>
    </w:p>
    <w:p w:rsidR="007C479A" w:rsidRDefault="007C479A"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0186D6E6" wp14:editId="0DA0C8E8">
            <wp:extent cx="594360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68880"/>
                    </a:xfrm>
                    <a:prstGeom prst="rect">
                      <a:avLst/>
                    </a:prstGeom>
                  </pic:spPr>
                </pic:pic>
              </a:graphicData>
            </a:graphic>
          </wp:inline>
        </w:drawing>
      </w:r>
    </w:p>
    <w:p w:rsidR="006D6DE5" w:rsidRPr="003C73D9" w:rsidRDefault="006D6DE5"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drawing>
          <wp:inline distT="0" distB="0" distL="0" distR="0" wp14:anchorId="275C88E8" wp14:editId="23FCED19">
            <wp:extent cx="1331029" cy="576000"/>
            <wp:effectExtent l="0" t="0" r="2540" b="0"/>
            <wp:docPr id="11" name="Picture 11" descr="C:\Users\saada\Documents\IBR_2024\FLOOD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da\Documents\IBR_2024\FLOODE_LEGE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029" cy="576000"/>
                    </a:xfrm>
                    <a:prstGeom prst="rect">
                      <a:avLst/>
                    </a:prstGeom>
                    <a:noFill/>
                    <a:ln>
                      <a:noFill/>
                    </a:ln>
                  </pic:spPr>
                </pic:pic>
              </a:graphicData>
            </a:graphic>
          </wp:inline>
        </w:drawing>
      </w:r>
    </w:p>
    <w:p w:rsidR="007C479A" w:rsidRPr="003C73D9" w:rsidRDefault="007C479A" w:rsidP="00E211BF">
      <w:pPr>
        <w:spacing w:line="240" w:lineRule="auto"/>
        <w:jc w:val="both"/>
        <w:rPr>
          <w:rFonts w:ascii="Palatino Linotype" w:hAnsi="Palatino Linotype" w:cstheme="minorHAnsi"/>
          <w:sz w:val="24"/>
          <w:szCs w:val="24"/>
          <w:lang w:val="en-US" w:eastAsia="de-DE" w:bidi="en-US"/>
        </w:rPr>
      </w:pPr>
      <w:r w:rsidRPr="003C73D9">
        <w:rPr>
          <w:rFonts w:ascii="Palatino Linotype" w:hAnsi="Palatino Linotype"/>
          <w:sz w:val="24"/>
          <w:szCs w:val="24"/>
          <w:lang w:val="en-US" w:eastAsia="de-DE" w:bidi="en-US"/>
        </w:rPr>
        <w:t xml:space="preserve">Figure 4: Sentinel-1 automatic water </w:t>
      </w:r>
      <w:r w:rsidR="00360B1D" w:rsidRPr="003C73D9">
        <w:rPr>
          <w:rFonts w:ascii="Palatino Linotype" w:hAnsi="Palatino Linotype"/>
          <w:sz w:val="24"/>
          <w:szCs w:val="24"/>
          <w:lang w:val="en-US" w:eastAsia="de-DE" w:bidi="en-US"/>
        </w:rPr>
        <w:t>detection-based</w:t>
      </w:r>
      <w:r w:rsidRPr="003C73D9">
        <w:rPr>
          <w:rFonts w:ascii="Palatino Linotype" w:hAnsi="Palatino Linotype"/>
          <w:sz w:val="24"/>
          <w:szCs w:val="24"/>
          <w:lang w:val="en-US" w:eastAsia="de-DE" w:bidi="en-US"/>
        </w:rPr>
        <w:t xml:space="preserve"> Otsu algorithm showing flooded and non-flooded sites </w:t>
      </w:r>
    </w:p>
    <w:p w:rsidR="0019720A"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 xml:space="preserve">3.3 </w:t>
      </w:r>
      <w:r w:rsidR="00360B1D" w:rsidRPr="003C73D9">
        <w:rPr>
          <w:rFonts w:ascii="Palatino Linotype" w:eastAsia="Times New Roman" w:hAnsi="Palatino Linotype"/>
          <w:snapToGrid w:val="0"/>
          <w:color w:val="auto"/>
          <w:sz w:val="24"/>
          <w:szCs w:val="24"/>
          <w:lang w:val="en-US" w:eastAsia="de-DE" w:bidi="en-US"/>
        </w:rPr>
        <w:t>Accuracy assessment</w:t>
      </w:r>
    </w:p>
    <w:p w:rsidR="0019720A" w:rsidRPr="003C73D9" w:rsidRDefault="0019720A" w:rsidP="003C73D9">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Table 1 presents the accuracy assessments and validation results for the Sentinel-1-based RF classification, alongside the validation of Otsu’s water detection algorithm. The RF classification showed excellent performance, with both the user’s and producer’s accuracy for the flooded and non-flooded classes reaching 99%, and an overall accuracy of 99%. In comparison, the validation of Otsu’s water detection algorithm, based on the RF results, was slightly lower. The user’s and producer’s accuracy for Otsu’s method were 74% and 78%, respectively, with an overall accuracy of 76%.</w:t>
      </w:r>
    </w:p>
    <w:p w:rsidR="00360B1D" w:rsidRPr="003C73D9" w:rsidRDefault="00360B1D"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rPr>
        <w:t>Table 1: Accuracy assessment/validation of flooded/non-flooded classifications</w:t>
      </w:r>
    </w:p>
    <w:tbl>
      <w:tblPr>
        <w:tblStyle w:val="ListTable6Colorful"/>
        <w:tblW w:w="0" w:type="auto"/>
        <w:tblLook w:val="04A0" w:firstRow="1" w:lastRow="0" w:firstColumn="1" w:lastColumn="0" w:noHBand="0" w:noVBand="1"/>
      </w:tblPr>
      <w:tblGrid>
        <w:gridCol w:w="3116"/>
        <w:gridCol w:w="3117"/>
        <w:gridCol w:w="3117"/>
      </w:tblGrid>
      <w:tr w:rsidR="00360B1D" w:rsidRPr="003C73D9" w:rsidTr="0036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Accuracy metric</w:t>
            </w:r>
          </w:p>
        </w:tc>
        <w:tc>
          <w:tcPr>
            <w:tcW w:w="3117" w:type="dxa"/>
            <w:shd w:val="clear" w:color="auto" w:fill="auto"/>
          </w:tcPr>
          <w:p w:rsidR="00360B1D" w:rsidRPr="003C73D9" w:rsidRDefault="00360B1D" w:rsidP="003C73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RF Sentinel-1</w:t>
            </w:r>
          </w:p>
        </w:tc>
        <w:tc>
          <w:tcPr>
            <w:tcW w:w="3117" w:type="dxa"/>
            <w:shd w:val="clear" w:color="auto" w:fill="auto"/>
          </w:tcPr>
          <w:p w:rsidR="00360B1D" w:rsidRPr="003C73D9" w:rsidRDefault="00360B1D" w:rsidP="003C73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Otsu’s Sentinel-1</w:t>
            </w:r>
          </w:p>
        </w:tc>
      </w:tr>
      <w:tr w:rsidR="00360B1D" w:rsidRPr="003C73D9" w:rsidTr="00360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Users</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4"/>
                <w:szCs w:val="24"/>
                <w:lang w:eastAsia="en-GB"/>
              </w:rPr>
            </w:pPr>
            <w:r w:rsidRPr="003C73D9">
              <w:rPr>
                <w:rFonts w:ascii="Palatino Linotype" w:hAnsi="Palatino Linotype"/>
                <w:color w:val="auto"/>
                <w:sz w:val="24"/>
                <w:szCs w:val="24"/>
                <w:lang w:eastAsia="en-GB"/>
              </w:rPr>
              <w:t>0.74</w:t>
            </w:r>
          </w:p>
        </w:tc>
      </w:tr>
      <w:tr w:rsidR="00360B1D" w:rsidRPr="003C73D9" w:rsidTr="00360B1D">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Producers</w:t>
            </w:r>
          </w:p>
        </w:tc>
        <w:tc>
          <w:tcPr>
            <w:tcW w:w="3117" w:type="dxa"/>
            <w:shd w:val="clear" w:color="auto" w:fill="auto"/>
          </w:tcPr>
          <w:p w:rsidR="00360B1D" w:rsidRPr="003C73D9" w:rsidRDefault="00360B1D" w:rsidP="003C73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4"/>
                <w:szCs w:val="24"/>
                <w:lang w:eastAsia="en-GB"/>
              </w:rPr>
            </w:pPr>
            <w:r w:rsidRPr="003C73D9">
              <w:rPr>
                <w:rFonts w:ascii="Palatino Linotype" w:hAnsi="Palatino Linotype"/>
                <w:color w:val="auto"/>
                <w:sz w:val="24"/>
                <w:szCs w:val="24"/>
                <w:lang w:eastAsia="en-GB"/>
              </w:rPr>
              <w:t>0.78</w:t>
            </w:r>
          </w:p>
        </w:tc>
      </w:tr>
      <w:tr w:rsidR="00360B1D" w:rsidRPr="003C73D9" w:rsidTr="00360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lastRenderedPageBreak/>
              <w:t>Overall</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0.76</w:t>
            </w:r>
          </w:p>
        </w:tc>
      </w:tr>
    </w:tbl>
    <w:p w:rsidR="008C3C55" w:rsidRDefault="008C3C55"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4 Discussion</w:t>
      </w:r>
    </w:p>
    <w:p w:rsidR="003F40B3" w:rsidRPr="00573FFF" w:rsidRDefault="003F40B3" w:rsidP="003F40B3">
      <w:pPr>
        <w:spacing w:line="360" w:lineRule="auto"/>
        <w:jc w:val="both"/>
        <w:rPr>
          <w:rFonts w:ascii="Palatino Linotype" w:hAnsi="Palatino Linotype"/>
          <w:i/>
          <w:sz w:val="24"/>
          <w:szCs w:val="24"/>
        </w:rPr>
      </w:pPr>
      <w:r w:rsidRPr="00573FFF">
        <w:rPr>
          <w:rFonts w:ascii="Palatino Linotype" w:hAnsi="Palatino Linotype"/>
          <w:sz w:val="24"/>
          <w:szCs w:val="24"/>
        </w:rPr>
        <w:t>The results of this study demonstrate the effectiveness of using Sentinel-1 data and the RF method for flood detection within the GEE platform. The RF-based classification of flooded and non-flooded areas demonstrated high accuracy, with both user and producer accuracy reaching 99% and overall accuracy of 99%</w:t>
      </w:r>
      <w:r w:rsidR="00D73D07">
        <w:rPr>
          <w:rFonts w:ascii="Palatino Linotype" w:hAnsi="Palatino Linotype"/>
          <w:sz w:val="24"/>
          <w:szCs w:val="24"/>
        </w:rPr>
        <w:t xml:space="preserve"> (Table 1)</w:t>
      </w:r>
      <w:r w:rsidRPr="00573FFF">
        <w:rPr>
          <w:rFonts w:ascii="Palatino Linotype" w:hAnsi="Palatino Linotype"/>
          <w:sz w:val="24"/>
          <w:szCs w:val="24"/>
        </w:rPr>
        <w:t>. These results underline the robustness of the RF method in distinguishing flooded and non-flooded areas and make it a highly reliable tool for flood detection</w:t>
      </w:r>
      <w:r w:rsidR="008A1307">
        <w:rPr>
          <w:rFonts w:ascii="Palatino Linotype" w:hAnsi="Palatino Linotype"/>
          <w:sz w:val="24"/>
          <w:szCs w:val="24"/>
        </w:rPr>
        <w:t xml:space="preserve"> (Table 1 and Figure 3)</w:t>
      </w:r>
      <w:r w:rsidRPr="00573FFF">
        <w:rPr>
          <w:rFonts w:ascii="Palatino Linotype" w:hAnsi="Palatino Linotype"/>
          <w:sz w:val="24"/>
          <w:szCs w:val="24"/>
        </w:rPr>
        <w:t xml:space="preserve">. In a recent study, by </w:t>
      </w:r>
      <w:r w:rsidRPr="00573FFF">
        <w:rPr>
          <w:rFonts w:ascii="Palatino Linotype" w:hAnsi="Palatino Linotype"/>
          <w:sz w:val="24"/>
          <w:szCs w:val="24"/>
        </w:rPr>
      </w:r>
      <w:r w:rsidRPr="00573FFF">
        <w:rPr>
          <w:rFonts w:ascii="Palatino Linotype" w:hAnsi="Palatino Linotype"/>
          <w:sz w:val="24"/>
          <w:szCs w:val="24"/>
        </w:rPr>
        <w:instrText xml:space="preserve"/>
      </w:r>
      <w:r w:rsidRPr="00573FFF">
        <w:rPr>
          <w:rFonts w:ascii="Palatino Linotype" w:hAnsi="Palatino Linotype"/>
          <w:sz w:val="24"/>
          <w:szCs w:val="24"/>
        </w:rPr>
      </w:r>
      <w:r w:rsidRPr="00573FFF">
        <w:rPr>
          <w:rFonts w:ascii="Palatino Linotype" w:hAnsi="Palatino Linotype"/>
          <w:noProof/>
          <w:sz w:val="24"/>
          <w:szCs w:val="24"/>
        </w:rPr>
        <w:t>Shilengwe et al. (2023)</w:t>
      </w:r>
      <w:r w:rsidRPr="00573FFF">
        <w:rPr>
          <w:rFonts w:ascii="Palatino Linotype" w:hAnsi="Palatino Linotype"/>
          <w:sz w:val="24"/>
          <w:szCs w:val="24"/>
        </w:rPr>
      </w:r>
      <w:r w:rsidRPr="00573FFF">
        <w:rPr>
          <w:rFonts w:ascii="Palatino Linotype" w:hAnsi="Palatino Linotype"/>
          <w:sz w:val="24"/>
          <w:szCs w:val="24"/>
        </w:rPr>
        <w:t xml:space="preserve"> who assessed flood damage using radar and optical sensors in GEE indicated that their flood extent delineation based on RF achieved </w:t>
      </w:r>
      <w:r w:rsidR="00FC6958">
        <w:rPr>
          <w:rFonts w:ascii="Palatino Linotype" w:hAnsi="Palatino Linotype"/>
          <w:sz w:val="24"/>
          <w:szCs w:val="24"/>
        </w:rPr>
        <w:t xml:space="preserve">an </w:t>
      </w:r>
      <w:r>
        <w:rPr>
          <w:rStyle w:val="Emphasis"/>
          <w:rFonts w:ascii="Palatino Linotype" w:hAnsi="Palatino Linotype" w:cs="Helvetica"/>
          <w:i w:val="0"/>
          <w:color w:val="555555"/>
          <w:sz w:val="24"/>
          <w:szCs w:val="24"/>
          <w:shd w:val="clear" w:color="auto" w:fill="FFFFFF"/>
        </w:rPr>
        <w:t xml:space="preserve">overall accuracy </w:t>
      </w:r>
      <w:r w:rsidR="00CD39EA">
        <w:rPr>
          <w:rStyle w:val="Emphasis"/>
          <w:rFonts w:ascii="Palatino Linotype" w:hAnsi="Palatino Linotype" w:cs="Helvetica"/>
          <w:i w:val="0"/>
          <w:color w:val="555555"/>
          <w:sz w:val="24"/>
          <w:szCs w:val="24"/>
          <w:shd w:val="clear" w:color="auto" w:fill="FFFFFF"/>
        </w:rPr>
        <w:t xml:space="preserve">of </w:t>
      </w:r>
      <w:r>
        <w:rPr>
          <w:rStyle w:val="Emphasis"/>
          <w:rFonts w:ascii="Palatino Linotype" w:hAnsi="Palatino Linotype" w:cs="Helvetica"/>
          <w:i w:val="0"/>
          <w:color w:val="555555"/>
          <w:sz w:val="24"/>
          <w:szCs w:val="24"/>
          <w:shd w:val="clear" w:color="auto" w:fill="FFFFFF"/>
        </w:rPr>
        <w:t>95%</w:t>
      </w:r>
    </w:p>
    <w:p w:rsidR="003F40B3" w:rsidRDefault="003F40B3" w:rsidP="003F40B3">
      <w:pPr>
        <w:spacing w:line="360" w:lineRule="auto"/>
        <w:jc w:val="both"/>
        <w:rPr>
          <w:rFonts w:ascii="Palatino Linotype" w:hAnsi="Palatino Linotype"/>
          <w:sz w:val="24"/>
          <w:szCs w:val="24"/>
        </w:rPr>
      </w:pPr>
      <w:r w:rsidRPr="00BE5AD9">
        <w:rPr>
          <w:rFonts w:ascii="Palatino Linotype" w:hAnsi="Palatino Linotype"/>
          <w:sz w:val="24"/>
          <w:szCs w:val="24"/>
        </w:rPr>
        <w:t>The Otsu-based floodplain classification algorithm provided lower accuracy in co</w:t>
      </w:r>
      <w:r w:rsidR="00A12FB9">
        <w:rPr>
          <w:rFonts w:ascii="Palatino Linotype" w:hAnsi="Palatino Linotype"/>
          <w:sz w:val="24"/>
          <w:szCs w:val="24"/>
        </w:rPr>
        <w:t>mparison. The user and produc</w:t>
      </w:r>
      <w:r w:rsidRPr="00BE5AD9">
        <w:rPr>
          <w:rFonts w:ascii="Palatino Linotype" w:hAnsi="Palatino Linotype"/>
          <w:sz w:val="24"/>
          <w:szCs w:val="24"/>
        </w:rPr>
        <w:t>er accuracy for the Otsu method was 74% and 78% respectively, with an overall accuracy of 76%</w:t>
      </w:r>
      <w:r w:rsidR="00FC6958">
        <w:rPr>
          <w:rFonts w:ascii="Palatino Linotype" w:hAnsi="Palatino Linotype"/>
          <w:sz w:val="24"/>
          <w:szCs w:val="24"/>
        </w:rPr>
        <w:t xml:space="preserve"> (Table 1)</w:t>
      </w:r>
      <w:r w:rsidRPr="00BE5AD9">
        <w:rPr>
          <w:rFonts w:ascii="Palatino Linotype" w:hAnsi="Palatino Linotype"/>
          <w:sz w:val="24"/>
          <w:szCs w:val="24"/>
        </w:rPr>
        <w:t>. Although the Otsu method can still be useful, its relatively lower performance compared to the RF approach suggests that it is suitable for large-scale or complex flood detection tasks</w:t>
      </w:r>
      <w:r w:rsidR="005D482E">
        <w:rPr>
          <w:rFonts w:ascii="Palatino Linotype" w:hAnsi="Palatino Linotype"/>
          <w:sz w:val="24"/>
          <w:szCs w:val="24"/>
        </w:rPr>
        <w:t xml:space="preserve"> (Figure 4 and Table 1)</w:t>
      </w:r>
      <w:r w:rsidRPr="00BE5AD9">
        <w:rPr>
          <w:rFonts w:ascii="Palatino Linotype" w:hAnsi="Palatino Linotype"/>
          <w:sz w:val="24"/>
          <w:szCs w:val="24"/>
        </w:rPr>
        <w:t xml:space="preserve">. Our results corroborate the findings of </w:t>
      </w:r>
      <w:r w:rsidRPr="00BE5AD9">
        <w:rPr>
          <w:rFonts w:ascii="Palatino Linotype" w:hAnsi="Palatino Linotype"/>
          <w:sz w:val="24"/>
          <w:szCs w:val="24"/>
        </w:rPr>
      </w:r>
      <w:r w:rsidRPr="00BE5AD9">
        <w:rPr>
          <w:rFonts w:ascii="Palatino Linotype" w:hAnsi="Palatino Linotype"/>
          <w:sz w:val="24"/>
          <w:szCs w:val="24"/>
        </w:rPr>
        <w:instrText xml:space="preserve"/>
      </w:r>
      <w:r w:rsidRPr="00BE5AD9">
        <w:rPr>
          <w:rFonts w:ascii="Palatino Linotype" w:hAnsi="Palatino Linotype"/>
          <w:sz w:val="24"/>
          <w:szCs w:val="24"/>
        </w:rPr>
      </w:r>
      <w:r w:rsidRPr="00BE5AD9">
        <w:rPr>
          <w:rFonts w:ascii="Palatino Linotype" w:hAnsi="Palatino Linotype"/>
          <w:noProof/>
          <w:sz w:val="24"/>
          <w:szCs w:val="24"/>
        </w:rPr>
        <w:t>Vanama et al. (2020)</w:t>
      </w:r>
      <w:r w:rsidRPr="00BE5AD9">
        <w:rPr>
          <w:rFonts w:ascii="Palatino Linotype" w:hAnsi="Palatino Linotype"/>
          <w:sz w:val="24"/>
          <w:szCs w:val="24"/>
        </w:rPr>
      </w:r>
      <w:r w:rsidRPr="00BE5AD9">
        <w:rPr>
          <w:rFonts w:ascii="Palatino Linotype" w:hAnsi="Palatino Linotype"/>
          <w:sz w:val="24"/>
          <w:szCs w:val="24"/>
        </w:rPr>
        <w:t xml:space="preserve"> who mapped large flood areas using the GEE4FLOOD framework in India. Their results indicate promising accuracy with 82% overall accuracy and 78.5% accuracy for flood class alone compared to the ground truth data.</w:t>
      </w:r>
      <w:r>
        <w:rPr>
          <w:rFonts w:ascii="Palatino Linotype" w:hAnsi="Palatino Linotype"/>
          <w:sz w:val="24"/>
          <w:szCs w:val="24"/>
        </w:rPr>
        <w:t xml:space="preserve"> However, it is recommended that further studies should compare different automatic detection algorithms (e.g., K-means </w:t>
      </w:r>
      <w:r w:rsidRPr="004F2A98">
        <w:rPr>
          <w:rFonts w:ascii="Palatino Linotype" w:hAnsi="Palatino Linotype"/>
          <w:sz w:val="24"/>
          <w:szCs w:val="24"/>
        </w:rPr>
        <w:t>and the unsupervised Gaussian Mixture Model</w:t>
      </w:r>
      <w:r>
        <w:rPr>
          <w:rFonts w:ascii="Palatino Linotype" w:hAnsi="Palatino Linotype"/>
          <w:sz w:val="24"/>
          <w:szCs w:val="24"/>
        </w:rPr>
        <w:t>) to assess their applicability.</w:t>
      </w:r>
    </w:p>
    <w:p w:rsidR="003F40B3" w:rsidRPr="003F40B3" w:rsidRDefault="003F40B3" w:rsidP="003F40B3">
      <w:pPr>
        <w:spacing w:after="0" w:line="360" w:lineRule="auto"/>
        <w:jc w:val="both"/>
        <w:rPr>
          <w:rFonts w:ascii="Palatino Linotype" w:eastAsia="Times New Roman" w:hAnsi="Palatino Linotype" w:cs="Times New Roman"/>
          <w:sz w:val="24"/>
          <w:szCs w:val="24"/>
          <w:lang w:val="en-US"/>
        </w:rPr>
      </w:pPr>
      <w:r w:rsidRPr="00BE5AD9">
        <w:rPr>
          <w:rFonts w:ascii="Palatino Linotype" w:eastAsia="Times New Roman" w:hAnsi="Palatino Linotype" w:cs="Times New Roman"/>
          <w:sz w:val="24"/>
          <w:szCs w:val="24"/>
          <w:lang w:val="en-US"/>
        </w:rPr>
        <w:t xml:space="preserve">It is evident from the spatial patterns </w:t>
      </w:r>
      <w:r w:rsidRPr="004F2A98">
        <w:rPr>
          <w:rFonts w:ascii="Palatino Linotype" w:eastAsia="Times New Roman" w:hAnsi="Palatino Linotype" w:cs="Times New Roman"/>
          <w:sz w:val="24"/>
          <w:szCs w:val="24"/>
          <w:lang w:val="en-US"/>
        </w:rPr>
        <w:t xml:space="preserve">of flooded and non-flooded </w:t>
      </w:r>
      <w:r w:rsidRPr="00BE5AD9">
        <w:rPr>
          <w:rFonts w:ascii="Palatino Linotype" w:eastAsia="Times New Roman" w:hAnsi="Palatino Linotype" w:cs="Times New Roman"/>
          <w:sz w:val="24"/>
          <w:szCs w:val="24"/>
          <w:lang w:val="en-US"/>
        </w:rPr>
        <w:t xml:space="preserve">areas are distinct from one another. The flood extent is reflected in these </w:t>
      </w:r>
      <w:r w:rsidRPr="004F2A98">
        <w:rPr>
          <w:rFonts w:ascii="Palatino Linotype" w:eastAsia="Times New Roman" w:hAnsi="Palatino Linotype" w:cs="Times New Roman"/>
          <w:sz w:val="24"/>
          <w:szCs w:val="24"/>
          <w:lang w:val="en-US"/>
        </w:rPr>
        <w:t>spatial</w:t>
      </w:r>
      <w:r w:rsidRPr="00BE5AD9">
        <w:rPr>
          <w:rFonts w:ascii="Palatino Linotype" w:eastAsia="Times New Roman" w:hAnsi="Palatino Linotype" w:cs="Times New Roman"/>
          <w:sz w:val="24"/>
          <w:szCs w:val="24"/>
          <w:lang w:val="en-US"/>
        </w:rPr>
        <w:t xml:space="preserve"> patterns, </w:t>
      </w:r>
      <w:r w:rsidRPr="004F2A98">
        <w:rPr>
          <w:rFonts w:ascii="Palatino Linotype" w:eastAsia="Times New Roman" w:hAnsi="Palatino Linotype" w:cs="Times New Roman"/>
          <w:sz w:val="24"/>
          <w:szCs w:val="24"/>
          <w:lang w:val="en-US"/>
        </w:rPr>
        <w:t>emphasizing</w:t>
      </w:r>
      <w:r w:rsidRPr="00BE5AD9">
        <w:rPr>
          <w:rFonts w:ascii="Palatino Linotype" w:eastAsia="Times New Roman" w:hAnsi="Palatino Linotype" w:cs="Times New Roman"/>
          <w:sz w:val="24"/>
          <w:szCs w:val="24"/>
          <w:lang w:val="en-US"/>
        </w:rPr>
        <w:t xml:space="preserve"> the significance of </w:t>
      </w:r>
      <w:r w:rsidRPr="004F2A98">
        <w:rPr>
          <w:rFonts w:ascii="Palatino Linotype" w:eastAsia="Times New Roman" w:hAnsi="Palatino Linotype" w:cs="Times New Roman"/>
          <w:sz w:val="24"/>
          <w:szCs w:val="24"/>
          <w:lang w:val="en-US"/>
        </w:rPr>
        <w:t>using</w:t>
      </w:r>
      <w:r w:rsidRPr="00BE5AD9">
        <w:rPr>
          <w:rFonts w:ascii="Palatino Linotype" w:eastAsia="Times New Roman" w:hAnsi="Palatino Linotype" w:cs="Times New Roman"/>
          <w:sz w:val="24"/>
          <w:szCs w:val="24"/>
          <w:lang w:val="en-US"/>
        </w:rPr>
        <w:t xml:space="preserve"> algorithms such as RF for precise flood mapping. </w:t>
      </w:r>
    </w:p>
    <w:p w:rsidR="008C3C55" w:rsidRDefault="008C3C55"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lastRenderedPageBreak/>
        <w:t>5. Conclusion</w:t>
      </w:r>
    </w:p>
    <w:p w:rsidR="0006727E" w:rsidRDefault="0006727E" w:rsidP="0006727E">
      <w:pPr>
        <w:spacing w:after="0" w:line="360" w:lineRule="auto"/>
        <w:jc w:val="both"/>
        <w:rPr>
          <w:rFonts w:ascii="Palatino Linotype" w:eastAsia="Times New Roman" w:hAnsi="Palatino Linotype" w:cs="Times New Roman"/>
          <w:sz w:val="24"/>
          <w:szCs w:val="24"/>
          <w:lang w:val="en-US"/>
        </w:rPr>
      </w:pPr>
      <w:r w:rsidRPr="003C73D9">
        <w:rPr>
          <w:rFonts w:ascii="Palatino Linotype" w:eastAsia="Times New Roman" w:hAnsi="Palatino Linotype" w:cs="Times New Roman"/>
          <w:snapToGrid w:val="0"/>
          <w:color w:val="000000"/>
          <w:sz w:val="24"/>
          <w:szCs w:val="24"/>
          <w:lang w:val="en-US" w:eastAsia="de-DE" w:bidi="en-US"/>
        </w:rPr>
        <w:t xml:space="preserve">This study </w:t>
      </w:r>
      <w:r>
        <w:rPr>
          <w:rFonts w:ascii="Palatino Linotype" w:eastAsia="Times New Roman" w:hAnsi="Palatino Linotype" w:cs="Times New Roman"/>
          <w:snapToGrid w:val="0"/>
          <w:color w:val="000000"/>
          <w:sz w:val="24"/>
          <w:szCs w:val="24"/>
          <w:lang w:val="en-US" w:eastAsia="de-DE" w:bidi="en-US"/>
        </w:rPr>
        <w:t xml:space="preserve">employed the RF method to delineate flood extent as a basis for the validation of </w:t>
      </w:r>
      <w:r w:rsidRPr="003C73D9">
        <w:rPr>
          <w:rFonts w:ascii="Palatino Linotype" w:eastAsia="Times New Roman" w:hAnsi="Palatino Linotype" w:cs="Times New Roman"/>
          <w:snapToGrid w:val="0"/>
          <w:color w:val="000000"/>
          <w:sz w:val="24"/>
          <w:szCs w:val="24"/>
          <w:lang w:val="en-US" w:eastAsia="de-DE" w:bidi="en-US"/>
        </w:rPr>
        <w:t>automatic flood detection algorithms</w:t>
      </w:r>
      <w:r w:rsidRPr="003C73D9">
        <w:rPr>
          <w:rFonts w:ascii="Palatino Linotype" w:eastAsia="Times New Roman" w:hAnsi="Palatino Linotype" w:cs="Times New Roman"/>
          <w:snapToGrid w:val="0"/>
          <w:color w:val="000000"/>
          <w:sz w:val="24"/>
          <w:szCs w:val="24"/>
          <w:lang w:val="en-US" w:eastAsia="de-DE" w:bidi="en-US"/>
        </w:rPr>
        <w:t xml:space="preserve"> </w:t>
      </w:r>
      <w:r w:rsidRPr="003C73D9">
        <w:rPr>
          <w:rFonts w:ascii="Palatino Linotype" w:eastAsia="Times New Roman" w:hAnsi="Palatino Linotype" w:cs="Times New Roman"/>
          <w:snapToGrid w:val="0"/>
          <w:color w:val="000000"/>
          <w:sz w:val="24"/>
          <w:szCs w:val="24"/>
          <w:lang w:val="en-US" w:eastAsia="de-DE" w:bidi="en-US"/>
        </w:rPr>
        <w:t>using Senti</w:t>
      </w:r>
      <w:r>
        <w:rPr>
          <w:rFonts w:ascii="Palatino Linotype" w:eastAsia="Times New Roman" w:hAnsi="Palatino Linotype" w:cs="Times New Roman"/>
          <w:snapToGrid w:val="0"/>
          <w:color w:val="000000"/>
          <w:sz w:val="24"/>
          <w:szCs w:val="24"/>
          <w:lang w:val="en-US" w:eastAsia="de-DE" w:bidi="en-US"/>
        </w:rPr>
        <w:t xml:space="preserve">nel-1 data within the GEE </w:t>
      </w:r>
      <w:r w:rsidRPr="003C73D9">
        <w:rPr>
          <w:rFonts w:ascii="Palatino Linotype" w:eastAsia="Times New Roman" w:hAnsi="Palatino Linotype" w:cs="Times New Roman"/>
          <w:snapToGrid w:val="0"/>
          <w:color w:val="000000"/>
          <w:sz w:val="24"/>
          <w:szCs w:val="24"/>
          <w:lang w:val="en-US" w:eastAsia="de-DE" w:bidi="en-US"/>
        </w:rPr>
        <w:t>platform</w:t>
      </w:r>
      <w:r>
        <w:rPr>
          <w:rFonts w:ascii="Palatino Linotype" w:eastAsia="Times New Roman" w:hAnsi="Palatino Linotype" w:cs="Times New Roman"/>
          <w:snapToGrid w:val="0"/>
          <w:color w:val="000000"/>
          <w:sz w:val="24"/>
          <w:szCs w:val="24"/>
          <w:lang w:val="en-US" w:eastAsia="de-DE" w:bidi="en-US"/>
        </w:rPr>
        <w:t>.</w:t>
      </w:r>
      <w:r>
        <w:rPr>
          <w:rFonts w:ascii="Palatino Linotype" w:eastAsia="Times New Roman" w:hAnsi="Palatino Linotype" w:cs="Times New Roman"/>
          <w:snapToGrid w:val="0"/>
          <w:color w:val="000000"/>
          <w:sz w:val="24"/>
          <w:szCs w:val="24"/>
          <w:lang w:val="en-US" w:eastAsia="de-DE" w:bidi="en-US"/>
        </w:rPr>
        <w:t xml:space="preserve"> RF's </w:t>
      </w:r>
      <w:r>
        <w:rPr>
          <w:rFonts w:ascii="Palatino Linotype" w:hAnsi="Palatino Linotype"/>
          <w:sz w:val="24"/>
          <w:szCs w:val="24"/>
        </w:rPr>
        <w:t>overall accuracy was</w:t>
      </w:r>
      <w:r w:rsidRPr="00573FFF">
        <w:rPr>
          <w:rFonts w:ascii="Palatino Linotype" w:hAnsi="Palatino Linotype"/>
          <w:sz w:val="24"/>
          <w:szCs w:val="24"/>
        </w:rPr>
        <w:t xml:space="preserve"> 99%</w:t>
      </w:r>
      <w:r>
        <w:rPr>
          <w:rFonts w:ascii="Palatino Linotype" w:hAnsi="Palatino Linotype"/>
          <w:sz w:val="24"/>
          <w:szCs w:val="24"/>
        </w:rPr>
        <w:t xml:space="preserve"> while Otsu's </w:t>
      </w:r>
      <w:r w:rsidRPr="003C73D9">
        <w:rPr>
          <w:rFonts w:ascii="Palatino Linotype" w:eastAsia="Times New Roman" w:hAnsi="Palatino Linotype" w:cs="Times New Roman"/>
          <w:snapToGrid w:val="0"/>
          <w:color w:val="000000"/>
          <w:sz w:val="24"/>
          <w:szCs w:val="24"/>
          <w:lang w:val="en-US" w:eastAsia="de-DE" w:bidi="en-US"/>
        </w:rPr>
        <w:t>automatic flood detection algorithms</w:t>
      </w:r>
      <w:r>
        <w:rPr>
          <w:rFonts w:ascii="Palatino Linotype" w:eastAsia="Times New Roman" w:hAnsi="Palatino Linotype" w:cs="Times New Roman"/>
          <w:snapToGrid w:val="0"/>
          <w:color w:val="000000"/>
          <w:sz w:val="24"/>
          <w:szCs w:val="24"/>
          <w:lang w:val="en-US" w:eastAsia="de-DE" w:bidi="en-US"/>
        </w:rPr>
        <w:t xml:space="preserve"> were 76%. </w:t>
      </w:r>
      <w:r w:rsidRPr="00BE5AD9">
        <w:rPr>
          <w:rFonts w:ascii="Palatino Linotype" w:eastAsia="Times New Roman" w:hAnsi="Palatino Linotype" w:cs="Times New Roman"/>
          <w:sz w:val="24"/>
          <w:szCs w:val="24"/>
          <w:lang w:val="en-US"/>
        </w:rPr>
        <w:t>The validation results highlight how combining machine learning techniques with SAR data might improve flood monitoring and aid in disaster</w:t>
      </w:r>
      <w:r w:rsidRPr="004F2A98">
        <w:rPr>
          <w:rFonts w:ascii="Palatino Linotype" w:eastAsia="Times New Roman" w:hAnsi="Palatino Linotype" w:cs="Times New Roman"/>
          <w:sz w:val="24"/>
          <w:szCs w:val="24"/>
          <w:lang w:val="en-US"/>
        </w:rPr>
        <w:t xml:space="preserve"> management efforts</w:t>
      </w:r>
      <w:r w:rsidRPr="00BE5AD9">
        <w:rPr>
          <w:rFonts w:ascii="Palatino Linotype" w:eastAsia="Times New Roman" w:hAnsi="Palatino Linotype" w:cs="Times New Roman"/>
          <w:sz w:val="24"/>
          <w:szCs w:val="24"/>
          <w:lang w:val="en-US"/>
        </w:rPr>
        <w:t>.</w:t>
      </w:r>
    </w:p>
    <w:p w:rsidR="004D2E83" w:rsidRDefault="004D2E83" w:rsidP="004D2E83">
      <w:pPr>
        <w:pStyle w:val="Heading1"/>
        <w:rPr>
          <w:rFonts w:ascii="Palatino Linotype" w:eastAsia="Times New Roman" w:hAnsi="Palatino Linotype"/>
          <w:color w:val="auto"/>
          <w:sz w:val="24"/>
          <w:szCs w:val="24"/>
          <w:lang w:val="en-US"/>
        </w:rPr>
      </w:pPr>
      <w:r w:rsidRPr="004D2E83">
        <w:rPr>
          <w:rFonts w:ascii="Palatino Linotype" w:eastAsia="Times New Roman" w:hAnsi="Palatino Linotype"/>
          <w:color w:val="auto"/>
          <w:sz w:val="24"/>
          <w:szCs w:val="24"/>
          <w:lang w:val="en-US"/>
        </w:rPr>
        <w:t>Funding</w:t>
      </w:r>
    </w:p>
    <w:p w:rsidR="004D2E83" w:rsidRPr="004D2E83" w:rsidRDefault="004D2E83" w:rsidP="004D2E83">
      <w:pPr>
        <w:rPr>
          <w:rFonts w:ascii="Palatino Linotype" w:hAnsi="Palatino Linotype"/>
          <w:sz w:val="24"/>
          <w:szCs w:val="24"/>
          <w:lang w:val="en-US"/>
        </w:rPr>
      </w:pPr>
      <w:r w:rsidRPr="004D2E83">
        <w:rPr>
          <w:rFonts w:ascii="Palatino Linotype" w:hAnsi="Palatino Linotype"/>
          <w:sz w:val="24"/>
          <w:szCs w:val="24"/>
          <w:lang w:val="en-US"/>
        </w:rPr>
        <w:t>This research was funded by the Tertiary Education Trust Fund of Nigeria through the Institution Based Research (IBR)</w:t>
      </w:r>
    </w:p>
    <w:p w:rsidR="0006727E" w:rsidRPr="00C705F3" w:rsidRDefault="0006727E" w:rsidP="0006727E">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p>
    <w:p w:rsidR="0006727E" w:rsidRPr="0006727E" w:rsidRDefault="0006727E" w:rsidP="0006727E">
      <w:pPr>
        <w:rPr>
          <w:lang w:val="en-US" w:eastAsia="de-DE" w:bidi="en-US"/>
        </w:rPr>
      </w:pPr>
    </w:p>
    <w:p w:rsidR="008C3C55" w:rsidRPr="003C73D9" w:rsidRDefault="008C3C55" w:rsidP="003C73D9">
      <w:pPr>
        <w:spacing w:line="360" w:lineRule="auto"/>
        <w:jc w:val="both"/>
        <w:rPr>
          <w:rFonts w:ascii="Palatino Linotype" w:hAnsi="Palatino Linotype"/>
          <w:sz w:val="24"/>
          <w:szCs w:val="24"/>
          <w:lang w:val="en-US" w:eastAsia="de-DE" w:bidi="en-US"/>
        </w:rPr>
      </w:pPr>
    </w:p>
    <w:p w:rsidR="008C3C55" w:rsidRPr="003C73D9" w:rsidRDefault="008C3C55" w:rsidP="003C73D9">
      <w:pPr>
        <w:spacing w:line="360" w:lineRule="auto"/>
        <w:jc w:val="both"/>
        <w:rPr>
          <w:rFonts w:ascii="Palatino Linotype" w:hAnsi="Palatino Linotype"/>
          <w:sz w:val="24"/>
          <w:szCs w:val="24"/>
          <w:lang w:val="en-US" w:eastAsia="de-DE" w:bidi="en-US"/>
        </w:rPr>
      </w:pPr>
    </w:p>
    <w:p w:rsidR="008C3C55" w:rsidRPr="003C73D9" w:rsidRDefault="008C3C55"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p>
    <w:p w:rsidR="00FC7A0E" w:rsidRPr="003C73D9" w:rsidRDefault="00FC7A0E" w:rsidP="003C73D9">
      <w:pPr>
        <w:adjustRightInd w:val="0"/>
        <w:snapToGrid w:val="0"/>
        <w:spacing w:after="0" w:line="360" w:lineRule="auto"/>
        <w:jc w:val="both"/>
        <w:rPr>
          <w:rFonts w:ascii="Palatino Linotype" w:hAnsi="Palatino Linotype"/>
          <w:sz w:val="24"/>
          <w:szCs w:val="24"/>
        </w:rPr>
      </w:pPr>
    </w:p>
    <w:p w:rsidR="00D15E7C" w:rsidRPr="003C73D9" w:rsidRDefault="00D15E7C" w:rsidP="003C73D9">
      <w:pPr>
        <w:spacing w:line="360" w:lineRule="auto"/>
        <w:jc w:val="both"/>
        <w:rPr>
          <w:rFonts w:ascii="Palatino Linotype" w:hAnsi="Palatino Linotype"/>
          <w:sz w:val="24"/>
          <w:szCs w:val="24"/>
        </w:rPr>
      </w:pPr>
    </w:p>
    <w:p w:rsidR="00185E7F" w:rsidRPr="00185E7F" w:rsidRDefault="00D15E7C" w:rsidP="00185E7F">
      <w:pPr>
        <w:pStyle w:val="EndNoteBibliography"/>
        <w:ind w:left="720" w:hanging="720"/>
      </w:pPr>
      <w:r w:rsidRPr="003C73D9">
        <w:rPr>
          <w:rFonts w:ascii="Palatino Linotype" w:hAnsi="Palatino Linotype"/>
          <w:sz w:val="24"/>
          <w:szCs w:val="24"/>
        </w:rPr>
      </w:r>
      <w:r w:rsidRPr="003C73D9">
        <w:rPr>
          <w:rFonts w:ascii="Palatino Linotype" w:hAnsi="Palatino Linotype"/>
          <w:sz w:val="24"/>
          <w:szCs w:val="24"/>
        </w:rPr>
        <w:instrText xml:space="preserve"/>
      </w:r>
      <w:r w:rsidRPr="003C73D9">
        <w:rPr>
          <w:rFonts w:ascii="Palatino Linotype" w:hAnsi="Palatino Linotype"/>
          <w:sz w:val="24"/>
          <w:szCs w:val="24"/>
        </w:rPr>
      </w:r>
      <w:r w:rsidR="00185E7F" w:rsidRPr="00185E7F">
        <w:t xml:space="preserve">Balzter, H., Cole, B., Thiel, C., &amp; Schmullius, C. (2015). Mapping CORINE Land Cover from Sentinel-1A SAR and SRTM Digital Elevation Model Data using Random Forests. </w:t>
      </w:r>
      <w:r w:rsidR="00185E7F" w:rsidRPr="00185E7F">
        <w:rPr>
          <w:i/>
        </w:rPr>
        <w:t>Remote Sensing, 7</w:t>
      </w:r>
      <w:r w:rsidR="00185E7F" w:rsidRPr="00185E7F">
        <w:t xml:space="preserve">(11), 14876-14898. </w:t>
      </w:r>
      <w:hyperlink r:id="rId10" w:history="1">
        <w:r w:rsidR="00185E7F" w:rsidRPr="00185E7F">
          <w:rPr>
            <w:rStyle w:val="Hyperlink"/>
          </w:rPr>
          <w:t>https://www.mdpi.com/2072-4292/7/11/14876</w:t>
        </w:r>
      </w:hyperlink>
      <w:r w:rsidR="00185E7F"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Billah, M., Islam, A. K. M. S., Mamoon, W. B., &amp; Rahman, M. R. (2023, 2023/04/01/). Random forest classifications for </w:t>
      </w:r>
      <w:r w:rsidR="00FC6958">
        <w:t>land use</w:t>
      </w:r>
      <w:r w:rsidRPr="00185E7F">
        <w:t xml:space="preserve"> mapping to assess rapid flood damage using Sentinel-1 and Sentinel-2 data. </w:t>
      </w:r>
      <w:r w:rsidRPr="00185E7F">
        <w:rPr>
          <w:i/>
        </w:rPr>
        <w:t>Remote Sensing Applications: Society and Environment, 30</w:t>
      </w:r>
      <w:r w:rsidRPr="00185E7F">
        <w:t xml:space="preserve">, 100947. </w:t>
      </w:r>
      <w:hyperlink r:id="rId11" w:history="1">
        <w:r w:rsidRPr="00185E7F">
          <w:rPr>
            <w:rStyle w:val="Hyperlink"/>
          </w:rPr>
          <w:t>https://doi.org/https://doi.org/10.1016/j.rsase.2023.100947</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Cao, H., Zhang, H., Wang, C., &amp; Zhang, B. (2019). Operational Flood Detection Using Sentinel-1 SAR Data over Large Areas. </w:t>
      </w:r>
      <w:r w:rsidRPr="00185E7F">
        <w:rPr>
          <w:i/>
        </w:rPr>
        <w:t>Water, 11</w:t>
      </w:r>
      <w:r w:rsidRPr="00185E7F">
        <w:t xml:space="preserve">(4), 786. </w:t>
      </w:r>
      <w:hyperlink r:id="rId12" w:history="1">
        <w:r w:rsidRPr="00185E7F">
          <w:rPr>
            <w:rStyle w:val="Hyperlink"/>
          </w:rPr>
          <w:t>https://www.mdpi.com/2073-4441/11/4/786</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Cred, U. (2020). Human Cost of Disasters. An Overview of the last 20 years: 2000–2019. </w:t>
      </w:r>
      <w:r w:rsidRPr="00185E7F">
        <w:rPr>
          <w:i/>
        </w:rPr>
        <w:t>CRED, UNDRR, Geneva</w:t>
      </w:r>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lastRenderedPageBreak/>
        <w:t xml:space="preserve">FAO. (2018). The impact of disasters and crises on agriculture and food security. </w:t>
      </w:r>
      <w:r w:rsidRPr="00185E7F">
        <w:rPr>
          <w:i/>
        </w:rPr>
        <w:t>Report</w:t>
      </w:r>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Ganjirad, M., &amp; Delavar, M. R. (2023). FLOOD RISK MAPPING USING RANDOM FOREST AND SUPPORT VECTOR MACHINE. </w:t>
      </w:r>
      <w:r w:rsidRPr="00185E7F">
        <w:rPr>
          <w:i/>
        </w:rPr>
        <w:t>ISPRS Ann. Photogramm. Remote Sens. Spatial Inf. Sci., X-4/W1-2022</w:t>
      </w:r>
      <w:r w:rsidRPr="00185E7F">
        <w:t xml:space="preserve">, 201-208. </w:t>
      </w:r>
      <w:hyperlink r:id="rId13" w:history="1">
        <w:r w:rsidRPr="00185E7F">
          <w:rPr>
            <w:rStyle w:val="Hyperlink"/>
          </w:rPr>
          <w:t>https://doi.org/10.5194/isprs-annals-X-4-W1-2022-201-2023</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Ibrahim, S. a. (2023). Improving Land Use/Cover Classification Accuracy from Random Forest Feature Importance Selection Based on Synergistic Use of Sentinel Data and Digital Elevation Model in Agriculturally Dominated Landscape. </w:t>
      </w:r>
      <w:r w:rsidRPr="00185E7F">
        <w:rPr>
          <w:i/>
        </w:rPr>
        <w:t>Agriculture, 13</w:t>
      </w:r>
      <w:r w:rsidRPr="00185E7F">
        <w:t xml:space="preserve">(1), 98. </w:t>
      </w:r>
      <w:hyperlink r:id="rId14" w:history="1">
        <w:r w:rsidRPr="00185E7F">
          <w:rPr>
            <w:rStyle w:val="Hyperlink"/>
          </w:rPr>
          <w:t>https://www.mdpi.com/2077-0472/13/1/98</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Jones, A., Kuehnert, J., Fraccaro, P., Meuriot, O., Ishikawa, T., Edwards, B., Stoyanov, N., Remy, S. L., Weldemariam, K., &amp; Assefa, S. (2023, 2023/06/08). AI for climate impacts: applications in flood risk. </w:t>
      </w:r>
      <w:r w:rsidRPr="00185E7F">
        <w:rPr>
          <w:i/>
        </w:rPr>
        <w:t>npj Climate and Atmospheric Science, 6</w:t>
      </w:r>
      <w:r w:rsidRPr="00185E7F">
        <w:t xml:space="preserve">(1), 63. </w:t>
      </w:r>
      <w:hyperlink r:id="rId15" w:history="1">
        <w:r w:rsidRPr="00185E7F">
          <w:rPr>
            <w:rStyle w:val="Hyperlink"/>
          </w:rPr>
          <w:t>https://doi.org/10.1038/s41612-023-00388-1</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Loukika, K. N., Keesara, V. R., &amp; Sridhar, V. (2021). Analysis of Land Use and Land Cover Using Machine Learning Algorithms on Google Earth Engine for Munneru River Basin, India. </w:t>
      </w:r>
      <w:r w:rsidRPr="00185E7F">
        <w:rPr>
          <w:i/>
        </w:rPr>
        <w:t>Sustainability, 13</w:t>
      </w:r>
      <w:r w:rsidRPr="00185E7F">
        <w:t xml:space="preserve">(24), 13758. </w:t>
      </w:r>
      <w:hyperlink r:id="rId16" w:history="1">
        <w:r w:rsidRPr="00185E7F">
          <w:rPr>
            <w:rStyle w:val="Hyperlink"/>
          </w:rPr>
          <w:t>https://www.mdpi.com/2071-1050/13/24/13758</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Mashi, S. A., Oghenejabor, O. D., &amp; Inkani, A. I. (2019, 2019/02/01/). Disaster risks and management policies and practices in Nigeria: A critical appraisal of the National Emergency Management Agency Act. </w:t>
      </w:r>
      <w:r w:rsidRPr="00185E7F">
        <w:rPr>
          <w:i/>
        </w:rPr>
        <w:t>International Journal of Disaster Risk Reduction, 33</w:t>
      </w:r>
      <w:r w:rsidRPr="00185E7F">
        <w:t xml:space="preserve">, 253-265. </w:t>
      </w:r>
      <w:hyperlink r:id="rId17" w:history="1">
        <w:r w:rsidRPr="00185E7F">
          <w:rPr>
            <w:rStyle w:val="Hyperlink"/>
          </w:rPr>
          <w:t>https://doi.org/https://doi.org/10.1016/j.ijdrr.2018.10.011</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Maxwell, A. E., Warner, T. A., &amp; Fang, F. (2018, 2018/05/03). Implementation of machine-learning classification in remote sensing: an applied review. </w:t>
      </w:r>
      <w:r w:rsidRPr="00185E7F">
        <w:rPr>
          <w:i/>
        </w:rPr>
        <w:t>International Journal of Remote Sensing, 39</w:t>
      </w:r>
      <w:r w:rsidRPr="00185E7F">
        <w:t xml:space="preserve">(9), 2784-2817. </w:t>
      </w:r>
      <w:hyperlink r:id="rId18" w:history="1">
        <w:r w:rsidRPr="00185E7F">
          <w:rPr>
            <w:rStyle w:val="Hyperlink"/>
          </w:rPr>
          <w:t>https://doi.org/10.1080/01431161.2018.1433343</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NESREA. (2017). </w:t>
      </w:r>
      <w:r w:rsidRPr="00185E7F">
        <w:rPr>
          <w:i/>
        </w:rPr>
        <w:t>National Policy on Environment</w:t>
      </w:r>
      <w:r w:rsidRPr="00185E7F">
        <w:t xml:space="preserve">. Retrieved 26/02/2024 from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Raza, A., Razzaq, A., Mehmood, S. S., Zou, X., Zhang, X., Lv, Y., &amp; Xu, J. (2019). Impact of Climate Change on Crops Adaptation and Strategies to Tackle Its Outcome: A Review. </w:t>
      </w:r>
      <w:r w:rsidRPr="00185E7F">
        <w:rPr>
          <w:i/>
        </w:rPr>
        <w:t>Plants, 8</w:t>
      </w:r>
      <w:r w:rsidRPr="00185E7F">
        <w:t xml:space="preserve">(2), 34. </w:t>
      </w:r>
      <w:hyperlink r:id="rId19" w:history="1">
        <w:r w:rsidRPr="00185E7F">
          <w:rPr>
            <w:rStyle w:val="Hyperlink"/>
          </w:rPr>
          <w:t>https://www.mdpi.com/2223-7747/8/2/34</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Ren, H., Pang, B., Bai, P., Zhao, G., Liu, S., Liu, Y., &amp; Li, M. (2024). Flood Susceptibility Assessment with Random Sampling Strategy in Ensemble Learning (RF and XGBoost). </w:t>
      </w:r>
      <w:r w:rsidRPr="00185E7F">
        <w:rPr>
          <w:i/>
        </w:rPr>
        <w:t>Remote Sensing, 16</w:t>
      </w:r>
      <w:r w:rsidRPr="00185E7F">
        <w:t xml:space="preserve">(2), 320. </w:t>
      </w:r>
      <w:hyperlink r:id="rId20" w:history="1">
        <w:r w:rsidRPr="00185E7F">
          <w:rPr>
            <w:rStyle w:val="Hyperlink"/>
          </w:rPr>
          <w:t>https://www.mdpi.com/2072-4292/16/2/320</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Sang, G., Wang, X., &amp; Zhang, J. (2024). Improved Otsu Theory of Image Multi-threshold Segmentation by Incorporating Ant Colony Algorithm. </w:t>
      </w:r>
      <w:r w:rsidRPr="00185E7F">
        <w:rPr>
          <w:i/>
        </w:rPr>
        <w:t>Informatica, 48</w:t>
      </w:r>
      <w:r w:rsidRPr="00185E7F">
        <w:t xml:space="preserve">(9).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Shilengwe, C., Nyimbili, P. H., Msendo, R., Banda, F., Mukupa, W., &amp; Erden, T. (2023). Synthetic Aperture Radar and Optical Sensor Techniques Using Google Earth Engine For Flood Monitoring and Damage Assessment–A Case Study of Mumbwa District, Zambia. </w:t>
      </w:r>
      <w:r w:rsidRPr="00185E7F">
        <w:rPr>
          <w:i/>
        </w:rPr>
        <w:t>Zambia ICT Journal, 7</w:t>
      </w:r>
      <w:r w:rsidRPr="00185E7F">
        <w:t xml:space="preserve">(1), 7-15.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Tellman, B., Sullivan, J. A., Kuhn, C., Kettner, A. J., Doyle, C. S., Brakenridge, G. R., Erickson, T. A., &amp; Slayback, D. A. (2021, 2021/08/01). Satellite imaging reveals increased proportion of population exposed to floods. </w:t>
      </w:r>
      <w:r w:rsidRPr="00185E7F">
        <w:rPr>
          <w:i/>
        </w:rPr>
        <w:t>Nature, 596</w:t>
      </w:r>
      <w:r w:rsidRPr="00185E7F">
        <w:t xml:space="preserve">(7870), 80-86. </w:t>
      </w:r>
      <w:hyperlink r:id="rId21" w:history="1">
        <w:r w:rsidRPr="00185E7F">
          <w:rPr>
            <w:rStyle w:val="Hyperlink"/>
          </w:rPr>
          <w:t>https://doi.org/10.1038/s41586-021-03695-w</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Vanama, V. S. K., Mandal, D., &amp; Rao, Y. (2020). GEE4FLOOD: rapid mapping of flood areas using temporal Sentinel-1 SAR images with Google Earth Engine cloud platform. </w:t>
      </w:r>
      <w:r w:rsidRPr="00185E7F">
        <w:rPr>
          <w:i/>
        </w:rPr>
        <w:t>Journal of Applied Remote Sensing, 14</w:t>
      </w:r>
      <w:r w:rsidRPr="00185E7F">
        <w:t xml:space="preserve">(3), 034505. </w:t>
      </w:r>
      <w:hyperlink r:id="rId22" w:history="1">
        <w:r w:rsidRPr="00185E7F">
          <w:rPr>
            <w:rStyle w:val="Hyperlink"/>
          </w:rPr>
          <w:t>https://doi.org/10.1117/1.JRS.14.034505</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Xu, X., Xu, S., Jin, L., &amp; Song, E. (2011). Characteristic analysis of Otsu threshold and its applications. </w:t>
      </w:r>
      <w:r w:rsidRPr="00185E7F">
        <w:rPr>
          <w:i/>
        </w:rPr>
        <w:t>Pattern recognition letters, 32</w:t>
      </w:r>
      <w:r w:rsidRPr="00185E7F">
        <w:t xml:space="preserve">(7), 956-961.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Zare, M., &amp; Schumann, G. J. P. (2021). Chapter 15 - Emerging Techniques in Machine Learning for Processing Satellite Images of Floods. In G. J. P. Schumann (Ed.), </w:t>
      </w:r>
      <w:r w:rsidRPr="00185E7F">
        <w:rPr>
          <w:i/>
        </w:rPr>
        <w:t>Earth Observation for Flood Applications</w:t>
      </w:r>
      <w:r w:rsidRPr="00185E7F">
        <w:t xml:space="preserve"> (pp. 321-336). Elsevier. </w:t>
      </w:r>
      <w:hyperlink r:id="rId23" w:history="1">
        <w:r w:rsidRPr="00185E7F">
          <w:rPr>
            <w:rStyle w:val="Hyperlink"/>
          </w:rPr>
          <w:t>https://doi.org/https://doi.org/10.1016/B978-0-12-819412-6.00015-8</w:t>
        </w:r>
      </w:hyperlink>
      <w:r w:rsidRPr="00185E7F">
        <w:t xml:space="preserve"> </w:t>
      </w:r>
    </w:p>
    <w:p w:rsidR="00185E7F" w:rsidRPr="00185E7F" w:rsidRDefault="00185E7F" w:rsidP="00185E7F">
      <w:pPr>
        <w:pStyle w:val="EndNoteBibliography"/>
      </w:pPr>
    </w:p>
    <w:p w:rsidR="00D15E7C" w:rsidRPr="003C73D9" w:rsidRDefault="00D15E7C" w:rsidP="003C73D9">
      <w:pPr>
        <w:spacing w:line="360" w:lineRule="auto"/>
        <w:jc w:val="both"/>
        <w:rPr>
          <w:rFonts w:ascii="Palatino Linotype" w:hAnsi="Palatino Linotype"/>
          <w:sz w:val="24"/>
          <w:szCs w:val="24"/>
        </w:rPr>
      </w:pPr>
      <w:r w:rsidRPr="003C73D9">
        <w:rPr>
          <w:rFonts w:ascii="Palatino Linotype" w:hAnsi="Palatino Linotype"/>
          <w:sz w:val="24"/>
          <w:szCs w:val="24"/>
        </w:rPr>
      </w:r>
    </w:p>
    <w:sectPr w:rsidR="00D15E7C" w:rsidRPr="003C73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e99rvelpt552efdv15wfru2vd2z2v9dzra&quot;&gt;My EndNote Library3&lt;record-ids&gt;&lt;item&gt;2&lt;/item&gt;&lt;item&gt;6&lt;/item&gt;&lt;item&gt;7&lt;/item&gt;&lt;/record-ids&gt;&lt;/item&gt;&lt;item db-id=&quot;ews2wvaxo0ae0ter0s8xdxskdf5w9dvdzzwd&quot;&gt;My EndNote Library&lt;record-ids&gt;&lt;item&gt;3&lt;/item&gt;&lt;item&gt;13&lt;/item&gt;&lt;/record-ids&gt;&lt;/item&gt;&lt;item db-id=&quot;ztxxpts0aa2009esdwupt05es22r0ee2922r&quot;&gt;My EndNote Library&lt;record-ids&gt;&lt;item&gt;3&lt;/item&gt;&lt;item&gt;4&lt;/item&gt;&lt;item&gt;14&lt;/item&gt;&lt;item&gt;18&lt;/item&gt;&lt;item&gt;31&lt;/item&gt;&lt;item&gt;39&lt;/item&gt;&lt;item&gt;40&lt;/item&gt;&lt;item&gt;43&lt;/item&gt;&lt;item&gt;44&lt;/item&gt;&lt;item&gt;45&lt;/item&gt;&lt;item&gt;53&lt;/item&gt;&lt;item&gt;54&lt;/item&gt;&lt;item&gt;67&lt;/item&gt;&lt;item&gt;87&lt;/item&gt;&lt;item&gt;113&lt;/item&gt;&lt;/record-ids&gt;&lt;/item&gt;&lt;/Libraries&gt;"/>
  </w:docVars>
  <w:rsids>
    <w:rsidRoot w:val="00D15E7C"/>
    <w:rsid w:val="0006727E"/>
    <w:rsid w:val="00185E7F"/>
    <w:rsid w:val="0019720A"/>
    <w:rsid w:val="001E7C82"/>
    <w:rsid w:val="002A57E8"/>
    <w:rsid w:val="00305E45"/>
    <w:rsid w:val="00360B1D"/>
    <w:rsid w:val="00373BB9"/>
    <w:rsid w:val="00380501"/>
    <w:rsid w:val="003C73D9"/>
    <w:rsid w:val="003F40B3"/>
    <w:rsid w:val="00477256"/>
    <w:rsid w:val="004D2E83"/>
    <w:rsid w:val="004F2EB0"/>
    <w:rsid w:val="0057094F"/>
    <w:rsid w:val="005A4071"/>
    <w:rsid w:val="005D24EA"/>
    <w:rsid w:val="005D482E"/>
    <w:rsid w:val="006334D1"/>
    <w:rsid w:val="006D6DE5"/>
    <w:rsid w:val="0073510D"/>
    <w:rsid w:val="007629E7"/>
    <w:rsid w:val="007663DD"/>
    <w:rsid w:val="00771899"/>
    <w:rsid w:val="007C479A"/>
    <w:rsid w:val="00817206"/>
    <w:rsid w:val="0085766B"/>
    <w:rsid w:val="00863D46"/>
    <w:rsid w:val="008A1307"/>
    <w:rsid w:val="008C3C55"/>
    <w:rsid w:val="0095230D"/>
    <w:rsid w:val="0096777A"/>
    <w:rsid w:val="009D3EF4"/>
    <w:rsid w:val="009E0B03"/>
    <w:rsid w:val="00A02755"/>
    <w:rsid w:val="00A12FB9"/>
    <w:rsid w:val="00A94900"/>
    <w:rsid w:val="00A960D4"/>
    <w:rsid w:val="00AC7E13"/>
    <w:rsid w:val="00B5693C"/>
    <w:rsid w:val="00B807EC"/>
    <w:rsid w:val="00BB3677"/>
    <w:rsid w:val="00C705F3"/>
    <w:rsid w:val="00CB17C2"/>
    <w:rsid w:val="00CD0FA9"/>
    <w:rsid w:val="00CD39EA"/>
    <w:rsid w:val="00D14ACA"/>
    <w:rsid w:val="00D15E7C"/>
    <w:rsid w:val="00D73D07"/>
    <w:rsid w:val="00D80633"/>
    <w:rsid w:val="00D974AB"/>
    <w:rsid w:val="00DA7DB7"/>
    <w:rsid w:val="00E211BF"/>
    <w:rsid w:val="00EA3A7B"/>
    <w:rsid w:val="00EC6BE2"/>
    <w:rsid w:val="00F3419C"/>
    <w:rsid w:val="00F536AD"/>
    <w:rsid w:val="00F55C08"/>
    <w:rsid w:val="00F750F3"/>
    <w:rsid w:val="00F83069"/>
    <w:rsid w:val="00F97356"/>
    <w:rsid w:val="00FC6958"/>
    <w:rsid w:val="00FC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FF7023-0C46-483D-BF40-D9250477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027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C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3C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E7C"/>
    <w:rPr>
      <w:rFonts w:ascii="Segoe UI" w:hAnsi="Segoe UI" w:cs="Segoe UI"/>
      <w:sz w:val="18"/>
      <w:szCs w:val="18"/>
      <w:lang w:val="en-GB"/>
    </w:rPr>
  </w:style>
  <w:style w:type="paragraph" w:customStyle="1" w:styleId="EndNoteBibliographyTitle">
    <w:name w:val="EndNote Bibliography Title"/>
    <w:basedOn w:val="Normal"/>
    <w:link w:val="EndNoteBibliographyTitleChar"/>
    <w:rsid w:val="00D15E7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15E7C"/>
    <w:rPr>
      <w:rFonts w:ascii="Calibri" w:hAnsi="Calibri" w:cs="Calibri"/>
      <w:noProof/>
    </w:rPr>
  </w:style>
  <w:style w:type="paragraph" w:customStyle="1" w:styleId="EndNoteBibliography">
    <w:name w:val="EndNote Bibliography"/>
    <w:basedOn w:val="Normal"/>
    <w:link w:val="EndNoteBibliographyChar"/>
    <w:rsid w:val="00D15E7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15E7C"/>
    <w:rPr>
      <w:rFonts w:ascii="Calibri" w:hAnsi="Calibri" w:cs="Calibri"/>
      <w:noProof/>
    </w:rPr>
  </w:style>
  <w:style w:type="character" w:styleId="Hyperlink">
    <w:name w:val="Hyperlink"/>
    <w:basedOn w:val="DefaultParagraphFont"/>
    <w:uiPriority w:val="99"/>
    <w:unhideWhenUsed/>
    <w:rsid w:val="00D15E7C"/>
    <w:rPr>
      <w:color w:val="0563C1" w:themeColor="hyperlink"/>
      <w:u w:val="single"/>
    </w:rPr>
  </w:style>
  <w:style w:type="character" w:customStyle="1" w:styleId="Heading1Char">
    <w:name w:val="Heading 1 Char"/>
    <w:basedOn w:val="DefaultParagraphFont"/>
    <w:link w:val="Heading1"/>
    <w:uiPriority w:val="9"/>
    <w:rsid w:val="00A02755"/>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8C3C55"/>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8C3C55"/>
    <w:rPr>
      <w:rFonts w:asciiTheme="majorHAnsi" w:eastAsiaTheme="majorEastAsia" w:hAnsiTheme="majorHAnsi" w:cstheme="majorBidi"/>
      <w:color w:val="1F4D78" w:themeColor="accent1" w:themeShade="7F"/>
      <w:sz w:val="24"/>
      <w:szCs w:val="24"/>
      <w:lang w:val="en-GB"/>
    </w:rPr>
  </w:style>
  <w:style w:type="table" w:customStyle="1" w:styleId="PlainTable211">
    <w:name w:val="Plain Table 211"/>
    <w:basedOn w:val="TableNormal"/>
    <w:next w:val="PlainTable2"/>
    <w:uiPriority w:val="42"/>
    <w:rsid w:val="009E0B03"/>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E0B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E0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360B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3F40B3"/>
    <w:rPr>
      <w:i/>
      <w:iCs/>
    </w:rPr>
  </w:style>
  <w:style w:type="paragraph" w:styleId="NormalWeb">
    <w:name w:val="Normal (Web)"/>
    <w:basedOn w:val="Normal"/>
    <w:uiPriority w:val="99"/>
    <w:unhideWhenUsed/>
    <w:rsid w:val="009D3E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verflow-hidden">
    <w:name w:val="overflow-hidden"/>
    <w:basedOn w:val="DefaultParagraphFont"/>
    <w:rsid w:val="009D3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2545">
      <w:bodyDiv w:val="1"/>
      <w:marLeft w:val="0"/>
      <w:marRight w:val="0"/>
      <w:marTop w:val="0"/>
      <w:marBottom w:val="0"/>
      <w:divBdr>
        <w:top w:val="none" w:sz="0" w:space="0" w:color="auto"/>
        <w:left w:val="none" w:sz="0" w:space="0" w:color="auto"/>
        <w:bottom w:val="none" w:sz="0" w:space="0" w:color="auto"/>
        <w:right w:val="none" w:sz="0" w:space="0" w:color="auto"/>
      </w:divBdr>
      <w:divsChild>
        <w:div w:id="1063330567">
          <w:marLeft w:val="0"/>
          <w:marRight w:val="0"/>
          <w:marTop w:val="0"/>
          <w:marBottom w:val="0"/>
          <w:divBdr>
            <w:top w:val="none" w:sz="0" w:space="0" w:color="auto"/>
            <w:left w:val="none" w:sz="0" w:space="0" w:color="auto"/>
            <w:bottom w:val="none" w:sz="0" w:space="0" w:color="auto"/>
            <w:right w:val="none" w:sz="0" w:space="0" w:color="auto"/>
          </w:divBdr>
          <w:divsChild>
            <w:div w:id="1901404234">
              <w:marLeft w:val="0"/>
              <w:marRight w:val="0"/>
              <w:marTop w:val="0"/>
              <w:marBottom w:val="0"/>
              <w:divBdr>
                <w:top w:val="none" w:sz="0" w:space="0" w:color="auto"/>
                <w:left w:val="none" w:sz="0" w:space="0" w:color="auto"/>
                <w:bottom w:val="none" w:sz="0" w:space="0" w:color="auto"/>
                <w:right w:val="none" w:sz="0" w:space="0" w:color="auto"/>
              </w:divBdr>
              <w:divsChild>
                <w:div w:id="358120800">
                  <w:marLeft w:val="0"/>
                  <w:marRight w:val="0"/>
                  <w:marTop w:val="0"/>
                  <w:marBottom w:val="0"/>
                  <w:divBdr>
                    <w:top w:val="none" w:sz="0" w:space="0" w:color="auto"/>
                    <w:left w:val="none" w:sz="0" w:space="0" w:color="auto"/>
                    <w:bottom w:val="none" w:sz="0" w:space="0" w:color="auto"/>
                    <w:right w:val="none" w:sz="0" w:space="0" w:color="auto"/>
                  </w:divBdr>
                  <w:divsChild>
                    <w:div w:id="15319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34183">
          <w:marLeft w:val="0"/>
          <w:marRight w:val="0"/>
          <w:marTop w:val="0"/>
          <w:marBottom w:val="0"/>
          <w:divBdr>
            <w:top w:val="none" w:sz="0" w:space="0" w:color="auto"/>
            <w:left w:val="none" w:sz="0" w:space="0" w:color="auto"/>
            <w:bottom w:val="none" w:sz="0" w:space="0" w:color="auto"/>
            <w:right w:val="none" w:sz="0" w:space="0" w:color="auto"/>
          </w:divBdr>
          <w:divsChild>
            <w:div w:id="949822983">
              <w:marLeft w:val="0"/>
              <w:marRight w:val="0"/>
              <w:marTop w:val="0"/>
              <w:marBottom w:val="0"/>
              <w:divBdr>
                <w:top w:val="none" w:sz="0" w:space="0" w:color="auto"/>
                <w:left w:val="none" w:sz="0" w:space="0" w:color="auto"/>
                <w:bottom w:val="none" w:sz="0" w:space="0" w:color="auto"/>
                <w:right w:val="none" w:sz="0" w:space="0" w:color="auto"/>
              </w:divBdr>
              <w:divsChild>
                <w:div w:id="1337994635">
                  <w:marLeft w:val="0"/>
                  <w:marRight w:val="0"/>
                  <w:marTop w:val="0"/>
                  <w:marBottom w:val="0"/>
                  <w:divBdr>
                    <w:top w:val="none" w:sz="0" w:space="0" w:color="auto"/>
                    <w:left w:val="none" w:sz="0" w:space="0" w:color="auto"/>
                    <w:bottom w:val="none" w:sz="0" w:space="0" w:color="auto"/>
                    <w:right w:val="none" w:sz="0" w:space="0" w:color="auto"/>
                  </w:divBdr>
                  <w:divsChild>
                    <w:div w:id="14857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4687">
      <w:bodyDiv w:val="1"/>
      <w:marLeft w:val="0"/>
      <w:marRight w:val="0"/>
      <w:marTop w:val="0"/>
      <w:marBottom w:val="0"/>
      <w:divBdr>
        <w:top w:val="none" w:sz="0" w:space="0" w:color="auto"/>
        <w:left w:val="none" w:sz="0" w:space="0" w:color="auto"/>
        <w:bottom w:val="none" w:sz="0" w:space="0" w:color="auto"/>
        <w:right w:val="none" w:sz="0" w:space="0" w:color="auto"/>
      </w:divBdr>
      <w:divsChild>
        <w:div w:id="1384868936">
          <w:marLeft w:val="0"/>
          <w:marRight w:val="0"/>
          <w:marTop w:val="0"/>
          <w:marBottom w:val="0"/>
          <w:divBdr>
            <w:top w:val="none" w:sz="0" w:space="0" w:color="auto"/>
            <w:left w:val="none" w:sz="0" w:space="0" w:color="auto"/>
            <w:bottom w:val="none" w:sz="0" w:space="0" w:color="auto"/>
            <w:right w:val="none" w:sz="0" w:space="0" w:color="auto"/>
          </w:divBdr>
          <w:divsChild>
            <w:div w:id="1557278949">
              <w:marLeft w:val="0"/>
              <w:marRight w:val="0"/>
              <w:marTop w:val="0"/>
              <w:marBottom w:val="0"/>
              <w:divBdr>
                <w:top w:val="none" w:sz="0" w:space="0" w:color="auto"/>
                <w:left w:val="none" w:sz="0" w:space="0" w:color="auto"/>
                <w:bottom w:val="none" w:sz="0" w:space="0" w:color="auto"/>
                <w:right w:val="none" w:sz="0" w:space="0" w:color="auto"/>
              </w:divBdr>
              <w:divsChild>
                <w:div w:id="1357464767">
                  <w:marLeft w:val="0"/>
                  <w:marRight w:val="0"/>
                  <w:marTop w:val="0"/>
                  <w:marBottom w:val="0"/>
                  <w:divBdr>
                    <w:top w:val="none" w:sz="0" w:space="0" w:color="auto"/>
                    <w:left w:val="none" w:sz="0" w:space="0" w:color="auto"/>
                    <w:bottom w:val="none" w:sz="0" w:space="0" w:color="auto"/>
                    <w:right w:val="none" w:sz="0" w:space="0" w:color="auto"/>
                  </w:divBdr>
                  <w:divsChild>
                    <w:div w:id="409741347">
                      <w:marLeft w:val="0"/>
                      <w:marRight w:val="0"/>
                      <w:marTop w:val="0"/>
                      <w:marBottom w:val="0"/>
                      <w:divBdr>
                        <w:top w:val="none" w:sz="0" w:space="0" w:color="auto"/>
                        <w:left w:val="none" w:sz="0" w:space="0" w:color="auto"/>
                        <w:bottom w:val="none" w:sz="0" w:space="0" w:color="auto"/>
                        <w:right w:val="none" w:sz="0" w:space="0" w:color="auto"/>
                      </w:divBdr>
                      <w:divsChild>
                        <w:div w:id="1687443486">
                          <w:marLeft w:val="0"/>
                          <w:marRight w:val="0"/>
                          <w:marTop w:val="0"/>
                          <w:marBottom w:val="0"/>
                          <w:divBdr>
                            <w:top w:val="none" w:sz="0" w:space="0" w:color="auto"/>
                            <w:left w:val="none" w:sz="0" w:space="0" w:color="auto"/>
                            <w:bottom w:val="none" w:sz="0" w:space="0" w:color="auto"/>
                            <w:right w:val="none" w:sz="0" w:space="0" w:color="auto"/>
                          </w:divBdr>
                          <w:divsChild>
                            <w:div w:id="10088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12190">
      <w:bodyDiv w:val="1"/>
      <w:marLeft w:val="0"/>
      <w:marRight w:val="0"/>
      <w:marTop w:val="0"/>
      <w:marBottom w:val="0"/>
      <w:divBdr>
        <w:top w:val="none" w:sz="0" w:space="0" w:color="auto"/>
        <w:left w:val="none" w:sz="0" w:space="0" w:color="auto"/>
        <w:bottom w:val="none" w:sz="0" w:space="0" w:color="auto"/>
        <w:right w:val="none" w:sz="0" w:space="0" w:color="auto"/>
      </w:divBdr>
      <w:divsChild>
        <w:div w:id="804659489">
          <w:marLeft w:val="0"/>
          <w:marRight w:val="0"/>
          <w:marTop w:val="0"/>
          <w:marBottom w:val="0"/>
          <w:divBdr>
            <w:top w:val="none" w:sz="0" w:space="0" w:color="auto"/>
            <w:left w:val="none" w:sz="0" w:space="0" w:color="auto"/>
            <w:bottom w:val="none" w:sz="0" w:space="0" w:color="auto"/>
            <w:right w:val="none" w:sz="0" w:space="0" w:color="auto"/>
          </w:divBdr>
          <w:divsChild>
            <w:div w:id="372849709">
              <w:marLeft w:val="0"/>
              <w:marRight w:val="0"/>
              <w:marTop w:val="0"/>
              <w:marBottom w:val="0"/>
              <w:divBdr>
                <w:top w:val="none" w:sz="0" w:space="0" w:color="auto"/>
                <w:left w:val="none" w:sz="0" w:space="0" w:color="auto"/>
                <w:bottom w:val="none" w:sz="0" w:space="0" w:color="auto"/>
                <w:right w:val="none" w:sz="0" w:space="0" w:color="auto"/>
              </w:divBdr>
              <w:divsChild>
                <w:div w:id="1089430335">
                  <w:marLeft w:val="0"/>
                  <w:marRight w:val="0"/>
                  <w:marTop w:val="0"/>
                  <w:marBottom w:val="0"/>
                  <w:divBdr>
                    <w:top w:val="none" w:sz="0" w:space="0" w:color="auto"/>
                    <w:left w:val="none" w:sz="0" w:space="0" w:color="auto"/>
                    <w:bottom w:val="none" w:sz="0" w:space="0" w:color="auto"/>
                    <w:right w:val="none" w:sz="0" w:space="0" w:color="auto"/>
                  </w:divBdr>
                  <w:divsChild>
                    <w:div w:id="9517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1992">
          <w:marLeft w:val="0"/>
          <w:marRight w:val="0"/>
          <w:marTop w:val="0"/>
          <w:marBottom w:val="0"/>
          <w:divBdr>
            <w:top w:val="none" w:sz="0" w:space="0" w:color="auto"/>
            <w:left w:val="none" w:sz="0" w:space="0" w:color="auto"/>
            <w:bottom w:val="none" w:sz="0" w:space="0" w:color="auto"/>
            <w:right w:val="none" w:sz="0" w:space="0" w:color="auto"/>
          </w:divBdr>
          <w:divsChild>
            <w:div w:id="2038313657">
              <w:marLeft w:val="0"/>
              <w:marRight w:val="0"/>
              <w:marTop w:val="0"/>
              <w:marBottom w:val="0"/>
              <w:divBdr>
                <w:top w:val="none" w:sz="0" w:space="0" w:color="auto"/>
                <w:left w:val="none" w:sz="0" w:space="0" w:color="auto"/>
                <w:bottom w:val="none" w:sz="0" w:space="0" w:color="auto"/>
                <w:right w:val="none" w:sz="0" w:space="0" w:color="auto"/>
              </w:divBdr>
              <w:divsChild>
                <w:div w:id="988899071">
                  <w:marLeft w:val="0"/>
                  <w:marRight w:val="0"/>
                  <w:marTop w:val="0"/>
                  <w:marBottom w:val="0"/>
                  <w:divBdr>
                    <w:top w:val="none" w:sz="0" w:space="0" w:color="auto"/>
                    <w:left w:val="none" w:sz="0" w:space="0" w:color="auto"/>
                    <w:bottom w:val="none" w:sz="0" w:space="0" w:color="auto"/>
                    <w:right w:val="none" w:sz="0" w:space="0" w:color="auto"/>
                  </w:divBdr>
                  <w:divsChild>
                    <w:div w:id="18620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9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webSettings" Target="webSettings.xml"/><Relationship Id="rId21" Type="http://schemas.openxmlformats.org/officeDocument/2006/relationships/hyperlink" Target="about:blank" TargetMode="External"/><Relationship Id="rId7" Type="http://schemas.openxmlformats.org/officeDocument/2006/relationships/image" Target="media/image3.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image" Target="media/image5.png"/><Relationship Id="rId14" Type="http://schemas.openxmlformats.org/officeDocument/2006/relationships/hyperlink" Target="about:blank" TargetMode="External"/><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12</Pages>
  <Words>2518</Words>
  <Characters>14928</Characters>
  <Application>Microsoft Office Word</Application>
  <DocSecurity>0</DocSecurity>
  <Lines>279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40</cp:revision>
  <dcterms:created xsi:type="dcterms:W3CDTF">2024-09-06T11:46:00Z</dcterms:created>
  <dcterms:modified xsi:type="dcterms:W3CDTF">2024-09-06T22:14:00Z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dcb31814-2302-4e39-a205-e88dd435f0e4</vt:lpwstr>
  </property>
</Properties>
</file>