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94F" w:rsidRPr="00380501" w:rsidRDefault="0057094F" w:rsidP="003C73D9">
      <w:pPr>
        <w:spacing w:line="360" w:lineRule="auto"/>
        <w:jc w:val="both"/>
        <w:rPr>
          <w:rFonts w:ascii="Palatino Linotype" w:hAnsi="Palatino Linotype"/>
          <w:b/>
          <w:sz w:val="32"/>
          <w:szCs w:val="32"/>
          <w:lang w:eastAsia="en-GB" w:bidi="en-US"/>
        </w:rPr>
      </w:pPr>
      <w:r w:rsidRPr="00380501">
        <w:rPr>
          <w:rFonts w:ascii="Palatino Linotype" w:hAnsi="Palatino Linotype"/>
          <w:b/>
          <w:sz w:val="32"/>
          <w:szCs w:val="32"/>
        </w:rPr>
        <w:t xml:space="preserve">Validation of Automatic Flood Detection Algorithm in Google Earth Engine </w:t>
      </w:r>
      <w:r w:rsidR="0073510D">
        <w:rPr>
          <w:rFonts w:ascii="Palatino Linotype" w:hAnsi="Palatino Linotype"/>
          <w:b/>
          <w:sz w:val="32"/>
          <w:szCs w:val="32"/>
        </w:rPr>
        <w:t xml:space="preserve">Cloud </w:t>
      </w:r>
      <w:r w:rsidRPr="00380501">
        <w:rPr>
          <w:rFonts w:ascii="Palatino Linotype" w:hAnsi="Palatino Linotype"/>
          <w:b/>
          <w:sz w:val="32"/>
          <w:szCs w:val="32"/>
        </w:rPr>
        <w:t>Platform Using Synthetic Aperture Radar Data and Random Forest Method</w:t>
      </w:r>
    </w:p>
    <w:p w:rsidR="00D80633" w:rsidRPr="003C73D9" w:rsidRDefault="00D80633" w:rsidP="003C73D9">
      <w:pPr>
        <w:spacing w:line="360" w:lineRule="auto"/>
        <w:jc w:val="both"/>
        <w:rPr>
          <w:rFonts w:ascii="Palatino Linotype" w:eastAsia="Times New Roman" w:hAnsi="Palatino Linotype" w:cs="Times New Roman"/>
          <w:snapToGrid w:val="0"/>
          <w:sz w:val="24"/>
          <w:szCs w:val="24"/>
          <w:lang w:eastAsia="en-GB" w:bidi="en-US"/>
        </w:rPr>
      </w:pPr>
    </w:p>
    <w:p w:rsidR="00A02755" w:rsidRPr="003C73D9" w:rsidRDefault="00D80633" w:rsidP="003C73D9">
      <w:pPr>
        <w:spacing w:line="360" w:lineRule="auto"/>
        <w:jc w:val="both"/>
        <w:rPr>
          <w:rFonts w:ascii="Palatino Linotype" w:eastAsia="Times New Roman" w:hAnsi="Palatino Linotype" w:cs="Times New Roman"/>
          <w:snapToGrid w:val="0"/>
          <w:sz w:val="24"/>
          <w:szCs w:val="24"/>
          <w:lang w:eastAsia="en-GB" w:bidi="en-US"/>
        </w:rPr>
      </w:pPr>
      <w:r w:rsidRPr="003C73D9">
        <w:rPr>
          <w:rFonts w:ascii="Palatino Linotype" w:eastAsia="Times New Roman" w:hAnsi="Palatino Linotype" w:cs="Times New Roman"/>
          <w:snapToGrid w:val="0"/>
          <w:sz w:val="24"/>
          <w:szCs w:val="24"/>
          <w:lang w:eastAsia="en-GB" w:bidi="en-US"/>
        </w:rPr>
        <w:t xml:space="preserve">Sa’ad Ibrahim </w:t>
      </w:r>
    </w:p>
    <w:p w:rsidR="00A02755" w:rsidRPr="003C73D9" w:rsidRDefault="00A02755" w:rsidP="003C73D9">
      <w:pPr>
        <w:spacing w:line="360" w:lineRule="auto"/>
        <w:jc w:val="both"/>
        <w:rPr>
          <w:rFonts w:ascii="Palatino Linotype" w:eastAsia="Times New Roman" w:hAnsi="Palatino Linotype" w:cs="Times New Roman"/>
          <w:snapToGrid w:val="0"/>
          <w:sz w:val="24"/>
          <w:szCs w:val="24"/>
          <w:lang w:eastAsia="en-GB" w:bidi="en-US"/>
        </w:rPr>
      </w:pPr>
      <w:r w:rsidRPr="003C73D9">
        <w:rPr>
          <w:rFonts w:ascii="Palatino Linotype" w:eastAsia="Times New Roman" w:hAnsi="Palatino Linotype" w:cs="Times New Roman"/>
          <w:snapToGrid w:val="0"/>
          <w:sz w:val="24"/>
          <w:szCs w:val="24"/>
          <w:lang w:eastAsia="en-GB" w:bidi="en-US"/>
        </w:rPr>
        <w:t xml:space="preserve">Department of Geography, </w:t>
      </w:r>
      <w:r w:rsidR="0057094F" w:rsidRPr="003C73D9">
        <w:rPr>
          <w:rFonts w:ascii="Palatino Linotype" w:eastAsia="Times New Roman" w:hAnsi="Palatino Linotype" w:cs="Times New Roman"/>
          <w:snapToGrid w:val="0"/>
          <w:sz w:val="24"/>
          <w:szCs w:val="24"/>
          <w:lang w:eastAsia="en-GB" w:bidi="en-US"/>
        </w:rPr>
        <w:t xml:space="preserve">School of Art and Social Sciences, </w:t>
      </w:r>
      <w:r w:rsidRPr="003C73D9">
        <w:rPr>
          <w:rFonts w:ascii="Palatino Linotype" w:eastAsia="Times New Roman" w:hAnsi="Palatino Linotype" w:cs="Times New Roman"/>
          <w:snapToGrid w:val="0"/>
          <w:sz w:val="24"/>
          <w:szCs w:val="24"/>
          <w:lang w:eastAsia="en-GB" w:bidi="en-US"/>
        </w:rPr>
        <w:t>Adamu Augie College of Education, Argu</w:t>
      </w:r>
      <w:bookmarkStart w:id="0" w:name="_GoBack"/>
      <w:bookmarkEnd w:id="0"/>
      <w:r w:rsidRPr="003C73D9">
        <w:rPr>
          <w:rFonts w:ascii="Palatino Linotype" w:eastAsia="Times New Roman" w:hAnsi="Palatino Linotype" w:cs="Times New Roman"/>
          <w:snapToGrid w:val="0"/>
          <w:sz w:val="24"/>
          <w:szCs w:val="24"/>
          <w:lang w:eastAsia="en-GB" w:bidi="en-US"/>
        </w:rPr>
        <w:t>ngu PMB 1012, Kebbi State, Nigeria; saadarg1@yahoo.com</w:t>
      </w:r>
    </w:p>
    <w:p w:rsidR="00A02755" w:rsidRPr="003C73D9" w:rsidRDefault="00A02755" w:rsidP="003C73D9">
      <w:pPr>
        <w:spacing w:line="360" w:lineRule="auto"/>
        <w:jc w:val="both"/>
        <w:rPr>
          <w:rFonts w:ascii="Palatino Linotype" w:eastAsia="Times New Roman" w:hAnsi="Palatino Linotype" w:cs="Times New Roman"/>
          <w:snapToGrid w:val="0"/>
          <w:sz w:val="24"/>
          <w:szCs w:val="24"/>
          <w:lang w:eastAsia="en-GB" w:bidi="en-US"/>
        </w:rPr>
      </w:pPr>
      <w:r w:rsidRPr="003C73D9">
        <w:rPr>
          <w:rFonts w:ascii="Palatino Linotype" w:eastAsia="Times New Roman" w:hAnsi="Palatino Linotype" w:cs="Times New Roman"/>
          <w:snapToGrid w:val="0"/>
          <w:sz w:val="24"/>
          <w:szCs w:val="24"/>
          <w:lang w:eastAsia="en-GB" w:bidi="en-US"/>
        </w:rPr>
        <w:t>*</w:t>
      </w:r>
      <w:r w:rsidRPr="003C73D9">
        <w:rPr>
          <w:rFonts w:ascii="Palatino Linotype" w:eastAsia="Times New Roman" w:hAnsi="Palatino Linotype" w:cs="Times New Roman"/>
          <w:snapToGrid w:val="0"/>
          <w:sz w:val="24"/>
          <w:szCs w:val="24"/>
          <w:lang w:eastAsia="en-GB" w:bidi="en-US"/>
        </w:rPr>
        <w:tab/>
        <w:t xml:space="preserve">Correspondence: </w:t>
      </w:r>
      <w:hyperlink r:id="rId4" w:history="1">
        <w:r w:rsidRPr="003C73D9">
          <w:rPr>
            <w:rStyle w:val="Hyperlink"/>
            <w:rFonts w:ascii="Palatino Linotype" w:eastAsia="Times New Roman" w:hAnsi="Palatino Linotype" w:cs="Times New Roman"/>
            <w:snapToGrid w:val="0"/>
            <w:sz w:val="24"/>
            <w:szCs w:val="24"/>
            <w:lang w:eastAsia="en-GB" w:bidi="en-US"/>
          </w:rPr>
          <w:t>saadarg1@yahoo.com</w:t>
        </w:r>
      </w:hyperlink>
    </w:p>
    <w:p w:rsidR="00A02755" w:rsidRPr="003C73D9" w:rsidRDefault="00D80633" w:rsidP="003C73D9">
      <w:pPr>
        <w:pStyle w:val="Heading1"/>
        <w:spacing w:line="360" w:lineRule="auto"/>
        <w:jc w:val="both"/>
        <w:rPr>
          <w:rFonts w:ascii="Palatino Linotype" w:eastAsia="Times New Roman" w:hAnsi="Palatino Linotype"/>
          <w:snapToGrid w:val="0"/>
          <w:sz w:val="24"/>
          <w:szCs w:val="24"/>
          <w:lang w:eastAsia="en-GB" w:bidi="en-US"/>
        </w:rPr>
      </w:pPr>
      <w:r w:rsidRPr="003C73D9">
        <w:rPr>
          <w:rFonts w:ascii="Palatino Linotype" w:eastAsia="Times New Roman" w:hAnsi="Palatino Linotype"/>
          <w:snapToGrid w:val="0"/>
          <w:sz w:val="24"/>
          <w:szCs w:val="24"/>
          <w:lang w:eastAsia="en-GB" w:bidi="en-US"/>
        </w:rPr>
        <w:t>Abstract</w:t>
      </w:r>
    </w:p>
    <w:p w:rsidR="00A02755" w:rsidRPr="003C73D9" w:rsidRDefault="00D974AB" w:rsidP="00F3419C">
      <w:pPr>
        <w:spacing w:line="240" w:lineRule="auto"/>
        <w:jc w:val="both"/>
        <w:rPr>
          <w:rFonts w:ascii="Palatino Linotype" w:eastAsia="Times New Roman" w:hAnsi="Palatino Linotype" w:cs="Times New Roman"/>
          <w:snapToGrid w:val="0"/>
          <w:sz w:val="24"/>
          <w:szCs w:val="24"/>
          <w:lang w:eastAsia="en-GB" w:bidi="en-US"/>
        </w:rPr>
      </w:pPr>
      <w:r w:rsidRPr="00D974AB">
        <w:rPr>
          <w:rFonts w:ascii="Palatino Linotype" w:eastAsia="Times New Roman" w:hAnsi="Palatino Linotype" w:cs="Times New Roman"/>
          <w:sz w:val="24"/>
          <w:szCs w:val="24"/>
          <w:lang w:val="en-US"/>
        </w:rPr>
        <w:t xml:space="preserve">A great number of communities in Africa are threatened by flood disasters. While mapping the spatial extent of flooding is </w:t>
      </w:r>
      <w:r>
        <w:rPr>
          <w:rFonts w:ascii="Palatino Linotype" w:eastAsia="Times New Roman" w:hAnsi="Palatino Linotype" w:cs="Times New Roman"/>
          <w:sz w:val="24"/>
          <w:szCs w:val="24"/>
          <w:lang w:val="en-US"/>
        </w:rPr>
        <w:t>necessary</w:t>
      </w:r>
      <w:r w:rsidRPr="00D974AB">
        <w:rPr>
          <w:rFonts w:ascii="Palatino Linotype" w:eastAsia="Times New Roman" w:hAnsi="Palatino Linotype" w:cs="Times New Roman"/>
          <w:sz w:val="24"/>
          <w:szCs w:val="24"/>
          <w:lang w:val="en-US"/>
        </w:rPr>
        <w:t xml:space="preserve"> for emergency response as well as for adaptation decisions, accurately mapping the extent of these floods across regions requires a significant amount of training data, usually obtained via field surveys. Field surveys can be </w:t>
      </w:r>
      <w:r>
        <w:rPr>
          <w:rFonts w:ascii="Palatino Linotype" w:eastAsia="Times New Roman" w:hAnsi="Palatino Linotype" w:cs="Times New Roman"/>
          <w:sz w:val="24"/>
          <w:szCs w:val="24"/>
          <w:lang w:val="en-US"/>
        </w:rPr>
        <w:t>time-consuming</w:t>
      </w:r>
      <w:r w:rsidRPr="00D974AB">
        <w:rPr>
          <w:rFonts w:ascii="Palatino Linotype" w:eastAsia="Times New Roman" w:hAnsi="Palatino Linotype" w:cs="Times New Roman"/>
          <w:sz w:val="24"/>
          <w:szCs w:val="24"/>
          <w:lang w:val="en-US"/>
        </w:rPr>
        <w:t xml:space="preserve">, costly and impractical in inaccessible terrain. This </w:t>
      </w:r>
      <w:r>
        <w:rPr>
          <w:rFonts w:ascii="Palatino Linotype" w:eastAsia="Times New Roman" w:hAnsi="Palatino Linotype" w:cs="Times New Roman"/>
          <w:sz w:val="24"/>
          <w:szCs w:val="24"/>
          <w:lang w:val="en-US"/>
        </w:rPr>
        <w:t>necessitates</w:t>
      </w:r>
      <w:r w:rsidRPr="00D974AB">
        <w:rPr>
          <w:rFonts w:ascii="Palatino Linotype" w:eastAsia="Times New Roman" w:hAnsi="Palatino Linotype" w:cs="Times New Roman"/>
          <w:sz w:val="24"/>
          <w:szCs w:val="24"/>
          <w:lang w:val="en-US"/>
        </w:rPr>
        <w:t xml:space="preserve"> the application of automatic algorithms for flood detection. Therefore, it is important to assess the effectiveness of the current automated techniques to guarantee their precision.</w:t>
      </w:r>
      <w:r>
        <w:rPr>
          <w:rFonts w:ascii="Palatino Linotype" w:eastAsia="Times New Roman" w:hAnsi="Palatino Linotype" w:cs="Times New Roman"/>
          <w:sz w:val="24"/>
          <w:szCs w:val="24"/>
          <w:lang w:val="en-US"/>
        </w:rPr>
        <w:t xml:space="preserve"> </w:t>
      </w:r>
      <w:r w:rsidRPr="00D974AB">
        <w:rPr>
          <w:rFonts w:ascii="Palatino Linotype" w:eastAsia="Times New Roman" w:hAnsi="Palatino Linotype" w:cs="Times New Roman"/>
          <w:sz w:val="24"/>
          <w:szCs w:val="24"/>
          <w:lang w:val="en-US"/>
        </w:rPr>
        <w:t xml:space="preserve">This study employed the RF method to delineate flood extent as a basis for the validation of automatic flood detection algorithms using Sentinel-1 data within the </w:t>
      </w:r>
      <w:r w:rsidR="00477256">
        <w:rPr>
          <w:rFonts w:ascii="Palatino Linotype" w:eastAsia="Times New Roman" w:hAnsi="Palatino Linotype" w:cs="Times New Roman"/>
          <w:sz w:val="24"/>
          <w:szCs w:val="24"/>
          <w:lang w:val="en-US"/>
        </w:rPr>
        <w:t>Google Earth Engine (</w:t>
      </w:r>
      <w:r w:rsidRPr="00D974AB">
        <w:rPr>
          <w:rFonts w:ascii="Palatino Linotype" w:eastAsia="Times New Roman" w:hAnsi="Palatino Linotype" w:cs="Times New Roman"/>
          <w:sz w:val="24"/>
          <w:szCs w:val="24"/>
          <w:lang w:val="en-US"/>
        </w:rPr>
        <w:t>GEE</w:t>
      </w:r>
      <w:r w:rsidR="00477256">
        <w:rPr>
          <w:rFonts w:ascii="Palatino Linotype" w:eastAsia="Times New Roman" w:hAnsi="Palatino Linotype" w:cs="Times New Roman"/>
          <w:sz w:val="24"/>
          <w:szCs w:val="24"/>
          <w:lang w:val="en-US"/>
        </w:rPr>
        <w:t>)</w:t>
      </w:r>
      <w:r w:rsidRPr="00D974AB">
        <w:rPr>
          <w:rFonts w:ascii="Palatino Linotype" w:eastAsia="Times New Roman" w:hAnsi="Palatino Linotype" w:cs="Times New Roman"/>
          <w:sz w:val="24"/>
          <w:szCs w:val="24"/>
          <w:lang w:val="en-US"/>
        </w:rPr>
        <w:t xml:space="preserve"> platform. RF's overall accuracy was 99% while Otsu's automatic flood detection algorithms were 76%. The validation results highlight how combining machine learning techniques with SAR data might improve flood monitoring and aid in disaster management efforts</w:t>
      </w:r>
      <w:r>
        <w:rPr>
          <w:rFonts w:ascii="Palatino Linotype" w:eastAsia="Times New Roman" w:hAnsi="Palatino Linotype" w:cs="Times New Roman"/>
          <w:sz w:val="24"/>
          <w:szCs w:val="24"/>
          <w:lang w:val="en-US"/>
        </w:rPr>
        <w:t>.</w:t>
      </w:r>
      <w:r w:rsidR="00F3419C">
        <w:rPr>
          <w:rFonts w:ascii="Palatino Linotype" w:eastAsia="Times New Roman" w:hAnsi="Palatino Linotype" w:cs="Times New Roman"/>
          <w:sz w:val="24"/>
          <w:szCs w:val="24"/>
          <w:lang w:val="en-US"/>
        </w:rPr>
        <w:t xml:space="preserve"> </w:t>
      </w:r>
    </w:p>
    <w:p w:rsidR="00A02755" w:rsidRPr="003C73D9" w:rsidRDefault="00A02755" w:rsidP="003C73D9">
      <w:pPr>
        <w:spacing w:line="360" w:lineRule="auto"/>
        <w:jc w:val="both"/>
        <w:rPr>
          <w:rFonts w:ascii="Palatino Linotype" w:eastAsia="Times New Roman" w:hAnsi="Palatino Linotype" w:cs="Times New Roman"/>
          <w:snapToGrid w:val="0"/>
          <w:sz w:val="24"/>
          <w:szCs w:val="24"/>
          <w:lang w:eastAsia="en-GB" w:bidi="en-US"/>
        </w:rPr>
      </w:pPr>
    </w:p>
    <w:p w:rsidR="00A02755" w:rsidRPr="003C73D9" w:rsidRDefault="00A02755" w:rsidP="003C73D9">
      <w:pPr>
        <w:spacing w:line="360" w:lineRule="auto"/>
        <w:jc w:val="both"/>
        <w:rPr>
          <w:rFonts w:ascii="Palatino Linotype" w:eastAsia="Times New Roman" w:hAnsi="Palatino Linotype" w:cs="Times New Roman"/>
          <w:snapToGrid w:val="0"/>
          <w:sz w:val="24"/>
          <w:szCs w:val="24"/>
          <w:lang w:eastAsia="en-GB" w:bidi="en-US"/>
        </w:rPr>
      </w:pPr>
    </w:p>
    <w:p w:rsidR="00A02755" w:rsidRPr="003C73D9" w:rsidRDefault="00A02755" w:rsidP="003C73D9">
      <w:pPr>
        <w:spacing w:line="360" w:lineRule="auto"/>
        <w:jc w:val="both"/>
        <w:rPr>
          <w:rFonts w:ascii="Palatino Linotype" w:eastAsia="Times New Roman" w:hAnsi="Palatino Linotype" w:cs="Times New Roman"/>
          <w:snapToGrid w:val="0"/>
          <w:sz w:val="24"/>
          <w:szCs w:val="24"/>
          <w:lang w:eastAsia="en-GB" w:bidi="en-US"/>
        </w:rPr>
      </w:pPr>
    </w:p>
    <w:p w:rsidR="00A02755" w:rsidRPr="0006727E" w:rsidRDefault="00A02755" w:rsidP="003C73D9">
      <w:pPr>
        <w:pStyle w:val="Heading1"/>
        <w:spacing w:line="360" w:lineRule="auto"/>
        <w:jc w:val="both"/>
        <w:rPr>
          <w:rFonts w:ascii="Palatino Linotype" w:eastAsia="Times New Roman" w:hAnsi="Palatino Linotype"/>
          <w:snapToGrid w:val="0"/>
          <w:color w:val="auto"/>
          <w:sz w:val="24"/>
          <w:szCs w:val="24"/>
          <w:lang w:eastAsia="en-GB" w:bidi="en-US"/>
        </w:rPr>
      </w:pPr>
      <w:r w:rsidRPr="0006727E">
        <w:rPr>
          <w:rFonts w:ascii="Palatino Linotype" w:eastAsia="Times New Roman" w:hAnsi="Palatino Linotype"/>
          <w:snapToGrid w:val="0"/>
          <w:color w:val="auto"/>
          <w:sz w:val="24"/>
          <w:szCs w:val="24"/>
          <w:lang w:eastAsia="en-GB" w:bidi="en-US"/>
        </w:rPr>
        <w:lastRenderedPageBreak/>
        <w:t>1. Introduction</w:t>
      </w:r>
    </w:p>
    <w:p w:rsidR="005D24EA" w:rsidRPr="009D3EF4" w:rsidRDefault="009D3EF4" w:rsidP="009D3EF4">
      <w:pPr>
        <w:pStyle w:val="NormalWeb"/>
        <w:spacing w:line="360" w:lineRule="auto"/>
        <w:jc w:val="both"/>
      </w:pPr>
      <w:r w:rsidRPr="009D3EF4">
        <w:rPr>
          <w:rFonts w:ascii="Palatino Linotype" w:hAnsi="Palatino Linotype"/>
        </w:rPr>
        <w:t>Globally, there is a collective effort to tackle environmental challenges to promote sustainable living.</w:t>
      </w:r>
      <w:r>
        <w:t xml:space="preserve"> </w:t>
      </w:r>
      <w:r w:rsidR="00D15E7C" w:rsidRPr="00E45E35">
        <w:rPr>
          <w:rFonts w:ascii="Palatino Linotype" w:hAnsi="Palatino Linotype" w:cs="Arial"/>
          <w:snapToGrid w:val="0"/>
          <w:color w:val="222222"/>
          <w:shd w:val="clear" w:color="auto" w:fill="FFFFFF"/>
          <w:lang w:eastAsia="en-GB" w:bidi="en-US"/>
        </w:rPr>
        <w:t xml:space="preserve">In Nigeria, </w:t>
      </w:r>
      <w:r w:rsidR="00D15E7C" w:rsidRPr="003C73D9">
        <w:rPr>
          <w:rFonts w:ascii="Palatino Linotype" w:hAnsi="Palatino Linotype" w:cs="Arial"/>
          <w:snapToGrid w:val="0"/>
          <w:color w:val="222222"/>
          <w:shd w:val="clear" w:color="auto" w:fill="FFFFFF"/>
          <w:lang w:eastAsia="en-GB" w:bidi="en-US"/>
        </w:rPr>
        <w:t xml:space="preserve">for example, </w:t>
      </w:r>
      <w:r w:rsidR="00D15E7C" w:rsidRPr="00E45E35">
        <w:rPr>
          <w:rFonts w:ascii="Palatino Linotype" w:hAnsi="Palatino Linotype" w:cs="Arial"/>
          <w:snapToGrid w:val="0"/>
          <w:color w:val="222222"/>
          <w:shd w:val="clear" w:color="auto" w:fill="FFFFFF"/>
          <w:lang w:eastAsia="en-GB" w:bidi="en-US"/>
        </w:rPr>
        <w:t xml:space="preserve">conservation policy aims to maintain a high-quality environment to promote good health and well-being. It also aims to conserve and responsibly utilise natural resources for the benefit of current and future generations. The policy supports the development of detailed land suitability/capability inventories, comprehensive land classifications, assessments of current land use practices, water damage prevention through flood control, identification of causes and extent of damage, and the creation of a regulatory framework for sustainable land use </w:t>
      </w:r>
      <w:r w:rsidR="00D15E7C" w:rsidRPr="00E45E35">
        <w:rPr>
          <w:rFonts w:ascii="Palatino Linotype" w:hAnsi="Palatino Linotype" w:cs="Arial"/>
          <w:snapToGrid w:val="0"/>
          <w:color w:val="222222"/>
          <w:shd w:val="clear" w:color="auto" w:fill="FFFFFF"/>
          <w:lang w:eastAsia="en-GB" w:bidi="en-US"/>
        </w:rPr>
        <w:fldChar w:fldCharType="begin"/>
      </w:r>
      <w:r w:rsidR="00185E7F">
        <w:rPr>
          <w:rFonts w:ascii="Palatino Linotype" w:hAnsi="Palatino Linotype" w:cs="Arial"/>
          <w:snapToGrid w:val="0"/>
          <w:color w:val="222222"/>
          <w:shd w:val="clear" w:color="auto" w:fill="FFFFFF"/>
          <w:lang w:eastAsia="en-GB" w:bidi="en-US"/>
        </w:rPr>
        <w:instrText xml:space="preserve"> ADDIN EN.CITE &lt;EndNote&gt;&lt;Cite&gt;&lt;Author&gt;NESREA&lt;/Author&gt;&lt;Year&gt;2017&lt;/Year&gt;&lt;RecNum&gt;67&lt;/RecNum&gt;&lt;DisplayText&gt;(NESREA, 2017)&lt;/DisplayText&gt;&lt;record&gt;&lt;rec-number&gt;67&lt;/rec-number&gt;&lt;foreign-keys&gt;&lt;key app="EN" db-id="ztxxpts0aa2009esdwupt05es22r0ee2922r" timestamp="1708952699"&gt;67&lt;/key&gt;&lt;/foreign-keys&gt;&lt;ref-type name="Web Page"&gt;12&lt;/ref-type&gt;&lt;contributors&gt;&lt;authors&gt;&lt;author&gt;NESREA&lt;/author&gt;&lt;/authors&gt;&lt;/contributors&gt;&lt;titles&gt;&lt;title&gt;National Policy on Environment&lt;/title&gt;&lt;/titles&gt;&lt;number&gt;26/02/2024&lt;/number&gt;&lt;dates&gt;&lt;year&gt;2017&lt;/year&gt;&lt;/dates&gt;&lt;pub-location&gt;https://www.nesrea.gov.ng/wp-content/uploads/2017/09/National-Policy-on-Environment.pdf&lt;/pub-location&gt;&lt;urls&gt;&lt;/urls&gt;&lt;/record&gt;&lt;/Cite&gt;&lt;/EndNote&gt;</w:instrText>
      </w:r>
      <w:r w:rsidR="00D15E7C" w:rsidRPr="00E45E35">
        <w:rPr>
          <w:rFonts w:ascii="Palatino Linotype" w:hAnsi="Palatino Linotype" w:cs="Arial"/>
          <w:snapToGrid w:val="0"/>
          <w:color w:val="222222"/>
          <w:shd w:val="clear" w:color="auto" w:fill="FFFFFF"/>
          <w:lang w:eastAsia="en-GB" w:bidi="en-US"/>
        </w:rPr>
        <w:fldChar w:fldCharType="separate"/>
      </w:r>
      <w:r w:rsidR="00D15E7C" w:rsidRPr="003C73D9">
        <w:rPr>
          <w:rFonts w:ascii="Palatino Linotype" w:hAnsi="Palatino Linotype" w:cs="Arial"/>
          <w:noProof/>
          <w:snapToGrid w:val="0"/>
          <w:color w:val="222222"/>
          <w:shd w:val="clear" w:color="auto" w:fill="FFFFFF"/>
          <w:lang w:eastAsia="en-GB" w:bidi="en-US"/>
        </w:rPr>
        <w:t>(NESREA, 2017)</w:t>
      </w:r>
      <w:r w:rsidR="00D15E7C" w:rsidRPr="00E45E35">
        <w:rPr>
          <w:rFonts w:ascii="Palatino Linotype" w:hAnsi="Palatino Linotype" w:cs="Arial"/>
          <w:snapToGrid w:val="0"/>
          <w:color w:val="222222"/>
          <w:shd w:val="clear" w:color="auto" w:fill="FFFFFF"/>
          <w:lang w:eastAsia="en-GB" w:bidi="en-US"/>
        </w:rPr>
        <w:fldChar w:fldCharType="end"/>
      </w:r>
      <w:r w:rsidR="00D15E7C" w:rsidRPr="003C73D9">
        <w:rPr>
          <w:rFonts w:ascii="Palatino Linotype" w:hAnsi="Palatino Linotype" w:cs="Arial"/>
          <w:snapToGrid w:val="0"/>
          <w:color w:val="222222"/>
          <w:shd w:val="clear" w:color="auto" w:fill="FFFFFF"/>
          <w:lang w:eastAsia="en-GB" w:bidi="en-US"/>
        </w:rPr>
        <w:t xml:space="preserve">. However, </w:t>
      </w:r>
      <w:r w:rsidR="00D15E7C" w:rsidRPr="003A1A88">
        <w:rPr>
          <w:rFonts w:ascii="Palatino Linotype" w:hAnsi="Palatino Linotype"/>
          <w:snapToGrid w:val="0"/>
          <w:lang w:eastAsia="en-GB" w:bidi="en-US"/>
        </w:rPr>
        <w:fldChar w:fldCharType="begin"/>
      </w:r>
      <w:r w:rsidR="00D15E7C" w:rsidRPr="003C73D9">
        <w:rPr>
          <w:rFonts w:ascii="Palatino Linotype" w:hAnsi="Palatino Linotype"/>
          <w:snapToGrid w:val="0"/>
          <w:lang w:eastAsia="en-GB" w:bidi="en-US"/>
        </w:rPr>
        <w:instrText xml:space="preserve"> ADDIN EN.CITE &lt;EndNote&gt;&lt;Cite AuthorYear="1"&gt;&lt;Author&gt;Mashi&lt;/Author&gt;&lt;Year&gt;2019&lt;/Year&gt;&lt;RecNum&gt;18&lt;/RecNum&gt;&lt;DisplayText&gt;Mashi et al. (2019)&lt;/DisplayText&gt;&lt;record&gt;&lt;rec-number&gt;18&lt;/rec-number&gt;&lt;foreign-keys&gt;&lt;key app="EN" db-id="ztxxpts0aa2009esdwupt05es22r0ee2922r" timestamp="1708347302"&gt;18&lt;/key&gt;&lt;/foreign-keys&gt;&lt;ref-type name="Journal Article"&gt;17&lt;/ref-type&gt;&lt;contributors&gt;&lt;authors&gt;&lt;author&gt;Mashi, Sani Abubakar&lt;/author&gt;&lt;author&gt;Oghenejabor, Obaro Dominic&lt;/author&gt;&lt;author&gt;Inkani, Amina Ibrahim&lt;/author&gt;&lt;/authors&gt;&lt;/contributors&gt;&lt;titles&gt;&lt;title&gt;Disaster risks and management policies and practices in Nigeria: A critical appraisal of the National Emergency Management Agency Act&lt;/title&gt;&lt;secondary-title&gt;International Journal of Disaster Risk Reduction&lt;/secondary-title&gt;&lt;/titles&gt;&lt;periodical&gt;&lt;full-title&gt;International Journal of Disaster Risk Reduction&lt;/full-title&gt;&lt;/periodical&gt;&lt;pages&gt;253-265&lt;/pages&gt;&lt;volume&gt;33&lt;/volume&gt;&lt;keywords&gt;&lt;keyword&gt;Disasters&lt;/keyword&gt;&lt;keyword&gt;Risk Reduction&lt;/keyword&gt;&lt;keyword&gt;Management&lt;/keyword&gt;&lt;keyword&gt;Nigeria&lt;/keyword&gt;&lt;keyword&gt;NEMA&lt;/keyword&gt;&lt;keyword&gt;Act&lt;/keyword&gt;&lt;/keywords&gt;&lt;dates&gt;&lt;year&gt;2019&lt;/year&gt;&lt;pub-dates&gt;&lt;date&gt;2019/02/01/&lt;/date&gt;&lt;/pub-dates&gt;&lt;/dates&gt;&lt;isbn&gt;2212-4209&lt;/isbn&gt;&lt;urls&gt;&lt;related-urls&gt;&lt;url&gt;https://www.sciencedirect.com/science/article/pii/S2212420918305855&lt;/url&gt;&lt;/related-urls&gt;&lt;/urls&gt;&lt;electronic-resource-num&gt;https://doi.org/10.1016/j.ijdrr.2018.10.011&lt;/electronic-resource-num&gt;&lt;/record&gt;&lt;/Cite&gt;&lt;/EndNote&gt;</w:instrText>
      </w:r>
      <w:r w:rsidR="00D15E7C" w:rsidRPr="003A1A88">
        <w:rPr>
          <w:rFonts w:ascii="Palatino Linotype" w:hAnsi="Palatino Linotype"/>
          <w:snapToGrid w:val="0"/>
          <w:lang w:eastAsia="en-GB" w:bidi="en-US"/>
        </w:rPr>
        <w:fldChar w:fldCharType="separate"/>
      </w:r>
      <w:r w:rsidR="00D15E7C" w:rsidRPr="003C73D9">
        <w:rPr>
          <w:rFonts w:ascii="Palatino Linotype" w:hAnsi="Palatino Linotype"/>
          <w:noProof/>
          <w:snapToGrid w:val="0"/>
          <w:lang w:eastAsia="en-GB" w:bidi="en-US"/>
        </w:rPr>
        <w:t>Mashi et al. (2019)</w:t>
      </w:r>
      <w:r w:rsidR="00D15E7C" w:rsidRPr="003A1A88">
        <w:rPr>
          <w:rFonts w:ascii="Palatino Linotype" w:hAnsi="Palatino Linotype"/>
          <w:snapToGrid w:val="0"/>
          <w:lang w:eastAsia="en-GB" w:bidi="en-US"/>
        </w:rPr>
        <w:fldChar w:fldCharType="end"/>
      </w:r>
      <w:r w:rsidR="00D15E7C" w:rsidRPr="003A1A88">
        <w:rPr>
          <w:rFonts w:ascii="Palatino Linotype" w:hAnsi="Palatino Linotype"/>
          <w:snapToGrid w:val="0"/>
          <w:lang w:eastAsia="en-GB" w:bidi="en-US"/>
        </w:rPr>
        <w:t xml:space="preserve"> </w:t>
      </w:r>
      <w:r w:rsidR="00D15E7C" w:rsidRPr="00E45E35">
        <w:rPr>
          <w:rFonts w:ascii="Palatino Linotype" w:hAnsi="Palatino Linotype"/>
          <w:snapToGrid w:val="0"/>
          <w:lang w:eastAsia="en-GB" w:bidi="en-US"/>
        </w:rPr>
        <w:t>emphasized that Nigeria's emergency management legislation is weak in providing necessary action plans, highlighting that effective legislation and action plans should cover prevention, mitigation, preparedness, response, resilience, and recovery comprehensively.</w:t>
      </w:r>
      <w:r w:rsidR="00D15E7C" w:rsidRPr="003C73D9">
        <w:rPr>
          <w:rFonts w:ascii="Palatino Linotype" w:hAnsi="Palatino Linotype"/>
          <w:snapToGrid w:val="0"/>
          <w:lang w:eastAsia="en-GB" w:bidi="en-US"/>
        </w:rPr>
        <w:t xml:space="preserve"> </w:t>
      </w:r>
      <w:r w:rsidR="005D24EA" w:rsidRPr="003C73D9">
        <w:rPr>
          <w:rFonts w:ascii="Palatino Linotype" w:hAnsi="Palatino Linotype"/>
        </w:rPr>
        <w:t>Flooding is a serious disaster that requires urgent attention to safeguard food security.</w:t>
      </w:r>
    </w:p>
    <w:p w:rsidR="005D24EA" w:rsidRPr="003C73D9" w:rsidRDefault="00FC6958" w:rsidP="00B5693C">
      <w:pPr>
        <w:spacing w:line="360" w:lineRule="auto"/>
        <w:jc w:val="both"/>
        <w:rPr>
          <w:rFonts w:ascii="Palatino Linotype" w:eastAsia="Times New Roman" w:hAnsi="Palatino Linotype" w:cs="Open Sans"/>
          <w:color w:val="464646"/>
          <w:sz w:val="24"/>
          <w:szCs w:val="24"/>
          <w:shd w:val="clear" w:color="auto" w:fill="FFFFFF"/>
          <w:lang w:eastAsia="en-GB"/>
        </w:rPr>
      </w:pPr>
      <w:r w:rsidRPr="00FC6958">
        <w:rPr>
          <w:rFonts w:ascii="Palatino Linotype" w:eastAsia="Times New Roman" w:hAnsi="Palatino Linotype" w:cs="Times New Roman"/>
          <w:snapToGrid w:val="0"/>
          <w:color w:val="000000"/>
          <w:sz w:val="24"/>
          <w:szCs w:val="24"/>
          <w:lang w:val="en-US" w:eastAsia="de-DE" w:bidi="en-US"/>
        </w:rPr>
        <w:t>One of the key approaches to addressing this issue is tracking the magnitude or extent of the event. This is a crucial step in qua</w:t>
      </w:r>
      <w:r>
        <w:rPr>
          <w:rFonts w:ascii="Palatino Linotype" w:eastAsia="Times New Roman" w:hAnsi="Palatino Linotype" w:cs="Times New Roman"/>
          <w:snapToGrid w:val="0"/>
          <w:color w:val="000000"/>
          <w:sz w:val="24"/>
          <w:szCs w:val="24"/>
          <w:lang w:val="en-US" w:eastAsia="de-DE" w:bidi="en-US"/>
        </w:rPr>
        <w:t>ntifying its impact on land use</w:t>
      </w:r>
      <w:r w:rsidR="00D15E7C" w:rsidRPr="003C73D9">
        <w:rPr>
          <w:rFonts w:ascii="Palatino Linotype" w:eastAsia="Times New Roman" w:hAnsi="Palatino Linotype" w:cs="Times New Roman"/>
          <w:snapToGrid w:val="0"/>
          <w:color w:val="000000"/>
          <w:sz w:val="24"/>
          <w:szCs w:val="24"/>
          <w:lang w:val="en-US" w:eastAsia="de-DE" w:bidi="en-US"/>
        </w:rPr>
        <w:t>. Remote sensing</w:t>
      </w:r>
      <w:r w:rsidR="00D15E7C" w:rsidRPr="00E45E35">
        <w:rPr>
          <w:rFonts w:ascii="Palatino Linotype" w:eastAsia="Times New Roman" w:hAnsi="Palatino Linotype" w:cs="Times New Roman"/>
          <w:snapToGrid w:val="0"/>
          <w:color w:val="000000"/>
          <w:sz w:val="24"/>
          <w:szCs w:val="24"/>
          <w:lang w:val="en-US" w:eastAsia="de-DE" w:bidi="en-US"/>
        </w:rPr>
        <w:t xml:space="preserve"> techniques are also quite viable </w:t>
      </w:r>
      <w:r w:rsidR="00D15E7C" w:rsidRPr="003C73D9">
        <w:rPr>
          <w:rFonts w:ascii="Palatino Linotype" w:eastAsia="Times New Roman" w:hAnsi="Palatino Linotype" w:cs="Times New Roman"/>
          <w:snapToGrid w:val="0"/>
          <w:color w:val="000000"/>
          <w:sz w:val="24"/>
          <w:szCs w:val="24"/>
          <w:lang w:val="en-US" w:eastAsia="de-DE" w:bidi="en-US"/>
        </w:rPr>
        <w:t xml:space="preserve">for flood detection </w:t>
      </w:r>
      <w:r w:rsidR="00D15E7C" w:rsidRPr="00E45E35">
        <w:rPr>
          <w:rFonts w:ascii="Palatino Linotype" w:eastAsia="Times New Roman" w:hAnsi="Palatino Linotype" w:cs="Times New Roman"/>
          <w:snapToGrid w:val="0"/>
          <w:color w:val="000000"/>
          <w:sz w:val="24"/>
          <w:szCs w:val="24"/>
          <w:lang w:val="en-US" w:eastAsia="de-DE" w:bidi="en-US"/>
        </w:rPr>
        <w:t xml:space="preserve">and easily accessible and transferable to climate change research partly due to the advancement in Earth observation </w:t>
      </w:r>
      <w:r>
        <w:rPr>
          <w:rFonts w:ascii="Palatino Linotype" w:eastAsia="Times New Roman" w:hAnsi="Palatino Linotype" w:cs="Times New Roman"/>
          <w:snapToGrid w:val="0"/>
          <w:color w:val="000000"/>
          <w:sz w:val="24"/>
          <w:szCs w:val="24"/>
          <w:lang w:val="en-US" w:eastAsia="de-DE" w:bidi="en-US"/>
        </w:rPr>
        <w:t>coupled</w:t>
      </w:r>
      <w:r w:rsidR="00D15E7C" w:rsidRPr="00E45E35">
        <w:rPr>
          <w:rFonts w:ascii="Palatino Linotype" w:eastAsia="Times New Roman" w:hAnsi="Palatino Linotype" w:cs="Times New Roman"/>
          <w:snapToGrid w:val="0"/>
          <w:color w:val="000000"/>
          <w:sz w:val="24"/>
          <w:szCs w:val="24"/>
          <w:lang w:val="en-US" w:eastAsia="de-DE" w:bidi="en-US"/>
        </w:rPr>
        <w:t xml:space="preserve"> with </w:t>
      </w:r>
      <w:r>
        <w:rPr>
          <w:rFonts w:ascii="Palatino Linotype" w:eastAsia="Times New Roman" w:hAnsi="Palatino Linotype" w:cs="Times New Roman"/>
          <w:snapToGrid w:val="0"/>
          <w:color w:val="000000"/>
          <w:sz w:val="24"/>
          <w:szCs w:val="24"/>
          <w:lang w:val="en-US" w:eastAsia="de-DE" w:bidi="en-US"/>
        </w:rPr>
        <w:t xml:space="preserve">the </w:t>
      </w:r>
      <w:r w:rsidR="00D15E7C" w:rsidRPr="00E45E35">
        <w:rPr>
          <w:rFonts w:ascii="Palatino Linotype" w:eastAsia="Times New Roman" w:hAnsi="Palatino Linotype" w:cs="Times New Roman"/>
          <w:snapToGrid w:val="0"/>
          <w:color w:val="000000"/>
          <w:sz w:val="24"/>
          <w:szCs w:val="24"/>
          <w:lang w:val="en-US" w:eastAsia="de-DE" w:bidi="en-US"/>
        </w:rPr>
        <w:t xml:space="preserve">proliferation </w:t>
      </w:r>
      <w:r>
        <w:rPr>
          <w:rFonts w:ascii="Palatino Linotype" w:eastAsia="Times New Roman" w:hAnsi="Palatino Linotype" w:cs="Times New Roman"/>
          <w:snapToGrid w:val="0"/>
          <w:color w:val="000000"/>
          <w:sz w:val="24"/>
          <w:szCs w:val="24"/>
          <w:lang w:val="en-US" w:eastAsia="de-DE" w:bidi="en-US"/>
        </w:rPr>
        <w:t>of</w:t>
      </w:r>
      <w:r w:rsidR="00D15E7C" w:rsidRPr="00E45E35">
        <w:rPr>
          <w:rFonts w:ascii="Palatino Linotype" w:eastAsia="Times New Roman" w:hAnsi="Palatino Linotype" w:cs="Times New Roman"/>
          <w:snapToGrid w:val="0"/>
          <w:color w:val="000000"/>
          <w:sz w:val="24"/>
          <w:szCs w:val="24"/>
          <w:lang w:val="en-US" w:eastAsia="de-DE" w:bidi="en-US"/>
        </w:rPr>
        <w:t xml:space="preserve"> satellite missions </w:t>
      </w:r>
      <w:r w:rsidR="00D15E7C" w:rsidRPr="00E45E35">
        <w:rPr>
          <w:rFonts w:ascii="Palatino Linotype" w:eastAsia="Times New Roman" w:hAnsi="Palatino Linotype" w:cs="Times New Roman"/>
          <w:snapToGrid w:val="0"/>
          <w:color w:val="000000"/>
          <w:sz w:val="24"/>
          <w:szCs w:val="24"/>
          <w:lang w:val="en-US" w:eastAsia="de-DE" w:bidi="en-US"/>
        </w:rPr>
        <w:fldChar w:fldCharType="begin"/>
      </w:r>
      <w:r w:rsidR="00185E7F">
        <w:rPr>
          <w:rFonts w:ascii="Palatino Linotype" w:eastAsia="Times New Roman" w:hAnsi="Palatino Linotype" w:cs="Times New Roman"/>
          <w:snapToGrid w:val="0"/>
          <w:color w:val="000000"/>
          <w:sz w:val="24"/>
          <w:szCs w:val="24"/>
          <w:lang w:val="en-US" w:eastAsia="de-DE" w:bidi="en-US"/>
        </w:rPr>
        <w:instrText xml:space="preserve"> ADDIN EN.CITE &lt;EndNote&gt;&lt;Cite&gt;&lt;Author&gt;Jones&lt;/Author&gt;&lt;Year&gt;2023&lt;/Year&gt;&lt;RecNum&gt;3&lt;/RecNum&gt;&lt;DisplayText&gt;(Jones et al., 2023)&lt;/DisplayText&gt;&lt;record&gt;&lt;rec-number&gt;3&lt;/rec-number&gt;&lt;foreign-keys&gt;&lt;key app="EN" db-id="ztxxpts0aa2009esdwupt05es22r0ee2922r" timestamp="1708338820"&gt;3&lt;/key&gt;&lt;/foreign-keys&gt;&lt;ref-type name="Journal Article"&gt;17&lt;/ref-type&gt;&lt;contributors&gt;&lt;authors&gt;&lt;author&gt;Jones, Anne&lt;/author&gt;&lt;author&gt;Kuehnert, Julian&lt;/author&gt;&lt;author&gt;Fraccaro, Paolo&lt;/author&gt;&lt;author&gt;Meuriot, Ophélie&lt;/author&gt;&lt;author&gt;Ishikawa, Tatsuya&lt;/author&gt;&lt;author&gt;Edwards, Blair&lt;/author&gt;&lt;author&gt;Stoyanov, Nikola&lt;/author&gt;&lt;author&gt;Remy, Sekou L.&lt;/author&gt;&lt;author&gt;Weldemariam, Kommy&lt;/author&gt;&lt;author&gt;Assefa, Solomon&lt;/author&gt;&lt;/authors&gt;&lt;/contributors&gt;&lt;titles&gt;&lt;title&gt;AI for climate impacts: applications in flood risk&lt;/title&gt;&lt;secondary-title&gt;npj Climate and Atmospheric Science&lt;/secondary-title&gt;&lt;/titles&gt;&lt;periodical&gt;&lt;full-title&gt;npj Climate and Atmospheric Science&lt;/full-title&gt;&lt;/periodical&gt;&lt;pages&gt;63&lt;/pages&gt;&lt;volume&gt;6&lt;/volume&gt;&lt;number&gt;1&lt;/number&gt;&lt;dates&gt;&lt;year&gt;2023&lt;/year&gt;&lt;pub-dates&gt;&lt;date&gt;2023/06/08&lt;/date&gt;&lt;/pub-dates&gt;&lt;/dates&gt;&lt;isbn&gt;2397-3722&lt;/isbn&gt;&lt;urls&gt;&lt;related-urls&gt;&lt;url&gt;https://doi.org/10.1038/s41612-023-00388-1&lt;/url&gt;&lt;/related-urls&gt;&lt;/urls&gt;&lt;electronic-resource-num&gt;10.1038/s41612-023-00388-1&lt;/electronic-resource-num&gt;&lt;/record&gt;&lt;/Cite&gt;&lt;/EndNote&gt;</w:instrText>
      </w:r>
      <w:r w:rsidR="00D15E7C" w:rsidRPr="00E45E35">
        <w:rPr>
          <w:rFonts w:ascii="Palatino Linotype" w:eastAsia="Times New Roman" w:hAnsi="Palatino Linotype" w:cs="Times New Roman"/>
          <w:snapToGrid w:val="0"/>
          <w:color w:val="000000"/>
          <w:sz w:val="24"/>
          <w:szCs w:val="24"/>
          <w:lang w:val="en-US" w:eastAsia="de-DE" w:bidi="en-US"/>
        </w:rPr>
        <w:fldChar w:fldCharType="separate"/>
      </w:r>
      <w:r w:rsidR="00D15E7C" w:rsidRPr="003C73D9">
        <w:rPr>
          <w:rFonts w:ascii="Palatino Linotype" w:eastAsia="Times New Roman" w:hAnsi="Palatino Linotype" w:cs="Times New Roman"/>
          <w:noProof/>
          <w:snapToGrid w:val="0"/>
          <w:color w:val="000000"/>
          <w:sz w:val="24"/>
          <w:szCs w:val="24"/>
          <w:lang w:val="en-US" w:eastAsia="de-DE" w:bidi="en-US"/>
        </w:rPr>
        <w:t>(Jones et al., 2023)</w:t>
      </w:r>
      <w:r w:rsidR="00D15E7C" w:rsidRPr="00E45E35">
        <w:rPr>
          <w:rFonts w:ascii="Palatino Linotype" w:eastAsia="Times New Roman" w:hAnsi="Palatino Linotype" w:cs="Times New Roman"/>
          <w:snapToGrid w:val="0"/>
          <w:color w:val="000000"/>
          <w:sz w:val="24"/>
          <w:szCs w:val="24"/>
          <w:lang w:val="en-US" w:eastAsia="de-DE" w:bidi="en-US"/>
        </w:rPr>
        <w:fldChar w:fldCharType="end"/>
      </w:r>
      <w:r w:rsidR="00D15E7C" w:rsidRPr="00E45E35">
        <w:rPr>
          <w:rFonts w:ascii="Palatino Linotype" w:eastAsia="Times New Roman" w:hAnsi="Palatino Linotype" w:cs="Times New Roman"/>
          <w:snapToGrid w:val="0"/>
          <w:color w:val="000000"/>
          <w:sz w:val="24"/>
          <w:szCs w:val="24"/>
          <w:lang w:val="en-US" w:eastAsia="de-DE" w:bidi="en-US"/>
        </w:rPr>
        <w:t>.</w:t>
      </w:r>
      <w:r w:rsidR="00D15E7C" w:rsidRPr="00E45E35">
        <w:rPr>
          <w:rFonts w:ascii="Palatino Linotype" w:eastAsia="Times New Roman" w:hAnsi="Palatino Linotype" w:cs="Open Sans"/>
          <w:color w:val="464646"/>
          <w:sz w:val="24"/>
          <w:szCs w:val="24"/>
          <w:shd w:val="clear" w:color="auto" w:fill="FFFFFF"/>
          <w:lang w:eastAsia="en-GB"/>
        </w:rPr>
        <w:t xml:space="preserve"> </w:t>
      </w:r>
      <w:r w:rsidR="00D15E7C" w:rsidRPr="003C73D9">
        <w:rPr>
          <w:rFonts w:ascii="Palatino Linotype" w:eastAsia="Times New Roman" w:hAnsi="Palatino Linotype" w:cs="Open Sans"/>
          <w:color w:val="464646"/>
          <w:sz w:val="24"/>
          <w:szCs w:val="24"/>
          <w:shd w:val="clear" w:color="auto" w:fill="FFFFFF"/>
          <w:lang w:eastAsia="en-GB"/>
        </w:rPr>
        <w:t>For example, m</w:t>
      </w:r>
      <w:r w:rsidR="00D15E7C" w:rsidRPr="00E45E35">
        <w:rPr>
          <w:rFonts w:ascii="Palatino Linotype" w:eastAsia="Times New Roman" w:hAnsi="Palatino Linotype" w:cs="Open Sans"/>
          <w:color w:val="464646"/>
          <w:sz w:val="24"/>
          <w:szCs w:val="24"/>
          <w:shd w:val="clear" w:color="auto" w:fill="FFFFFF"/>
          <w:lang w:eastAsia="en-GB"/>
        </w:rPr>
        <w:t>achine learning techniques such as decision trees, K-means clustering, K-nearest neighbour (</w:t>
      </w:r>
      <w:proofErr w:type="spellStart"/>
      <w:r w:rsidR="00D15E7C" w:rsidRPr="00E45E35">
        <w:rPr>
          <w:rFonts w:ascii="Palatino Linotype" w:eastAsia="Times New Roman" w:hAnsi="Palatino Linotype" w:cs="Open Sans"/>
          <w:color w:val="464646"/>
          <w:sz w:val="24"/>
          <w:szCs w:val="24"/>
          <w:shd w:val="clear" w:color="auto" w:fill="FFFFFF"/>
          <w:lang w:eastAsia="en-GB"/>
        </w:rPr>
        <w:t>kNN</w:t>
      </w:r>
      <w:proofErr w:type="spellEnd"/>
      <w:r w:rsidR="00D15E7C" w:rsidRPr="00E45E35">
        <w:rPr>
          <w:rFonts w:ascii="Palatino Linotype" w:eastAsia="Times New Roman" w:hAnsi="Palatino Linotype" w:cs="Open Sans"/>
          <w:color w:val="464646"/>
          <w:sz w:val="24"/>
          <w:szCs w:val="24"/>
          <w:shd w:val="clear" w:color="auto" w:fill="FFFFFF"/>
          <w:lang w:eastAsia="en-GB"/>
        </w:rPr>
        <w:t>), Support vector machines (SVN), neural networks and random forests (RF) have become widely used for land use land cover (LULC) and flood and non-flood classifications</w:t>
      </w:r>
      <w:r w:rsidR="00D15E7C" w:rsidRPr="003C73D9">
        <w:rPr>
          <w:rFonts w:ascii="Palatino Linotype" w:eastAsia="Times New Roman" w:hAnsi="Palatino Linotype" w:cs="Open Sans"/>
          <w:color w:val="464646"/>
          <w:sz w:val="24"/>
          <w:szCs w:val="24"/>
          <w:shd w:val="clear" w:color="auto" w:fill="FFFFFF"/>
          <w:lang w:eastAsia="en-GB"/>
        </w:rPr>
        <w:t xml:space="preserve">. RF has shown promise in many previous studies </w:t>
      </w:r>
      <w:r w:rsidR="00D15E7C" w:rsidRPr="003A1A88">
        <w:rPr>
          <w:rFonts w:ascii="Palatino Linotype" w:eastAsia="Times New Roman" w:hAnsi="Palatino Linotype" w:cs="Open Sans"/>
          <w:color w:val="464646"/>
          <w:sz w:val="24"/>
          <w:szCs w:val="24"/>
          <w:shd w:val="clear" w:color="auto" w:fill="FFFFFF"/>
          <w:lang w:eastAsia="en-GB"/>
        </w:rPr>
        <w:fldChar w:fldCharType="begin">
          <w:fldData xml:space="preserve">PEVuZE5vdGU+PENpdGU+PEF1dGhvcj5aYXJlPC9BdXRob3I+PFllYXI+MjAyMTwvWWVhcj48UmVj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</w:fldData>
        </w:fldChar>
      </w:r>
      <w:r w:rsidR="00D15E7C" w:rsidRPr="003C73D9">
        <w:rPr>
          <w:rFonts w:ascii="Palatino Linotype" w:eastAsia="Times New Roman" w:hAnsi="Palatino Linotype" w:cs="Open Sans"/>
          <w:color w:val="464646"/>
          <w:sz w:val="24"/>
          <w:szCs w:val="24"/>
          <w:shd w:val="clear" w:color="auto" w:fill="FFFFFF"/>
          <w:lang w:eastAsia="en-GB"/>
        </w:rPr>
        <w:instrText xml:space="preserve"> ADDIN EN.CITE </w:instrText>
      </w:r>
      <w:r w:rsidR="00D15E7C" w:rsidRPr="003C73D9">
        <w:rPr>
          <w:rFonts w:ascii="Palatino Linotype" w:eastAsia="Times New Roman" w:hAnsi="Palatino Linotype" w:cs="Open Sans"/>
          <w:color w:val="464646"/>
          <w:sz w:val="24"/>
          <w:szCs w:val="24"/>
          <w:shd w:val="clear" w:color="auto" w:fill="FFFFFF"/>
          <w:lang w:eastAsia="en-GB"/>
        </w:rPr>
        <w:fldChar w:fldCharType="begin">
          <w:fldData xml:space="preserve">PEVuZE5vdGU+PENpdGU+PEF1dGhvcj5aYXJlPC9BdXRob3I+PFllYXI+MjAyMTwvWWVhcj48UmVj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</w:fldData>
        </w:fldChar>
      </w:r>
      <w:r w:rsidR="00D15E7C" w:rsidRPr="003C73D9">
        <w:rPr>
          <w:rFonts w:ascii="Palatino Linotype" w:eastAsia="Times New Roman" w:hAnsi="Palatino Linotype" w:cs="Open Sans"/>
          <w:color w:val="464646"/>
          <w:sz w:val="24"/>
          <w:szCs w:val="24"/>
          <w:shd w:val="clear" w:color="auto" w:fill="FFFFFF"/>
          <w:lang w:eastAsia="en-GB"/>
        </w:rPr>
        <w:instrText xml:space="preserve"> ADDIN EN.CITE.DATA </w:instrText>
      </w:r>
      <w:r w:rsidR="00D15E7C" w:rsidRPr="003C73D9">
        <w:rPr>
          <w:rFonts w:ascii="Palatino Linotype" w:eastAsia="Times New Roman" w:hAnsi="Palatino Linotype" w:cs="Open Sans"/>
          <w:color w:val="464646"/>
          <w:sz w:val="24"/>
          <w:szCs w:val="24"/>
          <w:shd w:val="clear" w:color="auto" w:fill="FFFFFF"/>
          <w:lang w:eastAsia="en-GB"/>
        </w:rPr>
      </w:r>
      <w:r w:rsidR="00D15E7C" w:rsidRPr="003C73D9">
        <w:rPr>
          <w:rFonts w:ascii="Palatino Linotype" w:eastAsia="Times New Roman" w:hAnsi="Palatino Linotype" w:cs="Open Sans"/>
          <w:color w:val="464646"/>
          <w:sz w:val="24"/>
          <w:szCs w:val="24"/>
          <w:shd w:val="clear" w:color="auto" w:fill="FFFFFF"/>
          <w:lang w:eastAsia="en-GB"/>
        </w:rPr>
        <w:fldChar w:fldCharType="end"/>
      </w:r>
      <w:r w:rsidR="00D15E7C" w:rsidRPr="003A1A88">
        <w:rPr>
          <w:rFonts w:ascii="Palatino Linotype" w:eastAsia="Times New Roman" w:hAnsi="Palatino Linotype" w:cs="Open Sans"/>
          <w:color w:val="464646"/>
          <w:sz w:val="24"/>
          <w:szCs w:val="24"/>
          <w:shd w:val="clear" w:color="auto" w:fill="FFFFFF"/>
          <w:lang w:eastAsia="en-GB"/>
        </w:rPr>
      </w:r>
      <w:r w:rsidR="00D15E7C" w:rsidRPr="003A1A88">
        <w:rPr>
          <w:rFonts w:ascii="Palatino Linotype" w:eastAsia="Times New Roman" w:hAnsi="Palatino Linotype" w:cs="Open Sans"/>
          <w:color w:val="464646"/>
          <w:sz w:val="24"/>
          <w:szCs w:val="24"/>
          <w:shd w:val="clear" w:color="auto" w:fill="FFFFFF"/>
          <w:lang w:eastAsia="en-GB"/>
        </w:rPr>
        <w:fldChar w:fldCharType="separate"/>
      </w:r>
      <w:r w:rsidR="00D15E7C" w:rsidRPr="003C73D9">
        <w:rPr>
          <w:rFonts w:ascii="Palatino Linotype" w:eastAsia="Times New Roman" w:hAnsi="Palatino Linotype" w:cs="Open Sans"/>
          <w:noProof/>
          <w:color w:val="464646"/>
          <w:sz w:val="24"/>
          <w:szCs w:val="24"/>
          <w:shd w:val="clear" w:color="auto" w:fill="FFFFFF"/>
          <w:lang w:eastAsia="en-GB"/>
        </w:rPr>
        <w:t>(Balzter et al., 2015; Ibrahim, 2023; Zare &amp; Schumann, 2021)</w:t>
      </w:r>
      <w:r w:rsidR="00D15E7C" w:rsidRPr="003A1A88">
        <w:rPr>
          <w:rFonts w:ascii="Palatino Linotype" w:eastAsia="Times New Roman" w:hAnsi="Palatino Linotype" w:cs="Open Sans"/>
          <w:color w:val="464646"/>
          <w:sz w:val="24"/>
          <w:szCs w:val="24"/>
          <w:shd w:val="clear" w:color="auto" w:fill="FFFFFF"/>
          <w:lang w:eastAsia="en-GB"/>
        </w:rPr>
        <w:fldChar w:fldCharType="end"/>
      </w:r>
      <w:r w:rsidR="00D15E7C" w:rsidRPr="003A1A88">
        <w:rPr>
          <w:rFonts w:ascii="Palatino Linotype" w:eastAsia="Times New Roman" w:hAnsi="Palatino Linotype" w:cs="Open Sans"/>
          <w:color w:val="464646"/>
          <w:sz w:val="24"/>
          <w:szCs w:val="24"/>
          <w:shd w:val="clear" w:color="auto" w:fill="FFFFFF"/>
          <w:lang w:eastAsia="en-GB"/>
        </w:rPr>
        <w:t xml:space="preserve">. </w:t>
      </w:r>
    </w:p>
    <w:p w:rsidR="00D15E7C" w:rsidRPr="00305E45" w:rsidRDefault="00D15E7C" w:rsidP="003C73D9">
      <w:pPr>
        <w:adjustRightInd w:val="0"/>
        <w:snapToGrid w:val="0"/>
        <w:spacing w:after="0" w:line="360" w:lineRule="auto"/>
        <w:jc w:val="both"/>
        <w:rPr>
          <w:rFonts w:ascii="Palatino Linotype" w:eastAsia="Times New Roman" w:hAnsi="Palatino Linotype" w:cs="Open Sans"/>
          <w:color w:val="464646"/>
          <w:sz w:val="24"/>
          <w:szCs w:val="24"/>
          <w:shd w:val="clear" w:color="auto" w:fill="FFFFFF"/>
          <w:lang w:eastAsia="en-GB"/>
        </w:rPr>
      </w:pPr>
      <w:proofErr w:type="spellStart"/>
      <w:r w:rsidRPr="00E45E35">
        <w:rPr>
          <w:rFonts w:ascii="Palatino Linotype" w:eastAsia="Times New Roman" w:hAnsi="Palatino Linotype" w:cs="Open Sans"/>
          <w:color w:val="464646"/>
          <w:sz w:val="24"/>
          <w:szCs w:val="24"/>
          <w:shd w:val="clear" w:color="auto" w:fill="FFFFFF"/>
          <w:lang w:eastAsia="en-GB"/>
        </w:rPr>
        <w:lastRenderedPageBreak/>
        <w:t>Billah</w:t>
      </w:r>
      <w:proofErr w:type="spellEnd"/>
      <w:r w:rsidRPr="00E45E35">
        <w:rPr>
          <w:rFonts w:ascii="Palatino Linotype" w:eastAsia="Times New Roman" w:hAnsi="Palatino Linotype" w:cs="Open Sans"/>
          <w:color w:val="464646"/>
          <w:sz w:val="24"/>
          <w:szCs w:val="24"/>
          <w:shd w:val="clear" w:color="auto" w:fill="FFFFFF"/>
          <w:lang w:eastAsia="en-GB"/>
        </w:rPr>
        <w:t xml:space="preserve"> et al. </w:t>
      </w:r>
      <w:r w:rsidRPr="00E45E35">
        <w:rPr>
          <w:rFonts w:ascii="Palatino Linotype" w:eastAsia="Times New Roman" w:hAnsi="Palatino Linotype" w:cs="Open Sans"/>
          <w:color w:val="464646"/>
          <w:sz w:val="24"/>
          <w:szCs w:val="24"/>
          <w:shd w:val="clear" w:color="auto" w:fill="FFFFFF"/>
          <w:lang w:eastAsia="en-GB"/>
        </w:rPr>
        <w:fldChar w:fldCharType="begin"/>
      </w:r>
      <w:r w:rsidR="00185E7F">
        <w:rPr>
          <w:rFonts w:ascii="Palatino Linotype" w:eastAsia="Times New Roman" w:hAnsi="Palatino Linotype" w:cs="Open Sans"/>
          <w:color w:val="464646"/>
          <w:sz w:val="24"/>
          <w:szCs w:val="24"/>
          <w:shd w:val="clear" w:color="auto" w:fill="FFFFFF"/>
          <w:lang w:eastAsia="en-GB"/>
        </w:rPr>
        <w:instrText xml:space="preserve"> ADDIN EN.CITE &lt;EndNote&gt;&lt;Cite&gt;&lt;Author&gt;Billah&lt;/Author&gt;&lt;Year&gt;2023&lt;/Year&gt;&lt;RecNum&gt;40&lt;/RecNum&gt;&lt;DisplayText&gt;(Billah et al., 2023)&lt;/DisplayText&gt;&lt;record&gt;&lt;rec-number&gt;40&lt;/rec-number&gt;&lt;foreign-keys&gt;&lt;key app="EN" db-id="ztxxpts0aa2009esdwupt05es22r0ee2922r" timestamp="1708439760"&gt;40&lt;/key&gt;&lt;/foreign-keys&gt;&lt;ref-type name="Journal Article"&gt;17&lt;/ref-type&gt;&lt;contributors&gt;&lt;authors&gt;&lt;author&gt;Billah, Maruf&lt;/author&gt;&lt;author&gt;Islam, A. K. M. Saiful&lt;/author&gt;&lt;author&gt;Mamoon, Wasif Bin&lt;/author&gt;&lt;author&gt;Rahman, Mohammad Rezaur&lt;/author&gt;&lt;/authors&gt;&lt;/contributors&gt;&lt;titles&gt;&lt;title&gt;Random forest classifications for landuse mapping to assess rapid flood damage using Sentinel-1 and Sentinel-2 data&lt;/title&gt;&lt;secondary-title&gt;Remote Sensing Applications: Society and Environment&lt;/secondary-title&gt;&lt;/titles&gt;&lt;periodical&gt;&lt;full-title&gt;Remote Sensing Applications: Society and Environment&lt;/full-title&gt;&lt;/periodical&gt;&lt;pages&gt;100947&lt;/pages&gt;&lt;volume&gt;30&lt;/volume&gt;&lt;keywords&gt;&lt;keyword&gt;Classification accuracy&lt;/keyword&gt;&lt;keyword&gt;Flood mapping&lt;/keyword&gt;&lt;keyword&gt;Damage assessment&lt;/keyword&gt;&lt;keyword&gt;Land use land cover (LULC)&lt;/keyword&gt;&lt;keyword&gt;Remote sensing&lt;/keyword&gt;&lt;keyword&gt;Random forest&lt;/keyword&gt;&lt;/keywords&gt;&lt;dates&gt;&lt;year&gt;2023&lt;/year&gt;&lt;pub-dates&gt;&lt;date&gt;2023/04/01/&lt;/date&gt;&lt;/pub-dates&gt;&lt;/dates&gt;&lt;isbn&gt;2352-9385&lt;/isbn&gt;&lt;urls&gt;&lt;related-urls&gt;&lt;url&gt;https://www.sciencedirect.com/science/article/pii/S2352938523000290&lt;/url&gt;&lt;/related-urls&gt;&lt;/urls&gt;&lt;electronic-resource-num&gt;https://doi.org/10.1016/j.rsase.2023.100947&lt;/electronic-resource-num&gt;&lt;/record&gt;&lt;/Cite&gt;&lt;/EndNote&gt;</w:instrText>
      </w:r>
      <w:r w:rsidRPr="00E45E35">
        <w:rPr>
          <w:rFonts w:ascii="Palatino Linotype" w:eastAsia="Times New Roman" w:hAnsi="Palatino Linotype" w:cs="Open Sans"/>
          <w:color w:val="464646"/>
          <w:sz w:val="24"/>
          <w:szCs w:val="24"/>
          <w:shd w:val="clear" w:color="auto" w:fill="FFFFFF"/>
          <w:lang w:eastAsia="en-GB"/>
        </w:rPr>
        <w:fldChar w:fldCharType="separate"/>
      </w:r>
      <w:r w:rsidRPr="003C73D9">
        <w:rPr>
          <w:rFonts w:ascii="Palatino Linotype" w:eastAsia="Times New Roman" w:hAnsi="Palatino Linotype" w:cs="Open Sans"/>
          <w:noProof/>
          <w:color w:val="464646"/>
          <w:sz w:val="24"/>
          <w:szCs w:val="24"/>
          <w:shd w:val="clear" w:color="auto" w:fill="FFFFFF"/>
          <w:lang w:eastAsia="en-GB"/>
        </w:rPr>
        <w:t>(Billah et al., 2023)</w:t>
      </w:r>
      <w:r w:rsidRPr="00E45E35">
        <w:rPr>
          <w:rFonts w:ascii="Palatino Linotype" w:eastAsia="Times New Roman" w:hAnsi="Palatino Linotype" w:cs="Open Sans"/>
          <w:color w:val="464646"/>
          <w:sz w:val="24"/>
          <w:szCs w:val="24"/>
          <w:shd w:val="clear" w:color="auto" w:fill="FFFFFF"/>
          <w:lang w:eastAsia="en-GB"/>
        </w:rPr>
        <w:fldChar w:fldCharType="end"/>
      </w:r>
      <w:r w:rsidRPr="00E45E35">
        <w:rPr>
          <w:rFonts w:ascii="Palatino Linotype" w:eastAsia="Times New Roman" w:hAnsi="Palatino Linotype" w:cs="Open Sans"/>
          <w:color w:val="464646"/>
          <w:sz w:val="24"/>
          <w:szCs w:val="24"/>
          <w:shd w:val="clear" w:color="auto" w:fill="FFFFFF"/>
          <w:lang w:eastAsia="en-GB"/>
        </w:rPr>
        <w:t xml:space="preserve"> perform land use mapping to assess rapid flood damage using Sentinel-1 and Sentinel-2 data by comparing random forest (RF) maximum likelihood classification methods.</w:t>
      </w:r>
      <w:r w:rsidR="00305E45">
        <w:rPr>
          <w:rFonts w:ascii="Palatino Linotype" w:eastAsia="Times New Roman" w:hAnsi="Palatino Linotype" w:cs="Open Sans"/>
          <w:color w:val="464646"/>
          <w:sz w:val="24"/>
          <w:szCs w:val="24"/>
          <w:shd w:val="clear" w:color="auto" w:fill="FFFFFF"/>
          <w:lang w:eastAsia="en-GB"/>
        </w:rPr>
        <w:t xml:space="preserve"> </w:t>
      </w:r>
      <w:r w:rsidRPr="00E45E35">
        <w:rPr>
          <w:rFonts w:ascii="Palatino Linotype" w:eastAsia="Times New Roman" w:hAnsi="Palatino Linotype" w:cs="Open Sans"/>
          <w:color w:val="464646"/>
          <w:sz w:val="24"/>
          <w:szCs w:val="24"/>
          <w:shd w:val="clear" w:color="auto" w:fill="FFFFFF"/>
          <w:lang w:eastAsia="en-GB"/>
        </w:rPr>
        <w:t xml:space="preserve">Another recent study by </w:t>
      </w:r>
      <w:r w:rsidRPr="00E45E35">
        <w:rPr>
          <w:rFonts w:ascii="Palatino Linotype" w:eastAsia="Times New Roman" w:hAnsi="Palatino Linotype" w:cs="Open Sans"/>
          <w:color w:val="464646"/>
          <w:sz w:val="24"/>
          <w:szCs w:val="24"/>
          <w:shd w:val="clear" w:color="auto" w:fill="FFFFFF"/>
          <w:lang w:eastAsia="en-GB"/>
        </w:rPr>
        <w:fldChar w:fldCharType="begin"/>
      </w:r>
      <w:r w:rsidR="00185E7F">
        <w:rPr>
          <w:rFonts w:ascii="Palatino Linotype" w:eastAsia="Times New Roman" w:hAnsi="Palatino Linotype" w:cs="Open Sans"/>
          <w:color w:val="464646"/>
          <w:sz w:val="24"/>
          <w:szCs w:val="24"/>
          <w:shd w:val="clear" w:color="auto" w:fill="FFFFFF"/>
          <w:lang w:eastAsia="en-GB"/>
        </w:rPr>
        <w:instrText xml:space="preserve"> ADDIN EN.CITE &lt;EndNote&gt;&lt;Cite AuthorYear="1"&gt;&lt;Author&gt;Ganjirad&lt;/Author&gt;&lt;Year&gt;2023&lt;/Year&gt;&lt;RecNum&gt;39&lt;/RecNum&gt;&lt;DisplayText&gt;Ganjirad and Delavar (2023)&lt;/DisplayText&gt;&lt;record&gt;&lt;rec-number&gt;39&lt;/rec-number&gt;&lt;foreign-keys&gt;&lt;key app="EN" db-id="ztxxpts0aa2009esdwupt05es22r0ee2922r" timestamp="1708438813"&gt;39&lt;/key&gt;&lt;/foreign-keys&gt;&lt;ref-type name="Journal Article"&gt;17&lt;/ref-type&gt;&lt;contributors&gt;&lt;authors&gt;&lt;author&gt;Ganjirad, M.&lt;/author&gt;&lt;author&gt;Delavar, M. R.&lt;/author&gt;&lt;/authors&gt;&lt;/contributors&gt;&lt;titles&gt;&lt;title&gt;FLOOD RISK MAPPING USING RANDOM FOREST AND SUPPORT VECTOR MACHINE&lt;/title&gt;&lt;secondary-title&gt;ISPRS Ann. Photogramm. Remote Sens. Spatial Inf. Sci.&lt;/secondary-title&gt;&lt;/titles&gt;&lt;periodical&gt;&lt;full-title&gt;ISPRS Ann. Photogramm. Remote Sens. Spatial Inf. Sci.&lt;/full-title&gt;&lt;/periodical&gt;&lt;pages&gt;201-208&lt;/pages&gt;&lt;volume&gt;X-4/W1-2022&lt;/volume&gt;&lt;dates&gt;&lt;year&gt;2023&lt;/year&gt;&lt;/dates&gt;&lt;publisher&gt;Copernicus Publications&lt;/publisher&gt;&lt;isbn&gt;2194-9050&lt;/isbn&gt;&lt;urls&gt;&lt;related-urls&gt;&lt;url&gt;https://isprs-annals.copernicus.org/articles/X-4-W1-2022/201/2023/&lt;/url&gt;&lt;/related-urls&gt;&lt;/urls&gt;&lt;electronic-resource-num&gt;10.5194/isprs-annals-X-4-W1-2022-201-2023&lt;/electronic-resource-num&gt;&lt;/record&gt;&lt;/Cite&gt;&lt;/EndNote&gt;</w:instrText>
      </w:r>
      <w:r w:rsidRPr="00E45E35">
        <w:rPr>
          <w:rFonts w:ascii="Palatino Linotype" w:eastAsia="Times New Roman" w:hAnsi="Palatino Linotype" w:cs="Open Sans"/>
          <w:color w:val="464646"/>
          <w:sz w:val="24"/>
          <w:szCs w:val="24"/>
          <w:shd w:val="clear" w:color="auto" w:fill="FFFFFF"/>
          <w:lang w:eastAsia="en-GB"/>
        </w:rPr>
        <w:fldChar w:fldCharType="separate"/>
      </w:r>
      <w:r w:rsidRPr="003C73D9">
        <w:rPr>
          <w:rFonts w:ascii="Palatino Linotype" w:eastAsia="Times New Roman" w:hAnsi="Palatino Linotype" w:cs="Open Sans"/>
          <w:noProof/>
          <w:color w:val="464646"/>
          <w:sz w:val="24"/>
          <w:szCs w:val="24"/>
          <w:shd w:val="clear" w:color="auto" w:fill="FFFFFF"/>
          <w:lang w:eastAsia="en-GB"/>
        </w:rPr>
        <w:t>Ganjirad and Delavar (2023)</w:t>
      </w:r>
      <w:r w:rsidRPr="00E45E35">
        <w:rPr>
          <w:rFonts w:ascii="Palatino Linotype" w:eastAsia="Times New Roman" w:hAnsi="Palatino Linotype" w:cs="Open Sans"/>
          <w:color w:val="464646"/>
          <w:sz w:val="24"/>
          <w:szCs w:val="24"/>
          <w:shd w:val="clear" w:color="auto" w:fill="FFFFFF"/>
          <w:lang w:eastAsia="en-GB"/>
        </w:rPr>
        <w:fldChar w:fldCharType="end"/>
      </w:r>
      <w:r w:rsidRPr="00E45E35">
        <w:rPr>
          <w:rFonts w:ascii="Palatino Linotype" w:eastAsia="Times New Roman" w:hAnsi="Palatino Linotype" w:cs="Open Sans"/>
          <w:color w:val="464646"/>
          <w:sz w:val="24"/>
          <w:szCs w:val="24"/>
          <w:shd w:val="clear" w:color="auto" w:fill="FFFFFF"/>
          <w:lang w:eastAsia="en-GB"/>
        </w:rPr>
        <w:t xml:space="preserve"> </w:t>
      </w:r>
      <w:r w:rsidR="00305E45">
        <w:rPr>
          <w:rFonts w:ascii="Palatino Linotype" w:eastAsia="Times New Roman" w:hAnsi="Palatino Linotype" w:cs="Open Sans"/>
          <w:color w:val="464646"/>
          <w:sz w:val="24"/>
          <w:szCs w:val="24"/>
          <w:shd w:val="clear" w:color="auto" w:fill="FFFFFF"/>
          <w:lang w:eastAsia="en-GB"/>
        </w:rPr>
        <w:t>provides</w:t>
      </w:r>
      <w:r w:rsidRPr="00E45E35">
        <w:rPr>
          <w:rFonts w:ascii="Palatino Linotype" w:eastAsia="Times New Roman" w:hAnsi="Palatino Linotype" w:cs="Open Sans"/>
          <w:color w:val="464646"/>
          <w:sz w:val="24"/>
          <w:szCs w:val="24"/>
          <w:shd w:val="clear" w:color="auto" w:fill="FFFFFF"/>
          <w:lang w:eastAsia="en-GB"/>
        </w:rPr>
        <w:t xml:space="preserve"> a comparative analysis of RF and support vector machines (SVN) to </w:t>
      </w:r>
      <w:r w:rsidR="00305E45">
        <w:rPr>
          <w:rFonts w:ascii="Palatino Linotype" w:eastAsia="Times New Roman" w:hAnsi="Palatino Linotype" w:cs="Open Sans"/>
          <w:color w:val="464646"/>
          <w:sz w:val="24"/>
          <w:szCs w:val="24"/>
          <w:shd w:val="clear" w:color="auto" w:fill="FFFFFF"/>
          <w:lang w:eastAsia="en-GB"/>
        </w:rPr>
        <w:t>estimate</w:t>
      </w:r>
      <w:r w:rsidRPr="00E45E35">
        <w:rPr>
          <w:rFonts w:ascii="Palatino Linotype" w:eastAsia="Times New Roman" w:hAnsi="Palatino Linotype" w:cs="Open Sans"/>
          <w:color w:val="464646"/>
          <w:sz w:val="24"/>
          <w:szCs w:val="24"/>
          <w:shd w:val="clear" w:color="auto" w:fill="FFFFFF"/>
          <w:lang w:eastAsia="en-GB"/>
        </w:rPr>
        <w:t xml:space="preserve"> flood risk in </w:t>
      </w:r>
      <w:r w:rsidRPr="00E45E35">
        <w:rPr>
          <w:rFonts w:ascii="Palatino Linotype" w:eastAsia="Times New Roman" w:hAnsi="Palatino Linotype" w:cs="Times New Roman"/>
          <w:sz w:val="24"/>
          <w:szCs w:val="24"/>
          <w:lang w:eastAsia="en-GB"/>
        </w:rPr>
        <w:t>Louisiana (</w:t>
      </w:r>
      <w:r w:rsidR="00305E45">
        <w:rPr>
          <w:rFonts w:ascii="Palatino Linotype" w:eastAsia="Times New Roman" w:hAnsi="Palatino Linotype" w:cs="Times New Roman"/>
          <w:sz w:val="24"/>
          <w:szCs w:val="24"/>
          <w:lang w:eastAsia="en-GB"/>
        </w:rPr>
        <w:t>United States</w:t>
      </w:r>
      <w:r w:rsidRPr="00E45E35">
        <w:rPr>
          <w:rFonts w:ascii="Palatino Linotype" w:eastAsia="Times New Roman" w:hAnsi="Palatino Linotype" w:cs="Times New Roman"/>
          <w:sz w:val="24"/>
          <w:szCs w:val="24"/>
          <w:lang w:eastAsia="en-GB"/>
        </w:rPr>
        <w:t xml:space="preserve">) by integrating spectral indices (e.g., Modified Normalized Difference Water Index (MNDWI) and topographical features. results show that RF has </w:t>
      </w:r>
      <w:r w:rsidR="00305E45">
        <w:rPr>
          <w:rFonts w:ascii="Palatino Linotype" w:eastAsia="Times New Roman" w:hAnsi="Palatino Linotype" w:cs="Times New Roman"/>
          <w:sz w:val="24"/>
          <w:szCs w:val="24"/>
          <w:lang w:eastAsia="en-GB"/>
        </w:rPr>
        <w:t xml:space="preserve">a </w:t>
      </w:r>
      <w:r w:rsidRPr="00E45E35">
        <w:rPr>
          <w:rFonts w:ascii="Palatino Linotype" w:eastAsia="Times New Roman" w:hAnsi="Palatino Linotype" w:cs="Times New Roman"/>
          <w:sz w:val="24"/>
          <w:szCs w:val="24"/>
          <w:lang w:eastAsia="en-GB"/>
        </w:rPr>
        <w:t xml:space="preserve">low mean absolute (MAE) error (0.04) compared to SVN (0.09). </w:t>
      </w:r>
      <w:proofErr w:type="spellStart"/>
      <w:r w:rsidRPr="00E45E35">
        <w:rPr>
          <w:rFonts w:ascii="Palatino Linotype" w:eastAsia="Times New Roman" w:hAnsi="Palatino Linotype" w:cs="Arial"/>
          <w:color w:val="222222"/>
          <w:sz w:val="24"/>
          <w:szCs w:val="24"/>
          <w:shd w:val="clear" w:color="auto" w:fill="FFFFFF"/>
          <w:lang w:eastAsia="en-GB"/>
        </w:rPr>
        <w:t>Loukika</w:t>
      </w:r>
      <w:proofErr w:type="spellEnd"/>
      <w:r w:rsidRPr="00E45E35">
        <w:rPr>
          <w:rFonts w:ascii="Palatino Linotype" w:eastAsia="Times New Roman" w:hAnsi="Palatino Linotype" w:cs="Arial"/>
          <w:color w:val="222222"/>
          <w:sz w:val="24"/>
          <w:szCs w:val="24"/>
          <w:shd w:val="clear" w:color="auto" w:fill="FFFFFF"/>
          <w:lang w:eastAsia="en-GB"/>
        </w:rPr>
        <w:t xml:space="preserve"> et al. </w:t>
      </w:r>
      <w:r w:rsidRPr="00E45E35">
        <w:rPr>
          <w:rFonts w:ascii="Palatino Linotype" w:eastAsia="Times New Roman" w:hAnsi="Palatino Linotype" w:cs="Arial"/>
          <w:color w:val="222222"/>
          <w:sz w:val="24"/>
          <w:szCs w:val="24"/>
          <w:shd w:val="clear" w:color="auto" w:fill="FFFFFF"/>
          <w:lang w:eastAsia="en-GB"/>
        </w:rPr>
        <w:fldChar w:fldCharType="begin"/>
      </w:r>
      <w:r w:rsidR="00185E7F">
        <w:rPr>
          <w:rFonts w:ascii="Palatino Linotype" w:eastAsia="Times New Roman" w:hAnsi="Palatino Linotype" w:cs="Arial"/>
          <w:color w:val="222222"/>
          <w:sz w:val="24"/>
          <w:szCs w:val="24"/>
          <w:shd w:val="clear" w:color="auto" w:fill="FFFFFF"/>
          <w:lang w:eastAsia="en-GB"/>
        </w:rPr>
        <w:instrText xml:space="preserve"> ADDIN EN.CITE &lt;EndNote&gt;&lt;Cite&gt;&lt;Author&gt;Loukika&lt;/Author&gt;&lt;Year&gt;2021&lt;/Year&gt;&lt;RecNum&gt;53&lt;/RecNum&gt;&lt;DisplayText&gt;(Loukika et al., 2021)&lt;/DisplayText&gt;&lt;record&gt;&lt;rec-number&gt;53&lt;/rec-number&gt;&lt;foreign-keys&gt;&lt;key app="EN" db-id="ztxxpts0aa2009esdwupt05es22r0ee2922r" timestamp="1708633239"&gt;53&lt;/key&gt;&lt;/foreign-keys&gt;&lt;ref-type name="Journal Article"&gt;17&lt;/ref-type&gt;&lt;contributors&gt;&lt;authors&gt;&lt;author&gt;Loukika, Kotapati Narayana&lt;/author&gt;&lt;author&gt;Keesara, Venkata Reddy&lt;/author&gt;&lt;author&gt;Sridhar, Venkataramana&lt;/author&gt;&lt;/authors&gt;&lt;/contributors&gt;&lt;titles&gt;&lt;title&gt;Analysis of Land Use and Land Cover Using Machine Learning Algorithms on Google Earth Engine for Munneru River Basin, India&lt;/title&gt;&lt;secondary-title&gt;Sustainability&lt;/secondary-title&gt;&lt;/titles&gt;&lt;periodical&gt;&lt;full-title&gt;Sustainability&lt;/full-title&gt;&lt;/periodical&gt;&lt;pages&gt;13758&lt;/pages&gt;&lt;volume&gt;13&lt;/volume&gt;&lt;number&gt;24&lt;/number&gt;&lt;dates&gt;&lt;year&gt;2021&lt;/year&gt;&lt;/dates&gt;&lt;isbn&gt;2071-1050&lt;/isbn&gt;&lt;accession-num&gt;doi:10.3390/su132413758&lt;/accession-num&gt;&lt;urls&gt;&lt;related-urls&gt;&lt;url&gt;https://www.mdpi.com/2071-1050/13/24/13758&lt;/url&gt;&lt;/related-urls&gt;&lt;/urls&gt;&lt;/record&gt;&lt;/Cite&gt;&lt;/EndNote&gt;</w:instrText>
      </w:r>
      <w:r w:rsidRPr="00E45E35">
        <w:rPr>
          <w:rFonts w:ascii="Palatino Linotype" w:eastAsia="Times New Roman" w:hAnsi="Palatino Linotype" w:cs="Arial"/>
          <w:color w:val="222222"/>
          <w:sz w:val="24"/>
          <w:szCs w:val="24"/>
          <w:shd w:val="clear" w:color="auto" w:fill="FFFFFF"/>
          <w:lang w:eastAsia="en-GB"/>
        </w:rPr>
        <w:fldChar w:fldCharType="separate"/>
      </w:r>
      <w:r w:rsidRPr="003C73D9">
        <w:rPr>
          <w:rFonts w:ascii="Palatino Linotype" w:eastAsia="Times New Roman" w:hAnsi="Palatino Linotype" w:cs="Arial"/>
          <w:noProof/>
          <w:color w:val="222222"/>
          <w:sz w:val="24"/>
          <w:szCs w:val="24"/>
          <w:shd w:val="clear" w:color="auto" w:fill="FFFFFF"/>
          <w:lang w:eastAsia="en-GB"/>
        </w:rPr>
        <w:t>(Loukika et al., 2021)</w:t>
      </w:r>
      <w:r w:rsidRPr="00E45E35">
        <w:rPr>
          <w:rFonts w:ascii="Palatino Linotype" w:eastAsia="Times New Roman" w:hAnsi="Palatino Linotype" w:cs="Arial"/>
          <w:color w:val="222222"/>
          <w:sz w:val="24"/>
          <w:szCs w:val="24"/>
          <w:shd w:val="clear" w:color="auto" w:fill="FFFFFF"/>
          <w:lang w:eastAsia="en-GB"/>
        </w:rPr>
        <w:fldChar w:fldCharType="end"/>
      </w:r>
      <w:r w:rsidRPr="00E45E35">
        <w:rPr>
          <w:rFonts w:ascii="Palatino Linotype" w:eastAsia="Times New Roman" w:hAnsi="Palatino Linotype" w:cs="Arial"/>
          <w:color w:val="222222"/>
          <w:sz w:val="24"/>
          <w:szCs w:val="24"/>
          <w:shd w:val="clear" w:color="auto" w:fill="FFFFFF"/>
          <w:lang w:eastAsia="en-GB"/>
        </w:rPr>
        <w:t xml:space="preserve"> classified LULC in a river basin by comparing SVM, RF, and CART based on Landsat and Sentinel-2 data. The results indicate that RF outperformed both classification methods, achieving accuracy rates of 94.85% and 95.8% compared to SVM's 90.88% and 93.8% and CART's 82.88% and 86.4% for Landsat and Sentinel-2, respectively. Ren et al. </w:t>
      </w:r>
      <w:r w:rsidRPr="00E45E35">
        <w:rPr>
          <w:rFonts w:ascii="Palatino Linotype" w:eastAsia="Times New Roman" w:hAnsi="Palatino Linotype" w:cs="Arial"/>
          <w:color w:val="222222"/>
          <w:sz w:val="24"/>
          <w:szCs w:val="24"/>
          <w:shd w:val="clear" w:color="auto" w:fill="FFFFFF"/>
          <w:lang w:eastAsia="en-GB"/>
        </w:rPr>
        <w:fldChar w:fldCharType="begin"/>
      </w:r>
      <w:r w:rsidR="00185E7F">
        <w:rPr>
          <w:rFonts w:ascii="Palatino Linotype" w:eastAsia="Times New Roman" w:hAnsi="Palatino Linotype" w:cs="Arial"/>
          <w:color w:val="222222"/>
          <w:sz w:val="24"/>
          <w:szCs w:val="24"/>
          <w:shd w:val="clear" w:color="auto" w:fill="FFFFFF"/>
          <w:lang w:eastAsia="en-GB"/>
        </w:rPr>
        <w:instrText xml:space="preserve"> ADDIN EN.CITE &lt;EndNote&gt;&lt;Cite&gt;&lt;Author&gt;Ren&lt;/Author&gt;&lt;Year&gt;2024&lt;/Year&gt;&lt;RecNum&gt;54&lt;/RecNum&gt;&lt;DisplayText&gt;(Ren et al., 2024)&lt;/DisplayText&gt;&lt;record&gt;&lt;rec-number&gt;54&lt;/rec-number&gt;&lt;foreign-keys&gt;&lt;key app="EN" db-id="ztxxpts0aa2009esdwupt05es22r0ee2922r" timestamp="1708633645"&gt;54&lt;/key&gt;&lt;/foreign-keys&gt;&lt;ref-type name="Journal Article"&gt;17&lt;/ref-type&gt;&lt;contributors&gt;&lt;authors&gt;&lt;author&gt;Ren, Hancheng&lt;/author&gt;&lt;author&gt;Pang, Bo&lt;/author&gt;&lt;author&gt;Bai, Ping&lt;/author&gt;&lt;author&gt;Zhao, Gang&lt;/author&gt;&lt;author&gt;Liu, Shu&lt;/author&gt;&lt;author&gt;Liu, Yuanyuan&lt;/author&gt;&lt;author&gt;Li, Min&lt;/author&gt;&lt;/authors&gt;&lt;/contributors&gt;&lt;titles&gt;&lt;title&gt;Flood Susceptibility Assessment with Random Sampling Strategy in Ensemble Learning (RF and XGBoost)&lt;/title&gt;&lt;secondary-title&gt;Remote Sensing&lt;/secondary-title&gt;&lt;/titles&gt;&lt;periodical&gt;&lt;full-title&gt;Remote Sensing&lt;/full-title&gt;&lt;/periodical&gt;&lt;pages&gt;320&lt;/pages&gt;&lt;volume&gt;16&lt;/volume&gt;&lt;number&gt;2&lt;/number&gt;&lt;dates&gt;&lt;year&gt;2024&lt;/year&gt;&lt;/dates&gt;&lt;isbn&gt;2072-4292&lt;/isbn&gt;&lt;accession-num&gt;doi:10.3390/rs16020320&lt;/accession-num&gt;&lt;urls&gt;&lt;related-urls&gt;&lt;url&gt;https://www.mdpi.com/2072-4292/16/2/320&lt;/url&gt;&lt;/related-urls&gt;&lt;/urls&gt;&lt;/record&gt;&lt;/Cite&gt;&lt;/EndNote&gt;</w:instrText>
      </w:r>
      <w:r w:rsidRPr="00E45E35">
        <w:rPr>
          <w:rFonts w:ascii="Palatino Linotype" w:eastAsia="Times New Roman" w:hAnsi="Palatino Linotype" w:cs="Arial"/>
          <w:color w:val="222222"/>
          <w:sz w:val="24"/>
          <w:szCs w:val="24"/>
          <w:shd w:val="clear" w:color="auto" w:fill="FFFFFF"/>
          <w:lang w:eastAsia="en-GB"/>
        </w:rPr>
        <w:fldChar w:fldCharType="separate"/>
      </w:r>
      <w:r w:rsidRPr="003C73D9">
        <w:rPr>
          <w:rFonts w:ascii="Palatino Linotype" w:eastAsia="Times New Roman" w:hAnsi="Palatino Linotype" w:cs="Arial"/>
          <w:noProof/>
          <w:color w:val="222222"/>
          <w:sz w:val="24"/>
          <w:szCs w:val="24"/>
          <w:shd w:val="clear" w:color="auto" w:fill="FFFFFF"/>
          <w:lang w:eastAsia="en-GB"/>
        </w:rPr>
        <w:t>(Ren et al., 2024)</w:t>
      </w:r>
      <w:r w:rsidRPr="00E45E35">
        <w:rPr>
          <w:rFonts w:ascii="Palatino Linotype" w:eastAsia="Times New Roman" w:hAnsi="Palatino Linotype" w:cs="Arial"/>
          <w:color w:val="222222"/>
          <w:sz w:val="24"/>
          <w:szCs w:val="24"/>
          <w:shd w:val="clear" w:color="auto" w:fill="FFFFFF"/>
          <w:lang w:eastAsia="en-GB"/>
        </w:rPr>
        <w:fldChar w:fldCharType="end"/>
      </w:r>
      <w:r w:rsidRPr="00E45E35">
        <w:rPr>
          <w:rFonts w:ascii="Palatino Linotype" w:eastAsia="Times New Roman" w:hAnsi="Palatino Linotype" w:cs="Arial"/>
          <w:color w:val="222222"/>
          <w:sz w:val="24"/>
          <w:szCs w:val="24"/>
          <w:shd w:val="clear" w:color="auto" w:fill="FFFFFF"/>
          <w:lang w:eastAsia="en-GB"/>
        </w:rPr>
        <w:t xml:space="preserve"> evaluated flood susceptibility using RF, </w:t>
      </w:r>
      <w:proofErr w:type="spellStart"/>
      <w:r w:rsidRPr="00E45E35">
        <w:rPr>
          <w:rFonts w:ascii="Palatino Linotype" w:eastAsia="Times New Roman" w:hAnsi="Palatino Linotype" w:cs="Arial"/>
          <w:color w:val="222222"/>
          <w:sz w:val="24"/>
          <w:szCs w:val="24"/>
          <w:shd w:val="clear" w:color="auto" w:fill="FFFFFF"/>
          <w:lang w:eastAsia="en-GB"/>
        </w:rPr>
        <w:t>XGBoost</w:t>
      </w:r>
      <w:proofErr w:type="spellEnd"/>
      <w:r w:rsidRPr="00E45E35">
        <w:rPr>
          <w:rFonts w:ascii="Palatino Linotype" w:eastAsia="Times New Roman" w:hAnsi="Palatino Linotype" w:cs="Arial"/>
          <w:color w:val="222222"/>
          <w:sz w:val="24"/>
          <w:szCs w:val="24"/>
          <w:shd w:val="clear" w:color="auto" w:fill="FFFFFF"/>
          <w:lang w:eastAsia="en-GB"/>
        </w:rPr>
        <w:t xml:space="preserve">, SVM, and ANN. The findings indicate that RF achieved the highest accuracy, 0.87. </w:t>
      </w:r>
      <w:proofErr w:type="spellStart"/>
      <w:r w:rsidRPr="00E45E35">
        <w:rPr>
          <w:rFonts w:ascii="Palatino Linotype" w:eastAsia="Times New Roman" w:hAnsi="Palatino Linotype" w:cs="Arial"/>
          <w:color w:val="222222"/>
          <w:sz w:val="24"/>
          <w:szCs w:val="24"/>
          <w:shd w:val="clear" w:color="auto" w:fill="FFFFFF"/>
          <w:lang w:eastAsia="en-GB"/>
        </w:rPr>
        <w:t>XGBoost</w:t>
      </w:r>
      <w:proofErr w:type="spellEnd"/>
      <w:r w:rsidRPr="00E45E35">
        <w:rPr>
          <w:rFonts w:ascii="Palatino Linotype" w:eastAsia="Times New Roman" w:hAnsi="Palatino Linotype" w:cs="Arial"/>
          <w:color w:val="222222"/>
          <w:sz w:val="24"/>
          <w:szCs w:val="24"/>
          <w:shd w:val="clear" w:color="auto" w:fill="FFFFFF"/>
          <w:lang w:eastAsia="en-GB"/>
        </w:rPr>
        <w:t xml:space="preserve"> followed closely at 0.84, outperforming both ANN (0.83) and SVM (0.82). The RF approach is highly robust because of its numerous advantages</w:t>
      </w:r>
      <w:r w:rsidR="00FC7A0E" w:rsidRPr="003C73D9">
        <w:rPr>
          <w:rFonts w:ascii="Palatino Linotype" w:eastAsia="Times New Roman" w:hAnsi="Palatino Linotype" w:cs="Arial"/>
          <w:color w:val="222222"/>
          <w:sz w:val="24"/>
          <w:szCs w:val="24"/>
          <w:shd w:val="clear" w:color="auto" w:fill="FFFFFF"/>
          <w:lang w:eastAsia="en-GB"/>
        </w:rPr>
        <w:t xml:space="preserve"> over other machine learning</w:t>
      </w:r>
      <w:r w:rsidRPr="00E45E35">
        <w:rPr>
          <w:rFonts w:ascii="Palatino Linotype" w:eastAsia="Times New Roman" w:hAnsi="Palatino Linotype" w:cs="Arial"/>
          <w:color w:val="222222"/>
          <w:sz w:val="24"/>
          <w:szCs w:val="24"/>
          <w:shd w:val="clear" w:color="auto" w:fill="FFFFFF"/>
          <w:lang w:eastAsia="en-GB"/>
        </w:rPr>
        <w:t xml:space="preserve"> </w:t>
      </w:r>
      <w:r w:rsidRPr="00E45E35">
        <w:rPr>
          <w:rFonts w:ascii="Palatino Linotype" w:eastAsia="Times New Roman" w:hAnsi="Palatino Linotype" w:cs="Arial"/>
          <w:color w:val="222222"/>
          <w:sz w:val="24"/>
          <w:szCs w:val="24"/>
          <w:shd w:val="clear" w:color="auto" w:fill="FFFFFF"/>
          <w:lang w:eastAsia="en-GB"/>
        </w:rPr>
        <w:fldChar w:fldCharType="begin"/>
      </w:r>
      <w:r w:rsidRPr="003C73D9">
        <w:rPr>
          <w:rFonts w:ascii="Palatino Linotype" w:eastAsia="Times New Roman" w:hAnsi="Palatino Linotype" w:cs="Arial"/>
          <w:color w:val="222222"/>
          <w:sz w:val="24"/>
          <w:szCs w:val="24"/>
          <w:shd w:val="clear" w:color="auto" w:fill="FFFFFF"/>
          <w:lang w:eastAsia="en-GB"/>
        </w:rPr>
        <w:instrText xml:space="preserve"> ADDIN EN.CITE &lt;EndNote&gt;&lt;Cite&gt;&lt;Author&gt;Maxwell&lt;/Author&gt;&lt;Year&gt;2018&lt;/Year&gt;&lt;RecNum&gt;3&lt;/RecNum&gt;&lt;DisplayText&gt;(Maxwell et al., 2018)&lt;/DisplayText&gt;&lt;record&gt;&lt;rec-number&gt;3&lt;/rec-number&gt;&lt;foreign-keys&gt;&lt;key app="EN" db-id="ews2wvaxo0ae0ter0s8xdxskdf5w9dvdzzwd" timestamp="1705854884"&gt;3&lt;/key&gt;&lt;/foreign-keys&gt;&lt;ref-type name="Journal Article"&gt;17&lt;/ref-type&gt;&lt;contributors&gt;&lt;authors&gt;&lt;author&gt;Maxwell, Aaron E.&lt;/author&gt;&lt;author&gt;Warner, Timothy A.&lt;/author&gt;&lt;author&gt;Fang, Fang&lt;/author&gt;&lt;/authors&gt;&lt;/contributors&gt;&lt;titles&gt;&lt;title&gt;Implementation of machine-learning classification in remote sensing: an applied review&lt;/title&gt;&lt;secondary-title&gt;International Journal of Remote Sensing&lt;/secondary-title&gt;&lt;/titles&gt;&lt;periodical&gt;&lt;full-title&gt;International Journal of Remote Sensing&lt;/full-title&gt;&lt;/periodical&gt;&lt;pages&gt;2784-2817&lt;/pages&gt;&lt;volume&gt;39&lt;/volume&gt;&lt;number&gt;9&lt;/number&gt;&lt;dates&gt;&lt;year&gt;2018&lt;/year&gt;&lt;pub-dates&gt;&lt;date&gt;2018/05/03&lt;/date&gt;&lt;/pub-dates&gt;&lt;/dates&gt;&lt;publisher&gt;Taylor &amp;amp; Francis&lt;/publisher&gt;&lt;isbn&gt;0143-1161&lt;/isbn&gt;&lt;urls&gt;&lt;related-urls&gt;&lt;url&gt;https://doi.org/10.1080/01431161.2018.1433343&lt;/url&gt;&lt;/related-urls&gt;&lt;/urls&gt;&lt;electronic-resource-num&gt;10.1080/01431161.2018.1433343&lt;/electronic-resource-num&gt;&lt;/record&gt;&lt;/Cite&gt;&lt;/EndNote&gt;</w:instrText>
      </w:r>
      <w:r w:rsidRPr="00E45E35">
        <w:rPr>
          <w:rFonts w:ascii="Palatino Linotype" w:eastAsia="Times New Roman" w:hAnsi="Palatino Linotype" w:cs="Arial"/>
          <w:color w:val="222222"/>
          <w:sz w:val="24"/>
          <w:szCs w:val="24"/>
          <w:shd w:val="clear" w:color="auto" w:fill="FFFFFF"/>
          <w:lang w:eastAsia="en-GB"/>
        </w:rPr>
        <w:fldChar w:fldCharType="separate"/>
      </w:r>
      <w:r w:rsidRPr="003C73D9">
        <w:rPr>
          <w:rFonts w:ascii="Palatino Linotype" w:eastAsia="Times New Roman" w:hAnsi="Palatino Linotype" w:cs="Arial"/>
          <w:noProof/>
          <w:color w:val="222222"/>
          <w:sz w:val="24"/>
          <w:szCs w:val="24"/>
          <w:shd w:val="clear" w:color="auto" w:fill="FFFFFF"/>
          <w:lang w:eastAsia="en-GB"/>
        </w:rPr>
        <w:t>(Maxwell et al., 2018)</w:t>
      </w:r>
      <w:r w:rsidRPr="00E45E35">
        <w:rPr>
          <w:rFonts w:ascii="Palatino Linotype" w:eastAsia="Times New Roman" w:hAnsi="Palatino Linotype" w:cs="Arial"/>
          <w:color w:val="222222"/>
          <w:sz w:val="24"/>
          <w:szCs w:val="24"/>
          <w:shd w:val="clear" w:color="auto" w:fill="FFFFFF"/>
          <w:lang w:eastAsia="en-GB"/>
        </w:rPr>
        <w:fldChar w:fldCharType="end"/>
      </w:r>
      <w:r w:rsidRPr="00E45E35">
        <w:rPr>
          <w:rFonts w:ascii="Palatino Linotype" w:eastAsia="Times New Roman" w:hAnsi="Palatino Linotype" w:cs="Arial"/>
          <w:color w:val="222222"/>
          <w:sz w:val="24"/>
          <w:szCs w:val="24"/>
          <w:shd w:val="clear" w:color="auto" w:fill="FFFFFF"/>
          <w:lang w:eastAsia="en-GB"/>
        </w:rPr>
        <w:t>.</w:t>
      </w:r>
    </w:p>
    <w:p w:rsidR="00F97356" w:rsidRPr="003C73D9" w:rsidRDefault="005D24EA" w:rsidP="003C73D9">
      <w:pPr>
        <w:adjustRightInd w:val="0"/>
        <w:snapToGrid w:val="0"/>
        <w:spacing w:after="0" w:line="360" w:lineRule="auto"/>
        <w:jc w:val="both"/>
        <w:rPr>
          <w:rFonts w:ascii="Palatino Linotype" w:eastAsia="Times New Roman" w:hAnsi="Palatino Linotype" w:cs="Times New Roman"/>
          <w:snapToGrid w:val="0"/>
          <w:color w:val="000000"/>
          <w:sz w:val="24"/>
          <w:szCs w:val="24"/>
          <w:lang w:val="en-US" w:eastAsia="de-DE" w:bidi="en-US"/>
        </w:rPr>
      </w:pPr>
      <w:r w:rsidRPr="003C73D9">
        <w:rPr>
          <w:rFonts w:ascii="Palatino Linotype" w:eastAsia="Times New Roman" w:hAnsi="Palatino Linotype" w:cs="Times New Roman"/>
          <w:snapToGrid w:val="0"/>
          <w:color w:val="000000"/>
          <w:sz w:val="24"/>
          <w:szCs w:val="24"/>
          <w:lang w:val="en-US" w:eastAsia="de-DE" w:bidi="en-US"/>
        </w:rPr>
        <w:t>F</w:t>
      </w:r>
      <w:r w:rsidR="00D15E7C" w:rsidRPr="00E45E35">
        <w:rPr>
          <w:rFonts w:ascii="Palatino Linotype" w:eastAsia="Times New Roman" w:hAnsi="Palatino Linotype" w:cs="Times New Roman"/>
          <w:snapToGrid w:val="0"/>
          <w:color w:val="000000"/>
          <w:sz w:val="24"/>
          <w:szCs w:val="24"/>
          <w:lang w:val="en-US" w:eastAsia="de-DE" w:bidi="en-US"/>
        </w:rPr>
        <w:t xml:space="preserve">looding is becoming more frequent and unpredictable due to uncertainty in climate extremes </w:t>
      </w:r>
      <w:r w:rsidR="00D15E7C" w:rsidRPr="00E45E35">
        <w:rPr>
          <w:rFonts w:ascii="Palatino Linotype" w:eastAsia="Times New Roman" w:hAnsi="Palatino Linotype" w:cs="Times New Roman"/>
          <w:snapToGrid w:val="0"/>
          <w:color w:val="000000"/>
          <w:sz w:val="24"/>
          <w:szCs w:val="24"/>
          <w:lang w:val="en-US" w:eastAsia="de-DE" w:bidi="en-US"/>
        </w:rPr>
        <w:fldChar w:fldCharType="begin"/>
      </w:r>
      <w:r w:rsidR="00185E7F">
        <w:rPr>
          <w:rFonts w:ascii="Palatino Linotype" w:eastAsia="Times New Roman" w:hAnsi="Palatino Linotype" w:cs="Times New Roman"/>
          <w:snapToGrid w:val="0"/>
          <w:color w:val="000000"/>
          <w:sz w:val="24"/>
          <w:szCs w:val="24"/>
          <w:lang w:val="en-US" w:eastAsia="de-DE" w:bidi="en-US"/>
        </w:rPr>
        <w:instrText xml:space="preserve"> ADDIN EN.CITE &lt;EndNote&gt;&lt;Cite&gt;&lt;Author&gt;Tellman&lt;/Author&gt;&lt;Year&gt;2021&lt;/Year&gt;&lt;RecNum&gt;43&lt;/RecNum&gt;&lt;DisplayText&gt;(Cred, 2020; Tellman et al., 2021)&lt;/DisplayText&gt;&lt;record&gt;&lt;rec-number&gt;43&lt;/rec-number&gt;&lt;foreign-keys&gt;&lt;key app="EN" db-id="ztxxpts0aa2009esdwupt05es22r0ee2922r" timestamp="1708520888"&gt;43&lt;/key&gt;&lt;/foreign-keys&gt;&lt;ref-type name="Journal Article"&gt;17&lt;/ref-type&gt;&lt;contributors&gt;&lt;authors&gt;&lt;author&gt;Tellman, B.&lt;/author&gt;&lt;author&gt;Sullivan, J. A.&lt;/author&gt;&lt;author&gt;Kuhn, C.&lt;/author&gt;&lt;author&gt;Kettner, A. J.&lt;/author&gt;&lt;author&gt;Doyle, C. S.&lt;/author&gt;&lt;author&gt;Brakenridge, G. R.&lt;/author&gt;&lt;author&gt;Erickson, T. A.&lt;/author&gt;&lt;author&gt;Slayback, D. A.&lt;/author&gt;&lt;/authors&gt;&lt;/contributors&gt;&lt;titles&gt;&lt;title&gt;Satellite imaging reveals increased proportion of population exposed to floods&lt;/title&gt;&lt;secondary-title&gt;Nature&lt;/secondary-title&gt;&lt;/titles&gt;&lt;periodical&gt;&lt;full-title&gt;Nature&lt;/full-title&gt;&lt;/periodical&gt;&lt;pages&gt;80-86&lt;/pages&gt;&lt;volume&gt;596&lt;/volume&gt;&lt;number&gt;7870&lt;/number&gt;&lt;dates&gt;&lt;year&gt;2021&lt;/year&gt;&lt;pub-dates&gt;&lt;date&gt;2021/08/01&lt;/date&gt;&lt;/pub-dates&gt;&lt;/dates&gt;&lt;isbn&gt;1476-4687&lt;/isbn&gt;&lt;urls&gt;&lt;related-urls&gt;&lt;url&gt;https://doi.org/10.1038/s41586-021-03695-w&lt;/url&gt;&lt;/related-urls&gt;&lt;/urls&gt;&lt;electronic-resource-num&gt;10.1038/s41586-021-03695-w&lt;/electronic-resource-num&gt;&lt;/record&gt;&lt;/Cite&gt;&lt;Cite&gt;&lt;Author&gt;Cred&lt;/Author&gt;&lt;Year&gt;2020&lt;/Year&gt;&lt;RecNum&gt;44&lt;/RecNum&gt;&lt;record&gt;&lt;rec-number&gt;44&lt;/rec-number&gt;&lt;foreign-keys&gt;&lt;key app="EN" db-id="ztxxpts0aa2009esdwupt05es22r0ee2922r" timestamp="1708524800"&gt;44&lt;/key&gt;&lt;/foreign-keys&gt;&lt;ref-type name="Journal Article"&gt;17&lt;/ref-type&gt;&lt;contributors&gt;&lt;authors&gt;&lt;author&gt;Cred, UNDRR&lt;/author&gt;&lt;/authors&gt;&lt;/contributors&gt;&lt;titles&gt;&lt;title&gt;Human Cost of Disasters. An Overview of the last 20 years: 2000–2019&lt;/title&gt;&lt;secondary-title&gt;CRED, UNDRR, Geneva&lt;/secondary-title&gt;&lt;/titles&gt;&lt;periodical&gt;&lt;full-title&gt;CRED, UNDRR, Geneva&lt;/full-title&gt;&lt;/periodical&gt;&lt;dates&gt;&lt;year&gt;2020&lt;/year&gt;&lt;/dates&gt;&lt;urls&gt;&lt;/urls&gt;&lt;/record&gt;&lt;/Cite&gt;&lt;/EndNote&gt;</w:instrText>
      </w:r>
      <w:r w:rsidR="00D15E7C" w:rsidRPr="00E45E35">
        <w:rPr>
          <w:rFonts w:ascii="Palatino Linotype" w:eastAsia="Times New Roman" w:hAnsi="Palatino Linotype" w:cs="Times New Roman"/>
          <w:snapToGrid w:val="0"/>
          <w:color w:val="000000"/>
          <w:sz w:val="24"/>
          <w:szCs w:val="24"/>
          <w:lang w:val="en-US" w:eastAsia="de-DE" w:bidi="en-US"/>
        </w:rPr>
        <w:fldChar w:fldCharType="separate"/>
      </w:r>
      <w:r w:rsidR="00D15E7C" w:rsidRPr="003C73D9">
        <w:rPr>
          <w:rFonts w:ascii="Palatino Linotype" w:eastAsia="Times New Roman" w:hAnsi="Palatino Linotype" w:cs="Times New Roman"/>
          <w:noProof/>
          <w:snapToGrid w:val="0"/>
          <w:color w:val="000000"/>
          <w:sz w:val="24"/>
          <w:szCs w:val="24"/>
          <w:lang w:val="en-US" w:eastAsia="de-DE" w:bidi="en-US"/>
        </w:rPr>
        <w:t>(Cred, 2020; Tellman et al., 2021)</w:t>
      </w:r>
      <w:r w:rsidR="00D15E7C" w:rsidRPr="00E45E35">
        <w:rPr>
          <w:rFonts w:ascii="Palatino Linotype" w:eastAsia="Times New Roman" w:hAnsi="Palatino Linotype" w:cs="Times New Roman"/>
          <w:snapToGrid w:val="0"/>
          <w:color w:val="000000"/>
          <w:sz w:val="24"/>
          <w:szCs w:val="24"/>
          <w:lang w:val="en-US" w:eastAsia="de-DE" w:bidi="en-US"/>
        </w:rPr>
        <w:fldChar w:fldCharType="end"/>
      </w:r>
      <w:r w:rsidR="00D15E7C" w:rsidRPr="00E45E35">
        <w:rPr>
          <w:rFonts w:ascii="Palatino Linotype" w:eastAsia="Times New Roman" w:hAnsi="Palatino Linotype" w:cs="Times New Roman"/>
          <w:snapToGrid w:val="0"/>
          <w:color w:val="000000"/>
          <w:sz w:val="24"/>
          <w:szCs w:val="24"/>
          <w:lang w:val="en-US" w:eastAsia="de-DE" w:bidi="en-US"/>
        </w:rPr>
        <w:t xml:space="preserve">, upsetting established crop cycles and putting yields at risk </w:t>
      </w:r>
      <w:r w:rsidR="00D15E7C" w:rsidRPr="00E45E35">
        <w:rPr>
          <w:rFonts w:ascii="Palatino Linotype" w:eastAsia="Times New Roman" w:hAnsi="Palatino Linotype" w:cs="Times New Roman"/>
          <w:snapToGrid w:val="0"/>
          <w:color w:val="000000"/>
          <w:sz w:val="24"/>
          <w:szCs w:val="24"/>
          <w:lang w:val="en-US" w:eastAsia="de-DE" w:bidi="en-US"/>
        </w:rPr>
        <w:fldChar w:fldCharType="begin"/>
      </w:r>
      <w:r w:rsidR="00185E7F">
        <w:rPr>
          <w:rFonts w:ascii="Palatino Linotype" w:eastAsia="Times New Roman" w:hAnsi="Palatino Linotype" w:cs="Times New Roman"/>
          <w:snapToGrid w:val="0"/>
          <w:color w:val="000000"/>
          <w:sz w:val="24"/>
          <w:szCs w:val="24"/>
          <w:lang w:val="en-US" w:eastAsia="de-DE" w:bidi="en-US"/>
        </w:rPr>
        <w:instrText xml:space="preserve"> ADDIN EN.CITE &lt;EndNote&gt;&lt;Cite&gt;&lt;Author&gt;Raza&lt;/Author&gt;&lt;Year&gt;2019&lt;/Year&gt;&lt;RecNum&gt;14&lt;/RecNum&gt;&lt;DisplayText&gt;(Raza et al., 2019)&lt;/DisplayText&gt;&lt;record&gt;&lt;rec-number&gt;14&lt;/rec-number&gt;&lt;foreign-keys&gt;&lt;key app="EN" db-id="ztxxpts0aa2009esdwupt05es22r0ee2922r" timestamp="1708341587"&gt;14&lt;/key&gt;&lt;/foreign-keys&gt;&lt;ref-type name="Journal Article"&gt;17&lt;/ref-type&gt;&lt;contributors&gt;&lt;authors&gt;&lt;author&gt;Raza, Ali&lt;/author&gt;&lt;author&gt;Razzaq, Ali&lt;/author&gt;&lt;author&gt;Mehmood, Sundas Saher&lt;/author&gt;&lt;author&gt;Zou, Xiling&lt;/author&gt;&lt;author&gt;Zhang, Xuekun&lt;/author&gt;&lt;author&gt;Lv, Yan&lt;/author&gt;&lt;author&gt;Xu, Jinsong&lt;/author&gt;&lt;/authors&gt;&lt;/contributors&gt;&lt;titles&gt;&lt;title&gt;Impact of Climate Change on Crops Adaptation and Strategies to Tackle Its Outcome: A Review&lt;/title&gt;&lt;secondary-title&gt;Plants&lt;/secondary-title&gt;&lt;/titles&gt;&lt;periodical&gt;&lt;full-title&gt;Plants&lt;/full-title&gt;&lt;/periodical&gt;&lt;pages&gt;34&lt;/pages&gt;&lt;volume&gt;8&lt;/volume&gt;&lt;number&gt;2&lt;/number&gt;&lt;dates&gt;&lt;year&gt;2019&lt;/year&gt;&lt;/dates&gt;&lt;isbn&gt;2223-7747&lt;/isbn&gt;&lt;accession-num&gt;doi:10.3390/plants8020034&lt;/accession-num&gt;&lt;urls&gt;&lt;related-urls&gt;&lt;url&gt;https://www.mdpi.com/2223-7747/8/2/34&lt;/url&gt;&lt;/related-urls&gt;&lt;/urls&gt;&lt;/record&gt;&lt;/Cite&gt;&lt;/EndNote&gt;</w:instrText>
      </w:r>
      <w:r w:rsidR="00D15E7C" w:rsidRPr="00E45E35">
        <w:rPr>
          <w:rFonts w:ascii="Palatino Linotype" w:eastAsia="Times New Roman" w:hAnsi="Palatino Linotype" w:cs="Times New Roman"/>
          <w:snapToGrid w:val="0"/>
          <w:color w:val="000000"/>
          <w:sz w:val="24"/>
          <w:szCs w:val="24"/>
          <w:lang w:val="en-US" w:eastAsia="de-DE" w:bidi="en-US"/>
        </w:rPr>
        <w:fldChar w:fldCharType="separate"/>
      </w:r>
      <w:r w:rsidR="00D15E7C" w:rsidRPr="003C73D9">
        <w:rPr>
          <w:rFonts w:ascii="Palatino Linotype" w:eastAsia="Times New Roman" w:hAnsi="Palatino Linotype" w:cs="Times New Roman"/>
          <w:noProof/>
          <w:snapToGrid w:val="0"/>
          <w:color w:val="000000"/>
          <w:sz w:val="24"/>
          <w:szCs w:val="24"/>
          <w:lang w:val="en-US" w:eastAsia="de-DE" w:bidi="en-US"/>
        </w:rPr>
        <w:t>(Raza et al., 2019)</w:t>
      </w:r>
      <w:r w:rsidR="00D15E7C" w:rsidRPr="00E45E35">
        <w:rPr>
          <w:rFonts w:ascii="Palatino Linotype" w:eastAsia="Times New Roman" w:hAnsi="Palatino Linotype" w:cs="Times New Roman"/>
          <w:snapToGrid w:val="0"/>
          <w:color w:val="000000"/>
          <w:sz w:val="24"/>
          <w:szCs w:val="24"/>
          <w:lang w:val="en-US" w:eastAsia="de-DE" w:bidi="en-US"/>
        </w:rPr>
        <w:fldChar w:fldCharType="end"/>
      </w:r>
      <w:r w:rsidR="00D15E7C" w:rsidRPr="00E45E35">
        <w:rPr>
          <w:rFonts w:ascii="Palatino Linotype" w:eastAsia="Times New Roman" w:hAnsi="Palatino Linotype" w:cs="Times New Roman"/>
          <w:snapToGrid w:val="0"/>
          <w:color w:val="000000"/>
          <w:sz w:val="24"/>
          <w:szCs w:val="24"/>
          <w:lang w:val="en-US" w:eastAsia="de-DE" w:bidi="en-US"/>
        </w:rPr>
        <w:t xml:space="preserve"> and further worsening, food security, </w:t>
      </w:r>
      <w:r w:rsidR="00F97356" w:rsidRPr="003C73D9">
        <w:rPr>
          <w:rFonts w:ascii="Palatino Linotype" w:eastAsia="Times New Roman" w:hAnsi="Palatino Linotype" w:cs="Times New Roman"/>
          <w:snapToGrid w:val="0"/>
          <w:color w:val="000000"/>
          <w:sz w:val="24"/>
          <w:szCs w:val="24"/>
          <w:lang w:val="en-US" w:eastAsia="de-DE" w:bidi="en-US"/>
        </w:rPr>
        <w:t xml:space="preserve">and </w:t>
      </w:r>
      <w:r w:rsidR="00D15E7C" w:rsidRPr="00E45E35">
        <w:rPr>
          <w:rFonts w:ascii="Palatino Linotype" w:eastAsia="Times New Roman" w:hAnsi="Palatino Linotype" w:cs="Times New Roman"/>
          <w:snapToGrid w:val="0"/>
          <w:color w:val="000000"/>
          <w:sz w:val="24"/>
          <w:szCs w:val="24"/>
          <w:lang w:val="en-US" w:eastAsia="de-DE" w:bidi="en-US"/>
        </w:rPr>
        <w:t xml:space="preserve">subsistence and livelihoods of local communities </w:t>
      </w:r>
      <w:r w:rsidR="00D15E7C" w:rsidRPr="00E45E35">
        <w:rPr>
          <w:rFonts w:ascii="Palatino Linotype" w:eastAsia="Times New Roman" w:hAnsi="Palatino Linotype" w:cs="Times New Roman"/>
          <w:snapToGrid w:val="0"/>
          <w:color w:val="000000"/>
          <w:sz w:val="24"/>
          <w:szCs w:val="24"/>
          <w:lang w:val="en-US" w:eastAsia="de-DE" w:bidi="en-US"/>
        </w:rPr>
        <w:fldChar w:fldCharType="begin"/>
      </w:r>
      <w:r w:rsidR="00185E7F">
        <w:rPr>
          <w:rFonts w:ascii="Palatino Linotype" w:eastAsia="Times New Roman" w:hAnsi="Palatino Linotype" w:cs="Times New Roman"/>
          <w:snapToGrid w:val="0"/>
          <w:color w:val="000000"/>
          <w:sz w:val="24"/>
          <w:szCs w:val="24"/>
          <w:lang w:val="en-US" w:eastAsia="de-DE" w:bidi="en-US"/>
        </w:rPr>
        <w:instrText xml:space="preserve"> ADDIN EN.CITE &lt;EndNote&gt;&lt;Cite&gt;&lt;Author&gt;FAO&lt;/Author&gt;&lt;Year&gt;2018&lt;/Year&gt;&lt;RecNum&gt;45&lt;/RecNum&gt;&lt;DisplayText&gt;(FAO, 2018)&lt;/DisplayText&gt;&lt;record&gt;&lt;rec-number&gt;45&lt;/rec-number&gt;&lt;foreign-keys&gt;&lt;key app="EN" db-id="ztxxpts0aa2009esdwupt05es22r0ee2922r" timestamp="1708527065"&gt;45&lt;/key&gt;&lt;/foreign-keys&gt;&lt;ref-type name="Journal Article"&gt;17&lt;/ref-type&gt;&lt;contributors&gt;&lt;authors&gt;&lt;author&gt;FAO&lt;/author&gt;&lt;/authors&gt;&lt;/contributors&gt;&lt;titles&gt;&lt;title&gt;The impact of disasters and crises on agriculture and food security&lt;/title&gt;&lt;secondary-title&gt;Report&lt;/secondary-title&gt;&lt;/titles&gt;&lt;periodical&gt;&lt;full-title&gt;Report&lt;/full-title&gt;&lt;/periodical&gt;&lt;dates&gt;&lt;year&gt;2018&lt;/year&gt;&lt;/dates&gt;&lt;urls&gt;&lt;/urls&gt;&lt;/record&gt;&lt;/Cite&gt;&lt;/EndNote&gt;</w:instrText>
      </w:r>
      <w:r w:rsidR="00D15E7C" w:rsidRPr="00E45E35">
        <w:rPr>
          <w:rFonts w:ascii="Palatino Linotype" w:eastAsia="Times New Roman" w:hAnsi="Palatino Linotype" w:cs="Times New Roman"/>
          <w:snapToGrid w:val="0"/>
          <w:color w:val="000000"/>
          <w:sz w:val="24"/>
          <w:szCs w:val="24"/>
          <w:lang w:val="en-US" w:eastAsia="de-DE" w:bidi="en-US"/>
        </w:rPr>
        <w:fldChar w:fldCharType="separate"/>
      </w:r>
      <w:r w:rsidR="00D15E7C" w:rsidRPr="003C73D9">
        <w:rPr>
          <w:rFonts w:ascii="Palatino Linotype" w:eastAsia="Times New Roman" w:hAnsi="Palatino Linotype" w:cs="Times New Roman"/>
          <w:noProof/>
          <w:snapToGrid w:val="0"/>
          <w:color w:val="000000"/>
          <w:sz w:val="24"/>
          <w:szCs w:val="24"/>
          <w:lang w:val="en-US" w:eastAsia="de-DE" w:bidi="en-US"/>
        </w:rPr>
        <w:t>(FAO, 2018)</w:t>
      </w:r>
      <w:r w:rsidR="00D15E7C" w:rsidRPr="00E45E35">
        <w:rPr>
          <w:rFonts w:ascii="Palatino Linotype" w:eastAsia="Times New Roman" w:hAnsi="Palatino Linotype" w:cs="Times New Roman"/>
          <w:snapToGrid w:val="0"/>
          <w:color w:val="000000"/>
          <w:sz w:val="24"/>
          <w:szCs w:val="24"/>
          <w:lang w:val="en-US" w:eastAsia="de-DE" w:bidi="en-US"/>
        </w:rPr>
        <w:fldChar w:fldCharType="end"/>
      </w:r>
      <w:r w:rsidR="00D15E7C" w:rsidRPr="00E45E35">
        <w:rPr>
          <w:rFonts w:ascii="Palatino Linotype" w:eastAsia="Times New Roman" w:hAnsi="Palatino Linotype" w:cs="Times New Roman"/>
          <w:snapToGrid w:val="0"/>
          <w:color w:val="000000"/>
          <w:sz w:val="24"/>
          <w:szCs w:val="24"/>
          <w:lang w:val="en-US" w:eastAsia="de-DE" w:bidi="en-US"/>
        </w:rPr>
        <w:t xml:space="preserve">. </w:t>
      </w:r>
    </w:p>
    <w:p w:rsidR="00FC7A0E" w:rsidRPr="00C705F3" w:rsidRDefault="00F97356" w:rsidP="003C73D9">
      <w:pPr>
        <w:adjustRightInd w:val="0"/>
        <w:snapToGrid w:val="0"/>
        <w:spacing w:after="0" w:line="360" w:lineRule="auto"/>
        <w:jc w:val="both"/>
        <w:rPr>
          <w:rFonts w:ascii="Palatino Linotype" w:eastAsia="Times New Roman" w:hAnsi="Palatino Linotype" w:cs="Times New Roman"/>
          <w:snapToGrid w:val="0"/>
          <w:color w:val="000000"/>
          <w:sz w:val="24"/>
          <w:szCs w:val="24"/>
          <w:lang w:val="en-US" w:eastAsia="de-DE" w:bidi="en-US"/>
        </w:rPr>
      </w:pPr>
      <w:r w:rsidRPr="003C73D9">
        <w:rPr>
          <w:rFonts w:ascii="Palatino Linotype" w:eastAsia="Times New Roman" w:hAnsi="Palatino Linotype" w:cs="Times New Roman"/>
          <w:snapToGrid w:val="0"/>
          <w:color w:val="000000"/>
          <w:sz w:val="24"/>
          <w:szCs w:val="24"/>
          <w:lang w:val="en-US" w:eastAsia="de-DE" w:bidi="en-US"/>
        </w:rPr>
        <w:t>Remote sensing approaches for mapping the spatial extent of flood events are highly viable, but the need for extensive training data over large areas through field campaigns is quite costly</w:t>
      </w:r>
      <w:r w:rsidR="00D15E7C" w:rsidRPr="00E45E35">
        <w:rPr>
          <w:rFonts w:ascii="Palatino Linotype" w:eastAsia="Times New Roman" w:hAnsi="Palatino Linotype" w:cs="Times New Roman"/>
          <w:snapToGrid w:val="0"/>
          <w:color w:val="000000"/>
          <w:sz w:val="24"/>
          <w:szCs w:val="24"/>
          <w:lang w:val="en-US" w:eastAsia="de-DE" w:bidi="en-US"/>
        </w:rPr>
        <w:t xml:space="preserve">. </w:t>
      </w:r>
      <w:r w:rsidRPr="003C73D9">
        <w:rPr>
          <w:rFonts w:ascii="Palatino Linotype" w:eastAsia="Times New Roman" w:hAnsi="Palatino Linotype" w:cs="Times New Roman"/>
          <w:snapToGrid w:val="0"/>
          <w:color w:val="000000"/>
          <w:sz w:val="24"/>
          <w:szCs w:val="24"/>
          <w:lang w:val="en-US" w:eastAsia="de-DE" w:bidi="en-US"/>
        </w:rPr>
        <w:t>At the same time, the advantages provided by the Google Earth Engine cloud computing platform present a viable option for mapping land use and land cover (LULC).</w:t>
      </w:r>
      <w:r w:rsidR="00FC7A0E" w:rsidRPr="003C73D9">
        <w:rPr>
          <w:rFonts w:ascii="Palatino Linotype" w:eastAsia="Times New Roman" w:hAnsi="Palatino Linotype" w:cs="Times New Roman"/>
          <w:snapToGrid w:val="0"/>
          <w:color w:val="000000"/>
          <w:sz w:val="24"/>
          <w:szCs w:val="24"/>
          <w:lang w:val="en-US" w:eastAsia="de-DE" w:bidi="en-US"/>
        </w:rPr>
        <w:t xml:space="preserve"> </w:t>
      </w:r>
      <w:r w:rsidR="00EA3A7B" w:rsidRPr="003C73D9">
        <w:rPr>
          <w:rFonts w:ascii="Palatino Linotype" w:eastAsia="Times New Roman" w:hAnsi="Palatino Linotype" w:cs="Times New Roman"/>
          <w:snapToGrid w:val="0"/>
          <w:color w:val="000000"/>
          <w:sz w:val="24"/>
          <w:szCs w:val="24"/>
          <w:lang w:val="en-US" w:eastAsia="de-DE" w:bidi="en-US"/>
        </w:rPr>
        <w:t>This study aims to validate one of the most widely used automatic flood detection algorithms using Sentinel-1 Synthetic Aperture Radar (SAR) data within the Google Earth Engine (GEE) platform</w:t>
      </w:r>
      <w:r w:rsidR="00C705F3">
        <w:rPr>
          <w:rFonts w:ascii="Palatino Linotype" w:eastAsia="Times New Roman" w:hAnsi="Palatino Linotype" w:cs="Times New Roman"/>
          <w:snapToGrid w:val="0"/>
          <w:color w:val="000000"/>
          <w:sz w:val="24"/>
          <w:szCs w:val="24"/>
          <w:lang w:val="en-US" w:eastAsia="de-DE" w:bidi="en-US"/>
        </w:rPr>
        <w:t>.</w:t>
      </w:r>
    </w:p>
    <w:p w:rsidR="00FC7A0E" w:rsidRPr="003C73D9" w:rsidRDefault="00FC7A0E" w:rsidP="003C73D9">
      <w:pPr>
        <w:pStyle w:val="Heading1"/>
        <w:spacing w:line="360" w:lineRule="auto"/>
        <w:jc w:val="both"/>
        <w:rPr>
          <w:rFonts w:ascii="Palatino Linotype" w:eastAsia="Times New Roman" w:hAnsi="Palatino Linotype"/>
          <w:snapToGrid w:val="0"/>
          <w:color w:val="auto"/>
          <w:sz w:val="24"/>
          <w:szCs w:val="24"/>
          <w:lang w:val="en-US" w:eastAsia="de-DE" w:bidi="en-US"/>
        </w:rPr>
      </w:pPr>
      <w:r w:rsidRPr="003C73D9">
        <w:rPr>
          <w:rFonts w:ascii="Palatino Linotype" w:eastAsia="Times New Roman" w:hAnsi="Palatino Linotype"/>
          <w:snapToGrid w:val="0"/>
          <w:color w:val="auto"/>
          <w:sz w:val="24"/>
          <w:szCs w:val="24"/>
          <w:lang w:val="en-US" w:eastAsia="de-DE" w:bidi="en-US"/>
        </w:rPr>
        <w:lastRenderedPageBreak/>
        <w:t>2. Material and method</w:t>
      </w:r>
    </w:p>
    <w:p w:rsidR="00FC7A0E" w:rsidRPr="003C73D9" w:rsidRDefault="00FC7A0E" w:rsidP="003C73D9">
      <w:pPr>
        <w:pStyle w:val="Heading2"/>
        <w:spacing w:line="360" w:lineRule="auto"/>
        <w:jc w:val="both"/>
        <w:rPr>
          <w:rFonts w:ascii="Palatino Linotype" w:eastAsia="Times New Roman" w:hAnsi="Palatino Linotype"/>
          <w:snapToGrid w:val="0"/>
          <w:color w:val="auto"/>
          <w:sz w:val="24"/>
          <w:szCs w:val="24"/>
          <w:lang w:val="en-US" w:eastAsia="de-DE" w:bidi="en-US"/>
        </w:rPr>
      </w:pPr>
      <w:r w:rsidRPr="003C73D9">
        <w:rPr>
          <w:rFonts w:ascii="Palatino Linotype" w:eastAsia="Times New Roman" w:hAnsi="Palatino Linotype"/>
          <w:snapToGrid w:val="0"/>
          <w:color w:val="auto"/>
          <w:sz w:val="24"/>
          <w:szCs w:val="24"/>
          <w:lang w:val="en-US" w:eastAsia="de-DE" w:bidi="en-US"/>
        </w:rPr>
        <w:t>2.1 Study area</w:t>
      </w:r>
    </w:p>
    <w:p w:rsidR="00F536AD" w:rsidRPr="003C73D9" w:rsidRDefault="00F536AD" w:rsidP="00305E45">
      <w:pPr>
        <w:spacing w:before="120" w:after="120" w:line="360" w:lineRule="auto"/>
        <w:jc w:val="both"/>
        <w:rPr>
          <w:rFonts w:ascii="Palatino Linotype" w:hAnsi="Palatino Linotype"/>
          <w:sz w:val="24"/>
          <w:szCs w:val="24"/>
        </w:rPr>
      </w:pPr>
      <w:r w:rsidRPr="003C73D9">
        <w:rPr>
          <w:rFonts w:ascii="Palatino Linotype" w:hAnsi="Palatino Linotype"/>
          <w:sz w:val="24"/>
          <w:szCs w:val="24"/>
        </w:rPr>
        <w:t>The study area is located in Argungu, Kebbi State, in north-western Nigeria. This region is known for the cultivation of rice, as well as other cereals and vegetable crops, with a large portion of the population engaged in rice farming during both the rainy and dry seasons. However, annual flood events significantly impact rice production, making it challenging for farmers to sustain their livelihoods. Mapping the spatial extent of these floods is a crucial step in addressing this issue.</w:t>
      </w:r>
    </w:p>
    <w:p w:rsidR="00BB3677" w:rsidRPr="003C73D9" w:rsidRDefault="00F55C08" w:rsidP="003C73D9">
      <w:pPr>
        <w:spacing w:line="360" w:lineRule="auto"/>
        <w:jc w:val="both"/>
        <w:rPr>
          <w:rFonts w:ascii="Palatino Linotype" w:hAnsi="Palatino Linotype"/>
          <w:sz w:val="24"/>
          <w:szCs w:val="24"/>
          <w:lang w:val="en-US" w:eastAsia="de-DE" w:bidi="en-US"/>
        </w:rPr>
      </w:pPr>
      <w:r w:rsidRPr="003C73D9">
        <w:rPr>
          <w:rFonts w:ascii="Palatino Linotype" w:hAnsi="Palatino Linotype"/>
          <w:noProof/>
          <w:sz w:val="24"/>
          <w:szCs w:val="24"/>
          <w:lang w:val="en-US"/>
        </w:rPr>
        <w:drawing>
          <wp:inline distT="0" distB="0" distL="0" distR="0">
            <wp:extent cx="5943600" cy="2755661"/>
            <wp:effectExtent l="0" t="0" r="0" b="6985"/>
            <wp:docPr id="9" name="Picture 9" descr="C:\Users\saada\Documents\IBR_2024\study_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ada\Documents\IBR_2024\study_area.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2755661"/>
                    </a:xfrm>
                    <a:prstGeom prst="rect">
                      <a:avLst/>
                    </a:prstGeom>
                    <a:noFill/>
                    <a:ln>
                      <a:noFill/>
                    </a:ln>
                  </pic:spPr>
                </pic:pic>
              </a:graphicData>
            </a:graphic>
          </wp:inline>
        </w:drawing>
      </w:r>
    </w:p>
    <w:p w:rsidR="00BB3677" w:rsidRPr="003C73D9" w:rsidRDefault="00BB3677" w:rsidP="003C73D9">
      <w:pPr>
        <w:spacing w:line="360" w:lineRule="auto"/>
        <w:jc w:val="both"/>
        <w:rPr>
          <w:rFonts w:ascii="Palatino Linotype" w:hAnsi="Palatino Linotype"/>
          <w:sz w:val="24"/>
          <w:szCs w:val="24"/>
          <w:lang w:val="en-US" w:eastAsia="de-DE" w:bidi="en-US"/>
        </w:rPr>
      </w:pPr>
      <w:r w:rsidRPr="003C73D9">
        <w:rPr>
          <w:rFonts w:ascii="Palatino Linotype" w:hAnsi="Palatino Linotype"/>
          <w:sz w:val="24"/>
          <w:szCs w:val="24"/>
          <w:lang w:val="en-US" w:eastAsia="de-DE" w:bidi="en-US"/>
        </w:rPr>
        <w:t xml:space="preserve">Figure 1: the study area based on a high-resolution true-color imagery </w:t>
      </w:r>
    </w:p>
    <w:p w:rsidR="008C3C55" w:rsidRPr="003C73D9" w:rsidRDefault="008C3C55" w:rsidP="003C73D9">
      <w:pPr>
        <w:pStyle w:val="Heading2"/>
        <w:spacing w:line="360" w:lineRule="auto"/>
        <w:jc w:val="both"/>
        <w:rPr>
          <w:rFonts w:ascii="Palatino Linotype" w:eastAsia="Times New Roman" w:hAnsi="Palatino Linotype"/>
          <w:snapToGrid w:val="0"/>
          <w:color w:val="auto"/>
          <w:sz w:val="24"/>
          <w:szCs w:val="24"/>
          <w:lang w:val="en-US" w:eastAsia="de-DE" w:bidi="en-US"/>
        </w:rPr>
      </w:pPr>
      <w:r w:rsidRPr="003C73D9">
        <w:rPr>
          <w:rFonts w:ascii="Palatino Linotype" w:eastAsia="Times New Roman" w:hAnsi="Palatino Linotype"/>
          <w:snapToGrid w:val="0"/>
          <w:color w:val="auto"/>
          <w:sz w:val="24"/>
          <w:szCs w:val="24"/>
          <w:lang w:val="en-US" w:eastAsia="de-DE" w:bidi="en-US"/>
        </w:rPr>
        <w:t>2.2 Sentinel-1 data</w:t>
      </w:r>
    </w:p>
    <w:p w:rsidR="004F2EB0" w:rsidRPr="003C73D9" w:rsidRDefault="003C73D9" w:rsidP="003C73D9">
      <w:pPr>
        <w:spacing w:before="240" w:after="240" w:line="360" w:lineRule="auto"/>
        <w:jc w:val="both"/>
        <w:rPr>
          <w:rFonts w:ascii="Palatino Linotype" w:hAnsi="Palatino Linotype"/>
          <w:sz w:val="24"/>
          <w:szCs w:val="24"/>
          <w:lang w:val="en-US" w:eastAsia="de-DE" w:bidi="en-US"/>
        </w:rPr>
      </w:pPr>
      <w:r w:rsidRPr="003C73D9">
        <w:rPr>
          <w:rFonts w:ascii="Palatino Linotype" w:hAnsi="Palatino Linotype"/>
          <w:sz w:val="24"/>
          <w:szCs w:val="24"/>
        </w:rPr>
        <w:t>Sentinel-1 data, which is provided by the European Space Agency's Copernicus Programme, is a dual-polarization C-band Synthetic Aperture Radar (SAR) data. In this study, publicly available Sentinel-1 data on Google Earth Engine (GEE) will be utilized. The data is available in both single polarization (VV) and dual polarization (VV and VH).</w:t>
      </w:r>
      <w:r w:rsidR="00B5693C">
        <w:rPr>
          <w:rFonts w:ascii="Palatino Linotype" w:hAnsi="Palatino Linotype"/>
          <w:sz w:val="24"/>
          <w:szCs w:val="24"/>
        </w:rPr>
        <w:t xml:space="preserve"> Figure 2 </w:t>
      </w:r>
      <w:r w:rsidR="00FC6958">
        <w:rPr>
          <w:rFonts w:ascii="Palatino Linotype" w:hAnsi="Palatino Linotype"/>
          <w:sz w:val="24"/>
          <w:szCs w:val="24"/>
        </w:rPr>
        <w:t>indicates</w:t>
      </w:r>
      <w:r w:rsidR="00B5693C">
        <w:rPr>
          <w:rFonts w:ascii="Palatino Linotype" w:hAnsi="Palatino Linotype"/>
          <w:sz w:val="24"/>
          <w:szCs w:val="24"/>
        </w:rPr>
        <w:t xml:space="preserve"> the Sentinel-1 backscatter in VV polarization.</w:t>
      </w:r>
    </w:p>
    <w:p w:rsidR="00CD0FA9" w:rsidRDefault="00F55C08" w:rsidP="003C73D9">
      <w:pPr>
        <w:spacing w:line="360" w:lineRule="auto"/>
        <w:jc w:val="both"/>
        <w:rPr>
          <w:rFonts w:ascii="Palatino Linotype" w:hAnsi="Palatino Linotype"/>
          <w:sz w:val="24"/>
          <w:szCs w:val="24"/>
          <w:lang w:val="en-US" w:eastAsia="de-DE" w:bidi="en-US"/>
        </w:rPr>
      </w:pPr>
      <w:r w:rsidRPr="003C73D9">
        <w:rPr>
          <w:rFonts w:ascii="Palatino Linotype" w:hAnsi="Palatino Linotype"/>
          <w:noProof/>
          <w:sz w:val="24"/>
          <w:szCs w:val="24"/>
          <w:lang w:val="en-US"/>
        </w:rPr>
        <w:lastRenderedPageBreak/>
        <w:drawing>
          <wp:inline distT="0" distB="0" distL="0" distR="0" wp14:anchorId="3C66D93E" wp14:editId="67A5F675">
            <wp:extent cx="6022730" cy="2772000"/>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22730" cy="2772000"/>
                    </a:xfrm>
                    <a:prstGeom prst="rect">
                      <a:avLst/>
                    </a:prstGeom>
                  </pic:spPr>
                </pic:pic>
              </a:graphicData>
            </a:graphic>
          </wp:inline>
        </w:drawing>
      </w:r>
    </w:p>
    <w:p w:rsidR="00B5693C" w:rsidRPr="003C73D9" w:rsidRDefault="00B5693C" w:rsidP="003C73D9">
      <w:pPr>
        <w:spacing w:line="360" w:lineRule="auto"/>
        <w:jc w:val="both"/>
        <w:rPr>
          <w:rFonts w:ascii="Palatino Linotype" w:hAnsi="Palatino Linotype"/>
          <w:sz w:val="24"/>
          <w:szCs w:val="24"/>
          <w:lang w:val="en-US" w:eastAsia="de-DE" w:bidi="en-US"/>
        </w:rPr>
      </w:pPr>
      <w:r>
        <w:rPr>
          <w:rFonts w:ascii="Palatino Linotype" w:hAnsi="Palatino Linotype"/>
          <w:sz w:val="24"/>
          <w:szCs w:val="24"/>
          <w:lang w:val="en-US" w:eastAsia="de-DE" w:bidi="en-US"/>
        </w:rPr>
        <w:t>Figure 2: Sentinel-1 backscatter (VV) polarization</w:t>
      </w:r>
    </w:p>
    <w:p w:rsidR="00FC7A0E" w:rsidRPr="003C73D9" w:rsidRDefault="008C3C55" w:rsidP="003C73D9">
      <w:pPr>
        <w:pStyle w:val="Heading2"/>
        <w:spacing w:line="360" w:lineRule="auto"/>
        <w:jc w:val="both"/>
        <w:rPr>
          <w:rFonts w:ascii="Palatino Linotype" w:eastAsia="Times New Roman" w:hAnsi="Palatino Linotype"/>
          <w:snapToGrid w:val="0"/>
          <w:color w:val="auto"/>
          <w:sz w:val="24"/>
          <w:szCs w:val="24"/>
          <w:lang w:val="en-US" w:eastAsia="de-DE" w:bidi="en-US"/>
        </w:rPr>
      </w:pPr>
      <w:r w:rsidRPr="003C73D9">
        <w:rPr>
          <w:rFonts w:ascii="Palatino Linotype" w:eastAsia="Times New Roman" w:hAnsi="Palatino Linotype"/>
          <w:snapToGrid w:val="0"/>
          <w:color w:val="auto"/>
          <w:sz w:val="24"/>
          <w:szCs w:val="24"/>
          <w:lang w:val="en-US" w:eastAsia="de-DE" w:bidi="en-US"/>
        </w:rPr>
        <w:t>2.3</w:t>
      </w:r>
      <w:r w:rsidR="00FC7A0E" w:rsidRPr="003C73D9">
        <w:rPr>
          <w:rFonts w:ascii="Palatino Linotype" w:eastAsia="Times New Roman" w:hAnsi="Palatino Linotype"/>
          <w:snapToGrid w:val="0"/>
          <w:color w:val="auto"/>
          <w:sz w:val="24"/>
          <w:szCs w:val="24"/>
          <w:lang w:val="en-US" w:eastAsia="de-DE" w:bidi="en-US"/>
        </w:rPr>
        <w:t xml:space="preserve"> Method</w:t>
      </w:r>
    </w:p>
    <w:p w:rsidR="00FC7A0E" w:rsidRPr="003C73D9" w:rsidRDefault="008C3C55" w:rsidP="003C73D9">
      <w:pPr>
        <w:pStyle w:val="Heading3"/>
        <w:spacing w:line="360" w:lineRule="auto"/>
        <w:jc w:val="both"/>
        <w:rPr>
          <w:rFonts w:ascii="Palatino Linotype" w:eastAsia="Times New Roman" w:hAnsi="Palatino Linotype"/>
          <w:snapToGrid w:val="0"/>
          <w:color w:val="auto"/>
          <w:lang w:val="en-US" w:eastAsia="de-DE" w:bidi="en-US"/>
        </w:rPr>
      </w:pPr>
      <w:r w:rsidRPr="003C73D9">
        <w:rPr>
          <w:rFonts w:ascii="Palatino Linotype" w:eastAsia="Times New Roman" w:hAnsi="Palatino Linotype"/>
          <w:snapToGrid w:val="0"/>
          <w:color w:val="auto"/>
          <w:lang w:val="en-US" w:eastAsia="de-DE" w:bidi="en-US"/>
        </w:rPr>
        <w:t>2.3</w:t>
      </w:r>
      <w:r w:rsidR="00FC7A0E" w:rsidRPr="003C73D9">
        <w:rPr>
          <w:rFonts w:ascii="Palatino Linotype" w:eastAsia="Times New Roman" w:hAnsi="Palatino Linotype"/>
          <w:snapToGrid w:val="0"/>
          <w:color w:val="auto"/>
          <w:lang w:val="en-US" w:eastAsia="de-DE" w:bidi="en-US"/>
        </w:rPr>
        <w:t xml:space="preserve">.1 RF classification </w:t>
      </w:r>
    </w:p>
    <w:p w:rsidR="00185E7F" w:rsidRDefault="003F40B3" w:rsidP="002A57E8">
      <w:pPr>
        <w:spacing w:line="360" w:lineRule="auto"/>
        <w:jc w:val="both"/>
        <w:rPr>
          <w:rFonts w:ascii="Palatino Linotype" w:hAnsi="Palatino Linotype"/>
          <w:sz w:val="24"/>
          <w:szCs w:val="24"/>
          <w:lang w:val="en-US" w:eastAsia="de-DE" w:bidi="en-US"/>
        </w:rPr>
      </w:pPr>
      <w:r w:rsidRPr="003F40B3">
        <w:rPr>
          <w:rFonts w:ascii="Palatino Linotype" w:hAnsi="Palatino Linotype"/>
          <w:sz w:val="24"/>
          <w:szCs w:val="24"/>
          <w:lang w:val="en-US" w:eastAsia="de-DE" w:bidi="en-US"/>
        </w:rPr>
        <w:t>For the Random Forest (RF) classification, training areas were carefully selected</w:t>
      </w:r>
      <w:r w:rsidR="00817206">
        <w:rPr>
          <w:rFonts w:ascii="Palatino Linotype" w:hAnsi="Palatino Linotype"/>
          <w:sz w:val="24"/>
          <w:szCs w:val="24"/>
          <w:lang w:val="en-US" w:eastAsia="de-DE" w:bidi="en-US"/>
        </w:rPr>
        <w:t xml:space="preserve"> based on high-resolution imagery</w:t>
      </w:r>
      <w:r w:rsidRPr="003F40B3">
        <w:rPr>
          <w:rFonts w:ascii="Palatino Linotype" w:hAnsi="Palatino Linotype"/>
          <w:sz w:val="24"/>
          <w:szCs w:val="24"/>
          <w:lang w:val="en-US" w:eastAsia="de-DE" w:bidi="en-US"/>
        </w:rPr>
        <w:t>, and 100 decision trees were chosen for the classification process. The classification was performed within the Google Earth Engine (GEE) platform, leveraging its cloud computing capabilities to efficiently analyze the large spatial datasets</w:t>
      </w:r>
      <w:r w:rsidR="00185E7F">
        <w:rPr>
          <w:rFonts w:ascii="Palatino Linotype" w:hAnsi="Palatino Linotype"/>
          <w:sz w:val="24"/>
          <w:szCs w:val="24"/>
          <w:lang w:val="en-US" w:eastAsia="de-DE" w:bidi="en-US"/>
        </w:rPr>
        <w:t xml:space="preserve"> </w:t>
      </w:r>
    </w:p>
    <w:p w:rsidR="00FC7A0E" w:rsidRPr="00185E7F" w:rsidRDefault="008C3C55" w:rsidP="00185E7F">
      <w:pPr>
        <w:pStyle w:val="Heading3"/>
        <w:rPr>
          <w:rFonts w:ascii="Palatino Linotype" w:eastAsia="Times New Roman" w:hAnsi="Palatino Linotype"/>
          <w:snapToGrid w:val="0"/>
          <w:color w:val="auto"/>
          <w:lang w:val="en-US" w:eastAsia="de-DE" w:bidi="en-US"/>
        </w:rPr>
      </w:pPr>
      <w:r w:rsidRPr="00185E7F">
        <w:rPr>
          <w:rFonts w:ascii="Palatino Linotype" w:eastAsia="Times New Roman" w:hAnsi="Palatino Linotype"/>
          <w:snapToGrid w:val="0"/>
          <w:color w:val="auto"/>
          <w:lang w:val="en-US" w:eastAsia="de-DE" w:bidi="en-US"/>
        </w:rPr>
        <w:t>2.3</w:t>
      </w:r>
      <w:r w:rsidR="00FC7A0E" w:rsidRPr="00185E7F">
        <w:rPr>
          <w:rFonts w:ascii="Palatino Linotype" w:eastAsia="Times New Roman" w:hAnsi="Palatino Linotype"/>
          <w:snapToGrid w:val="0"/>
          <w:color w:val="auto"/>
          <w:lang w:val="en-US" w:eastAsia="de-DE" w:bidi="en-US"/>
        </w:rPr>
        <w:t>.2 Automatic water detection method</w:t>
      </w:r>
      <w:r w:rsidR="00185E7F">
        <w:rPr>
          <w:rFonts w:ascii="Palatino Linotype" w:eastAsia="Times New Roman" w:hAnsi="Palatino Linotype"/>
          <w:snapToGrid w:val="0"/>
          <w:color w:val="auto"/>
          <w:lang w:val="en-US" w:eastAsia="de-DE" w:bidi="en-US"/>
        </w:rPr>
        <w:t xml:space="preserve"> using Otsu algorithm</w:t>
      </w:r>
      <w:r w:rsidR="003F40B3" w:rsidRPr="00185E7F">
        <w:rPr>
          <w:rFonts w:ascii="Palatino Linotype" w:eastAsia="Times New Roman" w:hAnsi="Palatino Linotype"/>
          <w:snapToGrid w:val="0"/>
          <w:color w:val="auto"/>
          <w:lang w:val="en-US" w:eastAsia="de-DE" w:bidi="en-US"/>
        </w:rPr>
        <w:t>.</w:t>
      </w:r>
    </w:p>
    <w:p w:rsidR="007C479A" w:rsidRPr="003C73D9" w:rsidRDefault="007C479A" w:rsidP="00185E7F">
      <w:pPr>
        <w:spacing w:before="240" w:after="240" w:line="360" w:lineRule="auto"/>
        <w:jc w:val="both"/>
        <w:rPr>
          <w:rFonts w:ascii="Palatino Linotype" w:hAnsi="Palatino Linotype"/>
          <w:sz w:val="24"/>
          <w:szCs w:val="24"/>
          <w:lang w:val="en-US" w:eastAsia="de-DE" w:bidi="en-US"/>
        </w:rPr>
      </w:pPr>
      <w:r w:rsidRPr="003C73D9">
        <w:rPr>
          <w:rFonts w:ascii="Palatino Linotype" w:hAnsi="Palatino Linotype"/>
          <w:sz w:val="24"/>
          <w:szCs w:val="24"/>
          <w:lang w:val="en-US" w:eastAsia="de-DE" w:bidi="en-US"/>
        </w:rPr>
        <w:t xml:space="preserve">The Otsu algorithm is commonly used for automatic image thresholding, which is useful for detecting water in remote sensing images. This method finds the threshold value that minimizes intra-class variance (or, equivalently, maximizes inter-class variance) between two classes. The method usually converts the image to grayscale, </w:t>
      </w:r>
      <w:r w:rsidR="00B807EC" w:rsidRPr="003C73D9">
        <w:rPr>
          <w:rFonts w:ascii="Palatino Linotype" w:hAnsi="Palatino Linotype"/>
          <w:sz w:val="24"/>
          <w:szCs w:val="24"/>
          <w:lang w:val="en-US" w:eastAsia="de-DE" w:bidi="en-US"/>
        </w:rPr>
        <w:t>calculates</w:t>
      </w:r>
      <w:r w:rsidRPr="003C73D9">
        <w:rPr>
          <w:rFonts w:ascii="Palatino Linotype" w:hAnsi="Palatino Linotype"/>
          <w:sz w:val="24"/>
          <w:szCs w:val="24"/>
          <w:lang w:val="en-US" w:eastAsia="de-DE" w:bidi="en-US"/>
        </w:rPr>
        <w:t xml:space="preserve"> the histogram of the grayscale image and estimates probabilities. Based on these scenarios, it computes the mean pixel values for the two classes</w:t>
      </w:r>
      <w:r w:rsidR="00185E7F">
        <w:rPr>
          <w:rFonts w:ascii="Palatino Linotype" w:hAnsi="Palatino Linotype"/>
          <w:sz w:val="24"/>
          <w:szCs w:val="24"/>
          <w:lang w:val="en-US" w:eastAsia="de-DE" w:bidi="en-US"/>
        </w:rPr>
        <w:t xml:space="preserve"> </w:t>
      </w:r>
      <w:r w:rsidR="00185E7F">
        <w:rPr>
          <w:rFonts w:ascii="Palatino Linotype" w:hAnsi="Palatino Linotype"/>
          <w:sz w:val="24"/>
          <w:szCs w:val="24"/>
          <w:lang w:val="en-US" w:eastAsia="de-DE" w:bidi="en-US"/>
        </w:rPr>
        <w:fldChar w:fldCharType="begin">
          <w:fldData xml:space="preserve">PEVuZE5vdGU+PENpdGU+PEF1dGhvcj5YdTwvQXV0aG9yPjxZZWFyPjIwMTE8L1llYXI+PFJlY051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</w:fldData>
        </w:fldChar>
      </w:r>
      <w:r w:rsidR="00185E7F">
        <w:rPr>
          <w:rFonts w:ascii="Palatino Linotype" w:hAnsi="Palatino Linotype"/>
          <w:sz w:val="24"/>
          <w:szCs w:val="24"/>
          <w:lang w:val="en-US" w:eastAsia="de-DE" w:bidi="en-US"/>
        </w:rPr>
        <w:instrText xml:space="preserve"> ADDIN EN.CITE </w:instrText>
      </w:r>
      <w:r w:rsidR="00185E7F">
        <w:rPr>
          <w:rFonts w:ascii="Palatino Linotype" w:hAnsi="Palatino Linotype"/>
          <w:sz w:val="24"/>
          <w:szCs w:val="24"/>
          <w:lang w:val="en-US" w:eastAsia="de-DE" w:bidi="en-US"/>
        </w:rPr>
        <w:fldChar w:fldCharType="begin">
          <w:fldData xml:space="preserve">PEVuZE5vdGU+PENpdGU+PEF1dGhvcj5YdTwvQXV0aG9yPjxZZWFyPjIwMTE8L1llYXI+PFJlY051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</w:fldData>
        </w:fldChar>
      </w:r>
      <w:r w:rsidR="00185E7F">
        <w:rPr>
          <w:rFonts w:ascii="Palatino Linotype" w:hAnsi="Palatino Linotype"/>
          <w:sz w:val="24"/>
          <w:szCs w:val="24"/>
          <w:lang w:val="en-US" w:eastAsia="de-DE" w:bidi="en-US"/>
        </w:rPr>
        <w:instrText xml:space="preserve"> ADDIN EN.CITE.DATA </w:instrText>
      </w:r>
      <w:r w:rsidR="00185E7F">
        <w:rPr>
          <w:rFonts w:ascii="Palatino Linotype" w:hAnsi="Palatino Linotype"/>
          <w:sz w:val="24"/>
          <w:szCs w:val="24"/>
          <w:lang w:val="en-US" w:eastAsia="de-DE" w:bidi="en-US"/>
        </w:rPr>
      </w:r>
      <w:r w:rsidR="00185E7F">
        <w:rPr>
          <w:rFonts w:ascii="Palatino Linotype" w:hAnsi="Palatino Linotype"/>
          <w:sz w:val="24"/>
          <w:szCs w:val="24"/>
          <w:lang w:val="en-US" w:eastAsia="de-DE" w:bidi="en-US"/>
        </w:rPr>
        <w:fldChar w:fldCharType="end"/>
      </w:r>
      <w:r w:rsidR="00185E7F">
        <w:rPr>
          <w:rFonts w:ascii="Palatino Linotype" w:hAnsi="Palatino Linotype"/>
          <w:sz w:val="24"/>
          <w:szCs w:val="24"/>
          <w:lang w:val="en-US" w:eastAsia="de-DE" w:bidi="en-US"/>
        </w:rPr>
        <w:fldChar w:fldCharType="separate"/>
      </w:r>
      <w:r w:rsidR="00185E7F">
        <w:rPr>
          <w:rFonts w:ascii="Palatino Linotype" w:hAnsi="Palatino Linotype"/>
          <w:noProof/>
          <w:sz w:val="24"/>
          <w:szCs w:val="24"/>
          <w:lang w:val="en-US" w:eastAsia="de-DE" w:bidi="en-US"/>
        </w:rPr>
        <w:t>(Cao et al., 2019; Sang et al., 2024; Xu et al., 2011)</w:t>
      </w:r>
      <w:r w:rsidR="00185E7F">
        <w:rPr>
          <w:rFonts w:ascii="Palatino Linotype" w:hAnsi="Palatino Linotype"/>
          <w:sz w:val="24"/>
          <w:szCs w:val="24"/>
          <w:lang w:val="en-US" w:eastAsia="de-DE" w:bidi="en-US"/>
        </w:rPr>
        <w:fldChar w:fldCharType="end"/>
      </w:r>
      <w:r w:rsidR="00185E7F" w:rsidRPr="003F40B3">
        <w:rPr>
          <w:rFonts w:ascii="Palatino Linotype" w:hAnsi="Palatino Linotype"/>
          <w:sz w:val="24"/>
          <w:szCs w:val="24"/>
          <w:lang w:val="en-US" w:eastAsia="de-DE" w:bidi="en-US"/>
        </w:rPr>
        <w:t>.</w:t>
      </w:r>
    </w:p>
    <w:p w:rsidR="00FC7A0E" w:rsidRPr="003C73D9" w:rsidRDefault="008C3C55" w:rsidP="003C73D9">
      <w:pPr>
        <w:pStyle w:val="Heading3"/>
        <w:spacing w:line="360" w:lineRule="auto"/>
        <w:jc w:val="both"/>
        <w:rPr>
          <w:rFonts w:ascii="Palatino Linotype" w:eastAsia="Times New Roman" w:hAnsi="Palatino Linotype"/>
          <w:snapToGrid w:val="0"/>
          <w:color w:val="auto"/>
          <w:lang w:val="en-US" w:eastAsia="de-DE" w:bidi="en-US"/>
        </w:rPr>
      </w:pPr>
      <w:r w:rsidRPr="003C73D9">
        <w:rPr>
          <w:rFonts w:ascii="Palatino Linotype" w:eastAsia="Times New Roman" w:hAnsi="Palatino Linotype"/>
          <w:snapToGrid w:val="0"/>
          <w:color w:val="auto"/>
          <w:lang w:val="en-US" w:eastAsia="de-DE" w:bidi="en-US"/>
        </w:rPr>
        <w:lastRenderedPageBreak/>
        <w:t>2.3</w:t>
      </w:r>
      <w:r w:rsidR="00FC7A0E" w:rsidRPr="003C73D9">
        <w:rPr>
          <w:rFonts w:ascii="Palatino Linotype" w:eastAsia="Times New Roman" w:hAnsi="Palatino Linotype"/>
          <w:snapToGrid w:val="0"/>
          <w:color w:val="auto"/>
          <w:lang w:val="en-US" w:eastAsia="de-DE" w:bidi="en-US"/>
        </w:rPr>
        <w:t>.3 Validation</w:t>
      </w:r>
    </w:p>
    <w:p w:rsidR="00AC7E13" w:rsidRPr="003C73D9" w:rsidRDefault="00AC7E13" w:rsidP="003C73D9">
      <w:pPr>
        <w:spacing w:line="360" w:lineRule="auto"/>
        <w:jc w:val="both"/>
        <w:rPr>
          <w:rFonts w:ascii="Palatino Linotype" w:hAnsi="Palatino Linotype"/>
          <w:sz w:val="24"/>
          <w:szCs w:val="24"/>
          <w:lang w:val="en-US" w:eastAsia="de-DE" w:bidi="en-US"/>
        </w:rPr>
      </w:pPr>
      <w:r w:rsidRPr="003C73D9">
        <w:rPr>
          <w:rFonts w:ascii="Palatino Linotype" w:hAnsi="Palatino Linotype"/>
          <w:sz w:val="24"/>
          <w:szCs w:val="24"/>
          <w:lang w:val="en-US" w:eastAsia="de-DE" w:bidi="en-US"/>
        </w:rPr>
        <w:t>To validate the Sentinel-I data, RF classification of flooded and non-flooded areas was used. 500 pixels were extracted from the Sentinel-1 RF classified image and their coincidence pixels were extracted from the Sentinel-1 Otsu automatic flood algorithm for validation. This method was tested for its reliability by computing producers, consumers, and overall accuracy.</w:t>
      </w:r>
    </w:p>
    <w:p w:rsidR="00FC7A0E" w:rsidRPr="003C73D9" w:rsidRDefault="00FC7A0E" w:rsidP="003C73D9">
      <w:pPr>
        <w:pStyle w:val="Heading1"/>
        <w:spacing w:line="360" w:lineRule="auto"/>
        <w:jc w:val="both"/>
        <w:rPr>
          <w:rFonts w:ascii="Palatino Linotype" w:eastAsia="Times New Roman" w:hAnsi="Palatino Linotype"/>
          <w:snapToGrid w:val="0"/>
          <w:color w:val="auto"/>
          <w:sz w:val="24"/>
          <w:szCs w:val="24"/>
          <w:lang w:val="en-US" w:eastAsia="de-DE" w:bidi="en-US"/>
        </w:rPr>
      </w:pPr>
      <w:r w:rsidRPr="003C73D9">
        <w:rPr>
          <w:rFonts w:ascii="Palatino Linotype" w:eastAsia="Times New Roman" w:hAnsi="Palatino Linotype"/>
          <w:snapToGrid w:val="0"/>
          <w:color w:val="auto"/>
          <w:sz w:val="24"/>
          <w:szCs w:val="24"/>
          <w:lang w:val="en-US" w:eastAsia="de-DE" w:bidi="en-US"/>
        </w:rPr>
        <w:t>3. Results</w:t>
      </w:r>
    </w:p>
    <w:p w:rsidR="00FC7A0E" w:rsidRPr="003C73D9" w:rsidRDefault="00FC7A0E" w:rsidP="003C73D9">
      <w:pPr>
        <w:pStyle w:val="Heading2"/>
        <w:spacing w:line="360" w:lineRule="auto"/>
        <w:jc w:val="both"/>
        <w:rPr>
          <w:rFonts w:ascii="Palatino Linotype" w:eastAsia="Times New Roman" w:hAnsi="Palatino Linotype"/>
          <w:snapToGrid w:val="0"/>
          <w:color w:val="auto"/>
          <w:sz w:val="24"/>
          <w:szCs w:val="24"/>
          <w:lang w:val="en-US" w:eastAsia="de-DE" w:bidi="en-US"/>
        </w:rPr>
      </w:pPr>
      <w:r w:rsidRPr="003C73D9">
        <w:rPr>
          <w:rFonts w:ascii="Palatino Linotype" w:eastAsia="Times New Roman" w:hAnsi="Palatino Linotype"/>
          <w:snapToGrid w:val="0"/>
          <w:color w:val="auto"/>
          <w:sz w:val="24"/>
          <w:szCs w:val="24"/>
          <w:lang w:val="en-US" w:eastAsia="de-DE" w:bidi="en-US"/>
        </w:rPr>
        <w:t>3.1 Sentinel-1 flood classification based on RF</w:t>
      </w:r>
    </w:p>
    <w:p w:rsidR="00F83069" w:rsidRPr="006D6DE5" w:rsidRDefault="00F83069" w:rsidP="003C73D9">
      <w:pPr>
        <w:spacing w:before="240" w:after="240" w:line="360" w:lineRule="auto"/>
        <w:jc w:val="both"/>
        <w:rPr>
          <w:rFonts w:ascii="Palatino Linotype" w:hAnsi="Palatino Linotype"/>
          <w:sz w:val="24"/>
          <w:szCs w:val="24"/>
          <w:lang w:val="en-US" w:eastAsia="de-DE" w:bidi="en-US"/>
        </w:rPr>
      </w:pPr>
      <w:r w:rsidRPr="003C73D9">
        <w:rPr>
          <w:rFonts w:ascii="Palatino Linotype" w:eastAsia="Times New Roman" w:hAnsi="Palatino Linotype" w:cs="Times New Roman"/>
          <w:sz w:val="24"/>
          <w:szCs w:val="24"/>
          <w:lang w:val="en-US"/>
        </w:rPr>
        <w:t>Figure 3 indicates results derived using the RF classification method for flood detection</w:t>
      </w:r>
      <w:r w:rsidRPr="005A4071">
        <w:rPr>
          <w:rFonts w:ascii="Palatino Linotype" w:eastAsia="Times New Roman" w:hAnsi="Palatino Linotype" w:cs="Times New Roman"/>
          <w:sz w:val="24"/>
          <w:szCs w:val="24"/>
          <w:lang w:val="en-US"/>
        </w:rPr>
        <w:t xml:space="preserve">. The findings show </w:t>
      </w:r>
      <w:r w:rsidRPr="003C73D9">
        <w:rPr>
          <w:rFonts w:ascii="Palatino Linotype" w:eastAsia="Times New Roman" w:hAnsi="Palatino Linotype" w:cs="Times New Roman"/>
          <w:sz w:val="24"/>
          <w:szCs w:val="24"/>
          <w:lang w:val="en-US"/>
        </w:rPr>
        <w:t>spatial</w:t>
      </w:r>
      <w:r w:rsidRPr="005A4071">
        <w:rPr>
          <w:rFonts w:ascii="Palatino Linotype" w:eastAsia="Times New Roman" w:hAnsi="Palatino Linotype" w:cs="Times New Roman"/>
          <w:sz w:val="24"/>
          <w:szCs w:val="24"/>
          <w:lang w:val="en-US"/>
        </w:rPr>
        <w:t xml:space="preserve"> patterns that allow flooded and non-flooded areas to be identified. Areas affected by floods are shown in cyan, denoting locations where water has accumulated or remained as a result of flooding incidents. Lower backscatter values in the SAR data, which normally indicate surfaces covered in water, may be indicative of these places. However, the places that are not inundated are indicated in green, indicating that during the observation time, these areas were either dry or unaffected by the flood</w:t>
      </w:r>
      <w:r w:rsidRPr="003C73D9">
        <w:rPr>
          <w:rFonts w:ascii="Palatino Linotype" w:eastAsia="Times New Roman" w:hAnsi="Palatino Linotype" w:cs="Times New Roman"/>
          <w:sz w:val="24"/>
          <w:szCs w:val="24"/>
          <w:lang w:val="en-US"/>
        </w:rPr>
        <w:t xml:space="preserve">. The variable importance of the RF </w:t>
      </w:r>
      <w:r w:rsidR="00A94900" w:rsidRPr="003C73D9">
        <w:rPr>
          <w:rFonts w:ascii="Palatino Linotype" w:eastAsia="Times New Roman" w:hAnsi="Palatino Linotype" w:cs="Times New Roman"/>
          <w:sz w:val="24"/>
          <w:szCs w:val="24"/>
          <w:lang w:val="en-US"/>
        </w:rPr>
        <w:t>shows</w:t>
      </w:r>
      <w:r w:rsidRPr="003C73D9">
        <w:rPr>
          <w:rFonts w:ascii="Palatino Linotype" w:eastAsia="Times New Roman" w:hAnsi="Palatino Linotype" w:cs="Times New Roman"/>
          <w:sz w:val="24"/>
          <w:szCs w:val="24"/>
          <w:lang w:val="en-US"/>
        </w:rPr>
        <w:t xml:space="preserve"> that VV polarization </w:t>
      </w:r>
      <w:r w:rsidR="00A94900" w:rsidRPr="003C73D9">
        <w:rPr>
          <w:rFonts w:ascii="Palatino Linotype" w:eastAsia="Times New Roman" w:hAnsi="Palatino Linotype" w:cs="Times New Roman"/>
          <w:sz w:val="24"/>
          <w:szCs w:val="24"/>
          <w:lang w:val="en-US"/>
        </w:rPr>
        <w:t>is more important to the model</w:t>
      </w:r>
      <w:r w:rsidR="00A960D4" w:rsidRPr="003C73D9">
        <w:rPr>
          <w:rFonts w:ascii="Palatino Linotype" w:eastAsia="Times New Roman" w:hAnsi="Palatino Linotype" w:cs="Times New Roman"/>
          <w:sz w:val="24"/>
          <w:szCs w:val="24"/>
          <w:lang w:val="en-US"/>
        </w:rPr>
        <w:t xml:space="preserve"> (Figure 3)</w:t>
      </w:r>
      <w:r w:rsidR="00A94900" w:rsidRPr="003C73D9">
        <w:rPr>
          <w:rFonts w:ascii="Palatino Linotype" w:eastAsia="Times New Roman" w:hAnsi="Palatino Linotype" w:cs="Times New Roman"/>
          <w:sz w:val="24"/>
          <w:szCs w:val="24"/>
          <w:lang w:val="en-US"/>
        </w:rPr>
        <w:t>.</w:t>
      </w:r>
    </w:p>
    <w:p w:rsidR="007C479A" w:rsidRPr="003C73D9" w:rsidRDefault="00F83069" w:rsidP="003C73D9">
      <w:pPr>
        <w:spacing w:line="360" w:lineRule="auto"/>
        <w:jc w:val="both"/>
        <w:rPr>
          <w:rFonts w:ascii="Palatino Linotype" w:hAnsi="Palatino Linotype"/>
          <w:sz w:val="24"/>
          <w:szCs w:val="24"/>
          <w:lang w:val="en-US" w:eastAsia="de-DE" w:bidi="en-US"/>
        </w:rPr>
      </w:pPr>
      <w:r w:rsidRPr="003C73D9">
        <w:rPr>
          <w:rFonts w:ascii="Palatino Linotype" w:hAnsi="Palatino Linotype"/>
          <w:noProof/>
          <w:sz w:val="24"/>
          <w:szCs w:val="24"/>
          <w:lang w:val="en-US"/>
        </w:rPr>
        <w:lastRenderedPageBreak/>
        <w:drawing>
          <wp:inline distT="0" distB="0" distL="0" distR="0" wp14:anchorId="04F25947" wp14:editId="6057A287">
            <wp:extent cx="5943600" cy="2521329"/>
            <wp:effectExtent l="0" t="0" r="0" b="0"/>
            <wp:docPr id="6" name="Picture 6" descr="C:\Users\saada\Documents\IBR_2024\Sen_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ada\Documents\IBR_2024\Sen_RF.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521329"/>
                    </a:xfrm>
                    <a:prstGeom prst="rect">
                      <a:avLst/>
                    </a:prstGeom>
                    <a:noFill/>
                    <a:ln>
                      <a:noFill/>
                    </a:ln>
                  </pic:spPr>
                </pic:pic>
              </a:graphicData>
            </a:graphic>
          </wp:inline>
        </w:drawing>
      </w:r>
      <w:r w:rsidRPr="003C73D9">
        <w:rPr>
          <w:rFonts w:ascii="Palatino Linotype" w:hAnsi="Palatino Linotype"/>
          <w:sz w:val="24"/>
          <w:szCs w:val="24"/>
          <w:lang w:val="en-US" w:eastAsia="de-DE" w:bidi="en-US"/>
        </w:rPr>
        <w:t xml:space="preserve"> </w:t>
      </w:r>
      <w:r w:rsidRPr="003C73D9">
        <w:rPr>
          <w:rFonts w:ascii="Palatino Linotype" w:hAnsi="Palatino Linotype"/>
          <w:noProof/>
          <w:sz w:val="24"/>
          <w:szCs w:val="24"/>
          <w:lang w:val="en-US"/>
        </w:rPr>
        <w:drawing>
          <wp:inline distT="0" distB="0" distL="0" distR="0" wp14:anchorId="1D02F58E" wp14:editId="1592FA44">
            <wp:extent cx="1331029" cy="576000"/>
            <wp:effectExtent l="0" t="0" r="2540" b="0"/>
            <wp:docPr id="7" name="Picture 7" descr="C:\Users\saada\Documents\IBR_2024\FLOODE_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ada\Documents\IBR_2024\FLOODE_LEGEN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1029" cy="576000"/>
                    </a:xfrm>
                    <a:prstGeom prst="rect">
                      <a:avLst/>
                    </a:prstGeom>
                    <a:noFill/>
                    <a:ln>
                      <a:noFill/>
                    </a:ln>
                  </pic:spPr>
                </pic:pic>
              </a:graphicData>
            </a:graphic>
          </wp:inline>
        </w:drawing>
      </w:r>
    </w:p>
    <w:p w:rsidR="008C3C55" w:rsidRPr="003C73D9" w:rsidRDefault="00F83069" w:rsidP="00E211BF">
      <w:pPr>
        <w:spacing w:line="276" w:lineRule="auto"/>
        <w:jc w:val="both"/>
        <w:rPr>
          <w:rFonts w:ascii="Palatino Linotype" w:hAnsi="Palatino Linotype" w:cstheme="minorHAnsi"/>
          <w:sz w:val="24"/>
          <w:szCs w:val="24"/>
          <w:lang w:val="en-US" w:eastAsia="de-DE" w:bidi="en-US"/>
        </w:rPr>
      </w:pPr>
      <w:r w:rsidRPr="003C73D9">
        <w:rPr>
          <w:rFonts w:ascii="Palatino Linotype" w:hAnsi="Palatino Linotype"/>
          <w:sz w:val="24"/>
          <w:szCs w:val="24"/>
          <w:lang w:val="en-US" w:eastAsia="de-DE" w:bidi="en-US"/>
        </w:rPr>
        <w:t>Figure 3: Sentinel-1 RF classification showing flooded and non-flooded sites and the variable importance based on feature selection</w:t>
      </w:r>
    </w:p>
    <w:p w:rsidR="00FC7A0E" w:rsidRDefault="00FC7A0E" w:rsidP="003C73D9">
      <w:pPr>
        <w:pStyle w:val="Heading2"/>
        <w:spacing w:line="360" w:lineRule="auto"/>
        <w:jc w:val="both"/>
        <w:rPr>
          <w:rFonts w:ascii="Palatino Linotype" w:eastAsia="Times New Roman" w:hAnsi="Palatino Linotype"/>
          <w:snapToGrid w:val="0"/>
          <w:color w:val="auto"/>
          <w:sz w:val="24"/>
          <w:szCs w:val="24"/>
          <w:lang w:val="en-US" w:eastAsia="de-DE" w:bidi="en-US"/>
        </w:rPr>
      </w:pPr>
      <w:r w:rsidRPr="003C73D9">
        <w:rPr>
          <w:rFonts w:ascii="Palatino Linotype" w:eastAsia="Times New Roman" w:hAnsi="Palatino Linotype"/>
          <w:snapToGrid w:val="0"/>
          <w:color w:val="auto"/>
          <w:sz w:val="24"/>
          <w:szCs w:val="24"/>
          <w:lang w:val="en-US" w:eastAsia="de-DE" w:bidi="en-US"/>
        </w:rPr>
        <w:t xml:space="preserve">3.2 </w:t>
      </w:r>
      <w:r w:rsidR="008C3C55" w:rsidRPr="003C73D9">
        <w:rPr>
          <w:rFonts w:ascii="Palatino Linotype" w:eastAsia="Times New Roman" w:hAnsi="Palatino Linotype"/>
          <w:snapToGrid w:val="0"/>
          <w:color w:val="auto"/>
          <w:sz w:val="24"/>
          <w:szCs w:val="24"/>
          <w:lang w:val="en-US" w:eastAsia="de-DE" w:bidi="en-US"/>
        </w:rPr>
        <w:t>Sentinel-1 flood classification based on Otsu</w:t>
      </w:r>
    </w:p>
    <w:p w:rsidR="00863D46" w:rsidRPr="00863D46" w:rsidRDefault="00863D46" w:rsidP="00863D46">
      <w:pPr>
        <w:spacing w:line="360" w:lineRule="auto"/>
        <w:jc w:val="both"/>
        <w:rPr>
          <w:rFonts w:ascii="Palatino Linotype" w:hAnsi="Palatino Linotype"/>
          <w:sz w:val="24"/>
          <w:szCs w:val="24"/>
          <w:lang w:val="en-US" w:eastAsia="de-DE" w:bidi="en-US"/>
        </w:rPr>
      </w:pPr>
      <w:r>
        <w:rPr>
          <w:rFonts w:ascii="Palatino Linotype" w:hAnsi="Palatino Linotype"/>
          <w:sz w:val="24"/>
          <w:szCs w:val="24"/>
          <w:lang w:val="en-US" w:eastAsia="de-DE" w:bidi="en-US"/>
        </w:rPr>
        <w:t xml:space="preserve">Similarly, Figure 4 which was </w:t>
      </w:r>
      <w:r w:rsidRPr="00863D46">
        <w:rPr>
          <w:rFonts w:ascii="Palatino Linotype" w:hAnsi="Palatino Linotype"/>
          <w:sz w:val="24"/>
          <w:szCs w:val="24"/>
          <w:lang w:val="en-US" w:eastAsia="de-DE" w:bidi="en-US"/>
        </w:rPr>
        <w:t xml:space="preserve">derived using </w:t>
      </w:r>
      <w:r>
        <w:rPr>
          <w:rFonts w:ascii="Palatino Linotype" w:hAnsi="Palatino Linotype"/>
          <w:sz w:val="24"/>
          <w:szCs w:val="24"/>
          <w:lang w:val="en-US" w:eastAsia="de-DE" w:bidi="en-US"/>
        </w:rPr>
        <w:t>Otsu’s algorithm shows</w:t>
      </w:r>
      <w:r w:rsidRPr="00863D46">
        <w:rPr>
          <w:rFonts w:ascii="Palatino Linotype" w:hAnsi="Palatino Linotype"/>
          <w:sz w:val="24"/>
          <w:szCs w:val="24"/>
          <w:lang w:val="en-US" w:eastAsia="de-DE" w:bidi="en-US"/>
        </w:rPr>
        <w:t xml:space="preserve"> spatial patterns that allow flooded and non-flooded areas to be identified. Areas affected by floods are shown in cyan, denoting locations where water has accumulated or remained as a result of flooding incidents. Lower backscatter values in the SAR data, which normally indicate surfaces covered in water, may be indicative of these places. However, the places that are not inundated are indicated in green, indicating that during the observation time, these areas were either dry or unaffected by the flood. </w:t>
      </w:r>
    </w:p>
    <w:p w:rsidR="007C479A" w:rsidRDefault="007C479A" w:rsidP="003C73D9">
      <w:pPr>
        <w:spacing w:line="360" w:lineRule="auto"/>
        <w:jc w:val="both"/>
        <w:rPr>
          <w:rFonts w:ascii="Palatino Linotype" w:hAnsi="Palatino Linotype"/>
          <w:sz w:val="24"/>
          <w:szCs w:val="24"/>
          <w:lang w:val="en-US" w:eastAsia="de-DE" w:bidi="en-US"/>
        </w:rPr>
      </w:pPr>
      <w:r w:rsidRPr="003C73D9">
        <w:rPr>
          <w:rFonts w:ascii="Palatino Linotype" w:hAnsi="Palatino Linotype"/>
          <w:noProof/>
          <w:sz w:val="24"/>
          <w:szCs w:val="24"/>
          <w:lang w:val="en-US"/>
        </w:rPr>
        <w:lastRenderedPageBreak/>
        <w:drawing>
          <wp:inline distT="0" distB="0" distL="0" distR="0" wp14:anchorId="0186D6E6" wp14:editId="0DA0C8E8">
            <wp:extent cx="5943600" cy="2468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468880"/>
                    </a:xfrm>
                    <a:prstGeom prst="rect">
                      <a:avLst/>
                    </a:prstGeom>
                  </pic:spPr>
                </pic:pic>
              </a:graphicData>
            </a:graphic>
          </wp:inline>
        </w:drawing>
      </w:r>
    </w:p>
    <w:p w:rsidR="006D6DE5" w:rsidRPr="003C73D9" w:rsidRDefault="006D6DE5" w:rsidP="003C73D9">
      <w:pPr>
        <w:spacing w:line="360" w:lineRule="auto"/>
        <w:jc w:val="both"/>
        <w:rPr>
          <w:rFonts w:ascii="Palatino Linotype" w:hAnsi="Palatino Linotype"/>
          <w:sz w:val="24"/>
          <w:szCs w:val="24"/>
          <w:lang w:val="en-US" w:eastAsia="de-DE" w:bidi="en-US"/>
        </w:rPr>
      </w:pPr>
      <w:r w:rsidRPr="003C73D9">
        <w:rPr>
          <w:rFonts w:ascii="Palatino Linotype" w:hAnsi="Palatino Linotype"/>
          <w:noProof/>
          <w:sz w:val="24"/>
          <w:szCs w:val="24"/>
          <w:lang w:val="en-US"/>
        </w:rPr>
        <w:drawing>
          <wp:inline distT="0" distB="0" distL="0" distR="0" wp14:anchorId="275C88E8" wp14:editId="23FCED19">
            <wp:extent cx="1331029" cy="576000"/>
            <wp:effectExtent l="0" t="0" r="2540" b="0"/>
            <wp:docPr id="11" name="Picture 11" descr="C:\Users\saada\Documents\IBR_2024\FLOODE_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ada\Documents\IBR_2024\FLOODE_LEGEN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1029" cy="576000"/>
                    </a:xfrm>
                    <a:prstGeom prst="rect">
                      <a:avLst/>
                    </a:prstGeom>
                    <a:noFill/>
                    <a:ln>
                      <a:noFill/>
                    </a:ln>
                  </pic:spPr>
                </pic:pic>
              </a:graphicData>
            </a:graphic>
          </wp:inline>
        </w:drawing>
      </w:r>
    </w:p>
    <w:p w:rsidR="007C479A" w:rsidRPr="003C73D9" w:rsidRDefault="007C479A" w:rsidP="00E211BF">
      <w:pPr>
        <w:spacing w:line="240" w:lineRule="auto"/>
        <w:jc w:val="both"/>
        <w:rPr>
          <w:rFonts w:ascii="Palatino Linotype" w:hAnsi="Palatino Linotype" w:cstheme="minorHAnsi"/>
          <w:sz w:val="24"/>
          <w:szCs w:val="24"/>
          <w:lang w:val="en-US" w:eastAsia="de-DE" w:bidi="en-US"/>
        </w:rPr>
      </w:pPr>
      <w:r w:rsidRPr="003C73D9">
        <w:rPr>
          <w:rFonts w:ascii="Palatino Linotype" w:hAnsi="Palatino Linotype"/>
          <w:sz w:val="24"/>
          <w:szCs w:val="24"/>
          <w:lang w:val="en-US" w:eastAsia="de-DE" w:bidi="en-US"/>
        </w:rPr>
        <w:t xml:space="preserve">Figure 4: Sentinel-1 automatic water </w:t>
      </w:r>
      <w:r w:rsidR="00360B1D" w:rsidRPr="003C73D9">
        <w:rPr>
          <w:rFonts w:ascii="Palatino Linotype" w:hAnsi="Palatino Linotype"/>
          <w:sz w:val="24"/>
          <w:szCs w:val="24"/>
          <w:lang w:val="en-US" w:eastAsia="de-DE" w:bidi="en-US"/>
        </w:rPr>
        <w:t>detection-based</w:t>
      </w:r>
      <w:r w:rsidRPr="003C73D9">
        <w:rPr>
          <w:rFonts w:ascii="Palatino Linotype" w:hAnsi="Palatino Linotype"/>
          <w:sz w:val="24"/>
          <w:szCs w:val="24"/>
          <w:lang w:val="en-US" w:eastAsia="de-DE" w:bidi="en-US"/>
        </w:rPr>
        <w:t xml:space="preserve"> Otsu algorithm showing flooded and non-flooded sites </w:t>
      </w:r>
    </w:p>
    <w:p w:rsidR="0019720A" w:rsidRPr="003C73D9" w:rsidRDefault="008C3C55" w:rsidP="003C73D9">
      <w:pPr>
        <w:pStyle w:val="Heading2"/>
        <w:spacing w:line="360" w:lineRule="auto"/>
        <w:jc w:val="both"/>
        <w:rPr>
          <w:rFonts w:ascii="Palatino Linotype" w:eastAsia="Times New Roman" w:hAnsi="Palatino Linotype"/>
          <w:snapToGrid w:val="0"/>
          <w:color w:val="auto"/>
          <w:sz w:val="24"/>
          <w:szCs w:val="24"/>
          <w:lang w:val="en-US" w:eastAsia="de-DE" w:bidi="en-US"/>
        </w:rPr>
      </w:pPr>
      <w:r w:rsidRPr="003C73D9">
        <w:rPr>
          <w:rFonts w:ascii="Palatino Linotype" w:eastAsia="Times New Roman" w:hAnsi="Palatino Linotype"/>
          <w:snapToGrid w:val="0"/>
          <w:color w:val="auto"/>
          <w:sz w:val="24"/>
          <w:szCs w:val="24"/>
          <w:lang w:val="en-US" w:eastAsia="de-DE" w:bidi="en-US"/>
        </w:rPr>
        <w:t xml:space="preserve">3.3 </w:t>
      </w:r>
      <w:r w:rsidR="00360B1D" w:rsidRPr="003C73D9">
        <w:rPr>
          <w:rFonts w:ascii="Palatino Linotype" w:eastAsia="Times New Roman" w:hAnsi="Palatino Linotype"/>
          <w:snapToGrid w:val="0"/>
          <w:color w:val="auto"/>
          <w:sz w:val="24"/>
          <w:szCs w:val="24"/>
          <w:lang w:val="en-US" w:eastAsia="de-DE" w:bidi="en-US"/>
        </w:rPr>
        <w:t>Accuracy assessment</w:t>
      </w:r>
    </w:p>
    <w:p w:rsidR="0019720A" w:rsidRPr="003C73D9" w:rsidRDefault="0019720A" w:rsidP="003C73D9">
      <w:pPr>
        <w:spacing w:before="240" w:after="240" w:line="360" w:lineRule="auto"/>
        <w:jc w:val="both"/>
        <w:rPr>
          <w:rFonts w:ascii="Palatino Linotype" w:hAnsi="Palatino Linotype"/>
          <w:sz w:val="24"/>
          <w:szCs w:val="24"/>
          <w:lang w:val="en-US" w:eastAsia="de-DE" w:bidi="en-US"/>
        </w:rPr>
      </w:pPr>
      <w:r w:rsidRPr="003C73D9">
        <w:rPr>
          <w:rFonts w:ascii="Palatino Linotype" w:hAnsi="Palatino Linotype"/>
          <w:sz w:val="24"/>
          <w:szCs w:val="24"/>
          <w:lang w:val="en-US" w:eastAsia="de-DE" w:bidi="en-US"/>
        </w:rPr>
        <w:t>Table 1 presents the accuracy assessments and validation results for the Sentinel-1-based RF classification, alongside the validation of Otsu’s water detection algorithm. The RF classification showed excellent performance, with both the user’s and producer’s accuracy for the flooded and non-flooded classes reaching 99%, and an overall accuracy of 99%. In comparison, the validation of Otsu’s water detection algorithm, based on the RF results, was slightly lower. The user’s and producer’s accuracy for Otsu’s method were 74% and 78%, respectively, with an overall accuracy of 76%.</w:t>
      </w:r>
    </w:p>
    <w:p w:rsidR="00360B1D" w:rsidRPr="003C73D9" w:rsidRDefault="00360B1D" w:rsidP="003C73D9">
      <w:pPr>
        <w:spacing w:line="360" w:lineRule="auto"/>
        <w:jc w:val="both"/>
        <w:rPr>
          <w:rFonts w:ascii="Palatino Linotype" w:hAnsi="Palatino Linotype"/>
          <w:sz w:val="24"/>
          <w:szCs w:val="24"/>
          <w:lang w:val="en-US" w:eastAsia="de-DE" w:bidi="en-US"/>
        </w:rPr>
      </w:pPr>
      <w:r w:rsidRPr="003C73D9">
        <w:rPr>
          <w:rFonts w:ascii="Palatino Linotype" w:hAnsi="Palatino Linotype"/>
          <w:sz w:val="24"/>
          <w:szCs w:val="24"/>
        </w:rPr>
        <w:t>Table 1: Accuracy assessment/validation of flooded/non-flooded classifications</w:t>
      </w:r>
    </w:p>
    <w:tbl>
      <w:tblPr>
        <w:tblStyle w:val="ListTable6Colorful"/>
        <w:tblW w:w="0" w:type="auto"/>
        <w:tblLook w:val="04A0" w:firstRow="1" w:lastRow="0" w:firstColumn="1" w:lastColumn="0" w:noHBand="0" w:noVBand="1"/>
      </w:tblPr>
      <w:tblGrid>
        <w:gridCol w:w="3116"/>
        <w:gridCol w:w="3117"/>
        <w:gridCol w:w="3117"/>
      </w:tblGrid>
      <w:tr w:rsidR="00360B1D" w:rsidRPr="003C73D9" w:rsidTr="00360B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auto"/>
          </w:tcPr>
          <w:p w:rsidR="00360B1D" w:rsidRPr="003C73D9" w:rsidRDefault="00360B1D" w:rsidP="003C73D9">
            <w:pPr>
              <w:spacing w:line="360" w:lineRule="auto"/>
              <w:jc w:val="both"/>
              <w:rPr>
                <w:rFonts w:ascii="Palatino Linotype" w:hAnsi="Palatino Linotype"/>
                <w:b w:val="0"/>
                <w:sz w:val="24"/>
                <w:szCs w:val="24"/>
                <w:lang w:val="en-US" w:eastAsia="de-DE" w:bidi="en-US"/>
              </w:rPr>
            </w:pPr>
            <w:r w:rsidRPr="003C73D9">
              <w:rPr>
                <w:rFonts w:ascii="Palatino Linotype" w:hAnsi="Palatino Linotype"/>
                <w:b w:val="0"/>
                <w:sz w:val="24"/>
                <w:szCs w:val="24"/>
                <w:lang w:val="en-US" w:eastAsia="de-DE" w:bidi="en-US"/>
              </w:rPr>
              <w:t>Accuracy metric</w:t>
            </w:r>
          </w:p>
        </w:tc>
        <w:tc>
          <w:tcPr>
            <w:tcW w:w="3117" w:type="dxa"/>
            <w:shd w:val="clear" w:color="auto" w:fill="auto"/>
          </w:tcPr>
          <w:p w:rsidR="00360B1D" w:rsidRPr="003C73D9" w:rsidRDefault="00360B1D" w:rsidP="003C73D9">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b w:val="0"/>
                <w:sz w:val="24"/>
                <w:szCs w:val="24"/>
                <w:lang w:val="en-US" w:eastAsia="de-DE" w:bidi="en-US"/>
              </w:rPr>
            </w:pPr>
            <w:r w:rsidRPr="003C73D9">
              <w:rPr>
                <w:rFonts w:ascii="Palatino Linotype" w:hAnsi="Palatino Linotype"/>
                <w:b w:val="0"/>
                <w:sz w:val="24"/>
                <w:szCs w:val="24"/>
                <w:lang w:val="en-US" w:eastAsia="de-DE" w:bidi="en-US"/>
              </w:rPr>
              <w:t>RF Sentinel-1</w:t>
            </w:r>
          </w:p>
        </w:tc>
        <w:tc>
          <w:tcPr>
            <w:tcW w:w="3117" w:type="dxa"/>
            <w:shd w:val="clear" w:color="auto" w:fill="auto"/>
          </w:tcPr>
          <w:p w:rsidR="00360B1D" w:rsidRPr="003C73D9" w:rsidRDefault="00360B1D" w:rsidP="003C73D9">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b w:val="0"/>
                <w:sz w:val="24"/>
                <w:szCs w:val="24"/>
                <w:lang w:val="en-US" w:eastAsia="de-DE" w:bidi="en-US"/>
              </w:rPr>
            </w:pPr>
            <w:r w:rsidRPr="003C73D9">
              <w:rPr>
                <w:rFonts w:ascii="Palatino Linotype" w:hAnsi="Palatino Linotype"/>
                <w:b w:val="0"/>
                <w:sz w:val="24"/>
                <w:szCs w:val="24"/>
                <w:lang w:val="en-US" w:eastAsia="de-DE" w:bidi="en-US"/>
              </w:rPr>
              <w:t>Otsu’s Sentinel-1</w:t>
            </w:r>
          </w:p>
        </w:tc>
      </w:tr>
      <w:tr w:rsidR="00360B1D" w:rsidRPr="003C73D9" w:rsidTr="00360B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auto"/>
          </w:tcPr>
          <w:p w:rsidR="00360B1D" w:rsidRPr="003C73D9" w:rsidRDefault="00360B1D" w:rsidP="003C73D9">
            <w:pPr>
              <w:spacing w:line="360" w:lineRule="auto"/>
              <w:jc w:val="both"/>
              <w:rPr>
                <w:rFonts w:ascii="Palatino Linotype" w:hAnsi="Palatino Linotype"/>
                <w:b w:val="0"/>
                <w:sz w:val="24"/>
                <w:szCs w:val="24"/>
                <w:lang w:val="en-US" w:eastAsia="de-DE" w:bidi="en-US"/>
              </w:rPr>
            </w:pPr>
            <w:r w:rsidRPr="003C73D9">
              <w:rPr>
                <w:rFonts w:ascii="Palatino Linotype" w:hAnsi="Palatino Linotype"/>
                <w:b w:val="0"/>
                <w:sz w:val="24"/>
                <w:szCs w:val="24"/>
                <w:lang w:val="en-US" w:eastAsia="de-DE" w:bidi="en-US"/>
              </w:rPr>
              <w:t>Users</w:t>
            </w:r>
          </w:p>
        </w:tc>
        <w:tc>
          <w:tcPr>
            <w:tcW w:w="3117" w:type="dxa"/>
            <w:shd w:val="clear" w:color="auto" w:fill="auto"/>
          </w:tcPr>
          <w:p w:rsidR="00360B1D" w:rsidRPr="003C73D9" w:rsidRDefault="00360B1D" w:rsidP="003C73D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lang w:val="en-US" w:eastAsia="de-DE" w:bidi="en-US"/>
              </w:rPr>
            </w:pPr>
            <w:r w:rsidRPr="003C73D9">
              <w:rPr>
                <w:rFonts w:ascii="Palatino Linotype" w:hAnsi="Palatino Linotype"/>
                <w:sz w:val="24"/>
                <w:szCs w:val="24"/>
                <w:lang w:val="en-US" w:eastAsia="de-DE" w:bidi="en-US"/>
              </w:rPr>
              <w:t>0.99</w:t>
            </w:r>
          </w:p>
        </w:tc>
        <w:tc>
          <w:tcPr>
            <w:tcW w:w="3117" w:type="dxa"/>
            <w:shd w:val="clear" w:color="auto" w:fill="auto"/>
          </w:tcPr>
          <w:p w:rsidR="00360B1D" w:rsidRPr="003C73D9" w:rsidRDefault="00360B1D" w:rsidP="003C73D9">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4"/>
                <w:szCs w:val="24"/>
                <w:lang w:eastAsia="en-GB"/>
              </w:rPr>
            </w:pPr>
            <w:r w:rsidRPr="003C73D9">
              <w:rPr>
                <w:rFonts w:ascii="Palatino Linotype" w:hAnsi="Palatino Linotype"/>
                <w:color w:val="auto"/>
                <w:sz w:val="24"/>
                <w:szCs w:val="24"/>
                <w:lang w:eastAsia="en-GB"/>
              </w:rPr>
              <w:t>0.74</w:t>
            </w:r>
          </w:p>
        </w:tc>
      </w:tr>
      <w:tr w:rsidR="00360B1D" w:rsidRPr="003C73D9" w:rsidTr="00360B1D">
        <w:tc>
          <w:tcPr>
            <w:cnfStyle w:val="001000000000" w:firstRow="0" w:lastRow="0" w:firstColumn="1" w:lastColumn="0" w:oddVBand="0" w:evenVBand="0" w:oddHBand="0" w:evenHBand="0" w:firstRowFirstColumn="0" w:firstRowLastColumn="0" w:lastRowFirstColumn="0" w:lastRowLastColumn="0"/>
            <w:tcW w:w="3116" w:type="dxa"/>
            <w:shd w:val="clear" w:color="auto" w:fill="auto"/>
          </w:tcPr>
          <w:p w:rsidR="00360B1D" w:rsidRPr="003C73D9" w:rsidRDefault="00360B1D" w:rsidP="003C73D9">
            <w:pPr>
              <w:spacing w:line="360" w:lineRule="auto"/>
              <w:jc w:val="both"/>
              <w:rPr>
                <w:rFonts w:ascii="Palatino Linotype" w:hAnsi="Palatino Linotype"/>
                <w:b w:val="0"/>
                <w:sz w:val="24"/>
                <w:szCs w:val="24"/>
                <w:lang w:val="en-US" w:eastAsia="de-DE" w:bidi="en-US"/>
              </w:rPr>
            </w:pPr>
            <w:r w:rsidRPr="003C73D9">
              <w:rPr>
                <w:rFonts w:ascii="Palatino Linotype" w:hAnsi="Palatino Linotype"/>
                <w:b w:val="0"/>
                <w:sz w:val="24"/>
                <w:szCs w:val="24"/>
                <w:lang w:val="en-US" w:eastAsia="de-DE" w:bidi="en-US"/>
              </w:rPr>
              <w:t>Producers</w:t>
            </w:r>
          </w:p>
        </w:tc>
        <w:tc>
          <w:tcPr>
            <w:tcW w:w="3117" w:type="dxa"/>
            <w:shd w:val="clear" w:color="auto" w:fill="auto"/>
          </w:tcPr>
          <w:p w:rsidR="00360B1D" w:rsidRPr="003C73D9" w:rsidRDefault="00360B1D" w:rsidP="003C73D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lang w:val="en-US" w:eastAsia="de-DE" w:bidi="en-US"/>
              </w:rPr>
            </w:pPr>
            <w:r w:rsidRPr="003C73D9">
              <w:rPr>
                <w:rFonts w:ascii="Palatino Linotype" w:hAnsi="Palatino Linotype"/>
                <w:sz w:val="24"/>
                <w:szCs w:val="24"/>
                <w:lang w:val="en-US" w:eastAsia="de-DE" w:bidi="en-US"/>
              </w:rPr>
              <w:t>0.99</w:t>
            </w:r>
          </w:p>
        </w:tc>
        <w:tc>
          <w:tcPr>
            <w:tcW w:w="3117" w:type="dxa"/>
            <w:shd w:val="clear" w:color="auto" w:fill="auto"/>
          </w:tcPr>
          <w:p w:rsidR="00360B1D" w:rsidRPr="003C73D9" w:rsidRDefault="00360B1D" w:rsidP="003C73D9">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4"/>
                <w:szCs w:val="24"/>
                <w:lang w:eastAsia="en-GB"/>
              </w:rPr>
            </w:pPr>
            <w:r w:rsidRPr="003C73D9">
              <w:rPr>
                <w:rFonts w:ascii="Palatino Linotype" w:hAnsi="Palatino Linotype"/>
                <w:color w:val="auto"/>
                <w:sz w:val="24"/>
                <w:szCs w:val="24"/>
                <w:lang w:eastAsia="en-GB"/>
              </w:rPr>
              <w:t>0.78</w:t>
            </w:r>
          </w:p>
        </w:tc>
      </w:tr>
      <w:tr w:rsidR="00360B1D" w:rsidRPr="003C73D9" w:rsidTr="00360B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auto"/>
          </w:tcPr>
          <w:p w:rsidR="00360B1D" w:rsidRPr="003C73D9" w:rsidRDefault="00360B1D" w:rsidP="003C73D9">
            <w:pPr>
              <w:spacing w:line="360" w:lineRule="auto"/>
              <w:jc w:val="both"/>
              <w:rPr>
                <w:rFonts w:ascii="Palatino Linotype" w:hAnsi="Palatino Linotype"/>
                <w:b w:val="0"/>
                <w:sz w:val="24"/>
                <w:szCs w:val="24"/>
                <w:lang w:val="en-US" w:eastAsia="de-DE" w:bidi="en-US"/>
              </w:rPr>
            </w:pPr>
            <w:r w:rsidRPr="003C73D9">
              <w:rPr>
                <w:rFonts w:ascii="Palatino Linotype" w:hAnsi="Palatino Linotype"/>
                <w:b w:val="0"/>
                <w:sz w:val="24"/>
                <w:szCs w:val="24"/>
                <w:lang w:val="en-US" w:eastAsia="de-DE" w:bidi="en-US"/>
              </w:rPr>
              <w:lastRenderedPageBreak/>
              <w:t>Overall</w:t>
            </w:r>
          </w:p>
        </w:tc>
        <w:tc>
          <w:tcPr>
            <w:tcW w:w="3117" w:type="dxa"/>
            <w:shd w:val="clear" w:color="auto" w:fill="auto"/>
          </w:tcPr>
          <w:p w:rsidR="00360B1D" w:rsidRPr="003C73D9" w:rsidRDefault="00360B1D" w:rsidP="003C73D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lang w:val="en-US" w:eastAsia="de-DE" w:bidi="en-US"/>
              </w:rPr>
            </w:pPr>
            <w:r w:rsidRPr="003C73D9">
              <w:rPr>
                <w:rFonts w:ascii="Palatino Linotype" w:hAnsi="Palatino Linotype"/>
                <w:sz w:val="24"/>
                <w:szCs w:val="24"/>
                <w:lang w:val="en-US" w:eastAsia="de-DE" w:bidi="en-US"/>
              </w:rPr>
              <w:t>0.99</w:t>
            </w:r>
          </w:p>
        </w:tc>
        <w:tc>
          <w:tcPr>
            <w:tcW w:w="3117" w:type="dxa"/>
            <w:shd w:val="clear" w:color="auto" w:fill="auto"/>
          </w:tcPr>
          <w:p w:rsidR="00360B1D" w:rsidRPr="003C73D9" w:rsidRDefault="00360B1D" w:rsidP="003C73D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lang w:val="en-US" w:eastAsia="de-DE" w:bidi="en-US"/>
              </w:rPr>
            </w:pPr>
            <w:r w:rsidRPr="003C73D9">
              <w:rPr>
                <w:rFonts w:ascii="Palatino Linotype" w:hAnsi="Palatino Linotype"/>
                <w:sz w:val="24"/>
                <w:szCs w:val="24"/>
                <w:lang w:val="en-US" w:eastAsia="de-DE" w:bidi="en-US"/>
              </w:rPr>
              <w:t>0.76</w:t>
            </w:r>
          </w:p>
        </w:tc>
      </w:tr>
    </w:tbl>
    <w:p w:rsidR="008C3C55" w:rsidRDefault="008C3C55" w:rsidP="003C73D9">
      <w:pPr>
        <w:pStyle w:val="Heading1"/>
        <w:spacing w:line="360" w:lineRule="auto"/>
        <w:jc w:val="both"/>
        <w:rPr>
          <w:rFonts w:ascii="Palatino Linotype" w:eastAsia="Times New Roman" w:hAnsi="Palatino Linotype"/>
          <w:snapToGrid w:val="0"/>
          <w:color w:val="auto"/>
          <w:sz w:val="24"/>
          <w:szCs w:val="24"/>
          <w:lang w:val="en-US" w:eastAsia="de-DE" w:bidi="en-US"/>
        </w:rPr>
      </w:pPr>
      <w:r w:rsidRPr="003C73D9">
        <w:rPr>
          <w:rFonts w:ascii="Palatino Linotype" w:eastAsia="Times New Roman" w:hAnsi="Palatino Linotype"/>
          <w:snapToGrid w:val="0"/>
          <w:color w:val="auto"/>
          <w:sz w:val="24"/>
          <w:szCs w:val="24"/>
          <w:lang w:val="en-US" w:eastAsia="de-DE" w:bidi="en-US"/>
        </w:rPr>
        <w:t>4 Discussion</w:t>
      </w:r>
    </w:p>
    <w:p w:rsidR="003F40B3" w:rsidRPr="00573FFF" w:rsidRDefault="003F40B3" w:rsidP="003F40B3">
      <w:pPr>
        <w:spacing w:line="360" w:lineRule="auto"/>
        <w:jc w:val="both"/>
        <w:rPr>
          <w:rFonts w:ascii="Palatino Linotype" w:hAnsi="Palatino Linotype"/>
          <w:i/>
          <w:sz w:val="24"/>
          <w:szCs w:val="24"/>
        </w:rPr>
      </w:pPr>
      <w:r w:rsidRPr="00573FFF">
        <w:rPr>
          <w:rFonts w:ascii="Palatino Linotype" w:hAnsi="Palatino Linotype"/>
          <w:sz w:val="24"/>
          <w:szCs w:val="24"/>
        </w:rPr>
        <w:t>The results of this study demonstrate the effectiveness of using Sentinel-1 data and the RF method for flood detection within the GEE platform. The RF-based classification of flooded and non-flooded areas demonstrated high accuracy, with both user and producer accuracy reaching 99% and overall accuracy of 99%</w:t>
      </w:r>
      <w:r w:rsidR="00D73D07">
        <w:rPr>
          <w:rFonts w:ascii="Palatino Linotype" w:hAnsi="Palatino Linotype"/>
          <w:sz w:val="24"/>
          <w:szCs w:val="24"/>
        </w:rPr>
        <w:t xml:space="preserve"> (Table 1)</w:t>
      </w:r>
      <w:r w:rsidRPr="00573FFF">
        <w:rPr>
          <w:rFonts w:ascii="Palatino Linotype" w:hAnsi="Palatino Linotype"/>
          <w:sz w:val="24"/>
          <w:szCs w:val="24"/>
        </w:rPr>
        <w:t>. These results underline the robustness of the RF method in distinguishing flooded and non-flooded areas and make it a highly reliable tool for flood detection</w:t>
      </w:r>
      <w:r w:rsidR="008A1307">
        <w:rPr>
          <w:rFonts w:ascii="Palatino Linotype" w:hAnsi="Palatino Linotype"/>
          <w:sz w:val="24"/>
          <w:szCs w:val="24"/>
        </w:rPr>
        <w:t xml:space="preserve"> (Table 1 and Figure 3)</w:t>
      </w:r>
      <w:r w:rsidRPr="00573FFF">
        <w:rPr>
          <w:rFonts w:ascii="Palatino Linotype" w:hAnsi="Palatino Linotype"/>
          <w:sz w:val="24"/>
          <w:szCs w:val="24"/>
        </w:rPr>
        <w:t xml:space="preserve">. In a recent study, by </w:t>
      </w:r>
      <w:r w:rsidRPr="00573FFF">
        <w:rPr>
          <w:rFonts w:ascii="Palatino Linotype" w:hAnsi="Palatino Linotype"/>
          <w:sz w:val="24"/>
          <w:szCs w:val="24"/>
        </w:rPr>
        <w:fldChar w:fldCharType="begin"/>
      </w:r>
      <w:r w:rsidRPr="00573FFF">
        <w:rPr>
          <w:rFonts w:ascii="Palatino Linotype" w:hAnsi="Palatino Linotype"/>
          <w:sz w:val="24"/>
          <w:szCs w:val="24"/>
        </w:rPr>
        <w:instrText xml:space="preserve"> ADDIN EN.CITE &lt;EndNote&gt;&lt;Cite AuthorYear="1"&gt;&lt;Author&gt;Shilengwe&lt;/Author&gt;&lt;Year&gt;2023&lt;/Year&gt;&lt;RecNum&gt;2&lt;/RecNum&gt;&lt;DisplayText&gt;Shilengwe et al. (2023)&lt;/DisplayText&gt;&lt;record&gt;&lt;rec-number&gt;2&lt;/rec-number&gt;&lt;foreign-keys&gt;&lt;key app="EN" db-id="dve99rvelpt552efdv15wfru2vd2z2v9dzra" timestamp="1725653286"&gt;2&lt;/key&gt;&lt;/foreign-keys&gt;&lt;ref-type name="Journal Article"&gt;17&lt;/ref-type&gt;&lt;contributors&gt;&lt;authors&gt;&lt;author&gt;Shilengwe, Christopher&lt;/author&gt;&lt;author&gt;Nyimbili, Penjani Hopkins&lt;/author&gt;&lt;author&gt;Msendo, Robert&lt;/author&gt;&lt;author&gt;Banda, Faustin&lt;/author&gt;&lt;author&gt;Mukupa, Wallace&lt;/author&gt;&lt;author&gt;Erden, Turan&lt;/author&gt;&lt;/authors&gt;&lt;/contributors&gt;&lt;titles&gt;&lt;title&gt;Synthetic Aperture Radar and Optical Sensor Techniques Using Google Earth Engine For Flood Monitoring and Damage Assessment–A Case Study of Mumbwa District, Zambia&lt;/title&gt;&lt;secondary-title&gt;Zambia ICT Journal&lt;/secondary-title&gt;&lt;/titles&gt;&lt;periodical&gt;&lt;full-title&gt;Zambia ICT Journal&lt;/full-title&gt;&lt;/periodical&gt;&lt;pages&gt;7-15&lt;/pages&gt;&lt;volume&gt;7&lt;/volume&gt;&lt;number&gt;1&lt;/number&gt;&lt;dates&gt;&lt;year&gt;2023&lt;/year&gt;&lt;/dates&gt;&lt;isbn&gt;2616-2156&lt;/isbn&gt;&lt;urls&gt;&lt;/urls&gt;&lt;/record&gt;&lt;/Cite&gt;&lt;/EndNote&gt;</w:instrText>
      </w:r>
      <w:r w:rsidRPr="00573FFF">
        <w:rPr>
          <w:rFonts w:ascii="Palatino Linotype" w:hAnsi="Palatino Linotype"/>
          <w:sz w:val="24"/>
          <w:szCs w:val="24"/>
        </w:rPr>
        <w:fldChar w:fldCharType="separate"/>
      </w:r>
      <w:r w:rsidRPr="00573FFF">
        <w:rPr>
          <w:rFonts w:ascii="Palatino Linotype" w:hAnsi="Palatino Linotype"/>
          <w:noProof/>
          <w:sz w:val="24"/>
          <w:szCs w:val="24"/>
        </w:rPr>
        <w:t>Shilengwe et al. (2023)</w:t>
      </w:r>
      <w:r w:rsidRPr="00573FFF">
        <w:rPr>
          <w:rFonts w:ascii="Palatino Linotype" w:hAnsi="Palatino Linotype"/>
          <w:sz w:val="24"/>
          <w:szCs w:val="24"/>
        </w:rPr>
        <w:fldChar w:fldCharType="end"/>
      </w:r>
      <w:r w:rsidRPr="00573FFF">
        <w:rPr>
          <w:rFonts w:ascii="Palatino Linotype" w:hAnsi="Palatino Linotype"/>
          <w:sz w:val="24"/>
          <w:szCs w:val="24"/>
        </w:rPr>
        <w:t xml:space="preserve"> who assessed flood damage using radar and optical sensors in GEE indicated that their flood extent delineation based on RF achieved </w:t>
      </w:r>
      <w:r w:rsidR="00FC6958">
        <w:rPr>
          <w:rFonts w:ascii="Palatino Linotype" w:hAnsi="Palatino Linotype"/>
          <w:sz w:val="24"/>
          <w:szCs w:val="24"/>
        </w:rPr>
        <w:t xml:space="preserve">an </w:t>
      </w:r>
      <w:r>
        <w:rPr>
          <w:rStyle w:val="Emphasis"/>
          <w:rFonts w:ascii="Palatino Linotype" w:hAnsi="Palatino Linotype" w:cs="Helvetica"/>
          <w:i w:val="0"/>
          <w:color w:val="555555"/>
          <w:sz w:val="24"/>
          <w:szCs w:val="24"/>
          <w:shd w:val="clear" w:color="auto" w:fill="FFFFFF"/>
        </w:rPr>
        <w:t xml:space="preserve">overall accuracy </w:t>
      </w:r>
      <w:r w:rsidR="00CD39EA">
        <w:rPr>
          <w:rStyle w:val="Emphasis"/>
          <w:rFonts w:ascii="Palatino Linotype" w:hAnsi="Palatino Linotype" w:cs="Helvetica"/>
          <w:i w:val="0"/>
          <w:color w:val="555555"/>
          <w:sz w:val="24"/>
          <w:szCs w:val="24"/>
          <w:shd w:val="clear" w:color="auto" w:fill="FFFFFF"/>
        </w:rPr>
        <w:t xml:space="preserve">of </w:t>
      </w:r>
      <w:r>
        <w:rPr>
          <w:rStyle w:val="Emphasis"/>
          <w:rFonts w:ascii="Palatino Linotype" w:hAnsi="Palatino Linotype" w:cs="Helvetica"/>
          <w:i w:val="0"/>
          <w:color w:val="555555"/>
          <w:sz w:val="24"/>
          <w:szCs w:val="24"/>
          <w:shd w:val="clear" w:color="auto" w:fill="FFFFFF"/>
        </w:rPr>
        <w:t>95%</w:t>
      </w:r>
    </w:p>
    <w:p w:rsidR="003F40B3" w:rsidRDefault="003F40B3" w:rsidP="003F40B3">
      <w:pPr>
        <w:spacing w:line="360" w:lineRule="auto"/>
        <w:jc w:val="both"/>
        <w:rPr>
          <w:rFonts w:ascii="Palatino Linotype" w:hAnsi="Palatino Linotype"/>
          <w:sz w:val="24"/>
          <w:szCs w:val="24"/>
        </w:rPr>
      </w:pPr>
      <w:r w:rsidRPr="00BE5AD9">
        <w:rPr>
          <w:rFonts w:ascii="Palatino Linotype" w:hAnsi="Palatino Linotype"/>
          <w:sz w:val="24"/>
          <w:szCs w:val="24"/>
        </w:rPr>
        <w:t>The Otsu-based floodplain classification algorithm provided lower accuracy in co</w:t>
      </w:r>
      <w:r w:rsidR="00A12FB9">
        <w:rPr>
          <w:rFonts w:ascii="Palatino Linotype" w:hAnsi="Palatino Linotype"/>
          <w:sz w:val="24"/>
          <w:szCs w:val="24"/>
        </w:rPr>
        <w:t>mparison. The user and produc</w:t>
      </w:r>
      <w:r w:rsidRPr="00BE5AD9">
        <w:rPr>
          <w:rFonts w:ascii="Palatino Linotype" w:hAnsi="Palatino Linotype"/>
          <w:sz w:val="24"/>
          <w:szCs w:val="24"/>
        </w:rPr>
        <w:t>er accuracy for the Otsu method was 74% and 78% respectively, with an overall accuracy of 76%</w:t>
      </w:r>
      <w:r w:rsidR="00FC6958">
        <w:rPr>
          <w:rFonts w:ascii="Palatino Linotype" w:hAnsi="Palatino Linotype"/>
          <w:sz w:val="24"/>
          <w:szCs w:val="24"/>
        </w:rPr>
        <w:t xml:space="preserve"> (Table 1)</w:t>
      </w:r>
      <w:r w:rsidRPr="00BE5AD9">
        <w:rPr>
          <w:rFonts w:ascii="Palatino Linotype" w:hAnsi="Palatino Linotype"/>
          <w:sz w:val="24"/>
          <w:szCs w:val="24"/>
        </w:rPr>
        <w:t>. Although the Otsu method can still be useful, its relatively lower performance compared to the RF approach suggests that it is suitable for large-scale or complex flood detection tasks</w:t>
      </w:r>
      <w:r w:rsidR="005D482E">
        <w:rPr>
          <w:rFonts w:ascii="Palatino Linotype" w:hAnsi="Palatino Linotype"/>
          <w:sz w:val="24"/>
          <w:szCs w:val="24"/>
        </w:rPr>
        <w:t xml:space="preserve"> (Figure 4 and Table 1)</w:t>
      </w:r>
      <w:r w:rsidRPr="00BE5AD9">
        <w:rPr>
          <w:rFonts w:ascii="Palatino Linotype" w:hAnsi="Palatino Linotype"/>
          <w:sz w:val="24"/>
          <w:szCs w:val="24"/>
        </w:rPr>
        <w:t xml:space="preserve">. Our results corroborate the findings of </w:t>
      </w:r>
      <w:r w:rsidRPr="00BE5AD9">
        <w:rPr>
          <w:rFonts w:ascii="Palatino Linotype" w:hAnsi="Palatino Linotype"/>
          <w:sz w:val="24"/>
          <w:szCs w:val="24"/>
        </w:rPr>
        <w:fldChar w:fldCharType="begin"/>
      </w:r>
      <w:r w:rsidRPr="00BE5AD9">
        <w:rPr>
          <w:rFonts w:ascii="Palatino Linotype" w:hAnsi="Palatino Linotype"/>
          <w:sz w:val="24"/>
          <w:szCs w:val="24"/>
        </w:rPr>
        <w:instrText xml:space="preserve"> ADDIN EN.CITE &lt;EndNote&gt;&lt;Cite AuthorYear="1"&gt;&lt;Author&gt;Vanama&lt;/Author&gt;&lt;Year&gt;2020&lt;/Year&gt;&lt;RecNum&gt;31&lt;/RecNum&gt;&lt;DisplayText&gt;Vanama et al. (2020)&lt;/DisplayText&gt;&lt;record&gt;&lt;rec-number&gt;31&lt;/rec-number&gt;&lt;foreign-keys&gt;&lt;key app="EN" db-id="ztxxpts0aa2009esdwupt05es22r0ee2922r" timestamp="1708433544"&gt;31&lt;/key&gt;&lt;/foreign-keys&gt;&lt;ref-type name="Journal Article"&gt;17&lt;/ref-type&gt;&lt;contributors&gt;&lt;authors&gt;&lt;author&gt;Vanama, Venkata Sai Krishna&lt;/author&gt;&lt;author&gt;Mandal, Dipankar&lt;/author&gt;&lt;author&gt;Rao, Yalamanchili&lt;/author&gt;&lt;/authors&gt;&lt;/contributors&gt;&lt;titles&gt;&lt;title&gt;GEE4FLOOD: rapid mapping of flood areas using temporal Sentinel-1 SAR images with Google Earth Engine cloud platform&lt;/title&gt;&lt;secondary-title&gt;Journal of Applied Remote Sensing&lt;/secondary-title&gt;&lt;/titles&gt;&lt;periodical&gt;&lt;full-title&gt;Journal of Applied Remote Sensing&lt;/full-title&gt;&lt;/periodical&gt;&lt;pages&gt;034505&lt;/pages&gt;&lt;volume&gt;14&lt;/volume&gt;&lt;number&gt;3&lt;/number&gt;&lt;dates&gt;&lt;year&gt;2020&lt;/year&gt;&lt;/dates&gt;&lt;urls&gt;&lt;related-urls&gt;&lt;url&gt;https://doi.org/10.1117/1.JRS.14.034505&lt;/url&gt;&lt;/related-urls&gt;&lt;/urls&gt;&lt;/record&gt;&lt;/Cite&gt;&lt;/EndNote&gt;</w:instrText>
      </w:r>
      <w:r w:rsidRPr="00BE5AD9">
        <w:rPr>
          <w:rFonts w:ascii="Palatino Linotype" w:hAnsi="Palatino Linotype"/>
          <w:sz w:val="24"/>
          <w:szCs w:val="24"/>
        </w:rPr>
        <w:fldChar w:fldCharType="separate"/>
      </w:r>
      <w:r w:rsidRPr="00BE5AD9">
        <w:rPr>
          <w:rFonts w:ascii="Palatino Linotype" w:hAnsi="Palatino Linotype"/>
          <w:noProof/>
          <w:sz w:val="24"/>
          <w:szCs w:val="24"/>
        </w:rPr>
        <w:t>Vanama et al. (2020)</w:t>
      </w:r>
      <w:r w:rsidRPr="00BE5AD9">
        <w:rPr>
          <w:rFonts w:ascii="Palatino Linotype" w:hAnsi="Palatino Linotype"/>
          <w:sz w:val="24"/>
          <w:szCs w:val="24"/>
        </w:rPr>
        <w:fldChar w:fldCharType="end"/>
      </w:r>
      <w:r w:rsidRPr="00BE5AD9">
        <w:rPr>
          <w:rFonts w:ascii="Palatino Linotype" w:hAnsi="Palatino Linotype"/>
          <w:sz w:val="24"/>
          <w:szCs w:val="24"/>
        </w:rPr>
        <w:t xml:space="preserve"> who mapped large flood areas using the GEE4FLOOD framework in India. Their results indicate promising accuracy with 82% overall accuracy and 78.5% accuracy for flood class alone compared to the ground truth data.</w:t>
      </w:r>
      <w:r>
        <w:rPr>
          <w:rFonts w:ascii="Palatino Linotype" w:hAnsi="Palatino Linotype"/>
          <w:sz w:val="24"/>
          <w:szCs w:val="24"/>
        </w:rPr>
        <w:t xml:space="preserve"> However, it is recommended that further studies should compare different automatic detection algorithms (e.g., K-means </w:t>
      </w:r>
      <w:r w:rsidRPr="004F2A98">
        <w:rPr>
          <w:rFonts w:ascii="Palatino Linotype" w:hAnsi="Palatino Linotype"/>
          <w:sz w:val="24"/>
          <w:szCs w:val="24"/>
        </w:rPr>
        <w:t>and the unsupervised Gaussian Mixture Model</w:t>
      </w:r>
      <w:r>
        <w:rPr>
          <w:rFonts w:ascii="Palatino Linotype" w:hAnsi="Palatino Linotype"/>
          <w:sz w:val="24"/>
          <w:szCs w:val="24"/>
        </w:rPr>
        <w:t>) to assess their applicability.</w:t>
      </w:r>
    </w:p>
    <w:p w:rsidR="003F40B3" w:rsidRPr="003F40B3" w:rsidRDefault="003F40B3" w:rsidP="003F40B3">
      <w:pPr>
        <w:spacing w:after="0" w:line="360" w:lineRule="auto"/>
        <w:jc w:val="both"/>
        <w:rPr>
          <w:rFonts w:ascii="Palatino Linotype" w:eastAsia="Times New Roman" w:hAnsi="Palatino Linotype" w:cs="Times New Roman"/>
          <w:sz w:val="24"/>
          <w:szCs w:val="24"/>
          <w:lang w:val="en-US"/>
        </w:rPr>
      </w:pPr>
      <w:r w:rsidRPr="00BE5AD9">
        <w:rPr>
          <w:rFonts w:ascii="Palatino Linotype" w:eastAsia="Times New Roman" w:hAnsi="Palatino Linotype" w:cs="Times New Roman"/>
          <w:sz w:val="24"/>
          <w:szCs w:val="24"/>
          <w:lang w:val="en-US"/>
        </w:rPr>
        <w:t xml:space="preserve">It is evident from the spatial patterns </w:t>
      </w:r>
      <w:r w:rsidRPr="004F2A98">
        <w:rPr>
          <w:rFonts w:ascii="Palatino Linotype" w:eastAsia="Times New Roman" w:hAnsi="Palatino Linotype" w:cs="Times New Roman"/>
          <w:sz w:val="24"/>
          <w:szCs w:val="24"/>
          <w:lang w:val="en-US"/>
        </w:rPr>
        <w:t xml:space="preserve">of flooded and non-flooded </w:t>
      </w:r>
      <w:r w:rsidRPr="00BE5AD9">
        <w:rPr>
          <w:rFonts w:ascii="Palatino Linotype" w:eastAsia="Times New Roman" w:hAnsi="Palatino Linotype" w:cs="Times New Roman"/>
          <w:sz w:val="24"/>
          <w:szCs w:val="24"/>
          <w:lang w:val="en-US"/>
        </w:rPr>
        <w:t xml:space="preserve">areas are distinct from one another. The flood extent is reflected in these </w:t>
      </w:r>
      <w:r w:rsidRPr="004F2A98">
        <w:rPr>
          <w:rFonts w:ascii="Palatino Linotype" w:eastAsia="Times New Roman" w:hAnsi="Palatino Linotype" w:cs="Times New Roman"/>
          <w:sz w:val="24"/>
          <w:szCs w:val="24"/>
          <w:lang w:val="en-US"/>
        </w:rPr>
        <w:t>spatial</w:t>
      </w:r>
      <w:r w:rsidRPr="00BE5AD9">
        <w:rPr>
          <w:rFonts w:ascii="Palatino Linotype" w:eastAsia="Times New Roman" w:hAnsi="Palatino Linotype" w:cs="Times New Roman"/>
          <w:sz w:val="24"/>
          <w:szCs w:val="24"/>
          <w:lang w:val="en-US"/>
        </w:rPr>
        <w:t xml:space="preserve"> patterns, </w:t>
      </w:r>
      <w:r w:rsidRPr="004F2A98">
        <w:rPr>
          <w:rFonts w:ascii="Palatino Linotype" w:eastAsia="Times New Roman" w:hAnsi="Palatino Linotype" w:cs="Times New Roman"/>
          <w:sz w:val="24"/>
          <w:szCs w:val="24"/>
          <w:lang w:val="en-US"/>
        </w:rPr>
        <w:t>emphasizing</w:t>
      </w:r>
      <w:r w:rsidRPr="00BE5AD9">
        <w:rPr>
          <w:rFonts w:ascii="Palatino Linotype" w:eastAsia="Times New Roman" w:hAnsi="Palatino Linotype" w:cs="Times New Roman"/>
          <w:sz w:val="24"/>
          <w:szCs w:val="24"/>
          <w:lang w:val="en-US"/>
        </w:rPr>
        <w:t xml:space="preserve"> the significance of </w:t>
      </w:r>
      <w:r w:rsidRPr="004F2A98">
        <w:rPr>
          <w:rFonts w:ascii="Palatino Linotype" w:eastAsia="Times New Roman" w:hAnsi="Palatino Linotype" w:cs="Times New Roman"/>
          <w:sz w:val="24"/>
          <w:szCs w:val="24"/>
          <w:lang w:val="en-US"/>
        </w:rPr>
        <w:t>using</w:t>
      </w:r>
      <w:r w:rsidRPr="00BE5AD9">
        <w:rPr>
          <w:rFonts w:ascii="Palatino Linotype" w:eastAsia="Times New Roman" w:hAnsi="Palatino Linotype" w:cs="Times New Roman"/>
          <w:sz w:val="24"/>
          <w:szCs w:val="24"/>
          <w:lang w:val="en-US"/>
        </w:rPr>
        <w:t xml:space="preserve"> algorithms such as RF for precise flood mapping. </w:t>
      </w:r>
    </w:p>
    <w:p w:rsidR="008C3C55" w:rsidRDefault="008C3C55" w:rsidP="003C73D9">
      <w:pPr>
        <w:pStyle w:val="Heading1"/>
        <w:spacing w:line="360" w:lineRule="auto"/>
        <w:jc w:val="both"/>
        <w:rPr>
          <w:rFonts w:ascii="Palatino Linotype" w:eastAsia="Times New Roman" w:hAnsi="Palatino Linotype"/>
          <w:snapToGrid w:val="0"/>
          <w:color w:val="auto"/>
          <w:sz w:val="24"/>
          <w:szCs w:val="24"/>
          <w:lang w:val="en-US" w:eastAsia="de-DE" w:bidi="en-US"/>
        </w:rPr>
      </w:pPr>
      <w:r w:rsidRPr="003C73D9">
        <w:rPr>
          <w:rFonts w:ascii="Palatino Linotype" w:eastAsia="Times New Roman" w:hAnsi="Palatino Linotype"/>
          <w:snapToGrid w:val="0"/>
          <w:color w:val="auto"/>
          <w:sz w:val="24"/>
          <w:szCs w:val="24"/>
          <w:lang w:val="en-US" w:eastAsia="de-DE" w:bidi="en-US"/>
        </w:rPr>
        <w:lastRenderedPageBreak/>
        <w:t>5. Conclusion</w:t>
      </w:r>
    </w:p>
    <w:p w:rsidR="0006727E" w:rsidRDefault="0006727E" w:rsidP="0006727E">
      <w:pPr>
        <w:spacing w:after="0" w:line="360" w:lineRule="auto"/>
        <w:jc w:val="both"/>
        <w:rPr>
          <w:rFonts w:ascii="Palatino Linotype" w:eastAsia="Times New Roman" w:hAnsi="Palatino Linotype" w:cs="Times New Roman"/>
          <w:sz w:val="24"/>
          <w:szCs w:val="24"/>
          <w:lang w:val="en-US"/>
        </w:rPr>
      </w:pPr>
      <w:r w:rsidRPr="003C73D9">
        <w:rPr>
          <w:rFonts w:ascii="Palatino Linotype" w:eastAsia="Times New Roman" w:hAnsi="Palatino Linotype" w:cs="Times New Roman"/>
          <w:snapToGrid w:val="0"/>
          <w:color w:val="000000"/>
          <w:sz w:val="24"/>
          <w:szCs w:val="24"/>
          <w:lang w:val="en-US" w:eastAsia="de-DE" w:bidi="en-US"/>
        </w:rPr>
        <w:t xml:space="preserve">This study </w:t>
      </w:r>
      <w:r>
        <w:rPr>
          <w:rFonts w:ascii="Palatino Linotype" w:eastAsia="Times New Roman" w:hAnsi="Palatino Linotype" w:cs="Times New Roman"/>
          <w:snapToGrid w:val="0"/>
          <w:color w:val="000000"/>
          <w:sz w:val="24"/>
          <w:szCs w:val="24"/>
          <w:lang w:val="en-US" w:eastAsia="de-DE" w:bidi="en-US"/>
        </w:rPr>
        <w:t xml:space="preserve">employed the RF method to delineate flood extent as a basis for the validation of </w:t>
      </w:r>
      <w:r w:rsidRPr="003C73D9">
        <w:rPr>
          <w:rFonts w:ascii="Palatino Linotype" w:eastAsia="Times New Roman" w:hAnsi="Palatino Linotype" w:cs="Times New Roman"/>
          <w:snapToGrid w:val="0"/>
          <w:color w:val="000000"/>
          <w:sz w:val="24"/>
          <w:szCs w:val="24"/>
          <w:lang w:val="en-US" w:eastAsia="de-DE" w:bidi="en-US"/>
        </w:rPr>
        <w:t>automatic flood detection algorithms</w:t>
      </w:r>
      <w:r w:rsidRPr="003C73D9">
        <w:rPr>
          <w:rFonts w:ascii="Palatino Linotype" w:eastAsia="Times New Roman" w:hAnsi="Palatino Linotype" w:cs="Times New Roman"/>
          <w:snapToGrid w:val="0"/>
          <w:color w:val="000000"/>
          <w:sz w:val="24"/>
          <w:szCs w:val="24"/>
          <w:lang w:val="en-US" w:eastAsia="de-DE" w:bidi="en-US"/>
        </w:rPr>
        <w:t xml:space="preserve"> </w:t>
      </w:r>
      <w:r w:rsidRPr="003C73D9">
        <w:rPr>
          <w:rFonts w:ascii="Palatino Linotype" w:eastAsia="Times New Roman" w:hAnsi="Palatino Linotype" w:cs="Times New Roman"/>
          <w:snapToGrid w:val="0"/>
          <w:color w:val="000000"/>
          <w:sz w:val="24"/>
          <w:szCs w:val="24"/>
          <w:lang w:val="en-US" w:eastAsia="de-DE" w:bidi="en-US"/>
        </w:rPr>
        <w:t>using Senti</w:t>
      </w:r>
      <w:r>
        <w:rPr>
          <w:rFonts w:ascii="Palatino Linotype" w:eastAsia="Times New Roman" w:hAnsi="Palatino Linotype" w:cs="Times New Roman"/>
          <w:snapToGrid w:val="0"/>
          <w:color w:val="000000"/>
          <w:sz w:val="24"/>
          <w:szCs w:val="24"/>
          <w:lang w:val="en-US" w:eastAsia="de-DE" w:bidi="en-US"/>
        </w:rPr>
        <w:t xml:space="preserve">nel-1 data within the GEE </w:t>
      </w:r>
      <w:r w:rsidRPr="003C73D9">
        <w:rPr>
          <w:rFonts w:ascii="Palatino Linotype" w:eastAsia="Times New Roman" w:hAnsi="Palatino Linotype" w:cs="Times New Roman"/>
          <w:snapToGrid w:val="0"/>
          <w:color w:val="000000"/>
          <w:sz w:val="24"/>
          <w:szCs w:val="24"/>
          <w:lang w:val="en-US" w:eastAsia="de-DE" w:bidi="en-US"/>
        </w:rPr>
        <w:t>platform</w:t>
      </w:r>
      <w:r>
        <w:rPr>
          <w:rFonts w:ascii="Palatino Linotype" w:eastAsia="Times New Roman" w:hAnsi="Palatino Linotype" w:cs="Times New Roman"/>
          <w:snapToGrid w:val="0"/>
          <w:color w:val="000000"/>
          <w:sz w:val="24"/>
          <w:szCs w:val="24"/>
          <w:lang w:val="en-US" w:eastAsia="de-DE" w:bidi="en-US"/>
        </w:rPr>
        <w:t>.</w:t>
      </w:r>
      <w:r>
        <w:rPr>
          <w:rFonts w:ascii="Palatino Linotype" w:eastAsia="Times New Roman" w:hAnsi="Palatino Linotype" w:cs="Times New Roman"/>
          <w:snapToGrid w:val="0"/>
          <w:color w:val="000000"/>
          <w:sz w:val="24"/>
          <w:szCs w:val="24"/>
          <w:lang w:val="en-US" w:eastAsia="de-DE" w:bidi="en-US"/>
        </w:rPr>
        <w:t xml:space="preserve"> RF's </w:t>
      </w:r>
      <w:r>
        <w:rPr>
          <w:rFonts w:ascii="Palatino Linotype" w:hAnsi="Palatino Linotype"/>
          <w:sz w:val="24"/>
          <w:szCs w:val="24"/>
        </w:rPr>
        <w:t>overall accuracy was</w:t>
      </w:r>
      <w:r w:rsidRPr="00573FFF">
        <w:rPr>
          <w:rFonts w:ascii="Palatino Linotype" w:hAnsi="Palatino Linotype"/>
          <w:sz w:val="24"/>
          <w:szCs w:val="24"/>
        </w:rPr>
        <w:t xml:space="preserve"> 99%</w:t>
      </w:r>
      <w:r>
        <w:rPr>
          <w:rFonts w:ascii="Palatino Linotype" w:hAnsi="Palatino Linotype"/>
          <w:sz w:val="24"/>
          <w:szCs w:val="24"/>
        </w:rPr>
        <w:t xml:space="preserve"> while Otsu's </w:t>
      </w:r>
      <w:r w:rsidRPr="003C73D9">
        <w:rPr>
          <w:rFonts w:ascii="Palatino Linotype" w:eastAsia="Times New Roman" w:hAnsi="Palatino Linotype" w:cs="Times New Roman"/>
          <w:snapToGrid w:val="0"/>
          <w:color w:val="000000"/>
          <w:sz w:val="24"/>
          <w:szCs w:val="24"/>
          <w:lang w:val="en-US" w:eastAsia="de-DE" w:bidi="en-US"/>
        </w:rPr>
        <w:t>automatic flood detection algorithms</w:t>
      </w:r>
      <w:r>
        <w:rPr>
          <w:rFonts w:ascii="Palatino Linotype" w:eastAsia="Times New Roman" w:hAnsi="Palatino Linotype" w:cs="Times New Roman"/>
          <w:snapToGrid w:val="0"/>
          <w:color w:val="000000"/>
          <w:sz w:val="24"/>
          <w:szCs w:val="24"/>
          <w:lang w:val="en-US" w:eastAsia="de-DE" w:bidi="en-US"/>
        </w:rPr>
        <w:t xml:space="preserve"> were 76%. </w:t>
      </w:r>
      <w:r w:rsidRPr="00BE5AD9">
        <w:rPr>
          <w:rFonts w:ascii="Palatino Linotype" w:eastAsia="Times New Roman" w:hAnsi="Palatino Linotype" w:cs="Times New Roman"/>
          <w:sz w:val="24"/>
          <w:szCs w:val="24"/>
          <w:lang w:val="en-US"/>
        </w:rPr>
        <w:t>The validation results highlight how combining machine learning techniques with SAR data might improve flood monitoring and aid in disaster</w:t>
      </w:r>
      <w:r w:rsidRPr="004F2A98">
        <w:rPr>
          <w:rFonts w:ascii="Palatino Linotype" w:eastAsia="Times New Roman" w:hAnsi="Palatino Linotype" w:cs="Times New Roman"/>
          <w:sz w:val="24"/>
          <w:szCs w:val="24"/>
          <w:lang w:val="en-US"/>
        </w:rPr>
        <w:t xml:space="preserve"> management efforts</w:t>
      </w:r>
      <w:r w:rsidRPr="00BE5AD9">
        <w:rPr>
          <w:rFonts w:ascii="Palatino Linotype" w:eastAsia="Times New Roman" w:hAnsi="Palatino Linotype" w:cs="Times New Roman"/>
          <w:sz w:val="24"/>
          <w:szCs w:val="24"/>
          <w:lang w:val="en-US"/>
        </w:rPr>
        <w:t>.</w:t>
      </w:r>
    </w:p>
    <w:p w:rsidR="004D2E83" w:rsidRDefault="004D2E83" w:rsidP="004D2E83">
      <w:pPr>
        <w:pStyle w:val="Heading1"/>
        <w:rPr>
          <w:rFonts w:ascii="Palatino Linotype" w:eastAsia="Times New Roman" w:hAnsi="Palatino Linotype"/>
          <w:color w:val="auto"/>
          <w:sz w:val="24"/>
          <w:szCs w:val="24"/>
          <w:lang w:val="en-US"/>
        </w:rPr>
      </w:pPr>
      <w:r w:rsidRPr="004D2E83">
        <w:rPr>
          <w:rFonts w:ascii="Palatino Linotype" w:eastAsia="Times New Roman" w:hAnsi="Palatino Linotype"/>
          <w:color w:val="auto"/>
          <w:sz w:val="24"/>
          <w:szCs w:val="24"/>
          <w:lang w:val="en-US"/>
        </w:rPr>
        <w:t>Funding</w:t>
      </w:r>
    </w:p>
    <w:p w:rsidR="004D2E83" w:rsidRPr="004D2E83" w:rsidRDefault="004D2E83" w:rsidP="004D2E83">
      <w:pPr>
        <w:rPr>
          <w:rFonts w:ascii="Palatino Linotype" w:hAnsi="Palatino Linotype"/>
          <w:sz w:val="24"/>
          <w:szCs w:val="24"/>
          <w:lang w:val="en-US"/>
        </w:rPr>
      </w:pPr>
      <w:r w:rsidRPr="004D2E83">
        <w:rPr>
          <w:rFonts w:ascii="Palatino Linotype" w:hAnsi="Palatino Linotype"/>
          <w:sz w:val="24"/>
          <w:szCs w:val="24"/>
          <w:lang w:val="en-US"/>
        </w:rPr>
        <w:t>This research was funded by the Tertiary Education Trust Fund of Nigeria through the Institution Based Research (IBR)</w:t>
      </w:r>
    </w:p>
    <w:p w:rsidR="0006727E" w:rsidRPr="00C705F3" w:rsidRDefault="0006727E" w:rsidP="0006727E">
      <w:pPr>
        <w:adjustRightInd w:val="0"/>
        <w:snapToGrid w:val="0"/>
        <w:spacing w:after="0" w:line="360" w:lineRule="auto"/>
        <w:jc w:val="both"/>
        <w:rPr>
          <w:rFonts w:ascii="Palatino Linotype" w:eastAsia="Times New Roman" w:hAnsi="Palatino Linotype" w:cs="Times New Roman"/>
          <w:snapToGrid w:val="0"/>
          <w:color w:val="000000"/>
          <w:sz w:val="24"/>
          <w:szCs w:val="24"/>
          <w:lang w:val="en-US" w:eastAsia="de-DE" w:bidi="en-US"/>
        </w:rPr>
      </w:pPr>
    </w:p>
    <w:p w:rsidR="0006727E" w:rsidRPr="0006727E" w:rsidRDefault="0006727E" w:rsidP="0006727E">
      <w:pPr>
        <w:rPr>
          <w:lang w:val="en-US" w:eastAsia="de-DE" w:bidi="en-US"/>
        </w:rPr>
      </w:pPr>
    </w:p>
    <w:p w:rsidR="008C3C55" w:rsidRPr="003C73D9" w:rsidRDefault="008C3C55" w:rsidP="003C73D9">
      <w:pPr>
        <w:spacing w:line="360" w:lineRule="auto"/>
        <w:jc w:val="both"/>
        <w:rPr>
          <w:rFonts w:ascii="Palatino Linotype" w:hAnsi="Palatino Linotype"/>
          <w:sz w:val="24"/>
          <w:szCs w:val="24"/>
          <w:lang w:val="en-US" w:eastAsia="de-DE" w:bidi="en-US"/>
        </w:rPr>
      </w:pPr>
    </w:p>
    <w:p w:rsidR="008C3C55" w:rsidRPr="003C73D9" w:rsidRDefault="008C3C55" w:rsidP="003C73D9">
      <w:pPr>
        <w:spacing w:line="360" w:lineRule="auto"/>
        <w:jc w:val="both"/>
        <w:rPr>
          <w:rFonts w:ascii="Palatino Linotype" w:hAnsi="Palatino Linotype"/>
          <w:sz w:val="24"/>
          <w:szCs w:val="24"/>
          <w:lang w:val="en-US" w:eastAsia="de-DE" w:bidi="en-US"/>
        </w:rPr>
      </w:pPr>
    </w:p>
    <w:p w:rsidR="008C3C55" w:rsidRPr="003C73D9" w:rsidRDefault="008C3C55" w:rsidP="003C73D9">
      <w:pPr>
        <w:adjustRightInd w:val="0"/>
        <w:snapToGrid w:val="0"/>
        <w:spacing w:after="0" w:line="360" w:lineRule="auto"/>
        <w:jc w:val="both"/>
        <w:rPr>
          <w:rFonts w:ascii="Palatino Linotype" w:eastAsia="Times New Roman" w:hAnsi="Palatino Linotype" w:cs="Times New Roman"/>
          <w:snapToGrid w:val="0"/>
          <w:color w:val="000000"/>
          <w:sz w:val="24"/>
          <w:szCs w:val="24"/>
          <w:lang w:val="en-US" w:eastAsia="de-DE" w:bidi="en-US"/>
        </w:rPr>
      </w:pPr>
    </w:p>
    <w:p w:rsidR="00FC7A0E" w:rsidRPr="003C73D9" w:rsidRDefault="00FC7A0E" w:rsidP="003C73D9">
      <w:pPr>
        <w:adjustRightInd w:val="0"/>
        <w:snapToGrid w:val="0"/>
        <w:spacing w:after="0" w:line="360" w:lineRule="auto"/>
        <w:jc w:val="both"/>
        <w:rPr>
          <w:rFonts w:ascii="Palatino Linotype" w:hAnsi="Palatino Linotype"/>
          <w:sz w:val="24"/>
          <w:szCs w:val="24"/>
        </w:rPr>
      </w:pPr>
    </w:p>
    <w:p w:rsidR="00D15E7C" w:rsidRPr="003C73D9" w:rsidRDefault="00D15E7C" w:rsidP="003C73D9">
      <w:pPr>
        <w:spacing w:line="360" w:lineRule="auto"/>
        <w:jc w:val="both"/>
        <w:rPr>
          <w:rFonts w:ascii="Palatino Linotype" w:hAnsi="Palatino Linotype"/>
          <w:sz w:val="24"/>
          <w:szCs w:val="24"/>
        </w:rPr>
      </w:pPr>
    </w:p>
    <w:p w:rsidR="00185E7F" w:rsidRPr="00185E7F" w:rsidRDefault="00D15E7C" w:rsidP="00185E7F">
      <w:pPr>
        <w:pStyle w:val="EndNoteBibliography"/>
        <w:ind w:left="720" w:hanging="720"/>
      </w:pPr>
      <w:r w:rsidRPr="003C73D9">
        <w:rPr>
          <w:rFonts w:ascii="Palatino Linotype" w:hAnsi="Palatino Linotype"/>
          <w:sz w:val="24"/>
          <w:szCs w:val="24"/>
        </w:rPr>
        <w:fldChar w:fldCharType="begin"/>
      </w:r>
      <w:r w:rsidRPr="003C73D9">
        <w:rPr>
          <w:rFonts w:ascii="Palatino Linotype" w:hAnsi="Palatino Linotype"/>
          <w:sz w:val="24"/>
          <w:szCs w:val="24"/>
        </w:rPr>
        <w:instrText xml:space="preserve"> ADDIN EN.REFLIST </w:instrText>
      </w:r>
      <w:r w:rsidRPr="003C73D9">
        <w:rPr>
          <w:rFonts w:ascii="Palatino Linotype" w:hAnsi="Palatino Linotype"/>
          <w:sz w:val="24"/>
          <w:szCs w:val="24"/>
        </w:rPr>
        <w:fldChar w:fldCharType="separate"/>
      </w:r>
      <w:r w:rsidR="00185E7F" w:rsidRPr="00185E7F">
        <w:t xml:space="preserve">Balzter, H., Cole, B., Thiel, C., &amp; Schmullius, C. (2015). Mapping CORINE Land Cover from Sentinel-1A SAR and SRTM Digital Elevation Model Data using Random Forests. </w:t>
      </w:r>
      <w:r w:rsidR="00185E7F" w:rsidRPr="00185E7F">
        <w:rPr>
          <w:i/>
        </w:rPr>
        <w:t>Remote Sensing, 7</w:t>
      </w:r>
      <w:r w:rsidR="00185E7F" w:rsidRPr="00185E7F">
        <w:t xml:space="preserve">(11), 14876-14898. </w:t>
      </w:r>
      <w:hyperlink r:id="rId10" w:history="1">
        <w:r w:rsidR="00185E7F" w:rsidRPr="00185E7F">
          <w:rPr>
            <w:rStyle w:val="Hyperlink"/>
          </w:rPr>
          <w:t>https://www.mdpi.com/2072-4292/7/11/14876</w:t>
        </w:r>
      </w:hyperlink>
      <w:r w:rsidR="00185E7F" w:rsidRPr="00185E7F">
        <w:t xml:space="preserve"> </w:t>
      </w:r>
    </w:p>
    <w:p w:rsidR="00185E7F" w:rsidRPr="00185E7F" w:rsidRDefault="00185E7F" w:rsidP="00185E7F">
      <w:pPr>
        <w:pStyle w:val="EndNoteBibliography"/>
        <w:spacing w:after="0"/>
      </w:pPr>
    </w:p>
    <w:p w:rsidR="00185E7F" w:rsidRPr="00185E7F" w:rsidRDefault="00185E7F" w:rsidP="00185E7F">
      <w:pPr>
        <w:pStyle w:val="EndNoteBibliography"/>
        <w:ind w:left="720" w:hanging="720"/>
      </w:pPr>
      <w:r w:rsidRPr="00185E7F">
        <w:t xml:space="preserve">Billah, M., Islam, A. K. M. S., Mamoon, W. B., &amp; Rahman, M. R. (2023, 2023/04/01/). Random forest classifications for </w:t>
      </w:r>
      <w:r w:rsidR="00FC6958">
        <w:t>land use</w:t>
      </w:r>
      <w:r w:rsidRPr="00185E7F">
        <w:t xml:space="preserve"> mapping to assess rapid flood damage using Sentinel-1 and Sentinel-2 data. </w:t>
      </w:r>
      <w:r w:rsidRPr="00185E7F">
        <w:rPr>
          <w:i/>
        </w:rPr>
        <w:t>Remote Sensing Applications: Society and Environment, 30</w:t>
      </w:r>
      <w:r w:rsidRPr="00185E7F">
        <w:t xml:space="preserve">, 100947. </w:t>
      </w:r>
      <w:hyperlink r:id="rId11" w:history="1">
        <w:r w:rsidRPr="00185E7F">
          <w:rPr>
            <w:rStyle w:val="Hyperlink"/>
          </w:rPr>
          <w:t>https://doi.org/https://doi.org/10.1016/j.rsase.2023.100947</w:t>
        </w:r>
      </w:hyperlink>
      <w:r w:rsidRPr="00185E7F">
        <w:t xml:space="preserve"> </w:t>
      </w:r>
    </w:p>
    <w:p w:rsidR="00185E7F" w:rsidRPr="00185E7F" w:rsidRDefault="00185E7F" w:rsidP="00185E7F">
      <w:pPr>
        <w:pStyle w:val="EndNoteBibliography"/>
        <w:spacing w:after="0"/>
      </w:pPr>
    </w:p>
    <w:p w:rsidR="00185E7F" w:rsidRPr="00185E7F" w:rsidRDefault="00185E7F" w:rsidP="00185E7F">
      <w:pPr>
        <w:pStyle w:val="EndNoteBibliography"/>
        <w:ind w:left="720" w:hanging="720"/>
      </w:pPr>
      <w:r w:rsidRPr="00185E7F">
        <w:t xml:space="preserve">Cao, H., Zhang, H., Wang, C., &amp; Zhang, B. (2019). Operational Flood Detection Using Sentinel-1 SAR Data over Large Areas. </w:t>
      </w:r>
      <w:r w:rsidRPr="00185E7F">
        <w:rPr>
          <w:i/>
        </w:rPr>
        <w:t>Water, 11</w:t>
      </w:r>
      <w:r w:rsidRPr="00185E7F">
        <w:t xml:space="preserve">(4), 786. </w:t>
      </w:r>
      <w:hyperlink r:id="rId12" w:history="1">
        <w:r w:rsidRPr="00185E7F">
          <w:rPr>
            <w:rStyle w:val="Hyperlink"/>
          </w:rPr>
          <w:t>https://www.mdpi.com/2073-4441/11/4/786</w:t>
        </w:r>
      </w:hyperlink>
      <w:r w:rsidRPr="00185E7F">
        <w:t xml:space="preserve"> </w:t>
      </w:r>
    </w:p>
    <w:p w:rsidR="00185E7F" w:rsidRPr="00185E7F" w:rsidRDefault="00185E7F" w:rsidP="00185E7F">
      <w:pPr>
        <w:pStyle w:val="EndNoteBibliography"/>
        <w:spacing w:after="0"/>
      </w:pPr>
    </w:p>
    <w:p w:rsidR="00185E7F" w:rsidRPr="00185E7F" w:rsidRDefault="00185E7F" w:rsidP="00185E7F">
      <w:pPr>
        <w:pStyle w:val="EndNoteBibliography"/>
        <w:ind w:left="720" w:hanging="720"/>
      </w:pPr>
      <w:r w:rsidRPr="00185E7F">
        <w:t xml:space="preserve">Cred, U. (2020). Human Cost of Disasters. An Overview of the last 20 years: 2000–2019. </w:t>
      </w:r>
      <w:r w:rsidRPr="00185E7F">
        <w:rPr>
          <w:i/>
        </w:rPr>
        <w:t>CRED, UNDRR, Geneva</w:t>
      </w:r>
      <w:r w:rsidRPr="00185E7F">
        <w:t xml:space="preserve">. </w:t>
      </w:r>
    </w:p>
    <w:p w:rsidR="00185E7F" w:rsidRPr="00185E7F" w:rsidRDefault="00185E7F" w:rsidP="00185E7F">
      <w:pPr>
        <w:pStyle w:val="EndNoteBibliography"/>
        <w:spacing w:after="0"/>
      </w:pPr>
    </w:p>
    <w:p w:rsidR="00185E7F" w:rsidRPr="00185E7F" w:rsidRDefault="00185E7F" w:rsidP="00185E7F">
      <w:pPr>
        <w:pStyle w:val="EndNoteBibliography"/>
        <w:ind w:left="720" w:hanging="720"/>
      </w:pPr>
      <w:r w:rsidRPr="00185E7F">
        <w:lastRenderedPageBreak/>
        <w:t xml:space="preserve">FAO. (2018). The impact of disasters and crises on agriculture and food security. </w:t>
      </w:r>
      <w:r w:rsidRPr="00185E7F">
        <w:rPr>
          <w:i/>
        </w:rPr>
        <w:t>Report</w:t>
      </w:r>
      <w:r w:rsidRPr="00185E7F">
        <w:t xml:space="preserve">. </w:t>
      </w:r>
    </w:p>
    <w:p w:rsidR="00185E7F" w:rsidRPr="00185E7F" w:rsidRDefault="00185E7F" w:rsidP="00185E7F">
      <w:pPr>
        <w:pStyle w:val="EndNoteBibliography"/>
        <w:spacing w:after="0"/>
      </w:pPr>
    </w:p>
    <w:p w:rsidR="00185E7F" w:rsidRPr="00185E7F" w:rsidRDefault="00185E7F" w:rsidP="00185E7F">
      <w:pPr>
        <w:pStyle w:val="EndNoteBibliography"/>
        <w:ind w:left="720" w:hanging="720"/>
      </w:pPr>
      <w:r w:rsidRPr="00185E7F">
        <w:t xml:space="preserve">Ganjirad, M., &amp; Delavar, M. R. (2023). FLOOD RISK MAPPING USING RANDOM FOREST AND SUPPORT VECTOR MACHINE. </w:t>
      </w:r>
      <w:r w:rsidRPr="00185E7F">
        <w:rPr>
          <w:i/>
        </w:rPr>
        <w:t>ISPRS Ann. Photogramm. Remote Sens. Spatial Inf. Sci., X-4/W1-2022</w:t>
      </w:r>
      <w:r w:rsidRPr="00185E7F">
        <w:t xml:space="preserve">, 201-208. </w:t>
      </w:r>
      <w:hyperlink r:id="rId13" w:history="1">
        <w:r w:rsidRPr="00185E7F">
          <w:rPr>
            <w:rStyle w:val="Hyperlink"/>
          </w:rPr>
          <w:t>https://doi.org/10.5194/isprs-annals-X-4-W1-2022-201-2023</w:t>
        </w:r>
      </w:hyperlink>
      <w:r w:rsidRPr="00185E7F">
        <w:t xml:space="preserve"> </w:t>
      </w:r>
    </w:p>
    <w:p w:rsidR="00185E7F" w:rsidRPr="00185E7F" w:rsidRDefault="00185E7F" w:rsidP="00185E7F">
      <w:pPr>
        <w:pStyle w:val="EndNoteBibliography"/>
        <w:spacing w:after="0"/>
      </w:pPr>
    </w:p>
    <w:p w:rsidR="00185E7F" w:rsidRPr="00185E7F" w:rsidRDefault="00185E7F" w:rsidP="00185E7F">
      <w:pPr>
        <w:pStyle w:val="EndNoteBibliography"/>
        <w:ind w:left="720" w:hanging="720"/>
      </w:pPr>
      <w:r w:rsidRPr="00185E7F">
        <w:t xml:space="preserve">Ibrahim, S. a. (2023). Improving Land Use/Cover Classification Accuracy from Random Forest Feature Importance Selection Based on Synergistic Use of Sentinel Data and Digital Elevation Model in Agriculturally Dominated Landscape. </w:t>
      </w:r>
      <w:r w:rsidRPr="00185E7F">
        <w:rPr>
          <w:i/>
        </w:rPr>
        <w:t>Agriculture, 13</w:t>
      </w:r>
      <w:r w:rsidRPr="00185E7F">
        <w:t xml:space="preserve">(1), 98. </w:t>
      </w:r>
      <w:hyperlink r:id="rId14" w:history="1">
        <w:r w:rsidRPr="00185E7F">
          <w:rPr>
            <w:rStyle w:val="Hyperlink"/>
          </w:rPr>
          <w:t>https://www.mdpi.com/2077-0472/13/1/98</w:t>
        </w:r>
      </w:hyperlink>
      <w:r w:rsidRPr="00185E7F">
        <w:t xml:space="preserve"> </w:t>
      </w:r>
    </w:p>
    <w:p w:rsidR="00185E7F" w:rsidRPr="00185E7F" w:rsidRDefault="00185E7F" w:rsidP="00185E7F">
      <w:pPr>
        <w:pStyle w:val="EndNoteBibliography"/>
        <w:spacing w:after="0"/>
      </w:pPr>
    </w:p>
    <w:p w:rsidR="00185E7F" w:rsidRPr="00185E7F" w:rsidRDefault="00185E7F" w:rsidP="00185E7F">
      <w:pPr>
        <w:pStyle w:val="EndNoteBibliography"/>
        <w:ind w:left="720" w:hanging="720"/>
      </w:pPr>
      <w:r w:rsidRPr="00185E7F">
        <w:t xml:space="preserve">Jones, A., Kuehnert, J., Fraccaro, P., Meuriot, O., Ishikawa, T., Edwards, B., Stoyanov, N., Remy, S. L., Weldemariam, K., &amp; Assefa, S. (2023, 2023/06/08). AI for climate impacts: applications in flood risk. </w:t>
      </w:r>
      <w:r w:rsidRPr="00185E7F">
        <w:rPr>
          <w:i/>
        </w:rPr>
        <w:t>npj Climate and Atmospheric Science, 6</w:t>
      </w:r>
      <w:r w:rsidRPr="00185E7F">
        <w:t xml:space="preserve">(1), 63. </w:t>
      </w:r>
      <w:hyperlink r:id="rId15" w:history="1">
        <w:r w:rsidRPr="00185E7F">
          <w:rPr>
            <w:rStyle w:val="Hyperlink"/>
          </w:rPr>
          <w:t>https://doi.org/10.1038/s41612-023-00388-1</w:t>
        </w:r>
      </w:hyperlink>
      <w:r w:rsidRPr="00185E7F">
        <w:t xml:space="preserve"> </w:t>
      </w:r>
    </w:p>
    <w:p w:rsidR="00185E7F" w:rsidRPr="00185E7F" w:rsidRDefault="00185E7F" w:rsidP="00185E7F">
      <w:pPr>
        <w:pStyle w:val="EndNoteBibliography"/>
        <w:spacing w:after="0"/>
      </w:pPr>
    </w:p>
    <w:p w:rsidR="00185E7F" w:rsidRPr="00185E7F" w:rsidRDefault="00185E7F" w:rsidP="00185E7F">
      <w:pPr>
        <w:pStyle w:val="EndNoteBibliography"/>
        <w:ind w:left="720" w:hanging="720"/>
      </w:pPr>
      <w:r w:rsidRPr="00185E7F">
        <w:t xml:space="preserve">Loukika, K. N., Keesara, V. R., &amp; Sridhar, V. (2021). Analysis of Land Use and Land Cover Using Machine Learning Algorithms on Google Earth Engine for Munneru River Basin, India. </w:t>
      </w:r>
      <w:r w:rsidRPr="00185E7F">
        <w:rPr>
          <w:i/>
        </w:rPr>
        <w:t>Sustainability, 13</w:t>
      </w:r>
      <w:r w:rsidRPr="00185E7F">
        <w:t xml:space="preserve">(24), 13758. </w:t>
      </w:r>
      <w:hyperlink r:id="rId16" w:history="1">
        <w:r w:rsidRPr="00185E7F">
          <w:rPr>
            <w:rStyle w:val="Hyperlink"/>
          </w:rPr>
          <w:t>https://www.mdpi.com/2071-1050/13/24/13758</w:t>
        </w:r>
      </w:hyperlink>
      <w:r w:rsidRPr="00185E7F">
        <w:t xml:space="preserve"> </w:t>
      </w:r>
    </w:p>
    <w:p w:rsidR="00185E7F" w:rsidRPr="00185E7F" w:rsidRDefault="00185E7F" w:rsidP="00185E7F">
      <w:pPr>
        <w:pStyle w:val="EndNoteBibliography"/>
        <w:spacing w:after="0"/>
      </w:pPr>
    </w:p>
    <w:p w:rsidR="00185E7F" w:rsidRPr="00185E7F" w:rsidRDefault="00185E7F" w:rsidP="00185E7F">
      <w:pPr>
        <w:pStyle w:val="EndNoteBibliography"/>
        <w:ind w:left="720" w:hanging="720"/>
      </w:pPr>
      <w:r w:rsidRPr="00185E7F">
        <w:t xml:space="preserve">Mashi, S. A., Oghenejabor, O. D., &amp; Inkani, A. I. (2019, 2019/02/01/). Disaster risks and management policies and practices in Nigeria: A critical appraisal of the National Emergency Management Agency Act. </w:t>
      </w:r>
      <w:r w:rsidRPr="00185E7F">
        <w:rPr>
          <w:i/>
        </w:rPr>
        <w:t>International Journal of Disaster Risk Reduction, 33</w:t>
      </w:r>
      <w:r w:rsidRPr="00185E7F">
        <w:t xml:space="preserve">, 253-265. </w:t>
      </w:r>
      <w:hyperlink r:id="rId17" w:history="1">
        <w:r w:rsidRPr="00185E7F">
          <w:rPr>
            <w:rStyle w:val="Hyperlink"/>
          </w:rPr>
          <w:t>https://doi.org/https://doi.org/10.1016/j.ijdrr.2018.10.011</w:t>
        </w:r>
      </w:hyperlink>
      <w:r w:rsidRPr="00185E7F">
        <w:t xml:space="preserve"> </w:t>
      </w:r>
    </w:p>
    <w:p w:rsidR="00185E7F" w:rsidRPr="00185E7F" w:rsidRDefault="00185E7F" w:rsidP="00185E7F">
      <w:pPr>
        <w:pStyle w:val="EndNoteBibliography"/>
        <w:spacing w:after="0"/>
      </w:pPr>
    </w:p>
    <w:p w:rsidR="00185E7F" w:rsidRPr="00185E7F" w:rsidRDefault="00185E7F" w:rsidP="00185E7F">
      <w:pPr>
        <w:pStyle w:val="EndNoteBibliography"/>
        <w:ind w:left="720" w:hanging="720"/>
      </w:pPr>
      <w:r w:rsidRPr="00185E7F">
        <w:t xml:space="preserve">Maxwell, A. E., Warner, T. A., &amp; Fang, F. (2018, 2018/05/03). Implementation of machine-learning classification in remote sensing: an applied review. </w:t>
      </w:r>
      <w:r w:rsidRPr="00185E7F">
        <w:rPr>
          <w:i/>
        </w:rPr>
        <w:t>International Journal of Remote Sensing, 39</w:t>
      </w:r>
      <w:r w:rsidRPr="00185E7F">
        <w:t xml:space="preserve">(9), 2784-2817. </w:t>
      </w:r>
      <w:hyperlink r:id="rId18" w:history="1">
        <w:r w:rsidRPr="00185E7F">
          <w:rPr>
            <w:rStyle w:val="Hyperlink"/>
          </w:rPr>
          <w:t>https://doi.org/10.1080/01431161.2018.1433343</w:t>
        </w:r>
      </w:hyperlink>
      <w:r w:rsidRPr="00185E7F">
        <w:t xml:space="preserve"> </w:t>
      </w:r>
    </w:p>
    <w:p w:rsidR="00185E7F" w:rsidRPr="00185E7F" w:rsidRDefault="00185E7F" w:rsidP="00185E7F">
      <w:pPr>
        <w:pStyle w:val="EndNoteBibliography"/>
        <w:spacing w:after="0"/>
      </w:pPr>
    </w:p>
    <w:p w:rsidR="00185E7F" w:rsidRPr="00185E7F" w:rsidRDefault="00185E7F" w:rsidP="00185E7F">
      <w:pPr>
        <w:pStyle w:val="EndNoteBibliography"/>
        <w:ind w:left="720" w:hanging="720"/>
      </w:pPr>
      <w:r w:rsidRPr="00185E7F">
        <w:t xml:space="preserve">NESREA. (2017). </w:t>
      </w:r>
      <w:r w:rsidRPr="00185E7F">
        <w:rPr>
          <w:i/>
        </w:rPr>
        <w:t>National Policy on Environment</w:t>
      </w:r>
      <w:r w:rsidRPr="00185E7F">
        <w:t xml:space="preserve">. Retrieved 26/02/2024 from </w:t>
      </w:r>
    </w:p>
    <w:p w:rsidR="00185E7F" w:rsidRPr="00185E7F" w:rsidRDefault="00185E7F" w:rsidP="00185E7F">
      <w:pPr>
        <w:pStyle w:val="EndNoteBibliography"/>
        <w:spacing w:after="0"/>
      </w:pPr>
    </w:p>
    <w:p w:rsidR="00185E7F" w:rsidRPr="00185E7F" w:rsidRDefault="00185E7F" w:rsidP="00185E7F">
      <w:pPr>
        <w:pStyle w:val="EndNoteBibliography"/>
        <w:ind w:left="720" w:hanging="720"/>
      </w:pPr>
      <w:r w:rsidRPr="00185E7F">
        <w:t xml:space="preserve">Raza, A., Razzaq, A., Mehmood, S. S., Zou, X., Zhang, X., Lv, Y., &amp; Xu, J. (2019). Impact of Climate Change on Crops Adaptation and Strategies to Tackle Its Outcome: A Review. </w:t>
      </w:r>
      <w:r w:rsidRPr="00185E7F">
        <w:rPr>
          <w:i/>
        </w:rPr>
        <w:t>Plants, 8</w:t>
      </w:r>
      <w:r w:rsidRPr="00185E7F">
        <w:t xml:space="preserve">(2), 34. </w:t>
      </w:r>
      <w:hyperlink r:id="rId19" w:history="1">
        <w:r w:rsidRPr="00185E7F">
          <w:rPr>
            <w:rStyle w:val="Hyperlink"/>
          </w:rPr>
          <w:t>https://www.mdpi.com/2223-7747/8/2/34</w:t>
        </w:r>
      </w:hyperlink>
      <w:r w:rsidRPr="00185E7F">
        <w:t xml:space="preserve"> </w:t>
      </w:r>
    </w:p>
    <w:p w:rsidR="00185E7F" w:rsidRPr="00185E7F" w:rsidRDefault="00185E7F" w:rsidP="00185E7F">
      <w:pPr>
        <w:pStyle w:val="EndNoteBibliography"/>
        <w:spacing w:after="0"/>
      </w:pPr>
    </w:p>
    <w:p w:rsidR="00185E7F" w:rsidRPr="00185E7F" w:rsidRDefault="00185E7F" w:rsidP="00185E7F">
      <w:pPr>
        <w:pStyle w:val="EndNoteBibliography"/>
        <w:ind w:left="720" w:hanging="720"/>
      </w:pPr>
      <w:r w:rsidRPr="00185E7F">
        <w:t xml:space="preserve">Ren, H., Pang, B., Bai, P., Zhao, G., Liu, S., Liu, Y., &amp; Li, M. (2024). Flood Susceptibility Assessment with Random Sampling Strategy in Ensemble Learning (RF and XGBoost). </w:t>
      </w:r>
      <w:r w:rsidRPr="00185E7F">
        <w:rPr>
          <w:i/>
        </w:rPr>
        <w:t>Remote Sensing, 16</w:t>
      </w:r>
      <w:r w:rsidRPr="00185E7F">
        <w:t xml:space="preserve">(2), 320. </w:t>
      </w:r>
      <w:hyperlink r:id="rId20" w:history="1">
        <w:r w:rsidRPr="00185E7F">
          <w:rPr>
            <w:rStyle w:val="Hyperlink"/>
          </w:rPr>
          <w:t>https://www.mdpi.com/2072-4292/16/2/320</w:t>
        </w:r>
      </w:hyperlink>
      <w:r w:rsidRPr="00185E7F">
        <w:t xml:space="preserve"> </w:t>
      </w:r>
    </w:p>
    <w:p w:rsidR="00185E7F" w:rsidRPr="00185E7F" w:rsidRDefault="00185E7F" w:rsidP="00185E7F">
      <w:pPr>
        <w:pStyle w:val="EndNoteBibliography"/>
        <w:spacing w:after="0"/>
      </w:pPr>
    </w:p>
    <w:p w:rsidR="00185E7F" w:rsidRPr="00185E7F" w:rsidRDefault="00185E7F" w:rsidP="00185E7F">
      <w:pPr>
        <w:pStyle w:val="EndNoteBibliography"/>
        <w:ind w:left="720" w:hanging="720"/>
      </w:pPr>
      <w:r w:rsidRPr="00185E7F">
        <w:t xml:space="preserve">Sang, G., Wang, X., &amp; Zhang, J. (2024). Improved Otsu Theory of Image Multi-threshold Segmentation by Incorporating Ant Colony Algorithm. </w:t>
      </w:r>
      <w:r w:rsidRPr="00185E7F">
        <w:rPr>
          <w:i/>
        </w:rPr>
        <w:t>Informatica, 48</w:t>
      </w:r>
      <w:r w:rsidRPr="00185E7F">
        <w:t xml:space="preserve">(9). </w:t>
      </w:r>
    </w:p>
    <w:p w:rsidR="00185E7F" w:rsidRPr="00185E7F" w:rsidRDefault="00185E7F" w:rsidP="00185E7F">
      <w:pPr>
        <w:pStyle w:val="EndNoteBibliography"/>
        <w:spacing w:after="0"/>
      </w:pPr>
    </w:p>
    <w:p w:rsidR="00185E7F" w:rsidRPr="00185E7F" w:rsidRDefault="00185E7F" w:rsidP="00185E7F">
      <w:pPr>
        <w:pStyle w:val="EndNoteBibliography"/>
        <w:ind w:left="720" w:hanging="720"/>
      </w:pPr>
      <w:r w:rsidRPr="00185E7F">
        <w:t xml:space="preserve">Shilengwe, C., Nyimbili, P. H., Msendo, R., Banda, F., Mukupa, W., &amp; Erden, T. (2023). Synthetic Aperture Radar and Optical Sensor Techniques Using Google Earth Engine For Flood Monitoring and Damage Assessment–A Case Study of Mumbwa District, Zambia. </w:t>
      </w:r>
      <w:r w:rsidRPr="00185E7F">
        <w:rPr>
          <w:i/>
        </w:rPr>
        <w:t>Zambia ICT Journal, 7</w:t>
      </w:r>
      <w:r w:rsidRPr="00185E7F">
        <w:t xml:space="preserve">(1), 7-15. </w:t>
      </w:r>
    </w:p>
    <w:p w:rsidR="00185E7F" w:rsidRPr="00185E7F" w:rsidRDefault="00185E7F" w:rsidP="00185E7F">
      <w:pPr>
        <w:pStyle w:val="EndNoteBibliography"/>
        <w:spacing w:after="0"/>
      </w:pPr>
    </w:p>
    <w:p w:rsidR="00185E7F" w:rsidRPr="00185E7F" w:rsidRDefault="00185E7F" w:rsidP="00185E7F">
      <w:pPr>
        <w:pStyle w:val="EndNoteBibliography"/>
        <w:ind w:left="720" w:hanging="720"/>
      </w:pPr>
      <w:r w:rsidRPr="00185E7F">
        <w:t xml:space="preserve">Tellman, B., Sullivan, J. A., Kuhn, C., Kettner, A. J., Doyle, C. S., Brakenridge, G. R., Erickson, T. A., &amp; Slayback, D. A. (2021, 2021/08/01). Satellite imaging reveals increased proportion of population exposed to floods. </w:t>
      </w:r>
      <w:r w:rsidRPr="00185E7F">
        <w:rPr>
          <w:i/>
        </w:rPr>
        <w:t>Nature, 596</w:t>
      </w:r>
      <w:r w:rsidRPr="00185E7F">
        <w:t xml:space="preserve">(7870), 80-86. </w:t>
      </w:r>
      <w:hyperlink r:id="rId21" w:history="1">
        <w:r w:rsidRPr="00185E7F">
          <w:rPr>
            <w:rStyle w:val="Hyperlink"/>
          </w:rPr>
          <w:t>https://doi.org/10.1038/s41586-021-03695-w</w:t>
        </w:r>
      </w:hyperlink>
      <w:r w:rsidRPr="00185E7F">
        <w:t xml:space="preserve"> </w:t>
      </w:r>
    </w:p>
    <w:p w:rsidR="00185E7F" w:rsidRPr="00185E7F" w:rsidRDefault="00185E7F" w:rsidP="00185E7F">
      <w:pPr>
        <w:pStyle w:val="EndNoteBibliography"/>
        <w:spacing w:after="0"/>
      </w:pPr>
    </w:p>
    <w:p w:rsidR="00185E7F" w:rsidRPr="00185E7F" w:rsidRDefault="00185E7F" w:rsidP="00185E7F">
      <w:pPr>
        <w:pStyle w:val="EndNoteBibliography"/>
        <w:ind w:left="720" w:hanging="720"/>
      </w:pPr>
      <w:r w:rsidRPr="00185E7F">
        <w:t xml:space="preserve">Vanama, V. S. K., Mandal, D., &amp; Rao, Y. (2020). GEE4FLOOD: rapid mapping of flood areas using temporal Sentinel-1 SAR images with Google Earth Engine cloud platform. </w:t>
      </w:r>
      <w:r w:rsidRPr="00185E7F">
        <w:rPr>
          <w:i/>
        </w:rPr>
        <w:t>Journal of Applied Remote Sensing, 14</w:t>
      </w:r>
      <w:r w:rsidRPr="00185E7F">
        <w:t xml:space="preserve">(3), 034505. </w:t>
      </w:r>
      <w:hyperlink r:id="rId22" w:history="1">
        <w:r w:rsidRPr="00185E7F">
          <w:rPr>
            <w:rStyle w:val="Hyperlink"/>
          </w:rPr>
          <w:t>https://doi.org/10.1117/1.JRS.14.034505</w:t>
        </w:r>
      </w:hyperlink>
      <w:r w:rsidRPr="00185E7F">
        <w:t xml:space="preserve"> </w:t>
      </w:r>
    </w:p>
    <w:p w:rsidR="00185E7F" w:rsidRPr="00185E7F" w:rsidRDefault="00185E7F" w:rsidP="00185E7F">
      <w:pPr>
        <w:pStyle w:val="EndNoteBibliography"/>
        <w:spacing w:after="0"/>
      </w:pPr>
    </w:p>
    <w:p w:rsidR="00185E7F" w:rsidRPr="00185E7F" w:rsidRDefault="00185E7F" w:rsidP="00185E7F">
      <w:pPr>
        <w:pStyle w:val="EndNoteBibliography"/>
        <w:ind w:left="720" w:hanging="720"/>
      </w:pPr>
      <w:r w:rsidRPr="00185E7F">
        <w:t xml:space="preserve">Xu, X., Xu, S., Jin, L., &amp; Song, E. (2011). Characteristic analysis of Otsu threshold and its applications. </w:t>
      </w:r>
      <w:r w:rsidRPr="00185E7F">
        <w:rPr>
          <w:i/>
        </w:rPr>
        <w:t>Pattern recognition letters, 32</w:t>
      </w:r>
      <w:r w:rsidRPr="00185E7F">
        <w:t xml:space="preserve">(7), 956-961. </w:t>
      </w:r>
    </w:p>
    <w:p w:rsidR="00185E7F" w:rsidRPr="00185E7F" w:rsidRDefault="00185E7F" w:rsidP="00185E7F">
      <w:pPr>
        <w:pStyle w:val="EndNoteBibliography"/>
        <w:spacing w:after="0"/>
      </w:pPr>
    </w:p>
    <w:p w:rsidR="00185E7F" w:rsidRPr="00185E7F" w:rsidRDefault="00185E7F" w:rsidP="00185E7F">
      <w:pPr>
        <w:pStyle w:val="EndNoteBibliography"/>
        <w:ind w:left="720" w:hanging="720"/>
      </w:pPr>
      <w:r w:rsidRPr="00185E7F">
        <w:t xml:space="preserve">Zare, M., &amp; Schumann, G. J. P. (2021). Chapter 15 - Emerging Techniques in Machine Learning for Processing Satellite Images of Floods. In G. J. P. Schumann (Ed.), </w:t>
      </w:r>
      <w:r w:rsidRPr="00185E7F">
        <w:rPr>
          <w:i/>
        </w:rPr>
        <w:t>Earth Observation for Flood Applications</w:t>
      </w:r>
      <w:r w:rsidRPr="00185E7F">
        <w:t xml:space="preserve"> (pp. 321-336). Elsevier. </w:t>
      </w:r>
      <w:hyperlink r:id="rId23" w:history="1">
        <w:r w:rsidRPr="00185E7F">
          <w:rPr>
            <w:rStyle w:val="Hyperlink"/>
          </w:rPr>
          <w:t>https://doi.org/https://doi.org/10.1016/B978-0-12-819412-6.00015-8</w:t>
        </w:r>
      </w:hyperlink>
      <w:r w:rsidRPr="00185E7F">
        <w:t xml:space="preserve"> </w:t>
      </w:r>
    </w:p>
    <w:p w:rsidR="00185E7F" w:rsidRPr="00185E7F" w:rsidRDefault="00185E7F" w:rsidP="00185E7F">
      <w:pPr>
        <w:pStyle w:val="EndNoteBibliography"/>
      </w:pPr>
    </w:p>
    <w:p w:rsidR="00D15E7C" w:rsidRPr="003C73D9" w:rsidRDefault="00D15E7C" w:rsidP="003C73D9">
      <w:pPr>
        <w:spacing w:line="360" w:lineRule="auto"/>
        <w:jc w:val="both"/>
        <w:rPr>
          <w:rFonts w:ascii="Palatino Linotype" w:hAnsi="Palatino Linotype"/>
          <w:sz w:val="24"/>
          <w:szCs w:val="24"/>
        </w:rPr>
      </w:pPr>
      <w:r w:rsidRPr="003C73D9">
        <w:rPr>
          <w:rFonts w:ascii="Palatino Linotype" w:hAnsi="Palatino Linotype"/>
          <w:sz w:val="24"/>
          <w:szCs w:val="24"/>
        </w:rPr>
        <w:fldChar w:fldCharType="end"/>
      </w:r>
    </w:p>
    <w:sectPr w:rsidR="00D15E7C" w:rsidRPr="003C73D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w:altName w:val="Arial"/>
    <w:charset w:val="00"/>
    <w:family w:val="swiss"/>
    <w:pitch w:val="variable"/>
    <w:sig w:usb0="00000001"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ve99rvelpt552efdv15wfru2vd2z2v9dzra&quot;&gt;My EndNote Library3&lt;record-ids&gt;&lt;item&gt;2&lt;/item&gt;&lt;item&gt;6&lt;/item&gt;&lt;item&gt;7&lt;/item&gt;&lt;/record-ids&gt;&lt;/item&gt;&lt;item db-id=&quot;ews2wvaxo0ae0ter0s8xdxskdf5w9dvdzzwd&quot;&gt;My EndNote Library&lt;record-ids&gt;&lt;item&gt;3&lt;/item&gt;&lt;item&gt;13&lt;/item&gt;&lt;/record-ids&gt;&lt;/item&gt;&lt;item db-id=&quot;ztxxpts0aa2009esdwupt05es22r0ee2922r&quot;&gt;My EndNote Library&lt;record-ids&gt;&lt;item&gt;3&lt;/item&gt;&lt;item&gt;4&lt;/item&gt;&lt;item&gt;14&lt;/item&gt;&lt;item&gt;18&lt;/item&gt;&lt;item&gt;31&lt;/item&gt;&lt;item&gt;39&lt;/item&gt;&lt;item&gt;40&lt;/item&gt;&lt;item&gt;43&lt;/item&gt;&lt;item&gt;44&lt;/item&gt;&lt;item&gt;45&lt;/item&gt;&lt;item&gt;53&lt;/item&gt;&lt;item&gt;54&lt;/item&gt;&lt;item&gt;67&lt;/item&gt;&lt;item&gt;87&lt;/item&gt;&lt;item&gt;113&lt;/item&gt;&lt;/record-ids&gt;&lt;/item&gt;&lt;/Libraries&gt;"/>
  </w:docVars>
  <w:rsids>
    <w:rsidRoot w:val="00D15E7C"/>
    <w:rsid w:val="0006727E"/>
    <w:rsid w:val="00185E7F"/>
    <w:rsid w:val="0019720A"/>
    <w:rsid w:val="001E7C82"/>
    <w:rsid w:val="002A57E8"/>
    <w:rsid w:val="00305E45"/>
    <w:rsid w:val="00360B1D"/>
    <w:rsid w:val="00373BB9"/>
    <w:rsid w:val="00380501"/>
    <w:rsid w:val="003C73D9"/>
    <w:rsid w:val="003F40B3"/>
    <w:rsid w:val="00477256"/>
    <w:rsid w:val="004D2E83"/>
    <w:rsid w:val="004F2EB0"/>
    <w:rsid w:val="0057094F"/>
    <w:rsid w:val="005A4071"/>
    <w:rsid w:val="005D24EA"/>
    <w:rsid w:val="005D482E"/>
    <w:rsid w:val="006334D1"/>
    <w:rsid w:val="006D6DE5"/>
    <w:rsid w:val="0073510D"/>
    <w:rsid w:val="007629E7"/>
    <w:rsid w:val="007663DD"/>
    <w:rsid w:val="00771899"/>
    <w:rsid w:val="007C479A"/>
    <w:rsid w:val="00817206"/>
    <w:rsid w:val="0085766B"/>
    <w:rsid w:val="00863D46"/>
    <w:rsid w:val="008A1307"/>
    <w:rsid w:val="008C3C55"/>
    <w:rsid w:val="0095230D"/>
    <w:rsid w:val="0096777A"/>
    <w:rsid w:val="009D3EF4"/>
    <w:rsid w:val="009E0B03"/>
    <w:rsid w:val="00A02755"/>
    <w:rsid w:val="00A12FB9"/>
    <w:rsid w:val="00A94900"/>
    <w:rsid w:val="00A960D4"/>
    <w:rsid w:val="00AC7E13"/>
    <w:rsid w:val="00B5693C"/>
    <w:rsid w:val="00B807EC"/>
    <w:rsid w:val="00BB3677"/>
    <w:rsid w:val="00C705F3"/>
    <w:rsid w:val="00CB17C2"/>
    <w:rsid w:val="00CD0FA9"/>
    <w:rsid w:val="00CD39EA"/>
    <w:rsid w:val="00D14ACA"/>
    <w:rsid w:val="00D15E7C"/>
    <w:rsid w:val="00D73D07"/>
    <w:rsid w:val="00D80633"/>
    <w:rsid w:val="00D974AB"/>
    <w:rsid w:val="00DA7DB7"/>
    <w:rsid w:val="00E211BF"/>
    <w:rsid w:val="00EA3A7B"/>
    <w:rsid w:val="00EC6BE2"/>
    <w:rsid w:val="00F3419C"/>
    <w:rsid w:val="00F536AD"/>
    <w:rsid w:val="00F55C08"/>
    <w:rsid w:val="00F750F3"/>
    <w:rsid w:val="00F83069"/>
    <w:rsid w:val="00F97356"/>
    <w:rsid w:val="00FC6958"/>
    <w:rsid w:val="00FC7A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6FF7023-0C46-483D-BF40-D9250477D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rsid w:val="00A0275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C3C5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C3C5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5E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5E7C"/>
    <w:rPr>
      <w:rFonts w:ascii="Segoe UI" w:hAnsi="Segoe UI" w:cs="Segoe UI"/>
      <w:sz w:val="18"/>
      <w:szCs w:val="18"/>
      <w:lang w:val="en-GB"/>
    </w:rPr>
  </w:style>
  <w:style w:type="paragraph" w:customStyle="1" w:styleId="EndNoteBibliographyTitle">
    <w:name w:val="EndNote Bibliography Title"/>
    <w:basedOn w:val="Normal"/>
    <w:link w:val="EndNoteBibliographyTitleChar"/>
    <w:rsid w:val="00D15E7C"/>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D15E7C"/>
    <w:rPr>
      <w:rFonts w:ascii="Calibri" w:hAnsi="Calibri" w:cs="Calibri"/>
      <w:noProof/>
    </w:rPr>
  </w:style>
  <w:style w:type="paragraph" w:customStyle="1" w:styleId="EndNoteBibliography">
    <w:name w:val="EndNote Bibliography"/>
    <w:basedOn w:val="Normal"/>
    <w:link w:val="EndNoteBibliographyChar"/>
    <w:rsid w:val="00D15E7C"/>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D15E7C"/>
    <w:rPr>
      <w:rFonts w:ascii="Calibri" w:hAnsi="Calibri" w:cs="Calibri"/>
      <w:noProof/>
    </w:rPr>
  </w:style>
  <w:style w:type="character" w:styleId="Hyperlink">
    <w:name w:val="Hyperlink"/>
    <w:basedOn w:val="DefaultParagraphFont"/>
    <w:uiPriority w:val="99"/>
    <w:unhideWhenUsed/>
    <w:rsid w:val="00D15E7C"/>
    <w:rPr>
      <w:color w:val="0563C1" w:themeColor="hyperlink"/>
      <w:u w:val="single"/>
    </w:rPr>
  </w:style>
  <w:style w:type="character" w:customStyle="1" w:styleId="Heading1Char">
    <w:name w:val="Heading 1 Char"/>
    <w:basedOn w:val="DefaultParagraphFont"/>
    <w:link w:val="Heading1"/>
    <w:uiPriority w:val="9"/>
    <w:rsid w:val="00A02755"/>
    <w:rPr>
      <w:rFonts w:asciiTheme="majorHAnsi" w:eastAsiaTheme="majorEastAsia" w:hAnsiTheme="majorHAnsi" w:cstheme="majorBidi"/>
      <w:color w:val="2E74B5" w:themeColor="accent1" w:themeShade="BF"/>
      <w:sz w:val="32"/>
      <w:szCs w:val="32"/>
      <w:lang w:val="en-GB"/>
    </w:rPr>
  </w:style>
  <w:style w:type="character" w:customStyle="1" w:styleId="Heading2Char">
    <w:name w:val="Heading 2 Char"/>
    <w:basedOn w:val="DefaultParagraphFont"/>
    <w:link w:val="Heading2"/>
    <w:uiPriority w:val="9"/>
    <w:rsid w:val="008C3C55"/>
    <w:rPr>
      <w:rFonts w:asciiTheme="majorHAnsi" w:eastAsiaTheme="majorEastAsia" w:hAnsiTheme="majorHAnsi" w:cstheme="majorBidi"/>
      <w:color w:val="2E74B5" w:themeColor="accent1" w:themeShade="BF"/>
      <w:sz w:val="26"/>
      <w:szCs w:val="26"/>
      <w:lang w:val="en-GB"/>
    </w:rPr>
  </w:style>
  <w:style w:type="character" w:customStyle="1" w:styleId="Heading3Char">
    <w:name w:val="Heading 3 Char"/>
    <w:basedOn w:val="DefaultParagraphFont"/>
    <w:link w:val="Heading3"/>
    <w:uiPriority w:val="9"/>
    <w:rsid w:val="008C3C55"/>
    <w:rPr>
      <w:rFonts w:asciiTheme="majorHAnsi" w:eastAsiaTheme="majorEastAsia" w:hAnsiTheme="majorHAnsi" w:cstheme="majorBidi"/>
      <w:color w:val="1F4D78" w:themeColor="accent1" w:themeShade="7F"/>
      <w:sz w:val="24"/>
      <w:szCs w:val="24"/>
      <w:lang w:val="en-GB"/>
    </w:rPr>
  </w:style>
  <w:style w:type="table" w:customStyle="1" w:styleId="PlainTable211">
    <w:name w:val="Plain Table 211"/>
    <w:basedOn w:val="TableNormal"/>
    <w:next w:val="PlainTable2"/>
    <w:uiPriority w:val="42"/>
    <w:rsid w:val="009E0B03"/>
    <w:pPr>
      <w:spacing w:after="0" w:line="240" w:lineRule="auto"/>
    </w:pPr>
    <w:rPr>
      <w:rFonts w:ascii="Calibri" w:eastAsia="SimSun" w:hAnsi="Calibri" w:cs="Times New Roman"/>
      <w:sz w:val="20"/>
      <w:szCs w:val="20"/>
      <w:lang w:eastAsia="zh-C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9E0B0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9E0B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
    <w:name w:val="List Table 6 Colorful"/>
    <w:basedOn w:val="TableNormal"/>
    <w:uiPriority w:val="51"/>
    <w:rsid w:val="00360B1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3F40B3"/>
    <w:rPr>
      <w:i/>
      <w:iCs/>
    </w:rPr>
  </w:style>
  <w:style w:type="paragraph" w:styleId="NormalWeb">
    <w:name w:val="Normal (Web)"/>
    <w:basedOn w:val="Normal"/>
    <w:uiPriority w:val="99"/>
    <w:unhideWhenUsed/>
    <w:rsid w:val="009D3EF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overflow-hidden">
    <w:name w:val="overflow-hidden"/>
    <w:basedOn w:val="DefaultParagraphFont"/>
    <w:rsid w:val="009D3E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42545">
      <w:bodyDiv w:val="1"/>
      <w:marLeft w:val="0"/>
      <w:marRight w:val="0"/>
      <w:marTop w:val="0"/>
      <w:marBottom w:val="0"/>
      <w:divBdr>
        <w:top w:val="none" w:sz="0" w:space="0" w:color="auto"/>
        <w:left w:val="none" w:sz="0" w:space="0" w:color="auto"/>
        <w:bottom w:val="none" w:sz="0" w:space="0" w:color="auto"/>
        <w:right w:val="none" w:sz="0" w:space="0" w:color="auto"/>
      </w:divBdr>
      <w:divsChild>
        <w:div w:id="1063330567">
          <w:marLeft w:val="0"/>
          <w:marRight w:val="0"/>
          <w:marTop w:val="0"/>
          <w:marBottom w:val="0"/>
          <w:divBdr>
            <w:top w:val="none" w:sz="0" w:space="0" w:color="auto"/>
            <w:left w:val="none" w:sz="0" w:space="0" w:color="auto"/>
            <w:bottom w:val="none" w:sz="0" w:space="0" w:color="auto"/>
            <w:right w:val="none" w:sz="0" w:space="0" w:color="auto"/>
          </w:divBdr>
          <w:divsChild>
            <w:div w:id="1901404234">
              <w:marLeft w:val="0"/>
              <w:marRight w:val="0"/>
              <w:marTop w:val="0"/>
              <w:marBottom w:val="0"/>
              <w:divBdr>
                <w:top w:val="none" w:sz="0" w:space="0" w:color="auto"/>
                <w:left w:val="none" w:sz="0" w:space="0" w:color="auto"/>
                <w:bottom w:val="none" w:sz="0" w:space="0" w:color="auto"/>
                <w:right w:val="none" w:sz="0" w:space="0" w:color="auto"/>
              </w:divBdr>
              <w:divsChild>
                <w:div w:id="358120800">
                  <w:marLeft w:val="0"/>
                  <w:marRight w:val="0"/>
                  <w:marTop w:val="0"/>
                  <w:marBottom w:val="0"/>
                  <w:divBdr>
                    <w:top w:val="none" w:sz="0" w:space="0" w:color="auto"/>
                    <w:left w:val="none" w:sz="0" w:space="0" w:color="auto"/>
                    <w:bottom w:val="none" w:sz="0" w:space="0" w:color="auto"/>
                    <w:right w:val="none" w:sz="0" w:space="0" w:color="auto"/>
                  </w:divBdr>
                  <w:divsChild>
                    <w:div w:id="153198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934183">
          <w:marLeft w:val="0"/>
          <w:marRight w:val="0"/>
          <w:marTop w:val="0"/>
          <w:marBottom w:val="0"/>
          <w:divBdr>
            <w:top w:val="none" w:sz="0" w:space="0" w:color="auto"/>
            <w:left w:val="none" w:sz="0" w:space="0" w:color="auto"/>
            <w:bottom w:val="none" w:sz="0" w:space="0" w:color="auto"/>
            <w:right w:val="none" w:sz="0" w:space="0" w:color="auto"/>
          </w:divBdr>
          <w:divsChild>
            <w:div w:id="949822983">
              <w:marLeft w:val="0"/>
              <w:marRight w:val="0"/>
              <w:marTop w:val="0"/>
              <w:marBottom w:val="0"/>
              <w:divBdr>
                <w:top w:val="none" w:sz="0" w:space="0" w:color="auto"/>
                <w:left w:val="none" w:sz="0" w:space="0" w:color="auto"/>
                <w:bottom w:val="none" w:sz="0" w:space="0" w:color="auto"/>
                <w:right w:val="none" w:sz="0" w:space="0" w:color="auto"/>
              </w:divBdr>
              <w:divsChild>
                <w:div w:id="1337994635">
                  <w:marLeft w:val="0"/>
                  <w:marRight w:val="0"/>
                  <w:marTop w:val="0"/>
                  <w:marBottom w:val="0"/>
                  <w:divBdr>
                    <w:top w:val="none" w:sz="0" w:space="0" w:color="auto"/>
                    <w:left w:val="none" w:sz="0" w:space="0" w:color="auto"/>
                    <w:bottom w:val="none" w:sz="0" w:space="0" w:color="auto"/>
                    <w:right w:val="none" w:sz="0" w:space="0" w:color="auto"/>
                  </w:divBdr>
                  <w:divsChild>
                    <w:div w:id="148570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654687">
      <w:bodyDiv w:val="1"/>
      <w:marLeft w:val="0"/>
      <w:marRight w:val="0"/>
      <w:marTop w:val="0"/>
      <w:marBottom w:val="0"/>
      <w:divBdr>
        <w:top w:val="none" w:sz="0" w:space="0" w:color="auto"/>
        <w:left w:val="none" w:sz="0" w:space="0" w:color="auto"/>
        <w:bottom w:val="none" w:sz="0" w:space="0" w:color="auto"/>
        <w:right w:val="none" w:sz="0" w:space="0" w:color="auto"/>
      </w:divBdr>
      <w:divsChild>
        <w:div w:id="1384868936">
          <w:marLeft w:val="0"/>
          <w:marRight w:val="0"/>
          <w:marTop w:val="0"/>
          <w:marBottom w:val="0"/>
          <w:divBdr>
            <w:top w:val="none" w:sz="0" w:space="0" w:color="auto"/>
            <w:left w:val="none" w:sz="0" w:space="0" w:color="auto"/>
            <w:bottom w:val="none" w:sz="0" w:space="0" w:color="auto"/>
            <w:right w:val="none" w:sz="0" w:space="0" w:color="auto"/>
          </w:divBdr>
          <w:divsChild>
            <w:div w:id="1557278949">
              <w:marLeft w:val="0"/>
              <w:marRight w:val="0"/>
              <w:marTop w:val="0"/>
              <w:marBottom w:val="0"/>
              <w:divBdr>
                <w:top w:val="none" w:sz="0" w:space="0" w:color="auto"/>
                <w:left w:val="none" w:sz="0" w:space="0" w:color="auto"/>
                <w:bottom w:val="none" w:sz="0" w:space="0" w:color="auto"/>
                <w:right w:val="none" w:sz="0" w:space="0" w:color="auto"/>
              </w:divBdr>
              <w:divsChild>
                <w:div w:id="1357464767">
                  <w:marLeft w:val="0"/>
                  <w:marRight w:val="0"/>
                  <w:marTop w:val="0"/>
                  <w:marBottom w:val="0"/>
                  <w:divBdr>
                    <w:top w:val="none" w:sz="0" w:space="0" w:color="auto"/>
                    <w:left w:val="none" w:sz="0" w:space="0" w:color="auto"/>
                    <w:bottom w:val="none" w:sz="0" w:space="0" w:color="auto"/>
                    <w:right w:val="none" w:sz="0" w:space="0" w:color="auto"/>
                  </w:divBdr>
                  <w:divsChild>
                    <w:div w:id="409741347">
                      <w:marLeft w:val="0"/>
                      <w:marRight w:val="0"/>
                      <w:marTop w:val="0"/>
                      <w:marBottom w:val="0"/>
                      <w:divBdr>
                        <w:top w:val="none" w:sz="0" w:space="0" w:color="auto"/>
                        <w:left w:val="none" w:sz="0" w:space="0" w:color="auto"/>
                        <w:bottom w:val="none" w:sz="0" w:space="0" w:color="auto"/>
                        <w:right w:val="none" w:sz="0" w:space="0" w:color="auto"/>
                      </w:divBdr>
                      <w:divsChild>
                        <w:div w:id="1687443486">
                          <w:marLeft w:val="0"/>
                          <w:marRight w:val="0"/>
                          <w:marTop w:val="0"/>
                          <w:marBottom w:val="0"/>
                          <w:divBdr>
                            <w:top w:val="none" w:sz="0" w:space="0" w:color="auto"/>
                            <w:left w:val="none" w:sz="0" w:space="0" w:color="auto"/>
                            <w:bottom w:val="none" w:sz="0" w:space="0" w:color="auto"/>
                            <w:right w:val="none" w:sz="0" w:space="0" w:color="auto"/>
                          </w:divBdr>
                          <w:divsChild>
                            <w:div w:id="100886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212190">
      <w:bodyDiv w:val="1"/>
      <w:marLeft w:val="0"/>
      <w:marRight w:val="0"/>
      <w:marTop w:val="0"/>
      <w:marBottom w:val="0"/>
      <w:divBdr>
        <w:top w:val="none" w:sz="0" w:space="0" w:color="auto"/>
        <w:left w:val="none" w:sz="0" w:space="0" w:color="auto"/>
        <w:bottom w:val="none" w:sz="0" w:space="0" w:color="auto"/>
        <w:right w:val="none" w:sz="0" w:space="0" w:color="auto"/>
      </w:divBdr>
      <w:divsChild>
        <w:div w:id="804659489">
          <w:marLeft w:val="0"/>
          <w:marRight w:val="0"/>
          <w:marTop w:val="0"/>
          <w:marBottom w:val="0"/>
          <w:divBdr>
            <w:top w:val="none" w:sz="0" w:space="0" w:color="auto"/>
            <w:left w:val="none" w:sz="0" w:space="0" w:color="auto"/>
            <w:bottom w:val="none" w:sz="0" w:space="0" w:color="auto"/>
            <w:right w:val="none" w:sz="0" w:space="0" w:color="auto"/>
          </w:divBdr>
          <w:divsChild>
            <w:div w:id="372849709">
              <w:marLeft w:val="0"/>
              <w:marRight w:val="0"/>
              <w:marTop w:val="0"/>
              <w:marBottom w:val="0"/>
              <w:divBdr>
                <w:top w:val="none" w:sz="0" w:space="0" w:color="auto"/>
                <w:left w:val="none" w:sz="0" w:space="0" w:color="auto"/>
                <w:bottom w:val="none" w:sz="0" w:space="0" w:color="auto"/>
                <w:right w:val="none" w:sz="0" w:space="0" w:color="auto"/>
              </w:divBdr>
              <w:divsChild>
                <w:div w:id="1089430335">
                  <w:marLeft w:val="0"/>
                  <w:marRight w:val="0"/>
                  <w:marTop w:val="0"/>
                  <w:marBottom w:val="0"/>
                  <w:divBdr>
                    <w:top w:val="none" w:sz="0" w:space="0" w:color="auto"/>
                    <w:left w:val="none" w:sz="0" w:space="0" w:color="auto"/>
                    <w:bottom w:val="none" w:sz="0" w:space="0" w:color="auto"/>
                    <w:right w:val="none" w:sz="0" w:space="0" w:color="auto"/>
                  </w:divBdr>
                  <w:divsChild>
                    <w:div w:id="95178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331992">
          <w:marLeft w:val="0"/>
          <w:marRight w:val="0"/>
          <w:marTop w:val="0"/>
          <w:marBottom w:val="0"/>
          <w:divBdr>
            <w:top w:val="none" w:sz="0" w:space="0" w:color="auto"/>
            <w:left w:val="none" w:sz="0" w:space="0" w:color="auto"/>
            <w:bottom w:val="none" w:sz="0" w:space="0" w:color="auto"/>
            <w:right w:val="none" w:sz="0" w:space="0" w:color="auto"/>
          </w:divBdr>
          <w:divsChild>
            <w:div w:id="2038313657">
              <w:marLeft w:val="0"/>
              <w:marRight w:val="0"/>
              <w:marTop w:val="0"/>
              <w:marBottom w:val="0"/>
              <w:divBdr>
                <w:top w:val="none" w:sz="0" w:space="0" w:color="auto"/>
                <w:left w:val="none" w:sz="0" w:space="0" w:color="auto"/>
                <w:bottom w:val="none" w:sz="0" w:space="0" w:color="auto"/>
                <w:right w:val="none" w:sz="0" w:space="0" w:color="auto"/>
              </w:divBdr>
              <w:divsChild>
                <w:div w:id="988899071">
                  <w:marLeft w:val="0"/>
                  <w:marRight w:val="0"/>
                  <w:marTop w:val="0"/>
                  <w:marBottom w:val="0"/>
                  <w:divBdr>
                    <w:top w:val="none" w:sz="0" w:space="0" w:color="auto"/>
                    <w:left w:val="none" w:sz="0" w:space="0" w:color="auto"/>
                    <w:bottom w:val="none" w:sz="0" w:space="0" w:color="auto"/>
                    <w:right w:val="none" w:sz="0" w:space="0" w:color="auto"/>
                  </w:divBdr>
                  <w:divsChild>
                    <w:div w:id="186204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89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5194/isprs-annals-X-4-W1-2022-201-2023" TargetMode="External"/><Relationship Id="rId18" Type="http://schemas.openxmlformats.org/officeDocument/2006/relationships/hyperlink" Target="https://doi.org/10.1080/01431161.2018.1433343" TargetMode="External"/><Relationship Id="rId3" Type="http://schemas.openxmlformats.org/officeDocument/2006/relationships/webSettings" Target="webSettings.xml"/><Relationship Id="rId21" Type="http://schemas.openxmlformats.org/officeDocument/2006/relationships/hyperlink" Target="https://doi.org/10.1038/s41586-021-03695-w" TargetMode="External"/><Relationship Id="rId7" Type="http://schemas.openxmlformats.org/officeDocument/2006/relationships/image" Target="media/image3.png"/><Relationship Id="rId12" Type="http://schemas.openxmlformats.org/officeDocument/2006/relationships/hyperlink" Target="https://www.mdpi.com/2073-4441/11/4/786" TargetMode="External"/><Relationship Id="rId17" Type="http://schemas.openxmlformats.org/officeDocument/2006/relationships/hyperlink" Target="https://doi.org/https://doi.org/10.1016/j.ijdrr.2018.10.011"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mdpi.com/2071-1050/13/24/13758" TargetMode="External"/><Relationship Id="rId20" Type="http://schemas.openxmlformats.org/officeDocument/2006/relationships/hyperlink" Target="https://www.mdpi.com/2072-4292/16/2/320"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doi.org/https://doi.org/10.1016/j.rsase.2023.100947"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doi.org/10.1038/s41612-023-00388-1" TargetMode="External"/><Relationship Id="rId23" Type="http://schemas.openxmlformats.org/officeDocument/2006/relationships/hyperlink" Target="https://doi.org/https://doi.org/10.1016/B978-0-12-819412-6.00015-8" TargetMode="External"/><Relationship Id="rId10" Type="http://schemas.openxmlformats.org/officeDocument/2006/relationships/hyperlink" Target="https://www.mdpi.com/2072-4292/7/11/14876" TargetMode="External"/><Relationship Id="rId19" Type="http://schemas.openxmlformats.org/officeDocument/2006/relationships/hyperlink" Target="https://www.mdpi.com/2223-7747/8/2/34" TargetMode="External"/><Relationship Id="rId4" Type="http://schemas.openxmlformats.org/officeDocument/2006/relationships/hyperlink" Target="mailto:saadarg1@yahoo.com" TargetMode="External"/><Relationship Id="rId9" Type="http://schemas.openxmlformats.org/officeDocument/2006/relationships/image" Target="media/image5.png"/><Relationship Id="rId14" Type="http://schemas.openxmlformats.org/officeDocument/2006/relationships/hyperlink" Target="https://www.mdpi.com/2077-0472/13/1/98" TargetMode="External"/><Relationship Id="rId22" Type="http://schemas.openxmlformats.org/officeDocument/2006/relationships/hyperlink" Target="https://doi.org/10.1117/1.JRS.14.0345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427</TotalTime>
  <Pages>12</Pages>
  <Words>2518</Words>
  <Characters>14928</Characters>
  <Application>Microsoft Office Word</Application>
  <DocSecurity>0</DocSecurity>
  <Lines>279</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40</cp:revision>
  <dcterms:created xsi:type="dcterms:W3CDTF">2024-09-06T11:46:00Z</dcterms:created>
  <dcterms:modified xsi:type="dcterms:W3CDTF">2024-09-06T22:14:00Z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dcb31814-2302-4e39-a205-e88dd435f0e4</vt:lpwstr>
  </property>
</Properties>
</file>