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D21877" w14:textId="46DF0C34" w:rsidR="00C8715A" w:rsidRDefault="00C8715A" w:rsidP="0052495E">
      <w:pPr>
        <w:jc w:val="center"/>
        <w:rPr>
          <w:rFonts w:ascii="Times New Roman" w:hAnsi="Times New Roman" w:cs="Times New Roman"/>
          <w:b/>
          <w:bCs/>
          <w:color w:val="4A4748"/>
          <w:sz w:val="28"/>
          <w:szCs w:val="28"/>
          <w:u w:val="single"/>
        </w:rPr>
      </w:pPr>
      <w:r w:rsidRPr="00C8715A">
        <w:rPr>
          <w:rFonts w:ascii="Times New Roman" w:hAnsi="Times New Roman" w:cs="Times New Roman"/>
          <w:b/>
          <w:bCs/>
          <w:color w:val="4A4748"/>
          <w:sz w:val="28"/>
          <w:szCs w:val="28"/>
          <w:u w:val="single"/>
        </w:rPr>
        <w:t>Analysis of gold ETFs as an effective investment tool as compared to physical</w:t>
      </w:r>
      <w:r w:rsidRPr="00C8715A">
        <w:rPr>
          <w:rFonts w:ascii="Times New Roman" w:hAnsi="Times New Roman" w:cs="Times New Roman"/>
          <w:b/>
          <w:bCs/>
          <w:color w:val="4A4748"/>
          <w:spacing w:val="-48"/>
          <w:sz w:val="28"/>
          <w:szCs w:val="28"/>
          <w:u w:val="single"/>
        </w:rPr>
        <w:t xml:space="preserve"> </w:t>
      </w:r>
      <w:r w:rsidRPr="00C8715A">
        <w:rPr>
          <w:rFonts w:ascii="Times New Roman" w:hAnsi="Times New Roman" w:cs="Times New Roman"/>
          <w:b/>
          <w:bCs/>
          <w:color w:val="4A4748"/>
          <w:sz w:val="28"/>
          <w:szCs w:val="28"/>
          <w:u w:val="single"/>
        </w:rPr>
        <w:t>gold</w:t>
      </w:r>
    </w:p>
    <w:p w14:paraId="48DA0223" w14:textId="30E87528" w:rsidR="0052495E" w:rsidRPr="0052495E" w:rsidRDefault="0052495E" w:rsidP="0052495E">
      <w:pPr>
        <w:jc w:val="center"/>
        <w:rPr>
          <w:rFonts w:ascii="Times New Roman" w:hAnsi="Times New Roman" w:cs="Times New Roman"/>
          <w:color w:val="4A4748"/>
        </w:rPr>
      </w:pPr>
      <w:r w:rsidRPr="0052495E">
        <w:rPr>
          <w:rFonts w:ascii="Times New Roman" w:hAnsi="Times New Roman" w:cs="Times New Roman"/>
          <w:color w:val="4A4748"/>
        </w:rPr>
        <w:t>K M Mithun</w:t>
      </w:r>
      <w:r w:rsidR="00552013">
        <w:rPr>
          <w:rFonts w:ascii="Times New Roman" w:hAnsi="Times New Roman" w:cs="Times New Roman"/>
          <w:color w:val="4A4748"/>
        </w:rPr>
        <w:t xml:space="preserve"> [MBA]</w:t>
      </w:r>
    </w:p>
    <w:p w14:paraId="4E030499" w14:textId="68EB3912" w:rsidR="002C17F9" w:rsidRPr="00C8715A" w:rsidRDefault="002C17F9" w:rsidP="00C8715A">
      <w:pPr>
        <w:jc w:val="both"/>
        <w:rPr>
          <w:rFonts w:ascii="Times New Roman" w:hAnsi="Times New Roman" w:cs="Times New Roman"/>
          <w:b/>
          <w:bCs/>
        </w:rPr>
      </w:pPr>
      <w:r w:rsidRPr="00C8715A">
        <w:rPr>
          <w:rFonts w:ascii="Times New Roman" w:hAnsi="Times New Roman" w:cs="Times New Roman"/>
          <w:b/>
          <w:bCs/>
        </w:rPr>
        <w:t>Abstract</w:t>
      </w:r>
      <w:r w:rsidR="00C8715A">
        <w:rPr>
          <w:rFonts w:ascii="Times New Roman" w:hAnsi="Times New Roman" w:cs="Times New Roman"/>
          <w:b/>
          <w:bCs/>
        </w:rPr>
        <w:t>:</w:t>
      </w:r>
    </w:p>
    <w:p w14:paraId="3B044669" w14:textId="7A01544E" w:rsidR="002C17F9" w:rsidRPr="00C8715A" w:rsidRDefault="002C17F9" w:rsidP="00C8715A">
      <w:pPr>
        <w:jc w:val="both"/>
        <w:rPr>
          <w:rFonts w:ascii="Times New Roman" w:hAnsi="Times New Roman" w:cs="Times New Roman"/>
        </w:rPr>
      </w:pPr>
      <w:r w:rsidRPr="00C8715A">
        <w:rPr>
          <w:rFonts w:ascii="Times New Roman" w:hAnsi="Times New Roman" w:cs="Times New Roman"/>
        </w:rPr>
        <w:t xml:space="preserve">This research paper investigates the comparative efficiency of Gold Exchange-Traded Funds (ETFs) versus physical gold as investment instruments for retail investors. Over recent years, Gold ETFs have emerged as a more popular choice among investors due to their trading ease, cost-effectiveness, and liquidity compared to physical gold. However, the efficiency and suitability of Gold ETFs relative to physical gold remain underexplored. This study aims to fill this gap by </w:t>
      </w:r>
      <w:r w:rsidR="00224001" w:rsidRPr="00C8715A">
        <w:rPr>
          <w:rFonts w:ascii="Times New Roman" w:hAnsi="Times New Roman" w:cs="Times New Roman"/>
        </w:rPr>
        <w:t>analysing</w:t>
      </w:r>
      <w:r w:rsidRPr="00C8715A">
        <w:rPr>
          <w:rFonts w:ascii="Times New Roman" w:hAnsi="Times New Roman" w:cs="Times New Roman"/>
        </w:rPr>
        <w:t xml:space="preserve"> various performance metrics, including returns, volatility, liquidity, convenience, and associated risks. The analysis spans data from 2020 to 2024, focusing on several Gold ETFs and comparing their performance against physical gold. The findings suggest that while Gold ETFs offer superior liquidity and performance metrics, physical gold retains value as a tangible asset and a hedge against inflation.</w:t>
      </w:r>
    </w:p>
    <w:p w14:paraId="2B60CE45" w14:textId="02CA40D7" w:rsidR="002C17F9" w:rsidRPr="00C8715A" w:rsidRDefault="002C17F9" w:rsidP="00C8715A">
      <w:pPr>
        <w:jc w:val="both"/>
        <w:rPr>
          <w:rFonts w:ascii="Times New Roman" w:hAnsi="Times New Roman" w:cs="Times New Roman"/>
          <w:b/>
          <w:bCs/>
        </w:rPr>
      </w:pPr>
      <w:r w:rsidRPr="00C8715A">
        <w:rPr>
          <w:rFonts w:ascii="Times New Roman" w:hAnsi="Times New Roman" w:cs="Times New Roman"/>
          <w:b/>
          <w:bCs/>
        </w:rPr>
        <w:t>Introduction</w:t>
      </w:r>
    </w:p>
    <w:p w14:paraId="1B07D8A6" w14:textId="66A72239" w:rsidR="002C17F9" w:rsidRPr="00C8715A" w:rsidRDefault="002C17F9" w:rsidP="00C8715A">
      <w:pPr>
        <w:jc w:val="both"/>
        <w:rPr>
          <w:rFonts w:ascii="Times New Roman" w:hAnsi="Times New Roman" w:cs="Times New Roman"/>
        </w:rPr>
      </w:pPr>
      <w:r w:rsidRPr="00C8715A">
        <w:rPr>
          <w:rFonts w:ascii="Times New Roman" w:hAnsi="Times New Roman" w:cs="Times New Roman"/>
        </w:rPr>
        <w:t>Gold has historically been a preferred asset for investment, offering a hedge against inflation and economic uncertainty. In recent years, Gold ETFs have emerged as a popular alternative to physical gold. They offer various advantages, including ease of trading, lower transaction costs, and improved liquidity. Despite these benefits, the debate on whether Gold ETFs are superior to physical gold for retail investors remains unresolved. This research paper seeks to address this debate by examining the performance, risks, and overall efficiency of Gold ETFs compared to physical gold.</w:t>
      </w:r>
    </w:p>
    <w:p w14:paraId="12830A49" w14:textId="77777777" w:rsidR="00224001" w:rsidRDefault="002C17F9" w:rsidP="00C8715A">
      <w:pPr>
        <w:jc w:val="both"/>
        <w:rPr>
          <w:rFonts w:ascii="Times New Roman" w:hAnsi="Times New Roman" w:cs="Times New Roman"/>
          <w:b/>
          <w:bCs/>
        </w:rPr>
      </w:pPr>
      <w:r w:rsidRPr="00C8715A">
        <w:rPr>
          <w:rFonts w:ascii="Times New Roman" w:hAnsi="Times New Roman" w:cs="Times New Roman"/>
          <w:b/>
          <w:bCs/>
        </w:rPr>
        <w:t>Statement of the Problem</w:t>
      </w:r>
    </w:p>
    <w:p w14:paraId="4958E8C1" w14:textId="708752DE" w:rsidR="002C17F9" w:rsidRPr="00224001" w:rsidRDefault="002C17F9" w:rsidP="00C8715A">
      <w:pPr>
        <w:jc w:val="both"/>
        <w:rPr>
          <w:rFonts w:ascii="Times New Roman" w:hAnsi="Times New Roman" w:cs="Times New Roman"/>
          <w:b/>
          <w:bCs/>
        </w:rPr>
      </w:pPr>
      <w:r w:rsidRPr="00C8715A">
        <w:rPr>
          <w:rFonts w:ascii="Times New Roman" w:hAnsi="Times New Roman" w:cs="Times New Roman"/>
        </w:rPr>
        <w:t xml:space="preserve">Gold ETFs have gained </w:t>
      </w:r>
      <w:r w:rsidR="00C8715A" w:rsidRPr="00C8715A">
        <w:rPr>
          <w:rFonts w:ascii="Times New Roman" w:hAnsi="Times New Roman" w:cs="Times New Roman"/>
        </w:rPr>
        <w:t>favour</w:t>
      </w:r>
      <w:r w:rsidRPr="00C8715A">
        <w:rPr>
          <w:rFonts w:ascii="Times New Roman" w:hAnsi="Times New Roman" w:cs="Times New Roman"/>
        </w:rPr>
        <w:t xml:space="preserve"> among retail investors, as evidenced by a significant increase in the number of accounts in recent years. However, many investors are still unclear about whether Gold ETFs represent a better investment option compared to physical gold. This study aims to determine whether Gold ETFs are indeed a more advantageous investment compared to physical gold.</w:t>
      </w:r>
    </w:p>
    <w:p w14:paraId="00D459BF" w14:textId="7ECB6371" w:rsidR="002C17F9" w:rsidRPr="00224001" w:rsidRDefault="002C17F9" w:rsidP="00C8715A">
      <w:pPr>
        <w:jc w:val="both"/>
        <w:rPr>
          <w:rFonts w:ascii="Times New Roman" w:hAnsi="Times New Roman" w:cs="Times New Roman"/>
          <w:b/>
          <w:bCs/>
        </w:rPr>
      </w:pPr>
      <w:r w:rsidRPr="00224001">
        <w:rPr>
          <w:rFonts w:ascii="Times New Roman" w:hAnsi="Times New Roman" w:cs="Times New Roman"/>
          <w:b/>
          <w:bCs/>
        </w:rPr>
        <w:t>Objectives of the Study</w:t>
      </w:r>
    </w:p>
    <w:p w14:paraId="6D83B50C" w14:textId="7E495FBC" w:rsidR="002C17F9" w:rsidRPr="00224001" w:rsidRDefault="002C17F9" w:rsidP="00224001">
      <w:pPr>
        <w:pStyle w:val="ListParagraph"/>
        <w:numPr>
          <w:ilvl w:val="0"/>
          <w:numId w:val="5"/>
        </w:numPr>
        <w:jc w:val="both"/>
        <w:rPr>
          <w:rFonts w:ascii="Times New Roman" w:hAnsi="Times New Roman" w:cs="Times New Roman"/>
        </w:rPr>
      </w:pPr>
      <w:r w:rsidRPr="00224001">
        <w:rPr>
          <w:rFonts w:ascii="Times New Roman" w:hAnsi="Times New Roman" w:cs="Times New Roman"/>
        </w:rPr>
        <w:t xml:space="preserve">To </w:t>
      </w:r>
      <w:r w:rsidR="00224001" w:rsidRPr="00224001">
        <w:rPr>
          <w:rFonts w:ascii="Times New Roman" w:hAnsi="Times New Roman" w:cs="Times New Roman"/>
        </w:rPr>
        <w:t>analyse</w:t>
      </w:r>
      <w:r w:rsidR="00224001">
        <w:rPr>
          <w:rFonts w:ascii="Times New Roman" w:hAnsi="Times New Roman" w:cs="Times New Roman"/>
        </w:rPr>
        <w:t xml:space="preserve"> </w:t>
      </w:r>
      <w:r w:rsidRPr="00224001">
        <w:rPr>
          <w:rFonts w:ascii="Times New Roman" w:hAnsi="Times New Roman" w:cs="Times New Roman"/>
        </w:rPr>
        <w:t>gold as an investment tool and evaluate the merits and demerits of Gold ETFs.</w:t>
      </w:r>
    </w:p>
    <w:p w14:paraId="70C58432" w14:textId="0B4C709E" w:rsidR="002C17F9" w:rsidRPr="00224001" w:rsidRDefault="002C17F9" w:rsidP="00224001">
      <w:pPr>
        <w:pStyle w:val="ListParagraph"/>
        <w:numPr>
          <w:ilvl w:val="0"/>
          <w:numId w:val="5"/>
        </w:numPr>
        <w:jc w:val="both"/>
        <w:rPr>
          <w:rFonts w:ascii="Times New Roman" w:hAnsi="Times New Roman" w:cs="Times New Roman"/>
        </w:rPr>
      </w:pPr>
      <w:r w:rsidRPr="00224001">
        <w:rPr>
          <w:rFonts w:ascii="Times New Roman" w:hAnsi="Times New Roman" w:cs="Times New Roman"/>
        </w:rPr>
        <w:t>To examine the risk and return profiles of selected Gold ETFs and physical gold.</w:t>
      </w:r>
    </w:p>
    <w:p w14:paraId="3BC7E52F" w14:textId="20C92969" w:rsidR="00235047" w:rsidRPr="00235047" w:rsidRDefault="002C17F9" w:rsidP="00235047">
      <w:pPr>
        <w:pStyle w:val="ListParagraph"/>
        <w:numPr>
          <w:ilvl w:val="0"/>
          <w:numId w:val="5"/>
        </w:numPr>
        <w:jc w:val="both"/>
        <w:rPr>
          <w:rFonts w:ascii="Times New Roman" w:hAnsi="Times New Roman" w:cs="Times New Roman"/>
        </w:rPr>
      </w:pPr>
      <w:r w:rsidRPr="00224001">
        <w:rPr>
          <w:rFonts w:ascii="Times New Roman" w:hAnsi="Times New Roman" w:cs="Times New Roman"/>
        </w:rPr>
        <w:t>To assess the performance of Gold ETFs and identify the most suitable option for retail investors compared to physical gold.</w:t>
      </w:r>
    </w:p>
    <w:p w14:paraId="086CE91A" w14:textId="7720AEB2" w:rsidR="002C17F9" w:rsidRPr="00224001" w:rsidRDefault="002C17F9" w:rsidP="00C8715A">
      <w:pPr>
        <w:jc w:val="both"/>
        <w:rPr>
          <w:rFonts w:ascii="Times New Roman" w:hAnsi="Times New Roman" w:cs="Times New Roman"/>
          <w:b/>
          <w:bCs/>
        </w:rPr>
      </w:pPr>
      <w:r w:rsidRPr="00224001">
        <w:rPr>
          <w:rFonts w:ascii="Times New Roman" w:hAnsi="Times New Roman" w:cs="Times New Roman"/>
          <w:b/>
          <w:bCs/>
        </w:rPr>
        <w:t>Literature Review</w:t>
      </w:r>
    </w:p>
    <w:p w14:paraId="78F61EF5" w14:textId="7D135C3F" w:rsidR="002C17F9" w:rsidRPr="00224001" w:rsidRDefault="002C17F9" w:rsidP="00C8715A">
      <w:pPr>
        <w:jc w:val="both"/>
        <w:rPr>
          <w:rFonts w:ascii="Times New Roman" w:hAnsi="Times New Roman" w:cs="Times New Roman"/>
          <w:b/>
          <w:bCs/>
        </w:rPr>
      </w:pPr>
      <w:r w:rsidRPr="00224001">
        <w:rPr>
          <w:rFonts w:ascii="Times New Roman" w:hAnsi="Times New Roman" w:cs="Times New Roman"/>
          <w:b/>
          <w:bCs/>
        </w:rPr>
        <w:t xml:space="preserve"> 2.1 Gold as an Investment</w:t>
      </w:r>
      <w:r w:rsidR="00224001">
        <w:rPr>
          <w:rFonts w:ascii="Times New Roman" w:hAnsi="Times New Roman" w:cs="Times New Roman"/>
          <w:b/>
          <w:bCs/>
        </w:rPr>
        <w:t>.</w:t>
      </w:r>
    </w:p>
    <w:p w14:paraId="150EA587" w14:textId="62F068DB" w:rsidR="002C17F9" w:rsidRPr="00C8715A" w:rsidRDefault="002C17F9" w:rsidP="00C8715A">
      <w:pPr>
        <w:jc w:val="both"/>
        <w:rPr>
          <w:rFonts w:ascii="Times New Roman" w:hAnsi="Times New Roman" w:cs="Times New Roman"/>
        </w:rPr>
      </w:pPr>
      <w:r w:rsidRPr="00C8715A">
        <w:rPr>
          <w:rFonts w:ascii="Times New Roman" w:hAnsi="Times New Roman" w:cs="Times New Roman"/>
        </w:rPr>
        <w:t xml:space="preserve">Gold has long been considered a safe-haven asset due to its ability to retain value during economic downturns. Traditional forms of gold investment include physical gold (bullion, </w:t>
      </w:r>
      <w:r w:rsidRPr="00C8715A">
        <w:rPr>
          <w:rFonts w:ascii="Times New Roman" w:hAnsi="Times New Roman" w:cs="Times New Roman"/>
        </w:rPr>
        <w:lastRenderedPageBreak/>
        <w:t xml:space="preserve">coins, and </w:t>
      </w:r>
      <w:r w:rsidR="00235047" w:rsidRPr="00C8715A">
        <w:rPr>
          <w:rFonts w:ascii="Times New Roman" w:hAnsi="Times New Roman" w:cs="Times New Roman"/>
        </w:rPr>
        <w:t>jewellery</w:t>
      </w:r>
      <w:r w:rsidRPr="00C8715A">
        <w:rPr>
          <w:rFonts w:ascii="Times New Roman" w:hAnsi="Times New Roman" w:cs="Times New Roman"/>
        </w:rPr>
        <w:t>), which offers tangible ownership but comes with challenges such as storage and insurance costs.</w:t>
      </w:r>
    </w:p>
    <w:p w14:paraId="4C76C617" w14:textId="59878F81" w:rsidR="002C17F9" w:rsidRPr="00235047" w:rsidRDefault="002C17F9" w:rsidP="00C8715A">
      <w:pPr>
        <w:jc w:val="both"/>
        <w:rPr>
          <w:rFonts w:ascii="Times New Roman" w:hAnsi="Times New Roman" w:cs="Times New Roman"/>
          <w:b/>
          <w:bCs/>
        </w:rPr>
      </w:pPr>
      <w:r w:rsidRPr="00235047">
        <w:rPr>
          <w:rFonts w:ascii="Times New Roman" w:hAnsi="Times New Roman" w:cs="Times New Roman"/>
          <w:b/>
          <w:bCs/>
        </w:rPr>
        <w:t>2.2 Gold ETFs</w:t>
      </w:r>
    </w:p>
    <w:p w14:paraId="3481F035" w14:textId="6BBAA0DB" w:rsidR="002C17F9" w:rsidRPr="00C8715A" w:rsidRDefault="002C17F9" w:rsidP="00C8715A">
      <w:pPr>
        <w:jc w:val="both"/>
        <w:rPr>
          <w:rFonts w:ascii="Times New Roman" w:hAnsi="Times New Roman" w:cs="Times New Roman"/>
        </w:rPr>
      </w:pPr>
      <w:r w:rsidRPr="00C8715A">
        <w:rPr>
          <w:rFonts w:ascii="Times New Roman" w:hAnsi="Times New Roman" w:cs="Times New Roman"/>
        </w:rPr>
        <w:t>Gold ETFs are investment funds that trade on stock exchanges and are designed to track the price of gold. They provide investors with exposure to gold without the need to physically store it. Previous studies suggest that Gold ETFs offer advantages in terms of liquidity, lower transaction costs, and ease of trading compared to physical gold (Smith, 2020; Johnson &amp; Lee, 2021).</w:t>
      </w:r>
    </w:p>
    <w:p w14:paraId="3D5D9744" w14:textId="404E19AE" w:rsidR="002C17F9" w:rsidRPr="00235047" w:rsidRDefault="002C17F9" w:rsidP="00C8715A">
      <w:pPr>
        <w:jc w:val="both"/>
        <w:rPr>
          <w:rFonts w:ascii="Times New Roman" w:hAnsi="Times New Roman" w:cs="Times New Roman"/>
          <w:b/>
          <w:bCs/>
        </w:rPr>
      </w:pPr>
      <w:r w:rsidRPr="00235047">
        <w:rPr>
          <w:rFonts w:ascii="Times New Roman" w:hAnsi="Times New Roman" w:cs="Times New Roman"/>
          <w:b/>
          <w:bCs/>
        </w:rPr>
        <w:t>2.3 Comparative Analysis</w:t>
      </w:r>
    </w:p>
    <w:p w14:paraId="62983BE9" w14:textId="55827DA2" w:rsidR="00847A51" w:rsidRPr="00C8715A" w:rsidRDefault="002C17F9" w:rsidP="00C8715A">
      <w:pPr>
        <w:jc w:val="both"/>
        <w:rPr>
          <w:rFonts w:ascii="Times New Roman" w:hAnsi="Times New Roman" w:cs="Times New Roman"/>
        </w:rPr>
      </w:pPr>
      <w:r w:rsidRPr="00C8715A">
        <w:rPr>
          <w:rFonts w:ascii="Times New Roman" w:hAnsi="Times New Roman" w:cs="Times New Roman"/>
        </w:rPr>
        <w:t>Research comparing Gold ETFs and physical gold often highlights the liquidity and cost-efficiency advantages of ETFs. However, physical gold is valued for its tangible nature and historical role as a store of value (Brown &amp; Harris, 2022). This study extends this literature by providing a detailed comparative analysis of recent data.</w:t>
      </w:r>
      <w:r w:rsidR="00A418F0">
        <w:rPr>
          <w:rFonts w:ascii="Times New Roman" w:hAnsi="Times New Roman" w:cs="Times New Roman"/>
        </w:rPr>
        <w:t>s</w:t>
      </w:r>
    </w:p>
    <w:p w14:paraId="6CD28E6B" w14:textId="17EBC6BE" w:rsidR="00235047" w:rsidRDefault="002C17F9" w:rsidP="00C8715A">
      <w:pPr>
        <w:jc w:val="both"/>
        <w:rPr>
          <w:rFonts w:ascii="Times New Roman" w:hAnsi="Times New Roman" w:cs="Times New Roman"/>
          <w:b/>
          <w:bCs/>
        </w:rPr>
      </w:pPr>
      <w:r w:rsidRPr="00235047">
        <w:rPr>
          <w:rFonts w:ascii="Times New Roman" w:hAnsi="Times New Roman" w:cs="Times New Roman"/>
          <w:b/>
          <w:bCs/>
        </w:rPr>
        <w:t>3. Research Methodology</w:t>
      </w:r>
    </w:p>
    <w:p w14:paraId="06CA680C" w14:textId="462DECD4" w:rsidR="002C17F9" w:rsidRPr="00235047" w:rsidRDefault="002C17F9" w:rsidP="00C8715A">
      <w:pPr>
        <w:jc w:val="both"/>
        <w:rPr>
          <w:rFonts w:ascii="Times New Roman" w:hAnsi="Times New Roman" w:cs="Times New Roman"/>
          <w:b/>
          <w:bCs/>
        </w:rPr>
      </w:pPr>
      <w:r w:rsidRPr="00235047">
        <w:rPr>
          <w:rFonts w:ascii="Times New Roman" w:hAnsi="Times New Roman" w:cs="Times New Roman"/>
          <w:b/>
          <w:bCs/>
        </w:rPr>
        <w:t>3.1 Data Collection</w:t>
      </w:r>
    </w:p>
    <w:p w14:paraId="1E065360" w14:textId="2DABA60B" w:rsidR="002C17F9" w:rsidRPr="00C8715A" w:rsidRDefault="002C17F9" w:rsidP="00C8715A">
      <w:pPr>
        <w:jc w:val="both"/>
        <w:rPr>
          <w:rFonts w:ascii="Times New Roman" w:hAnsi="Times New Roman" w:cs="Times New Roman"/>
        </w:rPr>
      </w:pPr>
      <w:r w:rsidRPr="00C8715A">
        <w:rPr>
          <w:rFonts w:ascii="Times New Roman" w:hAnsi="Times New Roman" w:cs="Times New Roman"/>
        </w:rPr>
        <w:t xml:space="preserve">This study uses quantitative research methodology, </w:t>
      </w:r>
      <w:r w:rsidR="00235047" w:rsidRPr="00C8715A">
        <w:rPr>
          <w:rFonts w:ascii="Times New Roman" w:hAnsi="Times New Roman" w:cs="Times New Roman"/>
        </w:rPr>
        <w:t>analysing</w:t>
      </w:r>
      <w:r w:rsidRPr="00C8715A">
        <w:rPr>
          <w:rFonts w:ascii="Times New Roman" w:hAnsi="Times New Roman" w:cs="Times New Roman"/>
        </w:rPr>
        <w:t xml:space="preserve"> data from 2020 to 2024. Data sources include historical price data, Net Asset Values (NAVs), and trading volumes of selected Gold ETFs (Nippon India Gold ETF, Nifty Be, ICICI Prudential Gold ETF, etc.). The performance of these ETFs is compared with physical gold prices over the same period.</w:t>
      </w:r>
    </w:p>
    <w:p w14:paraId="0DB61216" w14:textId="37A5FE70" w:rsidR="002C17F9" w:rsidRPr="00235047" w:rsidRDefault="002C17F9" w:rsidP="00C8715A">
      <w:pPr>
        <w:jc w:val="both"/>
        <w:rPr>
          <w:rFonts w:ascii="Times New Roman" w:hAnsi="Times New Roman" w:cs="Times New Roman"/>
          <w:b/>
          <w:bCs/>
        </w:rPr>
      </w:pPr>
      <w:r w:rsidRPr="00235047">
        <w:rPr>
          <w:rFonts w:ascii="Times New Roman" w:hAnsi="Times New Roman" w:cs="Times New Roman"/>
          <w:b/>
          <w:bCs/>
        </w:rPr>
        <w:t>3.2 Analytical Tools</w:t>
      </w:r>
    </w:p>
    <w:p w14:paraId="1CE07D1B" w14:textId="77777777" w:rsidR="002C17F9" w:rsidRPr="00C8715A" w:rsidRDefault="002C17F9" w:rsidP="00C8715A">
      <w:pPr>
        <w:jc w:val="both"/>
        <w:rPr>
          <w:rFonts w:ascii="Times New Roman" w:hAnsi="Times New Roman" w:cs="Times New Roman"/>
        </w:rPr>
      </w:pPr>
      <w:r w:rsidRPr="00C8715A">
        <w:rPr>
          <w:rFonts w:ascii="Times New Roman" w:hAnsi="Times New Roman" w:cs="Times New Roman"/>
        </w:rPr>
        <w:t>Performance analysis will involve statistical tools and financial metrics, including:</w:t>
      </w:r>
    </w:p>
    <w:p w14:paraId="6B2C479A" w14:textId="7FF2EA52" w:rsidR="002C17F9" w:rsidRPr="00235047" w:rsidRDefault="002C17F9" w:rsidP="00235047">
      <w:pPr>
        <w:pStyle w:val="ListParagraph"/>
        <w:numPr>
          <w:ilvl w:val="0"/>
          <w:numId w:val="8"/>
        </w:numPr>
        <w:jc w:val="both"/>
        <w:rPr>
          <w:rFonts w:ascii="Times New Roman" w:hAnsi="Times New Roman" w:cs="Times New Roman"/>
        </w:rPr>
      </w:pPr>
      <w:r w:rsidRPr="00235047">
        <w:rPr>
          <w:rFonts w:ascii="Times New Roman" w:hAnsi="Times New Roman" w:cs="Times New Roman"/>
        </w:rPr>
        <w:t>CAGR (Compound Annual Growth Rate)</w:t>
      </w:r>
    </w:p>
    <w:p w14:paraId="1CC3D423" w14:textId="06ABEB2F" w:rsidR="002C17F9" w:rsidRPr="00235047" w:rsidRDefault="002C17F9" w:rsidP="00235047">
      <w:pPr>
        <w:pStyle w:val="ListParagraph"/>
        <w:numPr>
          <w:ilvl w:val="0"/>
          <w:numId w:val="8"/>
        </w:numPr>
        <w:jc w:val="both"/>
        <w:rPr>
          <w:rFonts w:ascii="Times New Roman" w:hAnsi="Times New Roman" w:cs="Times New Roman"/>
        </w:rPr>
      </w:pPr>
      <w:r w:rsidRPr="00235047">
        <w:rPr>
          <w:rFonts w:ascii="Times New Roman" w:hAnsi="Times New Roman" w:cs="Times New Roman"/>
        </w:rPr>
        <w:t>Sharpe Ratio</w:t>
      </w:r>
    </w:p>
    <w:p w14:paraId="1FADF97D" w14:textId="203AA0DB" w:rsidR="002C17F9" w:rsidRPr="00235047" w:rsidRDefault="002C17F9" w:rsidP="00235047">
      <w:pPr>
        <w:pStyle w:val="ListParagraph"/>
        <w:numPr>
          <w:ilvl w:val="0"/>
          <w:numId w:val="8"/>
        </w:numPr>
        <w:jc w:val="both"/>
        <w:rPr>
          <w:rFonts w:ascii="Times New Roman" w:hAnsi="Times New Roman" w:cs="Times New Roman"/>
        </w:rPr>
      </w:pPr>
      <w:r w:rsidRPr="00235047">
        <w:rPr>
          <w:rFonts w:ascii="Times New Roman" w:hAnsi="Times New Roman" w:cs="Times New Roman"/>
        </w:rPr>
        <w:t>Treynor Ratio</w:t>
      </w:r>
    </w:p>
    <w:p w14:paraId="704901C8" w14:textId="0BE38840" w:rsidR="002C17F9" w:rsidRPr="00235047" w:rsidRDefault="002C17F9" w:rsidP="00235047">
      <w:pPr>
        <w:pStyle w:val="ListParagraph"/>
        <w:numPr>
          <w:ilvl w:val="0"/>
          <w:numId w:val="8"/>
        </w:numPr>
        <w:jc w:val="both"/>
        <w:rPr>
          <w:rFonts w:ascii="Times New Roman" w:hAnsi="Times New Roman" w:cs="Times New Roman"/>
        </w:rPr>
      </w:pPr>
      <w:r w:rsidRPr="00235047">
        <w:rPr>
          <w:rFonts w:ascii="Times New Roman" w:hAnsi="Times New Roman" w:cs="Times New Roman"/>
        </w:rPr>
        <w:t>Jensen's Alpha</w:t>
      </w:r>
    </w:p>
    <w:p w14:paraId="3BD63989" w14:textId="641E1E92" w:rsidR="002C17F9" w:rsidRPr="00235047" w:rsidRDefault="002C17F9" w:rsidP="00235047">
      <w:pPr>
        <w:pStyle w:val="ListParagraph"/>
        <w:numPr>
          <w:ilvl w:val="0"/>
          <w:numId w:val="8"/>
        </w:numPr>
        <w:jc w:val="both"/>
        <w:rPr>
          <w:rFonts w:ascii="Times New Roman" w:hAnsi="Times New Roman" w:cs="Times New Roman"/>
        </w:rPr>
      </w:pPr>
      <w:r w:rsidRPr="00235047">
        <w:rPr>
          <w:rFonts w:ascii="Times New Roman" w:hAnsi="Times New Roman" w:cs="Times New Roman"/>
        </w:rPr>
        <w:t>Volatility</w:t>
      </w:r>
    </w:p>
    <w:p w14:paraId="246A1B8E" w14:textId="2E175F8F" w:rsidR="002C17F9" w:rsidRPr="00235047" w:rsidRDefault="002C17F9" w:rsidP="00235047">
      <w:pPr>
        <w:pStyle w:val="ListParagraph"/>
        <w:numPr>
          <w:ilvl w:val="0"/>
          <w:numId w:val="8"/>
        </w:numPr>
        <w:jc w:val="both"/>
        <w:rPr>
          <w:rFonts w:ascii="Times New Roman" w:hAnsi="Times New Roman" w:cs="Times New Roman"/>
        </w:rPr>
      </w:pPr>
      <w:r w:rsidRPr="00235047">
        <w:rPr>
          <w:rFonts w:ascii="Times New Roman" w:hAnsi="Times New Roman" w:cs="Times New Roman"/>
        </w:rPr>
        <w:t>Standard Deviation</w:t>
      </w:r>
    </w:p>
    <w:p w14:paraId="15AFE7D0" w14:textId="1486BC84" w:rsidR="002C17F9" w:rsidRPr="00235047" w:rsidRDefault="002C17F9" w:rsidP="00235047">
      <w:pPr>
        <w:pStyle w:val="ListParagraph"/>
        <w:numPr>
          <w:ilvl w:val="0"/>
          <w:numId w:val="8"/>
        </w:numPr>
        <w:jc w:val="both"/>
        <w:rPr>
          <w:rFonts w:ascii="Times New Roman" w:hAnsi="Times New Roman" w:cs="Times New Roman"/>
        </w:rPr>
      </w:pPr>
      <w:r w:rsidRPr="00235047">
        <w:rPr>
          <w:rFonts w:ascii="Times New Roman" w:hAnsi="Times New Roman" w:cs="Times New Roman"/>
        </w:rPr>
        <w:t>Correlation Coefficients</w:t>
      </w:r>
    </w:p>
    <w:p w14:paraId="01010E6A" w14:textId="1A9F4531" w:rsidR="002C17F9" w:rsidRDefault="002C17F9" w:rsidP="00C8715A">
      <w:pPr>
        <w:jc w:val="both"/>
        <w:rPr>
          <w:rFonts w:ascii="Times New Roman" w:hAnsi="Times New Roman" w:cs="Times New Roman"/>
        </w:rPr>
      </w:pPr>
      <w:r w:rsidRPr="00C8715A">
        <w:rPr>
          <w:rFonts w:ascii="Times New Roman" w:hAnsi="Times New Roman" w:cs="Times New Roman"/>
        </w:rPr>
        <w:t>The Nifty50 Index will serve as a benchmark index for comparison.</w:t>
      </w:r>
    </w:p>
    <w:p w14:paraId="19ED0C86" w14:textId="77777777" w:rsidR="002F19C6" w:rsidRDefault="002F19C6" w:rsidP="00847A51">
      <w:pPr>
        <w:spacing w:line="276" w:lineRule="auto"/>
        <w:rPr>
          <w:rFonts w:ascii="Times New Roman" w:hAnsi="Times New Roman" w:cs="Times New Roman"/>
          <w:b/>
          <w:bCs/>
        </w:rPr>
      </w:pPr>
    </w:p>
    <w:p w14:paraId="53CCD750" w14:textId="5D9AE26B" w:rsidR="00755399" w:rsidRDefault="00755399" w:rsidP="00847A51">
      <w:pPr>
        <w:spacing w:line="276" w:lineRule="auto"/>
        <w:rPr>
          <w:rFonts w:ascii="Times New Roman" w:hAnsi="Times New Roman" w:cs="Times New Roman"/>
          <w:b/>
          <w:bCs/>
        </w:rPr>
      </w:pPr>
      <w:r w:rsidRPr="00A13780">
        <w:rPr>
          <w:rFonts w:ascii="Times New Roman" w:hAnsi="Times New Roman" w:cs="Times New Roman"/>
          <w:b/>
          <w:bCs/>
        </w:rPr>
        <w:t>YEAR WISE PERFORMANCE OF 7 GOLD ETF’s USING SHARPE RATIO, TREYNOR RATIO AND JENSEN RATIO</w:t>
      </w:r>
    </w:p>
    <w:p w14:paraId="07BF1CE1" w14:textId="77777777" w:rsidR="00240982" w:rsidRDefault="00755399" w:rsidP="00847A51">
      <w:pPr>
        <w:spacing w:line="276" w:lineRule="auto"/>
        <w:rPr>
          <w:rFonts w:ascii="Times New Roman" w:hAnsi="Times New Roman" w:cs="Times New Roman"/>
          <w:b/>
          <w:bCs/>
        </w:rPr>
      </w:pPr>
      <w:r w:rsidRPr="007258DD">
        <w:rPr>
          <w:rFonts w:ascii="Times New Roman" w:hAnsi="Times New Roman" w:cs="Times New Roman"/>
          <w:b/>
          <w:bCs/>
        </w:rPr>
        <w:t>SHARPE RATIO</w:t>
      </w:r>
    </w:p>
    <w:p w14:paraId="1491452F" w14:textId="0C0A71DF" w:rsidR="00755399" w:rsidRDefault="00755399" w:rsidP="00847A51">
      <w:pPr>
        <w:spacing w:line="276" w:lineRule="auto"/>
        <w:rPr>
          <w:rFonts w:ascii="Times New Roman" w:hAnsi="Times New Roman" w:cs="Times New Roman"/>
          <w:b/>
        </w:rPr>
      </w:pPr>
      <w:r w:rsidRPr="00240982">
        <w:rPr>
          <w:rFonts w:ascii="Times New Roman" w:hAnsi="Times New Roman" w:cs="Times New Roman"/>
          <w:b/>
        </w:rPr>
        <w:t xml:space="preserve"> Table Outlining Performance of various Gold ETF using Sharpe model. </w:t>
      </w:r>
    </w:p>
    <w:p w14:paraId="4698D7C6" w14:textId="77777777" w:rsidR="00A418F0" w:rsidRPr="00240982" w:rsidRDefault="00A418F0" w:rsidP="00847A51">
      <w:pPr>
        <w:spacing w:line="276" w:lineRule="auto"/>
        <w:rPr>
          <w:rFonts w:ascii="Times New Roman" w:hAnsi="Times New Roman" w:cs="Times New Roman"/>
          <w:b/>
          <w:bCs/>
        </w:rPr>
      </w:pPr>
    </w:p>
    <w:tbl>
      <w:tblPr>
        <w:tblW w:w="104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77"/>
        <w:gridCol w:w="1187"/>
        <w:gridCol w:w="1187"/>
        <w:gridCol w:w="1270"/>
        <w:gridCol w:w="1270"/>
        <w:gridCol w:w="1442"/>
        <w:gridCol w:w="1442"/>
      </w:tblGrid>
      <w:tr w:rsidR="002F19C6" w:rsidRPr="00A13780" w14:paraId="0BDC4356" w14:textId="77777777" w:rsidTr="002F19C6">
        <w:trPr>
          <w:trHeight w:val="250"/>
          <w:jc w:val="center"/>
        </w:trPr>
        <w:tc>
          <w:tcPr>
            <w:tcW w:w="2677" w:type="dxa"/>
            <w:tcBorders>
              <w:top w:val="single" w:sz="4" w:space="0" w:color="000000"/>
              <w:left w:val="single" w:sz="4" w:space="0" w:color="000000"/>
              <w:bottom w:val="single" w:sz="4" w:space="0" w:color="000000"/>
              <w:right w:val="single" w:sz="4" w:space="0" w:color="000000"/>
            </w:tcBorders>
            <w:hideMark/>
          </w:tcPr>
          <w:p w14:paraId="2417E488" w14:textId="77777777" w:rsidR="00755399" w:rsidRPr="00B84142" w:rsidRDefault="00755399" w:rsidP="00847A51">
            <w:pPr>
              <w:spacing w:line="276" w:lineRule="auto"/>
              <w:jc w:val="center"/>
              <w:rPr>
                <w:rFonts w:ascii="Times New Roman" w:hAnsi="Times New Roman" w:cs="Times New Roman"/>
                <w:b/>
                <w:bCs/>
              </w:rPr>
            </w:pPr>
            <w:r w:rsidRPr="00B84142">
              <w:rPr>
                <w:rFonts w:ascii="Times New Roman" w:hAnsi="Times New Roman" w:cs="Times New Roman"/>
                <w:b/>
                <w:bCs/>
              </w:rPr>
              <w:lastRenderedPageBreak/>
              <w:t>Gold ETF/YEAR</w:t>
            </w:r>
          </w:p>
        </w:tc>
        <w:tc>
          <w:tcPr>
            <w:tcW w:w="1187" w:type="dxa"/>
            <w:tcBorders>
              <w:top w:val="single" w:sz="4" w:space="0" w:color="000000"/>
              <w:left w:val="single" w:sz="4" w:space="0" w:color="000000"/>
              <w:bottom w:val="single" w:sz="4" w:space="0" w:color="000000"/>
              <w:right w:val="single" w:sz="4" w:space="0" w:color="000000"/>
            </w:tcBorders>
          </w:tcPr>
          <w:p w14:paraId="43A701AF" w14:textId="77777777" w:rsidR="00755399" w:rsidRPr="00A13780" w:rsidRDefault="00755399" w:rsidP="00847A51">
            <w:pPr>
              <w:spacing w:line="276" w:lineRule="auto"/>
              <w:jc w:val="center"/>
              <w:rPr>
                <w:rFonts w:ascii="Times New Roman" w:hAnsi="Times New Roman" w:cs="Times New Roman"/>
              </w:rPr>
            </w:pPr>
            <w:r>
              <w:rPr>
                <w:rFonts w:ascii="Times New Roman" w:hAnsi="Times New Roman" w:cs="Times New Roman"/>
              </w:rPr>
              <w:t>2018-19</w:t>
            </w:r>
          </w:p>
        </w:tc>
        <w:tc>
          <w:tcPr>
            <w:tcW w:w="1187" w:type="dxa"/>
            <w:tcBorders>
              <w:top w:val="single" w:sz="4" w:space="0" w:color="000000"/>
              <w:left w:val="single" w:sz="4" w:space="0" w:color="000000"/>
              <w:bottom w:val="single" w:sz="4" w:space="0" w:color="000000"/>
              <w:right w:val="single" w:sz="4" w:space="0" w:color="000000"/>
            </w:tcBorders>
          </w:tcPr>
          <w:p w14:paraId="78F86CF7" w14:textId="77777777" w:rsidR="00755399" w:rsidRPr="00A13780" w:rsidRDefault="00755399" w:rsidP="00847A51">
            <w:pPr>
              <w:spacing w:line="276" w:lineRule="auto"/>
              <w:jc w:val="center"/>
              <w:rPr>
                <w:rFonts w:ascii="Times New Roman" w:hAnsi="Times New Roman" w:cs="Times New Roman"/>
              </w:rPr>
            </w:pPr>
            <w:r>
              <w:rPr>
                <w:rFonts w:ascii="Times New Roman" w:hAnsi="Times New Roman" w:cs="Times New Roman"/>
              </w:rPr>
              <w:t>2019-20</w:t>
            </w:r>
          </w:p>
        </w:tc>
        <w:tc>
          <w:tcPr>
            <w:tcW w:w="1270" w:type="dxa"/>
            <w:tcBorders>
              <w:top w:val="single" w:sz="4" w:space="0" w:color="000000"/>
              <w:left w:val="single" w:sz="4" w:space="0" w:color="000000"/>
              <w:bottom w:val="single" w:sz="4" w:space="0" w:color="000000"/>
              <w:right w:val="single" w:sz="4" w:space="0" w:color="000000"/>
            </w:tcBorders>
          </w:tcPr>
          <w:p w14:paraId="6D792A20" w14:textId="77777777" w:rsidR="00755399" w:rsidRPr="00A13780" w:rsidRDefault="00755399" w:rsidP="00847A51">
            <w:pPr>
              <w:spacing w:line="276" w:lineRule="auto"/>
              <w:jc w:val="center"/>
              <w:rPr>
                <w:rFonts w:ascii="Times New Roman" w:hAnsi="Times New Roman" w:cs="Times New Roman"/>
              </w:rPr>
            </w:pPr>
            <w:r>
              <w:rPr>
                <w:rFonts w:ascii="Times New Roman" w:hAnsi="Times New Roman" w:cs="Times New Roman"/>
              </w:rPr>
              <w:t>2020-21</w:t>
            </w:r>
          </w:p>
        </w:tc>
        <w:tc>
          <w:tcPr>
            <w:tcW w:w="1270" w:type="dxa"/>
            <w:tcBorders>
              <w:top w:val="single" w:sz="4" w:space="0" w:color="000000"/>
              <w:left w:val="single" w:sz="4" w:space="0" w:color="000000"/>
              <w:bottom w:val="single" w:sz="4" w:space="0" w:color="000000"/>
              <w:right w:val="single" w:sz="4" w:space="0" w:color="000000"/>
            </w:tcBorders>
          </w:tcPr>
          <w:p w14:paraId="5C520B21" w14:textId="77777777" w:rsidR="00755399" w:rsidRPr="00A13780" w:rsidRDefault="00755399" w:rsidP="00847A51">
            <w:pPr>
              <w:spacing w:line="276" w:lineRule="auto"/>
              <w:jc w:val="center"/>
              <w:rPr>
                <w:rFonts w:ascii="Times New Roman" w:hAnsi="Times New Roman" w:cs="Times New Roman"/>
              </w:rPr>
            </w:pPr>
            <w:r>
              <w:rPr>
                <w:rFonts w:ascii="Times New Roman" w:hAnsi="Times New Roman" w:cs="Times New Roman"/>
              </w:rPr>
              <w:t>2021-2022</w:t>
            </w:r>
          </w:p>
        </w:tc>
        <w:tc>
          <w:tcPr>
            <w:tcW w:w="1442" w:type="dxa"/>
            <w:tcBorders>
              <w:top w:val="single" w:sz="4" w:space="0" w:color="000000"/>
              <w:left w:val="single" w:sz="4" w:space="0" w:color="000000"/>
              <w:bottom w:val="single" w:sz="4" w:space="0" w:color="000000"/>
              <w:right w:val="single" w:sz="4" w:space="0" w:color="000000"/>
            </w:tcBorders>
          </w:tcPr>
          <w:p w14:paraId="5281D46B" w14:textId="77777777" w:rsidR="00755399" w:rsidRPr="00A13780" w:rsidRDefault="00755399" w:rsidP="00847A51">
            <w:pPr>
              <w:spacing w:line="276" w:lineRule="auto"/>
              <w:jc w:val="center"/>
              <w:rPr>
                <w:rFonts w:ascii="Times New Roman" w:hAnsi="Times New Roman" w:cs="Times New Roman"/>
              </w:rPr>
            </w:pPr>
            <w:r>
              <w:rPr>
                <w:rFonts w:ascii="Times New Roman" w:hAnsi="Times New Roman" w:cs="Times New Roman"/>
              </w:rPr>
              <w:t>2022-2023</w:t>
            </w:r>
          </w:p>
        </w:tc>
        <w:tc>
          <w:tcPr>
            <w:tcW w:w="1442" w:type="dxa"/>
            <w:tcBorders>
              <w:top w:val="single" w:sz="4" w:space="0" w:color="000000"/>
              <w:left w:val="single" w:sz="4" w:space="0" w:color="000000"/>
              <w:bottom w:val="single" w:sz="4" w:space="0" w:color="000000"/>
              <w:right w:val="single" w:sz="4" w:space="0" w:color="000000"/>
            </w:tcBorders>
          </w:tcPr>
          <w:p w14:paraId="59BEE822" w14:textId="77777777" w:rsidR="00755399" w:rsidRDefault="00755399" w:rsidP="00847A51">
            <w:pPr>
              <w:spacing w:line="276" w:lineRule="auto"/>
              <w:jc w:val="center"/>
              <w:rPr>
                <w:rFonts w:ascii="Times New Roman" w:hAnsi="Times New Roman" w:cs="Times New Roman"/>
              </w:rPr>
            </w:pPr>
            <w:r>
              <w:rPr>
                <w:rFonts w:ascii="Times New Roman" w:hAnsi="Times New Roman" w:cs="Times New Roman"/>
              </w:rPr>
              <w:t xml:space="preserve">Average </w:t>
            </w:r>
          </w:p>
        </w:tc>
      </w:tr>
      <w:tr w:rsidR="002F19C6" w:rsidRPr="00A13780" w14:paraId="4C11BA99" w14:textId="77777777" w:rsidTr="002F19C6">
        <w:trPr>
          <w:trHeight w:val="564"/>
          <w:jc w:val="center"/>
        </w:trPr>
        <w:tc>
          <w:tcPr>
            <w:tcW w:w="2677" w:type="dxa"/>
            <w:tcBorders>
              <w:top w:val="single" w:sz="4" w:space="0" w:color="000000"/>
              <w:left w:val="single" w:sz="4" w:space="0" w:color="000000"/>
              <w:bottom w:val="single" w:sz="4" w:space="0" w:color="000000"/>
              <w:right w:val="single" w:sz="4" w:space="0" w:color="000000"/>
            </w:tcBorders>
            <w:vAlign w:val="center"/>
          </w:tcPr>
          <w:p w14:paraId="1C0FEBB3" w14:textId="77777777" w:rsidR="00755399" w:rsidRPr="00772464" w:rsidRDefault="00755399" w:rsidP="00847A51">
            <w:pPr>
              <w:spacing w:line="276" w:lineRule="auto"/>
              <w:jc w:val="center"/>
              <w:rPr>
                <w:rFonts w:ascii="Times New Roman" w:hAnsi="Times New Roman" w:cs="Times New Roman"/>
                <w:b/>
                <w:bCs/>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Nippon India ETF Gold Bees</w:t>
            </w:r>
            <w:r>
              <w:rPr>
                <w:rFonts w:ascii="Times New Roman" w:eastAsia="Times New Roman" w:hAnsi="Times New Roman" w:cs="Times New Roman"/>
                <w:b/>
                <w:bCs/>
                <w:color w:val="000000"/>
                <w:kern w:val="0"/>
                <w14:ligatures w14:val="none"/>
              </w:rPr>
              <w:t>”</w:t>
            </w:r>
          </w:p>
        </w:tc>
        <w:tc>
          <w:tcPr>
            <w:tcW w:w="1187" w:type="dxa"/>
            <w:tcBorders>
              <w:top w:val="single" w:sz="4" w:space="0" w:color="000000"/>
              <w:left w:val="single" w:sz="4" w:space="0" w:color="000000"/>
              <w:bottom w:val="single" w:sz="4" w:space="0" w:color="000000"/>
              <w:right w:val="single" w:sz="4" w:space="0" w:color="000000"/>
            </w:tcBorders>
          </w:tcPr>
          <w:p w14:paraId="29D1E102" w14:textId="77777777" w:rsidR="00755399" w:rsidRPr="002678F2" w:rsidRDefault="00755399" w:rsidP="00847A51">
            <w:pPr>
              <w:spacing w:line="276" w:lineRule="auto"/>
              <w:jc w:val="center"/>
              <w:rPr>
                <w:rFonts w:ascii="Calibri" w:hAnsi="Calibri" w:cs="Calibri"/>
                <w:color w:val="000000"/>
              </w:rPr>
            </w:pPr>
            <w:r>
              <w:rPr>
                <w:rFonts w:ascii="Calibri" w:hAnsi="Calibri" w:cs="Calibri"/>
                <w:color w:val="000000"/>
              </w:rPr>
              <w:t>-  1.55425</w:t>
            </w:r>
          </w:p>
        </w:tc>
        <w:tc>
          <w:tcPr>
            <w:tcW w:w="1187" w:type="dxa"/>
            <w:tcBorders>
              <w:top w:val="single" w:sz="4" w:space="0" w:color="000000"/>
              <w:left w:val="single" w:sz="4" w:space="0" w:color="000000"/>
              <w:bottom w:val="single" w:sz="4" w:space="0" w:color="000000"/>
              <w:right w:val="single" w:sz="4" w:space="0" w:color="000000"/>
            </w:tcBorders>
          </w:tcPr>
          <w:p w14:paraId="73B1DF4B"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-0.63862</w:t>
            </w:r>
          </w:p>
          <w:p w14:paraId="09D02AB9" w14:textId="77777777" w:rsidR="00755399" w:rsidRPr="00A13780" w:rsidRDefault="00755399" w:rsidP="00847A51">
            <w:pPr>
              <w:spacing w:line="276" w:lineRule="auto"/>
              <w:jc w:val="center"/>
              <w:rPr>
                <w:rFonts w:ascii="Times New Roman"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tcPr>
          <w:p w14:paraId="1203B308"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-1.84401546</w:t>
            </w:r>
          </w:p>
          <w:p w14:paraId="32F7F9BF" w14:textId="77777777" w:rsidR="00755399" w:rsidRPr="00A13780" w:rsidRDefault="00755399" w:rsidP="00847A51">
            <w:pPr>
              <w:spacing w:line="276" w:lineRule="auto"/>
              <w:jc w:val="center"/>
              <w:rPr>
                <w:rFonts w:ascii="Times New Roman"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tcPr>
          <w:p w14:paraId="6E34E4EF"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-1.72623271</w:t>
            </w:r>
          </w:p>
          <w:p w14:paraId="7E3F88C6" w14:textId="77777777" w:rsidR="00755399" w:rsidRPr="00A13780" w:rsidRDefault="00755399" w:rsidP="00847A51">
            <w:pPr>
              <w:spacing w:line="276" w:lineRule="auto"/>
              <w:jc w:val="center"/>
              <w:rPr>
                <w:rFonts w:ascii="Times New Roman" w:hAnsi="Times New Roman" w:cs="Times New Roman"/>
              </w:rPr>
            </w:pPr>
          </w:p>
        </w:tc>
        <w:tc>
          <w:tcPr>
            <w:tcW w:w="1442" w:type="dxa"/>
            <w:tcBorders>
              <w:top w:val="single" w:sz="4" w:space="0" w:color="000000"/>
              <w:left w:val="single" w:sz="4" w:space="0" w:color="000000"/>
              <w:bottom w:val="single" w:sz="4" w:space="0" w:color="000000"/>
              <w:right w:val="single" w:sz="4" w:space="0" w:color="000000"/>
            </w:tcBorders>
          </w:tcPr>
          <w:p w14:paraId="666F201E"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-1.74735405</w:t>
            </w:r>
          </w:p>
          <w:p w14:paraId="50301968" w14:textId="77777777" w:rsidR="00755399" w:rsidRPr="00A13780" w:rsidRDefault="00755399" w:rsidP="00847A51">
            <w:pPr>
              <w:spacing w:line="276" w:lineRule="auto"/>
              <w:jc w:val="center"/>
              <w:rPr>
                <w:rFonts w:ascii="Times New Roman" w:hAnsi="Times New Roman" w:cs="Times New Roman"/>
              </w:rPr>
            </w:pPr>
          </w:p>
        </w:tc>
        <w:tc>
          <w:tcPr>
            <w:tcW w:w="1442" w:type="dxa"/>
            <w:tcBorders>
              <w:top w:val="single" w:sz="4" w:space="0" w:color="000000"/>
              <w:left w:val="single" w:sz="4" w:space="0" w:color="000000"/>
              <w:bottom w:val="single" w:sz="4" w:space="0" w:color="000000"/>
              <w:right w:val="single" w:sz="4" w:space="0" w:color="000000"/>
            </w:tcBorders>
          </w:tcPr>
          <w:p w14:paraId="604B83F2"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-1.5021</w:t>
            </w:r>
          </w:p>
        </w:tc>
      </w:tr>
      <w:tr w:rsidR="002F19C6" w:rsidRPr="00A13780" w14:paraId="2FB3F5AA" w14:textId="77777777" w:rsidTr="002F19C6">
        <w:trPr>
          <w:trHeight w:val="437"/>
          <w:jc w:val="center"/>
        </w:trPr>
        <w:tc>
          <w:tcPr>
            <w:tcW w:w="2677" w:type="dxa"/>
            <w:tcBorders>
              <w:top w:val="single" w:sz="4" w:space="0" w:color="000000"/>
              <w:left w:val="single" w:sz="4" w:space="0" w:color="000000"/>
              <w:bottom w:val="single" w:sz="4" w:space="0" w:color="000000"/>
              <w:right w:val="single" w:sz="4" w:space="0" w:color="000000"/>
            </w:tcBorders>
            <w:vAlign w:val="center"/>
          </w:tcPr>
          <w:p w14:paraId="5F3057B2" w14:textId="77777777" w:rsidR="00755399" w:rsidRPr="002678F2" w:rsidRDefault="00755399" w:rsidP="00847A51">
            <w:pPr>
              <w:spacing w:line="276" w:lineRule="auto"/>
              <w:jc w:val="center"/>
              <w:rPr>
                <w:rFonts w:ascii="Times New Roman" w:hAnsi="Times New Roman" w:cs="Times New Roman"/>
                <w:b/>
                <w:bCs/>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SBI-ETF Gold</w:t>
            </w:r>
            <w:r>
              <w:rPr>
                <w:rFonts w:ascii="Times New Roman" w:eastAsia="Times New Roman" w:hAnsi="Times New Roman" w:cs="Times New Roman"/>
                <w:b/>
                <w:bCs/>
                <w:color w:val="000000"/>
                <w:kern w:val="0"/>
                <w14:ligatures w14:val="none"/>
              </w:rPr>
              <w:t>”</w:t>
            </w:r>
          </w:p>
        </w:tc>
        <w:tc>
          <w:tcPr>
            <w:tcW w:w="1187" w:type="dxa"/>
            <w:tcBorders>
              <w:top w:val="single" w:sz="4" w:space="0" w:color="000000"/>
              <w:left w:val="single" w:sz="4" w:space="0" w:color="000000"/>
              <w:bottom w:val="single" w:sz="4" w:space="0" w:color="000000"/>
              <w:right w:val="single" w:sz="4" w:space="0" w:color="000000"/>
            </w:tcBorders>
          </w:tcPr>
          <w:p w14:paraId="5CA138E1" w14:textId="77777777" w:rsidR="00755399" w:rsidRPr="002678F2" w:rsidRDefault="00755399" w:rsidP="00847A51">
            <w:pPr>
              <w:spacing w:line="276" w:lineRule="auto"/>
              <w:jc w:val="center"/>
              <w:rPr>
                <w:rFonts w:ascii="Calibri" w:hAnsi="Calibri" w:cs="Calibri"/>
                <w:color w:val="000000"/>
              </w:rPr>
            </w:pPr>
            <w:r>
              <w:rPr>
                <w:rFonts w:ascii="Calibri" w:hAnsi="Calibri" w:cs="Calibri"/>
                <w:color w:val="000000"/>
              </w:rPr>
              <w:t>-1.52869</w:t>
            </w:r>
          </w:p>
        </w:tc>
        <w:tc>
          <w:tcPr>
            <w:tcW w:w="1187" w:type="dxa"/>
            <w:tcBorders>
              <w:top w:val="single" w:sz="4" w:space="0" w:color="000000"/>
              <w:left w:val="single" w:sz="4" w:space="0" w:color="000000"/>
              <w:bottom w:val="single" w:sz="4" w:space="0" w:color="000000"/>
              <w:right w:val="single" w:sz="4" w:space="0" w:color="000000"/>
            </w:tcBorders>
          </w:tcPr>
          <w:p w14:paraId="300FFB30"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-0.645</w:t>
            </w:r>
          </w:p>
          <w:p w14:paraId="7024260B" w14:textId="77777777" w:rsidR="00755399" w:rsidRPr="00A13780" w:rsidRDefault="00755399" w:rsidP="00847A51">
            <w:pPr>
              <w:spacing w:line="276" w:lineRule="auto"/>
              <w:jc w:val="center"/>
              <w:rPr>
                <w:rFonts w:ascii="Times New Roman"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tcPr>
          <w:p w14:paraId="35D46A62"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-1.89314</w:t>
            </w:r>
          </w:p>
          <w:p w14:paraId="31020B24" w14:textId="77777777" w:rsidR="00755399" w:rsidRPr="00A13780" w:rsidRDefault="00755399" w:rsidP="00847A51">
            <w:pPr>
              <w:spacing w:line="276" w:lineRule="auto"/>
              <w:jc w:val="center"/>
              <w:rPr>
                <w:rFonts w:ascii="Times New Roman"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tcPr>
          <w:p w14:paraId="3672403E"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-1.71538</w:t>
            </w:r>
          </w:p>
          <w:p w14:paraId="58174E08" w14:textId="77777777" w:rsidR="00755399" w:rsidRPr="00A13780" w:rsidRDefault="00755399" w:rsidP="00847A51">
            <w:pPr>
              <w:spacing w:line="276" w:lineRule="auto"/>
              <w:jc w:val="center"/>
              <w:rPr>
                <w:rFonts w:ascii="Times New Roman" w:hAnsi="Times New Roman" w:cs="Times New Roman"/>
              </w:rPr>
            </w:pPr>
          </w:p>
        </w:tc>
        <w:tc>
          <w:tcPr>
            <w:tcW w:w="1442" w:type="dxa"/>
            <w:tcBorders>
              <w:top w:val="single" w:sz="4" w:space="0" w:color="000000"/>
              <w:left w:val="single" w:sz="4" w:space="0" w:color="000000"/>
              <w:bottom w:val="single" w:sz="4" w:space="0" w:color="000000"/>
              <w:right w:val="single" w:sz="4" w:space="0" w:color="000000"/>
            </w:tcBorders>
          </w:tcPr>
          <w:p w14:paraId="11197C00"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-1.7309</w:t>
            </w:r>
          </w:p>
          <w:p w14:paraId="19B6BF7A" w14:textId="77777777" w:rsidR="00755399" w:rsidRPr="00A13780" w:rsidRDefault="00755399" w:rsidP="00847A51">
            <w:pPr>
              <w:spacing w:line="276" w:lineRule="auto"/>
              <w:jc w:val="center"/>
              <w:rPr>
                <w:rFonts w:ascii="Times New Roman" w:hAnsi="Times New Roman" w:cs="Times New Roman"/>
              </w:rPr>
            </w:pPr>
          </w:p>
        </w:tc>
        <w:tc>
          <w:tcPr>
            <w:tcW w:w="1442" w:type="dxa"/>
            <w:tcBorders>
              <w:top w:val="single" w:sz="4" w:space="0" w:color="000000"/>
              <w:left w:val="single" w:sz="4" w:space="0" w:color="000000"/>
              <w:bottom w:val="single" w:sz="4" w:space="0" w:color="000000"/>
              <w:right w:val="single" w:sz="4" w:space="0" w:color="000000"/>
            </w:tcBorders>
          </w:tcPr>
          <w:p w14:paraId="12DC7CFF"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-1.5026</w:t>
            </w:r>
          </w:p>
        </w:tc>
      </w:tr>
      <w:tr w:rsidR="002F19C6" w:rsidRPr="00A13780" w14:paraId="4A14F214" w14:textId="77777777" w:rsidTr="002F19C6">
        <w:trPr>
          <w:trHeight w:val="250"/>
          <w:jc w:val="center"/>
        </w:trPr>
        <w:tc>
          <w:tcPr>
            <w:tcW w:w="2677" w:type="dxa"/>
            <w:tcBorders>
              <w:top w:val="single" w:sz="4" w:space="0" w:color="000000"/>
              <w:left w:val="single" w:sz="4" w:space="0" w:color="000000"/>
              <w:bottom w:val="single" w:sz="4" w:space="0" w:color="000000"/>
              <w:right w:val="single" w:sz="4" w:space="0" w:color="000000"/>
            </w:tcBorders>
            <w:vAlign w:val="center"/>
          </w:tcPr>
          <w:p w14:paraId="25E448FC" w14:textId="77777777" w:rsidR="00755399" w:rsidRPr="00772464" w:rsidRDefault="00755399" w:rsidP="00847A51">
            <w:pPr>
              <w:spacing w:line="276" w:lineRule="auto"/>
              <w:jc w:val="center"/>
              <w:rPr>
                <w:rFonts w:ascii="Times New Roman" w:hAnsi="Times New Roman" w:cs="Times New Roman"/>
                <w:b/>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ICICI prudential Gold ETF</w:t>
            </w:r>
            <w:r>
              <w:rPr>
                <w:rFonts w:ascii="Times New Roman" w:eastAsia="Times New Roman" w:hAnsi="Times New Roman" w:cs="Times New Roman"/>
                <w:b/>
                <w:bCs/>
                <w:color w:val="000000"/>
                <w:kern w:val="0"/>
                <w14:ligatures w14:val="none"/>
              </w:rPr>
              <w:t>”</w:t>
            </w:r>
          </w:p>
        </w:tc>
        <w:tc>
          <w:tcPr>
            <w:tcW w:w="1187" w:type="dxa"/>
            <w:tcBorders>
              <w:top w:val="single" w:sz="4" w:space="0" w:color="000000"/>
              <w:left w:val="single" w:sz="4" w:space="0" w:color="000000"/>
              <w:bottom w:val="single" w:sz="4" w:space="0" w:color="000000"/>
              <w:right w:val="single" w:sz="4" w:space="0" w:color="000000"/>
            </w:tcBorders>
          </w:tcPr>
          <w:p w14:paraId="41D0B74D" w14:textId="77777777" w:rsidR="00755399" w:rsidRPr="00A13780" w:rsidRDefault="00755399" w:rsidP="00847A51">
            <w:pPr>
              <w:spacing w:line="276" w:lineRule="auto"/>
              <w:jc w:val="center"/>
              <w:rPr>
                <w:rFonts w:ascii="Times New Roman" w:hAnsi="Times New Roman" w:cs="Times New Roman"/>
              </w:rPr>
            </w:pPr>
            <w:r w:rsidRPr="008715F9">
              <w:rPr>
                <w:rFonts w:ascii="Times New Roman" w:hAnsi="Times New Roman" w:cs="Times New Roman"/>
              </w:rPr>
              <w:t>-2.0403</w:t>
            </w:r>
          </w:p>
        </w:tc>
        <w:tc>
          <w:tcPr>
            <w:tcW w:w="1187" w:type="dxa"/>
            <w:tcBorders>
              <w:top w:val="single" w:sz="4" w:space="0" w:color="000000"/>
              <w:left w:val="single" w:sz="4" w:space="0" w:color="000000"/>
              <w:bottom w:val="single" w:sz="4" w:space="0" w:color="000000"/>
              <w:right w:val="single" w:sz="4" w:space="0" w:color="000000"/>
            </w:tcBorders>
          </w:tcPr>
          <w:p w14:paraId="7F14D0F2" w14:textId="77777777" w:rsidR="00755399" w:rsidRPr="00A13780" w:rsidRDefault="00755399" w:rsidP="00847A51">
            <w:pPr>
              <w:spacing w:line="276" w:lineRule="auto"/>
              <w:jc w:val="center"/>
              <w:rPr>
                <w:rFonts w:ascii="Times New Roman" w:hAnsi="Times New Roman" w:cs="Times New Roman"/>
              </w:rPr>
            </w:pPr>
            <w:r w:rsidRPr="008715F9">
              <w:rPr>
                <w:rFonts w:ascii="Times New Roman" w:hAnsi="Times New Roman" w:cs="Times New Roman"/>
              </w:rPr>
              <w:t>-0.5511</w:t>
            </w:r>
          </w:p>
        </w:tc>
        <w:tc>
          <w:tcPr>
            <w:tcW w:w="1270" w:type="dxa"/>
            <w:tcBorders>
              <w:top w:val="single" w:sz="4" w:space="0" w:color="000000"/>
              <w:left w:val="single" w:sz="4" w:space="0" w:color="000000"/>
              <w:bottom w:val="single" w:sz="4" w:space="0" w:color="000000"/>
              <w:right w:val="single" w:sz="4" w:space="0" w:color="000000"/>
            </w:tcBorders>
          </w:tcPr>
          <w:p w14:paraId="5CA0DB29" w14:textId="77777777" w:rsidR="00755399" w:rsidRPr="00A13780" w:rsidRDefault="00755399" w:rsidP="00847A51">
            <w:pPr>
              <w:spacing w:line="276" w:lineRule="auto"/>
              <w:jc w:val="center"/>
              <w:rPr>
                <w:rFonts w:ascii="Times New Roman" w:hAnsi="Times New Roman" w:cs="Times New Roman"/>
              </w:rPr>
            </w:pPr>
            <w:r w:rsidRPr="008715F9">
              <w:rPr>
                <w:rFonts w:ascii="Times New Roman" w:hAnsi="Times New Roman" w:cs="Times New Roman"/>
              </w:rPr>
              <w:t>-0.9840</w:t>
            </w:r>
          </w:p>
        </w:tc>
        <w:tc>
          <w:tcPr>
            <w:tcW w:w="1270" w:type="dxa"/>
            <w:tcBorders>
              <w:top w:val="single" w:sz="4" w:space="0" w:color="000000"/>
              <w:left w:val="single" w:sz="4" w:space="0" w:color="000000"/>
              <w:bottom w:val="single" w:sz="4" w:space="0" w:color="000000"/>
              <w:right w:val="single" w:sz="4" w:space="0" w:color="000000"/>
            </w:tcBorders>
          </w:tcPr>
          <w:p w14:paraId="2204887E" w14:textId="77777777" w:rsidR="00755399" w:rsidRPr="00A13780" w:rsidRDefault="00755399" w:rsidP="00847A51">
            <w:pPr>
              <w:spacing w:line="276" w:lineRule="auto"/>
              <w:jc w:val="center"/>
              <w:rPr>
                <w:rFonts w:ascii="Times New Roman" w:hAnsi="Times New Roman" w:cs="Times New Roman"/>
              </w:rPr>
            </w:pPr>
            <w:r w:rsidRPr="008715F9">
              <w:rPr>
                <w:rFonts w:ascii="Times New Roman" w:hAnsi="Times New Roman" w:cs="Times New Roman"/>
              </w:rPr>
              <w:t>-1.2906</w:t>
            </w:r>
          </w:p>
        </w:tc>
        <w:tc>
          <w:tcPr>
            <w:tcW w:w="1442" w:type="dxa"/>
            <w:tcBorders>
              <w:top w:val="single" w:sz="4" w:space="0" w:color="000000"/>
              <w:left w:val="single" w:sz="4" w:space="0" w:color="000000"/>
              <w:bottom w:val="single" w:sz="4" w:space="0" w:color="000000"/>
              <w:right w:val="single" w:sz="4" w:space="0" w:color="000000"/>
            </w:tcBorders>
          </w:tcPr>
          <w:p w14:paraId="22F50006" w14:textId="77777777" w:rsidR="00755399" w:rsidRPr="00A13780" w:rsidRDefault="00755399" w:rsidP="00847A51">
            <w:pPr>
              <w:spacing w:line="276" w:lineRule="auto"/>
              <w:jc w:val="center"/>
              <w:rPr>
                <w:rFonts w:ascii="Times New Roman" w:hAnsi="Times New Roman" w:cs="Times New Roman"/>
              </w:rPr>
            </w:pPr>
            <w:r w:rsidRPr="008715F9">
              <w:rPr>
                <w:rFonts w:ascii="Times New Roman" w:hAnsi="Times New Roman" w:cs="Times New Roman"/>
              </w:rPr>
              <w:t>-1.1728</w:t>
            </w:r>
          </w:p>
        </w:tc>
        <w:tc>
          <w:tcPr>
            <w:tcW w:w="1442" w:type="dxa"/>
            <w:tcBorders>
              <w:top w:val="single" w:sz="4" w:space="0" w:color="000000"/>
              <w:left w:val="single" w:sz="4" w:space="0" w:color="000000"/>
              <w:bottom w:val="single" w:sz="4" w:space="0" w:color="000000"/>
              <w:right w:val="single" w:sz="4" w:space="0" w:color="000000"/>
            </w:tcBorders>
          </w:tcPr>
          <w:p w14:paraId="2C0EAD23" w14:textId="77777777" w:rsidR="00755399" w:rsidRPr="008715F9" w:rsidRDefault="00755399" w:rsidP="00847A51">
            <w:pPr>
              <w:spacing w:line="276" w:lineRule="auto"/>
              <w:jc w:val="center"/>
              <w:rPr>
                <w:rFonts w:ascii="Times New Roman" w:hAnsi="Times New Roman" w:cs="Times New Roman"/>
              </w:rPr>
            </w:pPr>
            <w:r w:rsidRPr="00A75A10">
              <w:rPr>
                <w:rFonts w:ascii="Times New Roman" w:hAnsi="Times New Roman" w:cs="Times New Roman"/>
                <w:highlight w:val="cyan"/>
              </w:rPr>
              <w:t>-1.2078</w:t>
            </w:r>
          </w:p>
        </w:tc>
      </w:tr>
      <w:tr w:rsidR="002F19C6" w:rsidRPr="00A13780" w14:paraId="002258C8" w14:textId="77777777" w:rsidTr="002F19C6">
        <w:trPr>
          <w:trHeight w:val="250"/>
          <w:jc w:val="center"/>
        </w:trPr>
        <w:tc>
          <w:tcPr>
            <w:tcW w:w="2677" w:type="dxa"/>
            <w:tcBorders>
              <w:top w:val="single" w:sz="4" w:space="0" w:color="000000"/>
              <w:left w:val="single" w:sz="4" w:space="0" w:color="000000"/>
              <w:bottom w:val="single" w:sz="4" w:space="0" w:color="000000"/>
              <w:right w:val="single" w:sz="4" w:space="0" w:color="000000"/>
            </w:tcBorders>
            <w:vAlign w:val="center"/>
          </w:tcPr>
          <w:p w14:paraId="2097C55B" w14:textId="77777777" w:rsidR="00755399" w:rsidRPr="00772464" w:rsidRDefault="00755399" w:rsidP="00847A51">
            <w:pPr>
              <w:spacing w:line="276" w:lineRule="auto"/>
              <w:jc w:val="center"/>
              <w:rPr>
                <w:rFonts w:ascii="Times New Roman" w:hAnsi="Times New Roman" w:cs="Times New Roman"/>
                <w:b/>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HDFC Gold Exchange traded fund</w:t>
            </w:r>
            <w:r>
              <w:rPr>
                <w:rFonts w:ascii="Times New Roman" w:eastAsia="Times New Roman" w:hAnsi="Times New Roman" w:cs="Times New Roman"/>
                <w:b/>
                <w:bCs/>
                <w:color w:val="000000"/>
                <w:kern w:val="0"/>
                <w14:ligatures w14:val="none"/>
              </w:rPr>
              <w:t>”</w:t>
            </w:r>
          </w:p>
        </w:tc>
        <w:tc>
          <w:tcPr>
            <w:tcW w:w="1187" w:type="dxa"/>
            <w:tcBorders>
              <w:top w:val="single" w:sz="4" w:space="0" w:color="000000"/>
              <w:left w:val="single" w:sz="4" w:space="0" w:color="000000"/>
              <w:bottom w:val="single" w:sz="4" w:space="0" w:color="000000"/>
              <w:right w:val="single" w:sz="4" w:space="0" w:color="000000"/>
            </w:tcBorders>
          </w:tcPr>
          <w:p w14:paraId="797AF099" w14:textId="77777777" w:rsidR="00755399" w:rsidRPr="00A13780" w:rsidRDefault="00755399" w:rsidP="00847A51">
            <w:pPr>
              <w:spacing w:line="276" w:lineRule="auto"/>
              <w:jc w:val="center"/>
              <w:rPr>
                <w:rFonts w:ascii="Times New Roman" w:hAnsi="Times New Roman" w:cs="Times New Roman"/>
              </w:rPr>
            </w:pPr>
            <w:r w:rsidRPr="008715F9">
              <w:rPr>
                <w:rFonts w:ascii="Times New Roman" w:hAnsi="Times New Roman" w:cs="Times New Roman"/>
              </w:rPr>
              <w:t>-1.8724</w:t>
            </w:r>
          </w:p>
        </w:tc>
        <w:tc>
          <w:tcPr>
            <w:tcW w:w="1187" w:type="dxa"/>
            <w:tcBorders>
              <w:top w:val="single" w:sz="4" w:space="0" w:color="000000"/>
              <w:left w:val="single" w:sz="4" w:space="0" w:color="000000"/>
              <w:bottom w:val="single" w:sz="4" w:space="0" w:color="000000"/>
              <w:right w:val="single" w:sz="4" w:space="0" w:color="000000"/>
            </w:tcBorders>
          </w:tcPr>
          <w:p w14:paraId="7C6D14CA" w14:textId="77777777" w:rsidR="00755399" w:rsidRPr="00A13780" w:rsidRDefault="00755399" w:rsidP="00847A51">
            <w:pPr>
              <w:spacing w:line="276" w:lineRule="auto"/>
              <w:jc w:val="center"/>
              <w:rPr>
                <w:rFonts w:ascii="Times New Roman" w:hAnsi="Times New Roman" w:cs="Times New Roman"/>
              </w:rPr>
            </w:pPr>
            <w:r w:rsidRPr="008715F9">
              <w:rPr>
                <w:rFonts w:ascii="Times New Roman" w:hAnsi="Times New Roman" w:cs="Times New Roman"/>
              </w:rPr>
              <w:t>-0.6991</w:t>
            </w:r>
          </w:p>
        </w:tc>
        <w:tc>
          <w:tcPr>
            <w:tcW w:w="1270" w:type="dxa"/>
            <w:tcBorders>
              <w:top w:val="single" w:sz="4" w:space="0" w:color="000000"/>
              <w:left w:val="single" w:sz="4" w:space="0" w:color="000000"/>
              <w:bottom w:val="single" w:sz="4" w:space="0" w:color="000000"/>
              <w:right w:val="single" w:sz="4" w:space="0" w:color="000000"/>
            </w:tcBorders>
          </w:tcPr>
          <w:p w14:paraId="7FC38948" w14:textId="77777777" w:rsidR="00755399" w:rsidRPr="00A13780" w:rsidRDefault="00755399" w:rsidP="00847A51">
            <w:pPr>
              <w:spacing w:line="276" w:lineRule="auto"/>
              <w:jc w:val="center"/>
              <w:rPr>
                <w:rFonts w:ascii="Times New Roman" w:hAnsi="Times New Roman" w:cs="Times New Roman"/>
              </w:rPr>
            </w:pPr>
            <w:r w:rsidRPr="008715F9">
              <w:rPr>
                <w:rFonts w:ascii="Times New Roman" w:hAnsi="Times New Roman" w:cs="Times New Roman"/>
              </w:rPr>
              <w:t>-0.8340</w:t>
            </w:r>
          </w:p>
        </w:tc>
        <w:tc>
          <w:tcPr>
            <w:tcW w:w="1270" w:type="dxa"/>
            <w:tcBorders>
              <w:top w:val="single" w:sz="4" w:space="0" w:color="000000"/>
              <w:left w:val="single" w:sz="4" w:space="0" w:color="000000"/>
              <w:bottom w:val="single" w:sz="4" w:space="0" w:color="000000"/>
              <w:right w:val="single" w:sz="4" w:space="0" w:color="000000"/>
            </w:tcBorders>
          </w:tcPr>
          <w:p w14:paraId="0B7691C3" w14:textId="77777777" w:rsidR="00755399" w:rsidRPr="00A13780" w:rsidRDefault="00755399" w:rsidP="00847A51">
            <w:pPr>
              <w:spacing w:line="276" w:lineRule="auto"/>
              <w:jc w:val="center"/>
              <w:rPr>
                <w:rFonts w:ascii="Times New Roman" w:hAnsi="Times New Roman" w:cs="Times New Roman"/>
              </w:rPr>
            </w:pPr>
            <w:r w:rsidRPr="008715F9">
              <w:rPr>
                <w:rFonts w:ascii="Times New Roman" w:hAnsi="Times New Roman" w:cs="Times New Roman"/>
              </w:rPr>
              <w:t>-1.5305</w:t>
            </w:r>
          </w:p>
        </w:tc>
        <w:tc>
          <w:tcPr>
            <w:tcW w:w="1442" w:type="dxa"/>
            <w:tcBorders>
              <w:top w:val="single" w:sz="4" w:space="0" w:color="000000"/>
              <w:left w:val="single" w:sz="4" w:space="0" w:color="000000"/>
              <w:bottom w:val="single" w:sz="4" w:space="0" w:color="000000"/>
              <w:right w:val="single" w:sz="4" w:space="0" w:color="000000"/>
            </w:tcBorders>
          </w:tcPr>
          <w:p w14:paraId="5EC28A07" w14:textId="77777777" w:rsidR="00755399" w:rsidRPr="00A13780" w:rsidRDefault="00755399" w:rsidP="00847A51">
            <w:pPr>
              <w:spacing w:line="276" w:lineRule="auto"/>
              <w:jc w:val="center"/>
              <w:rPr>
                <w:rFonts w:ascii="Times New Roman" w:hAnsi="Times New Roman" w:cs="Times New Roman"/>
              </w:rPr>
            </w:pPr>
            <w:r w:rsidRPr="00BA3817">
              <w:rPr>
                <w:rFonts w:ascii="Times New Roman" w:hAnsi="Times New Roman" w:cs="Times New Roman"/>
                <w:highlight w:val="yellow"/>
              </w:rPr>
              <w:t>-2.3344</w:t>
            </w:r>
          </w:p>
        </w:tc>
        <w:tc>
          <w:tcPr>
            <w:tcW w:w="1442" w:type="dxa"/>
            <w:tcBorders>
              <w:top w:val="single" w:sz="4" w:space="0" w:color="000000"/>
              <w:left w:val="single" w:sz="4" w:space="0" w:color="000000"/>
              <w:bottom w:val="single" w:sz="4" w:space="0" w:color="000000"/>
              <w:right w:val="single" w:sz="4" w:space="0" w:color="000000"/>
            </w:tcBorders>
          </w:tcPr>
          <w:p w14:paraId="6836247A" w14:textId="77777777" w:rsidR="00755399" w:rsidRPr="008715F9" w:rsidRDefault="00755399" w:rsidP="00847A51">
            <w:pPr>
              <w:spacing w:line="276" w:lineRule="auto"/>
              <w:jc w:val="center"/>
              <w:rPr>
                <w:rFonts w:ascii="Times New Roman" w:hAnsi="Times New Roman" w:cs="Times New Roman"/>
              </w:rPr>
            </w:pPr>
            <w:r>
              <w:rPr>
                <w:rFonts w:ascii="Times New Roman" w:hAnsi="Times New Roman" w:cs="Times New Roman"/>
              </w:rPr>
              <w:t>-1.4541</w:t>
            </w:r>
          </w:p>
        </w:tc>
      </w:tr>
      <w:tr w:rsidR="002F19C6" w:rsidRPr="00A13780" w14:paraId="73A2F797" w14:textId="77777777" w:rsidTr="002F19C6">
        <w:trPr>
          <w:trHeight w:val="690"/>
          <w:jc w:val="center"/>
        </w:trPr>
        <w:tc>
          <w:tcPr>
            <w:tcW w:w="2677" w:type="dxa"/>
            <w:tcBorders>
              <w:top w:val="single" w:sz="4" w:space="0" w:color="000000"/>
              <w:left w:val="single" w:sz="4" w:space="0" w:color="000000"/>
              <w:bottom w:val="single" w:sz="4" w:space="0" w:color="000000"/>
              <w:right w:val="single" w:sz="4" w:space="0" w:color="000000"/>
            </w:tcBorders>
            <w:vAlign w:val="center"/>
          </w:tcPr>
          <w:p w14:paraId="40B498D1" w14:textId="77777777" w:rsidR="00755399" w:rsidRPr="00772464" w:rsidRDefault="00755399" w:rsidP="00847A51">
            <w:pPr>
              <w:spacing w:line="276" w:lineRule="auto"/>
              <w:jc w:val="center"/>
              <w:rPr>
                <w:rFonts w:ascii="Times New Roman" w:hAnsi="Times New Roman" w:cs="Times New Roman"/>
                <w:b/>
                <w:bCs/>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Kotak Gold ETF</w:t>
            </w:r>
            <w:r>
              <w:rPr>
                <w:rFonts w:ascii="Times New Roman" w:eastAsia="Times New Roman" w:hAnsi="Times New Roman" w:cs="Times New Roman"/>
                <w:b/>
                <w:bCs/>
                <w:color w:val="000000"/>
                <w:kern w:val="0"/>
                <w14:ligatures w14:val="none"/>
              </w:rPr>
              <w:t>”</w:t>
            </w:r>
          </w:p>
        </w:tc>
        <w:tc>
          <w:tcPr>
            <w:tcW w:w="1187" w:type="dxa"/>
            <w:tcBorders>
              <w:top w:val="single" w:sz="4" w:space="0" w:color="000000"/>
              <w:left w:val="single" w:sz="4" w:space="0" w:color="000000"/>
              <w:bottom w:val="single" w:sz="4" w:space="0" w:color="000000"/>
              <w:right w:val="single" w:sz="4" w:space="0" w:color="000000"/>
            </w:tcBorders>
          </w:tcPr>
          <w:p w14:paraId="6B57718D"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-1.391789</w:t>
            </w:r>
          </w:p>
          <w:p w14:paraId="14AC1E78" w14:textId="77777777" w:rsidR="00755399" w:rsidRPr="00A13780" w:rsidRDefault="00755399" w:rsidP="00847A51">
            <w:pPr>
              <w:spacing w:line="276" w:lineRule="auto"/>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tcPr>
          <w:p w14:paraId="2A1998F8"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-0.6521891</w:t>
            </w:r>
          </w:p>
          <w:p w14:paraId="330E1E7D" w14:textId="77777777" w:rsidR="00755399" w:rsidRPr="00A13780" w:rsidRDefault="00755399" w:rsidP="00847A51">
            <w:pPr>
              <w:spacing w:line="276" w:lineRule="auto"/>
              <w:jc w:val="center"/>
              <w:rPr>
                <w:rFonts w:ascii="Times New Roman"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tcPr>
          <w:p w14:paraId="3FB46452"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-1.90727084</w:t>
            </w:r>
          </w:p>
          <w:p w14:paraId="06797F80" w14:textId="77777777" w:rsidR="00755399" w:rsidRPr="00A13780" w:rsidRDefault="00755399" w:rsidP="00847A51">
            <w:pPr>
              <w:spacing w:line="276" w:lineRule="auto"/>
              <w:jc w:val="center"/>
              <w:rPr>
                <w:rFonts w:ascii="Times New Roman"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tcPr>
          <w:p w14:paraId="7E1CFF94"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-1.74242265</w:t>
            </w:r>
          </w:p>
          <w:p w14:paraId="3985C5CE" w14:textId="77777777" w:rsidR="00755399" w:rsidRPr="00A13780" w:rsidRDefault="00755399" w:rsidP="00847A51">
            <w:pPr>
              <w:spacing w:line="276" w:lineRule="auto"/>
              <w:jc w:val="center"/>
              <w:rPr>
                <w:rFonts w:ascii="Times New Roman" w:hAnsi="Times New Roman" w:cs="Times New Roman"/>
              </w:rPr>
            </w:pPr>
          </w:p>
        </w:tc>
        <w:tc>
          <w:tcPr>
            <w:tcW w:w="1442" w:type="dxa"/>
            <w:tcBorders>
              <w:top w:val="single" w:sz="4" w:space="0" w:color="000000"/>
              <w:left w:val="single" w:sz="4" w:space="0" w:color="000000"/>
              <w:bottom w:val="single" w:sz="4" w:space="0" w:color="000000"/>
              <w:right w:val="single" w:sz="4" w:space="0" w:color="000000"/>
            </w:tcBorders>
          </w:tcPr>
          <w:p w14:paraId="5C023F2F"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-1.73231</w:t>
            </w:r>
          </w:p>
          <w:p w14:paraId="5D3ED5A0" w14:textId="77777777" w:rsidR="00755399" w:rsidRPr="00A13780" w:rsidRDefault="00755399" w:rsidP="00847A51">
            <w:pPr>
              <w:spacing w:line="276" w:lineRule="auto"/>
              <w:jc w:val="center"/>
              <w:rPr>
                <w:rFonts w:ascii="Times New Roman" w:hAnsi="Times New Roman" w:cs="Times New Roman"/>
              </w:rPr>
            </w:pPr>
          </w:p>
        </w:tc>
        <w:tc>
          <w:tcPr>
            <w:tcW w:w="1442" w:type="dxa"/>
            <w:tcBorders>
              <w:top w:val="single" w:sz="4" w:space="0" w:color="000000"/>
              <w:left w:val="single" w:sz="4" w:space="0" w:color="000000"/>
              <w:bottom w:val="single" w:sz="4" w:space="0" w:color="000000"/>
              <w:right w:val="single" w:sz="4" w:space="0" w:color="000000"/>
            </w:tcBorders>
          </w:tcPr>
          <w:p w14:paraId="4E963603"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-1.4852</w:t>
            </w:r>
          </w:p>
        </w:tc>
      </w:tr>
      <w:tr w:rsidR="002F19C6" w:rsidRPr="00A13780" w14:paraId="4C73BA7E" w14:textId="77777777" w:rsidTr="002F19C6">
        <w:trPr>
          <w:trHeight w:val="247"/>
          <w:jc w:val="center"/>
        </w:trPr>
        <w:tc>
          <w:tcPr>
            <w:tcW w:w="2677" w:type="dxa"/>
            <w:tcBorders>
              <w:top w:val="single" w:sz="4" w:space="0" w:color="000000"/>
              <w:left w:val="single" w:sz="4" w:space="0" w:color="000000"/>
              <w:bottom w:val="single" w:sz="4" w:space="0" w:color="000000"/>
              <w:right w:val="single" w:sz="4" w:space="0" w:color="000000"/>
            </w:tcBorders>
            <w:vAlign w:val="center"/>
          </w:tcPr>
          <w:p w14:paraId="4E014847" w14:textId="77777777" w:rsidR="00755399" w:rsidRDefault="00755399" w:rsidP="00847A51">
            <w:pPr>
              <w:pStyle w:val="BodyText"/>
              <w:spacing w:before="61" w:line="276" w:lineRule="auto"/>
              <w:ind w:right="459"/>
              <w:jc w:val="center"/>
              <w:rPr>
                <w:b/>
                <w:bCs/>
              </w:rPr>
            </w:pPr>
            <w:r>
              <w:rPr>
                <w:b/>
                <w:bCs/>
                <w:color w:val="000000"/>
              </w:rPr>
              <w:t>“</w:t>
            </w:r>
            <w:r w:rsidRPr="00BA3817">
              <w:rPr>
                <w:b/>
                <w:bCs/>
                <w:color w:val="000000"/>
              </w:rPr>
              <w:t>Axis Gold ETF</w:t>
            </w:r>
            <w:r>
              <w:rPr>
                <w:b/>
                <w:bCs/>
                <w:color w:val="000000"/>
              </w:rPr>
              <w:t>”</w:t>
            </w:r>
          </w:p>
        </w:tc>
        <w:tc>
          <w:tcPr>
            <w:tcW w:w="1187" w:type="dxa"/>
            <w:tcBorders>
              <w:top w:val="single" w:sz="4" w:space="0" w:color="000000"/>
              <w:left w:val="single" w:sz="4" w:space="0" w:color="000000"/>
              <w:bottom w:val="single" w:sz="4" w:space="0" w:color="000000"/>
              <w:right w:val="single" w:sz="4" w:space="0" w:color="000000"/>
            </w:tcBorders>
          </w:tcPr>
          <w:p w14:paraId="223E9F57"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-1.42917</w:t>
            </w:r>
          </w:p>
          <w:p w14:paraId="57739463" w14:textId="77777777" w:rsidR="00755399" w:rsidRPr="00A13780" w:rsidRDefault="00755399" w:rsidP="00847A51">
            <w:pPr>
              <w:spacing w:line="276" w:lineRule="auto"/>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tcPr>
          <w:p w14:paraId="08107442"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-0.63959</w:t>
            </w:r>
          </w:p>
          <w:p w14:paraId="7A48B6BB" w14:textId="77777777" w:rsidR="00755399" w:rsidRPr="00A13780" w:rsidRDefault="00755399" w:rsidP="00847A51">
            <w:pPr>
              <w:spacing w:line="276" w:lineRule="auto"/>
              <w:jc w:val="center"/>
              <w:rPr>
                <w:rFonts w:ascii="Times New Roman"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tcPr>
          <w:p w14:paraId="52970AF6"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-1.91741</w:t>
            </w:r>
          </w:p>
          <w:p w14:paraId="078C4FEB" w14:textId="77777777" w:rsidR="00755399" w:rsidRPr="00A13780" w:rsidRDefault="00755399" w:rsidP="00847A51">
            <w:pPr>
              <w:spacing w:line="276" w:lineRule="auto"/>
              <w:jc w:val="center"/>
              <w:rPr>
                <w:rFonts w:ascii="Times New Roman"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tcPr>
          <w:p w14:paraId="2CE2A7F7"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-1.72895</w:t>
            </w:r>
          </w:p>
          <w:p w14:paraId="0E526E0C" w14:textId="77777777" w:rsidR="00755399" w:rsidRPr="00A13780" w:rsidRDefault="00755399" w:rsidP="00847A51">
            <w:pPr>
              <w:spacing w:line="276" w:lineRule="auto"/>
              <w:jc w:val="center"/>
              <w:rPr>
                <w:rFonts w:ascii="Times New Roman" w:hAnsi="Times New Roman" w:cs="Times New Roman"/>
              </w:rPr>
            </w:pPr>
          </w:p>
        </w:tc>
        <w:tc>
          <w:tcPr>
            <w:tcW w:w="1442" w:type="dxa"/>
            <w:tcBorders>
              <w:top w:val="single" w:sz="4" w:space="0" w:color="000000"/>
              <w:left w:val="single" w:sz="4" w:space="0" w:color="000000"/>
              <w:bottom w:val="single" w:sz="4" w:space="0" w:color="000000"/>
              <w:right w:val="single" w:sz="4" w:space="0" w:color="000000"/>
            </w:tcBorders>
          </w:tcPr>
          <w:p w14:paraId="0B54887F"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-1.74523</w:t>
            </w:r>
          </w:p>
          <w:p w14:paraId="45052436" w14:textId="77777777" w:rsidR="00755399" w:rsidRPr="00A13780" w:rsidRDefault="00755399" w:rsidP="00847A51">
            <w:pPr>
              <w:spacing w:line="276" w:lineRule="auto"/>
              <w:jc w:val="center"/>
              <w:rPr>
                <w:rFonts w:ascii="Times New Roman" w:hAnsi="Times New Roman" w:cs="Times New Roman"/>
              </w:rPr>
            </w:pPr>
          </w:p>
        </w:tc>
        <w:tc>
          <w:tcPr>
            <w:tcW w:w="1442" w:type="dxa"/>
            <w:tcBorders>
              <w:top w:val="single" w:sz="4" w:space="0" w:color="000000"/>
              <w:left w:val="single" w:sz="4" w:space="0" w:color="000000"/>
              <w:bottom w:val="single" w:sz="4" w:space="0" w:color="000000"/>
              <w:right w:val="single" w:sz="4" w:space="0" w:color="000000"/>
            </w:tcBorders>
          </w:tcPr>
          <w:tbl>
            <w:tblPr>
              <w:tblW w:w="1255" w:type="dxa"/>
              <w:tblInd w:w="6" w:type="dxa"/>
              <w:tblCellMar>
                <w:top w:w="15" w:type="dxa"/>
              </w:tblCellMar>
              <w:tblLook w:val="04A0" w:firstRow="1" w:lastRow="0" w:firstColumn="1" w:lastColumn="0" w:noHBand="0" w:noVBand="1"/>
            </w:tblPr>
            <w:tblGrid>
              <w:gridCol w:w="1005"/>
              <w:gridCol w:w="250"/>
            </w:tblGrid>
            <w:tr w:rsidR="00755399" w:rsidRPr="00D134B5" w14:paraId="03E3175E" w14:textId="77777777" w:rsidTr="002F19C6">
              <w:trPr>
                <w:trHeight w:val="274"/>
              </w:trPr>
              <w:tc>
                <w:tcPr>
                  <w:tcW w:w="1005" w:type="dxa"/>
                  <w:tcBorders>
                    <w:top w:val="nil"/>
                    <w:left w:val="nil"/>
                    <w:bottom w:val="nil"/>
                    <w:right w:val="nil"/>
                  </w:tcBorders>
                  <w:vAlign w:val="center"/>
                  <w:hideMark/>
                </w:tcPr>
                <w:p w14:paraId="714B0EAB" w14:textId="77777777" w:rsidR="00755399" w:rsidRPr="00D134B5" w:rsidRDefault="00755399" w:rsidP="00847A51">
                  <w:pPr>
                    <w:spacing w:after="0" w:line="276"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-1.4921</w:t>
                  </w:r>
                </w:p>
              </w:tc>
              <w:tc>
                <w:tcPr>
                  <w:tcW w:w="250" w:type="dxa"/>
                  <w:tcBorders>
                    <w:top w:val="nil"/>
                    <w:left w:val="nil"/>
                    <w:bottom w:val="nil"/>
                    <w:right w:val="nil"/>
                  </w:tcBorders>
                  <w:shd w:val="clear" w:color="auto" w:fill="auto"/>
                  <w:noWrap/>
                  <w:vAlign w:val="bottom"/>
                  <w:hideMark/>
                </w:tcPr>
                <w:p w14:paraId="677EBB44" w14:textId="77777777" w:rsidR="00755399" w:rsidRPr="00D134B5" w:rsidRDefault="00755399" w:rsidP="00847A51">
                  <w:pPr>
                    <w:spacing w:after="0" w:line="276" w:lineRule="auto"/>
                    <w:jc w:val="right"/>
                    <w:rPr>
                      <w:rFonts w:ascii="Calibri" w:eastAsia="Times New Roman" w:hAnsi="Calibri" w:cs="Calibri"/>
                      <w:color w:val="000000"/>
                      <w:kern w:val="0"/>
                      <w14:ligatures w14:val="none"/>
                    </w:rPr>
                  </w:pPr>
                </w:p>
              </w:tc>
            </w:tr>
          </w:tbl>
          <w:p w14:paraId="3A0427B2" w14:textId="77777777" w:rsidR="00755399" w:rsidRDefault="00755399" w:rsidP="00847A51">
            <w:pPr>
              <w:spacing w:line="276" w:lineRule="auto"/>
              <w:jc w:val="center"/>
              <w:rPr>
                <w:rFonts w:ascii="Calibri" w:hAnsi="Calibri" w:cs="Calibri"/>
                <w:color w:val="000000"/>
              </w:rPr>
            </w:pPr>
          </w:p>
        </w:tc>
      </w:tr>
      <w:tr w:rsidR="002F19C6" w:rsidRPr="00A13780" w14:paraId="76D17F08" w14:textId="77777777" w:rsidTr="002F19C6">
        <w:trPr>
          <w:trHeight w:val="247"/>
          <w:jc w:val="center"/>
        </w:trPr>
        <w:tc>
          <w:tcPr>
            <w:tcW w:w="2677" w:type="dxa"/>
            <w:tcBorders>
              <w:top w:val="single" w:sz="4" w:space="0" w:color="000000"/>
              <w:left w:val="single" w:sz="4" w:space="0" w:color="000000"/>
              <w:bottom w:val="single" w:sz="4" w:space="0" w:color="000000"/>
              <w:right w:val="single" w:sz="4" w:space="0" w:color="000000"/>
            </w:tcBorders>
            <w:vAlign w:val="center"/>
          </w:tcPr>
          <w:p w14:paraId="0EC66405" w14:textId="77777777" w:rsidR="00755399" w:rsidRPr="00772464" w:rsidRDefault="00755399" w:rsidP="00847A51">
            <w:pPr>
              <w:spacing w:line="276" w:lineRule="auto"/>
              <w:jc w:val="center"/>
              <w:rPr>
                <w:rFonts w:ascii="Times New Roman" w:hAnsi="Times New Roman" w:cs="Times New Roman"/>
                <w:b/>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Aditya Birla Gold ETF</w:t>
            </w:r>
            <w:r>
              <w:rPr>
                <w:rFonts w:ascii="Times New Roman" w:eastAsia="Times New Roman" w:hAnsi="Times New Roman" w:cs="Times New Roman"/>
                <w:b/>
                <w:bCs/>
                <w:color w:val="000000"/>
                <w:kern w:val="0"/>
                <w14:ligatures w14:val="none"/>
              </w:rPr>
              <w:t>”</w:t>
            </w:r>
          </w:p>
        </w:tc>
        <w:tc>
          <w:tcPr>
            <w:tcW w:w="1187" w:type="dxa"/>
            <w:tcBorders>
              <w:top w:val="single" w:sz="4" w:space="0" w:color="000000"/>
              <w:left w:val="single" w:sz="4" w:space="0" w:color="000000"/>
              <w:bottom w:val="single" w:sz="4" w:space="0" w:color="000000"/>
              <w:right w:val="single" w:sz="4" w:space="0" w:color="000000"/>
            </w:tcBorders>
          </w:tcPr>
          <w:p w14:paraId="6BF7CB09"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-1.4819</w:t>
            </w:r>
          </w:p>
          <w:p w14:paraId="1C351374" w14:textId="77777777" w:rsidR="00755399" w:rsidRPr="00A13780" w:rsidRDefault="00755399" w:rsidP="00847A51">
            <w:pPr>
              <w:spacing w:line="276" w:lineRule="auto"/>
              <w:jc w:val="center"/>
              <w:rPr>
                <w:rFonts w:ascii="Times New Roman" w:hAnsi="Times New Roman" w:cs="Times New Roman"/>
              </w:rPr>
            </w:pPr>
          </w:p>
        </w:tc>
        <w:tc>
          <w:tcPr>
            <w:tcW w:w="1187" w:type="dxa"/>
            <w:tcBorders>
              <w:top w:val="single" w:sz="4" w:space="0" w:color="000000"/>
              <w:left w:val="single" w:sz="4" w:space="0" w:color="000000"/>
              <w:bottom w:val="single" w:sz="4" w:space="0" w:color="000000"/>
              <w:right w:val="single" w:sz="4" w:space="0" w:color="000000"/>
            </w:tcBorders>
          </w:tcPr>
          <w:p w14:paraId="3B38144B"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-0.62861</w:t>
            </w:r>
          </w:p>
          <w:p w14:paraId="716F6233" w14:textId="77777777" w:rsidR="00755399" w:rsidRPr="00A13780" w:rsidRDefault="00755399" w:rsidP="00847A51">
            <w:pPr>
              <w:spacing w:line="276" w:lineRule="auto"/>
              <w:jc w:val="center"/>
              <w:rPr>
                <w:rFonts w:ascii="Times New Roman"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tcPr>
          <w:p w14:paraId="59174060"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-0.76783</w:t>
            </w:r>
          </w:p>
          <w:p w14:paraId="6C0D9AD5" w14:textId="77777777" w:rsidR="00755399" w:rsidRPr="00A13780" w:rsidRDefault="00755399" w:rsidP="00847A51">
            <w:pPr>
              <w:spacing w:line="276" w:lineRule="auto"/>
              <w:jc w:val="center"/>
              <w:rPr>
                <w:rFonts w:ascii="Times New Roman" w:hAnsi="Times New Roman" w:cs="Times New Roman"/>
              </w:rPr>
            </w:pPr>
          </w:p>
        </w:tc>
        <w:tc>
          <w:tcPr>
            <w:tcW w:w="1270" w:type="dxa"/>
            <w:tcBorders>
              <w:top w:val="single" w:sz="4" w:space="0" w:color="000000"/>
              <w:left w:val="single" w:sz="4" w:space="0" w:color="000000"/>
              <w:bottom w:val="single" w:sz="4" w:space="0" w:color="000000"/>
              <w:right w:val="single" w:sz="4" w:space="0" w:color="000000"/>
            </w:tcBorders>
          </w:tcPr>
          <w:p w14:paraId="60F9D629"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-1.6925</w:t>
            </w:r>
          </w:p>
          <w:p w14:paraId="6B99DB9A" w14:textId="77777777" w:rsidR="00755399" w:rsidRPr="00A13780" w:rsidRDefault="00755399" w:rsidP="00847A51">
            <w:pPr>
              <w:spacing w:line="276" w:lineRule="auto"/>
              <w:jc w:val="center"/>
              <w:rPr>
                <w:rFonts w:ascii="Times New Roman" w:hAnsi="Times New Roman" w:cs="Times New Roman"/>
              </w:rPr>
            </w:pPr>
          </w:p>
        </w:tc>
        <w:tc>
          <w:tcPr>
            <w:tcW w:w="1442" w:type="dxa"/>
            <w:tcBorders>
              <w:top w:val="single" w:sz="4" w:space="0" w:color="000000"/>
              <w:left w:val="single" w:sz="4" w:space="0" w:color="000000"/>
              <w:bottom w:val="single" w:sz="4" w:space="0" w:color="000000"/>
              <w:right w:val="single" w:sz="4" w:space="0" w:color="000000"/>
            </w:tcBorders>
          </w:tcPr>
          <w:p w14:paraId="088A94B1"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-1.79592</w:t>
            </w:r>
          </w:p>
          <w:p w14:paraId="4776F396" w14:textId="77777777" w:rsidR="00755399" w:rsidRPr="00A13780" w:rsidRDefault="00755399" w:rsidP="00847A51">
            <w:pPr>
              <w:spacing w:line="276" w:lineRule="auto"/>
              <w:jc w:val="center"/>
              <w:rPr>
                <w:rFonts w:ascii="Times New Roman" w:hAnsi="Times New Roman" w:cs="Times New Roman"/>
              </w:rPr>
            </w:pPr>
          </w:p>
        </w:tc>
        <w:tc>
          <w:tcPr>
            <w:tcW w:w="1442" w:type="dxa"/>
            <w:tcBorders>
              <w:top w:val="single" w:sz="4" w:space="0" w:color="000000"/>
              <w:left w:val="single" w:sz="4" w:space="0" w:color="000000"/>
              <w:bottom w:val="single" w:sz="4" w:space="0" w:color="000000"/>
              <w:right w:val="single" w:sz="4" w:space="0" w:color="000000"/>
            </w:tcBorders>
          </w:tcPr>
          <w:tbl>
            <w:tblPr>
              <w:tblW w:w="1255" w:type="dxa"/>
              <w:tblInd w:w="6" w:type="dxa"/>
              <w:tblCellMar>
                <w:top w:w="15" w:type="dxa"/>
              </w:tblCellMar>
              <w:tblLook w:val="04A0" w:firstRow="1" w:lastRow="0" w:firstColumn="1" w:lastColumn="0" w:noHBand="0" w:noVBand="1"/>
            </w:tblPr>
            <w:tblGrid>
              <w:gridCol w:w="1005"/>
              <w:gridCol w:w="250"/>
            </w:tblGrid>
            <w:tr w:rsidR="00755399" w:rsidRPr="00D134B5" w14:paraId="703E0CE8" w14:textId="77777777" w:rsidTr="002F19C6">
              <w:trPr>
                <w:trHeight w:val="264"/>
              </w:trPr>
              <w:tc>
                <w:tcPr>
                  <w:tcW w:w="1005" w:type="dxa"/>
                  <w:tcBorders>
                    <w:top w:val="nil"/>
                    <w:left w:val="nil"/>
                    <w:bottom w:val="nil"/>
                    <w:right w:val="nil"/>
                  </w:tcBorders>
                  <w:vAlign w:val="center"/>
                  <w:hideMark/>
                </w:tcPr>
                <w:p w14:paraId="396B9E8E" w14:textId="77777777" w:rsidR="00755399" w:rsidRPr="00D134B5" w:rsidRDefault="00755399" w:rsidP="00847A51">
                  <w:pPr>
                    <w:spacing w:after="0" w:line="276"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-1.2734</w:t>
                  </w:r>
                </w:p>
              </w:tc>
              <w:tc>
                <w:tcPr>
                  <w:tcW w:w="250" w:type="dxa"/>
                  <w:tcBorders>
                    <w:top w:val="nil"/>
                    <w:left w:val="nil"/>
                    <w:bottom w:val="nil"/>
                    <w:right w:val="nil"/>
                  </w:tcBorders>
                  <w:shd w:val="clear" w:color="auto" w:fill="auto"/>
                  <w:noWrap/>
                  <w:vAlign w:val="bottom"/>
                  <w:hideMark/>
                </w:tcPr>
                <w:p w14:paraId="70AE77FD" w14:textId="77777777" w:rsidR="00755399" w:rsidRPr="00D134B5" w:rsidRDefault="00755399" w:rsidP="00847A51">
                  <w:pPr>
                    <w:spacing w:after="0" w:line="276" w:lineRule="auto"/>
                    <w:jc w:val="right"/>
                    <w:rPr>
                      <w:rFonts w:ascii="Calibri" w:eastAsia="Times New Roman" w:hAnsi="Calibri" w:cs="Calibri"/>
                      <w:color w:val="000000"/>
                      <w:kern w:val="0"/>
                      <w14:ligatures w14:val="none"/>
                    </w:rPr>
                  </w:pPr>
                </w:p>
              </w:tc>
            </w:tr>
          </w:tbl>
          <w:p w14:paraId="178224FB" w14:textId="77777777" w:rsidR="00755399" w:rsidRDefault="00755399" w:rsidP="00847A51">
            <w:pPr>
              <w:spacing w:line="276" w:lineRule="auto"/>
              <w:jc w:val="center"/>
              <w:rPr>
                <w:rFonts w:ascii="Calibri" w:hAnsi="Calibri" w:cs="Calibri"/>
                <w:color w:val="000000"/>
              </w:rPr>
            </w:pPr>
          </w:p>
        </w:tc>
      </w:tr>
    </w:tbl>
    <w:p w14:paraId="30934C4A" w14:textId="77777777" w:rsidR="002F19C6" w:rsidRDefault="002F19C6" w:rsidP="00847A51">
      <w:pPr>
        <w:spacing w:line="276" w:lineRule="auto"/>
        <w:rPr>
          <w:rFonts w:ascii="Times New Roman" w:hAnsi="Times New Roman" w:cs="Times New Roman"/>
        </w:rPr>
      </w:pPr>
    </w:p>
    <w:p w14:paraId="29A611DC" w14:textId="0F119524" w:rsidR="00755399" w:rsidRPr="00282C26" w:rsidRDefault="00755399" w:rsidP="00847A51">
      <w:pPr>
        <w:spacing w:line="276" w:lineRule="auto"/>
        <w:rPr>
          <w:rFonts w:ascii="Times New Roman" w:hAnsi="Times New Roman" w:cs="Times New Roman"/>
          <w:b/>
          <w:bCs/>
          <w:sz w:val="28"/>
          <w:szCs w:val="28"/>
        </w:rPr>
      </w:pPr>
      <w:r>
        <w:rPr>
          <w:rFonts w:ascii="Times New Roman" w:hAnsi="Times New Roman" w:cs="Times New Roman"/>
          <w:b/>
          <w:bCs/>
          <w:sz w:val="28"/>
          <w:szCs w:val="28"/>
        </w:rPr>
        <w:t>Chart</w:t>
      </w:r>
      <w:r w:rsidRPr="00282C26">
        <w:rPr>
          <w:rFonts w:ascii="Times New Roman" w:hAnsi="Times New Roman" w:cs="Times New Roman"/>
          <w:b/>
          <w:bCs/>
          <w:sz w:val="28"/>
          <w:szCs w:val="28"/>
        </w:rPr>
        <w:t xml:space="preserve"> illustrating 5-year Sharpe Ratio of 7 Gold ETFs under Study</w:t>
      </w:r>
    </w:p>
    <w:p w14:paraId="1E63110D" w14:textId="431BCCA2" w:rsidR="00847A51" w:rsidRPr="002F19C6" w:rsidRDefault="00755399" w:rsidP="00847A51">
      <w:pPr>
        <w:spacing w:line="276" w:lineRule="auto"/>
        <w:rPr>
          <w:rFonts w:ascii="Times New Roman" w:hAnsi="Times New Roman" w:cs="Times New Roman"/>
          <w:b/>
          <w:bCs/>
          <w:sz w:val="28"/>
          <w:szCs w:val="28"/>
          <w:u w:val="single"/>
        </w:rPr>
      </w:pPr>
      <w:r>
        <w:rPr>
          <w:noProof/>
        </w:rPr>
        <w:drawing>
          <wp:inline distT="0" distB="0" distL="0" distR="0" wp14:anchorId="032A1A64" wp14:editId="6109AD1A">
            <wp:extent cx="6174250" cy="3439851"/>
            <wp:effectExtent l="0" t="0" r="17145" b="8255"/>
            <wp:docPr id="2127119966" name="Chart 1">
              <a:extLst xmlns:a="http://schemas.openxmlformats.org/drawingml/2006/main">
                <a:ext uri="{FF2B5EF4-FFF2-40B4-BE49-F238E27FC236}">
                  <a16:creationId xmlns:a16="http://schemas.microsoft.com/office/drawing/2014/main" id="{50F19DBD-5BB0-13A2-5837-DD4BB0E810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05023DB" w14:textId="5991DAB1" w:rsidR="00755399" w:rsidRPr="00282C26" w:rsidRDefault="00755399" w:rsidP="00847A51">
      <w:pPr>
        <w:spacing w:line="276" w:lineRule="auto"/>
        <w:rPr>
          <w:rFonts w:ascii="Times New Roman" w:hAnsi="Times New Roman" w:cs="Times New Roman"/>
          <w:b/>
          <w:bCs/>
          <w:sz w:val="28"/>
          <w:szCs w:val="28"/>
          <w:u w:val="single"/>
        </w:rPr>
      </w:pPr>
      <w:r w:rsidRPr="00282C26">
        <w:rPr>
          <w:rFonts w:ascii="Times New Roman" w:hAnsi="Times New Roman" w:cs="Times New Roman"/>
          <w:b/>
          <w:bCs/>
          <w:sz w:val="28"/>
          <w:szCs w:val="28"/>
        </w:rPr>
        <w:t>Table outlining 5-year average Sharpe Ratio of 7 Gold ETFs under Study.</w:t>
      </w:r>
    </w:p>
    <w:tbl>
      <w:tblPr>
        <w:tblW w:w="9107" w:type="dxa"/>
        <w:tblLook w:val="04A0" w:firstRow="1" w:lastRow="0" w:firstColumn="1" w:lastColumn="0" w:noHBand="0" w:noVBand="1"/>
      </w:tblPr>
      <w:tblGrid>
        <w:gridCol w:w="3529"/>
        <w:gridCol w:w="3227"/>
        <w:gridCol w:w="2351"/>
      </w:tblGrid>
      <w:tr w:rsidR="00755399" w:rsidRPr="00BA3817" w14:paraId="4FCE41AD" w14:textId="77777777" w:rsidTr="002F19C6">
        <w:trPr>
          <w:trHeight w:val="917"/>
        </w:trPr>
        <w:tc>
          <w:tcPr>
            <w:tcW w:w="35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7C5462"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BA3817">
              <w:rPr>
                <w:rFonts w:ascii="Times New Roman" w:eastAsia="Times New Roman" w:hAnsi="Times New Roman" w:cs="Times New Roman"/>
                <w:b/>
                <w:bCs/>
                <w:color w:val="000000"/>
                <w:spacing w:val="-2"/>
                <w:kern w:val="0"/>
                <w14:ligatures w14:val="none"/>
              </w:rPr>
              <w:lastRenderedPageBreak/>
              <w:t>PARTICULARS</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14:paraId="05BE2CEA"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BA3817">
              <w:rPr>
                <w:rFonts w:ascii="Times New Roman" w:eastAsia="Times New Roman" w:hAnsi="Times New Roman" w:cs="Times New Roman"/>
                <w:b/>
                <w:bCs/>
                <w:color w:val="000000"/>
                <w:kern w:val="0"/>
                <w14:ligatures w14:val="none"/>
              </w:rPr>
              <w:t>SHARPE RATIO</w:t>
            </w:r>
          </w:p>
        </w:tc>
        <w:tc>
          <w:tcPr>
            <w:tcW w:w="2351" w:type="dxa"/>
            <w:tcBorders>
              <w:top w:val="single" w:sz="4" w:space="0" w:color="auto"/>
              <w:left w:val="nil"/>
              <w:bottom w:val="single" w:sz="4" w:space="0" w:color="auto"/>
              <w:right w:val="single" w:sz="4" w:space="0" w:color="auto"/>
            </w:tcBorders>
            <w:shd w:val="clear" w:color="auto" w:fill="auto"/>
            <w:vAlign w:val="center"/>
            <w:hideMark/>
          </w:tcPr>
          <w:p w14:paraId="6BCDC367"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BA3817">
              <w:rPr>
                <w:rFonts w:ascii="Times New Roman" w:eastAsia="Times New Roman" w:hAnsi="Times New Roman" w:cs="Times New Roman"/>
                <w:b/>
                <w:bCs/>
                <w:color w:val="000000"/>
                <w:spacing w:val="-2"/>
                <w:kern w:val="0"/>
                <w14:ligatures w14:val="none"/>
              </w:rPr>
              <w:t>RANKING</w:t>
            </w:r>
          </w:p>
        </w:tc>
      </w:tr>
      <w:tr w:rsidR="00755399" w:rsidRPr="00BA3817" w14:paraId="1F5AB95C" w14:textId="77777777" w:rsidTr="002F19C6">
        <w:trPr>
          <w:trHeight w:val="603"/>
        </w:trPr>
        <w:tc>
          <w:tcPr>
            <w:tcW w:w="3529" w:type="dxa"/>
            <w:tcBorders>
              <w:top w:val="nil"/>
              <w:left w:val="single" w:sz="4" w:space="0" w:color="auto"/>
              <w:bottom w:val="single" w:sz="4" w:space="0" w:color="auto"/>
              <w:right w:val="single" w:sz="4" w:space="0" w:color="auto"/>
            </w:tcBorders>
            <w:shd w:val="clear" w:color="auto" w:fill="auto"/>
            <w:vAlign w:val="center"/>
            <w:hideMark/>
          </w:tcPr>
          <w:p w14:paraId="36BA5C0B"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Nippon India ETF Gold Bees</w:t>
            </w:r>
            <w:r>
              <w:rPr>
                <w:rFonts w:ascii="Times New Roman" w:eastAsia="Times New Roman" w:hAnsi="Times New Roman" w:cs="Times New Roman"/>
                <w:b/>
                <w:bCs/>
                <w:color w:val="000000"/>
                <w:kern w:val="0"/>
                <w14:ligatures w14:val="none"/>
              </w:rPr>
              <w:t>”</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14:paraId="2669F5CD"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-1.5021</w:t>
            </w:r>
          </w:p>
        </w:tc>
        <w:tc>
          <w:tcPr>
            <w:tcW w:w="2351" w:type="dxa"/>
            <w:tcBorders>
              <w:top w:val="nil"/>
              <w:left w:val="nil"/>
              <w:bottom w:val="single" w:sz="4" w:space="0" w:color="auto"/>
              <w:right w:val="single" w:sz="4" w:space="0" w:color="auto"/>
            </w:tcBorders>
            <w:shd w:val="clear" w:color="auto" w:fill="auto"/>
            <w:noWrap/>
            <w:vAlign w:val="center"/>
            <w:hideMark/>
          </w:tcPr>
          <w:p w14:paraId="4A079137"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6</w:t>
            </w:r>
          </w:p>
        </w:tc>
      </w:tr>
      <w:tr w:rsidR="00755399" w:rsidRPr="00BA3817" w14:paraId="7BBEC4B0" w14:textId="77777777" w:rsidTr="002F19C6">
        <w:trPr>
          <w:trHeight w:val="301"/>
        </w:trPr>
        <w:tc>
          <w:tcPr>
            <w:tcW w:w="3529" w:type="dxa"/>
            <w:tcBorders>
              <w:top w:val="nil"/>
              <w:left w:val="single" w:sz="4" w:space="0" w:color="auto"/>
              <w:bottom w:val="single" w:sz="4" w:space="0" w:color="auto"/>
              <w:right w:val="single" w:sz="4" w:space="0" w:color="auto"/>
            </w:tcBorders>
            <w:shd w:val="clear" w:color="auto" w:fill="auto"/>
            <w:vAlign w:val="center"/>
            <w:hideMark/>
          </w:tcPr>
          <w:p w14:paraId="7685B1BF"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SBI-ETF Gold</w:t>
            </w:r>
            <w:r>
              <w:rPr>
                <w:rFonts w:ascii="Times New Roman" w:eastAsia="Times New Roman" w:hAnsi="Times New Roman" w:cs="Times New Roman"/>
                <w:b/>
                <w:bCs/>
                <w:color w:val="000000"/>
                <w:kern w:val="0"/>
                <w14:ligatures w14:val="none"/>
              </w:rPr>
              <w:t>”</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14:paraId="0200D67D"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-1.5026</w:t>
            </w:r>
          </w:p>
        </w:tc>
        <w:tc>
          <w:tcPr>
            <w:tcW w:w="2351" w:type="dxa"/>
            <w:tcBorders>
              <w:top w:val="nil"/>
              <w:left w:val="nil"/>
              <w:bottom w:val="single" w:sz="4" w:space="0" w:color="auto"/>
              <w:right w:val="single" w:sz="4" w:space="0" w:color="auto"/>
            </w:tcBorders>
            <w:shd w:val="clear" w:color="auto" w:fill="auto"/>
            <w:noWrap/>
            <w:vAlign w:val="center"/>
            <w:hideMark/>
          </w:tcPr>
          <w:p w14:paraId="753134AD"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7</w:t>
            </w:r>
          </w:p>
        </w:tc>
      </w:tr>
      <w:tr w:rsidR="00755399" w:rsidRPr="00BA3817" w14:paraId="6DC54DC4" w14:textId="77777777" w:rsidTr="002F19C6">
        <w:trPr>
          <w:trHeight w:val="603"/>
        </w:trPr>
        <w:tc>
          <w:tcPr>
            <w:tcW w:w="3529" w:type="dxa"/>
            <w:tcBorders>
              <w:top w:val="nil"/>
              <w:left w:val="single" w:sz="4" w:space="0" w:color="auto"/>
              <w:bottom w:val="single" w:sz="4" w:space="0" w:color="auto"/>
              <w:right w:val="single" w:sz="4" w:space="0" w:color="auto"/>
            </w:tcBorders>
            <w:shd w:val="clear" w:color="auto" w:fill="auto"/>
            <w:vAlign w:val="center"/>
            <w:hideMark/>
          </w:tcPr>
          <w:p w14:paraId="608C7DCF"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ICICI prudential Gold ETF</w:t>
            </w:r>
            <w:r>
              <w:rPr>
                <w:rFonts w:ascii="Times New Roman" w:eastAsia="Times New Roman" w:hAnsi="Times New Roman" w:cs="Times New Roman"/>
                <w:b/>
                <w:bCs/>
                <w:color w:val="000000"/>
                <w:kern w:val="0"/>
                <w14:ligatures w14:val="none"/>
              </w:rPr>
              <w:t>”</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14:paraId="08C3615E" w14:textId="77777777" w:rsidR="00755399" w:rsidRPr="00BA3817" w:rsidRDefault="00755399" w:rsidP="00847A51">
            <w:pPr>
              <w:spacing w:after="0" w:line="276" w:lineRule="auto"/>
              <w:jc w:val="center"/>
              <w:rPr>
                <w:rFonts w:ascii="Times New Roman" w:eastAsia="Times New Roman" w:hAnsi="Times New Roman" w:cs="Times New Roman"/>
                <w:color w:val="000000"/>
                <w:kern w:val="0"/>
                <w14:ligatures w14:val="none"/>
              </w:rPr>
            </w:pPr>
            <w:r w:rsidRPr="00BA3817">
              <w:rPr>
                <w:rFonts w:ascii="Times New Roman" w:eastAsia="Times New Roman" w:hAnsi="Times New Roman" w:cs="Times New Roman"/>
                <w:color w:val="000000"/>
                <w:kern w:val="0"/>
                <w14:ligatures w14:val="none"/>
              </w:rPr>
              <w:t>-1.2078</w:t>
            </w:r>
          </w:p>
        </w:tc>
        <w:tc>
          <w:tcPr>
            <w:tcW w:w="2351" w:type="dxa"/>
            <w:tcBorders>
              <w:top w:val="nil"/>
              <w:left w:val="nil"/>
              <w:bottom w:val="single" w:sz="4" w:space="0" w:color="auto"/>
              <w:right w:val="single" w:sz="4" w:space="0" w:color="auto"/>
            </w:tcBorders>
            <w:shd w:val="clear" w:color="auto" w:fill="auto"/>
            <w:noWrap/>
            <w:vAlign w:val="center"/>
            <w:hideMark/>
          </w:tcPr>
          <w:p w14:paraId="4A7B0D98"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1</w:t>
            </w:r>
          </w:p>
        </w:tc>
      </w:tr>
      <w:tr w:rsidR="00755399" w:rsidRPr="00BA3817" w14:paraId="7491B935" w14:textId="77777777" w:rsidTr="002F19C6">
        <w:trPr>
          <w:trHeight w:val="904"/>
        </w:trPr>
        <w:tc>
          <w:tcPr>
            <w:tcW w:w="3529" w:type="dxa"/>
            <w:tcBorders>
              <w:top w:val="nil"/>
              <w:left w:val="single" w:sz="4" w:space="0" w:color="auto"/>
              <w:bottom w:val="single" w:sz="4" w:space="0" w:color="auto"/>
              <w:right w:val="single" w:sz="4" w:space="0" w:color="auto"/>
            </w:tcBorders>
            <w:shd w:val="clear" w:color="auto" w:fill="auto"/>
            <w:vAlign w:val="center"/>
            <w:hideMark/>
          </w:tcPr>
          <w:p w14:paraId="45455855"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HDFC Gold Exchange traded fund</w:t>
            </w:r>
            <w:r>
              <w:rPr>
                <w:rFonts w:ascii="Times New Roman" w:eastAsia="Times New Roman" w:hAnsi="Times New Roman" w:cs="Times New Roman"/>
                <w:b/>
                <w:bCs/>
                <w:color w:val="000000"/>
                <w:kern w:val="0"/>
                <w14:ligatures w14:val="none"/>
              </w:rPr>
              <w:t>”</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14:paraId="105A7FBC" w14:textId="77777777" w:rsidR="00755399" w:rsidRPr="00BA3817" w:rsidRDefault="00755399" w:rsidP="00847A51">
            <w:pPr>
              <w:spacing w:after="0" w:line="276" w:lineRule="auto"/>
              <w:jc w:val="center"/>
              <w:rPr>
                <w:rFonts w:ascii="Times New Roman" w:eastAsia="Times New Roman" w:hAnsi="Times New Roman" w:cs="Times New Roman"/>
                <w:color w:val="000000"/>
                <w:kern w:val="0"/>
                <w14:ligatures w14:val="none"/>
              </w:rPr>
            </w:pPr>
            <w:r w:rsidRPr="00BA3817">
              <w:rPr>
                <w:rFonts w:ascii="Times New Roman" w:eastAsia="Times New Roman" w:hAnsi="Times New Roman" w:cs="Times New Roman"/>
                <w:color w:val="000000"/>
                <w:kern w:val="0"/>
                <w14:ligatures w14:val="none"/>
              </w:rPr>
              <w:t>-1.4541</w:t>
            </w:r>
          </w:p>
        </w:tc>
        <w:tc>
          <w:tcPr>
            <w:tcW w:w="2351" w:type="dxa"/>
            <w:tcBorders>
              <w:top w:val="nil"/>
              <w:left w:val="nil"/>
              <w:bottom w:val="single" w:sz="4" w:space="0" w:color="auto"/>
              <w:right w:val="single" w:sz="4" w:space="0" w:color="auto"/>
            </w:tcBorders>
            <w:shd w:val="clear" w:color="auto" w:fill="auto"/>
            <w:noWrap/>
            <w:vAlign w:val="center"/>
            <w:hideMark/>
          </w:tcPr>
          <w:p w14:paraId="7AE31461"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3</w:t>
            </w:r>
          </w:p>
        </w:tc>
      </w:tr>
      <w:tr w:rsidR="00755399" w:rsidRPr="00BA3817" w14:paraId="6795136A" w14:textId="77777777" w:rsidTr="002F19C6">
        <w:trPr>
          <w:trHeight w:val="301"/>
        </w:trPr>
        <w:tc>
          <w:tcPr>
            <w:tcW w:w="3529" w:type="dxa"/>
            <w:tcBorders>
              <w:top w:val="nil"/>
              <w:left w:val="single" w:sz="4" w:space="0" w:color="auto"/>
              <w:bottom w:val="single" w:sz="4" w:space="0" w:color="auto"/>
              <w:right w:val="single" w:sz="4" w:space="0" w:color="auto"/>
            </w:tcBorders>
            <w:shd w:val="clear" w:color="auto" w:fill="auto"/>
            <w:vAlign w:val="center"/>
            <w:hideMark/>
          </w:tcPr>
          <w:p w14:paraId="157B1CB8"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Kotak Gold ETF</w:t>
            </w:r>
            <w:r>
              <w:rPr>
                <w:rFonts w:ascii="Times New Roman" w:eastAsia="Times New Roman" w:hAnsi="Times New Roman" w:cs="Times New Roman"/>
                <w:b/>
                <w:bCs/>
                <w:color w:val="000000"/>
                <w:kern w:val="0"/>
                <w14:ligatures w14:val="none"/>
              </w:rPr>
              <w:t>”</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14:paraId="2F097910"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-1.4852</w:t>
            </w:r>
          </w:p>
        </w:tc>
        <w:tc>
          <w:tcPr>
            <w:tcW w:w="2351" w:type="dxa"/>
            <w:tcBorders>
              <w:top w:val="nil"/>
              <w:left w:val="nil"/>
              <w:bottom w:val="single" w:sz="4" w:space="0" w:color="auto"/>
              <w:right w:val="single" w:sz="4" w:space="0" w:color="auto"/>
            </w:tcBorders>
            <w:shd w:val="clear" w:color="auto" w:fill="auto"/>
            <w:noWrap/>
            <w:vAlign w:val="center"/>
            <w:hideMark/>
          </w:tcPr>
          <w:p w14:paraId="197639D3"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4</w:t>
            </w:r>
          </w:p>
        </w:tc>
      </w:tr>
      <w:tr w:rsidR="00755399" w:rsidRPr="00BA3817" w14:paraId="72876027" w14:textId="77777777" w:rsidTr="002F19C6">
        <w:trPr>
          <w:trHeight w:val="301"/>
        </w:trPr>
        <w:tc>
          <w:tcPr>
            <w:tcW w:w="3529" w:type="dxa"/>
            <w:tcBorders>
              <w:top w:val="nil"/>
              <w:left w:val="single" w:sz="4" w:space="0" w:color="auto"/>
              <w:bottom w:val="single" w:sz="4" w:space="0" w:color="auto"/>
              <w:right w:val="single" w:sz="4" w:space="0" w:color="auto"/>
            </w:tcBorders>
            <w:shd w:val="clear" w:color="auto" w:fill="auto"/>
            <w:vAlign w:val="center"/>
            <w:hideMark/>
          </w:tcPr>
          <w:p w14:paraId="5D16B973"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Axis Gold ETF</w:t>
            </w:r>
            <w:r>
              <w:rPr>
                <w:rFonts w:ascii="Times New Roman" w:eastAsia="Times New Roman" w:hAnsi="Times New Roman" w:cs="Times New Roman"/>
                <w:b/>
                <w:bCs/>
                <w:color w:val="000000"/>
                <w:kern w:val="0"/>
                <w14:ligatures w14:val="none"/>
              </w:rPr>
              <w:t>”</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14:paraId="4BD558DA"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-1.4921</w:t>
            </w:r>
          </w:p>
        </w:tc>
        <w:tc>
          <w:tcPr>
            <w:tcW w:w="2351" w:type="dxa"/>
            <w:tcBorders>
              <w:top w:val="nil"/>
              <w:left w:val="nil"/>
              <w:bottom w:val="single" w:sz="4" w:space="0" w:color="auto"/>
              <w:right w:val="single" w:sz="4" w:space="0" w:color="auto"/>
            </w:tcBorders>
            <w:shd w:val="clear" w:color="auto" w:fill="auto"/>
            <w:noWrap/>
            <w:vAlign w:val="center"/>
            <w:hideMark/>
          </w:tcPr>
          <w:p w14:paraId="52BE887F"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5</w:t>
            </w:r>
          </w:p>
        </w:tc>
      </w:tr>
      <w:tr w:rsidR="00755399" w:rsidRPr="00BA3817" w14:paraId="425122CE" w14:textId="77777777" w:rsidTr="002F19C6">
        <w:trPr>
          <w:trHeight w:val="603"/>
        </w:trPr>
        <w:tc>
          <w:tcPr>
            <w:tcW w:w="3529" w:type="dxa"/>
            <w:tcBorders>
              <w:top w:val="nil"/>
              <w:left w:val="single" w:sz="4" w:space="0" w:color="auto"/>
              <w:bottom w:val="single" w:sz="4" w:space="0" w:color="auto"/>
              <w:right w:val="single" w:sz="4" w:space="0" w:color="auto"/>
            </w:tcBorders>
            <w:shd w:val="clear" w:color="auto" w:fill="auto"/>
            <w:vAlign w:val="center"/>
            <w:hideMark/>
          </w:tcPr>
          <w:p w14:paraId="4E80A736"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Aditya Birla Gold ETF</w:t>
            </w:r>
            <w:r>
              <w:rPr>
                <w:rFonts w:ascii="Times New Roman" w:eastAsia="Times New Roman" w:hAnsi="Times New Roman" w:cs="Times New Roman"/>
                <w:b/>
                <w:bCs/>
                <w:color w:val="000000"/>
                <w:kern w:val="0"/>
                <w14:ligatures w14:val="none"/>
              </w:rPr>
              <w:t>”</w:t>
            </w:r>
          </w:p>
        </w:tc>
        <w:tc>
          <w:tcPr>
            <w:tcW w:w="3227" w:type="dxa"/>
            <w:tcBorders>
              <w:top w:val="single" w:sz="4" w:space="0" w:color="auto"/>
              <w:left w:val="nil"/>
              <w:bottom w:val="single" w:sz="4" w:space="0" w:color="auto"/>
              <w:right w:val="single" w:sz="4" w:space="0" w:color="auto"/>
            </w:tcBorders>
            <w:shd w:val="clear" w:color="auto" w:fill="auto"/>
            <w:vAlign w:val="center"/>
            <w:hideMark/>
          </w:tcPr>
          <w:p w14:paraId="389BA3F3"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-1.2734</w:t>
            </w:r>
          </w:p>
        </w:tc>
        <w:tc>
          <w:tcPr>
            <w:tcW w:w="2351" w:type="dxa"/>
            <w:tcBorders>
              <w:top w:val="nil"/>
              <w:left w:val="nil"/>
              <w:bottom w:val="single" w:sz="4" w:space="0" w:color="auto"/>
              <w:right w:val="single" w:sz="4" w:space="0" w:color="auto"/>
            </w:tcBorders>
            <w:shd w:val="clear" w:color="auto" w:fill="auto"/>
            <w:noWrap/>
            <w:vAlign w:val="center"/>
            <w:hideMark/>
          </w:tcPr>
          <w:p w14:paraId="45ED793E"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2</w:t>
            </w:r>
          </w:p>
        </w:tc>
      </w:tr>
    </w:tbl>
    <w:p w14:paraId="56784ED8" w14:textId="77777777" w:rsidR="00847A51" w:rsidRDefault="00847A51" w:rsidP="00847A51">
      <w:pPr>
        <w:spacing w:line="276" w:lineRule="auto"/>
        <w:rPr>
          <w:rFonts w:ascii="Times New Roman" w:hAnsi="Times New Roman" w:cs="Times New Roman"/>
          <w:b/>
          <w:bCs/>
          <w:sz w:val="28"/>
          <w:szCs w:val="28"/>
        </w:rPr>
      </w:pPr>
    </w:p>
    <w:p w14:paraId="4B463E1E" w14:textId="7FC8D3F5" w:rsidR="00755399" w:rsidRDefault="00755399" w:rsidP="00847A51">
      <w:pPr>
        <w:spacing w:line="276" w:lineRule="auto"/>
        <w:rPr>
          <w:rFonts w:ascii="Times New Roman" w:hAnsi="Times New Roman" w:cs="Times New Roman"/>
          <w:b/>
          <w:bCs/>
          <w:sz w:val="28"/>
          <w:szCs w:val="28"/>
        </w:rPr>
      </w:pPr>
      <w:r w:rsidRPr="00F737F0">
        <w:rPr>
          <w:rFonts w:ascii="Times New Roman" w:hAnsi="Times New Roman" w:cs="Times New Roman"/>
          <w:b/>
          <w:bCs/>
          <w:sz w:val="28"/>
          <w:szCs w:val="28"/>
        </w:rPr>
        <w:t>ANALYSIS</w:t>
      </w:r>
    </w:p>
    <w:p w14:paraId="60C9DBF7" w14:textId="56059C1E" w:rsidR="00755399" w:rsidRPr="00F737F0" w:rsidRDefault="00755399" w:rsidP="00847A51">
      <w:pPr>
        <w:spacing w:line="276" w:lineRule="auto"/>
        <w:jc w:val="both"/>
        <w:rPr>
          <w:rFonts w:ascii="Times New Roman" w:hAnsi="Times New Roman" w:cs="Times New Roman"/>
        </w:rPr>
      </w:pPr>
      <w:r w:rsidRPr="008109CA">
        <w:rPr>
          <w:rFonts w:ascii="Times New Roman" w:hAnsi="Times New Roman" w:cs="Times New Roman"/>
        </w:rPr>
        <w:t>The table displays the Sharpe ratios for five consecutive fiscal years, spanning from 2018–19 to 2022–23, for different Gold ETFs. For every ETF throughout the recorded years, the risk-adjusted return (or Sharpe ratio) is negative, suggesting underperformance in comparison to a risk-free asset</w:t>
      </w:r>
      <w:r w:rsidRPr="006A602D">
        <w:rPr>
          <w:rFonts w:ascii="Times New Roman" w:hAnsi="Times New Roman" w:cs="Times New Roman"/>
        </w:rPr>
        <w:t>. This suggests that in comparison to the risk-free rate, each ETF has underperformed.</w:t>
      </w:r>
      <w:r>
        <w:rPr>
          <w:rFonts w:ascii="Times New Roman" w:hAnsi="Times New Roman" w:cs="Times New Roman"/>
        </w:rPr>
        <w:t xml:space="preserve"> </w:t>
      </w:r>
      <w:r w:rsidRPr="008109CA">
        <w:rPr>
          <w:rFonts w:ascii="Times New Roman" w:hAnsi="Times New Roman" w:cs="Times New Roman"/>
        </w:rPr>
        <w:t xml:space="preserve">The </w:t>
      </w:r>
      <w:r>
        <w:rPr>
          <w:rFonts w:ascii="Times New Roman" w:hAnsi="Times New Roman" w:cs="Times New Roman"/>
        </w:rPr>
        <w:t>“</w:t>
      </w:r>
      <w:r w:rsidRPr="008109CA">
        <w:rPr>
          <w:rFonts w:ascii="Times New Roman" w:hAnsi="Times New Roman" w:cs="Times New Roman"/>
        </w:rPr>
        <w:t>HDFC Gold Exchange Traded Fund</w:t>
      </w:r>
      <w:r>
        <w:rPr>
          <w:rFonts w:ascii="Times New Roman" w:hAnsi="Times New Roman" w:cs="Times New Roman"/>
        </w:rPr>
        <w:t>”</w:t>
      </w:r>
      <w:r w:rsidRPr="008109CA">
        <w:rPr>
          <w:rFonts w:ascii="Times New Roman" w:hAnsi="Times New Roman" w:cs="Times New Roman"/>
        </w:rPr>
        <w:t xml:space="preserve"> has had the lowest Sharpe ratios of all the ETFs </w:t>
      </w:r>
      <w:r w:rsidR="00847A51" w:rsidRPr="008109CA">
        <w:rPr>
          <w:rFonts w:ascii="Times New Roman" w:hAnsi="Times New Roman" w:cs="Times New Roman"/>
        </w:rPr>
        <w:t>during</w:t>
      </w:r>
      <w:r w:rsidRPr="008109CA">
        <w:rPr>
          <w:rFonts w:ascii="Times New Roman" w:hAnsi="Times New Roman" w:cs="Times New Roman"/>
        </w:rPr>
        <w:t xml:space="preserve"> the year, especially in 2022–2023 (-2.3344), indicating a high level of risk without sufficient profits. </w:t>
      </w:r>
      <w:r>
        <w:rPr>
          <w:rFonts w:ascii="Times New Roman" w:hAnsi="Times New Roman" w:cs="Times New Roman"/>
        </w:rPr>
        <w:t>I</w:t>
      </w:r>
      <w:r w:rsidRPr="008109CA">
        <w:rPr>
          <w:rFonts w:ascii="Times New Roman" w:hAnsi="Times New Roman" w:cs="Times New Roman"/>
        </w:rPr>
        <w:t xml:space="preserve">n the other hand, the </w:t>
      </w:r>
      <w:r>
        <w:rPr>
          <w:rFonts w:ascii="Times New Roman" w:hAnsi="Times New Roman" w:cs="Times New Roman"/>
        </w:rPr>
        <w:t>“</w:t>
      </w:r>
      <w:r w:rsidRPr="00A41729">
        <w:rPr>
          <w:rFonts w:ascii="Times New Roman" w:hAnsi="Times New Roman" w:cs="Times New Roman"/>
          <w:b/>
          <w:bCs/>
        </w:rPr>
        <w:t>ICICI Prudential Gold ETF</w:t>
      </w:r>
      <w:r>
        <w:rPr>
          <w:rFonts w:ascii="Times New Roman" w:hAnsi="Times New Roman" w:cs="Times New Roman"/>
          <w:b/>
          <w:bCs/>
        </w:rPr>
        <w:t>”</w:t>
      </w:r>
      <w:r w:rsidRPr="00A41729">
        <w:rPr>
          <w:rFonts w:ascii="Times New Roman" w:hAnsi="Times New Roman" w:cs="Times New Roman"/>
          <w:b/>
          <w:bCs/>
        </w:rPr>
        <w:t xml:space="preserve"> has the greatest average Sharpe ratio of all the ETFs at -1.2078, even</w:t>
      </w:r>
      <w:r>
        <w:rPr>
          <w:rFonts w:ascii="Times New Roman" w:hAnsi="Times New Roman" w:cs="Times New Roman"/>
          <w:b/>
          <w:bCs/>
        </w:rPr>
        <w:t xml:space="preserve"> </w:t>
      </w:r>
      <w:r w:rsidRPr="00A41729">
        <w:rPr>
          <w:rFonts w:ascii="Times New Roman" w:hAnsi="Times New Roman" w:cs="Times New Roman"/>
          <w:b/>
          <w:bCs/>
        </w:rPr>
        <w:t>it is still negative, indicating that it has performed comparatively better.</w:t>
      </w:r>
      <w:r w:rsidRPr="008109CA">
        <w:rPr>
          <w:rFonts w:ascii="Times New Roman" w:eastAsia="Times New Roman" w:hAnsi="Times New Roman" w:cs="Times New Roman"/>
          <w:kern w:val="0"/>
          <w14:ligatures w14:val="none"/>
        </w:rPr>
        <w:t xml:space="preserve"> </w:t>
      </w:r>
      <w:r w:rsidRPr="008109CA">
        <w:rPr>
          <w:rFonts w:ascii="Times New Roman" w:hAnsi="Times New Roman" w:cs="Times New Roman"/>
        </w:rPr>
        <w:t xml:space="preserve">Similar negative performances are seen by the Nippon India ETF Gold Bees, SBI-ETF Gold, and Axis Gold ETF, with average Sharpe ratios </w:t>
      </w:r>
      <w:r w:rsidR="00847A51" w:rsidRPr="008109CA">
        <w:rPr>
          <w:rFonts w:ascii="Times New Roman" w:hAnsi="Times New Roman" w:cs="Times New Roman"/>
        </w:rPr>
        <w:t>centred</w:t>
      </w:r>
      <w:r w:rsidRPr="008109CA">
        <w:rPr>
          <w:rFonts w:ascii="Times New Roman" w:hAnsi="Times New Roman" w:cs="Times New Roman"/>
        </w:rPr>
        <w:t xml:space="preserve"> at -1.50, indicating significant risk without corresponding profits. This pattern is also seen in the </w:t>
      </w:r>
      <w:r>
        <w:rPr>
          <w:rFonts w:ascii="Times New Roman" w:hAnsi="Times New Roman" w:cs="Times New Roman"/>
        </w:rPr>
        <w:t>“</w:t>
      </w:r>
      <w:r w:rsidRPr="008109CA">
        <w:rPr>
          <w:rFonts w:ascii="Times New Roman" w:hAnsi="Times New Roman" w:cs="Times New Roman"/>
        </w:rPr>
        <w:t>Aditya Birla Sun Life Gold ETF</w:t>
      </w:r>
      <w:r>
        <w:rPr>
          <w:rFonts w:ascii="Times New Roman" w:hAnsi="Times New Roman" w:cs="Times New Roman"/>
        </w:rPr>
        <w:t>”</w:t>
      </w:r>
      <w:r w:rsidRPr="008109CA">
        <w:rPr>
          <w:rFonts w:ascii="Times New Roman" w:hAnsi="Times New Roman" w:cs="Times New Roman"/>
        </w:rPr>
        <w:t xml:space="preserve"> and Kotak Gold ETF, which perform noticeably worse than HDFC but somewhat better than it.</w:t>
      </w:r>
    </w:p>
    <w:p w14:paraId="3B086F1E" w14:textId="77777777" w:rsidR="00755399" w:rsidRPr="00F737F0" w:rsidRDefault="00755399" w:rsidP="00847A51">
      <w:pPr>
        <w:spacing w:line="276" w:lineRule="auto"/>
        <w:jc w:val="both"/>
        <w:rPr>
          <w:rFonts w:ascii="Times New Roman" w:hAnsi="Times New Roman" w:cs="Times New Roman"/>
        </w:rPr>
      </w:pPr>
      <w:r w:rsidRPr="00F737F0">
        <w:rPr>
          <w:rFonts w:ascii="Times New Roman" w:hAnsi="Times New Roman" w:cs="Times New Roman"/>
          <w:b/>
          <w:bCs/>
        </w:rPr>
        <w:t>INTERPRETATION</w:t>
      </w:r>
    </w:p>
    <w:p w14:paraId="6135E08B" w14:textId="77777777" w:rsidR="00ED19F5" w:rsidRDefault="00755399" w:rsidP="00ED19F5">
      <w:pPr>
        <w:spacing w:line="276" w:lineRule="auto"/>
        <w:jc w:val="both"/>
        <w:rPr>
          <w:rFonts w:ascii="Times New Roman" w:hAnsi="Times New Roman" w:cs="Times New Roman"/>
        </w:rPr>
      </w:pPr>
      <w:r w:rsidRPr="008109CA">
        <w:rPr>
          <w:rFonts w:ascii="Times New Roman" w:hAnsi="Times New Roman" w:cs="Times New Roman"/>
        </w:rPr>
        <w:t xml:space="preserve">All Gold ETFs have continuously had negative Sharpe ratios </w:t>
      </w:r>
      <w:r>
        <w:rPr>
          <w:rFonts w:ascii="Times New Roman" w:hAnsi="Times New Roman" w:cs="Times New Roman"/>
        </w:rPr>
        <w:t>last</w:t>
      </w:r>
      <w:r w:rsidRPr="008109CA">
        <w:rPr>
          <w:rFonts w:ascii="Times New Roman" w:hAnsi="Times New Roman" w:cs="Times New Roman"/>
        </w:rPr>
        <w:t xml:space="preserve"> the past five years, indicating that these investment vehicles have underperformed in comparison to risk-free assets and have not yielded sufficient returns for the risks taken. Numerous causes, such as market volatility, ineffective management, or macroeconomic conditions impacting gold prices, could be to blame for this. Despite being negative as well, the </w:t>
      </w:r>
      <w:r w:rsidRPr="00CD1592">
        <w:rPr>
          <w:rFonts w:ascii="Times New Roman" w:hAnsi="Times New Roman" w:cs="Times New Roman"/>
          <w:b/>
          <w:bCs/>
        </w:rPr>
        <w:t>ICICI Prudential Gold ETF seems to be the least hazardous choice among those examined, indicating that it has been able to handle the difficulties in the gold market somewhat better.</w:t>
      </w:r>
      <w:r w:rsidRPr="008109CA">
        <w:rPr>
          <w:rFonts w:ascii="Times New Roman" w:hAnsi="Times New Roman" w:cs="Times New Roman"/>
        </w:rPr>
        <w:t xml:space="preserve"> The </w:t>
      </w:r>
      <w:r>
        <w:rPr>
          <w:rFonts w:ascii="Times New Roman" w:hAnsi="Times New Roman" w:cs="Times New Roman"/>
        </w:rPr>
        <w:t>“</w:t>
      </w:r>
      <w:r w:rsidRPr="008109CA">
        <w:rPr>
          <w:rFonts w:ascii="Times New Roman" w:hAnsi="Times New Roman" w:cs="Times New Roman"/>
        </w:rPr>
        <w:t>HDFC Gold Exchange Traded Fund</w:t>
      </w:r>
      <w:r>
        <w:rPr>
          <w:rFonts w:ascii="Times New Roman" w:hAnsi="Times New Roman" w:cs="Times New Roman"/>
        </w:rPr>
        <w:t>”</w:t>
      </w:r>
      <w:r w:rsidRPr="008109CA">
        <w:rPr>
          <w:rFonts w:ascii="Times New Roman" w:hAnsi="Times New Roman" w:cs="Times New Roman"/>
        </w:rPr>
        <w:t>, on the other hand, is the least appealing ETF in this comparison due to its noticeably low Sharpe ratios, which suggest a high-risk profile with extremely poor or negative returns</w:t>
      </w:r>
      <w:r>
        <w:rPr>
          <w:rFonts w:ascii="Times New Roman" w:hAnsi="Times New Roman" w:cs="Times New Roman"/>
        </w:rPr>
        <w:t>.</w:t>
      </w:r>
      <w:r w:rsidRPr="008109CA">
        <w:rPr>
          <w:rFonts w:ascii="Times New Roman" w:eastAsia="Times New Roman" w:hAnsi="Times New Roman" w:cs="Times New Roman"/>
          <w:kern w:val="0"/>
          <w14:ligatures w14:val="none"/>
        </w:rPr>
        <w:t xml:space="preserve"> </w:t>
      </w:r>
      <w:r w:rsidRPr="008109CA">
        <w:rPr>
          <w:rFonts w:ascii="Times New Roman" w:hAnsi="Times New Roman" w:cs="Times New Roman"/>
        </w:rPr>
        <w:t>To reduce risk and increase profits, investors wishing to add gold ETFs to their portfolios may want to reconsider their selections or think about diversifying with other assets.</w:t>
      </w:r>
    </w:p>
    <w:p w14:paraId="22804A71" w14:textId="11F78F01" w:rsidR="00755399" w:rsidRPr="00ED19F5" w:rsidRDefault="00755399" w:rsidP="00ED19F5">
      <w:pPr>
        <w:spacing w:line="276" w:lineRule="auto"/>
        <w:jc w:val="both"/>
        <w:rPr>
          <w:rFonts w:ascii="Times New Roman" w:hAnsi="Times New Roman" w:cs="Times New Roman"/>
        </w:rPr>
      </w:pPr>
      <w:r w:rsidRPr="00C779C0">
        <w:rPr>
          <w:rFonts w:ascii="Times New Roman" w:hAnsi="Times New Roman" w:cs="Times New Roman"/>
          <w:b/>
          <w:bCs/>
          <w:sz w:val="28"/>
          <w:szCs w:val="28"/>
        </w:rPr>
        <w:lastRenderedPageBreak/>
        <w:t>TREYNOR RATIO</w:t>
      </w:r>
    </w:p>
    <w:p w14:paraId="2EB492FD" w14:textId="74D28F78" w:rsidR="00755399" w:rsidRPr="00240982" w:rsidRDefault="00755399" w:rsidP="00847A51">
      <w:pPr>
        <w:spacing w:line="276" w:lineRule="auto"/>
        <w:rPr>
          <w:rFonts w:ascii="Times New Roman" w:hAnsi="Times New Roman" w:cs="Times New Roman"/>
          <w:b/>
        </w:rPr>
      </w:pPr>
      <w:r w:rsidRPr="00240982">
        <w:rPr>
          <w:rFonts w:ascii="Times New Roman" w:hAnsi="Times New Roman" w:cs="Times New Roman"/>
          <w:b/>
        </w:rPr>
        <w:t xml:space="preserve">Table Outlining Performance of various Gold ETF using Treynor Ratio. </w:t>
      </w:r>
    </w:p>
    <w:tbl>
      <w:tblPr>
        <w:tblW w:w="9864" w:type="dxa"/>
        <w:tblCellMar>
          <w:top w:w="15" w:type="dxa"/>
        </w:tblCellMar>
        <w:tblLook w:val="04A0" w:firstRow="1" w:lastRow="0" w:firstColumn="1" w:lastColumn="0" w:noHBand="0" w:noVBand="1"/>
      </w:tblPr>
      <w:tblGrid>
        <w:gridCol w:w="1463"/>
        <w:gridCol w:w="1404"/>
        <w:gridCol w:w="1279"/>
        <w:gridCol w:w="1155"/>
        <w:gridCol w:w="1404"/>
        <w:gridCol w:w="1528"/>
        <w:gridCol w:w="1404"/>
        <w:gridCol w:w="227"/>
      </w:tblGrid>
      <w:tr w:rsidR="007660A6" w:rsidRPr="00687743" w14:paraId="6DFD1BAD" w14:textId="77777777" w:rsidTr="007660A6">
        <w:trPr>
          <w:gridAfter w:val="1"/>
          <w:wAfter w:w="227" w:type="dxa"/>
          <w:trHeight w:val="262"/>
        </w:trPr>
        <w:tc>
          <w:tcPr>
            <w:tcW w:w="146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077C7C1"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Gold ETF/YEAR</w:t>
            </w:r>
          </w:p>
        </w:tc>
        <w:tc>
          <w:tcPr>
            <w:tcW w:w="1404" w:type="dxa"/>
            <w:tcBorders>
              <w:top w:val="single" w:sz="8" w:space="0" w:color="000000"/>
              <w:left w:val="nil"/>
              <w:bottom w:val="single" w:sz="8" w:space="0" w:color="000000"/>
              <w:right w:val="single" w:sz="8" w:space="0" w:color="000000"/>
            </w:tcBorders>
            <w:shd w:val="clear" w:color="auto" w:fill="auto"/>
            <w:vAlign w:val="center"/>
            <w:hideMark/>
          </w:tcPr>
          <w:p w14:paraId="6E371AC4"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2018-19</w:t>
            </w:r>
          </w:p>
        </w:tc>
        <w:tc>
          <w:tcPr>
            <w:tcW w:w="1279" w:type="dxa"/>
            <w:tcBorders>
              <w:top w:val="single" w:sz="8" w:space="0" w:color="000000"/>
              <w:left w:val="nil"/>
              <w:bottom w:val="single" w:sz="8" w:space="0" w:color="000000"/>
              <w:right w:val="single" w:sz="8" w:space="0" w:color="000000"/>
            </w:tcBorders>
            <w:shd w:val="clear" w:color="auto" w:fill="auto"/>
            <w:vAlign w:val="center"/>
            <w:hideMark/>
          </w:tcPr>
          <w:p w14:paraId="530AC15F"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2019-20</w:t>
            </w:r>
          </w:p>
        </w:tc>
        <w:tc>
          <w:tcPr>
            <w:tcW w:w="1155" w:type="dxa"/>
            <w:tcBorders>
              <w:top w:val="single" w:sz="8" w:space="0" w:color="000000"/>
              <w:left w:val="nil"/>
              <w:bottom w:val="single" w:sz="8" w:space="0" w:color="000000"/>
              <w:right w:val="single" w:sz="8" w:space="0" w:color="000000"/>
            </w:tcBorders>
            <w:shd w:val="clear" w:color="auto" w:fill="auto"/>
            <w:vAlign w:val="center"/>
            <w:hideMark/>
          </w:tcPr>
          <w:p w14:paraId="5EA93034"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2020-21</w:t>
            </w:r>
          </w:p>
        </w:tc>
        <w:tc>
          <w:tcPr>
            <w:tcW w:w="1404" w:type="dxa"/>
            <w:tcBorders>
              <w:top w:val="single" w:sz="8" w:space="0" w:color="000000"/>
              <w:left w:val="nil"/>
              <w:bottom w:val="single" w:sz="8" w:space="0" w:color="000000"/>
              <w:right w:val="single" w:sz="8" w:space="0" w:color="000000"/>
            </w:tcBorders>
            <w:shd w:val="clear" w:color="auto" w:fill="auto"/>
            <w:vAlign w:val="center"/>
            <w:hideMark/>
          </w:tcPr>
          <w:p w14:paraId="1BAB1ACD"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2021-2022</w:t>
            </w:r>
          </w:p>
        </w:tc>
        <w:tc>
          <w:tcPr>
            <w:tcW w:w="1528" w:type="dxa"/>
            <w:tcBorders>
              <w:top w:val="single" w:sz="8" w:space="0" w:color="000000"/>
              <w:left w:val="nil"/>
              <w:bottom w:val="single" w:sz="8" w:space="0" w:color="000000"/>
              <w:right w:val="single" w:sz="8" w:space="0" w:color="000000"/>
            </w:tcBorders>
            <w:shd w:val="clear" w:color="auto" w:fill="auto"/>
            <w:vAlign w:val="center"/>
            <w:hideMark/>
          </w:tcPr>
          <w:p w14:paraId="0E2FF122"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2022-2023</w:t>
            </w:r>
          </w:p>
        </w:tc>
        <w:tc>
          <w:tcPr>
            <w:tcW w:w="1404" w:type="dxa"/>
            <w:tcBorders>
              <w:top w:val="single" w:sz="8" w:space="0" w:color="000000"/>
              <w:left w:val="nil"/>
              <w:bottom w:val="single" w:sz="8" w:space="0" w:color="000000"/>
              <w:right w:val="single" w:sz="8" w:space="0" w:color="000000"/>
            </w:tcBorders>
            <w:shd w:val="clear" w:color="auto" w:fill="auto"/>
            <w:vAlign w:val="center"/>
            <w:hideMark/>
          </w:tcPr>
          <w:p w14:paraId="604263D7"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 xml:space="preserve">Average </w:t>
            </w:r>
          </w:p>
        </w:tc>
      </w:tr>
      <w:tr w:rsidR="007660A6" w:rsidRPr="00687743" w14:paraId="4E93FE14" w14:textId="77777777" w:rsidTr="007660A6">
        <w:trPr>
          <w:gridAfter w:val="1"/>
          <w:wAfter w:w="227" w:type="dxa"/>
          <w:trHeight w:val="257"/>
        </w:trPr>
        <w:tc>
          <w:tcPr>
            <w:tcW w:w="1463" w:type="dxa"/>
            <w:tcBorders>
              <w:top w:val="nil"/>
              <w:left w:val="single" w:sz="8" w:space="0" w:color="000000"/>
              <w:bottom w:val="nil"/>
              <w:right w:val="single" w:sz="8" w:space="0" w:color="000000"/>
            </w:tcBorders>
            <w:shd w:val="clear" w:color="auto" w:fill="auto"/>
            <w:vAlign w:val="center"/>
            <w:hideMark/>
          </w:tcPr>
          <w:p w14:paraId="221B9D42"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 xml:space="preserve">Nippon India ETF </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86CA58D"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0.08012387</w:t>
            </w:r>
          </w:p>
        </w:tc>
        <w:tc>
          <w:tcPr>
            <w:tcW w:w="127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B17CB05"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-0.4082532</w:t>
            </w:r>
          </w:p>
        </w:tc>
        <w:tc>
          <w:tcPr>
            <w:tcW w:w="115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AD44C84"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0.36315</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D884BA8"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-4.51681329</w:t>
            </w:r>
          </w:p>
        </w:tc>
        <w:tc>
          <w:tcPr>
            <w:tcW w:w="152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CB2E7E"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0.281049709</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DC37608"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-0.84014868</w:t>
            </w:r>
          </w:p>
        </w:tc>
      </w:tr>
      <w:tr w:rsidR="007660A6" w:rsidRPr="00687743" w14:paraId="3D38D34F" w14:textId="77777777" w:rsidTr="007660A6">
        <w:trPr>
          <w:gridAfter w:val="1"/>
          <w:wAfter w:w="227" w:type="dxa"/>
          <w:trHeight w:val="132"/>
        </w:trPr>
        <w:tc>
          <w:tcPr>
            <w:tcW w:w="1463" w:type="dxa"/>
            <w:tcBorders>
              <w:top w:val="nil"/>
              <w:left w:val="single" w:sz="8" w:space="0" w:color="000000"/>
              <w:bottom w:val="single" w:sz="8" w:space="0" w:color="000000"/>
              <w:right w:val="single" w:sz="8" w:space="0" w:color="000000"/>
            </w:tcBorders>
            <w:shd w:val="clear" w:color="auto" w:fill="auto"/>
            <w:vAlign w:val="center"/>
            <w:hideMark/>
          </w:tcPr>
          <w:p w14:paraId="1E8711C5"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Gold Bees</w:t>
            </w:r>
          </w:p>
        </w:tc>
        <w:tc>
          <w:tcPr>
            <w:tcW w:w="1404" w:type="dxa"/>
            <w:vMerge/>
            <w:tcBorders>
              <w:top w:val="nil"/>
              <w:left w:val="single" w:sz="8" w:space="0" w:color="000000"/>
              <w:bottom w:val="single" w:sz="8" w:space="0" w:color="000000"/>
              <w:right w:val="single" w:sz="8" w:space="0" w:color="000000"/>
            </w:tcBorders>
            <w:vAlign w:val="center"/>
            <w:hideMark/>
          </w:tcPr>
          <w:p w14:paraId="3EC17780"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279" w:type="dxa"/>
            <w:vMerge/>
            <w:tcBorders>
              <w:top w:val="nil"/>
              <w:left w:val="single" w:sz="8" w:space="0" w:color="000000"/>
              <w:bottom w:val="single" w:sz="8" w:space="0" w:color="000000"/>
              <w:right w:val="single" w:sz="8" w:space="0" w:color="000000"/>
            </w:tcBorders>
            <w:vAlign w:val="center"/>
            <w:hideMark/>
          </w:tcPr>
          <w:p w14:paraId="1F12478A"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155" w:type="dxa"/>
            <w:vMerge/>
            <w:tcBorders>
              <w:top w:val="nil"/>
              <w:left w:val="single" w:sz="8" w:space="0" w:color="000000"/>
              <w:bottom w:val="single" w:sz="8" w:space="0" w:color="000000"/>
              <w:right w:val="single" w:sz="8" w:space="0" w:color="000000"/>
            </w:tcBorders>
            <w:vAlign w:val="center"/>
            <w:hideMark/>
          </w:tcPr>
          <w:p w14:paraId="1B4F2B0A"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404" w:type="dxa"/>
            <w:vMerge/>
            <w:tcBorders>
              <w:top w:val="nil"/>
              <w:left w:val="single" w:sz="8" w:space="0" w:color="000000"/>
              <w:bottom w:val="single" w:sz="8" w:space="0" w:color="000000"/>
              <w:right w:val="single" w:sz="8" w:space="0" w:color="000000"/>
            </w:tcBorders>
            <w:vAlign w:val="center"/>
            <w:hideMark/>
          </w:tcPr>
          <w:p w14:paraId="4732D10F"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528" w:type="dxa"/>
            <w:vMerge/>
            <w:tcBorders>
              <w:top w:val="nil"/>
              <w:left w:val="single" w:sz="8" w:space="0" w:color="000000"/>
              <w:bottom w:val="single" w:sz="8" w:space="0" w:color="000000"/>
              <w:right w:val="single" w:sz="8" w:space="0" w:color="000000"/>
            </w:tcBorders>
            <w:vAlign w:val="center"/>
            <w:hideMark/>
          </w:tcPr>
          <w:p w14:paraId="038B0FA9"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404" w:type="dxa"/>
            <w:vMerge/>
            <w:tcBorders>
              <w:top w:val="nil"/>
              <w:left w:val="single" w:sz="8" w:space="0" w:color="000000"/>
              <w:bottom w:val="single" w:sz="8" w:space="0" w:color="000000"/>
              <w:right w:val="single" w:sz="8" w:space="0" w:color="000000"/>
            </w:tcBorders>
            <w:vAlign w:val="center"/>
            <w:hideMark/>
          </w:tcPr>
          <w:p w14:paraId="08E46665"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r>
      <w:tr w:rsidR="007660A6" w:rsidRPr="00687743" w14:paraId="0DA392F6" w14:textId="77777777" w:rsidTr="007660A6">
        <w:trPr>
          <w:gridAfter w:val="1"/>
          <w:wAfter w:w="227" w:type="dxa"/>
          <w:trHeight w:val="499"/>
        </w:trPr>
        <w:tc>
          <w:tcPr>
            <w:tcW w:w="146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0F5464"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SBI-ETF Gold</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F25603D"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0.075577</w:t>
            </w:r>
          </w:p>
        </w:tc>
        <w:tc>
          <w:tcPr>
            <w:tcW w:w="127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7E9CAD2"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3.233701</w:t>
            </w:r>
          </w:p>
        </w:tc>
        <w:tc>
          <w:tcPr>
            <w:tcW w:w="115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F1698C7"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0.431387</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0EFF6DE"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-4.36354</w:t>
            </w:r>
          </w:p>
        </w:tc>
        <w:tc>
          <w:tcPr>
            <w:tcW w:w="152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0DE5DB2"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0.227128</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DBD2E3C"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-0.0791494</w:t>
            </w:r>
          </w:p>
        </w:tc>
      </w:tr>
      <w:tr w:rsidR="007660A6" w:rsidRPr="00687743" w14:paraId="1CB06623" w14:textId="77777777" w:rsidTr="007660A6">
        <w:trPr>
          <w:trHeight w:val="122"/>
        </w:trPr>
        <w:tc>
          <w:tcPr>
            <w:tcW w:w="1463" w:type="dxa"/>
            <w:vMerge/>
            <w:tcBorders>
              <w:top w:val="nil"/>
              <w:left w:val="single" w:sz="8" w:space="0" w:color="000000"/>
              <w:bottom w:val="single" w:sz="8" w:space="0" w:color="000000"/>
              <w:right w:val="single" w:sz="8" w:space="0" w:color="000000"/>
            </w:tcBorders>
            <w:vAlign w:val="center"/>
            <w:hideMark/>
          </w:tcPr>
          <w:p w14:paraId="57499A3E" w14:textId="77777777" w:rsidR="00755399" w:rsidRPr="00687743" w:rsidRDefault="00755399" w:rsidP="00847A51">
            <w:pPr>
              <w:spacing w:after="0" w:line="276" w:lineRule="auto"/>
              <w:rPr>
                <w:rFonts w:ascii="Times New Roman" w:eastAsia="Times New Roman" w:hAnsi="Times New Roman" w:cs="Times New Roman"/>
                <w:b/>
                <w:bCs/>
                <w:color w:val="000000"/>
                <w:kern w:val="0"/>
                <w14:ligatures w14:val="none"/>
              </w:rPr>
            </w:pPr>
          </w:p>
        </w:tc>
        <w:tc>
          <w:tcPr>
            <w:tcW w:w="1404" w:type="dxa"/>
            <w:vMerge/>
            <w:tcBorders>
              <w:top w:val="nil"/>
              <w:left w:val="single" w:sz="8" w:space="0" w:color="000000"/>
              <w:bottom w:val="single" w:sz="8" w:space="0" w:color="000000"/>
              <w:right w:val="single" w:sz="8" w:space="0" w:color="000000"/>
            </w:tcBorders>
            <w:vAlign w:val="center"/>
            <w:hideMark/>
          </w:tcPr>
          <w:p w14:paraId="3DAF232D"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279" w:type="dxa"/>
            <w:vMerge/>
            <w:tcBorders>
              <w:top w:val="nil"/>
              <w:left w:val="single" w:sz="8" w:space="0" w:color="000000"/>
              <w:bottom w:val="single" w:sz="8" w:space="0" w:color="000000"/>
              <w:right w:val="single" w:sz="8" w:space="0" w:color="000000"/>
            </w:tcBorders>
            <w:vAlign w:val="center"/>
            <w:hideMark/>
          </w:tcPr>
          <w:p w14:paraId="02E54959"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155" w:type="dxa"/>
            <w:vMerge/>
            <w:tcBorders>
              <w:top w:val="nil"/>
              <w:left w:val="single" w:sz="8" w:space="0" w:color="000000"/>
              <w:bottom w:val="single" w:sz="8" w:space="0" w:color="000000"/>
              <w:right w:val="single" w:sz="8" w:space="0" w:color="000000"/>
            </w:tcBorders>
            <w:vAlign w:val="center"/>
            <w:hideMark/>
          </w:tcPr>
          <w:p w14:paraId="313B8033"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404" w:type="dxa"/>
            <w:vMerge/>
            <w:tcBorders>
              <w:top w:val="nil"/>
              <w:left w:val="single" w:sz="8" w:space="0" w:color="000000"/>
              <w:bottom w:val="single" w:sz="8" w:space="0" w:color="000000"/>
              <w:right w:val="single" w:sz="8" w:space="0" w:color="000000"/>
            </w:tcBorders>
            <w:vAlign w:val="center"/>
            <w:hideMark/>
          </w:tcPr>
          <w:p w14:paraId="52B1E617"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528" w:type="dxa"/>
            <w:vMerge/>
            <w:tcBorders>
              <w:top w:val="nil"/>
              <w:left w:val="single" w:sz="8" w:space="0" w:color="000000"/>
              <w:bottom w:val="single" w:sz="8" w:space="0" w:color="000000"/>
              <w:right w:val="single" w:sz="8" w:space="0" w:color="000000"/>
            </w:tcBorders>
            <w:vAlign w:val="center"/>
            <w:hideMark/>
          </w:tcPr>
          <w:p w14:paraId="0DD4EEBA"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404" w:type="dxa"/>
            <w:vMerge/>
            <w:tcBorders>
              <w:top w:val="nil"/>
              <w:left w:val="single" w:sz="8" w:space="0" w:color="000000"/>
              <w:bottom w:val="single" w:sz="8" w:space="0" w:color="000000"/>
              <w:right w:val="single" w:sz="8" w:space="0" w:color="000000"/>
            </w:tcBorders>
            <w:vAlign w:val="center"/>
            <w:hideMark/>
          </w:tcPr>
          <w:p w14:paraId="3CD71E67"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227" w:type="dxa"/>
            <w:tcBorders>
              <w:top w:val="nil"/>
              <w:left w:val="nil"/>
              <w:bottom w:val="nil"/>
              <w:right w:val="nil"/>
            </w:tcBorders>
            <w:shd w:val="clear" w:color="auto" w:fill="auto"/>
            <w:noWrap/>
            <w:vAlign w:val="bottom"/>
            <w:hideMark/>
          </w:tcPr>
          <w:p w14:paraId="23B61E2D"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r>
      <w:tr w:rsidR="007660A6" w:rsidRPr="00687743" w14:paraId="0D13506B" w14:textId="77777777" w:rsidTr="007660A6">
        <w:trPr>
          <w:trHeight w:val="257"/>
        </w:trPr>
        <w:tc>
          <w:tcPr>
            <w:tcW w:w="1463" w:type="dxa"/>
            <w:tcBorders>
              <w:top w:val="nil"/>
              <w:left w:val="single" w:sz="8" w:space="0" w:color="000000"/>
              <w:bottom w:val="nil"/>
              <w:right w:val="single" w:sz="8" w:space="0" w:color="000000"/>
            </w:tcBorders>
            <w:shd w:val="clear" w:color="auto" w:fill="auto"/>
            <w:vAlign w:val="center"/>
            <w:hideMark/>
          </w:tcPr>
          <w:p w14:paraId="364B12A0"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ICICI prudential</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1649A8"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0.1715</w:t>
            </w:r>
          </w:p>
        </w:tc>
        <w:tc>
          <w:tcPr>
            <w:tcW w:w="127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714A173"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0.1729</w:t>
            </w:r>
          </w:p>
        </w:tc>
        <w:tc>
          <w:tcPr>
            <w:tcW w:w="115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829684"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-0.1921</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5D50259"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0.2461</w:t>
            </w:r>
          </w:p>
        </w:tc>
        <w:tc>
          <w:tcPr>
            <w:tcW w:w="152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7C7D33E"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0.1445</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7FFD33B"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highlight w:val="cyan"/>
                <w14:ligatures w14:val="none"/>
              </w:rPr>
            </w:pPr>
            <w:r w:rsidRPr="00687743">
              <w:rPr>
                <w:rFonts w:ascii="Times New Roman" w:eastAsia="Times New Roman" w:hAnsi="Times New Roman" w:cs="Times New Roman"/>
                <w:color w:val="000000"/>
                <w:kern w:val="0"/>
                <w:highlight w:val="cyan"/>
                <w14:ligatures w14:val="none"/>
              </w:rPr>
              <w:t>0.10858</w:t>
            </w:r>
          </w:p>
        </w:tc>
        <w:tc>
          <w:tcPr>
            <w:tcW w:w="227" w:type="dxa"/>
            <w:vAlign w:val="center"/>
            <w:hideMark/>
          </w:tcPr>
          <w:p w14:paraId="0C5752E2" w14:textId="77777777" w:rsidR="00755399" w:rsidRPr="00687743" w:rsidRDefault="00755399" w:rsidP="00847A51">
            <w:pPr>
              <w:spacing w:after="0" w:line="276" w:lineRule="auto"/>
              <w:rPr>
                <w:rFonts w:ascii="Times New Roman" w:eastAsia="Times New Roman" w:hAnsi="Times New Roman" w:cs="Times New Roman"/>
                <w:kern w:val="0"/>
                <w:sz w:val="20"/>
                <w:szCs w:val="20"/>
                <w14:ligatures w14:val="none"/>
              </w:rPr>
            </w:pPr>
          </w:p>
        </w:tc>
      </w:tr>
      <w:tr w:rsidR="007660A6" w:rsidRPr="00687743" w14:paraId="0AC62C04" w14:textId="77777777" w:rsidTr="007660A6">
        <w:trPr>
          <w:trHeight w:val="132"/>
        </w:trPr>
        <w:tc>
          <w:tcPr>
            <w:tcW w:w="1463" w:type="dxa"/>
            <w:tcBorders>
              <w:top w:val="nil"/>
              <w:left w:val="single" w:sz="8" w:space="0" w:color="000000"/>
              <w:bottom w:val="single" w:sz="8" w:space="0" w:color="000000"/>
              <w:right w:val="single" w:sz="8" w:space="0" w:color="000000"/>
            </w:tcBorders>
            <w:shd w:val="clear" w:color="auto" w:fill="auto"/>
            <w:vAlign w:val="center"/>
            <w:hideMark/>
          </w:tcPr>
          <w:p w14:paraId="3900C1B5"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Gold ETF</w:t>
            </w:r>
          </w:p>
        </w:tc>
        <w:tc>
          <w:tcPr>
            <w:tcW w:w="1404" w:type="dxa"/>
            <w:vMerge/>
            <w:tcBorders>
              <w:top w:val="nil"/>
              <w:left w:val="single" w:sz="8" w:space="0" w:color="000000"/>
              <w:bottom w:val="single" w:sz="8" w:space="0" w:color="000000"/>
              <w:right w:val="single" w:sz="8" w:space="0" w:color="000000"/>
            </w:tcBorders>
            <w:vAlign w:val="center"/>
            <w:hideMark/>
          </w:tcPr>
          <w:p w14:paraId="6D14165E" w14:textId="77777777" w:rsidR="00755399" w:rsidRPr="00687743" w:rsidRDefault="00755399" w:rsidP="00847A51">
            <w:pPr>
              <w:spacing w:after="0" w:line="276" w:lineRule="auto"/>
              <w:rPr>
                <w:rFonts w:ascii="Times New Roman" w:eastAsia="Times New Roman" w:hAnsi="Times New Roman" w:cs="Times New Roman"/>
                <w:color w:val="000000"/>
                <w:kern w:val="0"/>
                <w14:ligatures w14:val="none"/>
              </w:rPr>
            </w:pPr>
          </w:p>
        </w:tc>
        <w:tc>
          <w:tcPr>
            <w:tcW w:w="1279" w:type="dxa"/>
            <w:vMerge/>
            <w:tcBorders>
              <w:top w:val="nil"/>
              <w:left w:val="single" w:sz="8" w:space="0" w:color="000000"/>
              <w:bottom w:val="single" w:sz="8" w:space="0" w:color="000000"/>
              <w:right w:val="single" w:sz="8" w:space="0" w:color="000000"/>
            </w:tcBorders>
            <w:vAlign w:val="center"/>
            <w:hideMark/>
          </w:tcPr>
          <w:p w14:paraId="36AAF748" w14:textId="77777777" w:rsidR="00755399" w:rsidRPr="00687743" w:rsidRDefault="00755399" w:rsidP="00847A51">
            <w:pPr>
              <w:spacing w:after="0" w:line="276" w:lineRule="auto"/>
              <w:rPr>
                <w:rFonts w:ascii="Times New Roman" w:eastAsia="Times New Roman" w:hAnsi="Times New Roman" w:cs="Times New Roman"/>
                <w:color w:val="000000"/>
                <w:kern w:val="0"/>
                <w14:ligatures w14:val="none"/>
              </w:rPr>
            </w:pPr>
          </w:p>
        </w:tc>
        <w:tc>
          <w:tcPr>
            <w:tcW w:w="1155" w:type="dxa"/>
            <w:vMerge/>
            <w:tcBorders>
              <w:top w:val="nil"/>
              <w:left w:val="single" w:sz="8" w:space="0" w:color="000000"/>
              <w:bottom w:val="single" w:sz="8" w:space="0" w:color="000000"/>
              <w:right w:val="single" w:sz="8" w:space="0" w:color="000000"/>
            </w:tcBorders>
            <w:vAlign w:val="center"/>
            <w:hideMark/>
          </w:tcPr>
          <w:p w14:paraId="57DD449F" w14:textId="77777777" w:rsidR="00755399" w:rsidRPr="00687743" w:rsidRDefault="00755399" w:rsidP="00847A51">
            <w:pPr>
              <w:spacing w:after="0" w:line="276" w:lineRule="auto"/>
              <w:rPr>
                <w:rFonts w:ascii="Times New Roman" w:eastAsia="Times New Roman" w:hAnsi="Times New Roman" w:cs="Times New Roman"/>
                <w:color w:val="000000"/>
                <w:kern w:val="0"/>
                <w14:ligatures w14:val="none"/>
              </w:rPr>
            </w:pPr>
          </w:p>
        </w:tc>
        <w:tc>
          <w:tcPr>
            <w:tcW w:w="1404" w:type="dxa"/>
            <w:vMerge/>
            <w:tcBorders>
              <w:top w:val="nil"/>
              <w:left w:val="single" w:sz="8" w:space="0" w:color="000000"/>
              <w:bottom w:val="single" w:sz="8" w:space="0" w:color="000000"/>
              <w:right w:val="single" w:sz="8" w:space="0" w:color="000000"/>
            </w:tcBorders>
            <w:vAlign w:val="center"/>
            <w:hideMark/>
          </w:tcPr>
          <w:p w14:paraId="5E9E5BD4" w14:textId="77777777" w:rsidR="00755399" w:rsidRPr="00687743" w:rsidRDefault="00755399" w:rsidP="00847A51">
            <w:pPr>
              <w:spacing w:after="0" w:line="276" w:lineRule="auto"/>
              <w:rPr>
                <w:rFonts w:ascii="Times New Roman" w:eastAsia="Times New Roman" w:hAnsi="Times New Roman" w:cs="Times New Roman"/>
                <w:color w:val="000000"/>
                <w:kern w:val="0"/>
                <w14:ligatures w14:val="none"/>
              </w:rPr>
            </w:pPr>
          </w:p>
        </w:tc>
        <w:tc>
          <w:tcPr>
            <w:tcW w:w="1528" w:type="dxa"/>
            <w:vMerge/>
            <w:tcBorders>
              <w:top w:val="nil"/>
              <w:left w:val="single" w:sz="8" w:space="0" w:color="000000"/>
              <w:bottom w:val="single" w:sz="8" w:space="0" w:color="000000"/>
              <w:right w:val="single" w:sz="8" w:space="0" w:color="000000"/>
            </w:tcBorders>
            <w:vAlign w:val="center"/>
            <w:hideMark/>
          </w:tcPr>
          <w:p w14:paraId="7C35CC92" w14:textId="77777777" w:rsidR="00755399" w:rsidRPr="00687743" w:rsidRDefault="00755399" w:rsidP="00847A51">
            <w:pPr>
              <w:spacing w:after="0" w:line="276" w:lineRule="auto"/>
              <w:rPr>
                <w:rFonts w:ascii="Times New Roman" w:eastAsia="Times New Roman" w:hAnsi="Times New Roman" w:cs="Times New Roman"/>
                <w:color w:val="000000"/>
                <w:kern w:val="0"/>
                <w14:ligatures w14:val="none"/>
              </w:rPr>
            </w:pPr>
          </w:p>
        </w:tc>
        <w:tc>
          <w:tcPr>
            <w:tcW w:w="1404" w:type="dxa"/>
            <w:vMerge/>
            <w:tcBorders>
              <w:top w:val="nil"/>
              <w:left w:val="single" w:sz="8" w:space="0" w:color="000000"/>
              <w:bottom w:val="single" w:sz="8" w:space="0" w:color="000000"/>
              <w:right w:val="single" w:sz="8" w:space="0" w:color="000000"/>
            </w:tcBorders>
            <w:vAlign w:val="center"/>
            <w:hideMark/>
          </w:tcPr>
          <w:p w14:paraId="36F60735" w14:textId="77777777" w:rsidR="00755399" w:rsidRPr="00687743" w:rsidRDefault="00755399" w:rsidP="00847A51">
            <w:pPr>
              <w:spacing w:after="0" w:line="276" w:lineRule="auto"/>
              <w:rPr>
                <w:rFonts w:ascii="Times New Roman" w:eastAsia="Times New Roman" w:hAnsi="Times New Roman" w:cs="Times New Roman"/>
                <w:color w:val="000000"/>
                <w:kern w:val="0"/>
                <w:highlight w:val="cyan"/>
                <w14:ligatures w14:val="none"/>
              </w:rPr>
            </w:pPr>
          </w:p>
        </w:tc>
        <w:tc>
          <w:tcPr>
            <w:tcW w:w="227" w:type="dxa"/>
            <w:vAlign w:val="center"/>
            <w:hideMark/>
          </w:tcPr>
          <w:p w14:paraId="177F53FF" w14:textId="77777777" w:rsidR="00755399" w:rsidRPr="00687743" w:rsidRDefault="00755399" w:rsidP="00847A51">
            <w:pPr>
              <w:spacing w:after="0" w:line="276" w:lineRule="auto"/>
              <w:rPr>
                <w:rFonts w:ascii="Times New Roman" w:eastAsia="Times New Roman" w:hAnsi="Times New Roman" w:cs="Times New Roman"/>
                <w:kern w:val="0"/>
                <w:sz w:val="20"/>
                <w:szCs w:val="20"/>
                <w14:ligatures w14:val="none"/>
              </w:rPr>
            </w:pPr>
          </w:p>
        </w:tc>
      </w:tr>
      <w:tr w:rsidR="007660A6" w:rsidRPr="00687743" w14:paraId="53DA2D5B" w14:textId="77777777" w:rsidTr="007660A6">
        <w:trPr>
          <w:trHeight w:val="392"/>
        </w:trPr>
        <w:tc>
          <w:tcPr>
            <w:tcW w:w="1463" w:type="dxa"/>
            <w:tcBorders>
              <w:top w:val="nil"/>
              <w:left w:val="single" w:sz="8" w:space="0" w:color="000000"/>
              <w:bottom w:val="single" w:sz="8" w:space="0" w:color="000000"/>
              <w:right w:val="single" w:sz="8" w:space="0" w:color="000000"/>
            </w:tcBorders>
            <w:shd w:val="clear" w:color="auto" w:fill="auto"/>
            <w:vAlign w:val="center"/>
            <w:hideMark/>
          </w:tcPr>
          <w:p w14:paraId="6F9348C7"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HDFC Gold Exchange traded fund</w:t>
            </w:r>
          </w:p>
        </w:tc>
        <w:tc>
          <w:tcPr>
            <w:tcW w:w="1404" w:type="dxa"/>
            <w:tcBorders>
              <w:top w:val="nil"/>
              <w:left w:val="nil"/>
              <w:bottom w:val="single" w:sz="8" w:space="0" w:color="000000"/>
              <w:right w:val="single" w:sz="8" w:space="0" w:color="000000"/>
            </w:tcBorders>
            <w:shd w:val="clear" w:color="auto" w:fill="auto"/>
            <w:vAlign w:val="center"/>
            <w:hideMark/>
          </w:tcPr>
          <w:p w14:paraId="005BE465"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0.1356</w:t>
            </w:r>
          </w:p>
        </w:tc>
        <w:tc>
          <w:tcPr>
            <w:tcW w:w="1279" w:type="dxa"/>
            <w:tcBorders>
              <w:top w:val="nil"/>
              <w:left w:val="nil"/>
              <w:bottom w:val="single" w:sz="8" w:space="0" w:color="000000"/>
              <w:right w:val="single" w:sz="8" w:space="0" w:color="000000"/>
            </w:tcBorders>
            <w:shd w:val="clear" w:color="auto" w:fill="auto"/>
            <w:vAlign w:val="center"/>
            <w:hideMark/>
          </w:tcPr>
          <w:p w14:paraId="6055B1F5"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0.1418</w:t>
            </w:r>
          </w:p>
        </w:tc>
        <w:tc>
          <w:tcPr>
            <w:tcW w:w="1155" w:type="dxa"/>
            <w:tcBorders>
              <w:top w:val="nil"/>
              <w:left w:val="nil"/>
              <w:bottom w:val="single" w:sz="8" w:space="0" w:color="000000"/>
              <w:right w:val="single" w:sz="8" w:space="0" w:color="000000"/>
            </w:tcBorders>
            <w:shd w:val="clear" w:color="auto" w:fill="auto"/>
            <w:vAlign w:val="center"/>
            <w:hideMark/>
          </w:tcPr>
          <w:p w14:paraId="5298F7D8"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-0.0811</w:t>
            </w:r>
          </w:p>
        </w:tc>
        <w:tc>
          <w:tcPr>
            <w:tcW w:w="1404" w:type="dxa"/>
            <w:tcBorders>
              <w:top w:val="nil"/>
              <w:left w:val="nil"/>
              <w:bottom w:val="single" w:sz="8" w:space="0" w:color="000000"/>
              <w:right w:val="single" w:sz="8" w:space="0" w:color="000000"/>
            </w:tcBorders>
            <w:shd w:val="clear" w:color="auto" w:fill="auto"/>
            <w:vAlign w:val="center"/>
            <w:hideMark/>
          </w:tcPr>
          <w:p w14:paraId="5168FAA6"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0.2046</w:t>
            </w:r>
          </w:p>
        </w:tc>
        <w:tc>
          <w:tcPr>
            <w:tcW w:w="1528" w:type="dxa"/>
            <w:tcBorders>
              <w:top w:val="nil"/>
              <w:left w:val="nil"/>
              <w:bottom w:val="single" w:sz="8" w:space="0" w:color="000000"/>
              <w:right w:val="single" w:sz="8" w:space="0" w:color="000000"/>
            </w:tcBorders>
            <w:shd w:val="clear" w:color="auto" w:fill="auto"/>
            <w:vAlign w:val="center"/>
            <w:hideMark/>
          </w:tcPr>
          <w:p w14:paraId="4364A2B2"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-0.9254</w:t>
            </w:r>
          </w:p>
        </w:tc>
        <w:tc>
          <w:tcPr>
            <w:tcW w:w="1404" w:type="dxa"/>
            <w:tcBorders>
              <w:top w:val="nil"/>
              <w:left w:val="nil"/>
              <w:bottom w:val="single" w:sz="8" w:space="0" w:color="000000"/>
              <w:right w:val="single" w:sz="8" w:space="0" w:color="000000"/>
            </w:tcBorders>
            <w:shd w:val="clear" w:color="auto" w:fill="auto"/>
            <w:vAlign w:val="center"/>
            <w:hideMark/>
          </w:tcPr>
          <w:p w14:paraId="06C27231"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highlight w:val="cyan"/>
                <w14:ligatures w14:val="none"/>
              </w:rPr>
            </w:pPr>
            <w:r w:rsidRPr="00687743">
              <w:rPr>
                <w:rFonts w:ascii="Times New Roman" w:eastAsia="Times New Roman" w:hAnsi="Times New Roman" w:cs="Times New Roman"/>
                <w:color w:val="000000"/>
                <w:kern w:val="0"/>
                <w:highlight w:val="cyan"/>
                <w14:ligatures w14:val="none"/>
              </w:rPr>
              <w:t>-0.1049</w:t>
            </w:r>
          </w:p>
        </w:tc>
        <w:tc>
          <w:tcPr>
            <w:tcW w:w="227" w:type="dxa"/>
            <w:vAlign w:val="center"/>
            <w:hideMark/>
          </w:tcPr>
          <w:p w14:paraId="6CA36803" w14:textId="77777777" w:rsidR="00755399" w:rsidRPr="00687743" w:rsidRDefault="00755399" w:rsidP="00847A51">
            <w:pPr>
              <w:spacing w:after="0" w:line="276" w:lineRule="auto"/>
              <w:rPr>
                <w:rFonts w:ascii="Times New Roman" w:eastAsia="Times New Roman" w:hAnsi="Times New Roman" w:cs="Times New Roman"/>
                <w:kern w:val="0"/>
                <w:sz w:val="20"/>
                <w:szCs w:val="20"/>
                <w14:ligatures w14:val="none"/>
              </w:rPr>
            </w:pPr>
          </w:p>
        </w:tc>
      </w:tr>
      <w:tr w:rsidR="007660A6" w:rsidRPr="00687743" w14:paraId="750525AA" w14:textId="77777777" w:rsidTr="007660A6">
        <w:trPr>
          <w:trHeight w:val="262"/>
        </w:trPr>
        <w:tc>
          <w:tcPr>
            <w:tcW w:w="146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0AD60B"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Kotak Gold ETF</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EC269F7"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0.06685971</w:t>
            </w:r>
          </w:p>
        </w:tc>
        <w:tc>
          <w:tcPr>
            <w:tcW w:w="127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368203D"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-0.7437118</w:t>
            </w:r>
          </w:p>
        </w:tc>
        <w:tc>
          <w:tcPr>
            <w:tcW w:w="115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CA9B980"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0.36222</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63E2837"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-0.94733233</w:t>
            </w:r>
          </w:p>
        </w:tc>
        <w:tc>
          <w:tcPr>
            <w:tcW w:w="152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9968C0"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0.25066474</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D544C04"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-0.20225991</w:t>
            </w:r>
          </w:p>
        </w:tc>
        <w:tc>
          <w:tcPr>
            <w:tcW w:w="227" w:type="dxa"/>
            <w:vAlign w:val="center"/>
            <w:hideMark/>
          </w:tcPr>
          <w:p w14:paraId="15F50D1F" w14:textId="77777777" w:rsidR="00755399" w:rsidRPr="00687743" w:rsidRDefault="00755399" w:rsidP="00847A51">
            <w:pPr>
              <w:spacing w:after="0" w:line="276" w:lineRule="auto"/>
              <w:rPr>
                <w:rFonts w:ascii="Times New Roman" w:eastAsia="Times New Roman" w:hAnsi="Times New Roman" w:cs="Times New Roman"/>
                <w:kern w:val="0"/>
                <w:sz w:val="20"/>
                <w:szCs w:val="20"/>
                <w14:ligatures w14:val="none"/>
              </w:rPr>
            </w:pPr>
          </w:p>
        </w:tc>
      </w:tr>
      <w:tr w:rsidR="007660A6" w:rsidRPr="00687743" w14:paraId="53CF099A" w14:textId="77777777" w:rsidTr="007660A6">
        <w:trPr>
          <w:trHeight w:val="122"/>
        </w:trPr>
        <w:tc>
          <w:tcPr>
            <w:tcW w:w="1463" w:type="dxa"/>
            <w:vMerge/>
            <w:tcBorders>
              <w:top w:val="nil"/>
              <w:left w:val="single" w:sz="8" w:space="0" w:color="000000"/>
              <w:bottom w:val="single" w:sz="8" w:space="0" w:color="000000"/>
              <w:right w:val="single" w:sz="8" w:space="0" w:color="000000"/>
            </w:tcBorders>
            <w:vAlign w:val="center"/>
            <w:hideMark/>
          </w:tcPr>
          <w:p w14:paraId="6182EEEE" w14:textId="77777777" w:rsidR="00755399" w:rsidRPr="00687743" w:rsidRDefault="00755399" w:rsidP="00847A51">
            <w:pPr>
              <w:spacing w:after="0" w:line="276" w:lineRule="auto"/>
              <w:rPr>
                <w:rFonts w:ascii="Times New Roman" w:eastAsia="Times New Roman" w:hAnsi="Times New Roman" w:cs="Times New Roman"/>
                <w:b/>
                <w:bCs/>
                <w:color w:val="000000"/>
                <w:kern w:val="0"/>
                <w14:ligatures w14:val="none"/>
              </w:rPr>
            </w:pPr>
          </w:p>
        </w:tc>
        <w:tc>
          <w:tcPr>
            <w:tcW w:w="1404" w:type="dxa"/>
            <w:vMerge/>
            <w:tcBorders>
              <w:top w:val="nil"/>
              <w:left w:val="single" w:sz="8" w:space="0" w:color="000000"/>
              <w:bottom w:val="single" w:sz="8" w:space="0" w:color="000000"/>
              <w:right w:val="single" w:sz="8" w:space="0" w:color="000000"/>
            </w:tcBorders>
            <w:vAlign w:val="center"/>
            <w:hideMark/>
          </w:tcPr>
          <w:p w14:paraId="77150A2F"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279" w:type="dxa"/>
            <w:vMerge/>
            <w:tcBorders>
              <w:top w:val="nil"/>
              <w:left w:val="single" w:sz="8" w:space="0" w:color="000000"/>
              <w:bottom w:val="single" w:sz="8" w:space="0" w:color="000000"/>
              <w:right w:val="single" w:sz="8" w:space="0" w:color="000000"/>
            </w:tcBorders>
            <w:vAlign w:val="center"/>
            <w:hideMark/>
          </w:tcPr>
          <w:p w14:paraId="7D349239"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155" w:type="dxa"/>
            <w:vMerge/>
            <w:tcBorders>
              <w:top w:val="nil"/>
              <w:left w:val="single" w:sz="8" w:space="0" w:color="000000"/>
              <w:bottom w:val="single" w:sz="8" w:space="0" w:color="000000"/>
              <w:right w:val="single" w:sz="8" w:space="0" w:color="000000"/>
            </w:tcBorders>
            <w:vAlign w:val="center"/>
            <w:hideMark/>
          </w:tcPr>
          <w:p w14:paraId="64DA9D4D"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404" w:type="dxa"/>
            <w:vMerge/>
            <w:tcBorders>
              <w:top w:val="nil"/>
              <w:left w:val="single" w:sz="8" w:space="0" w:color="000000"/>
              <w:bottom w:val="single" w:sz="8" w:space="0" w:color="000000"/>
              <w:right w:val="single" w:sz="8" w:space="0" w:color="000000"/>
            </w:tcBorders>
            <w:vAlign w:val="center"/>
            <w:hideMark/>
          </w:tcPr>
          <w:p w14:paraId="31D171E8"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528" w:type="dxa"/>
            <w:vMerge/>
            <w:tcBorders>
              <w:top w:val="nil"/>
              <w:left w:val="single" w:sz="8" w:space="0" w:color="000000"/>
              <w:bottom w:val="single" w:sz="8" w:space="0" w:color="000000"/>
              <w:right w:val="single" w:sz="8" w:space="0" w:color="000000"/>
            </w:tcBorders>
            <w:vAlign w:val="center"/>
            <w:hideMark/>
          </w:tcPr>
          <w:p w14:paraId="4B0BB071"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404" w:type="dxa"/>
            <w:vMerge/>
            <w:tcBorders>
              <w:top w:val="nil"/>
              <w:left w:val="single" w:sz="8" w:space="0" w:color="000000"/>
              <w:bottom w:val="single" w:sz="8" w:space="0" w:color="000000"/>
              <w:right w:val="single" w:sz="8" w:space="0" w:color="000000"/>
            </w:tcBorders>
            <w:vAlign w:val="center"/>
            <w:hideMark/>
          </w:tcPr>
          <w:p w14:paraId="1A7CACC1"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227" w:type="dxa"/>
            <w:tcBorders>
              <w:top w:val="nil"/>
              <w:left w:val="nil"/>
              <w:bottom w:val="nil"/>
              <w:right w:val="nil"/>
            </w:tcBorders>
            <w:shd w:val="clear" w:color="auto" w:fill="auto"/>
            <w:noWrap/>
            <w:vAlign w:val="bottom"/>
            <w:hideMark/>
          </w:tcPr>
          <w:p w14:paraId="3BFC2974"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r>
      <w:tr w:rsidR="007660A6" w:rsidRPr="00687743" w14:paraId="60DD4D33" w14:textId="77777777" w:rsidTr="007660A6">
        <w:trPr>
          <w:trHeight w:val="262"/>
        </w:trPr>
        <w:tc>
          <w:tcPr>
            <w:tcW w:w="146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8B03734"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Axis Gold ETF</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2B42B310"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0.068072</w:t>
            </w:r>
          </w:p>
        </w:tc>
        <w:tc>
          <w:tcPr>
            <w:tcW w:w="127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38DC393D"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-0.57687</w:t>
            </w:r>
          </w:p>
        </w:tc>
        <w:tc>
          <w:tcPr>
            <w:tcW w:w="115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38CBD7C"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0.370674</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94E4690"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4.697163</w:t>
            </w:r>
          </w:p>
        </w:tc>
        <w:tc>
          <w:tcPr>
            <w:tcW w:w="152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4AF600B7"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0.263794</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A8656CD"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highlight w:val="yellow"/>
                <w14:ligatures w14:val="none"/>
              </w:rPr>
              <w:t>0.9645666</w:t>
            </w:r>
          </w:p>
        </w:tc>
        <w:tc>
          <w:tcPr>
            <w:tcW w:w="227" w:type="dxa"/>
            <w:vAlign w:val="center"/>
            <w:hideMark/>
          </w:tcPr>
          <w:p w14:paraId="6EBCED02" w14:textId="77777777" w:rsidR="00755399" w:rsidRPr="00687743" w:rsidRDefault="00755399" w:rsidP="00847A51">
            <w:pPr>
              <w:spacing w:after="0" w:line="276" w:lineRule="auto"/>
              <w:rPr>
                <w:rFonts w:ascii="Times New Roman" w:eastAsia="Times New Roman" w:hAnsi="Times New Roman" w:cs="Times New Roman"/>
                <w:kern w:val="0"/>
                <w:sz w:val="20"/>
                <w:szCs w:val="20"/>
                <w14:ligatures w14:val="none"/>
              </w:rPr>
            </w:pPr>
          </w:p>
        </w:tc>
      </w:tr>
      <w:tr w:rsidR="007660A6" w:rsidRPr="00687743" w14:paraId="1F7FBAF4" w14:textId="77777777" w:rsidTr="007660A6">
        <w:trPr>
          <w:trHeight w:val="122"/>
        </w:trPr>
        <w:tc>
          <w:tcPr>
            <w:tcW w:w="1463" w:type="dxa"/>
            <w:vMerge/>
            <w:tcBorders>
              <w:top w:val="nil"/>
              <w:left w:val="single" w:sz="8" w:space="0" w:color="000000"/>
              <w:bottom w:val="single" w:sz="8" w:space="0" w:color="000000"/>
              <w:right w:val="single" w:sz="8" w:space="0" w:color="000000"/>
            </w:tcBorders>
            <w:vAlign w:val="center"/>
            <w:hideMark/>
          </w:tcPr>
          <w:p w14:paraId="24E797E3" w14:textId="77777777" w:rsidR="00755399" w:rsidRPr="00687743" w:rsidRDefault="00755399" w:rsidP="00847A51">
            <w:pPr>
              <w:spacing w:after="0" w:line="276" w:lineRule="auto"/>
              <w:rPr>
                <w:rFonts w:ascii="Times New Roman" w:eastAsia="Times New Roman" w:hAnsi="Times New Roman" w:cs="Times New Roman"/>
                <w:b/>
                <w:bCs/>
                <w:color w:val="000000"/>
                <w:kern w:val="0"/>
                <w14:ligatures w14:val="none"/>
              </w:rPr>
            </w:pPr>
          </w:p>
        </w:tc>
        <w:tc>
          <w:tcPr>
            <w:tcW w:w="1404" w:type="dxa"/>
            <w:vMerge/>
            <w:tcBorders>
              <w:top w:val="nil"/>
              <w:left w:val="single" w:sz="8" w:space="0" w:color="000000"/>
              <w:bottom w:val="single" w:sz="8" w:space="0" w:color="000000"/>
              <w:right w:val="single" w:sz="8" w:space="0" w:color="000000"/>
            </w:tcBorders>
            <w:vAlign w:val="center"/>
            <w:hideMark/>
          </w:tcPr>
          <w:p w14:paraId="63BAAAB1"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279" w:type="dxa"/>
            <w:vMerge/>
            <w:tcBorders>
              <w:top w:val="nil"/>
              <w:left w:val="single" w:sz="8" w:space="0" w:color="000000"/>
              <w:bottom w:val="single" w:sz="8" w:space="0" w:color="000000"/>
              <w:right w:val="single" w:sz="8" w:space="0" w:color="000000"/>
            </w:tcBorders>
            <w:vAlign w:val="center"/>
            <w:hideMark/>
          </w:tcPr>
          <w:p w14:paraId="0B33303B"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155" w:type="dxa"/>
            <w:vMerge/>
            <w:tcBorders>
              <w:top w:val="nil"/>
              <w:left w:val="single" w:sz="8" w:space="0" w:color="000000"/>
              <w:bottom w:val="single" w:sz="8" w:space="0" w:color="000000"/>
              <w:right w:val="single" w:sz="8" w:space="0" w:color="000000"/>
            </w:tcBorders>
            <w:vAlign w:val="center"/>
            <w:hideMark/>
          </w:tcPr>
          <w:p w14:paraId="45CDF870"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404" w:type="dxa"/>
            <w:vMerge/>
            <w:tcBorders>
              <w:top w:val="nil"/>
              <w:left w:val="single" w:sz="8" w:space="0" w:color="000000"/>
              <w:bottom w:val="single" w:sz="8" w:space="0" w:color="000000"/>
              <w:right w:val="single" w:sz="8" w:space="0" w:color="000000"/>
            </w:tcBorders>
            <w:vAlign w:val="center"/>
            <w:hideMark/>
          </w:tcPr>
          <w:p w14:paraId="09C0B296"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528" w:type="dxa"/>
            <w:vMerge/>
            <w:tcBorders>
              <w:top w:val="nil"/>
              <w:left w:val="single" w:sz="8" w:space="0" w:color="000000"/>
              <w:bottom w:val="single" w:sz="8" w:space="0" w:color="000000"/>
              <w:right w:val="single" w:sz="8" w:space="0" w:color="000000"/>
            </w:tcBorders>
            <w:vAlign w:val="center"/>
            <w:hideMark/>
          </w:tcPr>
          <w:p w14:paraId="408FEC6C"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404" w:type="dxa"/>
            <w:vMerge/>
            <w:tcBorders>
              <w:top w:val="nil"/>
              <w:left w:val="single" w:sz="8" w:space="0" w:color="000000"/>
              <w:bottom w:val="single" w:sz="8" w:space="0" w:color="000000"/>
              <w:right w:val="single" w:sz="8" w:space="0" w:color="000000"/>
            </w:tcBorders>
            <w:vAlign w:val="center"/>
            <w:hideMark/>
          </w:tcPr>
          <w:p w14:paraId="6C6DD375"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227" w:type="dxa"/>
            <w:tcBorders>
              <w:top w:val="nil"/>
              <w:left w:val="nil"/>
              <w:bottom w:val="nil"/>
              <w:right w:val="nil"/>
            </w:tcBorders>
            <w:shd w:val="clear" w:color="auto" w:fill="auto"/>
            <w:noWrap/>
            <w:vAlign w:val="bottom"/>
            <w:hideMark/>
          </w:tcPr>
          <w:p w14:paraId="4C5622BE"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r>
      <w:tr w:rsidR="007660A6" w:rsidRPr="00687743" w14:paraId="5BA608FA" w14:textId="77777777" w:rsidTr="007660A6">
        <w:trPr>
          <w:trHeight w:val="521"/>
        </w:trPr>
        <w:tc>
          <w:tcPr>
            <w:tcW w:w="146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233D3A6"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Aditya Birla Sun Life Gold ETF</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4B32D7"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0.08217</w:t>
            </w:r>
          </w:p>
        </w:tc>
        <w:tc>
          <w:tcPr>
            <w:tcW w:w="127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4EA2A09"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-0.58225</w:t>
            </w:r>
          </w:p>
        </w:tc>
        <w:tc>
          <w:tcPr>
            <w:tcW w:w="115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65B9A7F"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-0.04464</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342E477"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0.004445</w:t>
            </w:r>
          </w:p>
        </w:tc>
        <w:tc>
          <w:tcPr>
            <w:tcW w:w="152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843530B"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0.32755</w:t>
            </w:r>
          </w:p>
        </w:tc>
        <w:tc>
          <w:tcPr>
            <w:tcW w:w="140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9D58E1D"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sidRPr="00687743">
              <w:rPr>
                <w:rFonts w:ascii="Calibri" w:eastAsia="Times New Roman" w:hAnsi="Calibri" w:cs="Calibri"/>
                <w:color w:val="000000"/>
                <w:kern w:val="0"/>
                <w14:ligatures w14:val="none"/>
              </w:rPr>
              <w:t>-0.042545</w:t>
            </w:r>
          </w:p>
        </w:tc>
        <w:tc>
          <w:tcPr>
            <w:tcW w:w="227" w:type="dxa"/>
            <w:vAlign w:val="center"/>
            <w:hideMark/>
          </w:tcPr>
          <w:p w14:paraId="30B99C18" w14:textId="77777777" w:rsidR="00755399" w:rsidRPr="00687743" w:rsidRDefault="00755399" w:rsidP="00847A51">
            <w:pPr>
              <w:spacing w:after="0" w:line="276" w:lineRule="auto"/>
              <w:rPr>
                <w:rFonts w:ascii="Times New Roman" w:eastAsia="Times New Roman" w:hAnsi="Times New Roman" w:cs="Times New Roman"/>
                <w:kern w:val="0"/>
                <w:sz w:val="20"/>
                <w:szCs w:val="20"/>
                <w14:ligatures w14:val="none"/>
              </w:rPr>
            </w:pPr>
          </w:p>
        </w:tc>
      </w:tr>
      <w:tr w:rsidR="007660A6" w:rsidRPr="00687743" w14:paraId="4B7F1F95" w14:textId="77777777" w:rsidTr="007660A6">
        <w:trPr>
          <w:trHeight w:val="122"/>
        </w:trPr>
        <w:tc>
          <w:tcPr>
            <w:tcW w:w="1463" w:type="dxa"/>
            <w:vMerge/>
            <w:tcBorders>
              <w:top w:val="nil"/>
              <w:left w:val="single" w:sz="8" w:space="0" w:color="000000"/>
              <w:bottom w:val="single" w:sz="8" w:space="0" w:color="000000"/>
              <w:right w:val="single" w:sz="8" w:space="0" w:color="000000"/>
            </w:tcBorders>
            <w:vAlign w:val="center"/>
            <w:hideMark/>
          </w:tcPr>
          <w:p w14:paraId="0BB34ADF" w14:textId="77777777" w:rsidR="00755399" w:rsidRPr="00687743" w:rsidRDefault="00755399" w:rsidP="00847A51">
            <w:pPr>
              <w:spacing w:after="0" w:line="276" w:lineRule="auto"/>
              <w:rPr>
                <w:rFonts w:ascii="Times New Roman" w:eastAsia="Times New Roman" w:hAnsi="Times New Roman" w:cs="Times New Roman"/>
                <w:b/>
                <w:bCs/>
                <w:color w:val="000000"/>
                <w:kern w:val="0"/>
                <w14:ligatures w14:val="none"/>
              </w:rPr>
            </w:pPr>
          </w:p>
        </w:tc>
        <w:tc>
          <w:tcPr>
            <w:tcW w:w="1404" w:type="dxa"/>
            <w:vMerge/>
            <w:tcBorders>
              <w:top w:val="nil"/>
              <w:left w:val="single" w:sz="8" w:space="0" w:color="000000"/>
              <w:bottom w:val="single" w:sz="8" w:space="0" w:color="000000"/>
              <w:right w:val="single" w:sz="8" w:space="0" w:color="000000"/>
            </w:tcBorders>
            <w:vAlign w:val="center"/>
            <w:hideMark/>
          </w:tcPr>
          <w:p w14:paraId="784BFDA3"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279" w:type="dxa"/>
            <w:vMerge/>
            <w:tcBorders>
              <w:top w:val="nil"/>
              <w:left w:val="single" w:sz="8" w:space="0" w:color="000000"/>
              <w:bottom w:val="single" w:sz="8" w:space="0" w:color="000000"/>
              <w:right w:val="single" w:sz="8" w:space="0" w:color="000000"/>
            </w:tcBorders>
            <w:vAlign w:val="center"/>
            <w:hideMark/>
          </w:tcPr>
          <w:p w14:paraId="164E5200"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155" w:type="dxa"/>
            <w:vMerge/>
            <w:tcBorders>
              <w:top w:val="nil"/>
              <w:left w:val="single" w:sz="8" w:space="0" w:color="000000"/>
              <w:bottom w:val="single" w:sz="8" w:space="0" w:color="000000"/>
              <w:right w:val="single" w:sz="8" w:space="0" w:color="000000"/>
            </w:tcBorders>
            <w:vAlign w:val="center"/>
            <w:hideMark/>
          </w:tcPr>
          <w:p w14:paraId="55AC802C"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404" w:type="dxa"/>
            <w:vMerge/>
            <w:tcBorders>
              <w:top w:val="nil"/>
              <w:left w:val="single" w:sz="8" w:space="0" w:color="000000"/>
              <w:bottom w:val="single" w:sz="8" w:space="0" w:color="000000"/>
              <w:right w:val="single" w:sz="8" w:space="0" w:color="000000"/>
            </w:tcBorders>
            <w:vAlign w:val="center"/>
            <w:hideMark/>
          </w:tcPr>
          <w:p w14:paraId="55BDFE56"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528" w:type="dxa"/>
            <w:vMerge/>
            <w:tcBorders>
              <w:top w:val="nil"/>
              <w:left w:val="single" w:sz="8" w:space="0" w:color="000000"/>
              <w:bottom w:val="single" w:sz="8" w:space="0" w:color="000000"/>
              <w:right w:val="single" w:sz="8" w:space="0" w:color="000000"/>
            </w:tcBorders>
            <w:vAlign w:val="center"/>
            <w:hideMark/>
          </w:tcPr>
          <w:p w14:paraId="74D307B9"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404" w:type="dxa"/>
            <w:vMerge/>
            <w:tcBorders>
              <w:top w:val="nil"/>
              <w:left w:val="single" w:sz="8" w:space="0" w:color="000000"/>
              <w:bottom w:val="single" w:sz="8" w:space="0" w:color="000000"/>
              <w:right w:val="single" w:sz="8" w:space="0" w:color="000000"/>
            </w:tcBorders>
            <w:vAlign w:val="center"/>
            <w:hideMark/>
          </w:tcPr>
          <w:p w14:paraId="5EDC4648"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227" w:type="dxa"/>
            <w:tcBorders>
              <w:top w:val="nil"/>
              <w:left w:val="nil"/>
              <w:bottom w:val="nil"/>
              <w:right w:val="nil"/>
            </w:tcBorders>
            <w:shd w:val="clear" w:color="auto" w:fill="auto"/>
            <w:noWrap/>
            <w:vAlign w:val="bottom"/>
            <w:hideMark/>
          </w:tcPr>
          <w:p w14:paraId="43811E95"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r>
    </w:tbl>
    <w:p w14:paraId="4603ECC4" w14:textId="77777777" w:rsidR="00847A51" w:rsidRDefault="00847A51" w:rsidP="00847A51">
      <w:pPr>
        <w:spacing w:line="276" w:lineRule="auto"/>
        <w:rPr>
          <w:rFonts w:ascii="Times New Roman" w:hAnsi="Times New Roman" w:cs="Times New Roman"/>
          <w:b/>
          <w:bCs/>
          <w:sz w:val="28"/>
          <w:szCs w:val="28"/>
        </w:rPr>
      </w:pPr>
    </w:p>
    <w:p w14:paraId="6C505C1B" w14:textId="42D37A34" w:rsidR="00755399" w:rsidRPr="00282C26" w:rsidRDefault="00240982" w:rsidP="00847A51">
      <w:pPr>
        <w:spacing w:line="276" w:lineRule="auto"/>
        <w:rPr>
          <w:rFonts w:ascii="Times New Roman" w:hAnsi="Times New Roman" w:cs="Times New Roman"/>
          <w:b/>
          <w:bCs/>
          <w:sz w:val="28"/>
          <w:szCs w:val="28"/>
        </w:rPr>
      </w:pPr>
      <w:r w:rsidRPr="00282C26">
        <w:rPr>
          <w:rFonts w:ascii="Times New Roman" w:hAnsi="Times New Roman" w:cs="Times New Roman"/>
          <w:b/>
          <w:bCs/>
          <w:sz w:val="28"/>
          <w:szCs w:val="28"/>
        </w:rPr>
        <w:t>Chart</w:t>
      </w:r>
      <w:r w:rsidR="00755399" w:rsidRPr="00282C26">
        <w:rPr>
          <w:rFonts w:ascii="Times New Roman" w:hAnsi="Times New Roman" w:cs="Times New Roman"/>
          <w:b/>
          <w:bCs/>
          <w:sz w:val="28"/>
          <w:szCs w:val="28"/>
        </w:rPr>
        <w:t xml:space="preserve"> illustrating 5-year Treynor Ratio of 7 Gold ETFs under Study</w:t>
      </w:r>
    </w:p>
    <w:p w14:paraId="61EA6D4B" w14:textId="2C47217A" w:rsidR="00755399" w:rsidRPr="002F19C6" w:rsidRDefault="002F19C6" w:rsidP="002F19C6">
      <w:pPr>
        <w:spacing w:line="276" w:lineRule="auto"/>
        <w:rPr>
          <w:rFonts w:ascii="Times New Roman" w:hAnsi="Times New Roman" w:cs="Times New Roman"/>
          <w:b/>
          <w:bCs/>
          <w:sz w:val="28"/>
          <w:szCs w:val="28"/>
        </w:rPr>
      </w:pPr>
      <w:r>
        <w:rPr>
          <w:noProof/>
        </w:rPr>
        <w:drawing>
          <wp:inline distT="0" distB="0" distL="0" distR="0" wp14:anchorId="3FDC217C" wp14:editId="3BD5F29A">
            <wp:extent cx="6156356" cy="2987644"/>
            <wp:effectExtent l="0" t="0" r="15875" b="3810"/>
            <wp:docPr id="37156233" name="Chart 1">
              <a:extLst xmlns:a="http://schemas.openxmlformats.org/drawingml/2006/main">
                <a:ext uri="{FF2B5EF4-FFF2-40B4-BE49-F238E27FC236}">
                  <a16:creationId xmlns:a16="http://schemas.microsoft.com/office/drawing/2014/main" id="{2183E5F1-363B-0CF4-1D8D-486F5B4C936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17AC3C1" w14:textId="77777777" w:rsidR="002F19C6" w:rsidRDefault="002F19C6" w:rsidP="00847A51">
      <w:pPr>
        <w:spacing w:line="276" w:lineRule="auto"/>
        <w:rPr>
          <w:rFonts w:ascii="Times New Roman" w:hAnsi="Times New Roman" w:cs="Times New Roman"/>
          <w:b/>
          <w:bCs/>
          <w:sz w:val="28"/>
          <w:szCs w:val="28"/>
        </w:rPr>
      </w:pPr>
    </w:p>
    <w:p w14:paraId="40CB7AEF" w14:textId="0D12B372" w:rsidR="00755399" w:rsidRPr="00683D6F" w:rsidRDefault="00755399" w:rsidP="00847A51">
      <w:pPr>
        <w:spacing w:line="276" w:lineRule="auto"/>
        <w:rPr>
          <w:rFonts w:ascii="Times New Roman" w:hAnsi="Times New Roman" w:cs="Times New Roman"/>
          <w:b/>
          <w:bCs/>
          <w:sz w:val="28"/>
          <w:szCs w:val="28"/>
        </w:rPr>
      </w:pPr>
      <w:r w:rsidRPr="00683D6F">
        <w:rPr>
          <w:rFonts w:ascii="Times New Roman" w:hAnsi="Times New Roman" w:cs="Times New Roman"/>
          <w:b/>
          <w:bCs/>
          <w:sz w:val="28"/>
          <w:szCs w:val="28"/>
        </w:rPr>
        <w:lastRenderedPageBreak/>
        <w:t>Table outlining 5-year Treynor Ratio of 7 Gold ETFs under Study</w:t>
      </w:r>
    </w:p>
    <w:tbl>
      <w:tblPr>
        <w:tblW w:w="9895" w:type="dxa"/>
        <w:tblLook w:val="04A0" w:firstRow="1" w:lastRow="0" w:firstColumn="1" w:lastColumn="0" w:noHBand="0" w:noVBand="1"/>
      </w:tblPr>
      <w:tblGrid>
        <w:gridCol w:w="4239"/>
        <w:gridCol w:w="3103"/>
        <w:gridCol w:w="2553"/>
      </w:tblGrid>
      <w:tr w:rsidR="00755399" w:rsidRPr="00BA3817" w14:paraId="36DF269C" w14:textId="77777777" w:rsidTr="0098684F">
        <w:trPr>
          <w:trHeight w:val="1155"/>
        </w:trPr>
        <w:tc>
          <w:tcPr>
            <w:tcW w:w="423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37E955"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BA3817">
              <w:rPr>
                <w:rFonts w:ascii="Times New Roman" w:eastAsia="Times New Roman" w:hAnsi="Times New Roman" w:cs="Times New Roman"/>
                <w:b/>
                <w:bCs/>
                <w:color w:val="000000"/>
                <w:spacing w:val="-2"/>
                <w:kern w:val="0"/>
                <w14:ligatures w14:val="none"/>
              </w:rPr>
              <w:t>PARTICULARS</w:t>
            </w:r>
          </w:p>
        </w:tc>
        <w:tc>
          <w:tcPr>
            <w:tcW w:w="3103" w:type="dxa"/>
            <w:tcBorders>
              <w:top w:val="single" w:sz="4" w:space="0" w:color="auto"/>
              <w:left w:val="nil"/>
              <w:bottom w:val="single" w:sz="4" w:space="0" w:color="auto"/>
              <w:right w:val="single" w:sz="4" w:space="0" w:color="auto"/>
            </w:tcBorders>
            <w:shd w:val="clear" w:color="auto" w:fill="auto"/>
            <w:vAlign w:val="center"/>
            <w:hideMark/>
          </w:tcPr>
          <w:p w14:paraId="50FF38CC" w14:textId="77777777" w:rsidR="00755399" w:rsidRPr="00BA3817" w:rsidRDefault="00755399" w:rsidP="00847A51">
            <w:pPr>
              <w:spacing w:after="0" w:line="276" w:lineRule="auto"/>
              <w:rPr>
                <w:rFonts w:ascii="Times New Roman" w:eastAsia="Times New Roman" w:hAnsi="Times New Roman" w:cs="Times New Roman"/>
                <w:b/>
                <w:bCs/>
                <w:color w:val="000000"/>
                <w:kern w:val="0"/>
                <w14:ligatures w14:val="none"/>
              </w:rPr>
            </w:pPr>
            <w:r>
              <w:rPr>
                <w:rFonts w:ascii="Times New Roman" w:hAnsi="Times New Roman" w:cs="Times New Roman"/>
                <w:b/>
                <w:bCs/>
                <w:sz w:val="28"/>
                <w:szCs w:val="28"/>
              </w:rPr>
              <w:t xml:space="preserve">       </w:t>
            </w:r>
            <w:r w:rsidRPr="00683D6F">
              <w:rPr>
                <w:rFonts w:ascii="Times New Roman" w:hAnsi="Times New Roman" w:cs="Times New Roman"/>
                <w:b/>
                <w:bCs/>
                <w:sz w:val="28"/>
                <w:szCs w:val="28"/>
              </w:rPr>
              <w:t>Treynor Ratio</w:t>
            </w:r>
          </w:p>
        </w:tc>
        <w:tc>
          <w:tcPr>
            <w:tcW w:w="2553" w:type="dxa"/>
            <w:tcBorders>
              <w:top w:val="single" w:sz="4" w:space="0" w:color="auto"/>
              <w:left w:val="nil"/>
              <w:bottom w:val="single" w:sz="4" w:space="0" w:color="auto"/>
              <w:right w:val="single" w:sz="4" w:space="0" w:color="auto"/>
            </w:tcBorders>
            <w:shd w:val="clear" w:color="auto" w:fill="auto"/>
            <w:vAlign w:val="center"/>
            <w:hideMark/>
          </w:tcPr>
          <w:p w14:paraId="6A32B88F"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BA3817">
              <w:rPr>
                <w:rFonts w:ascii="Times New Roman" w:eastAsia="Times New Roman" w:hAnsi="Times New Roman" w:cs="Times New Roman"/>
                <w:b/>
                <w:bCs/>
                <w:color w:val="000000"/>
                <w:spacing w:val="-2"/>
                <w:kern w:val="0"/>
                <w14:ligatures w14:val="none"/>
              </w:rPr>
              <w:t>RANKING</w:t>
            </w:r>
          </w:p>
        </w:tc>
      </w:tr>
      <w:tr w:rsidR="00755399" w:rsidRPr="00BA3817" w14:paraId="26EA9A81" w14:textId="77777777" w:rsidTr="0098684F">
        <w:trPr>
          <w:trHeight w:val="761"/>
        </w:trPr>
        <w:tc>
          <w:tcPr>
            <w:tcW w:w="4239" w:type="dxa"/>
            <w:tcBorders>
              <w:top w:val="nil"/>
              <w:left w:val="single" w:sz="4" w:space="0" w:color="auto"/>
              <w:bottom w:val="single" w:sz="4" w:space="0" w:color="auto"/>
              <w:right w:val="single" w:sz="4" w:space="0" w:color="auto"/>
            </w:tcBorders>
            <w:shd w:val="clear" w:color="auto" w:fill="auto"/>
            <w:vAlign w:val="center"/>
            <w:hideMark/>
          </w:tcPr>
          <w:p w14:paraId="29D8EE4A"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Nippon India ETF Gold Bees</w:t>
            </w:r>
            <w:r>
              <w:rPr>
                <w:rFonts w:ascii="Times New Roman" w:eastAsia="Times New Roman" w:hAnsi="Times New Roman" w:cs="Times New Roman"/>
                <w:b/>
                <w:bCs/>
                <w:color w:val="000000"/>
                <w:kern w:val="0"/>
                <w14:ligatures w14:val="none"/>
              </w:rPr>
              <w:t>”</w:t>
            </w:r>
          </w:p>
        </w:tc>
        <w:tc>
          <w:tcPr>
            <w:tcW w:w="3103" w:type="dxa"/>
            <w:tcBorders>
              <w:top w:val="single" w:sz="4" w:space="0" w:color="auto"/>
              <w:left w:val="nil"/>
              <w:bottom w:val="single" w:sz="4" w:space="0" w:color="auto"/>
              <w:right w:val="single" w:sz="4" w:space="0" w:color="auto"/>
            </w:tcBorders>
            <w:shd w:val="clear" w:color="auto" w:fill="auto"/>
            <w:vAlign w:val="center"/>
          </w:tcPr>
          <w:p w14:paraId="023A4888" w14:textId="77777777" w:rsidR="00755399"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-0.840149</w:t>
            </w:r>
          </w:p>
          <w:p w14:paraId="10FD2D00"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p>
        </w:tc>
        <w:tc>
          <w:tcPr>
            <w:tcW w:w="2553" w:type="dxa"/>
            <w:tcBorders>
              <w:top w:val="nil"/>
              <w:left w:val="nil"/>
              <w:bottom w:val="single" w:sz="4" w:space="0" w:color="auto"/>
              <w:right w:val="single" w:sz="4" w:space="0" w:color="auto"/>
            </w:tcBorders>
            <w:shd w:val="clear" w:color="auto" w:fill="auto"/>
            <w:noWrap/>
            <w:vAlign w:val="center"/>
          </w:tcPr>
          <w:p w14:paraId="5BB41731"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7</w:t>
            </w:r>
          </w:p>
        </w:tc>
      </w:tr>
      <w:tr w:rsidR="00755399" w:rsidRPr="00BA3817" w14:paraId="5522BFDA" w14:textId="77777777" w:rsidTr="0098684F">
        <w:trPr>
          <w:trHeight w:val="376"/>
        </w:trPr>
        <w:tc>
          <w:tcPr>
            <w:tcW w:w="4239" w:type="dxa"/>
            <w:tcBorders>
              <w:top w:val="nil"/>
              <w:left w:val="single" w:sz="4" w:space="0" w:color="auto"/>
              <w:bottom w:val="single" w:sz="4" w:space="0" w:color="auto"/>
              <w:right w:val="single" w:sz="4" w:space="0" w:color="auto"/>
            </w:tcBorders>
            <w:shd w:val="clear" w:color="auto" w:fill="auto"/>
            <w:vAlign w:val="center"/>
            <w:hideMark/>
          </w:tcPr>
          <w:p w14:paraId="11360954"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SBI-ETF Gold</w:t>
            </w:r>
            <w:r>
              <w:rPr>
                <w:rFonts w:ascii="Times New Roman" w:eastAsia="Times New Roman" w:hAnsi="Times New Roman" w:cs="Times New Roman"/>
                <w:b/>
                <w:bCs/>
                <w:color w:val="000000"/>
                <w:kern w:val="0"/>
                <w14:ligatures w14:val="none"/>
              </w:rPr>
              <w:t>”</w:t>
            </w:r>
          </w:p>
        </w:tc>
        <w:tc>
          <w:tcPr>
            <w:tcW w:w="3103" w:type="dxa"/>
            <w:tcBorders>
              <w:top w:val="single" w:sz="4" w:space="0" w:color="auto"/>
              <w:left w:val="nil"/>
              <w:bottom w:val="single" w:sz="4" w:space="0" w:color="auto"/>
              <w:right w:val="single" w:sz="4" w:space="0" w:color="auto"/>
            </w:tcBorders>
            <w:shd w:val="clear" w:color="auto" w:fill="auto"/>
            <w:vAlign w:val="center"/>
          </w:tcPr>
          <w:p w14:paraId="61109369"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-0.079149</w:t>
            </w:r>
          </w:p>
        </w:tc>
        <w:tc>
          <w:tcPr>
            <w:tcW w:w="2553" w:type="dxa"/>
            <w:tcBorders>
              <w:top w:val="nil"/>
              <w:left w:val="nil"/>
              <w:bottom w:val="single" w:sz="4" w:space="0" w:color="auto"/>
              <w:right w:val="single" w:sz="4" w:space="0" w:color="auto"/>
            </w:tcBorders>
            <w:shd w:val="clear" w:color="auto" w:fill="auto"/>
            <w:noWrap/>
            <w:vAlign w:val="center"/>
          </w:tcPr>
          <w:p w14:paraId="53F41050"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p>
        </w:tc>
      </w:tr>
      <w:tr w:rsidR="00755399" w:rsidRPr="00BA3817" w14:paraId="2A5DA82A" w14:textId="77777777" w:rsidTr="0098684F">
        <w:trPr>
          <w:trHeight w:val="761"/>
        </w:trPr>
        <w:tc>
          <w:tcPr>
            <w:tcW w:w="4239" w:type="dxa"/>
            <w:tcBorders>
              <w:top w:val="nil"/>
              <w:left w:val="single" w:sz="4" w:space="0" w:color="auto"/>
              <w:bottom w:val="single" w:sz="4" w:space="0" w:color="auto"/>
              <w:right w:val="single" w:sz="4" w:space="0" w:color="auto"/>
            </w:tcBorders>
            <w:shd w:val="clear" w:color="auto" w:fill="auto"/>
            <w:vAlign w:val="center"/>
            <w:hideMark/>
          </w:tcPr>
          <w:p w14:paraId="3126F287"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ICICI prudential Gold ETF</w:t>
            </w:r>
            <w:r>
              <w:rPr>
                <w:rFonts w:ascii="Times New Roman" w:eastAsia="Times New Roman" w:hAnsi="Times New Roman" w:cs="Times New Roman"/>
                <w:b/>
                <w:bCs/>
                <w:color w:val="000000"/>
                <w:kern w:val="0"/>
                <w14:ligatures w14:val="none"/>
              </w:rPr>
              <w:t>”</w:t>
            </w:r>
          </w:p>
        </w:tc>
        <w:tc>
          <w:tcPr>
            <w:tcW w:w="3103" w:type="dxa"/>
            <w:tcBorders>
              <w:top w:val="single" w:sz="4" w:space="0" w:color="auto"/>
              <w:left w:val="nil"/>
              <w:bottom w:val="single" w:sz="4" w:space="0" w:color="auto"/>
              <w:right w:val="single" w:sz="4" w:space="0" w:color="auto"/>
            </w:tcBorders>
            <w:shd w:val="clear" w:color="auto" w:fill="auto"/>
            <w:vAlign w:val="center"/>
          </w:tcPr>
          <w:p w14:paraId="3E32E0D6" w14:textId="77777777" w:rsidR="00755399" w:rsidRPr="00BA3817" w:rsidRDefault="00755399" w:rsidP="00847A51">
            <w:pPr>
              <w:spacing w:after="0" w:line="276"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0.10858</w:t>
            </w:r>
          </w:p>
        </w:tc>
        <w:tc>
          <w:tcPr>
            <w:tcW w:w="2553" w:type="dxa"/>
            <w:tcBorders>
              <w:top w:val="nil"/>
              <w:left w:val="nil"/>
              <w:bottom w:val="single" w:sz="4" w:space="0" w:color="auto"/>
              <w:right w:val="single" w:sz="4" w:space="0" w:color="auto"/>
            </w:tcBorders>
            <w:shd w:val="clear" w:color="auto" w:fill="auto"/>
            <w:noWrap/>
            <w:vAlign w:val="center"/>
          </w:tcPr>
          <w:p w14:paraId="40E849A2"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p>
        </w:tc>
      </w:tr>
      <w:tr w:rsidR="00755399" w:rsidRPr="00BA3817" w14:paraId="65CE8E60" w14:textId="77777777" w:rsidTr="0098684F">
        <w:trPr>
          <w:trHeight w:val="1140"/>
        </w:trPr>
        <w:tc>
          <w:tcPr>
            <w:tcW w:w="4239" w:type="dxa"/>
            <w:tcBorders>
              <w:top w:val="nil"/>
              <w:left w:val="single" w:sz="4" w:space="0" w:color="auto"/>
              <w:bottom w:val="single" w:sz="4" w:space="0" w:color="auto"/>
              <w:right w:val="single" w:sz="4" w:space="0" w:color="auto"/>
            </w:tcBorders>
            <w:shd w:val="clear" w:color="auto" w:fill="auto"/>
            <w:vAlign w:val="center"/>
            <w:hideMark/>
          </w:tcPr>
          <w:p w14:paraId="660924B4"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HDFC Gold Exchange traded fund</w:t>
            </w:r>
            <w:r>
              <w:rPr>
                <w:rFonts w:ascii="Times New Roman" w:eastAsia="Times New Roman" w:hAnsi="Times New Roman" w:cs="Times New Roman"/>
                <w:b/>
                <w:bCs/>
                <w:color w:val="000000"/>
                <w:kern w:val="0"/>
                <w14:ligatures w14:val="none"/>
              </w:rPr>
              <w:t>”</w:t>
            </w:r>
          </w:p>
        </w:tc>
        <w:tc>
          <w:tcPr>
            <w:tcW w:w="3103" w:type="dxa"/>
            <w:tcBorders>
              <w:top w:val="single" w:sz="4" w:space="0" w:color="auto"/>
              <w:left w:val="nil"/>
              <w:bottom w:val="single" w:sz="4" w:space="0" w:color="auto"/>
              <w:right w:val="single" w:sz="4" w:space="0" w:color="auto"/>
            </w:tcBorders>
            <w:shd w:val="clear" w:color="auto" w:fill="auto"/>
            <w:vAlign w:val="center"/>
          </w:tcPr>
          <w:p w14:paraId="07D1F83E" w14:textId="77777777" w:rsidR="00755399" w:rsidRPr="00BA3817" w:rsidRDefault="00755399" w:rsidP="00847A51">
            <w:pPr>
              <w:spacing w:after="0" w:line="276"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-0.1049</w:t>
            </w:r>
          </w:p>
        </w:tc>
        <w:tc>
          <w:tcPr>
            <w:tcW w:w="2553" w:type="dxa"/>
            <w:tcBorders>
              <w:top w:val="nil"/>
              <w:left w:val="nil"/>
              <w:bottom w:val="single" w:sz="4" w:space="0" w:color="auto"/>
              <w:right w:val="single" w:sz="4" w:space="0" w:color="auto"/>
            </w:tcBorders>
            <w:shd w:val="clear" w:color="auto" w:fill="auto"/>
            <w:noWrap/>
            <w:vAlign w:val="center"/>
          </w:tcPr>
          <w:p w14:paraId="1D2D16C0"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p>
        </w:tc>
      </w:tr>
      <w:tr w:rsidR="00755399" w:rsidRPr="00BA3817" w14:paraId="443FF012" w14:textId="77777777" w:rsidTr="0098684F">
        <w:trPr>
          <w:trHeight w:val="376"/>
        </w:trPr>
        <w:tc>
          <w:tcPr>
            <w:tcW w:w="4239" w:type="dxa"/>
            <w:tcBorders>
              <w:top w:val="nil"/>
              <w:left w:val="single" w:sz="4" w:space="0" w:color="auto"/>
              <w:bottom w:val="single" w:sz="4" w:space="0" w:color="auto"/>
              <w:right w:val="single" w:sz="4" w:space="0" w:color="auto"/>
            </w:tcBorders>
            <w:shd w:val="clear" w:color="auto" w:fill="auto"/>
            <w:vAlign w:val="center"/>
            <w:hideMark/>
          </w:tcPr>
          <w:p w14:paraId="4038F5C8"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Kotak Gold ETF</w:t>
            </w:r>
            <w:r>
              <w:rPr>
                <w:rFonts w:ascii="Times New Roman" w:eastAsia="Times New Roman" w:hAnsi="Times New Roman" w:cs="Times New Roman"/>
                <w:b/>
                <w:bCs/>
                <w:color w:val="000000"/>
                <w:kern w:val="0"/>
                <w14:ligatures w14:val="none"/>
              </w:rPr>
              <w:t>”</w:t>
            </w:r>
          </w:p>
        </w:tc>
        <w:tc>
          <w:tcPr>
            <w:tcW w:w="3103" w:type="dxa"/>
            <w:tcBorders>
              <w:top w:val="single" w:sz="4" w:space="0" w:color="auto"/>
              <w:left w:val="nil"/>
              <w:bottom w:val="single" w:sz="4" w:space="0" w:color="auto"/>
              <w:right w:val="single" w:sz="4" w:space="0" w:color="auto"/>
            </w:tcBorders>
            <w:shd w:val="clear" w:color="auto" w:fill="auto"/>
            <w:vAlign w:val="center"/>
          </w:tcPr>
          <w:p w14:paraId="6439CBA0"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-0.20226</w:t>
            </w:r>
          </w:p>
        </w:tc>
        <w:tc>
          <w:tcPr>
            <w:tcW w:w="2553" w:type="dxa"/>
            <w:tcBorders>
              <w:top w:val="nil"/>
              <w:left w:val="nil"/>
              <w:bottom w:val="single" w:sz="4" w:space="0" w:color="auto"/>
              <w:right w:val="single" w:sz="4" w:space="0" w:color="auto"/>
            </w:tcBorders>
            <w:shd w:val="clear" w:color="auto" w:fill="auto"/>
            <w:noWrap/>
            <w:vAlign w:val="center"/>
          </w:tcPr>
          <w:p w14:paraId="1845AE64"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6</w:t>
            </w:r>
          </w:p>
        </w:tc>
      </w:tr>
      <w:tr w:rsidR="00755399" w:rsidRPr="00BA3817" w14:paraId="0AC80F6F" w14:textId="77777777" w:rsidTr="0098684F">
        <w:trPr>
          <w:trHeight w:val="376"/>
        </w:trPr>
        <w:tc>
          <w:tcPr>
            <w:tcW w:w="4239" w:type="dxa"/>
            <w:tcBorders>
              <w:top w:val="nil"/>
              <w:left w:val="single" w:sz="4" w:space="0" w:color="auto"/>
              <w:bottom w:val="single" w:sz="4" w:space="0" w:color="auto"/>
              <w:right w:val="single" w:sz="4" w:space="0" w:color="auto"/>
            </w:tcBorders>
            <w:shd w:val="clear" w:color="auto" w:fill="auto"/>
            <w:vAlign w:val="center"/>
            <w:hideMark/>
          </w:tcPr>
          <w:p w14:paraId="63E9AFCA"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Axis Gold ETF</w:t>
            </w:r>
            <w:r>
              <w:rPr>
                <w:rFonts w:ascii="Times New Roman" w:eastAsia="Times New Roman" w:hAnsi="Times New Roman" w:cs="Times New Roman"/>
                <w:b/>
                <w:bCs/>
                <w:color w:val="000000"/>
                <w:kern w:val="0"/>
                <w14:ligatures w14:val="none"/>
              </w:rPr>
              <w:t>”</w:t>
            </w:r>
          </w:p>
        </w:tc>
        <w:tc>
          <w:tcPr>
            <w:tcW w:w="3103" w:type="dxa"/>
            <w:tcBorders>
              <w:top w:val="single" w:sz="4" w:space="0" w:color="auto"/>
              <w:left w:val="nil"/>
              <w:bottom w:val="single" w:sz="4" w:space="0" w:color="auto"/>
              <w:right w:val="single" w:sz="4" w:space="0" w:color="auto"/>
            </w:tcBorders>
            <w:shd w:val="clear" w:color="auto" w:fill="auto"/>
            <w:vAlign w:val="center"/>
          </w:tcPr>
          <w:p w14:paraId="1709BCA4"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0.9645666</w:t>
            </w:r>
          </w:p>
        </w:tc>
        <w:tc>
          <w:tcPr>
            <w:tcW w:w="2553" w:type="dxa"/>
            <w:tcBorders>
              <w:top w:val="nil"/>
              <w:left w:val="nil"/>
              <w:bottom w:val="single" w:sz="4" w:space="0" w:color="auto"/>
              <w:right w:val="single" w:sz="4" w:space="0" w:color="auto"/>
            </w:tcBorders>
            <w:shd w:val="clear" w:color="auto" w:fill="auto"/>
            <w:noWrap/>
            <w:vAlign w:val="center"/>
          </w:tcPr>
          <w:p w14:paraId="6B969466"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p>
        </w:tc>
      </w:tr>
      <w:tr w:rsidR="00755399" w:rsidRPr="00BA3817" w14:paraId="24751549" w14:textId="77777777" w:rsidTr="0098684F">
        <w:trPr>
          <w:trHeight w:val="761"/>
        </w:trPr>
        <w:tc>
          <w:tcPr>
            <w:tcW w:w="4239" w:type="dxa"/>
            <w:tcBorders>
              <w:top w:val="nil"/>
              <w:left w:val="single" w:sz="4" w:space="0" w:color="auto"/>
              <w:bottom w:val="single" w:sz="4" w:space="0" w:color="auto"/>
              <w:right w:val="single" w:sz="4" w:space="0" w:color="auto"/>
            </w:tcBorders>
            <w:shd w:val="clear" w:color="auto" w:fill="auto"/>
            <w:vAlign w:val="center"/>
            <w:hideMark/>
          </w:tcPr>
          <w:p w14:paraId="3804CAE6"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Aditya Birla Gold ETF</w:t>
            </w:r>
            <w:r>
              <w:rPr>
                <w:rFonts w:ascii="Times New Roman" w:eastAsia="Times New Roman" w:hAnsi="Times New Roman" w:cs="Times New Roman"/>
                <w:b/>
                <w:bCs/>
                <w:color w:val="000000"/>
                <w:kern w:val="0"/>
                <w14:ligatures w14:val="none"/>
              </w:rPr>
              <w:t>”</w:t>
            </w:r>
          </w:p>
        </w:tc>
        <w:tc>
          <w:tcPr>
            <w:tcW w:w="3103" w:type="dxa"/>
            <w:tcBorders>
              <w:top w:val="single" w:sz="4" w:space="0" w:color="auto"/>
              <w:left w:val="nil"/>
              <w:bottom w:val="single" w:sz="4" w:space="0" w:color="auto"/>
              <w:right w:val="single" w:sz="4" w:space="0" w:color="auto"/>
            </w:tcBorders>
            <w:shd w:val="clear" w:color="auto" w:fill="auto"/>
            <w:vAlign w:val="center"/>
          </w:tcPr>
          <w:p w14:paraId="2AE8AE86"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-0.042545</w:t>
            </w:r>
          </w:p>
        </w:tc>
        <w:tc>
          <w:tcPr>
            <w:tcW w:w="2553" w:type="dxa"/>
            <w:tcBorders>
              <w:top w:val="nil"/>
              <w:left w:val="nil"/>
              <w:bottom w:val="single" w:sz="4" w:space="0" w:color="auto"/>
              <w:right w:val="single" w:sz="4" w:space="0" w:color="auto"/>
            </w:tcBorders>
            <w:shd w:val="clear" w:color="auto" w:fill="auto"/>
            <w:noWrap/>
            <w:vAlign w:val="center"/>
          </w:tcPr>
          <w:p w14:paraId="3B7C23C5"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w:t>
            </w:r>
          </w:p>
        </w:tc>
      </w:tr>
    </w:tbl>
    <w:p w14:paraId="173F89EC" w14:textId="77777777" w:rsidR="00A418F0" w:rsidRDefault="00A418F0" w:rsidP="00847A51">
      <w:pPr>
        <w:spacing w:line="276" w:lineRule="auto"/>
        <w:jc w:val="both"/>
        <w:rPr>
          <w:rFonts w:ascii="Times New Roman" w:hAnsi="Times New Roman" w:cs="Times New Roman"/>
          <w:b/>
          <w:bCs/>
          <w:sz w:val="28"/>
          <w:szCs w:val="28"/>
        </w:rPr>
      </w:pPr>
    </w:p>
    <w:p w14:paraId="30C5B82C" w14:textId="032400CE" w:rsidR="00755399" w:rsidRDefault="00755399" w:rsidP="00847A51">
      <w:pPr>
        <w:spacing w:line="276" w:lineRule="auto"/>
        <w:jc w:val="both"/>
        <w:rPr>
          <w:rFonts w:ascii="Times New Roman" w:hAnsi="Times New Roman" w:cs="Times New Roman"/>
          <w:b/>
          <w:bCs/>
          <w:sz w:val="28"/>
          <w:szCs w:val="28"/>
        </w:rPr>
      </w:pPr>
      <w:r w:rsidRPr="00F737F0">
        <w:rPr>
          <w:rFonts w:ascii="Times New Roman" w:hAnsi="Times New Roman" w:cs="Times New Roman"/>
          <w:b/>
          <w:bCs/>
          <w:sz w:val="28"/>
          <w:szCs w:val="28"/>
        </w:rPr>
        <w:t>ANALYSIS</w:t>
      </w:r>
    </w:p>
    <w:p w14:paraId="5C16FFD8" w14:textId="4C285C07" w:rsidR="00240982" w:rsidRPr="00240982" w:rsidRDefault="00755399" w:rsidP="00847A51">
      <w:pPr>
        <w:spacing w:line="276" w:lineRule="auto"/>
        <w:jc w:val="both"/>
        <w:rPr>
          <w:rFonts w:ascii="Times New Roman" w:hAnsi="Times New Roman" w:cs="Times New Roman"/>
        </w:rPr>
      </w:pPr>
      <w:r>
        <w:rPr>
          <w:rFonts w:ascii="Times New Roman" w:hAnsi="Times New Roman" w:cs="Times New Roman"/>
        </w:rPr>
        <w:t>T</w:t>
      </w:r>
      <w:r w:rsidRPr="00C66859">
        <w:rPr>
          <w:rFonts w:ascii="Times New Roman" w:hAnsi="Times New Roman" w:cs="Times New Roman"/>
        </w:rPr>
        <w:t xml:space="preserve">he Treynor Ratio, which in itself is a measure of a fund against its systematic risk, and the average performance of each Gold ETF over five fiscal years from 2019 to 2023. Axis Gold ETF has the best average Treynor Ratio of 0.9646, indicating that it is the best in terms of risk-adjusted return as compared to others during this period. Nippon India ETF has the most minimized average of -0.8401 since it is blessed with a high negative return in some of the years, particularly 2021–22 at – 4.5168. Other funds like ICICI Prudential and SBI-ETF Gold have relatively stable performances in terms of their positive average ratios with 0.1086 and – 0.0791 respectively, showing it has a modest risk-adjusted return. The lowest average Treynor Ratio among the ETFs in the study is reported for </w:t>
      </w:r>
      <w:r>
        <w:rPr>
          <w:rFonts w:ascii="Times New Roman" w:hAnsi="Times New Roman" w:cs="Times New Roman"/>
        </w:rPr>
        <w:t>“</w:t>
      </w:r>
      <w:r w:rsidRPr="00C66859">
        <w:rPr>
          <w:rFonts w:ascii="Times New Roman" w:hAnsi="Times New Roman" w:cs="Times New Roman"/>
        </w:rPr>
        <w:t>Kotak Gold ETF and HDFC Gold Exchange Traded Fund</w:t>
      </w:r>
      <w:r>
        <w:rPr>
          <w:rFonts w:ascii="Times New Roman" w:hAnsi="Times New Roman" w:cs="Times New Roman"/>
        </w:rPr>
        <w:t>”</w:t>
      </w:r>
      <w:r w:rsidRPr="00C66859">
        <w:rPr>
          <w:rFonts w:ascii="Times New Roman" w:hAnsi="Times New Roman" w:cs="Times New Roman"/>
        </w:rPr>
        <w:t>.</w:t>
      </w:r>
    </w:p>
    <w:p w14:paraId="2B477616" w14:textId="77777777" w:rsidR="00755399" w:rsidRPr="006066C8" w:rsidRDefault="00755399" w:rsidP="00847A51">
      <w:pPr>
        <w:spacing w:line="276" w:lineRule="auto"/>
        <w:jc w:val="both"/>
        <w:rPr>
          <w:rFonts w:ascii="Times New Roman" w:hAnsi="Times New Roman" w:cs="Times New Roman"/>
          <w:b/>
          <w:bCs/>
        </w:rPr>
      </w:pPr>
      <w:r w:rsidRPr="006066C8">
        <w:rPr>
          <w:rFonts w:ascii="Times New Roman" w:hAnsi="Times New Roman" w:cs="Times New Roman"/>
          <w:b/>
          <w:bCs/>
        </w:rPr>
        <w:t>INTERPRETATION</w:t>
      </w:r>
    </w:p>
    <w:p w14:paraId="1B51E49B" w14:textId="2F851CC4" w:rsidR="00755399" w:rsidRPr="007660A6" w:rsidRDefault="00755399" w:rsidP="007660A6">
      <w:pPr>
        <w:spacing w:line="276" w:lineRule="auto"/>
        <w:jc w:val="both"/>
        <w:rPr>
          <w:rFonts w:ascii="Times New Roman" w:hAnsi="Times New Roman" w:cs="Times New Roman"/>
        </w:rPr>
      </w:pPr>
      <w:r w:rsidRPr="006066C8">
        <w:rPr>
          <w:rFonts w:ascii="Times New Roman" w:hAnsi="Times New Roman" w:cs="Times New Roman"/>
        </w:rPr>
        <w:t>The data s</w:t>
      </w:r>
      <w:r>
        <w:rPr>
          <w:rFonts w:ascii="Times New Roman" w:hAnsi="Times New Roman" w:cs="Times New Roman"/>
        </w:rPr>
        <w:t>ays</w:t>
      </w:r>
      <w:r w:rsidRPr="006066C8">
        <w:rPr>
          <w:rFonts w:ascii="Times New Roman" w:hAnsi="Times New Roman" w:cs="Times New Roman"/>
        </w:rPr>
        <w:t xml:space="preserve"> that the </w:t>
      </w:r>
      <w:r>
        <w:rPr>
          <w:rFonts w:ascii="Times New Roman" w:hAnsi="Times New Roman" w:cs="Times New Roman"/>
        </w:rPr>
        <w:t>“</w:t>
      </w:r>
      <w:r w:rsidRPr="006066C8">
        <w:rPr>
          <w:rFonts w:ascii="Times New Roman" w:hAnsi="Times New Roman" w:cs="Times New Roman"/>
        </w:rPr>
        <w:t>Axis Gold ETF</w:t>
      </w:r>
      <w:r>
        <w:rPr>
          <w:rFonts w:ascii="Times New Roman" w:hAnsi="Times New Roman" w:cs="Times New Roman"/>
        </w:rPr>
        <w:t>”</w:t>
      </w:r>
      <w:r w:rsidRPr="006066C8">
        <w:rPr>
          <w:rFonts w:ascii="Times New Roman" w:hAnsi="Times New Roman" w:cs="Times New Roman"/>
        </w:rPr>
        <w:t xml:space="preserve"> consistently outperformed its peers, demonstrating superior management and risk-adjusted returns, particularly during tumultuous market periods. The Nippon India ETF, with a negative average, looks to have struggled to manage systemic risk, notably during the fiscal year 2021-22. </w:t>
      </w:r>
      <w:r w:rsidRPr="006066C8">
        <w:rPr>
          <w:rFonts w:ascii="Times New Roman" w:hAnsi="Times New Roman" w:cs="Times New Roman"/>
          <w:b/>
          <w:bCs/>
        </w:rPr>
        <w:t>ICICI Prudential and SBI-ETF Gold have been stable, indicating a balanced risk-return profile over the past five years</w:t>
      </w:r>
      <w:r w:rsidRPr="006066C8">
        <w:rPr>
          <w:rFonts w:ascii="Times New Roman" w:hAnsi="Times New Roman" w:cs="Times New Roman"/>
        </w:rPr>
        <w:t>. Funds like Kotak and HDFC suffered with volatility and systematic risk, as seen by their negative averages. Investors seeking risk-adjusted returns would prefer the Axis Gold ETF, whilst those looking for safer bets might avoid ETFs such as Nippon and Kotak due to their volatile performance.</w:t>
      </w:r>
    </w:p>
    <w:p w14:paraId="128721DE" w14:textId="77777777" w:rsidR="00ED19F5" w:rsidRDefault="00ED19F5" w:rsidP="00847A51">
      <w:pPr>
        <w:spacing w:line="276" w:lineRule="auto"/>
        <w:rPr>
          <w:rFonts w:ascii="Times New Roman" w:hAnsi="Times New Roman" w:cs="Times New Roman"/>
          <w:b/>
          <w:bCs/>
        </w:rPr>
      </w:pPr>
    </w:p>
    <w:p w14:paraId="2FBBDE42" w14:textId="10C93872" w:rsidR="00755399" w:rsidRPr="00D00A35" w:rsidRDefault="00755399" w:rsidP="00847A51">
      <w:pPr>
        <w:spacing w:line="276" w:lineRule="auto"/>
        <w:rPr>
          <w:rFonts w:ascii="Times New Roman" w:hAnsi="Times New Roman" w:cs="Times New Roman"/>
          <w:b/>
          <w:bCs/>
        </w:rPr>
      </w:pPr>
      <w:r w:rsidRPr="00D00A35">
        <w:rPr>
          <w:rFonts w:ascii="Times New Roman" w:hAnsi="Times New Roman" w:cs="Times New Roman"/>
          <w:b/>
          <w:bCs/>
        </w:rPr>
        <w:lastRenderedPageBreak/>
        <w:t>JENSEN RATIO</w:t>
      </w:r>
    </w:p>
    <w:p w14:paraId="554A5C8C" w14:textId="2C74E094" w:rsidR="00755399" w:rsidRPr="002C46B0" w:rsidRDefault="00EC5398" w:rsidP="00847A51">
      <w:pPr>
        <w:spacing w:line="276" w:lineRule="auto"/>
        <w:rPr>
          <w:rFonts w:ascii="Times New Roman" w:hAnsi="Times New Roman" w:cs="Times New Roman"/>
          <w:b/>
        </w:rPr>
      </w:pPr>
      <w:r>
        <w:rPr>
          <w:rFonts w:ascii="Times New Roman" w:hAnsi="Times New Roman" w:cs="Times New Roman"/>
          <w:b/>
        </w:rPr>
        <w:t>Table</w:t>
      </w:r>
      <w:r w:rsidR="00755399" w:rsidRPr="002C46B0">
        <w:rPr>
          <w:rFonts w:ascii="Times New Roman" w:hAnsi="Times New Roman" w:cs="Times New Roman"/>
          <w:b/>
        </w:rPr>
        <w:t xml:space="preserve"> Outlining Performance of various Gold ETF using</w:t>
      </w:r>
      <w:r w:rsidR="00755399">
        <w:rPr>
          <w:rFonts w:ascii="Times New Roman" w:hAnsi="Times New Roman" w:cs="Times New Roman"/>
          <w:b/>
        </w:rPr>
        <w:t xml:space="preserve"> Jenson Ratio.</w:t>
      </w:r>
    </w:p>
    <w:tbl>
      <w:tblPr>
        <w:tblW w:w="9673" w:type="dxa"/>
        <w:tblCellMar>
          <w:top w:w="15" w:type="dxa"/>
        </w:tblCellMar>
        <w:tblLook w:val="04A0" w:firstRow="1" w:lastRow="0" w:firstColumn="1" w:lastColumn="0" w:noHBand="0" w:noVBand="1"/>
      </w:tblPr>
      <w:tblGrid>
        <w:gridCol w:w="1695"/>
        <w:gridCol w:w="1198"/>
        <w:gridCol w:w="1177"/>
        <w:gridCol w:w="1270"/>
        <w:gridCol w:w="1337"/>
        <w:gridCol w:w="1337"/>
        <w:gridCol w:w="1426"/>
        <w:gridCol w:w="233"/>
      </w:tblGrid>
      <w:tr w:rsidR="00755399" w:rsidRPr="00687743" w14:paraId="2774B7CB" w14:textId="77777777" w:rsidTr="002F19C6">
        <w:trPr>
          <w:gridAfter w:val="1"/>
          <w:wAfter w:w="233" w:type="dxa"/>
          <w:trHeight w:val="199"/>
        </w:trPr>
        <w:tc>
          <w:tcPr>
            <w:tcW w:w="1695"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0CD4725"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Gold ETF/YEAR</w:t>
            </w:r>
          </w:p>
        </w:tc>
        <w:tc>
          <w:tcPr>
            <w:tcW w:w="1198" w:type="dxa"/>
            <w:tcBorders>
              <w:top w:val="single" w:sz="8" w:space="0" w:color="000000"/>
              <w:left w:val="nil"/>
              <w:bottom w:val="single" w:sz="8" w:space="0" w:color="000000"/>
              <w:right w:val="single" w:sz="8" w:space="0" w:color="000000"/>
            </w:tcBorders>
            <w:shd w:val="clear" w:color="auto" w:fill="auto"/>
            <w:vAlign w:val="center"/>
            <w:hideMark/>
          </w:tcPr>
          <w:p w14:paraId="7E2F1993"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2018-19</w:t>
            </w:r>
          </w:p>
        </w:tc>
        <w:tc>
          <w:tcPr>
            <w:tcW w:w="1177" w:type="dxa"/>
            <w:tcBorders>
              <w:top w:val="single" w:sz="8" w:space="0" w:color="000000"/>
              <w:left w:val="nil"/>
              <w:bottom w:val="single" w:sz="8" w:space="0" w:color="000000"/>
              <w:right w:val="single" w:sz="8" w:space="0" w:color="000000"/>
            </w:tcBorders>
            <w:shd w:val="clear" w:color="auto" w:fill="auto"/>
            <w:vAlign w:val="center"/>
            <w:hideMark/>
          </w:tcPr>
          <w:p w14:paraId="6FF51303"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2019-20</w:t>
            </w:r>
          </w:p>
        </w:tc>
        <w:tc>
          <w:tcPr>
            <w:tcW w:w="1270" w:type="dxa"/>
            <w:tcBorders>
              <w:top w:val="single" w:sz="8" w:space="0" w:color="000000"/>
              <w:left w:val="nil"/>
              <w:bottom w:val="single" w:sz="8" w:space="0" w:color="000000"/>
              <w:right w:val="single" w:sz="8" w:space="0" w:color="000000"/>
            </w:tcBorders>
            <w:shd w:val="clear" w:color="auto" w:fill="auto"/>
            <w:vAlign w:val="center"/>
            <w:hideMark/>
          </w:tcPr>
          <w:p w14:paraId="27E7489C"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2020-21</w:t>
            </w:r>
          </w:p>
        </w:tc>
        <w:tc>
          <w:tcPr>
            <w:tcW w:w="1337" w:type="dxa"/>
            <w:tcBorders>
              <w:top w:val="single" w:sz="8" w:space="0" w:color="000000"/>
              <w:left w:val="nil"/>
              <w:bottom w:val="single" w:sz="8" w:space="0" w:color="000000"/>
              <w:right w:val="single" w:sz="8" w:space="0" w:color="000000"/>
            </w:tcBorders>
            <w:shd w:val="clear" w:color="auto" w:fill="auto"/>
            <w:vAlign w:val="center"/>
            <w:hideMark/>
          </w:tcPr>
          <w:p w14:paraId="6ED95F83"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2021-2022</w:t>
            </w:r>
          </w:p>
        </w:tc>
        <w:tc>
          <w:tcPr>
            <w:tcW w:w="1337" w:type="dxa"/>
            <w:tcBorders>
              <w:top w:val="single" w:sz="8" w:space="0" w:color="000000"/>
              <w:left w:val="nil"/>
              <w:bottom w:val="single" w:sz="8" w:space="0" w:color="000000"/>
              <w:right w:val="single" w:sz="8" w:space="0" w:color="000000"/>
            </w:tcBorders>
            <w:shd w:val="clear" w:color="auto" w:fill="auto"/>
            <w:vAlign w:val="center"/>
            <w:hideMark/>
          </w:tcPr>
          <w:p w14:paraId="24321270"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2022-2023</w:t>
            </w:r>
          </w:p>
        </w:tc>
        <w:tc>
          <w:tcPr>
            <w:tcW w:w="1426" w:type="dxa"/>
            <w:tcBorders>
              <w:top w:val="single" w:sz="8" w:space="0" w:color="000000"/>
              <w:left w:val="nil"/>
              <w:bottom w:val="single" w:sz="8" w:space="0" w:color="000000"/>
              <w:right w:val="single" w:sz="8" w:space="0" w:color="000000"/>
            </w:tcBorders>
            <w:shd w:val="clear" w:color="auto" w:fill="auto"/>
            <w:vAlign w:val="center"/>
            <w:hideMark/>
          </w:tcPr>
          <w:p w14:paraId="2FFA1141"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687743">
              <w:rPr>
                <w:rFonts w:ascii="Times New Roman" w:eastAsia="Times New Roman" w:hAnsi="Times New Roman" w:cs="Times New Roman"/>
                <w:color w:val="000000"/>
                <w:kern w:val="0"/>
                <w14:ligatures w14:val="none"/>
              </w:rPr>
              <w:t xml:space="preserve">Average </w:t>
            </w:r>
          </w:p>
        </w:tc>
      </w:tr>
      <w:tr w:rsidR="00755399" w:rsidRPr="00687743" w14:paraId="28A97276" w14:textId="77777777" w:rsidTr="002F19C6">
        <w:trPr>
          <w:gridAfter w:val="1"/>
          <w:wAfter w:w="233" w:type="dxa"/>
          <w:trHeight w:val="196"/>
        </w:trPr>
        <w:tc>
          <w:tcPr>
            <w:tcW w:w="1695" w:type="dxa"/>
            <w:tcBorders>
              <w:top w:val="nil"/>
              <w:left w:val="single" w:sz="8" w:space="0" w:color="000000"/>
              <w:bottom w:val="nil"/>
              <w:right w:val="single" w:sz="8" w:space="0" w:color="000000"/>
            </w:tcBorders>
            <w:shd w:val="clear" w:color="auto" w:fill="auto"/>
            <w:vAlign w:val="center"/>
            <w:hideMark/>
          </w:tcPr>
          <w:p w14:paraId="43BB9DAB"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 xml:space="preserve">Nippon India ETF </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tcPr>
          <w:p w14:paraId="0F9C886F"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-0.10</w:t>
            </w:r>
          </w:p>
          <w:p w14:paraId="032ABF9A"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177" w:type="dxa"/>
            <w:vMerge w:val="restart"/>
            <w:tcBorders>
              <w:top w:val="nil"/>
              <w:left w:val="single" w:sz="8" w:space="0" w:color="000000"/>
              <w:bottom w:val="single" w:sz="8" w:space="0" w:color="000000"/>
              <w:right w:val="single" w:sz="8" w:space="0" w:color="000000"/>
            </w:tcBorders>
            <w:shd w:val="clear" w:color="auto" w:fill="auto"/>
            <w:vAlign w:val="center"/>
          </w:tcPr>
          <w:p w14:paraId="1A05300B"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-0.04</w:t>
            </w:r>
          </w:p>
          <w:p w14:paraId="5410D935"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270" w:type="dxa"/>
            <w:vMerge w:val="restart"/>
            <w:tcBorders>
              <w:top w:val="nil"/>
              <w:left w:val="single" w:sz="8" w:space="0" w:color="000000"/>
              <w:bottom w:val="single" w:sz="8" w:space="0" w:color="000000"/>
              <w:right w:val="single" w:sz="8" w:space="0" w:color="000000"/>
            </w:tcBorders>
            <w:shd w:val="clear" w:color="auto" w:fill="auto"/>
            <w:vAlign w:val="center"/>
          </w:tcPr>
          <w:p w14:paraId="2569B47A"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-0.08</w:t>
            </w:r>
          </w:p>
          <w:p w14:paraId="633D6736"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337" w:type="dxa"/>
            <w:vMerge w:val="restart"/>
            <w:tcBorders>
              <w:top w:val="nil"/>
              <w:left w:val="single" w:sz="8" w:space="0" w:color="000000"/>
              <w:bottom w:val="single" w:sz="8" w:space="0" w:color="000000"/>
              <w:right w:val="single" w:sz="8" w:space="0" w:color="000000"/>
            </w:tcBorders>
            <w:shd w:val="clear" w:color="auto" w:fill="auto"/>
            <w:vAlign w:val="center"/>
          </w:tcPr>
          <w:p w14:paraId="45AD79FA"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-0.06</w:t>
            </w:r>
          </w:p>
          <w:p w14:paraId="2B2D5339"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337" w:type="dxa"/>
            <w:vMerge w:val="restart"/>
            <w:tcBorders>
              <w:top w:val="nil"/>
              <w:left w:val="single" w:sz="8" w:space="0" w:color="000000"/>
              <w:bottom w:val="single" w:sz="8" w:space="0" w:color="000000"/>
              <w:right w:val="single" w:sz="8" w:space="0" w:color="000000"/>
            </w:tcBorders>
            <w:shd w:val="clear" w:color="auto" w:fill="auto"/>
            <w:vAlign w:val="center"/>
          </w:tcPr>
          <w:p w14:paraId="04DE7EAA"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-0.07</w:t>
            </w:r>
          </w:p>
          <w:p w14:paraId="66ADE1C6"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426" w:type="dxa"/>
            <w:vMerge w:val="restart"/>
            <w:tcBorders>
              <w:top w:val="nil"/>
              <w:left w:val="single" w:sz="8" w:space="0" w:color="000000"/>
              <w:bottom w:val="single" w:sz="8" w:space="0" w:color="000000"/>
              <w:right w:val="single" w:sz="8" w:space="0" w:color="000000"/>
            </w:tcBorders>
            <w:shd w:val="clear" w:color="auto" w:fill="auto"/>
            <w:vAlign w:val="center"/>
          </w:tcPr>
          <w:p w14:paraId="37BB549A"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-0.07</w:t>
            </w:r>
          </w:p>
        </w:tc>
      </w:tr>
      <w:tr w:rsidR="00755399" w:rsidRPr="00687743" w14:paraId="39C20017" w14:textId="77777777" w:rsidTr="002F19C6">
        <w:trPr>
          <w:gridAfter w:val="1"/>
          <w:wAfter w:w="233" w:type="dxa"/>
          <w:trHeight w:val="101"/>
        </w:trPr>
        <w:tc>
          <w:tcPr>
            <w:tcW w:w="1695" w:type="dxa"/>
            <w:tcBorders>
              <w:top w:val="nil"/>
              <w:left w:val="single" w:sz="8" w:space="0" w:color="000000"/>
              <w:bottom w:val="single" w:sz="8" w:space="0" w:color="000000"/>
              <w:right w:val="single" w:sz="8" w:space="0" w:color="000000"/>
            </w:tcBorders>
            <w:shd w:val="clear" w:color="auto" w:fill="auto"/>
            <w:vAlign w:val="center"/>
            <w:hideMark/>
          </w:tcPr>
          <w:p w14:paraId="0798DC88"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Gold Bees</w:t>
            </w:r>
          </w:p>
        </w:tc>
        <w:tc>
          <w:tcPr>
            <w:tcW w:w="1198" w:type="dxa"/>
            <w:vMerge/>
            <w:tcBorders>
              <w:top w:val="nil"/>
              <w:left w:val="single" w:sz="8" w:space="0" w:color="000000"/>
              <w:bottom w:val="single" w:sz="8" w:space="0" w:color="000000"/>
              <w:right w:val="single" w:sz="8" w:space="0" w:color="000000"/>
            </w:tcBorders>
            <w:vAlign w:val="center"/>
          </w:tcPr>
          <w:p w14:paraId="0E5101B6"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177" w:type="dxa"/>
            <w:vMerge/>
            <w:tcBorders>
              <w:top w:val="nil"/>
              <w:left w:val="single" w:sz="8" w:space="0" w:color="000000"/>
              <w:bottom w:val="single" w:sz="8" w:space="0" w:color="000000"/>
              <w:right w:val="single" w:sz="8" w:space="0" w:color="000000"/>
            </w:tcBorders>
            <w:vAlign w:val="center"/>
          </w:tcPr>
          <w:p w14:paraId="54BB4E5A"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270" w:type="dxa"/>
            <w:vMerge/>
            <w:tcBorders>
              <w:top w:val="nil"/>
              <w:left w:val="single" w:sz="8" w:space="0" w:color="000000"/>
              <w:bottom w:val="single" w:sz="8" w:space="0" w:color="000000"/>
              <w:right w:val="single" w:sz="8" w:space="0" w:color="000000"/>
            </w:tcBorders>
            <w:vAlign w:val="center"/>
          </w:tcPr>
          <w:p w14:paraId="30B9A51E"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337" w:type="dxa"/>
            <w:vMerge/>
            <w:tcBorders>
              <w:top w:val="nil"/>
              <w:left w:val="single" w:sz="8" w:space="0" w:color="000000"/>
              <w:bottom w:val="single" w:sz="8" w:space="0" w:color="000000"/>
              <w:right w:val="single" w:sz="8" w:space="0" w:color="000000"/>
            </w:tcBorders>
            <w:vAlign w:val="center"/>
          </w:tcPr>
          <w:p w14:paraId="5D00423E"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337" w:type="dxa"/>
            <w:vMerge/>
            <w:tcBorders>
              <w:top w:val="nil"/>
              <w:left w:val="single" w:sz="8" w:space="0" w:color="000000"/>
              <w:bottom w:val="single" w:sz="8" w:space="0" w:color="000000"/>
              <w:right w:val="single" w:sz="8" w:space="0" w:color="000000"/>
            </w:tcBorders>
            <w:vAlign w:val="center"/>
          </w:tcPr>
          <w:p w14:paraId="6DFA3643"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426" w:type="dxa"/>
            <w:vMerge/>
            <w:tcBorders>
              <w:top w:val="nil"/>
              <w:left w:val="single" w:sz="8" w:space="0" w:color="000000"/>
              <w:bottom w:val="single" w:sz="8" w:space="0" w:color="000000"/>
              <w:right w:val="single" w:sz="8" w:space="0" w:color="000000"/>
            </w:tcBorders>
            <w:vAlign w:val="center"/>
          </w:tcPr>
          <w:p w14:paraId="33009E34"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r>
      <w:tr w:rsidR="00755399" w:rsidRPr="00687743" w14:paraId="308F0957" w14:textId="77777777" w:rsidTr="002F19C6">
        <w:trPr>
          <w:gridAfter w:val="1"/>
          <w:wAfter w:w="233" w:type="dxa"/>
          <w:trHeight w:val="499"/>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28A4BF8"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SBI-ETF Gold</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tcPr>
          <w:p w14:paraId="6E914C39"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-0.10</w:t>
            </w:r>
          </w:p>
          <w:p w14:paraId="57260C75"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177" w:type="dxa"/>
            <w:vMerge w:val="restart"/>
            <w:tcBorders>
              <w:top w:val="nil"/>
              <w:left w:val="single" w:sz="8" w:space="0" w:color="000000"/>
              <w:bottom w:val="single" w:sz="8" w:space="0" w:color="000000"/>
              <w:right w:val="single" w:sz="8" w:space="0" w:color="000000"/>
            </w:tcBorders>
            <w:shd w:val="clear" w:color="auto" w:fill="auto"/>
            <w:vAlign w:val="center"/>
          </w:tcPr>
          <w:p w14:paraId="69B8D81E"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-0.05</w:t>
            </w:r>
          </w:p>
          <w:p w14:paraId="7347DB26"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270" w:type="dxa"/>
            <w:vMerge w:val="restart"/>
            <w:tcBorders>
              <w:top w:val="nil"/>
              <w:left w:val="single" w:sz="8" w:space="0" w:color="000000"/>
              <w:bottom w:val="single" w:sz="8" w:space="0" w:color="000000"/>
              <w:right w:val="single" w:sz="8" w:space="0" w:color="000000"/>
            </w:tcBorders>
            <w:shd w:val="clear" w:color="auto" w:fill="auto"/>
            <w:vAlign w:val="center"/>
          </w:tcPr>
          <w:p w14:paraId="26AF425C"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-0.08</w:t>
            </w:r>
          </w:p>
          <w:p w14:paraId="2C917926"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337" w:type="dxa"/>
            <w:vMerge w:val="restart"/>
            <w:tcBorders>
              <w:top w:val="nil"/>
              <w:left w:val="single" w:sz="8" w:space="0" w:color="000000"/>
              <w:bottom w:val="single" w:sz="8" w:space="0" w:color="000000"/>
              <w:right w:val="single" w:sz="8" w:space="0" w:color="000000"/>
            </w:tcBorders>
            <w:shd w:val="clear" w:color="auto" w:fill="auto"/>
            <w:vAlign w:val="center"/>
          </w:tcPr>
          <w:p w14:paraId="63E16358"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-0.06</w:t>
            </w:r>
          </w:p>
          <w:p w14:paraId="58AD1E2E"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337" w:type="dxa"/>
            <w:vMerge w:val="restart"/>
            <w:tcBorders>
              <w:top w:val="nil"/>
              <w:left w:val="single" w:sz="8" w:space="0" w:color="000000"/>
              <w:bottom w:val="single" w:sz="8" w:space="0" w:color="000000"/>
              <w:right w:val="single" w:sz="8" w:space="0" w:color="000000"/>
            </w:tcBorders>
            <w:shd w:val="clear" w:color="auto" w:fill="auto"/>
            <w:vAlign w:val="center"/>
          </w:tcPr>
          <w:p w14:paraId="046BA42E"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-0.07</w:t>
            </w:r>
          </w:p>
          <w:p w14:paraId="3086278B"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426" w:type="dxa"/>
            <w:vMerge w:val="restart"/>
            <w:tcBorders>
              <w:top w:val="nil"/>
              <w:left w:val="single" w:sz="8" w:space="0" w:color="000000"/>
              <w:bottom w:val="single" w:sz="8" w:space="0" w:color="000000"/>
              <w:right w:val="single" w:sz="8" w:space="0" w:color="000000"/>
            </w:tcBorders>
            <w:shd w:val="clear" w:color="auto" w:fill="auto"/>
            <w:vAlign w:val="center"/>
          </w:tcPr>
          <w:p w14:paraId="25A7C721"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-0.072</w:t>
            </w:r>
          </w:p>
        </w:tc>
      </w:tr>
      <w:tr w:rsidR="00755399" w:rsidRPr="00687743" w14:paraId="60B38305" w14:textId="77777777" w:rsidTr="002F19C6">
        <w:trPr>
          <w:trHeight w:val="94"/>
        </w:trPr>
        <w:tc>
          <w:tcPr>
            <w:tcW w:w="1695" w:type="dxa"/>
            <w:vMerge/>
            <w:tcBorders>
              <w:top w:val="nil"/>
              <w:left w:val="single" w:sz="8" w:space="0" w:color="000000"/>
              <w:bottom w:val="single" w:sz="8" w:space="0" w:color="000000"/>
              <w:right w:val="single" w:sz="8" w:space="0" w:color="000000"/>
            </w:tcBorders>
            <w:vAlign w:val="center"/>
            <w:hideMark/>
          </w:tcPr>
          <w:p w14:paraId="7A662BF6" w14:textId="77777777" w:rsidR="00755399" w:rsidRPr="00687743" w:rsidRDefault="00755399" w:rsidP="00847A51">
            <w:pPr>
              <w:spacing w:after="0" w:line="276" w:lineRule="auto"/>
              <w:rPr>
                <w:rFonts w:ascii="Times New Roman" w:eastAsia="Times New Roman" w:hAnsi="Times New Roman" w:cs="Times New Roman"/>
                <w:b/>
                <w:bCs/>
                <w:color w:val="000000"/>
                <w:kern w:val="0"/>
                <w14:ligatures w14:val="none"/>
              </w:rPr>
            </w:pPr>
          </w:p>
        </w:tc>
        <w:tc>
          <w:tcPr>
            <w:tcW w:w="1198" w:type="dxa"/>
            <w:vMerge/>
            <w:tcBorders>
              <w:top w:val="nil"/>
              <w:left w:val="single" w:sz="8" w:space="0" w:color="000000"/>
              <w:bottom w:val="single" w:sz="8" w:space="0" w:color="000000"/>
              <w:right w:val="single" w:sz="8" w:space="0" w:color="000000"/>
            </w:tcBorders>
            <w:vAlign w:val="center"/>
          </w:tcPr>
          <w:p w14:paraId="3CB18902"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177" w:type="dxa"/>
            <w:vMerge/>
            <w:tcBorders>
              <w:top w:val="nil"/>
              <w:left w:val="single" w:sz="8" w:space="0" w:color="000000"/>
              <w:bottom w:val="single" w:sz="8" w:space="0" w:color="000000"/>
              <w:right w:val="single" w:sz="8" w:space="0" w:color="000000"/>
            </w:tcBorders>
            <w:vAlign w:val="center"/>
          </w:tcPr>
          <w:p w14:paraId="01E1E952"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270" w:type="dxa"/>
            <w:vMerge/>
            <w:tcBorders>
              <w:top w:val="nil"/>
              <w:left w:val="single" w:sz="8" w:space="0" w:color="000000"/>
              <w:bottom w:val="single" w:sz="8" w:space="0" w:color="000000"/>
              <w:right w:val="single" w:sz="8" w:space="0" w:color="000000"/>
            </w:tcBorders>
            <w:vAlign w:val="center"/>
          </w:tcPr>
          <w:p w14:paraId="52C0AF3A"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337" w:type="dxa"/>
            <w:vMerge/>
            <w:tcBorders>
              <w:top w:val="nil"/>
              <w:left w:val="single" w:sz="8" w:space="0" w:color="000000"/>
              <w:bottom w:val="single" w:sz="8" w:space="0" w:color="000000"/>
              <w:right w:val="single" w:sz="8" w:space="0" w:color="000000"/>
            </w:tcBorders>
            <w:vAlign w:val="center"/>
          </w:tcPr>
          <w:p w14:paraId="450F2601"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337" w:type="dxa"/>
            <w:vMerge/>
            <w:tcBorders>
              <w:top w:val="nil"/>
              <w:left w:val="single" w:sz="8" w:space="0" w:color="000000"/>
              <w:bottom w:val="single" w:sz="8" w:space="0" w:color="000000"/>
              <w:right w:val="single" w:sz="8" w:space="0" w:color="000000"/>
            </w:tcBorders>
            <w:vAlign w:val="center"/>
          </w:tcPr>
          <w:p w14:paraId="7131CE59"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426" w:type="dxa"/>
            <w:vMerge/>
            <w:tcBorders>
              <w:top w:val="nil"/>
              <w:left w:val="single" w:sz="8" w:space="0" w:color="000000"/>
              <w:bottom w:val="single" w:sz="8" w:space="0" w:color="000000"/>
              <w:right w:val="single" w:sz="8" w:space="0" w:color="000000"/>
            </w:tcBorders>
            <w:vAlign w:val="center"/>
          </w:tcPr>
          <w:p w14:paraId="1EC6324E"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233" w:type="dxa"/>
            <w:tcBorders>
              <w:top w:val="nil"/>
              <w:left w:val="nil"/>
              <w:bottom w:val="nil"/>
              <w:right w:val="nil"/>
            </w:tcBorders>
            <w:shd w:val="clear" w:color="auto" w:fill="auto"/>
            <w:noWrap/>
            <w:vAlign w:val="bottom"/>
            <w:hideMark/>
          </w:tcPr>
          <w:p w14:paraId="3484AB7C"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r>
      <w:tr w:rsidR="00755399" w:rsidRPr="00687743" w14:paraId="70FB82EF" w14:textId="77777777" w:rsidTr="002F19C6">
        <w:trPr>
          <w:trHeight w:val="196"/>
        </w:trPr>
        <w:tc>
          <w:tcPr>
            <w:tcW w:w="1695" w:type="dxa"/>
            <w:tcBorders>
              <w:top w:val="nil"/>
              <w:left w:val="single" w:sz="8" w:space="0" w:color="000000"/>
              <w:bottom w:val="nil"/>
              <w:right w:val="single" w:sz="8" w:space="0" w:color="000000"/>
            </w:tcBorders>
            <w:shd w:val="clear" w:color="auto" w:fill="auto"/>
            <w:vAlign w:val="center"/>
            <w:hideMark/>
          </w:tcPr>
          <w:p w14:paraId="61B641E3"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ICICI prudential</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tcPr>
          <w:p w14:paraId="280A90F6"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540967">
              <w:rPr>
                <w:rFonts w:ascii="Times New Roman" w:eastAsia="Times New Roman" w:hAnsi="Times New Roman" w:cs="Times New Roman"/>
                <w:color w:val="000000"/>
                <w:kern w:val="0"/>
                <w14:ligatures w14:val="none"/>
              </w:rPr>
              <w:t>-0.0209</w:t>
            </w:r>
          </w:p>
        </w:tc>
        <w:tc>
          <w:tcPr>
            <w:tcW w:w="1177" w:type="dxa"/>
            <w:vMerge w:val="restart"/>
            <w:tcBorders>
              <w:top w:val="nil"/>
              <w:left w:val="single" w:sz="8" w:space="0" w:color="000000"/>
              <w:bottom w:val="single" w:sz="8" w:space="0" w:color="000000"/>
              <w:right w:val="single" w:sz="8" w:space="0" w:color="000000"/>
            </w:tcBorders>
            <w:shd w:val="clear" w:color="auto" w:fill="auto"/>
            <w:vAlign w:val="center"/>
          </w:tcPr>
          <w:p w14:paraId="3867EBA2"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540967">
              <w:rPr>
                <w:rFonts w:ascii="Times New Roman" w:eastAsia="Times New Roman" w:hAnsi="Times New Roman" w:cs="Times New Roman"/>
                <w:color w:val="000000"/>
                <w:kern w:val="0"/>
                <w14:ligatures w14:val="none"/>
              </w:rPr>
              <w:t>0.1945</w:t>
            </w:r>
          </w:p>
        </w:tc>
        <w:tc>
          <w:tcPr>
            <w:tcW w:w="1270" w:type="dxa"/>
            <w:vMerge w:val="restart"/>
            <w:tcBorders>
              <w:top w:val="nil"/>
              <w:left w:val="single" w:sz="8" w:space="0" w:color="000000"/>
              <w:bottom w:val="single" w:sz="8" w:space="0" w:color="000000"/>
              <w:right w:val="single" w:sz="8" w:space="0" w:color="000000"/>
            </w:tcBorders>
            <w:shd w:val="clear" w:color="auto" w:fill="auto"/>
            <w:vAlign w:val="center"/>
          </w:tcPr>
          <w:p w14:paraId="05C77D86" w14:textId="77777777" w:rsidR="00755399" w:rsidRDefault="00755399" w:rsidP="00847A51">
            <w:pPr>
              <w:pStyle w:val="TableParagraph"/>
              <w:spacing w:line="276" w:lineRule="auto"/>
              <w:jc w:val="center"/>
              <w:rPr>
                <w:sz w:val="24"/>
              </w:rPr>
            </w:pPr>
            <w:r>
              <w:rPr>
                <w:spacing w:val="-2"/>
                <w:sz w:val="24"/>
              </w:rPr>
              <w:t>-0.5039</w:t>
            </w:r>
          </w:p>
          <w:p w14:paraId="51271EB9"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p>
        </w:tc>
        <w:tc>
          <w:tcPr>
            <w:tcW w:w="1337" w:type="dxa"/>
            <w:vMerge w:val="restart"/>
            <w:tcBorders>
              <w:top w:val="nil"/>
              <w:left w:val="single" w:sz="8" w:space="0" w:color="000000"/>
              <w:bottom w:val="single" w:sz="8" w:space="0" w:color="000000"/>
              <w:right w:val="single" w:sz="8" w:space="0" w:color="000000"/>
            </w:tcBorders>
            <w:shd w:val="clear" w:color="auto" w:fill="auto"/>
            <w:vAlign w:val="center"/>
          </w:tcPr>
          <w:p w14:paraId="64D27D04"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540967">
              <w:rPr>
                <w:rFonts w:ascii="Times New Roman" w:eastAsia="Times New Roman" w:hAnsi="Times New Roman" w:cs="Times New Roman"/>
                <w:color w:val="000000"/>
                <w:kern w:val="0"/>
                <w14:ligatures w14:val="none"/>
              </w:rPr>
              <w:t>-0.0139</w:t>
            </w:r>
          </w:p>
        </w:tc>
        <w:tc>
          <w:tcPr>
            <w:tcW w:w="1337" w:type="dxa"/>
            <w:vMerge w:val="restart"/>
            <w:tcBorders>
              <w:top w:val="nil"/>
              <w:left w:val="single" w:sz="8" w:space="0" w:color="000000"/>
              <w:bottom w:val="single" w:sz="8" w:space="0" w:color="000000"/>
              <w:right w:val="single" w:sz="8" w:space="0" w:color="000000"/>
            </w:tcBorders>
            <w:shd w:val="clear" w:color="auto" w:fill="auto"/>
            <w:vAlign w:val="center"/>
          </w:tcPr>
          <w:p w14:paraId="7A12EC2C" w14:textId="77777777" w:rsidR="00755399" w:rsidRDefault="00755399" w:rsidP="00847A51">
            <w:pPr>
              <w:pStyle w:val="TableParagraph"/>
              <w:spacing w:line="276" w:lineRule="auto"/>
              <w:jc w:val="center"/>
              <w:rPr>
                <w:sz w:val="24"/>
              </w:rPr>
            </w:pPr>
            <w:r>
              <w:rPr>
                <w:spacing w:val="-2"/>
                <w:sz w:val="24"/>
              </w:rPr>
              <w:t>0.0817</w:t>
            </w:r>
          </w:p>
          <w:p w14:paraId="42FB5F80"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p>
        </w:tc>
        <w:tc>
          <w:tcPr>
            <w:tcW w:w="1426" w:type="dxa"/>
            <w:vMerge w:val="restart"/>
            <w:tcBorders>
              <w:top w:val="nil"/>
              <w:left w:val="single" w:sz="8" w:space="0" w:color="000000"/>
              <w:bottom w:val="single" w:sz="8" w:space="0" w:color="000000"/>
              <w:right w:val="single" w:sz="8" w:space="0" w:color="000000"/>
            </w:tcBorders>
            <w:shd w:val="clear" w:color="auto" w:fill="auto"/>
            <w:vAlign w:val="center"/>
          </w:tcPr>
          <w:p w14:paraId="408B93BB"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DB20CA">
              <w:rPr>
                <w:rFonts w:ascii="Times New Roman" w:eastAsia="Times New Roman" w:hAnsi="Times New Roman" w:cs="Times New Roman"/>
                <w:color w:val="000000"/>
                <w:kern w:val="0"/>
                <w:highlight w:val="cyan"/>
                <w14:ligatures w14:val="none"/>
              </w:rPr>
              <w:t>-0.0525</w:t>
            </w:r>
          </w:p>
        </w:tc>
        <w:tc>
          <w:tcPr>
            <w:tcW w:w="233" w:type="dxa"/>
            <w:vAlign w:val="center"/>
            <w:hideMark/>
          </w:tcPr>
          <w:p w14:paraId="45AF4BCB" w14:textId="77777777" w:rsidR="00755399" w:rsidRPr="00687743" w:rsidRDefault="00755399" w:rsidP="00847A51">
            <w:pPr>
              <w:spacing w:after="0" w:line="276" w:lineRule="auto"/>
              <w:rPr>
                <w:rFonts w:ascii="Times New Roman" w:eastAsia="Times New Roman" w:hAnsi="Times New Roman" w:cs="Times New Roman"/>
                <w:kern w:val="0"/>
                <w:sz w:val="20"/>
                <w:szCs w:val="20"/>
                <w14:ligatures w14:val="none"/>
              </w:rPr>
            </w:pPr>
          </w:p>
        </w:tc>
      </w:tr>
      <w:tr w:rsidR="00755399" w:rsidRPr="00687743" w14:paraId="22169FD1" w14:textId="77777777" w:rsidTr="002F19C6">
        <w:trPr>
          <w:trHeight w:val="101"/>
        </w:trPr>
        <w:tc>
          <w:tcPr>
            <w:tcW w:w="1695" w:type="dxa"/>
            <w:tcBorders>
              <w:top w:val="nil"/>
              <w:left w:val="single" w:sz="8" w:space="0" w:color="000000"/>
              <w:bottom w:val="single" w:sz="8" w:space="0" w:color="000000"/>
              <w:right w:val="single" w:sz="8" w:space="0" w:color="000000"/>
            </w:tcBorders>
            <w:shd w:val="clear" w:color="auto" w:fill="auto"/>
            <w:vAlign w:val="center"/>
            <w:hideMark/>
          </w:tcPr>
          <w:p w14:paraId="7BDB0302"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Gold ETF</w:t>
            </w:r>
          </w:p>
        </w:tc>
        <w:tc>
          <w:tcPr>
            <w:tcW w:w="1198" w:type="dxa"/>
            <w:vMerge/>
            <w:tcBorders>
              <w:top w:val="nil"/>
              <w:left w:val="single" w:sz="8" w:space="0" w:color="000000"/>
              <w:bottom w:val="single" w:sz="8" w:space="0" w:color="000000"/>
              <w:right w:val="single" w:sz="8" w:space="0" w:color="000000"/>
            </w:tcBorders>
            <w:vAlign w:val="center"/>
          </w:tcPr>
          <w:p w14:paraId="1C0F4B0E" w14:textId="77777777" w:rsidR="00755399" w:rsidRPr="00687743" w:rsidRDefault="00755399" w:rsidP="00847A51">
            <w:pPr>
              <w:spacing w:after="0" w:line="276" w:lineRule="auto"/>
              <w:rPr>
                <w:rFonts w:ascii="Times New Roman" w:eastAsia="Times New Roman" w:hAnsi="Times New Roman" w:cs="Times New Roman"/>
                <w:color w:val="000000"/>
                <w:kern w:val="0"/>
                <w14:ligatures w14:val="none"/>
              </w:rPr>
            </w:pPr>
          </w:p>
        </w:tc>
        <w:tc>
          <w:tcPr>
            <w:tcW w:w="1177" w:type="dxa"/>
            <w:vMerge/>
            <w:tcBorders>
              <w:top w:val="nil"/>
              <w:left w:val="single" w:sz="8" w:space="0" w:color="000000"/>
              <w:bottom w:val="single" w:sz="8" w:space="0" w:color="000000"/>
              <w:right w:val="single" w:sz="8" w:space="0" w:color="000000"/>
            </w:tcBorders>
            <w:vAlign w:val="center"/>
          </w:tcPr>
          <w:p w14:paraId="11BF1E26" w14:textId="77777777" w:rsidR="00755399" w:rsidRPr="00687743" w:rsidRDefault="00755399" w:rsidP="00847A51">
            <w:pPr>
              <w:spacing w:after="0" w:line="276" w:lineRule="auto"/>
              <w:rPr>
                <w:rFonts w:ascii="Times New Roman" w:eastAsia="Times New Roman" w:hAnsi="Times New Roman" w:cs="Times New Roman"/>
                <w:color w:val="000000"/>
                <w:kern w:val="0"/>
                <w14:ligatures w14:val="none"/>
              </w:rPr>
            </w:pPr>
          </w:p>
        </w:tc>
        <w:tc>
          <w:tcPr>
            <w:tcW w:w="1270" w:type="dxa"/>
            <w:vMerge/>
            <w:tcBorders>
              <w:top w:val="nil"/>
              <w:left w:val="single" w:sz="8" w:space="0" w:color="000000"/>
              <w:bottom w:val="single" w:sz="8" w:space="0" w:color="000000"/>
              <w:right w:val="single" w:sz="8" w:space="0" w:color="000000"/>
            </w:tcBorders>
            <w:vAlign w:val="center"/>
          </w:tcPr>
          <w:p w14:paraId="6BF444E9" w14:textId="77777777" w:rsidR="00755399" w:rsidRPr="00687743" w:rsidRDefault="00755399" w:rsidP="00847A51">
            <w:pPr>
              <w:spacing w:after="0" w:line="276" w:lineRule="auto"/>
              <w:rPr>
                <w:rFonts w:ascii="Times New Roman" w:eastAsia="Times New Roman" w:hAnsi="Times New Roman" w:cs="Times New Roman"/>
                <w:color w:val="000000"/>
                <w:kern w:val="0"/>
                <w14:ligatures w14:val="none"/>
              </w:rPr>
            </w:pPr>
          </w:p>
        </w:tc>
        <w:tc>
          <w:tcPr>
            <w:tcW w:w="1337" w:type="dxa"/>
            <w:vMerge/>
            <w:tcBorders>
              <w:top w:val="nil"/>
              <w:left w:val="single" w:sz="8" w:space="0" w:color="000000"/>
              <w:bottom w:val="single" w:sz="8" w:space="0" w:color="000000"/>
              <w:right w:val="single" w:sz="8" w:space="0" w:color="000000"/>
            </w:tcBorders>
            <w:vAlign w:val="center"/>
          </w:tcPr>
          <w:p w14:paraId="150485D3" w14:textId="77777777" w:rsidR="00755399" w:rsidRPr="00687743" w:rsidRDefault="00755399" w:rsidP="00847A51">
            <w:pPr>
              <w:spacing w:after="0" w:line="276" w:lineRule="auto"/>
              <w:rPr>
                <w:rFonts w:ascii="Times New Roman" w:eastAsia="Times New Roman" w:hAnsi="Times New Roman" w:cs="Times New Roman"/>
                <w:color w:val="000000"/>
                <w:kern w:val="0"/>
                <w14:ligatures w14:val="none"/>
              </w:rPr>
            </w:pPr>
          </w:p>
        </w:tc>
        <w:tc>
          <w:tcPr>
            <w:tcW w:w="1337" w:type="dxa"/>
            <w:vMerge/>
            <w:tcBorders>
              <w:top w:val="nil"/>
              <w:left w:val="single" w:sz="8" w:space="0" w:color="000000"/>
              <w:bottom w:val="single" w:sz="8" w:space="0" w:color="000000"/>
              <w:right w:val="single" w:sz="8" w:space="0" w:color="000000"/>
            </w:tcBorders>
            <w:vAlign w:val="center"/>
          </w:tcPr>
          <w:p w14:paraId="698EA7C5" w14:textId="77777777" w:rsidR="00755399" w:rsidRPr="00687743" w:rsidRDefault="00755399" w:rsidP="00847A51">
            <w:pPr>
              <w:spacing w:after="0" w:line="276" w:lineRule="auto"/>
              <w:rPr>
                <w:rFonts w:ascii="Times New Roman" w:eastAsia="Times New Roman" w:hAnsi="Times New Roman" w:cs="Times New Roman"/>
                <w:color w:val="000000"/>
                <w:kern w:val="0"/>
                <w14:ligatures w14:val="none"/>
              </w:rPr>
            </w:pPr>
          </w:p>
        </w:tc>
        <w:tc>
          <w:tcPr>
            <w:tcW w:w="1426" w:type="dxa"/>
            <w:vMerge/>
            <w:tcBorders>
              <w:top w:val="nil"/>
              <w:left w:val="single" w:sz="8" w:space="0" w:color="000000"/>
              <w:bottom w:val="single" w:sz="8" w:space="0" w:color="000000"/>
              <w:right w:val="single" w:sz="8" w:space="0" w:color="000000"/>
            </w:tcBorders>
            <w:vAlign w:val="center"/>
          </w:tcPr>
          <w:p w14:paraId="20C732A5" w14:textId="77777777" w:rsidR="00755399" w:rsidRPr="00687743" w:rsidRDefault="00755399" w:rsidP="00847A51">
            <w:pPr>
              <w:spacing w:after="0" w:line="276" w:lineRule="auto"/>
              <w:rPr>
                <w:rFonts w:ascii="Times New Roman" w:eastAsia="Times New Roman" w:hAnsi="Times New Roman" w:cs="Times New Roman"/>
                <w:color w:val="000000"/>
                <w:kern w:val="0"/>
                <w14:ligatures w14:val="none"/>
              </w:rPr>
            </w:pPr>
          </w:p>
        </w:tc>
        <w:tc>
          <w:tcPr>
            <w:tcW w:w="233" w:type="dxa"/>
            <w:vAlign w:val="center"/>
            <w:hideMark/>
          </w:tcPr>
          <w:p w14:paraId="14EEA402" w14:textId="77777777" w:rsidR="00755399" w:rsidRPr="00687743" w:rsidRDefault="00755399" w:rsidP="00847A51">
            <w:pPr>
              <w:spacing w:after="0" w:line="276" w:lineRule="auto"/>
              <w:rPr>
                <w:rFonts w:ascii="Times New Roman" w:eastAsia="Times New Roman" w:hAnsi="Times New Roman" w:cs="Times New Roman"/>
                <w:kern w:val="0"/>
                <w:sz w:val="20"/>
                <w:szCs w:val="20"/>
                <w14:ligatures w14:val="none"/>
              </w:rPr>
            </w:pPr>
          </w:p>
        </w:tc>
      </w:tr>
      <w:tr w:rsidR="00755399" w:rsidRPr="00687743" w14:paraId="2D9013EF" w14:textId="77777777" w:rsidTr="002F19C6">
        <w:trPr>
          <w:trHeight w:val="297"/>
        </w:trPr>
        <w:tc>
          <w:tcPr>
            <w:tcW w:w="1695" w:type="dxa"/>
            <w:tcBorders>
              <w:top w:val="nil"/>
              <w:left w:val="single" w:sz="8" w:space="0" w:color="000000"/>
              <w:bottom w:val="single" w:sz="8" w:space="0" w:color="000000"/>
              <w:right w:val="single" w:sz="8" w:space="0" w:color="000000"/>
            </w:tcBorders>
            <w:shd w:val="clear" w:color="auto" w:fill="auto"/>
            <w:vAlign w:val="center"/>
            <w:hideMark/>
          </w:tcPr>
          <w:p w14:paraId="58FDEC84"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HDFC Gold</w:t>
            </w:r>
            <w:r>
              <w:rPr>
                <w:rFonts w:ascii="Times New Roman" w:eastAsia="Times New Roman" w:hAnsi="Times New Roman" w:cs="Times New Roman"/>
                <w:b/>
                <w:bCs/>
                <w:color w:val="000000"/>
                <w:kern w:val="0"/>
                <w14:ligatures w14:val="none"/>
              </w:rPr>
              <w:t xml:space="preserve"> ETF</w:t>
            </w:r>
          </w:p>
        </w:tc>
        <w:tc>
          <w:tcPr>
            <w:tcW w:w="1198" w:type="dxa"/>
            <w:tcBorders>
              <w:top w:val="nil"/>
              <w:left w:val="nil"/>
              <w:bottom w:val="single" w:sz="8" w:space="0" w:color="000000"/>
              <w:right w:val="single" w:sz="8" w:space="0" w:color="000000"/>
            </w:tcBorders>
            <w:shd w:val="clear" w:color="auto" w:fill="auto"/>
            <w:vAlign w:val="center"/>
          </w:tcPr>
          <w:p w14:paraId="20676AC2"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540967">
              <w:rPr>
                <w:rFonts w:ascii="Times New Roman" w:eastAsia="Times New Roman" w:hAnsi="Times New Roman" w:cs="Times New Roman"/>
                <w:color w:val="000000"/>
                <w:kern w:val="0"/>
                <w14:ligatures w14:val="none"/>
              </w:rPr>
              <w:t>0.0212</w:t>
            </w:r>
          </w:p>
        </w:tc>
        <w:tc>
          <w:tcPr>
            <w:tcW w:w="1177" w:type="dxa"/>
            <w:tcBorders>
              <w:top w:val="nil"/>
              <w:left w:val="nil"/>
              <w:bottom w:val="single" w:sz="8" w:space="0" w:color="000000"/>
              <w:right w:val="single" w:sz="8" w:space="0" w:color="000000"/>
            </w:tcBorders>
            <w:shd w:val="clear" w:color="auto" w:fill="auto"/>
            <w:vAlign w:val="center"/>
          </w:tcPr>
          <w:p w14:paraId="3A77500C"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540967">
              <w:rPr>
                <w:rFonts w:ascii="Times New Roman" w:eastAsia="Times New Roman" w:hAnsi="Times New Roman" w:cs="Times New Roman"/>
                <w:color w:val="000000"/>
                <w:kern w:val="0"/>
                <w14:ligatures w14:val="none"/>
              </w:rPr>
              <w:t>0.2398</w:t>
            </w:r>
          </w:p>
        </w:tc>
        <w:tc>
          <w:tcPr>
            <w:tcW w:w="1270" w:type="dxa"/>
            <w:tcBorders>
              <w:top w:val="nil"/>
              <w:left w:val="nil"/>
              <w:bottom w:val="single" w:sz="8" w:space="0" w:color="000000"/>
              <w:right w:val="single" w:sz="8" w:space="0" w:color="000000"/>
            </w:tcBorders>
            <w:shd w:val="clear" w:color="auto" w:fill="auto"/>
            <w:vAlign w:val="center"/>
          </w:tcPr>
          <w:p w14:paraId="0E469F59"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540967">
              <w:rPr>
                <w:rFonts w:ascii="Times New Roman" w:eastAsia="Times New Roman" w:hAnsi="Times New Roman" w:cs="Times New Roman"/>
                <w:color w:val="000000"/>
                <w:kern w:val="0"/>
                <w14:ligatures w14:val="none"/>
              </w:rPr>
              <w:t>-0.3662</w:t>
            </w:r>
          </w:p>
        </w:tc>
        <w:tc>
          <w:tcPr>
            <w:tcW w:w="1337" w:type="dxa"/>
            <w:tcBorders>
              <w:top w:val="nil"/>
              <w:left w:val="nil"/>
              <w:bottom w:val="single" w:sz="8" w:space="0" w:color="000000"/>
              <w:right w:val="single" w:sz="8" w:space="0" w:color="000000"/>
            </w:tcBorders>
            <w:shd w:val="clear" w:color="auto" w:fill="auto"/>
            <w:vAlign w:val="center"/>
          </w:tcPr>
          <w:p w14:paraId="465BDBA5" w14:textId="77777777" w:rsidR="00755399" w:rsidRDefault="00755399" w:rsidP="00847A51">
            <w:pPr>
              <w:pStyle w:val="TableParagraph"/>
              <w:spacing w:line="276" w:lineRule="auto"/>
              <w:jc w:val="center"/>
              <w:rPr>
                <w:sz w:val="24"/>
              </w:rPr>
            </w:pPr>
            <w:r>
              <w:rPr>
                <w:spacing w:val="-2"/>
                <w:sz w:val="24"/>
              </w:rPr>
              <w:t>0.0277</w:t>
            </w:r>
          </w:p>
          <w:p w14:paraId="4D061944"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p>
        </w:tc>
        <w:tc>
          <w:tcPr>
            <w:tcW w:w="1337" w:type="dxa"/>
            <w:tcBorders>
              <w:top w:val="nil"/>
              <w:left w:val="nil"/>
              <w:bottom w:val="single" w:sz="8" w:space="0" w:color="000000"/>
              <w:right w:val="single" w:sz="8" w:space="0" w:color="000000"/>
            </w:tcBorders>
            <w:shd w:val="clear" w:color="auto" w:fill="auto"/>
            <w:vAlign w:val="center"/>
          </w:tcPr>
          <w:p w14:paraId="7E0414C0"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540967">
              <w:rPr>
                <w:rFonts w:ascii="Times New Roman" w:eastAsia="Times New Roman" w:hAnsi="Times New Roman" w:cs="Times New Roman"/>
                <w:color w:val="000000"/>
                <w:kern w:val="0"/>
                <w14:ligatures w14:val="none"/>
              </w:rPr>
              <w:t>0.0446</w:t>
            </w:r>
          </w:p>
        </w:tc>
        <w:tc>
          <w:tcPr>
            <w:tcW w:w="1426" w:type="dxa"/>
            <w:tcBorders>
              <w:top w:val="nil"/>
              <w:left w:val="nil"/>
              <w:bottom w:val="single" w:sz="8" w:space="0" w:color="000000"/>
              <w:right w:val="single" w:sz="8" w:space="0" w:color="000000"/>
            </w:tcBorders>
            <w:shd w:val="clear" w:color="auto" w:fill="auto"/>
            <w:vAlign w:val="center"/>
          </w:tcPr>
          <w:p w14:paraId="7D9CFBCA" w14:textId="77777777" w:rsidR="00755399" w:rsidRPr="00687743" w:rsidRDefault="00755399" w:rsidP="00847A51">
            <w:pPr>
              <w:spacing w:after="0" w:line="276" w:lineRule="auto"/>
              <w:jc w:val="center"/>
              <w:rPr>
                <w:rFonts w:ascii="Times New Roman" w:eastAsia="Times New Roman" w:hAnsi="Times New Roman" w:cs="Times New Roman"/>
                <w:color w:val="000000"/>
                <w:kern w:val="0"/>
                <w14:ligatures w14:val="none"/>
              </w:rPr>
            </w:pPr>
            <w:r w:rsidRPr="00DB20CA">
              <w:rPr>
                <w:rFonts w:ascii="Times New Roman" w:eastAsia="Times New Roman" w:hAnsi="Times New Roman" w:cs="Times New Roman"/>
                <w:color w:val="000000"/>
                <w:kern w:val="0"/>
                <w:highlight w:val="cyan"/>
                <w14:ligatures w14:val="none"/>
              </w:rPr>
              <w:t>-0.00658</w:t>
            </w:r>
          </w:p>
        </w:tc>
        <w:tc>
          <w:tcPr>
            <w:tcW w:w="233" w:type="dxa"/>
            <w:vAlign w:val="center"/>
            <w:hideMark/>
          </w:tcPr>
          <w:p w14:paraId="0A745FE9" w14:textId="77777777" w:rsidR="00755399" w:rsidRPr="00687743" w:rsidRDefault="00755399" w:rsidP="00847A51">
            <w:pPr>
              <w:spacing w:after="0" w:line="276" w:lineRule="auto"/>
              <w:rPr>
                <w:rFonts w:ascii="Times New Roman" w:eastAsia="Times New Roman" w:hAnsi="Times New Roman" w:cs="Times New Roman"/>
                <w:kern w:val="0"/>
                <w:sz w:val="20"/>
                <w:szCs w:val="20"/>
                <w14:ligatures w14:val="none"/>
              </w:rPr>
            </w:pPr>
          </w:p>
        </w:tc>
      </w:tr>
      <w:tr w:rsidR="00755399" w:rsidRPr="00687743" w14:paraId="16F384E9" w14:textId="77777777" w:rsidTr="002F19C6">
        <w:trPr>
          <w:trHeight w:val="199"/>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0B598AB3"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Kotak Gold ETF</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tcPr>
          <w:p w14:paraId="052AA476"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-0.10</w:t>
            </w:r>
          </w:p>
          <w:p w14:paraId="4FF3F585"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177" w:type="dxa"/>
            <w:vMerge w:val="restart"/>
            <w:tcBorders>
              <w:top w:val="nil"/>
              <w:left w:val="single" w:sz="8" w:space="0" w:color="000000"/>
              <w:bottom w:val="single" w:sz="8" w:space="0" w:color="000000"/>
              <w:right w:val="single" w:sz="8" w:space="0" w:color="000000"/>
            </w:tcBorders>
            <w:shd w:val="clear" w:color="auto" w:fill="auto"/>
            <w:vAlign w:val="center"/>
          </w:tcPr>
          <w:p w14:paraId="5D1EC110"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-0.05</w:t>
            </w:r>
          </w:p>
          <w:p w14:paraId="7FE1632B"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270" w:type="dxa"/>
            <w:vMerge w:val="restart"/>
            <w:tcBorders>
              <w:top w:val="nil"/>
              <w:left w:val="single" w:sz="8" w:space="0" w:color="000000"/>
              <w:bottom w:val="single" w:sz="8" w:space="0" w:color="000000"/>
              <w:right w:val="single" w:sz="8" w:space="0" w:color="000000"/>
            </w:tcBorders>
            <w:shd w:val="clear" w:color="auto" w:fill="auto"/>
            <w:vAlign w:val="center"/>
          </w:tcPr>
          <w:p w14:paraId="04A65918"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-0.08</w:t>
            </w:r>
          </w:p>
          <w:p w14:paraId="7CB4938E"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337" w:type="dxa"/>
            <w:vMerge w:val="restart"/>
            <w:tcBorders>
              <w:top w:val="nil"/>
              <w:left w:val="single" w:sz="8" w:space="0" w:color="000000"/>
              <w:bottom w:val="single" w:sz="8" w:space="0" w:color="000000"/>
              <w:right w:val="single" w:sz="8" w:space="0" w:color="000000"/>
            </w:tcBorders>
            <w:shd w:val="clear" w:color="auto" w:fill="auto"/>
            <w:vAlign w:val="center"/>
          </w:tcPr>
          <w:p w14:paraId="368DA460"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-0.06</w:t>
            </w:r>
          </w:p>
          <w:p w14:paraId="72E7BF07"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337" w:type="dxa"/>
            <w:vMerge w:val="restart"/>
            <w:tcBorders>
              <w:top w:val="nil"/>
              <w:left w:val="single" w:sz="8" w:space="0" w:color="000000"/>
              <w:bottom w:val="single" w:sz="8" w:space="0" w:color="000000"/>
              <w:right w:val="single" w:sz="8" w:space="0" w:color="000000"/>
            </w:tcBorders>
            <w:shd w:val="clear" w:color="auto" w:fill="auto"/>
            <w:vAlign w:val="center"/>
          </w:tcPr>
          <w:p w14:paraId="3F986CAC"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-0.07</w:t>
            </w:r>
          </w:p>
          <w:p w14:paraId="558DE983"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426" w:type="dxa"/>
            <w:vMerge w:val="restart"/>
            <w:tcBorders>
              <w:top w:val="nil"/>
              <w:left w:val="single" w:sz="8" w:space="0" w:color="000000"/>
              <w:bottom w:val="single" w:sz="8" w:space="0" w:color="000000"/>
              <w:right w:val="single" w:sz="8" w:space="0" w:color="000000"/>
            </w:tcBorders>
            <w:shd w:val="clear" w:color="auto" w:fill="auto"/>
            <w:vAlign w:val="center"/>
          </w:tcPr>
          <w:p w14:paraId="40441710"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-0.072</w:t>
            </w:r>
          </w:p>
        </w:tc>
        <w:tc>
          <w:tcPr>
            <w:tcW w:w="233" w:type="dxa"/>
            <w:vAlign w:val="center"/>
            <w:hideMark/>
          </w:tcPr>
          <w:p w14:paraId="0F359DCD" w14:textId="77777777" w:rsidR="00755399" w:rsidRPr="00687743" w:rsidRDefault="00755399" w:rsidP="00847A51">
            <w:pPr>
              <w:spacing w:after="0" w:line="276" w:lineRule="auto"/>
              <w:rPr>
                <w:rFonts w:ascii="Times New Roman" w:eastAsia="Times New Roman" w:hAnsi="Times New Roman" w:cs="Times New Roman"/>
                <w:kern w:val="0"/>
                <w:sz w:val="20"/>
                <w:szCs w:val="20"/>
                <w14:ligatures w14:val="none"/>
              </w:rPr>
            </w:pPr>
          </w:p>
        </w:tc>
      </w:tr>
      <w:tr w:rsidR="00755399" w:rsidRPr="00687743" w14:paraId="128506D8" w14:textId="77777777" w:rsidTr="002F19C6">
        <w:trPr>
          <w:trHeight w:val="94"/>
        </w:trPr>
        <w:tc>
          <w:tcPr>
            <w:tcW w:w="1695" w:type="dxa"/>
            <w:vMerge/>
            <w:tcBorders>
              <w:top w:val="nil"/>
              <w:left w:val="single" w:sz="8" w:space="0" w:color="000000"/>
              <w:bottom w:val="single" w:sz="8" w:space="0" w:color="000000"/>
              <w:right w:val="single" w:sz="8" w:space="0" w:color="000000"/>
            </w:tcBorders>
            <w:vAlign w:val="center"/>
            <w:hideMark/>
          </w:tcPr>
          <w:p w14:paraId="173EA468" w14:textId="77777777" w:rsidR="00755399" w:rsidRPr="00687743" w:rsidRDefault="00755399" w:rsidP="00847A51">
            <w:pPr>
              <w:spacing w:after="0" w:line="276" w:lineRule="auto"/>
              <w:rPr>
                <w:rFonts w:ascii="Times New Roman" w:eastAsia="Times New Roman" w:hAnsi="Times New Roman" w:cs="Times New Roman"/>
                <w:b/>
                <w:bCs/>
                <w:color w:val="000000"/>
                <w:kern w:val="0"/>
                <w14:ligatures w14:val="none"/>
              </w:rPr>
            </w:pPr>
          </w:p>
        </w:tc>
        <w:tc>
          <w:tcPr>
            <w:tcW w:w="1198" w:type="dxa"/>
            <w:vMerge/>
            <w:tcBorders>
              <w:top w:val="nil"/>
              <w:left w:val="single" w:sz="8" w:space="0" w:color="000000"/>
              <w:bottom w:val="single" w:sz="8" w:space="0" w:color="000000"/>
              <w:right w:val="single" w:sz="8" w:space="0" w:color="000000"/>
            </w:tcBorders>
            <w:vAlign w:val="center"/>
          </w:tcPr>
          <w:p w14:paraId="5935E160"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177" w:type="dxa"/>
            <w:vMerge/>
            <w:tcBorders>
              <w:top w:val="nil"/>
              <w:left w:val="single" w:sz="8" w:space="0" w:color="000000"/>
              <w:bottom w:val="single" w:sz="8" w:space="0" w:color="000000"/>
              <w:right w:val="single" w:sz="8" w:space="0" w:color="000000"/>
            </w:tcBorders>
            <w:vAlign w:val="center"/>
          </w:tcPr>
          <w:p w14:paraId="0314178A"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270" w:type="dxa"/>
            <w:vMerge/>
            <w:tcBorders>
              <w:top w:val="nil"/>
              <w:left w:val="single" w:sz="8" w:space="0" w:color="000000"/>
              <w:bottom w:val="single" w:sz="8" w:space="0" w:color="000000"/>
              <w:right w:val="single" w:sz="8" w:space="0" w:color="000000"/>
            </w:tcBorders>
            <w:vAlign w:val="center"/>
          </w:tcPr>
          <w:p w14:paraId="34D7BFAE"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337" w:type="dxa"/>
            <w:vMerge/>
            <w:tcBorders>
              <w:top w:val="nil"/>
              <w:left w:val="single" w:sz="8" w:space="0" w:color="000000"/>
              <w:bottom w:val="single" w:sz="8" w:space="0" w:color="000000"/>
              <w:right w:val="single" w:sz="8" w:space="0" w:color="000000"/>
            </w:tcBorders>
            <w:vAlign w:val="center"/>
          </w:tcPr>
          <w:p w14:paraId="53E1590B"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337" w:type="dxa"/>
            <w:vMerge/>
            <w:tcBorders>
              <w:top w:val="nil"/>
              <w:left w:val="single" w:sz="8" w:space="0" w:color="000000"/>
              <w:bottom w:val="single" w:sz="8" w:space="0" w:color="000000"/>
              <w:right w:val="single" w:sz="8" w:space="0" w:color="000000"/>
            </w:tcBorders>
            <w:vAlign w:val="center"/>
          </w:tcPr>
          <w:p w14:paraId="0721DBE2"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426" w:type="dxa"/>
            <w:vMerge/>
            <w:tcBorders>
              <w:top w:val="nil"/>
              <w:left w:val="single" w:sz="8" w:space="0" w:color="000000"/>
              <w:bottom w:val="single" w:sz="8" w:space="0" w:color="000000"/>
              <w:right w:val="single" w:sz="8" w:space="0" w:color="000000"/>
            </w:tcBorders>
            <w:vAlign w:val="center"/>
          </w:tcPr>
          <w:p w14:paraId="38FD1B42"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233" w:type="dxa"/>
            <w:tcBorders>
              <w:top w:val="nil"/>
              <w:left w:val="nil"/>
              <w:bottom w:val="nil"/>
              <w:right w:val="nil"/>
            </w:tcBorders>
            <w:shd w:val="clear" w:color="auto" w:fill="auto"/>
            <w:noWrap/>
            <w:vAlign w:val="bottom"/>
            <w:hideMark/>
          </w:tcPr>
          <w:p w14:paraId="610B889E"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r>
      <w:tr w:rsidR="00755399" w:rsidRPr="00687743" w14:paraId="50E580B3" w14:textId="77777777" w:rsidTr="002F19C6">
        <w:trPr>
          <w:trHeight w:val="199"/>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4644019"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Axis Gold ETF</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tcPr>
          <w:p w14:paraId="64FBB853"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-0.10</w:t>
            </w:r>
          </w:p>
          <w:p w14:paraId="27DB3FAA"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177" w:type="dxa"/>
            <w:vMerge w:val="restart"/>
            <w:tcBorders>
              <w:top w:val="nil"/>
              <w:left w:val="single" w:sz="8" w:space="0" w:color="000000"/>
              <w:bottom w:val="single" w:sz="8" w:space="0" w:color="000000"/>
              <w:right w:val="single" w:sz="8" w:space="0" w:color="000000"/>
            </w:tcBorders>
            <w:shd w:val="clear" w:color="auto" w:fill="auto"/>
            <w:vAlign w:val="center"/>
          </w:tcPr>
          <w:p w14:paraId="21262BBC"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-0.04</w:t>
            </w:r>
          </w:p>
          <w:p w14:paraId="50689001"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270" w:type="dxa"/>
            <w:vMerge w:val="restart"/>
            <w:tcBorders>
              <w:top w:val="nil"/>
              <w:left w:val="single" w:sz="8" w:space="0" w:color="000000"/>
              <w:bottom w:val="single" w:sz="8" w:space="0" w:color="000000"/>
              <w:right w:val="single" w:sz="8" w:space="0" w:color="000000"/>
            </w:tcBorders>
            <w:shd w:val="clear" w:color="auto" w:fill="auto"/>
            <w:vAlign w:val="center"/>
          </w:tcPr>
          <w:p w14:paraId="566965DB"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-0.08</w:t>
            </w:r>
          </w:p>
          <w:p w14:paraId="24756730"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337" w:type="dxa"/>
            <w:vMerge w:val="restart"/>
            <w:tcBorders>
              <w:top w:val="nil"/>
              <w:left w:val="single" w:sz="8" w:space="0" w:color="000000"/>
              <w:bottom w:val="single" w:sz="8" w:space="0" w:color="000000"/>
              <w:right w:val="single" w:sz="8" w:space="0" w:color="000000"/>
            </w:tcBorders>
            <w:shd w:val="clear" w:color="auto" w:fill="auto"/>
            <w:vAlign w:val="center"/>
          </w:tcPr>
          <w:p w14:paraId="4704741A"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-0.06</w:t>
            </w:r>
          </w:p>
          <w:p w14:paraId="10E6F738"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337" w:type="dxa"/>
            <w:vMerge w:val="restart"/>
            <w:tcBorders>
              <w:top w:val="nil"/>
              <w:left w:val="single" w:sz="8" w:space="0" w:color="000000"/>
              <w:bottom w:val="single" w:sz="8" w:space="0" w:color="000000"/>
              <w:right w:val="single" w:sz="8" w:space="0" w:color="000000"/>
            </w:tcBorders>
            <w:shd w:val="clear" w:color="auto" w:fill="auto"/>
            <w:vAlign w:val="center"/>
          </w:tcPr>
          <w:p w14:paraId="07A6D6CB"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-0.07</w:t>
            </w:r>
          </w:p>
          <w:p w14:paraId="268AED1C"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426" w:type="dxa"/>
            <w:vMerge w:val="restart"/>
            <w:tcBorders>
              <w:top w:val="nil"/>
              <w:left w:val="single" w:sz="8" w:space="0" w:color="000000"/>
              <w:bottom w:val="single" w:sz="8" w:space="0" w:color="000000"/>
              <w:right w:val="single" w:sz="8" w:space="0" w:color="000000"/>
            </w:tcBorders>
            <w:shd w:val="clear" w:color="auto" w:fill="auto"/>
            <w:vAlign w:val="center"/>
          </w:tcPr>
          <w:p w14:paraId="3AB709F6"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-0.07</w:t>
            </w:r>
          </w:p>
        </w:tc>
        <w:tc>
          <w:tcPr>
            <w:tcW w:w="233" w:type="dxa"/>
            <w:vAlign w:val="center"/>
            <w:hideMark/>
          </w:tcPr>
          <w:p w14:paraId="1B060473" w14:textId="77777777" w:rsidR="00755399" w:rsidRPr="00687743" w:rsidRDefault="00755399" w:rsidP="00847A51">
            <w:pPr>
              <w:spacing w:after="0" w:line="276" w:lineRule="auto"/>
              <w:rPr>
                <w:rFonts w:ascii="Times New Roman" w:eastAsia="Times New Roman" w:hAnsi="Times New Roman" w:cs="Times New Roman"/>
                <w:kern w:val="0"/>
                <w:sz w:val="20"/>
                <w:szCs w:val="20"/>
                <w14:ligatures w14:val="none"/>
              </w:rPr>
            </w:pPr>
          </w:p>
        </w:tc>
      </w:tr>
      <w:tr w:rsidR="00755399" w:rsidRPr="00687743" w14:paraId="1B064A41" w14:textId="77777777" w:rsidTr="002F19C6">
        <w:trPr>
          <w:trHeight w:val="94"/>
        </w:trPr>
        <w:tc>
          <w:tcPr>
            <w:tcW w:w="1695" w:type="dxa"/>
            <w:vMerge/>
            <w:tcBorders>
              <w:top w:val="nil"/>
              <w:left w:val="single" w:sz="8" w:space="0" w:color="000000"/>
              <w:bottom w:val="single" w:sz="8" w:space="0" w:color="000000"/>
              <w:right w:val="single" w:sz="8" w:space="0" w:color="000000"/>
            </w:tcBorders>
            <w:vAlign w:val="center"/>
            <w:hideMark/>
          </w:tcPr>
          <w:p w14:paraId="0F873377" w14:textId="77777777" w:rsidR="00755399" w:rsidRPr="00687743" w:rsidRDefault="00755399" w:rsidP="00847A51">
            <w:pPr>
              <w:spacing w:after="0" w:line="276" w:lineRule="auto"/>
              <w:rPr>
                <w:rFonts w:ascii="Times New Roman" w:eastAsia="Times New Roman" w:hAnsi="Times New Roman" w:cs="Times New Roman"/>
                <w:b/>
                <w:bCs/>
                <w:color w:val="000000"/>
                <w:kern w:val="0"/>
                <w14:ligatures w14:val="none"/>
              </w:rPr>
            </w:pPr>
          </w:p>
        </w:tc>
        <w:tc>
          <w:tcPr>
            <w:tcW w:w="1198" w:type="dxa"/>
            <w:vMerge/>
            <w:tcBorders>
              <w:top w:val="nil"/>
              <w:left w:val="single" w:sz="8" w:space="0" w:color="000000"/>
              <w:bottom w:val="single" w:sz="8" w:space="0" w:color="000000"/>
              <w:right w:val="single" w:sz="8" w:space="0" w:color="000000"/>
            </w:tcBorders>
            <w:vAlign w:val="center"/>
          </w:tcPr>
          <w:p w14:paraId="50CE06F0"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177" w:type="dxa"/>
            <w:vMerge/>
            <w:tcBorders>
              <w:top w:val="nil"/>
              <w:left w:val="single" w:sz="8" w:space="0" w:color="000000"/>
              <w:bottom w:val="single" w:sz="8" w:space="0" w:color="000000"/>
              <w:right w:val="single" w:sz="8" w:space="0" w:color="000000"/>
            </w:tcBorders>
            <w:vAlign w:val="center"/>
          </w:tcPr>
          <w:p w14:paraId="0AED138F"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270" w:type="dxa"/>
            <w:vMerge/>
            <w:tcBorders>
              <w:top w:val="nil"/>
              <w:left w:val="single" w:sz="8" w:space="0" w:color="000000"/>
              <w:bottom w:val="single" w:sz="8" w:space="0" w:color="000000"/>
              <w:right w:val="single" w:sz="8" w:space="0" w:color="000000"/>
            </w:tcBorders>
            <w:vAlign w:val="center"/>
          </w:tcPr>
          <w:p w14:paraId="44141DC8"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337" w:type="dxa"/>
            <w:vMerge/>
            <w:tcBorders>
              <w:top w:val="nil"/>
              <w:left w:val="single" w:sz="8" w:space="0" w:color="000000"/>
              <w:bottom w:val="single" w:sz="8" w:space="0" w:color="000000"/>
              <w:right w:val="single" w:sz="8" w:space="0" w:color="000000"/>
            </w:tcBorders>
            <w:vAlign w:val="center"/>
          </w:tcPr>
          <w:p w14:paraId="52C74A69"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337" w:type="dxa"/>
            <w:vMerge/>
            <w:tcBorders>
              <w:top w:val="nil"/>
              <w:left w:val="single" w:sz="8" w:space="0" w:color="000000"/>
              <w:bottom w:val="single" w:sz="8" w:space="0" w:color="000000"/>
              <w:right w:val="single" w:sz="8" w:space="0" w:color="000000"/>
            </w:tcBorders>
            <w:vAlign w:val="center"/>
          </w:tcPr>
          <w:p w14:paraId="427E864C"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426" w:type="dxa"/>
            <w:vMerge/>
            <w:tcBorders>
              <w:top w:val="nil"/>
              <w:left w:val="single" w:sz="8" w:space="0" w:color="000000"/>
              <w:bottom w:val="single" w:sz="8" w:space="0" w:color="000000"/>
              <w:right w:val="single" w:sz="8" w:space="0" w:color="000000"/>
            </w:tcBorders>
            <w:vAlign w:val="center"/>
          </w:tcPr>
          <w:p w14:paraId="0AF2D785"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233" w:type="dxa"/>
            <w:tcBorders>
              <w:top w:val="nil"/>
              <w:left w:val="nil"/>
              <w:bottom w:val="nil"/>
              <w:right w:val="nil"/>
            </w:tcBorders>
            <w:shd w:val="clear" w:color="auto" w:fill="auto"/>
            <w:noWrap/>
            <w:vAlign w:val="bottom"/>
            <w:hideMark/>
          </w:tcPr>
          <w:p w14:paraId="2142CEDA"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r>
      <w:tr w:rsidR="00755399" w:rsidRPr="00687743" w14:paraId="2200DCFE" w14:textId="77777777" w:rsidTr="002F19C6">
        <w:trPr>
          <w:trHeight w:val="395"/>
        </w:trPr>
        <w:tc>
          <w:tcPr>
            <w:tcW w:w="1695"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5B5B56E9" w14:textId="77777777" w:rsidR="00755399" w:rsidRPr="00687743"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687743">
              <w:rPr>
                <w:rFonts w:ascii="Times New Roman" w:eastAsia="Times New Roman" w:hAnsi="Times New Roman" w:cs="Times New Roman"/>
                <w:b/>
                <w:bCs/>
                <w:color w:val="000000"/>
                <w:kern w:val="0"/>
                <w14:ligatures w14:val="none"/>
              </w:rPr>
              <w:t>Aditya Birla Gold ETF</w:t>
            </w:r>
          </w:p>
        </w:tc>
        <w:tc>
          <w:tcPr>
            <w:tcW w:w="1198" w:type="dxa"/>
            <w:vMerge w:val="restart"/>
            <w:tcBorders>
              <w:top w:val="nil"/>
              <w:left w:val="single" w:sz="8" w:space="0" w:color="000000"/>
              <w:bottom w:val="single" w:sz="8" w:space="0" w:color="000000"/>
              <w:right w:val="single" w:sz="8" w:space="0" w:color="000000"/>
            </w:tcBorders>
            <w:shd w:val="clear" w:color="auto" w:fill="auto"/>
            <w:vAlign w:val="center"/>
          </w:tcPr>
          <w:p w14:paraId="5A22046E"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-0.09</w:t>
            </w:r>
          </w:p>
          <w:p w14:paraId="6610DD5B"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177" w:type="dxa"/>
            <w:vMerge w:val="restart"/>
            <w:tcBorders>
              <w:top w:val="nil"/>
              <w:left w:val="single" w:sz="8" w:space="0" w:color="000000"/>
              <w:bottom w:val="single" w:sz="8" w:space="0" w:color="000000"/>
              <w:right w:val="single" w:sz="8" w:space="0" w:color="000000"/>
            </w:tcBorders>
            <w:shd w:val="clear" w:color="auto" w:fill="auto"/>
            <w:vAlign w:val="center"/>
          </w:tcPr>
          <w:p w14:paraId="3008CD64"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-0.04</w:t>
            </w:r>
          </w:p>
          <w:p w14:paraId="5CBC4D4B"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270" w:type="dxa"/>
            <w:vMerge w:val="restart"/>
            <w:tcBorders>
              <w:top w:val="nil"/>
              <w:left w:val="single" w:sz="8" w:space="0" w:color="000000"/>
              <w:bottom w:val="single" w:sz="8" w:space="0" w:color="000000"/>
              <w:right w:val="single" w:sz="8" w:space="0" w:color="000000"/>
            </w:tcBorders>
            <w:shd w:val="clear" w:color="auto" w:fill="auto"/>
            <w:vAlign w:val="center"/>
          </w:tcPr>
          <w:p w14:paraId="3EEE1987"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0.02</w:t>
            </w:r>
          </w:p>
          <w:p w14:paraId="4F561D5E"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337" w:type="dxa"/>
            <w:vMerge w:val="restart"/>
            <w:tcBorders>
              <w:top w:val="nil"/>
              <w:left w:val="single" w:sz="8" w:space="0" w:color="000000"/>
              <w:bottom w:val="single" w:sz="8" w:space="0" w:color="000000"/>
              <w:right w:val="single" w:sz="8" w:space="0" w:color="000000"/>
            </w:tcBorders>
            <w:shd w:val="clear" w:color="auto" w:fill="auto"/>
            <w:vAlign w:val="center"/>
          </w:tcPr>
          <w:p w14:paraId="35B18A5F"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-0.06</w:t>
            </w:r>
          </w:p>
          <w:p w14:paraId="77163593"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337" w:type="dxa"/>
            <w:vMerge w:val="restart"/>
            <w:tcBorders>
              <w:top w:val="nil"/>
              <w:left w:val="single" w:sz="8" w:space="0" w:color="000000"/>
              <w:bottom w:val="single" w:sz="8" w:space="0" w:color="000000"/>
              <w:right w:val="single" w:sz="8" w:space="0" w:color="000000"/>
            </w:tcBorders>
            <w:shd w:val="clear" w:color="auto" w:fill="auto"/>
            <w:vAlign w:val="center"/>
          </w:tcPr>
          <w:p w14:paraId="2A124B27" w14:textId="77777777" w:rsidR="00755399" w:rsidRDefault="00755399" w:rsidP="00847A51">
            <w:pPr>
              <w:spacing w:line="276" w:lineRule="auto"/>
              <w:jc w:val="center"/>
              <w:rPr>
                <w:rFonts w:ascii="Calibri" w:hAnsi="Calibri" w:cs="Calibri"/>
                <w:color w:val="000000"/>
              </w:rPr>
            </w:pPr>
            <w:r>
              <w:rPr>
                <w:rFonts w:ascii="Calibri" w:hAnsi="Calibri" w:cs="Calibri"/>
                <w:color w:val="000000"/>
              </w:rPr>
              <w:t>-0.07</w:t>
            </w:r>
          </w:p>
          <w:p w14:paraId="1AD9EFA9"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c>
          <w:tcPr>
            <w:tcW w:w="1426" w:type="dxa"/>
            <w:vMerge w:val="restart"/>
            <w:tcBorders>
              <w:top w:val="nil"/>
              <w:left w:val="single" w:sz="8" w:space="0" w:color="000000"/>
              <w:bottom w:val="single" w:sz="8" w:space="0" w:color="000000"/>
              <w:right w:val="single" w:sz="8" w:space="0" w:color="000000"/>
            </w:tcBorders>
            <w:shd w:val="clear" w:color="auto" w:fill="auto"/>
            <w:vAlign w:val="center"/>
          </w:tcPr>
          <w:p w14:paraId="35CBEDBA"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-0.048</w:t>
            </w:r>
          </w:p>
        </w:tc>
        <w:tc>
          <w:tcPr>
            <w:tcW w:w="233" w:type="dxa"/>
            <w:vAlign w:val="center"/>
            <w:hideMark/>
          </w:tcPr>
          <w:p w14:paraId="6B6BCF69" w14:textId="77777777" w:rsidR="00755399" w:rsidRPr="00687743" w:rsidRDefault="00755399" w:rsidP="00847A51">
            <w:pPr>
              <w:spacing w:after="0" w:line="276" w:lineRule="auto"/>
              <w:rPr>
                <w:rFonts w:ascii="Times New Roman" w:eastAsia="Times New Roman" w:hAnsi="Times New Roman" w:cs="Times New Roman"/>
                <w:kern w:val="0"/>
                <w:sz w:val="20"/>
                <w:szCs w:val="20"/>
                <w14:ligatures w14:val="none"/>
              </w:rPr>
            </w:pPr>
          </w:p>
        </w:tc>
      </w:tr>
      <w:tr w:rsidR="00755399" w:rsidRPr="00687743" w14:paraId="4B43AD1A" w14:textId="77777777" w:rsidTr="002F19C6">
        <w:trPr>
          <w:trHeight w:val="94"/>
        </w:trPr>
        <w:tc>
          <w:tcPr>
            <w:tcW w:w="1695" w:type="dxa"/>
            <w:vMerge/>
            <w:tcBorders>
              <w:top w:val="nil"/>
              <w:left w:val="single" w:sz="8" w:space="0" w:color="000000"/>
              <w:bottom w:val="single" w:sz="8" w:space="0" w:color="000000"/>
              <w:right w:val="single" w:sz="8" w:space="0" w:color="000000"/>
            </w:tcBorders>
            <w:vAlign w:val="center"/>
            <w:hideMark/>
          </w:tcPr>
          <w:p w14:paraId="162ABAD7" w14:textId="77777777" w:rsidR="00755399" w:rsidRPr="00687743" w:rsidRDefault="00755399" w:rsidP="00847A51">
            <w:pPr>
              <w:spacing w:after="0" w:line="276" w:lineRule="auto"/>
              <w:rPr>
                <w:rFonts w:ascii="Times New Roman" w:eastAsia="Times New Roman" w:hAnsi="Times New Roman" w:cs="Times New Roman"/>
                <w:b/>
                <w:bCs/>
                <w:color w:val="000000"/>
                <w:kern w:val="0"/>
                <w14:ligatures w14:val="none"/>
              </w:rPr>
            </w:pPr>
          </w:p>
        </w:tc>
        <w:tc>
          <w:tcPr>
            <w:tcW w:w="1198" w:type="dxa"/>
            <w:vMerge/>
            <w:tcBorders>
              <w:top w:val="nil"/>
              <w:left w:val="single" w:sz="8" w:space="0" w:color="000000"/>
              <w:bottom w:val="single" w:sz="8" w:space="0" w:color="000000"/>
              <w:right w:val="single" w:sz="8" w:space="0" w:color="000000"/>
            </w:tcBorders>
            <w:vAlign w:val="center"/>
          </w:tcPr>
          <w:p w14:paraId="004E9749"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177" w:type="dxa"/>
            <w:vMerge/>
            <w:tcBorders>
              <w:top w:val="nil"/>
              <w:left w:val="single" w:sz="8" w:space="0" w:color="000000"/>
              <w:bottom w:val="single" w:sz="8" w:space="0" w:color="000000"/>
              <w:right w:val="single" w:sz="8" w:space="0" w:color="000000"/>
            </w:tcBorders>
            <w:vAlign w:val="center"/>
          </w:tcPr>
          <w:p w14:paraId="620E8271"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270" w:type="dxa"/>
            <w:vMerge/>
            <w:tcBorders>
              <w:top w:val="nil"/>
              <w:left w:val="single" w:sz="8" w:space="0" w:color="000000"/>
              <w:bottom w:val="single" w:sz="8" w:space="0" w:color="000000"/>
              <w:right w:val="single" w:sz="8" w:space="0" w:color="000000"/>
            </w:tcBorders>
            <w:vAlign w:val="center"/>
          </w:tcPr>
          <w:p w14:paraId="61AF085C"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337" w:type="dxa"/>
            <w:vMerge/>
            <w:tcBorders>
              <w:top w:val="nil"/>
              <w:left w:val="single" w:sz="8" w:space="0" w:color="000000"/>
              <w:bottom w:val="single" w:sz="8" w:space="0" w:color="000000"/>
              <w:right w:val="single" w:sz="8" w:space="0" w:color="000000"/>
            </w:tcBorders>
            <w:vAlign w:val="center"/>
          </w:tcPr>
          <w:p w14:paraId="12E09B73"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337" w:type="dxa"/>
            <w:vMerge/>
            <w:tcBorders>
              <w:top w:val="nil"/>
              <w:left w:val="single" w:sz="8" w:space="0" w:color="000000"/>
              <w:bottom w:val="single" w:sz="8" w:space="0" w:color="000000"/>
              <w:right w:val="single" w:sz="8" w:space="0" w:color="000000"/>
            </w:tcBorders>
            <w:vAlign w:val="center"/>
          </w:tcPr>
          <w:p w14:paraId="4DB83F14"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1426" w:type="dxa"/>
            <w:vMerge/>
            <w:tcBorders>
              <w:top w:val="nil"/>
              <w:left w:val="single" w:sz="8" w:space="0" w:color="000000"/>
              <w:bottom w:val="single" w:sz="8" w:space="0" w:color="000000"/>
              <w:right w:val="single" w:sz="8" w:space="0" w:color="000000"/>
            </w:tcBorders>
            <w:vAlign w:val="center"/>
          </w:tcPr>
          <w:p w14:paraId="3058B3DD" w14:textId="77777777" w:rsidR="00755399" w:rsidRPr="00687743" w:rsidRDefault="00755399" w:rsidP="00847A51">
            <w:pPr>
              <w:spacing w:after="0" w:line="276" w:lineRule="auto"/>
              <w:rPr>
                <w:rFonts w:ascii="Calibri" w:eastAsia="Times New Roman" w:hAnsi="Calibri" w:cs="Calibri"/>
                <w:color w:val="000000"/>
                <w:kern w:val="0"/>
                <w14:ligatures w14:val="none"/>
              </w:rPr>
            </w:pPr>
          </w:p>
        </w:tc>
        <w:tc>
          <w:tcPr>
            <w:tcW w:w="233" w:type="dxa"/>
            <w:tcBorders>
              <w:top w:val="nil"/>
              <w:left w:val="nil"/>
              <w:bottom w:val="nil"/>
              <w:right w:val="nil"/>
            </w:tcBorders>
            <w:shd w:val="clear" w:color="auto" w:fill="auto"/>
            <w:noWrap/>
            <w:vAlign w:val="bottom"/>
            <w:hideMark/>
          </w:tcPr>
          <w:p w14:paraId="55F8F7B5" w14:textId="77777777" w:rsidR="00755399" w:rsidRPr="00687743" w:rsidRDefault="00755399" w:rsidP="00847A51">
            <w:pPr>
              <w:spacing w:after="0" w:line="276" w:lineRule="auto"/>
              <w:jc w:val="center"/>
              <w:rPr>
                <w:rFonts w:ascii="Calibri" w:eastAsia="Times New Roman" w:hAnsi="Calibri" w:cs="Calibri"/>
                <w:color w:val="000000"/>
                <w:kern w:val="0"/>
                <w14:ligatures w14:val="none"/>
              </w:rPr>
            </w:pPr>
          </w:p>
        </w:tc>
      </w:tr>
    </w:tbl>
    <w:p w14:paraId="7E5489D2" w14:textId="77777777" w:rsidR="00755399" w:rsidRDefault="00755399" w:rsidP="00847A51">
      <w:pPr>
        <w:spacing w:line="276" w:lineRule="auto"/>
        <w:rPr>
          <w:rFonts w:ascii="Times New Roman" w:hAnsi="Times New Roman" w:cs="Times New Roman"/>
        </w:rPr>
      </w:pPr>
    </w:p>
    <w:p w14:paraId="630F2E5E" w14:textId="4D8ED84D" w:rsidR="00755399" w:rsidRPr="007660A6" w:rsidRDefault="00755399" w:rsidP="007660A6">
      <w:pPr>
        <w:spacing w:line="276" w:lineRule="auto"/>
        <w:rPr>
          <w:rFonts w:ascii="Times New Roman" w:hAnsi="Times New Roman" w:cs="Times New Roman"/>
          <w:b/>
          <w:bCs/>
          <w:sz w:val="28"/>
          <w:szCs w:val="28"/>
        </w:rPr>
      </w:pPr>
      <w:r w:rsidRPr="00EC5398">
        <w:rPr>
          <w:rFonts w:ascii="Times New Roman" w:hAnsi="Times New Roman" w:cs="Times New Roman"/>
          <w:b/>
          <w:bCs/>
          <w:sz w:val="28"/>
          <w:szCs w:val="28"/>
        </w:rPr>
        <w:t>Chart illustrating 5-year Jenson Ratio of 7 Gold ETFs under Study</w:t>
      </w:r>
    </w:p>
    <w:p w14:paraId="7D0D0AD3" w14:textId="50CE2BF4" w:rsidR="0098684F" w:rsidRPr="0098684F" w:rsidRDefault="00755399" w:rsidP="00847A51">
      <w:pPr>
        <w:spacing w:line="276" w:lineRule="auto"/>
        <w:rPr>
          <w:rFonts w:ascii="Times New Roman" w:hAnsi="Times New Roman" w:cs="Times New Roman"/>
          <w:b/>
          <w:bCs/>
          <w:sz w:val="28"/>
          <w:szCs w:val="28"/>
          <w:u w:val="single"/>
        </w:rPr>
      </w:pPr>
      <w:r>
        <w:rPr>
          <w:noProof/>
        </w:rPr>
        <w:drawing>
          <wp:inline distT="0" distB="0" distL="0" distR="0" wp14:anchorId="4ABC4331" wp14:editId="5AA4C2EB">
            <wp:extent cx="5784850" cy="3359889"/>
            <wp:effectExtent l="0" t="0" r="6350" b="12065"/>
            <wp:docPr id="465750160" name="Chart 1">
              <a:extLst xmlns:a="http://schemas.openxmlformats.org/drawingml/2006/main">
                <a:ext uri="{FF2B5EF4-FFF2-40B4-BE49-F238E27FC236}">
                  <a16:creationId xmlns:a16="http://schemas.microsoft.com/office/drawing/2014/main" id="{EF7A305F-9E6D-6953-F211-90E9CFC7631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A546BD8" w14:textId="24982D42" w:rsidR="00755399" w:rsidRDefault="00755399" w:rsidP="00847A51">
      <w:pPr>
        <w:spacing w:line="276" w:lineRule="auto"/>
        <w:rPr>
          <w:rFonts w:ascii="Times New Roman" w:hAnsi="Times New Roman" w:cs="Times New Roman"/>
          <w:b/>
          <w:bCs/>
          <w:sz w:val="28"/>
          <w:szCs w:val="28"/>
          <w:u w:val="single"/>
        </w:rPr>
      </w:pPr>
      <w:r w:rsidRPr="00683D6F">
        <w:rPr>
          <w:rFonts w:ascii="Times New Roman" w:hAnsi="Times New Roman" w:cs="Times New Roman"/>
          <w:b/>
          <w:bCs/>
          <w:sz w:val="28"/>
          <w:szCs w:val="28"/>
        </w:rPr>
        <w:lastRenderedPageBreak/>
        <w:t xml:space="preserve">Table outlining 5-year </w:t>
      </w:r>
      <w:r>
        <w:rPr>
          <w:rFonts w:ascii="Times New Roman" w:hAnsi="Times New Roman" w:cs="Times New Roman"/>
          <w:b/>
          <w:bCs/>
          <w:sz w:val="28"/>
          <w:szCs w:val="28"/>
        </w:rPr>
        <w:t xml:space="preserve">Jenson </w:t>
      </w:r>
      <w:r w:rsidRPr="00683D6F">
        <w:rPr>
          <w:rFonts w:ascii="Times New Roman" w:hAnsi="Times New Roman" w:cs="Times New Roman"/>
          <w:b/>
          <w:bCs/>
          <w:sz w:val="28"/>
          <w:szCs w:val="28"/>
        </w:rPr>
        <w:t>Ratio of 7 Gold ETFs under Study</w:t>
      </w:r>
    </w:p>
    <w:tbl>
      <w:tblPr>
        <w:tblW w:w="9689" w:type="dxa"/>
        <w:tblLook w:val="04A0" w:firstRow="1" w:lastRow="0" w:firstColumn="1" w:lastColumn="0" w:noHBand="0" w:noVBand="1"/>
      </w:tblPr>
      <w:tblGrid>
        <w:gridCol w:w="4151"/>
        <w:gridCol w:w="3037"/>
        <w:gridCol w:w="2501"/>
      </w:tblGrid>
      <w:tr w:rsidR="00755399" w:rsidRPr="00BA3817" w14:paraId="5D158D7D" w14:textId="77777777" w:rsidTr="0098684F">
        <w:trPr>
          <w:trHeight w:val="917"/>
        </w:trPr>
        <w:tc>
          <w:tcPr>
            <w:tcW w:w="41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BA30EF"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BA3817">
              <w:rPr>
                <w:rFonts w:ascii="Times New Roman" w:eastAsia="Times New Roman" w:hAnsi="Times New Roman" w:cs="Times New Roman"/>
                <w:b/>
                <w:bCs/>
                <w:color w:val="000000"/>
                <w:spacing w:val="-2"/>
                <w:kern w:val="0"/>
                <w14:ligatures w14:val="none"/>
              </w:rPr>
              <w:t>PARTICULARS</w:t>
            </w:r>
          </w:p>
        </w:tc>
        <w:tc>
          <w:tcPr>
            <w:tcW w:w="3037" w:type="dxa"/>
            <w:tcBorders>
              <w:top w:val="single" w:sz="4" w:space="0" w:color="auto"/>
              <w:left w:val="nil"/>
              <w:bottom w:val="single" w:sz="4" w:space="0" w:color="auto"/>
              <w:right w:val="single" w:sz="4" w:space="0" w:color="auto"/>
            </w:tcBorders>
            <w:shd w:val="clear" w:color="auto" w:fill="auto"/>
            <w:vAlign w:val="center"/>
            <w:hideMark/>
          </w:tcPr>
          <w:p w14:paraId="58F41724" w14:textId="77777777" w:rsidR="00755399" w:rsidRPr="00BA3817" w:rsidRDefault="00755399" w:rsidP="00847A51">
            <w:pPr>
              <w:spacing w:after="0" w:line="276" w:lineRule="auto"/>
              <w:rPr>
                <w:rFonts w:ascii="Times New Roman" w:eastAsia="Times New Roman" w:hAnsi="Times New Roman" w:cs="Times New Roman"/>
                <w:b/>
                <w:bCs/>
                <w:color w:val="000000"/>
                <w:kern w:val="0"/>
                <w14:ligatures w14:val="none"/>
              </w:rPr>
            </w:pPr>
            <w:r>
              <w:rPr>
                <w:rFonts w:ascii="Times New Roman" w:hAnsi="Times New Roman" w:cs="Times New Roman"/>
                <w:b/>
                <w:bCs/>
                <w:sz w:val="28"/>
                <w:szCs w:val="28"/>
              </w:rPr>
              <w:t xml:space="preserve">      Jenson Ratio</w:t>
            </w:r>
          </w:p>
        </w:tc>
        <w:tc>
          <w:tcPr>
            <w:tcW w:w="2501" w:type="dxa"/>
            <w:tcBorders>
              <w:top w:val="single" w:sz="4" w:space="0" w:color="auto"/>
              <w:left w:val="nil"/>
              <w:bottom w:val="single" w:sz="4" w:space="0" w:color="auto"/>
              <w:right w:val="single" w:sz="4" w:space="0" w:color="auto"/>
            </w:tcBorders>
            <w:shd w:val="clear" w:color="auto" w:fill="auto"/>
            <w:vAlign w:val="center"/>
            <w:hideMark/>
          </w:tcPr>
          <w:p w14:paraId="2728A383"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BA3817">
              <w:rPr>
                <w:rFonts w:ascii="Times New Roman" w:eastAsia="Times New Roman" w:hAnsi="Times New Roman" w:cs="Times New Roman"/>
                <w:b/>
                <w:bCs/>
                <w:color w:val="000000"/>
                <w:spacing w:val="-2"/>
                <w:kern w:val="0"/>
                <w14:ligatures w14:val="none"/>
              </w:rPr>
              <w:t>RANKING</w:t>
            </w:r>
          </w:p>
        </w:tc>
      </w:tr>
      <w:tr w:rsidR="00755399" w:rsidRPr="00BA3817" w14:paraId="6AD67B96" w14:textId="77777777" w:rsidTr="0098684F">
        <w:trPr>
          <w:trHeight w:val="603"/>
        </w:trPr>
        <w:tc>
          <w:tcPr>
            <w:tcW w:w="4151" w:type="dxa"/>
            <w:tcBorders>
              <w:top w:val="nil"/>
              <w:left w:val="single" w:sz="4" w:space="0" w:color="auto"/>
              <w:bottom w:val="single" w:sz="4" w:space="0" w:color="auto"/>
              <w:right w:val="single" w:sz="4" w:space="0" w:color="auto"/>
            </w:tcBorders>
            <w:shd w:val="clear" w:color="auto" w:fill="auto"/>
            <w:vAlign w:val="center"/>
            <w:hideMark/>
          </w:tcPr>
          <w:p w14:paraId="1EE1D765"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Nippon India ETF Gold Bees</w:t>
            </w:r>
            <w:r>
              <w:rPr>
                <w:rFonts w:ascii="Times New Roman" w:eastAsia="Times New Roman" w:hAnsi="Times New Roman" w:cs="Times New Roman"/>
                <w:b/>
                <w:bCs/>
                <w:color w:val="000000"/>
                <w:kern w:val="0"/>
                <w14:ligatures w14:val="none"/>
              </w:rPr>
              <w:t>”</w:t>
            </w:r>
          </w:p>
        </w:tc>
        <w:tc>
          <w:tcPr>
            <w:tcW w:w="3037" w:type="dxa"/>
            <w:tcBorders>
              <w:top w:val="single" w:sz="4" w:space="0" w:color="auto"/>
              <w:left w:val="nil"/>
              <w:bottom w:val="single" w:sz="4" w:space="0" w:color="auto"/>
              <w:right w:val="single" w:sz="4" w:space="0" w:color="auto"/>
            </w:tcBorders>
            <w:shd w:val="clear" w:color="auto" w:fill="auto"/>
            <w:vAlign w:val="center"/>
          </w:tcPr>
          <w:p w14:paraId="5910EF25"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-0.07</w:t>
            </w:r>
          </w:p>
        </w:tc>
        <w:tc>
          <w:tcPr>
            <w:tcW w:w="2501" w:type="dxa"/>
            <w:tcBorders>
              <w:top w:val="nil"/>
              <w:left w:val="nil"/>
              <w:bottom w:val="single" w:sz="4" w:space="0" w:color="auto"/>
              <w:right w:val="single" w:sz="4" w:space="0" w:color="auto"/>
            </w:tcBorders>
            <w:shd w:val="clear" w:color="auto" w:fill="auto"/>
            <w:noWrap/>
            <w:vAlign w:val="center"/>
          </w:tcPr>
          <w:p w14:paraId="79B333C8"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4.5</w:t>
            </w:r>
          </w:p>
        </w:tc>
      </w:tr>
      <w:tr w:rsidR="00755399" w:rsidRPr="00BA3817" w14:paraId="2B734B92" w14:textId="77777777" w:rsidTr="0098684F">
        <w:trPr>
          <w:trHeight w:val="299"/>
        </w:trPr>
        <w:tc>
          <w:tcPr>
            <w:tcW w:w="4151" w:type="dxa"/>
            <w:tcBorders>
              <w:top w:val="nil"/>
              <w:left w:val="single" w:sz="4" w:space="0" w:color="auto"/>
              <w:bottom w:val="single" w:sz="4" w:space="0" w:color="auto"/>
              <w:right w:val="single" w:sz="4" w:space="0" w:color="auto"/>
            </w:tcBorders>
            <w:shd w:val="clear" w:color="auto" w:fill="auto"/>
            <w:vAlign w:val="center"/>
            <w:hideMark/>
          </w:tcPr>
          <w:p w14:paraId="4150141E"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SBI-ETF Gold</w:t>
            </w:r>
            <w:r>
              <w:rPr>
                <w:rFonts w:ascii="Times New Roman" w:eastAsia="Times New Roman" w:hAnsi="Times New Roman" w:cs="Times New Roman"/>
                <w:b/>
                <w:bCs/>
                <w:color w:val="000000"/>
                <w:kern w:val="0"/>
                <w14:ligatures w14:val="none"/>
              </w:rPr>
              <w:t>”</w:t>
            </w:r>
          </w:p>
        </w:tc>
        <w:tc>
          <w:tcPr>
            <w:tcW w:w="3037" w:type="dxa"/>
            <w:tcBorders>
              <w:top w:val="single" w:sz="4" w:space="0" w:color="auto"/>
              <w:left w:val="nil"/>
              <w:bottom w:val="single" w:sz="4" w:space="0" w:color="auto"/>
              <w:right w:val="single" w:sz="4" w:space="0" w:color="auto"/>
            </w:tcBorders>
            <w:shd w:val="clear" w:color="auto" w:fill="auto"/>
            <w:vAlign w:val="center"/>
          </w:tcPr>
          <w:p w14:paraId="382088A8"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-0.072</w:t>
            </w:r>
          </w:p>
        </w:tc>
        <w:tc>
          <w:tcPr>
            <w:tcW w:w="2501" w:type="dxa"/>
            <w:tcBorders>
              <w:top w:val="nil"/>
              <w:left w:val="nil"/>
              <w:bottom w:val="single" w:sz="4" w:space="0" w:color="auto"/>
              <w:right w:val="single" w:sz="4" w:space="0" w:color="auto"/>
            </w:tcBorders>
            <w:shd w:val="clear" w:color="auto" w:fill="auto"/>
            <w:noWrap/>
            <w:vAlign w:val="center"/>
          </w:tcPr>
          <w:p w14:paraId="532772FE"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6.5</w:t>
            </w:r>
          </w:p>
        </w:tc>
      </w:tr>
      <w:tr w:rsidR="00755399" w:rsidRPr="00BA3817" w14:paraId="15CA20BC" w14:textId="77777777" w:rsidTr="0098684F">
        <w:trPr>
          <w:trHeight w:val="603"/>
        </w:trPr>
        <w:tc>
          <w:tcPr>
            <w:tcW w:w="4151" w:type="dxa"/>
            <w:tcBorders>
              <w:top w:val="nil"/>
              <w:left w:val="single" w:sz="4" w:space="0" w:color="auto"/>
              <w:bottom w:val="single" w:sz="4" w:space="0" w:color="auto"/>
              <w:right w:val="single" w:sz="4" w:space="0" w:color="auto"/>
            </w:tcBorders>
            <w:shd w:val="clear" w:color="auto" w:fill="auto"/>
            <w:vAlign w:val="center"/>
            <w:hideMark/>
          </w:tcPr>
          <w:p w14:paraId="0126FCF4"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ICICI prudential Gold ETF</w:t>
            </w:r>
            <w:r>
              <w:rPr>
                <w:rFonts w:ascii="Times New Roman" w:eastAsia="Times New Roman" w:hAnsi="Times New Roman" w:cs="Times New Roman"/>
                <w:b/>
                <w:bCs/>
                <w:color w:val="000000"/>
                <w:kern w:val="0"/>
                <w14:ligatures w14:val="none"/>
              </w:rPr>
              <w:t>”</w:t>
            </w:r>
          </w:p>
        </w:tc>
        <w:tc>
          <w:tcPr>
            <w:tcW w:w="3037" w:type="dxa"/>
            <w:tcBorders>
              <w:top w:val="single" w:sz="4" w:space="0" w:color="auto"/>
              <w:left w:val="nil"/>
              <w:bottom w:val="single" w:sz="4" w:space="0" w:color="auto"/>
              <w:right w:val="single" w:sz="4" w:space="0" w:color="auto"/>
            </w:tcBorders>
            <w:shd w:val="clear" w:color="auto" w:fill="auto"/>
            <w:vAlign w:val="center"/>
          </w:tcPr>
          <w:p w14:paraId="4FC2D91B" w14:textId="77777777" w:rsidR="00755399" w:rsidRDefault="00755399" w:rsidP="00847A51">
            <w:pPr>
              <w:spacing w:after="0" w:line="276"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-0.0525</w:t>
            </w:r>
          </w:p>
          <w:p w14:paraId="010FD10E" w14:textId="77777777" w:rsidR="00755399" w:rsidRPr="00BA3817" w:rsidRDefault="00755399" w:rsidP="00847A51">
            <w:pPr>
              <w:spacing w:after="0" w:line="276" w:lineRule="auto"/>
              <w:jc w:val="center"/>
              <w:rPr>
                <w:rFonts w:ascii="Times New Roman" w:eastAsia="Times New Roman" w:hAnsi="Times New Roman" w:cs="Times New Roman"/>
                <w:color w:val="000000"/>
                <w:kern w:val="0"/>
                <w14:ligatures w14:val="none"/>
              </w:rPr>
            </w:pPr>
          </w:p>
        </w:tc>
        <w:tc>
          <w:tcPr>
            <w:tcW w:w="2501" w:type="dxa"/>
            <w:tcBorders>
              <w:top w:val="nil"/>
              <w:left w:val="nil"/>
              <w:bottom w:val="single" w:sz="4" w:space="0" w:color="auto"/>
              <w:right w:val="single" w:sz="4" w:space="0" w:color="auto"/>
            </w:tcBorders>
            <w:shd w:val="clear" w:color="auto" w:fill="auto"/>
            <w:noWrap/>
            <w:vAlign w:val="center"/>
          </w:tcPr>
          <w:p w14:paraId="56D3C8C5"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w:t>
            </w:r>
          </w:p>
        </w:tc>
      </w:tr>
      <w:tr w:rsidR="00755399" w:rsidRPr="00BA3817" w14:paraId="4D377C59" w14:textId="77777777" w:rsidTr="0098684F">
        <w:trPr>
          <w:trHeight w:val="903"/>
        </w:trPr>
        <w:tc>
          <w:tcPr>
            <w:tcW w:w="4151" w:type="dxa"/>
            <w:tcBorders>
              <w:top w:val="nil"/>
              <w:left w:val="single" w:sz="4" w:space="0" w:color="auto"/>
              <w:bottom w:val="single" w:sz="4" w:space="0" w:color="auto"/>
              <w:right w:val="single" w:sz="4" w:space="0" w:color="auto"/>
            </w:tcBorders>
            <w:shd w:val="clear" w:color="auto" w:fill="auto"/>
            <w:vAlign w:val="center"/>
            <w:hideMark/>
          </w:tcPr>
          <w:p w14:paraId="06569235"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HDFC Gold Exchange traded fund</w:t>
            </w:r>
            <w:r>
              <w:rPr>
                <w:rFonts w:ascii="Times New Roman" w:eastAsia="Times New Roman" w:hAnsi="Times New Roman" w:cs="Times New Roman"/>
                <w:b/>
                <w:bCs/>
                <w:color w:val="000000"/>
                <w:kern w:val="0"/>
                <w14:ligatures w14:val="none"/>
              </w:rPr>
              <w:t>”</w:t>
            </w:r>
          </w:p>
        </w:tc>
        <w:tc>
          <w:tcPr>
            <w:tcW w:w="3037" w:type="dxa"/>
            <w:tcBorders>
              <w:top w:val="single" w:sz="4" w:space="0" w:color="auto"/>
              <w:left w:val="nil"/>
              <w:bottom w:val="single" w:sz="4" w:space="0" w:color="auto"/>
              <w:right w:val="single" w:sz="4" w:space="0" w:color="auto"/>
            </w:tcBorders>
            <w:shd w:val="clear" w:color="auto" w:fill="auto"/>
            <w:vAlign w:val="center"/>
          </w:tcPr>
          <w:p w14:paraId="4233C0CA" w14:textId="77777777" w:rsidR="00755399" w:rsidRPr="00BA3817" w:rsidRDefault="00755399" w:rsidP="00847A51">
            <w:pPr>
              <w:spacing w:after="0" w:line="276"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-0.00658</w:t>
            </w:r>
          </w:p>
        </w:tc>
        <w:tc>
          <w:tcPr>
            <w:tcW w:w="2501" w:type="dxa"/>
            <w:tcBorders>
              <w:top w:val="nil"/>
              <w:left w:val="nil"/>
              <w:bottom w:val="single" w:sz="4" w:space="0" w:color="auto"/>
              <w:right w:val="single" w:sz="4" w:space="0" w:color="auto"/>
            </w:tcBorders>
            <w:shd w:val="clear" w:color="auto" w:fill="auto"/>
            <w:noWrap/>
            <w:vAlign w:val="center"/>
          </w:tcPr>
          <w:p w14:paraId="5677CE70"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p>
        </w:tc>
      </w:tr>
      <w:tr w:rsidR="00755399" w:rsidRPr="00BA3817" w14:paraId="4A86EDCE" w14:textId="77777777" w:rsidTr="0098684F">
        <w:trPr>
          <w:trHeight w:val="299"/>
        </w:trPr>
        <w:tc>
          <w:tcPr>
            <w:tcW w:w="4151" w:type="dxa"/>
            <w:tcBorders>
              <w:top w:val="nil"/>
              <w:left w:val="single" w:sz="4" w:space="0" w:color="auto"/>
              <w:bottom w:val="single" w:sz="4" w:space="0" w:color="auto"/>
              <w:right w:val="single" w:sz="4" w:space="0" w:color="auto"/>
            </w:tcBorders>
            <w:shd w:val="clear" w:color="auto" w:fill="auto"/>
            <w:vAlign w:val="center"/>
            <w:hideMark/>
          </w:tcPr>
          <w:p w14:paraId="64AA3E1E"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Kotak Gold ETF</w:t>
            </w:r>
            <w:r>
              <w:rPr>
                <w:rFonts w:ascii="Times New Roman" w:eastAsia="Times New Roman" w:hAnsi="Times New Roman" w:cs="Times New Roman"/>
                <w:b/>
                <w:bCs/>
                <w:color w:val="000000"/>
                <w:kern w:val="0"/>
                <w14:ligatures w14:val="none"/>
              </w:rPr>
              <w:t>”</w:t>
            </w:r>
          </w:p>
        </w:tc>
        <w:tc>
          <w:tcPr>
            <w:tcW w:w="3037" w:type="dxa"/>
            <w:tcBorders>
              <w:top w:val="single" w:sz="4" w:space="0" w:color="auto"/>
              <w:left w:val="nil"/>
              <w:bottom w:val="single" w:sz="4" w:space="0" w:color="auto"/>
              <w:right w:val="single" w:sz="4" w:space="0" w:color="auto"/>
            </w:tcBorders>
            <w:shd w:val="clear" w:color="auto" w:fill="auto"/>
            <w:vAlign w:val="center"/>
          </w:tcPr>
          <w:p w14:paraId="721DF24A"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-0.072</w:t>
            </w:r>
          </w:p>
        </w:tc>
        <w:tc>
          <w:tcPr>
            <w:tcW w:w="2501" w:type="dxa"/>
            <w:tcBorders>
              <w:top w:val="nil"/>
              <w:left w:val="nil"/>
              <w:bottom w:val="single" w:sz="4" w:space="0" w:color="auto"/>
              <w:right w:val="single" w:sz="4" w:space="0" w:color="auto"/>
            </w:tcBorders>
            <w:shd w:val="clear" w:color="auto" w:fill="auto"/>
            <w:noWrap/>
            <w:vAlign w:val="center"/>
          </w:tcPr>
          <w:p w14:paraId="01E50895"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6.5</w:t>
            </w:r>
          </w:p>
        </w:tc>
      </w:tr>
      <w:tr w:rsidR="00755399" w:rsidRPr="00BA3817" w14:paraId="2B2214E5" w14:textId="77777777" w:rsidTr="0098684F">
        <w:trPr>
          <w:trHeight w:val="299"/>
        </w:trPr>
        <w:tc>
          <w:tcPr>
            <w:tcW w:w="4151" w:type="dxa"/>
            <w:tcBorders>
              <w:top w:val="nil"/>
              <w:left w:val="single" w:sz="4" w:space="0" w:color="auto"/>
              <w:bottom w:val="single" w:sz="4" w:space="0" w:color="auto"/>
              <w:right w:val="single" w:sz="4" w:space="0" w:color="auto"/>
            </w:tcBorders>
            <w:shd w:val="clear" w:color="auto" w:fill="auto"/>
            <w:vAlign w:val="center"/>
            <w:hideMark/>
          </w:tcPr>
          <w:p w14:paraId="355DE216"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Axis Gold ETF</w:t>
            </w:r>
            <w:r>
              <w:rPr>
                <w:rFonts w:ascii="Times New Roman" w:eastAsia="Times New Roman" w:hAnsi="Times New Roman" w:cs="Times New Roman"/>
                <w:b/>
                <w:bCs/>
                <w:color w:val="000000"/>
                <w:kern w:val="0"/>
                <w14:ligatures w14:val="none"/>
              </w:rPr>
              <w:t>”</w:t>
            </w:r>
          </w:p>
        </w:tc>
        <w:tc>
          <w:tcPr>
            <w:tcW w:w="3037" w:type="dxa"/>
            <w:tcBorders>
              <w:top w:val="single" w:sz="4" w:space="0" w:color="auto"/>
              <w:left w:val="nil"/>
              <w:bottom w:val="single" w:sz="4" w:space="0" w:color="auto"/>
              <w:right w:val="single" w:sz="4" w:space="0" w:color="auto"/>
            </w:tcBorders>
            <w:shd w:val="clear" w:color="auto" w:fill="auto"/>
            <w:vAlign w:val="center"/>
          </w:tcPr>
          <w:p w14:paraId="6DB74633"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-0.07</w:t>
            </w:r>
          </w:p>
        </w:tc>
        <w:tc>
          <w:tcPr>
            <w:tcW w:w="2501" w:type="dxa"/>
            <w:tcBorders>
              <w:top w:val="nil"/>
              <w:left w:val="nil"/>
              <w:bottom w:val="single" w:sz="4" w:space="0" w:color="auto"/>
              <w:right w:val="single" w:sz="4" w:space="0" w:color="auto"/>
            </w:tcBorders>
            <w:shd w:val="clear" w:color="auto" w:fill="auto"/>
            <w:noWrap/>
            <w:vAlign w:val="center"/>
          </w:tcPr>
          <w:p w14:paraId="2B0CF50F"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4.5</w:t>
            </w:r>
          </w:p>
        </w:tc>
      </w:tr>
      <w:tr w:rsidR="00755399" w:rsidRPr="00BA3817" w14:paraId="10C2F88C" w14:textId="77777777" w:rsidTr="0098684F">
        <w:trPr>
          <w:trHeight w:val="603"/>
        </w:trPr>
        <w:tc>
          <w:tcPr>
            <w:tcW w:w="4151" w:type="dxa"/>
            <w:tcBorders>
              <w:top w:val="nil"/>
              <w:left w:val="single" w:sz="4" w:space="0" w:color="auto"/>
              <w:bottom w:val="single" w:sz="4" w:space="0" w:color="auto"/>
              <w:right w:val="single" w:sz="4" w:space="0" w:color="auto"/>
            </w:tcBorders>
            <w:shd w:val="clear" w:color="auto" w:fill="auto"/>
            <w:vAlign w:val="center"/>
            <w:hideMark/>
          </w:tcPr>
          <w:p w14:paraId="558863DD"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Aditya Birla Gold ETF</w:t>
            </w:r>
            <w:r>
              <w:rPr>
                <w:rFonts w:ascii="Times New Roman" w:eastAsia="Times New Roman" w:hAnsi="Times New Roman" w:cs="Times New Roman"/>
                <w:b/>
                <w:bCs/>
                <w:color w:val="000000"/>
                <w:kern w:val="0"/>
                <w14:ligatures w14:val="none"/>
              </w:rPr>
              <w:t>”</w:t>
            </w:r>
          </w:p>
        </w:tc>
        <w:tc>
          <w:tcPr>
            <w:tcW w:w="3037" w:type="dxa"/>
            <w:tcBorders>
              <w:top w:val="single" w:sz="4" w:space="0" w:color="auto"/>
              <w:left w:val="nil"/>
              <w:bottom w:val="single" w:sz="4" w:space="0" w:color="auto"/>
              <w:right w:val="single" w:sz="4" w:space="0" w:color="auto"/>
            </w:tcBorders>
            <w:shd w:val="clear" w:color="auto" w:fill="auto"/>
            <w:vAlign w:val="center"/>
          </w:tcPr>
          <w:p w14:paraId="6C6C0AD8"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-0.048</w:t>
            </w:r>
          </w:p>
        </w:tc>
        <w:tc>
          <w:tcPr>
            <w:tcW w:w="2501" w:type="dxa"/>
            <w:tcBorders>
              <w:top w:val="nil"/>
              <w:left w:val="nil"/>
              <w:bottom w:val="single" w:sz="4" w:space="0" w:color="auto"/>
              <w:right w:val="single" w:sz="4" w:space="0" w:color="auto"/>
            </w:tcBorders>
            <w:shd w:val="clear" w:color="auto" w:fill="auto"/>
            <w:noWrap/>
            <w:vAlign w:val="center"/>
          </w:tcPr>
          <w:p w14:paraId="07E90073"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p>
        </w:tc>
      </w:tr>
    </w:tbl>
    <w:p w14:paraId="22C5D240" w14:textId="77777777" w:rsidR="00755399" w:rsidRDefault="00755399" w:rsidP="00847A51">
      <w:pPr>
        <w:spacing w:line="276" w:lineRule="auto"/>
        <w:rPr>
          <w:rFonts w:ascii="Times New Roman" w:hAnsi="Times New Roman" w:cs="Times New Roman"/>
          <w:b/>
          <w:bCs/>
          <w:sz w:val="28"/>
          <w:szCs w:val="28"/>
          <w:u w:val="single"/>
        </w:rPr>
      </w:pPr>
    </w:p>
    <w:p w14:paraId="1A1FAE5B" w14:textId="77777777" w:rsidR="00755399" w:rsidRPr="00A31218" w:rsidRDefault="00755399" w:rsidP="00847A51">
      <w:pPr>
        <w:spacing w:line="276" w:lineRule="auto"/>
        <w:rPr>
          <w:rFonts w:ascii="Times New Roman" w:hAnsi="Times New Roman" w:cs="Times New Roman"/>
          <w:b/>
          <w:bCs/>
        </w:rPr>
      </w:pPr>
      <w:r w:rsidRPr="00A31218">
        <w:rPr>
          <w:rFonts w:ascii="Times New Roman" w:hAnsi="Times New Roman" w:cs="Times New Roman"/>
          <w:b/>
          <w:bCs/>
        </w:rPr>
        <w:t>ANALYSIS</w:t>
      </w:r>
    </w:p>
    <w:p w14:paraId="14451B86" w14:textId="6F574991" w:rsidR="00755399" w:rsidRPr="004D3A30" w:rsidRDefault="00755399" w:rsidP="00847A51">
      <w:pPr>
        <w:spacing w:line="276" w:lineRule="auto"/>
        <w:jc w:val="both"/>
        <w:rPr>
          <w:rFonts w:ascii="Times New Roman" w:hAnsi="Times New Roman" w:cs="Times New Roman"/>
          <w:b/>
          <w:bCs/>
        </w:rPr>
      </w:pPr>
      <w:r w:rsidRPr="00A31218">
        <w:rPr>
          <w:rFonts w:ascii="Times New Roman" w:hAnsi="Times New Roman" w:cs="Times New Roman"/>
        </w:rPr>
        <w:t xml:space="preserve">The report shows the Jensen Ratios for major Gold ETFs over five fiscal years (2018-19 to 2022-23), providing insight into their performance. Most ETFs have persistently negative Jensen Ratios, indicating that they underperform in terms of risk-adjusted returns. Nippon India ETF, SBI-ETF Gold, Kotak Gold ETF, Axis Gold ETF, and </w:t>
      </w:r>
      <w:r>
        <w:rPr>
          <w:rFonts w:ascii="Times New Roman" w:hAnsi="Times New Roman" w:cs="Times New Roman"/>
        </w:rPr>
        <w:t>“</w:t>
      </w:r>
      <w:r w:rsidRPr="00A31218">
        <w:rPr>
          <w:rFonts w:ascii="Times New Roman" w:hAnsi="Times New Roman" w:cs="Times New Roman"/>
        </w:rPr>
        <w:t>Aditya Birla Sun Life Gold ETF</w:t>
      </w:r>
      <w:r>
        <w:rPr>
          <w:rFonts w:ascii="Times New Roman" w:hAnsi="Times New Roman" w:cs="Times New Roman"/>
        </w:rPr>
        <w:t>”</w:t>
      </w:r>
      <w:r w:rsidRPr="00A31218">
        <w:rPr>
          <w:rFonts w:ascii="Times New Roman" w:hAnsi="Times New Roman" w:cs="Times New Roman"/>
        </w:rPr>
        <w:t xml:space="preserve"> have all posted negative returns over the </w:t>
      </w:r>
      <w:r>
        <w:rPr>
          <w:rFonts w:ascii="Times New Roman" w:hAnsi="Times New Roman" w:cs="Times New Roman"/>
        </w:rPr>
        <w:t>past</w:t>
      </w:r>
      <w:r w:rsidRPr="00A31218">
        <w:rPr>
          <w:rFonts w:ascii="Times New Roman" w:hAnsi="Times New Roman" w:cs="Times New Roman"/>
        </w:rPr>
        <w:t xml:space="preserve"> five years, with averages ranging from -0.07 to -0.072. </w:t>
      </w:r>
      <w:r w:rsidRPr="00A31218">
        <w:rPr>
          <w:rFonts w:ascii="Times New Roman" w:hAnsi="Times New Roman" w:cs="Times New Roman"/>
          <w:b/>
          <w:bCs/>
        </w:rPr>
        <w:t>ICICI Prudential and HDFC Gold ETFs stand out for their occasional positive ratios; for example, HDFC has positive ratios in three out of five years, whilst ICICI Prudential fluctuates significantly, ranging from -0.5039 to 0.1945. The most volatile ETF appears to be ICICI Prudential, which has experienced huge performance swings</w:t>
      </w:r>
      <w:r w:rsidRPr="00AD5043">
        <w:rPr>
          <w:rFonts w:ascii="Times New Roman" w:hAnsi="Times New Roman" w:cs="Times New Roman"/>
          <w:b/>
          <w:bCs/>
        </w:rPr>
        <w:t>.</w:t>
      </w:r>
      <w:r w:rsidRPr="00AD5043">
        <w:rPr>
          <w:rFonts w:ascii="Times New Roman" w:eastAsia="Times New Roman" w:hAnsi="Times New Roman" w:cs="Times New Roman"/>
          <w:b/>
          <w:bCs/>
          <w:kern w:val="0"/>
          <w14:ligatures w14:val="none"/>
        </w:rPr>
        <w:t xml:space="preserve"> </w:t>
      </w:r>
      <w:r w:rsidRPr="00AD5043">
        <w:rPr>
          <w:rFonts w:ascii="Times New Roman" w:hAnsi="Times New Roman" w:cs="Times New Roman"/>
          <w:b/>
          <w:bCs/>
        </w:rPr>
        <w:t>Overall, HDFC Gold ETF has the most balanced performance, with an average near zero (-0.00658).</w:t>
      </w:r>
    </w:p>
    <w:p w14:paraId="3A3D9894" w14:textId="77777777" w:rsidR="00755399" w:rsidRPr="00A31218" w:rsidRDefault="00755399" w:rsidP="00847A51">
      <w:pPr>
        <w:spacing w:line="276" w:lineRule="auto"/>
        <w:jc w:val="both"/>
        <w:rPr>
          <w:rFonts w:ascii="Times New Roman" w:hAnsi="Times New Roman" w:cs="Times New Roman"/>
          <w:b/>
          <w:bCs/>
          <w:sz w:val="28"/>
          <w:szCs w:val="28"/>
        </w:rPr>
      </w:pPr>
      <w:r w:rsidRPr="00A31218">
        <w:rPr>
          <w:rFonts w:ascii="Times New Roman" w:hAnsi="Times New Roman" w:cs="Times New Roman"/>
          <w:b/>
          <w:bCs/>
          <w:sz w:val="28"/>
          <w:szCs w:val="28"/>
        </w:rPr>
        <w:t>INTERPRETATION</w:t>
      </w:r>
    </w:p>
    <w:p w14:paraId="5B7E15DA" w14:textId="3B4F12B1" w:rsidR="00EC5398" w:rsidRDefault="00755399" w:rsidP="00ED19F5">
      <w:pPr>
        <w:spacing w:line="276" w:lineRule="auto"/>
        <w:jc w:val="both"/>
        <w:rPr>
          <w:rFonts w:ascii="Times New Roman" w:hAnsi="Times New Roman" w:cs="Times New Roman"/>
        </w:rPr>
      </w:pPr>
      <w:r w:rsidRPr="00B532A4">
        <w:rPr>
          <w:rFonts w:ascii="Times New Roman" w:hAnsi="Times New Roman" w:cs="Times New Roman"/>
        </w:rPr>
        <w:t xml:space="preserve">Most of the Gold ETFs have negative Jensen Ratios, which on average indicate that most of the funds do not deliver excess returns compared to their risk-adjusted needs, an indication that indeed the investors are not sufficiently paid with respect to the risk posed at taking. The continually poor results of funds like the Nippon India ETF and SBI-ETF Gold tell you just how hard it is to get risk-adjusted returns above the market benchmark. However, gold ETFs like </w:t>
      </w:r>
      <w:r w:rsidRPr="00B532A4">
        <w:rPr>
          <w:rFonts w:ascii="Times New Roman" w:hAnsi="Times New Roman" w:cs="Times New Roman"/>
          <w:b/>
          <w:bCs/>
        </w:rPr>
        <w:t>HDFC Gold ETF and ICICI Prudential have at least performed better in comparison with returns</w:t>
      </w:r>
      <w:r>
        <w:rPr>
          <w:rFonts w:ascii="Times New Roman" w:hAnsi="Times New Roman" w:cs="Times New Roman"/>
          <w:b/>
          <w:bCs/>
        </w:rPr>
        <w:t>,</w:t>
      </w:r>
      <w:r w:rsidRPr="00B532A4">
        <w:rPr>
          <w:rFonts w:ascii="Times New Roman" w:hAnsi="Times New Roman" w:cs="Times New Roman"/>
          <w:b/>
          <w:bCs/>
        </w:rPr>
        <w:t xml:space="preserve"> HDFC, generally stable in ratio, is sometimes positive, reflecting on the periods in which it outperforms</w:t>
      </w:r>
      <w:r w:rsidRPr="00B532A4">
        <w:rPr>
          <w:rFonts w:ascii="Times New Roman" w:hAnsi="Times New Roman" w:cs="Times New Roman"/>
        </w:rPr>
        <w:t>. All in all, despite some good performance, the negative trends across the funds tell of the volatility and confines of gold ETF investment over the period under study.</w:t>
      </w:r>
    </w:p>
    <w:p w14:paraId="4C1A633C" w14:textId="0C956CDD" w:rsidR="00755399" w:rsidRPr="00F76DBD" w:rsidRDefault="00755399" w:rsidP="00847A51">
      <w:pPr>
        <w:spacing w:line="276" w:lineRule="auto"/>
        <w:rPr>
          <w:rFonts w:ascii="Times New Roman" w:hAnsi="Times New Roman" w:cs="Times New Roman"/>
          <w:b/>
          <w:bCs/>
        </w:rPr>
      </w:pPr>
      <w:r w:rsidRPr="00F76DBD">
        <w:rPr>
          <w:rFonts w:ascii="Times New Roman" w:hAnsi="Times New Roman" w:cs="Times New Roman"/>
          <w:b/>
          <w:bCs/>
        </w:rPr>
        <w:lastRenderedPageBreak/>
        <w:t>A SUMMARY OF SHARPE, TREYNOR AND JENSEN’S PERFORMANCE MEASURES RANKS FOR THE SELECTED FUNDS</w:t>
      </w:r>
    </w:p>
    <w:tbl>
      <w:tblPr>
        <w:tblW w:w="9349" w:type="dxa"/>
        <w:tblLook w:val="04A0" w:firstRow="1" w:lastRow="0" w:firstColumn="1" w:lastColumn="0" w:noHBand="0" w:noVBand="1"/>
      </w:tblPr>
      <w:tblGrid>
        <w:gridCol w:w="3017"/>
        <w:gridCol w:w="2137"/>
        <w:gridCol w:w="2245"/>
        <w:gridCol w:w="1950"/>
      </w:tblGrid>
      <w:tr w:rsidR="00755399" w:rsidRPr="00BA3817" w14:paraId="27AFB380" w14:textId="77777777" w:rsidTr="00BF2073">
        <w:trPr>
          <w:trHeight w:val="237"/>
        </w:trPr>
        <w:tc>
          <w:tcPr>
            <w:tcW w:w="30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DCA5E"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BA3817">
              <w:rPr>
                <w:rFonts w:ascii="Times New Roman" w:eastAsia="Times New Roman" w:hAnsi="Times New Roman" w:cs="Times New Roman"/>
                <w:b/>
                <w:bCs/>
                <w:color w:val="000000"/>
                <w:spacing w:val="-2"/>
                <w:kern w:val="0"/>
                <w14:ligatures w14:val="none"/>
              </w:rPr>
              <w:t>PARTICULARS</w:t>
            </w:r>
          </w:p>
        </w:tc>
        <w:tc>
          <w:tcPr>
            <w:tcW w:w="2137" w:type="dxa"/>
            <w:tcBorders>
              <w:top w:val="single" w:sz="4" w:space="0" w:color="auto"/>
              <w:left w:val="nil"/>
              <w:bottom w:val="single" w:sz="4" w:space="0" w:color="auto"/>
              <w:right w:val="single" w:sz="4" w:space="0" w:color="auto"/>
            </w:tcBorders>
            <w:shd w:val="clear" w:color="auto" w:fill="auto"/>
          </w:tcPr>
          <w:p w14:paraId="48293C42" w14:textId="77777777" w:rsidR="00755399" w:rsidRPr="00F76DBD" w:rsidRDefault="00755399" w:rsidP="00847A51">
            <w:pPr>
              <w:pStyle w:val="TableParagraph"/>
              <w:spacing w:line="276" w:lineRule="auto"/>
              <w:jc w:val="center"/>
              <w:rPr>
                <w:b/>
                <w:bCs/>
                <w:spacing w:val="-2"/>
                <w:sz w:val="24"/>
              </w:rPr>
            </w:pPr>
          </w:p>
          <w:p w14:paraId="70F98E15" w14:textId="77777777" w:rsidR="00755399" w:rsidRPr="00F76DBD" w:rsidRDefault="00755399" w:rsidP="00847A51">
            <w:pPr>
              <w:pStyle w:val="TableParagraph"/>
              <w:spacing w:line="276" w:lineRule="auto"/>
              <w:jc w:val="center"/>
              <w:rPr>
                <w:b/>
                <w:bCs/>
                <w:sz w:val="24"/>
              </w:rPr>
            </w:pPr>
            <w:r w:rsidRPr="00F76DBD">
              <w:rPr>
                <w:b/>
                <w:bCs/>
                <w:spacing w:val="-2"/>
                <w:sz w:val="24"/>
              </w:rPr>
              <w:t>SHARPE’S</w:t>
            </w:r>
          </w:p>
          <w:p w14:paraId="30CCC13A" w14:textId="77777777" w:rsidR="00755399" w:rsidRPr="00F76DBD"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F76DBD">
              <w:rPr>
                <w:rFonts w:ascii="Times New Roman" w:hAnsi="Times New Roman" w:cs="Times New Roman"/>
                <w:b/>
                <w:bCs/>
                <w:spacing w:val="-2"/>
              </w:rPr>
              <w:t>RANKING</w:t>
            </w:r>
          </w:p>
        </w:tc>
        <w:tc>
          <w:tcPr>
            <w:tcW w:w="2245" w:type="dxa"/>
            <w:tcBorders>
              <w:top w:val="single" w:sz="4" w:space="0" w:color="auto"/>
              <w:left w:val="nil"/>
              <w:bottom w:val="single" w:sz="4" w:space="0" w:color="auto"/>
              <w:right w:val="single" w:sz="4" w:space="0" w:color="auto"/>
            </w:tcBorders>
            <w:shd w:val="clear" w:color="auto" w:fill="auto"/>
          </w:tcPr>
          <w:p w14:paraId="3A1DA2D1" w14:textId="77777777" w:rsidR="00755399" w:rsidRPr="00F76DBD" w:rsidRDefault="00755399" w:rsidP="00847A51">
            <w:pPr>
              <w:pStyle w:val="TableParagraph"/>
              <w:spacing w:line="276" w:lineRule="auto"/>
              <w:jc w:val="center"/>
              <w:rPr>
                <w:b/>
                <w:bCs/>
                <w:spacing w:val="-2"/>
                <w:sz w:val="24"/>
              </w:rPr>
            </w:pPr>
          </w:p>
          <w:p w14:paraId="1DFBF01D" w14:textId="77777777" w:rsidR="00755399" w:rsidRPr="00F76DBD" w:rsidRDefault="00755399" w:rsidP="00847A51">
            <w:pPr>
              <w:pStyle w:val="TableParagraph"/>
              <w:spacing w:line="276" w:lineRule="auto"/>
              <w:jc w:val="center"/>
              <w:rPr>
                <w:b/>
                <w:bCs/>
                <w:sz w:val="24"/>
              </w:rPr>
            </w:pPr>
            <w:r w:rsidRPr="00F76DBD">
              <w:rPr>
                <w:b/>
                <w:bCs/>
                <w:spacing w:val="-2"/>
                <w:sz w:val="24"/>
              </w:rPr>
              <w:t>TREYNOR’S</w:t>
            </w:r>
          </w:p>
          <w:p w14:paraId="65374740" w14:textId="77777777" w:rsidR="00755399" w:rsidRPr="00F76DBD"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F76DBD">
              <w:rPr>
                <w:rFonts w:ascii="Times New Roman" w:hAnsi="Times New Roman" w:cs="Times New Roman"/>
                <w:b/>
                <w:bCs/>
                <w:spacing w:val="-2"/>
              </w:rPr>
              <w:t>RANKING</w:t>
            </w:r>
          </w:p>
        </w:tc>
        <w:tc>
          <w:tcPr>
            <w:tcW w:w="1950" w:type="dxa"/>
            <w:tcBorders>
              <w:top w:val="single" w:sz="4" w:space="0" w:color="auto"/>
              <w:left w:val="nil"/>
              <w:bottom w:val="single" w:sz="4" w:space="0" w:color="auto"/>
              <w:right w:val="single" w:sz="4" w:space="0" w:color="auto"/>
            </w:tcBorders>
          </w:tcPr>
          <w:p w14:paraId="14B53D5E" w14:textId="77777777" w:rsidR="00755399" w:rsidRPr="00F76DBD" w:rsidRDefault="00755399" w:rsidP="00847A51">
            <w:pPr>
              <w:pStyle w:val="TableParagraph"/>
              <w:spacing w:line="276" w:lineRule="auto"/>
              <w:ind w:left="106"/>
              <w:jc w:val="center"/>
              <w:rPr>
                <w:b/>
                <w:bCs/>
                <w:spacing w:val="-2"/>
                <w:sz w:val="24"/>
              </w:rPr>
            </w:pPr>
          </w:p>
          <w:p w14:paraId="07FFEDD5" w14:textId="77777777" w:rsidR="00755399" w:rsidRPr="00F76DBD" w:rsidRDefault="00755399" w:rsidP="00847A51">
            <w:pPr>
              <w:pStyle w:val="TableParagraph"/>
              <w:spacing w:line="276" w:lineRule="auto"/>
              <w:ind w:left="106"/>
              <w:jc w:val="center"/>
              <w:rPr>
                <w:b/>
                <w:bCs/>
                <w:sz w:val="24"/>
              </w:rPr>
            </w:pPr>
            <w:r w:rsidRPr="00F76DBD">
              <w:rPr>
                <w:b/>
                <w:bCs/>
                <w:spacing w:val="-2"/>
                <w:sz w:val="24"/>
              </w:rPr>
              <w:t>JENSEN’S</w:t>
            </w:r>
          </w:p>
          <w:p w14:paraId="0053BE14" w14:textId="77777777" w:rsidR="00755399" w:rsidRPr="00F76DBD" w:rsidRDefault="00755399" w:rsidP="00847A51">
            <w:pPr>
              <w:spacing w:after="0" w:line="276" w:lineRule="auto"/>
              <w:jc w:val="center"/>
              <w:rPr>
                <w:rFonts w:ascii="Times New Roman" w:eastAsia="Times New Roman" w:hAnsi="Times New Roman" w:cs="Times New Roman"/>
                <w:b/>
                <w:bCs/>
                <w:color w:val="000000"/>
                <w:kern w:val="0"/>
                <w14:ligatures w14:val="none"/>
              </w:rPr>
            </w:pPr>
            <w:r w:rsidRPr="00F76DBD">
              <w:rPr>
                <w:rFonts w:ascii="Times New Roman" w:hAnsi="Times New Roman" w:cs="Times New Roman"/>
                <w:b/>
                <w:bCs/>
                <w:spacing w:val="-2"/>
              </w:rPr>
              <w:t>RANKING</w:t>
            </w:r>
          </w:p>
        </w:tc>
      </w:tr>
      <w:tr w:rsidR="00755399" w:rsidRPr="00BA3817" w14:paraId="231F6063" w14:textId="77777777" w:rsidTr="00BF2073">
        <w:trPr>
          <w:trHeight w:val="155"/>
        </w:trPr>
        <w:tc>
          <w:tcPr>
            <w:tcW w:w="3017" w:type="dxa"/>
            <w:tcBorders>
              <w:top w:val="nil"/>
              <w:left w:val="single" w:sz="4" w:space="0" w:color="auto"/>
              <w:bottom w:val="single" w:sz="4" w:space="0" w:color="auto"/>
              <w:right w:val="single" w:sz="4" w:space="0" w:color="auto"/>
            </w:tcBorders>
            <w:shd w:val="clear" w:color="auto" w:fill="auto"/>
            <w:vAlign w:val="center"/>
            <w:hideMark/>
          </w:tcPr>
          <w:p w14:paraId="1A85EBC1"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Nippon India ETF Gold Bees</w:t>
            </w:r>
            <w:r>
              <w:rPr>
                <w:rFonts w:ascii="Times New Roman" w:eastAsia="Times New Roman" w:hAnsi="Times New Roman" w:cs="Times New Roman"/>
                <w:b/>
                <w:bCs/>
                <w:color w:val="000000"/>
                <w:kern w:val="0"/>
                <w14:ligatures w14:val="none"/>
              </w:rPr>
              <w:t>”</w:t>
            </w:r>
          </w:p>
        </w:tc>
        <w:tc>
          <w:tcPr>
            <w:tcW w:w="2137" w:type="dxa"/>
            <w:tcBorders>
              <w:top w:val="single" w:sz="4" w:space="0" w:color="auto"/>
              <w:left w:val="nil"/>
              <w:bottom w:val="single" w:sz="4" w:space="0" w:color="auto"/>
              <w:right w:val="single" w:sz="4" w:space="0" w:color="auto"/>
            </w:tcBorders>
            <w:shd w:val="clear" w:color="auto" w:fill="auto"/>
            <w:vAlign w:val="center"/>
          </w:tcPr>
          <w:p w14:paraId="1EB1FA18"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6</w:t>
            </w:r>
          </w:p>
        </w:tc>
        <w:tc>
          <w:tcPr>
            <w:tcW w:w="2245" w:type="dxa"/>
            <w:tcBorders>
              <w:top w:val="nil"/>
              <w:left w:val="nil"/>
              <w:bottom w:val="single" w:sz="4" w:space="0" w:color="auto"/>
              <w:right w:val="single" w:sz="4" w:space="0" w:color="auto"/>
            </w:tcBorders>
            <w:shd w:val="clear" w:color="auto" w:fill="auto"/>
            <w:noWrap/>
            <w:vAlign w:val="center"/>
          </w:tcPr>
          <w:p w14:paraId="2CD4404A"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7</w:t>
            </w:r>
          </w:p>
        </w:tc>
        <w:tc>
          <w:tcPr>
            <w:tcW w:w="1950" w:type="dxa"/>
            <w:tcBorders>
              <w:top w:val="nil"/>
              <w:left w:val="nil"/>
              <w:bottom w:val="single" w:sz="4" w:space="0" w:color="auto"/>
              <w:right w:val="single" w:sz="4" w:space="0" w:color="auto"/>
            </w:tcBorders>
            <w:vAlign w:val="center"/>
          </w:tcPr>
          <w:p w14:paraId="65B31AFE"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4.5</w:t>
            </w:r>
          </w:p>
        </w:tc>
      </w:tr>
      <w:tr w:rsidR="00755399" w:rsidRPr="00BA3817" w14:paraId="00846D86" w14:textId="77777777" w:rsidTr="00BF2073">
        <w:trPr>
          <w:trHeight w:val="76"/>
        </w:trPr>
        <w:tc>
          <w:tcPr>
            <w:tcW w:w="3017" w:type="dxa"/>
            <w:tcBorders>
              <w:top w:val="nil"/>
              <w:left w:val="single" w:sz="4" w:space="0" w:color="auto"/>
              <w:bottom w:val="single" w:sz="4" w:space="0" w:color="auto"/>
              <w:right w:val="single" w:sz="4" w:space="0" w:color="auto"/>
            </w:tcBorders>
            <w:shd w:val="clear" w:color="auto" w:fill="auto"/>
            <w:vAlign w:val="center"/>
            <w:hideMark/>
          </w:tcPr>
          <w:p w14:paraId="05C16ED7"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SBI-ETF Gold</w:t>
            </w:r>
            <w:r>
              <w:rPr>
                <w:rFonts w:ascii="Times New Roman" w:eastAsia="Times New Roman" w:hAnsi="Times New Roman" w:cs="Times New Roman"/>
                <w:b/>
                <w:bCs/>
                <w:color w:val="000000"/>
                <w:kern w:val="0"/>
                <w14:ligatures w14:val="none"/>
              </w:rPr>
              <w:t>”</w:t>
            </w:r>
          </w:p>
        </w:tc>
        <w:tc>
          <w:tcPr>
            <w:tcW w:w="2137" w:type="dxa"/>
            <w:tcBorders>
              <w:top w:val="single" w:sz="4" w:space="0" w:color="auto"/>
              <w:left w:val="nil"/>
              <w:bottom w:val="single" w:sz="4" w:space="0" w:color="auto"/>
              <w:right w:val="single" w:sz="4" w:space="0" w:color="auto"/>
            </w:tcBorders>
            <w:shd w:val="clear" w:color="auto" w:fill="auto"/>
            <w:vAlign w:val="center"/>
          </w:tcPr>
          <w:p w14:paraId="68C5DC69"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7</w:t>
            </w:r>
          </w:p>
        </w:tc>
        <w:tc>
          <w:tcPr>
            <w:tcW w:w="2245" w:type="dxa"/>
            <w:tcBorders>
              <w:top w:val="nil"/>
              <w:left w:val="nil"/>
              <w:bottom w:val="single" w:sz="4" w:space="0" w:color="auto"/>
              <w:right w:val="single" w:sz="4" w:space="0" w:color="auto"/>
            </w:tcBorders>
            <w:shd w:val="clear" w:color="auto" w:fill="auto"/>
            <w:noWrap/>
            <w:vAlign w:val="center"/>
          </w:tcPr>
          <w:p w14:paraId="09A58BBA"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w:t>
            </w:r>
          </w:p>
        </w:tc>
        <w:tc>
          <w:tcPr>
            <w:tcW w:w="1950" w:type="dxa"/>
            <w:tcBorders>
              <w:top w:val="nil"/>
              <w:left w:val="nil"/>
              <w:bottom w:val="single" w:sz="4" w:space="0" w:color="auto"/>
              <w:right w:val="single" w:sz="4" w:space="0" w:color="auto"/>
            </w:tcBorders>
            <w:vAlign w:val="center"/>
          </w:tcPr>
          <w:p w14:paraId="2EEE2168"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6.5</w:t>
            </w:r>
          </w:p>
        </w:tc>
      </w:tr>
      <w:tr w:rsidR="00755399" w:rsidRPr="00BA3817" w14:paraId="74388848" w14:textId="77777777" w:rsidTr="00BF2073">
        <w:trPr>
          <w:trHeight w:val="155"/>
        </w:trPr>
        <w:tc>
          <w:tcPr>
            <w:tcW w:w="3017" w:type="dxa"/>
            <w:tcBorders>
              <w:top w:val="nil"/>
              <w:left w:val="single" w:sz="4" w:space="0" w:color="auto"/>
              <w:bottom w:val="single" w:sz="4" w:space="0" w:color="auto"/>
              <w:right w:val="single" w:sz="4" w:space="0" w:color="auto"/>
            </w:tcBorders>
            <w:shd w:val="clear" w:color="auto" w:fill="auto"/>
            <w:vAlign w:val="center"/>
            <w:hideMark/>
          </w:tcPr>
          <w:p w14:paraId="736A5FE1"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ICICI prudential Gold ETF</w:t>
            </w:r>
            <w:r>
              <w:rPr>
                <w:rFonts w:ascii="Times New Roman" w:eastAsia="Times New Roman" w:hAnsi="Times New Roman" w:cs="Times New Roman"/>
                <w:b/>
                <w:bCs/>
                <w:color w:val="000000"/>
                <w:kern w:val="0"/>
                <w14:ligatures w14:val="none"/>
              </w:rPr>
              <w:t>”</w:t>
            </w:r>
          </w:p>
        </w:tc>
        <w:tc>
          <w:tcPr>
            <w:tcW w:w="2137" w:type="dxa"/>
            <w:tcBorders>
              <w:top w:val="single" w:sz="4" w:space="0" w:color="auto"/>
              <w:left w:val="nil"/>
              <w:bottom w:val="single" w:sz="4" w:space="0" w:color="auto"/>
              <w:right w:val="single" w:sz="4" w:space="0" w:color="auto"/>
            </w:tcBorders>
            <w:shd w:val="clear" w:color="auto" w:fill="auto"/>
            <w:vAlign w:val="center"/>
          </w:tcPr>
          <w:p w14:paraId="52ED2F67" w14:textId="77777777" w:rsidR="00755399" w:rsidRPr="00BA3817" w:rsidRDefault="00755399" w:rsidP="00847A51">
            <w:pPr>
              <w:spacing w:after="0" w:line="276" w:lineRule="auto"/>
              <w:jc w:val="center"/>
              <w:rPr>
                <w:rFonts w:ascii="Times New Roman" w:eastAsia="Times New Roman" w:hAnsi="Times New Roman" w:cs="Times New Roman"/>
                <w:color w:val="000000"/>
                <w:kern w:val="0"/>
                <w14:ligatures w14:val="none"/>
              </w:rPr>
            </w:pPr>
            <w:r w:rsidRPr="00BA3817">
              <w:rPr>
                <w:rFonts w:ascii="Calibri" w:eastAsia="Times New Roman" w:hAnsi="Calibri" w:cs="Calibri"/>
                <w:color w:val="000000"/>
                <w:kern w:val="0"/>
                <w14:ligatures w14:val="none"/>
              </w:rPr>
              <w:t>1</w:t>
            </w:r>
          </w:p>
        </w:tc>
        <w:tc>
          <w:tcPr>
            <w:tcW w:w="2245" w:type="dxa"/>
            <w:tcBorders>
              <w:top w:val="nil"/>
              <w:left w:val="nil"/>
              <w:bottom w:val="single" w:sz="4" w:space="0" w:color="auto"/>
              <w:right w:val="single" w:sz="4" w:space="0" w:color="auto"/>
            </w:tcBorders>
            <w:shd w:val="clear" w:color="auto" w:fill="auto"/>
            <w:noWrap/>
            <w:vAlign w:val="center"/>
          </w:tcPr>
          <w:p w14:paraId="704060C0"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p>
        </w:tc>
        <w:tc>
          <w:tcPr>
            <w:tcW w:w="1950" w:type="dxa"/>
            <w:tcBorders>
              <w:top w:val="nil"/>
              <w:left w:val="nil"/>
              <w:bottom w:val="single" w:sz="4" w:space="0" w:color="auto"/>
              <w:right w:val="single" w:sz="4" w:space="0" w:color="auto"/>
            </w:tcBorders>
            <w:vAlign w:val="center"/>
          </w:tcPr>
          <w:p w14:paraId="70CC99E3"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w:t>
            </w:r>
          </w:p>
        </w:tc>
      </w:tr>
      <w:tr w:rsidR="00755399" w:rsidRPr="00BA3817" w14:paraId="511C1168" w14:textId="77777777" w:rsidTr="00BF2073">
        <w:trPr>
          <w:trHeight w:val="233"/>
        </w:trPr>
        <w:tc>
          <w:tcPr>
            <w:tcW w:w="3017" w:type="dxa"/>
            <w:tcBorders>
              <w:top w:val="nil"/>
              <w:left w:val="single" w:sz="4" w:space="0" w:color="auto"/>
              <w:bottom w:val="single" w:sz="4" w:space="0" w:color="auto"/>
              <w:right w:val="single" w:sz="4" w:space="0" w:color="auto"/>
            </w:tcBorders>
            <w:shd w:val="clear" w:color="auto" w:fill="auto"/>
            <w:vAlign w:val="center"/>
            <w:hideMark/>
          </w:tcPr>
          <w:p w14:paraId="37D124DF"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HDFC Gold Exchange traded fund</w:t>
            </w:r>
            <w:r>
              <w:rPr>
                <w:rFonts w:ascii="Times New Roman" w:eastAsia="Times New Roman" w:hAnsi="Times New Roman" w:cs="Times New Roman"/>
                <w:b/>
                <w:bCs/>
                <w:color w:val="000000"/>
                <w:kern w:val="0"/>
                <w14:ligatures w14:val="none"/>
              </w:rPr>
              <w:t>”</w:t>
            </w:r>
          </w:p>
        </w:tc>
        <w:tc>
          <w:tcPr>
            <w:tcW w:w="2137" w:type="dxa"/>
            <w:tcBorders>
              <w:top w:val="single" w:sz="4" w:space="0" w:color="auto"/>
              <w:left w:val="nil"/>
              <w:bottom w:val="single" w:sz="4" w:space="0" w:color="auto"/>
              <w:right w:val="single" w:sz="4" w:space="0" w:color="auto"/>
            </w:tcBorders>
            <w:shd w:val="clear" w:color="auto" w:fill="auto"/>
            <w:vAlign w:val="center"/>
          </w:tcPr>
          <w:p w14:paraId="6D805C72" w14:textId="77777777" w:rsidR="00755399" w:rsidRPr="00BA3817" w:rsidRDefault="00755399" w:rsidP="00847A51">
            <w:pPr>
              <w:spacing w:after="0" w:line="276" w:lineRule="auto"/>
              <w:jc w:val="center"/>
              <w:rPr>
                <w:rFonts w:ascii="Times New Roman" w:eastAsia="Times New Roman" w:hAnsi="Times New Roman" w:cs="Times New Roman"/>
                <w:color w:val="000000"/>
                <w:kern w:val="0"/>
                <w14:ligatures w14:val="none"/>
              </w:rPr>
            </w:pPr>
            <w:r w:rsidRPr="00BA3817">
              <w:rPr>
                <w:rFonts w:ascii="Calibri" w:eastAsia="Times New Roman" w:hAnsi="Calibri" w:cs="Calibri"/>
                <w:color w:val="000000"/>
                <w:kern w:val="0"/>
                <w14:ligatures w14:val="none"/>
              </w:rPr>
              <w:t>3</w:t>
            </w:r>
          </w:p>
        </w:tc>
        <w:tc>
          <w:tcPr>
            <w:tcW w:w="2245" w:type="dxa"/>
            <w:tcBorders>
              <w:top w:val="nil"/>
              <w:left w:val="nil"/>
              <w:bottom w:val="single" w:sz="4" w:space="0" w:color="auto"/>
              <w:right w:val="single" w:sz="4" w:space="0" w:color="auto"/>
            </w:tcBorders>
            <w:shd w:val="clear" w:color="auto" w:fill="auto"/>
            <w:noWrap/>
            <w:vAlign w:val="center"/>
          </w:tcPr>
          <w:p w14:paraId="70676EA8"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5</w:t>
            </w:r>
          </w:p>
        </w:tc>
        <w:tc>
          <w:tcPr>
            <w:tcW w:w="1950" w:type="dxa"/>
            <w:tcBorders>
              <w:top w:val="nil"/>
              <w:left w:val="nil"/>
              <w:bottom w:val="single" w:sz="4" w:space="0" w:color="auto"/>
              <w:right w:val="single" w:sz="4" w:space="0" w:color="auto"/>
            </w:tcBorders>
            <w:vAlign w:val="center"/>
          </w:tcPr>
          <w:p w14:paraId="4B0D1CF0"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p>
        </w:tc>
      </w:tr>
      <w:tr w:rsidR="00755399" w:rsidRPr="00BA3817" w14:paraId="307F6F0A" w14:textId="77777777" w:rsidTr="00BF2073">
        <w:trPr>
          <w:trHeight w:val="76"/>
        </w:trPr>
        <w:tc>
          <w:tcPr>
            <w:tcW w:w="3017" w:type="dxa"/>
            <w:tcBorders>
              <w:top w:val="nil"/>
              <w:left w:val="single" w:sz="4" w:space="0" w:color="auto"/>
              <w:bottom w:val="single" w:sz="4" w:space="0" w:color="auto"/>
              <w:right w:val="single" w:sz="4" w:space="0" w:color="auto"/>
            </w:tcBorders>
            <w:shd w:val="clear" w:color="auto" w:fill="auto"/>
            <w:vAlign w:val="center"/>
            <w:hideMark/>
          </w:tcPr>
          <w:p w14:paraId="3CD4A40A"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Kotak Gold ETF</w:t>
            </w:r>
            <w:r>
              <w:rPr>
                <w:rFonts w:ascii="Times New Roman" w:eastAsia="Times New Roman" w:hAnsi="Times New Roman" w:cs="Times New Roman"/>
                <w:b/>
                <w:bCs/>
                <w:color w:val="000000"/>
                <w:kern w:val="0"/>
                <w14:ligatures w14:val="none"/>
              </w:rPr>
              <w:t>”</w:t>
            </w:r>
          </w:p>
        </w:tc>
        <w:tc>
          <w:tcPr>
            <w:tcW w:w="2137" w:type="dxa"/>
            <w:tcBorders>
              <w:top w:val="single" w:sz="4" w:space="0" w:color="auto"/>
              <w:left w:val="nil"/>
              <w:bottom w:val="single" w:sz="4" w:space="0" w:color="auto"/>
              <w:right w:val="single" w:sz="4" w:space="0" w:color="auto"/>
            </w:tcBorders>
            <w:shd w:val="clear" w:color="auto" w:fill="auto"/>
            <w:vAlign w:val="center"/>
          </w:tcPr>
          <w:p w14:paraId="44A5E4A1"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4</w:t>
            </w:r>
          </w:p>
        </w:tc>
        <w:tc>
          <w:tcPr>
            <w:tcW w:w="2245" w:type="dxa"/>
            <w:tcBorders>
              <w:top w:val="nil"/>
              <w:left w:val="nil"/>
              <w:bottom w:val="single" w:sz="4" w:space="0" w:color="auto"/>
              <w:right w:val="single" w:sz="4" w:space="0" w:color="auto"/>
            </w:tcBorders>
            <w:shd w:val="clear" w:color="auto" w:fill="auto"/>
            <w:noWrap/>
            <w:vAlign w:val="center"/>
          </w:tcPr>
          <w:p w14:paraId="2B40DBE4"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6</w:t>
            </w:r>
          </w:p>
        </w:tc>
        <w:tc>
          <w:tcPr>
            <w:tcW w:w="1950" w:type="dxa"/>
            <w:tcBorders>
              <w:top w:val="nil"/>
              <w:left w:val="nil"/>
              <w:bottom w:val="single" w:sz="4" w:space="0" w:color="auto"/>
              <w:right w:val="single" w:sz="4" w:space="0" w:color="auto"/>
            </w:tcBorders>
            <w:vAlign w:val="center"/>
          </w:tcPr>
          <w:p w14:paraId="724086C7"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6.5</w:t>
            </w:r>
          </w:p>
        </w:tc>
      </w:tr>
      <w:tr w:rsidR="00755399" w:rsidRPr="00BA3817" w14:paraId="2343F81E" w14:textId="77777777" w:rsidTr="00BF2073">
        <w:trPr>
          <w:trHeight w:val="76"/>
        </w:trPr>
        <w:tc>
          <w:tcPr>
            <w:tcW w:w="3017" w:type="dxa"/>
            <w:tcBorders>
              <w:top w:val="nil"/>
              <w:left w:val="single" w:sz="4" w:space="0" w:color="auto"/>
              <w:bottom w:val="single" w:sz="4" w:space="0" w:color="auto"/>
              <w:right w:val="single" w:sz="4" w:space="0" w:color="auto"/>
            </w:tcBorders>
            <w:shd w:val="clear" w:color="auto" w:fill="auto"/>
            <w:vAlign w:val="center"/>
            <w:hideMark/>
          </w:tcPr>
          <w:p w14:paraId="23D39818"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Axis Gold ETF</w:t>
            </w:r>
            <w:r>
              <w:rPr>
                <w:rFonts w:ascii="Times New Roman" w:eastAsia="Times New Roman" w:hAnsi="Times New Roman" w:cs="Times New Roman"/>
                <w:b/>
                <w:bCs/>
                <w:color w:val="000000"/>
                <w:kern w:val="0"/>
                <w14:ligatures w14:val="none"/>
              </w:rPr>
              <w:t>”</w:t>
            </w:r>
          </w:p>
        </w:tc>
        <w:tc>
          <w:tcPr>
            <w:tcW w:w="2137" w:type="dxa"/>
            <w:tcBorders>
              <w:top w:val="single" w:sz="4" w:space="0" w:color="auto"/>
              <w:left w:val="nil"/>
              <w:bottom w:val="single" w:sz="4" w:space="0" w:color="auto"/>
              <w:right w:val="single" w:sz="4" w:space="0" w:color="auto"/>
            </w:tcBorders>
            <w:shd w:val="clear" w:color="auto" w:fill="auto"/>
            <w:vAlign w:val="center"/>
          </w:tcPr>
          <w:p w14:paraId="077E92CF"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5</w:t>
            </w:r>
          </w:p>
        </w:tc>
        <w:tc>
          <w:tcPr>
            <w:tcW w:w="2245" w:type="dxa"/>
            <w:tcBorders>
              <w:top w:val="nil"/>
              <w:left w:val="nil"/>
              <w:bottom w:val="single" w:sz="4" w:space="0" w:color="auto"/>
              <w:right w:val="single" w:sz="4" w:space="0" w:color="auto"/>
            </w:tcBorders>
            <w:shd w:val="clear" w:color="auto" w:fill="auto"/>
            <w:noWrap/>
            <w:vAlign w:val="center"/>
          </w:tcPr>
          <w:p w14:paraId="1DD2CA9F"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1</w:t>
            </w:r>
          </w:p>
        </w:tc>
        <w:tc>
          <w:tcPr>
            <w:tcW w:w="1950" w:type="dxa"/>
            <w:tcBorders>
              <w:top w:val="nil"/>
              <w:left w:val="nil"/>
              <w:bottom w:val="single" w:sz="4" w:space="0" w:color="auto"/>
              <w:right w:val="single" w:sz="4" w:space="0" w:color="auto"/>
            </w:tcBorders>
            <w:vAlign w:val="center"/>
          </w:tcPr>
          <w:p w14:paraId="3AB3EAD0"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4.5</w:t>
            </w:r>
          </w:p>
        </w:tc>
      </w:tr>
      <w:tr w:rsidR="00755399" w:rsidRPr="00BA3817" w14:paraId="7802EEA8" w14:textId="77777777" w:rsidTr="00BF2073">
        <w:trPr>
          <w:trHeight w:val="155"/>
        </w:trPr>
        <w:tc>
          <w:tcPr>
            <w:tcW w:w="3017" w:type="dxa"/>
            <w:tcBorders>
              <w:top w:val="nil"/>
              <w:left w:val="single" w:sz="4" w:space="0" w:color="auto"/>
              <w:bottom w:val="single" w:sz="4" w:space="0" w:color="auto"/>
              <w:right w:val="single" w:sz="4" w:space="0" w:color="auto"/>
            </w:tcBorders>
            <w:shd w:val="clear" w:color="auto" w:fill="auto"/>
            <w:vAlign w:val="center"/>
            <w:hideMark/>
          </w:tcPr>
          <w:p w14:paraId="0192667A" w14:textId="77777777" w:rsidR="00755399" w:rsidRPr="00BA3817" w:rsidRDefault="00755399" w:rsidP="00847A51">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Aditya Birla Gold ETF</w:t>
            </w:r>
            <w:r>
              <w:rPr>
                <w:rFonts w:ascii="Times New Roman" w:eastAsia="Times New Roman" w:hAnsi="Times New Roman" w:cs="Times New Roman"/>
                <w:b/>
                <w:bCs/>
                <w:color w:val="000000"/>
                <w:kern w:val="0"/>
                <w14:ligatures w14:val="none"/>
              </w:rPr>
              <w:t>”</w:t>
            </w:r>
          </w:p>
        </w:tc>
        <w:tc>
          <w:tcPr>
            <w:tcW w:w="2137" w:type="dxa"/>
            <w:tcBorders>
              <w:top w:val="single" w:sz="4" w:space="0" w:color="auto"/>
              <w:left w:val="nil"/>
              <w:bottom w:val="single" w:sz="4" w:space="0" w:color="auto"/>
              <w:right w:val="single" w:sz="4" w:space="0" w:color="auto"/>
            </w:tcBorders>
            <w:shd w:val="clear" w:color="auto" w:fill="auto"/>
            <w:vAlign w:val="center"/>
          </w:tcPr>
          <w:p w14:paraId="6872060C"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sidRPr="00BA3817">
              <w:rPr>
                <w:rFonts w:ascii="Calibri" w:eastAsia="Times New Roman" w:hAnsi="Calibri" w:cs="Calibri"/>
                <w:color w:val="000000"/>
                <w:kern w:val="0"/>
                <w14:ligatures w14:val="none"/>
              </w:rPr>
              <w:t>2</w:t>
            </w:r>
          </w:p>
        </w:tc>
        <w:tc>
          <w:tcPr>
            <w:tcW w:w="2245" w:type="dxa"/>
            <w:tcBorders>
              <w:top w:val="nil"/>
              <w:left w:val="nil"/>
              <w:bottom w:val="single" w:sz="4" w:space="0" w:color="auto"/>
              <w:right w:val="single" w:sz="4" w:space="0" w:color="auto"/>
            </w:tcBorders>
            <w:shd w:val="clear" w:color="auto" w:fill="auto"/>
            <w:noWrap/>
            <w:vAlign w:val="center"/>
          </w:tcPr>
          <w:p w14:paraId="795EEF3F"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3</w:t>
            </w:r>
          </w:p>
        </w:tc>
        <w:tc>
          <w:tcPr>
            <w:tcW w:w="1950" w:type="dxa"/>
            <w:tcBorders>
              <w:top w:val="nil"/>
              <w:left w:val="nil"/>
              <w:bottom w:val="single" w:sz="4" w:space="0" w:color="auto"/>
              <w:right w:val="single" w:sz="4" w:space="0" w:color="auto"/>
            </w:tcBorders>
            <w:vAlign w:val="center"/>
          </w:tcPr>
          <w:p w14:paraId="4A0D36FA" w14:textId="77777777" w:rsidR="00755399" w:rsidRPr="00BA3817" w:rsidRDefault="00755399" w:rsidP="00847A51">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w:t>
            </w:r>
          </w:p>
        </w:tc>
      </w:tr>
    </w:tbl>
    <w:p w14:paraId="238A9B12" w14:textId="77777777" w:rsidR="00755399" w:rsidRDefault="00755399" w:rsidP="00847A51">
      <w:pPr>
        <w:spacing w:line="276" w:lineRule="auto"/>
        <w:rPr>
          <w:rFonts w:ascii="Times New Roman" w:hAnsi="Times New Roman" w:cs="Times New Roman"/>
          <w:b/>
          <w:bCs/>
          <w:sz w:val="28"/>
          <w:szCs w:val="28"/>
          <w:u w:val="single"/>
        </w:rPr>
      </w:pPr>
    </w:p>
    <w:p w14:paraId="176BB4B8" w14:textId="77777777" w:rsidR="00755399" w:rsidRPr="00C66859" w:rsidRDefault="00755399" w:rsidP="00847A51">
      <w:pPr>
        <w:spacing w:line="276" w:lineRule="auto"/>
        <w:jc w:val="both"/>
        <w:rPr>
          <w:rFonts w:ascii="Times New Roman" w:hAnsi="Times New Roman" w:cs="Times New Roman"/>
        </w:rPr>
      </w:pPr>
      <w:r w:rsidRPr="00C66859">
        <w:rPr>
          <w:rFonts w:ascii="Times New Roman" w:hAnsi="Times New Roman" w:cs="Times New Roman"/>
        </w:rPr>
        <w:t>We can form valid judgments using the ranking of the performance measures for the chosen gold ETFs suggested by Treynor, Jensen, and Sharpe, as this gives a full picture of their overall performance and risk-adjusted returns.</w:t>
      </w:r>
    </w:p>
    <w:p w14:paraId="1A00ACA5" w14:textId="77777777" w:rsidR="00755399" w:rsidRPr="00C66859" w:rsidRDefault="00755399" w:rsidP="00847A51">
      <w:pPr>
        <w:spacing w:line="276" w:lineRule="auto"/>
        <w:jc w:val="both"/>
        <w:rPr>
          <w:rFonts w:ascii="Times New Roman" w:hAnsi="Times New Roman" w:cs="Times New Roman"/>
          <w:b/>
          <w:bCs/>
        </w:rPr>
      </w:pPr>
      <w:r w:rsidRPr="00C66859">
        <w:rPr>
          <w:rFonts w:ascii="Times New Roman" w:hAnsi="Times New Roman" w:cs="Times New Roman"/>
          <w:b/>
          <w:bCs/>
        </w:rPr>
        <w:t>1. Ranking by Sharpe Ratio:</w:t>
      </w:r>
    </w:p>
    <w:p w14:paraId="26EBF974" w14:textId="77777777" w:rsidR="00755399" w:rsidRPr="00C66859" w:rsidRDefault="00755399" w:rsidP="00847A51">
      <w:pPr>
        <w:spacing w:line="276" w:lineRule="auto"/>
        <w:jc w:val="both"/>
        <w:rPr>
          <w:rFonts w:ascii="Times New Roman" w:hAnsi="Times New Roman" w:cs="Times New Roman"/>
        </w:rPr>
      </w:pPr>
      <w:r w:rsidRPr="00C66859">
        <w:rPr>
          <w:rFonts w:ascii="Times New Roman" w:hAnsi="Times New Roman" w:cs="Times New Roman"/>
        </w:rPr>
        <w:t xml:space="preserve">Of the opted funds, </w:t>
      </w:r>
      <w:r w:rsidRPr="00C66859">
        <w:rPr>
          <w:rFonts w:ascii="Times New Roman" w:hAnsi="Times New Roman" w:cs="Times New Roman"/>
          <w:b/>
          <w:bCs/>
        </w:rPr>
        <w:t xml:space="preserve">"ICICI Prudential Gold ETF” </w:t>
      </w:r>
      <w:r w:rsidRPr="00C66859">
        <w:rPr>
          <w:rFonts w:ascii="Times New Roman" w:hAnsi="Times New Roman" w:cs="Times New Roman"/>
        </w:rPr>
        <w:t>has been ranked with the highest Sharpe Ratio, hence it provides the best risk-adjusted returns. In other words, for every unit of risk in ICICI Prudential Gold ETF, it has a maximum return, therefore being the most desirable fund to investors seeking more returns with less risk.</w:t>
      </w:r>
    </w:p>
    <w:p w14:paraId="45CDA3DE" w14:textId="77777777" w:rsidR="00755399" w:rsidRPr="00C66859" w:rsidRDefault="00755399" w:rsidP="00847A51">
      <w:pPr>
        <w:spacing w:line="276" w:lineRule="auto"/>
        <w:jc w:val="both"/>
        <w:rPr>
          <w:rFonts w:ascii="Times New Roman" w:hAnsi="Times New Roman" w:cs="Times New Roman"/>
        </w:rPr>
      </w:pPr>
      <w:r w:rsidRPr="00C66859">
        <w:rPr>
          <w:rFonts w:ascii="Times New Roman" w:hAnsi="Times New Roman" w:cs="Times New Roman"/>
        </w:rPr>
        <w:t>The next two funds, after ICICI Prudential, are "</w:t>
      </w:r>
      <w:r w:rsidRPr="00C66859">
        <w:rPr>
          <w:rFonts w:ascii="Times New Roman" w:hAnsi="Times New Roman" w:cs="Times New Roman"/>
          <w:b/>
          <w:bCs/>
        </w:rPr>
        <w:t>Aditya Birla Sun Life Gold ETF</w:t>
      </w:r>
      <w:r w:rsidRPr="00C66859">
        <w:rPr>
          <w:rFonts w:ascii="Times New Roman" w:hAnsi="Times New Roman" w:cs="Times New Roman"/>
        </w:rPr>
        <w:t>" and "</w:t>
      </w:r>
      <w:r w:rsidRPr="00C66859">
        <w:rPr>
          <w:rFonts w:ascii="Times New Roman" w:hAnsi="Times New Roman" w:cs="Times New Roman"/>
          <w:b/>
          <w:bCs/>
        </w:rPr>
        <w:t>HDFC Gold ETF</w:t>
      </w:r>
      <w:r w:rsidRPr="00C66859">
        <w:rPr>
          <w:rFonts w:ascii="Times New Roman" w:hAnsi="Times New Roman" w:cs="Times New Roman"/>
        </w:rPr>
        <w:t>". These funds are also very good options for the risk-averse investors since they, too, have positive risk-adjusted returns.</w:t>
      </w:r>
    </w:p>
    <w:p w14:paraId="7D14557C" w14:textId="77777777" w:rsidR="00755399" w:rsidRPr="00C66859" w:rsidRDefault="00755399" w:rsidP="00847A51">
      <w:pPr>
        <w:spacing w:line="276" w:lineRule="auto"/>
        <w:jc w:val="both"/>
        <w:rPr>
          <w:rFonts w:ascii="Times New Roman" w:hAnsi="Times New Roman" w:cs="Times New Roman"/>
        </w:rPr>
      </w:pPr>
      <w:r w:rsidRPr="00C66859">
        <w:rPr>
          <w:rFonts w:ascii="Times New Roman" w:hAnsi="Times New Roman" w:cs="Times New Roman"/>
        </w:rPr>
        <w:t>On the other hand, SBI-ETF Gold has the lowest ranking in Sharpe Ratio, thus it offers the most undesirable risk-adjusted return among the seven funds.</w:t>
      </w:r>
    </w:p>
    <w:p w14:paraId="10206E16" w14:textId="77777777" w:rsidR="00755399" w:rsidRPr="00C66859" w:rsidRDefault="00755399" w:rsidP="00847A51">
      <w:pPr>
        <w:spacing w:line="276" w:lineRule="auto"/>
        <w:jc w:val="both"/>
        <w:rPr>
          <w:rFonts w:ascii="Times New Roman" w:hAnsi="Times New Roman" w:cs="Times New Roman"/>
          <w:b/>
          <w:bCs/>
        </w:rPr>
      </w:pPr>
      <w:r w:rsidRPr="00C66859">
        <w:rPr>
          <w:rFonts w:ascii="Times New Roman" w:hAnsi="Times New Roman" w:cs="Times New Roman"/>
          <w:b/>
          <w:bCs/>
        </w:rPr>
        <w:t>2. Ranking by Treynor Ratio:</w:t>
      </w:r>
    </w:p>
    <w:p w14:paraId="472BF52B" w14:textId="77777777" w:rsidR="00755399" w:rsidRPr="00C66859" w:rsidRDefault="00755399" w:rsidP="00847A51">
      <w:pPr>
        <w:spacing w:line="276" w:lineRule="auto"/>
        <w:jc w:val="both"/>
        <w:rPr>
          <w:rFonts w:ascii="Times New Roman" w:hAnsi="Times New Roman" w:cs="Times New Roman"/>
        </w:rPr>
      </w:pPr>
      <w:r w:rsidRPr="00C66859">
        <w:rPr>
          <w:rFonts w:ascii="Times New Roman" w:hAnsi="Times New Roman" w:cs="Times New Roman"/>
        </w:rPr>
        <w:t>With the highest returns vis-à-vis its systematic risk, Axis Gold ETF commands the top Treynor Ratio ranking. This would be an extremely interesting ETF for investors who are concerned about the relation of return to market risk.</w:t>
      </w:r>
    </w:p>
    <w:p w14:paraId="7C694EC8" w14:textId="77777777" w:rsidR="00755399" w:rsidRDefault="00755399" w:rsidP="00847A51">
      <w:pPr>
        <w:spacing w:line="276" w:lineRule="auto"/>
        <w:jc w:val="both"/>
        <w:rPr>
          <w:rFonts w:ascii="Times New Roman" w:hAnsi="Times New Roman" w:cs="Times New Roman"/>
        </w:rPr>
      </w:pPr>
      <w:r w:rsidRPr="00C66859">
        <w:rPr>
          <w:rFonts w:ascii="Times New Roman" w:hAnsi="Times New Roman" w:cs="Times New Roman"/>
        </w:rPr>
        <w:t xml:space="preserve">The </w:t>
      </w:r>
      <w:r w:rsidRPr="00C66859">
        <w:rPr>
          <w:rFonts w:ascii="Times New Roman" w:hAnsi="Times New Roman" w:cs="Times New Roman"/>
          <w:b/>
          <w:bCs/>
        </w:rPr>
        <w:t>ICICI Prudential Gold ETF</w:t>
      </w:r>
      <w:r w:rsidRPr="00C66859">
        <w:rPr>
          <w:rFonts w:ascii="Times New Roman" w:hAnsi="Times New Roman" w:cs="Times New Roman"/>
        </w:rPr>
        <w:t xml:space="preserve"> has remained in an outstanding performance position with respect to the Treynor and Sharpe rankings, as can be observed from its second-place Treynor Ratio ranking. In contrast, "</w:t>
      </w:r>
      <w:r w:rsidRPr="00C66859">
        <w:rPr>
          <w:rFonts w:ascii="Times New Roman" w:hAnsi="Times New Roman" w:cs="Times New Roman"/>
          <w:b/>
          <w:bCs/>
        </w:rPr>
        <w:t>Nippon India ETF Gold Bees</w:t>
      </w:r>
      <w:r w:rsidRPr="00C66859">
        <w:rPr>
          <w:rFonts w:ascii="Times New Roman" w:hAnsi="Times New Roman" w:cs="Times New Roman"/>
        </w:rPr>
        <w:t>" has performed poorly in terms of return per unit of market risk, as indicated by its lowest Treynor Ratio ranking of 7th.</w:t>
      </w:r>
    </w:p>
    <w:p w14:paraId="6F003887" w14:textId="77777777" w:rsidR="00755399" w:rsidRDefault="00755399" w:rsidP="00847A51">
      <w:pPr>
        <w:spacing w:line="276" w:lineRule="auto"/>
        <w:jc w:val="both"/>
        <w:rPr>
          <w:rFonts w:ascii="Times New Roman" w:hAnsi="Times New Roman" w:cs="Times New Roman"/>
          <w:b/>
          <w:bCs/>
        </w:rPr>
      </w:pPr>
      <w:r w:rsidRPr="009273DC">
        <w:rPr>
          <w:rFonts w:ascii="Times New Roman" w:hAnsi="Times New Roman" w:cs="Times New Roman"/>
          <w:b/>
          <w:bCs/>
        </w:rPr>
        <w:t>3. The ranking of Jensen's Alpha:</w:t>
      </w:r>
    </w:p>
    <w:p w14:paraId="76858634" w14:textId="77777777" w:rsidR="00755399" w:rsidRDefault="00755399" w:rsidP="00847A51">
      <w:pPr>
        <w:spacing w:line="276" w:lineRule="auto"/>
        <w:jc w:val="both"/>
        <w:rPr>
          <w:rFonts w:ascii="Times New Roman" w:hAnsi="Times New Roman" w:cs="Times New Roman"/>
        </w:rPr>
      </w:pPr>
      <w:r w:rsidRPr="009273DC">
        <w:rPr>
          <w:rFonts w:ascii="Times New Roman" w:hAnsi="Times New Roman" w:cs="Times New Roman"/>
        </w:rPr>
        <w:lastRenderedPageBreak/>
        <w:t xml:space="preserve">The </w:t>
      </w:r>
      <w:r w:rsidRPr="009273DC">
        <w:rPr>
          <w:rFonts w:ascii="Times New Roman" w:hAnsi="Times New Roman" w:cs="Times New Roman"/>
          <w:b/>
          <w:bCs/>
        </w:rPr>
        <w:t>HDFC Gold Exchange Traded Fund</w:t>
      </w:r>
      <w:r w:rsidRPr="009273DC">
        <w:rPr>
          <w:rFonts w:ascii="Times New Roman" w:hAnsi="Times New Roman" w:cs="Times New Roman"/>
        </w:rPr>
        <w:t xml:space="preserve"> holds the highest ranking in Jensen's Alpha, signifying exceptional active management and superior performance, as well as returns that have surpassed its benchmark index.</w:t>
      </w:r>
      <w:r>
        <w:rPr>
          <w:rFonts w:ascii="Times New Roman" w:hAnsi="Times New Roman" w:cs="Times New Roman"/>
        </w:rPr>
        <w:t xml:space="preserve"> </w:t>
      </w:r>
      <w:r w:rsidRPr="009273DC">
        <w:rPr>
          <w:rFonts w:ascii="Times New Roman" w:hAnsi="Times New Roman" w:cs="Times New Roman"/>
        </w:rPr>
        <w:t xml:space="preserve">The </w:t>
      </w:r>
      <w:r>
        <w:rPr>
          <w:rFonts w:ascii="Times New Roman" w:hAnsi="Times New Roman" w:cs="Times New Roman"/>
        </w:rPr>
        <w:t>“</w:t>
      </w:r>
      <w:r w:rsidRPr="009273DC">
        <w:rPr>
          <w:rFonts w:ascii="Times New Roman" w:hAnsi="Times New Roman" w:cs="Times New Roman"/>
          <w:b/>
          <w:bCs/>
        </w:rPr>
        <w:t>Aditya Birla Sun Life Gold ETF</w:t>
      </w:r>
      <w:r>
        <w:rPr>
          <w:rFonts w:ascii="Times New Roman" w:hAnsi="Times New Roman" w:cs="Times New Roman"/>
          <w:b/>
          <w:bCs/>
        </w:rPr>
        <w:t>”</w:t>
      </w:r>
      <w:r w:rsidRPr="009273DC">
        <w:rPr>
          <w:rFonts w:ascii="Times New Roman" w:hAnsi="Times New Roman" w:cs="Times New Roman"/>
        </w:rPr>
        <w:t xml:space="preserve"> is a close second, exhibiting the capacity to surpass its benchmark as well</w:t>
      </w:r>
      <w:r>
        <w:rPr>
          <w:rFonts w:ascii="Times New Roman" w:hAnsi="Times New Roman" w:cs="Times New Roman"/>
        </w:rPr>
        <w:t xml:space="preserve">. </w:t>
      </w:r>
      <w:r w:rsidRPr="009273DC">
        <w:rPr>
          <w:rFonts w:ascii="Times New Roman" w:hAnsi="Times New Roman" w:cs="Times New Roman"/>
        </w:rPr>
        <w:t>In Jensen's Alpha, Kotak Gold ETF and SBI-ETF Gold are tied for the lowest rank (6.5th), suggesting that they have underperformed in comparison to their benchmark indexes.</w:t>
      </w:r>
    </w:p>
    <w:p w14:paraId="7B7A8022" w14:textId="77777777" w:rsidR="00755399" w:rsidRPr="00B91A46" w:rsidRDefault="00755399" w:rsidP="00847A51">
      <w:pPr>
        <w:spacing w:line="276" w:lineRule="auto"/>
        <w:jc w:val="both"/>
        <w:rPr>
          <w:rFonts w:ascii="Times New Roman" w:hAnsi="Times New Roman" w:cs="Times New Roman"/>
        </w:rPr>
      </w:pPr>
      <w:r w:rsidRPr="00C44FD3">
        <w:rPr>
          <w:rFonts w:ascii="Times New Roman" w:hAnsi="Times New Roman" w:cs="Times New Roman"/>
          <w:b/>
          <w:bCs/>
        </w:rPr>
        <w:t>Overall</w:t>
      </w:r>
      <w:r w:rsidRPr="0031501F">
        <w:rPr>
          <w:rFonts w:ascii="Times New Roman" w:hAnsi="Times New Roman" w:cs="Times New Roman"/>
          <w:b/>
          <w:bCs/>
        </w:rPr>
        <w:t xml:space="preserve"> Analysis:</w:t>
      </w:r>
    </w:p>
    <w:p w14:paraId="366C7FBE" w14:textId="5DF665D8" w:rsidR="00CD5A38" w:rsidRDefault="00755399" w:rsidP="00847A51">
      <w:pPr>
        <w:spacing w:line="276" w:lineRule="auto"/>
        <w:jc w:val="both"/>
        <w:rPr>
          <w:rFonts w:ascii="Times New Roman" w:hAnsi="Times New Roman" w:cs="Times New Roman"/>
        </w:rPr>
      </w:pPr>
      <w:r w:rsidRPr="0031501F">
        <w:rPr>
          <w:rFonts w:ascii="Times New Roman" w:hAnsi="Times New Roman" w:cs="Times New Roman"/>
        </w:rPr>
        <w:t xml:space="preserve">The </w:t>
      </w:r>
      <w:r>
        <w:rPr>
          <w:rFonts w:ascii="Times New Roman" w:hAnsi="Times New Roman" w:cs="Times New Roman"/>
        </w:rPr>
        <w:t>“</w:t>
      </w:r>
      <w:r w:rsidRPr="0031501F">
        <w:rPr>
          <w:rFonts w:ascii="Times New Roman" w:hAnsi="Times New Roman" w:cs="Times New Roman"/>
          <w:b/>
          <w:bCs/>
        </w:rPr>
        <w:t>ICICI Prudential Gold ETF</w:t>
      </w:r>
      <w:r>
        <w:rPr>
          <w:rFonts w:ascii="Times New Roman" w:hAnsi="Times New Roman" w:cs="Times New Roman"/>
          <w:b/>
          <w:bCs/>
        </w:rPr>
        <w:t>”</w:t>
      </w:r>
      <w:r w:rsidRPr="0031501F">
        <w:rPr>
          <w:rFonts w:ascii="Times New Roman" w:hAnsi="Times New Roman" w:cs="Times New Roman"/>
        </w:rPr>
        <w:t xml:space="preserve"> is a strong option for investors looking for balanced performance in terms of risk</w:t>
      </w:r>
      <w:r>
        <w:rPr>
          <w:rFonts w:ascii="Times New Roman" w:hAnsi="Times New Roman" w:cs="Times New Roman"/>
        </w:rPr>
        <w:t>-</w:t>
      </w:r>
      <w:r w:rsidRPr="0031501F">
        <w:rPr>
          <w:rFonts w:ascii="Times New Roman" w:hAnsi="Times New Roman" w:cs="Times New Roman"/>
        </w:rPr>
        <w:t>adjusted returns, market risk, and benchmark outperformance because it performs well across all three measures (1st in Treynor, 2nd in Sharpe, and 3rd in Jensen).</w:t>
      </w:r>
      <w:r>
        <w:rPr>
          <w:rFonts w:ascii="Times New Roman" w:hAnsi="Times New Roman" w:cs="Times New Roman"/>
        </w:rPr>
        <w:t xml:space="preserve"> </w:t>
      </w:r>
      <w:r w:rsidRPr="0031501F">
        <w:rPr>
          <w:rFonts w:ascii="Times New Roman" w:hAnsi="Times New Roman" w:cs="Times New Roman"/>
        </w:rPr>
        <w:t xml:space="preserve">Strong performance is also displayed by the </w:t>
      </w:r>
      <w:r>
        <w:rPr>
          <w:rFonts w:ascii="Times New Roman" w:hAnsi="Times New Roman" w:cs="Times New Roman"/>
        </w:rPr>
        <w:t>“</w:t>
      </w:r>
      <w:r w:rsidRPr="0031501F">
        <w:rPr>
          <w:rFonts w:ascii="Times New Roman" w:hAnsi="Times New Roman" w:cs="Times New Roman"/>
          <w:b/>
          <w:bCs/>
        </w:rPr>
        <w:t>Aditya Birla Sun Life Gold ETF</w:t>
      </w:r>
      <w:r>
        <w:rPr>
          <w:rFonts w:ascii="Times New Roman" w:hAnsi="Times New Roman" w:cs="Times New Roman"/>
          <w:b/>
          <w:bCs/>
        </w:rPr>
        <w:t>”</w:t>
      </w:r>
      <w:r w:rsidRPr="0031501F">
        <w:rPr>
          <w:rFonts w:ascii="Times New Roman" w:hAnsi="Times New Roman" w:cs="Times New Roman"/>
        </w:rPr>
        <w:t>, particularly in the Sharpe and Jensen rankings, suggesting that it can exceed the benchmark and provide decent risk</w:t>
      </w:r>
      <w:r>
        <w:rPr>
          <w:rFonts w:ascii="Times New Roman" w:hAnsi="Times New Roman" w:cs="Times New Roman"/>
        </w:rPr>
        <w:t>-</w:t>
      </w:r>
      <w:r w:rsidRPr="0031501F">
        <w:rPr>
          <w:rFonts w:ascii="Times New Roman" w:hAnsi="Times New Roman" w:cs="Times New Roman"/>
        </w:rPr>
        <w:t>adjusted returns.</w:t>
      </w:r>
      <w:r>
        <w:rPr>
          <w:rFonts w:ascii="Times New Roman" w:hAnsi="Times New Roman" w:cs="Times New Roman"/>
        </w:rPr>
        <w:t xml:space="preserve"> </w:t>
      </w:r>
      <w:r w:rsidRPr="0031501F">
        <w:rPr>
          <w:rFonts w:ascii="Times New Roman" w:hAnsi="Times New Roman" w:cs="Times New Roman"/>
        </w:rPr>
        <w:t>Notable for its superior Treynor Ratio ranking, the Axis Gold ETF appeals to investors seeking gains in relation to market risk.</w:t>
      </w:r>
      <w:r>
        <w:rPr>
          <w:rFonts w:ascii="Times New Roman" w:hAnsi="Times New Roman" w:cs="Times New Roman"/>
        </w:rPr>
        <w:t xml:space="preserve"> “</w:t>
      </w:r>
      <w:r w:rsidRPr="00C44FD3">
        <w:rPr>
          <w:rFonts w:ascii="Times New Roman" w:hAnsi="Times New Roman" w:cs="Times New Roman"/>
          <w:b/>
          <w:bCs/>
        </w:rPr>
        <w:t>HDFC Gold Exchange Traded Fund</w:t>
      </w:r>
      <w:r>
        <w:rPr>
          <w:rFonts w:ascii="Times New Roman" w:hAnsi="Times New Roman" w:cs="Times New Roman"/>
          <w:b/>
          <w:bCs/>
        </w:rPr>
        <w:t>”</w:t>
      </w:r>
      <w:r w:rsidRPr="00C44FD3">
        <w:rPr>
          <w:rFonts w:ascii="Times New Roman" w:hAnsi="Times New Roman" w:cs="Times New Roman"/>
        </w:rPr>
        <w:t xml:space="preserve"> performs well in Jensen's Alpha, which attracts investors who value superior performing funds over benchmarks.</w:t>
      </w:r>
      <w:r>
        <w:rPr>
          <w:rFonts w:ascii="Times New Roman" w:hAnsi="Times New Roman" w:cs="Times New Roman"/>
        </w:rPr>
        <w:t xml:space="preserve"> The</w:t>
      </w:r>
      <w:r w:rsidRPr="00C44FD3">
        <w:rPr>
          <w:rFonts w:ascii="Times New Roman" w:hAnsi="Times New Roman" w:cs="Times New Roman"/>
        </w:rPr>
        <w:t xml:space="preserve"> rankings in light of their unique investing objectives, level of risk tolerance, and prognosis for the market. They will be better able to recognize the ETFs that fit their risk-reduction plans and financial goals as a result.</w:t>
      </w:r>
    </w:p>
    <w:p w14:paraId="28D452CD" w14:textId="77777777" w:rsidR="00CD5A38" w:rsidRDefault="00CD5A38" w:rsidP="00847A51">
      <w:pPr>
        <w:spacing w:line="276" w:lineRule="auto"/>
        <w:jc w:val="both"/>
        <w:rPr>
          <w:rFonts w:ascii="Times New Roman" w:hAnsi="Times New Roman" w:cs="Times New Roman"/>
        </w:rPr>
      </w:pPr>
    </w:p>
    <w:p w14:paraId="34D68E35" w14:textId="77777777" w:rsidR="00CD5A38" w:rsidRPr="00A47802" w:rsidRDefault="00CD5A38" w:rsidP="00CD5A38">
      <w:pPr>
        <w:spacing w:line="276" w:lineRule="auto"/>
        <w:rPr>
          <w:rFonts w:ascii="Times New Roman" w:hAnsi="Times New Roman" w:cs="Times New Roman"/>
          <w:b/>
          <w:bCs/>
        </w:rPr>
      </w:pPr>
      <w:r w:rsidRPr="00A47802">
        <w:rPr>
          <w:rFonts w:ascii="Times New Roman" w:hAnsi="Times New Roman" w:cs="Times New Roman"/>
          <w:b/>
          <w:bCs/>
        </w:rPr>
        <w:t>BETA OF 7 GOLD ETFS UNDER STUDY</w:t>
      </w:r>
    </w:p>
    <w:p w14:paraId="261A55B5" w14:textId="04A2935B" w:rsidR="00CD5A38" w:rsidRPr="00CD5A38" w:rsidRDefault="00CD5A38" w:rsidP="00CD5A38">
      <w:pPr>
        <w:spacing w:line="276" w:lineRule="auto"/>
        <w:rPr>
          <w:rFonts w:ascii="Times New Roman" w:hAnsi="Times New Roman" w:cs="Times New Roman"/>
          <w:b/>
        </w:rPr>
      </w:pPr>
      <w:r w:rsidRPr="00CD5A38">
        <w:rPr>
          <w:rFonts w:ascii="Times New Roman" w:hAnsi="Times New Roman" w:cs="Times New Roman"/>
          <w:b/>
        </w:rPr>
        <w:t>Table outlining 5-year Beta of 7 Gold ETFs under Study</w:t>
      </w:r>
    </w:p>
    <w:tbl>
      <w:tblPr>
        <w:tblW w:w="8429" w:type="dxa"/>
        <w:tblLook w:val="04A0" w:firstRow="1" w:lastRow="0" w:firstColumn="1" w:lastColumn="0" w:noHBand="0" w:noVBand="1"/>
      </w:tblPr>
      <w:tblGrid>
        <w:gridCol w:w="4403"/>
        <w:gridCol w:w="4026"/>
      </w:tblGrid>
      <w:tr w:rsidR="00CD5A38" w:rsidRPr="00BA3817" w14:paraId="6204423F" w14:textId="77777777" w:rsidTr="000A7FCC">
        <w:trPr>
          <w:trHeight w:val="1017"/>
        </w:trPr>
        <w:tc>
          <w:tcPr>
            <w:tcW w:w="440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6BB0C" w14:textId="77777777" w:rsidR="00CD5A38" w:rsidRPr="00BA3817" w:rsidRDefault="00CD5A38" w:rsidP="00CD5A38">
            <w:pPr>
              <w:spacing w:after="0" w:line="276" w:lineRule="auto"/>
              <w:jc w:val="center"/>
              <w:rPr>
                <w:rFonts w:ascii="Times New Roman" w:eastAsia="Times New Roman" w:hAnsi="Times New Roman" w:cs="Times New Roman"/>
                <w:b/>
                <w:bCs/>
                <w:color w:val="000000"/>
                <w:kern w:val="0"/>
                <w14:ligatures w14:val="none"/>
              </w:rPr>
            </w:pPr>
            <w:r w:rsidRPr="00BA3817">
              <w:rPr>
                <w:rFonts w:ascii="Times New Roman" w:eastAsia="Times New Roman" w:hAnsi="Times New Roman" w:cs="Times New Roman"/>
                <w:b/>
                <w:bCs/>
                <w:color w:val="000000"/>
                <w:spacing w:val="-2"/>
                <w:kern w:val="0"/>
                <w14:ligatures w14:val="none"/>
              </w:rPr>
              <w:t>PARTICULARS</w:t>
            </w:r>
          </w:p>
        </w:tc>
        <w:tc>
          <w:tcPr>
            <w:tcW w:w="4026" w:type="dxa"/>
            <w:tcBorders>
              <w:top w:val="single" w:sz="4" w:space="0" w:color="auto"/>
              <w:left w:val="nil"/>
              <w:bottom w:val="single" w:sz="4" w:space="0" w:color="auto"/>
              <w:right w:val="single" w:sz="4" w:space="0" w:color="auto"/>
            </w:tcBorders>
            <w:shd w:val="clear" w:color="auto" w:fill="auto"/>
            <w:vAlign w:val="center"/>
            <w:hideMark/>
          </w:tcPr>
          <w:p w14:paraId="2952A157" w14:textId="77777777" w:rsidR="00CD5A38" w:rsidRPr="00BA3817" w:rsidRDefault="00CD5A38" w:rsidP="00CD5A38">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 xml:space="preserve">BETA </w:t>
            </w:r>
          </w:p>
        </w:tc>
      </w:tr>
      <w:tr w:rsidR="00CD5A38" w:rsidRPr="00BA3817" w14:paraId="506FEC1C" w14:textId="77777777" w:rsidTr="000A7FCC">
        <w:trPr>
          <w:trHeight w:val="667"/>
        </w:trPr>
        <w:tc>
          <w:tcPr>
            <w:tcW w:w="4403" w:type="dxa"/>
            <w:tcBorders>
              <w:top w:val="nil"/>
              <w:left w:val="single" w:sz="4" w:space="0" w:color="auto"/>
              <w:bottom w:val="single" w:sz="4" w:space="0" w:color="auto"/>
              <w:right w:val="single" w:sz="4" w:space="0" w:color="auto"/>
            </w:tcBorders>
            <w:shd w:val="clear" w:color="auto" w:fill="auto"/>
            <w:vAlign w:val="center"/>
            <w:hideMark/>
          </w:tcPr>
          <w:p w14:paraId="586E5B34" w14:textId="77777777" w:rsidR="00CD5A38" w:rsidRPr="00BA3817" w:rsidRDefault="00CD5A38" w:rsidP="00CD5A38">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Nippon India ETF Gold Bees</w:t>
            </w:r>
            <w:r>
              <w:rPr>
                <w:rFonts w:ascii="Times New Roman" w:eastAsia="Times New Roman" w:hAnsi="Times New Roman" w:cs="Times New Roman"/>
                <w:b/>
                <w:bCs/>
                <w:color w:val="000000"/>
                <w:kern w:val="0"/>
                <w14:ligatures w14:val="none"/>
              </w:rPr>
              <w:t>”</w:t>
            </w:r>
          </w:p>
        </w:tc>
        <w:tc>
          <w:tcPr>
            <w:tcW w:w="4026" w:type="dxa"/>
            <w:tcBorders>
              <w:top w:val="single" w:sz="4" w:space="0" w:color="auto"/>
              <w:left w:val="nil"/>
              <w:bottom w:val="single" w:sz="4" w:space="0" w:color="auto"/>
              <w:right w:val="single" w:sz="4" w:space="0" w:color="auto"/>
            </w:tcBorders>
            <w:shd w:val="clear" w:color="auto" w:fill="auto"/>
            <w:vAlign w:val="center"/>
          </w:tcPr>
          <w:p w14:paraId="1CADBE72" w14:textId="77777777" w:rsidR="00CD5A38" w:rsidRPr="00BA3817" w:rsidRDefault="00CD5A38" w:rsidP="00CD5A38">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-0.19542</w:t>
            </w:r>
          </w:p>
        </w:tc>
      </w:tr>
      <w:tr w:rsidR="00CD5A38" w:rsidRPr="00BA3817" w14:paraId="7E2C9534" w14:textId="77777777" w:rsidTr="000A7FCC">
        <w:trPr>
          <w:trHeight w:val="332"/>
        </w:trPr>
        <w:tc>
          <w:tcPr>
            <w:tcW w:w="4403" w:type="dxa"/>
            <w:tcBorders>
              <w:top w:val="nil"/>
              <w:left w:val="single" w:sz="4" w:space="0" w:color="auto"/>
              <w:bottom w:val="single" w:sz="4" w:space="0" w:color="auto"/>
              <w:right w:val="single" w:sz="4" w:space="0" w:color="auto"/>
            </w:tcBorders>
            <w:shd w:val="clear" w:color="auto" w:fill="auto"/>
            <w:vAlign w:val="center"/>
            <w:hideMark/>
          </w:tcPr>
          <w:p w14:paraId="70C1E00F" w14:textId="77777777" w:rsidR="00CD5A38" w:rsidRPr="00BA3817" w:rsidRDefault="00CD5A38" w:rsidP="00CD5A38">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SBI-ETF Gold</w:t>
            </w:r>
            <w:r>
              <w:rPr>
                <w:rFonts w:ascii="Times New Roman" w:eastAsia="Times New Roman" w:hAnsi="Times New Roman" w:cs="Times New Roman"/>
                <w:b/>
                <w:bCs/>
                <w:color w:val="000000"/>
                <w:kern w:val="0"/>
                <w14:ligatures w14:val="none"/>
              </w:rPr>
              <w:t>”</w:t>
            </w:r>
          </w:p>
        </w:tc>
        <w:tc>
          <w:tcPr>
            <w:tcW w:w="4026" w:type="dxa"/>
            <w:tcBorders>
              <w:top w:val="single" w:sz="4" w:space="0" w:color="auto"/>
              <w:left w:val="nil"/>
              <w:bottom w:val="single" w:sz="4" w:space="0" w:color="auto"/>
              <w:right w:val="single" w:sz="4" w:space="0" w:color="auto"/>
            </w:tcBorders>
            <w:shd w:val="clear" w:color="auto" w:fill="auto"/>
            <w:vAlign w:val="center"/>
          </w:tcPr>
          <w:p w14:paraId="58BDA33F" w14:textId="77777777" w:rsidR="00CD5A38" w:rsidRPr="00BA3817" w:rsidRDefault="00CD5A38" w:rsidP="00CD5A38">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-0.23146</w:t>
            </w:r>
          </w:p>
        </w:tc>
      </w:tr>
      <w:tr w:rsidR="00CD5A38" w:rsidRPr="00BA3817" w14:paraId="103A48B2" w14:textId="77777777" w:rsidTr="000A7FCC">
        <w:trPr>
          <w:trHeight w:val="667"/>
        </w:trPr>
        <w:tc>
          <w:tcPr>
            <w:tcW w:w="4403" w:type="dxa"/>
            <w:tcBorders>
              <w:top w:val="nil"/>
              <w:left w:val="single" w:sz="4" w:space="0" w:color="auto"/>
              <w:bottom w:val="single" w:sz="4" w:space="0" w:color="auto"/>
              <w:right w:val="single" w:sz="4" w:space="0" w:color="auto"/>
            </w:tcBorders>
            <w:shd w:val="clear" w:color="auto" w:fill="auto"/>
            <w:vAlign w:val="center"/>
            <w:hideMark/>
          </w:tcPr>
          <w:p w14:paraId="0F64EC9F" w14:textId="77777777" w:rsidR="00CD5A38" w:rsidRPr="00BA3817" w:rsidRDefault="00CD5A38" w:rsidP="00CD5A38">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ICICI prudential Gold ETF</w:t>
            </w:r>
            <w:r>
              <w:rPr>
                <w:rFonts w:ascii="Times New Roman" w:eastAsia="Times New Roman" w:hAnsi="Times New Roman" w:cs="Times New Roman"/>
                <w:b/>
                <w:bCs/>
                <w:color w:val="000000"/>
                <w:kern w:val="0"/>
                <w14:ligatures w14:val="none"/>
              </w:rPr>
              <w:t>”</w:t>
            </w:r>
          </w:p>
        </w:tc>
        <w:tc>
          <w:tcPr>
            <w:tcW w:w="4026" w:type="dxa"/>
            <w:tcBorders>
              <w:top w:val="single" w:sz="4" w:space="0" w:color="auto"/>
              <w:left w:val="nil"/>
              <w:bottom w:val="single" w:sz="4" w:space="0" w:color="auto"/>
              <w:right w:val="single" w:sz="4" w:space="0" w:color="auto"/>
            </w:tcBorders>
            <w:shd w:val="clear" w:color="auto" w:fill="auto"/>
            <w:vAlign w:val="center"/>
          </w:tcPr>
          <w:p w14:paraId="2DD645A3" w14:textId="77777777" w:rsidR="00CD5A38" w:rsidRPr="00BA3817" w:rsidRDefault="00CD5A38" w:rsidP="00CD5A38">
            <w:pPr>
              <w:spacing w:after="0" w:line="276"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-0.07752</w:t>
            </w:r>
          </w:p>
        </w:tc>
      </w:tr>
      <w:tr w:rsidR="00CD5A38" w:rsidRPr="00BA3817" w14:paraId="5389AA4E" w14:textId="77777777" w:rsidTr="000A7FCC">
        <w:trPr>
          <w:trHeight w:val="1003"/>
        </w:trPr>
        <w:tc>
          <w:tcPr>
            <w:tcW w:w="4403" w:type="dxa"/>
            <w:tcBorders>
              <w:top w:val="nil"/>
              <w:left w:val="single" w:sz="4" w:space="0" w:color="auto"/>
              <w:bottom w:val="single" w:sz="4" w:space="0" w:color="auto"/>
              <w:right w:val="single" w:sz="4" w:space="0" w:color="auto"/>
            </w:tcBorders>
            <w:shd w:val="clear" w:color="auto" w:fill="auto"/>
            <w:vAlign w:val="center"/>
            <w:hideMark/>
          </w:tcPr>
          <w:p w14:paraId="27039D45" w14:textId="77777777" w:rsidR="00CD5A38" w:rsidRPr="00BA3817" w:rsidRDefault="00CD5A38" w:rsidP="00CD5A38">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HDFC Gold Exchange traded fund</w:t>
            </w:r>
            <w:r>
              <w:rPr>
                <w:rFonts w:ascii="Times New Roman" w:eastAsia="Times New Roman" w:hAnsi="Times New Roman" w:cs="Times New Roman"/>
                <w:b/>
                <w:bCs/>
                <w:color w:val="000000"/>
                <w:kern w:val="0"/>
                <w14:ligatures w14:val="none"/>
              </w:rPr>
              <w:t>”</w:t>
            </w:r>
          </w:p>
        </w:tc>
        <w:tc>
          <w:tcPr>
            <w:tcW w:w="4026" w:type="dxa"/>
            <w:tcBorders>
              <w:top w:val="single" w:sz="4" w:space="0" w:color="auto"/>
              <w:left w:val="nil"/>
              <w:bottom w:val="single" w:sz="4" w:space="0" w:color="auto"/>
              <w:right w:val="single" w:sz="4" w:space="0" w:color="auto"/>
            </w:tcBorders>
            <w:shd w:val="clear" w:color="auto" w:fill="auto"/>
            <w:vAlign w:val="center"/>
          </w:tcPr>
          <w:p w14:paraId="50B53A48" w14:textId="77777777" w:rsidR="00CD5A38" w:rsidRPr="00BA3817" w:rsidRDefault="00CD5A38" w:rsidP="00CD5A38">
            <w:pPr>
              <w:spacing w:after="0" w:line="276"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-0.04436</w:t>
            </w:r>
          </w:p>
        </w:tc>
      </w:tr>
      <w:tr w:rsidR="00CD5A38" w:rsidRPr="00BA3817" w14:paraId="00B921F4" w14:textId="77777777" w:rsidTr="000A7FCC">
        <w:trPr>
          <w:trHeight w:val="332"/>
        </w:trPr>
        <w:tc>
          <w:tcPr>
            <w:tcW w:w="4403" w:type="dxa"/>
            <w:tcBorders>
              <w:top w:val="nil"/>
              <w:left w:val="single" w:sz="4" w:space="0" w:color="auto"/>
              <w:bottom w:val="single" w:sz="4" w:space="0" w:color="auto"/>
              <w:right w:val="single" w:sz="4" w:space="0" w:color="auto"/>
            </w:tcBorders>
            <w:shd w:val="clear" w:color="auto" w:fill="auto"/>
            <w:vAlign w:val="center"/>
            <w:hideMark/>
          </w:tcPr>
          <w:p w14:paraId="63575D7B" w14:textId="77777777" w:rsidR="00CD5A38" w:rsidRPr="00BA3817" w:rsidRDefault="00CD5A38" w:rsidP="00CD5A38">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Kotak Gold ETF</w:t>
            </w:r>
            <w:r>
              <w:rPr>
                <w:rFonts w:ascii="Times New Roman" w:eastAsia="Times New Roman" w:hAnsi="Times New Roman" w:cs="Times New Roman"/>
                <w:b/>
                <w:bCs/>
                <w:color w:val="000000"/>
                <w:kern w:val="0"/>
                <w14:ligatures w14:val="none"/>
              </w:rPr>
              <w:t>”</w:t>
            </w:r>
          </w:p>
        </w:tc>
        <w:tc>
          <w:tcPr>
            <w:tcW w:w="4026" w:type="dxa"/>
            <w:tcBorders>
              <w:top w:val="single" w:sz="4" w:space="0" w:color="auto"/>
              <w:left w:val="nil"/>
              <w:bottom w:val="single" w:sz="4" w:space="0" w:color="auto"/>
              <w:right w:val="single" w:sz="4" w:space="0" w:color="auto"/>
            </w:tcBorders>
            <w:shd w:val="clear" w:color="auto" w:fill="auto"/>
            <w:vAlign w:val="center"/>
          </w:tcPr>
          <w:p w14:paraId="29AA2E26" w14:textId="77777777" w:rsidR="00CD5A38" w:rsidRPr="00BA3817" w:rsidRDefault="00CD5A38" w:rsidP="00CD5A38">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-0.21806</w:t>
            </w:r>
          </w:p>
        </w:tc>
      </w:tr>
      <w:tr w:rsidR="00CD5A38" w:rsidRPr="00BA3817" w14:paraId="78FAF183" w14:textId="77777777" w:rsidTr="000A7FCC">
        <w:trPr>
          <w:trHeight w:val="332"/>
        </w:trPr>
        <w:tc>
          <w:tcPr>
            <w:tcW w:w="4403" w:type="dxa"/>
            <w:tcBorders>
              <w:top w:val="nil"/>
              <w:left w:val="single" w:sz="4" w:space="0" w:color="auto"/>
              <w:bottom w:val="single" w:sz="4" w:space="0" w:color="auto"/>
              <w:right w:val="single" w:sz="4" w:space="0" w:color="auto"/>
            </w:tcBorders>
            <w:shd w:val="clear" w:color="auto" w:fill="auto"/>
            <w:vAlign w:val="center"/>
            <w:hideMark/>
          </w:tcPr>
          <w:p w14:paraId="59583F51" w14:textId="77777777" w:rsidR="00CD5A38" w:rsidRPr="00BA3817" w:rsidRDefault="00CD5A38" w:rsidP="00CD5A38">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Axis Gold ETF</w:t>
            </w:r>
            <w:r>
              <w:rPr>
                <w:rFonts w:ascii="Times New Roman" w:eastAsia="Times New Roman" w:hAnsi="Times New Roman" w:cs="Times New Roman"/>
                <w:b/>
                <w:bCs/>
                <w:color w:val="000000"/>
                <w:kern w:val="0"/>
                <w14:ligatures w14:val="none"/>
              </w:rPr>
              <w:t>”</w:t>
            </w:r>
          </w:p>
        </w:tc>
        <w:tc>
          <w:tcPr>
            <w:tcW w:w="4026" w:type="dxa"/>
            <w:tcBorders>
              <w:top w:val="single" w:sz="4" w:space="0" w:color="auto"/>
              <w:left w:val="nil"/>
              <w:bottom w:val="single" w:sz="4" w:space="0" w:color="auto"/>
              <w:right w:val="single" w:sz="4" w:space="0" w:color="auto"/>
            </w:tcBorders>
            <w:shd w:val="clear" w:color="auto" w:fill="auto"/>
            <w:vAlign w:val="center"/>
          </w:tcPr>
          <w:p w14:paraId="2981F0AD" w14:textId="77777777" w:rsidR="00CD5A38" w:rsidRPr="00BA3817" w:rsidRDefault="00CD5A38" w:rsidP="00CD5A38">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-0.22852</w:t>
            </w:r>
          </w:p>
        </w:tc>
      </w:tr>
      <w:tr w:rsidR="00CD5A38" w:rsidRPr="00BA3817" w14:paraId="734ECEEA" w14:textId="77777777" w:rsidTr="000A7FCC">
        <w:trPr>
          <w:trHeight w:val="667"/>
        </w:trPr>
        <w:tc>
          <w:tcPr>
            <w:tcW w:w="4403" w:type="dxa"/>
            <w:tcBorders>
              <w:top w:val="nil"/>
              <w:left w:val="single" w:sz="4" w:space="0" w:color="auto"/>
              <w:bottom w:val="single" w:sz="4" w:space="0" w:color="auto"/>
              <w:right w:val="single" w:sz="4" w:space="0" w:color="auto"/>
            </w:tcBorders>
            <w:shd w:val="clear" w:color="auto" w:fill="auto"/>
            <w:vAlign w:val="center"/>
            <w:hideMark/>
          </w:tcPr>
          <w:p w14:paraId="4E103888" w14:textId="77777777" w:rsidR="00CD5A38" w:rsidRPr="00BA3817" w:rsidRDefault="00CD5A38" w:rsidP="00CD5A38">
            <w:pPr>
              <w:spacing w:after="0" w:line="276" w:lineRule="auto"/>
              <w:jc w:val="center"/>
              <w:rPr>
                <w:rFonts w:ascii="Times New Roman" w:eastAsia="Times New Roman" w:hAnsi="Times New Roman" w:cs="Times New Roman"/>
                <w:b/>
                <w:bCs/>
                <w:color w:val="000000"/>
                <w:kern w:val="0"/>
                <w14:ligatures w14:val="none"/>
              </w:rPr>
            </w:pPr>
            <w:r>
              <w:rPr>
                <w:rFonts w:ascii="Times New Roman" w:eastAsia="Times New Roman" w:hAnsi="Times New Roman" w:cs="Times New Roman"/>
                <w:b/>
                <w:bCs/>
                <w:color w:val="000000"/>
                <w:kern w:val="0"/>
                <w14:ligatures w14:val="none"/>
              </w:rPr>
              <w:t>“</w:t>
            </w:r>
            <w:r w:rsidRPr="00BA3817">
              <w:rPr>
                <w:rFonts w:ascii="Times New Roman" w:eastAsia="Times New Roman" w:hAnsi="Times New Roman" w:cs="Times New Roman"/>
                <w:b/>
                <w:bCs/>
                <w:color w:val="000000"/>
                <w:kern w:val="0"/>
                <w14:ligatures w14:val="none"/>
              </w:rPr>
              <w:t>Aditya Birla Gold ETF</w:t>
            </w:r>
            <w:r>
              <w:rPr>
                <w:rFonts w:ascii="Times New Roman" w:eastAsia="Times New Roman" w:hAnsi="Times New Roman" w:cs="Times New Roman"/>
                <w:b/>
                <w:bCs/>
                <w:color w:val="000000"/>
                <w:kern w:val="0"/>
                <w14:ligatures w14:val="none"/>
              </w:rPr>
              <w:t>”</w:t>
            </w:r>
          </w:p>
        </w:tc>
        <w:tc>
          <w:tcPr>
            <w:tcW w:w="4026" w:type="dxa"/>
            <w:tcBorders>
              <w:top w:val="single" w:sz="4" w:space="0" w:color="auto"/>
              <w:left w:val="nil"/>
              <w:bottom w:val="single" w:sz="4" w:space="0" w:color="auto"/>
              <w:right w:val="single" w:sz="4" w:space="0" w:color="auto"/>
            </w:tcBorders>
            <w:shd w:val="clear" w:color="auto" w:fill="auto"/>
            <w:vAlign w:val="center"/>
          </w:tcPr>
          <w:p w14:paraId="5F55A2AE" w14:textId="77777777" w:rsidR="00CD5A38" w:rsidRPr="00BA3817" w:rsidRDefault="00CD5A38" w:rsidP="00CD5A38">
            <w:pPr>
              <w:spacing w:after="0" w:line="276" w:lineRule="auto"/>
              <w:jc w:val="center"/>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0.55506</w:t>
            </w:r>
          </w:p>
        </w:tc>
      </w:tr>
    </w:tbl>
    <w:p w14:paraId="3AFB9EAC" w14:textId="77777777" w:rsidR="00CD5A38" w:rsidRDefault="00CD5A38" w:rsidP="00CD5A38">
      <w:pPr>
        <w:spacing w:line="276" w:lineRule="auto"/>
        <w:rPr>
          <w:rFonts w:ascii="Times New Roman" w:hAnsi="Times New Roman" w:cs="Times New Roman"/>
          <w:b/>
        </w:rPr>
      </w:pPr>
    </w:p>
    <w:p w14:paraId="4BCE2BC4" w14:textId="77777777" w:rsidR="000A7FCC" w:rsidRDefault="000A7FCC" w:rsidP="00CD5A38">
      <w:pPr>
        <w:spacing w:line="276" w:lineRule="auto"/>
        <w:rPr>
          <w:rFonts w:ascii="Times New Roman" w:hAnsi="Times New Roman" w:cs="Times New Roman"/>
          <w:b/>
        </w:rPr>
      </w:pPr>
    </w:p>
    <w:p w14:paraId="28400C04" w14:textId="75A91347" w:rsidR="00CD5A38" w:rsidRPr="000A7FCC" w:rsidRDefault="00CD5A38" w:rsidP="000A7FCC">
      <w:pPr>
        <w:spacing w:line="276" w:lineRule="auto"/>
        <w:rPr>
          <w:rFonts w:ascii="Times New Roman" w:hAnsi="Times New Roman" w:cs="Times New Roman"/>
          <w:b/>
        </w:rPr>
      </w:pPr>
      <w:r w:rsidRPr="00CD5A38">
        <w:rPr>
          <w:rFonts w:ascii="Times New Roman" w:hAnsi="Times New Roman" w:cs="Times New Roman"/>
          <w:b/>
        </w:rPr>
        <w:t xml:space="preserve"> Chart illustrating 5-year Beta of 7 Gold ETFs under Study</w:t>
      </w:r>
    </w:p>
    <w:p w14:paraId="3C19CAF2" w14:textId="77777777" w:rsidR="00CD5A38" w:rsidRDefault="00CD5A38" w:rsidP="00CD5A38">
      <w:pPr>
        <w:spacing w:line="276" w:lineRule="auto"/>
        <w:rPr>
          <w:rFonts w:ascii="Times New Roman" w:hAnsi="Times New Roman" w:cs="Times New Roman"/>
        </w:rPr>
      </w:pPr>
      <w:r>
        <w:rPr>
          <w:noProof/>
        </w:rPr>
        <w:lastRenderedPageBreak/>
        <w:drawing>
          <wp:inline distT="0" distB="0" distL="0" distR="0" wp14:anchorId="1608AD9D" wp14:editId="65F92617">
            <wp:extent cx="5943600" cy="3070225"/>
            <wp:effectExtent l="0" t="0" r="0" b="15875"/>
            <wp:docPr id="2116062514" name="Chart 1">
              <a:extLst xmlns:a="http://schemas.openxmlformats.org/drawingml/2006/main">
                <a:ext uri="{FF2B5EF4-FFF2-40B4-BE49-F238E27FC236}">
                  <a16:creationId xmlns:a16="http://schemas.microsoft.com/office/drawing/2014/main" id="{75B79F28-8CF5-90BF-81B5-BA172A19D19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48B896B" w14:textId="77777777" w:rsidR="00CD5A38" w:rsidRDefault="00CD5A38" w:rsidP="00CD5A38">
      <w:pPr>
        <w:spacing w:line="276" w:lineRule="auto"/>
        <w:rPr>
          <w:rFonts w:ascii="Times New Roman" w:hAnsi="Times New Roman" w:cs="Times New Roman"/>
          <w:b/>
          <w:bCs/>
        </w:rPr>
      </w:pPr>
    </w:p>
    <w:p w14:paraId="3823B01A" w14:textId="77777777" w:rsidR="00CD5A38" w:rsidRPr="000E430F" w:rsidRDefault="00CD5A38" w:rsidP="00CD5A38">
      <w:pPr>
        <w:spacing w:line="276" w:lineRule="auto"/>
        <w:jc w:val="both"/>
        <w:rPr>
          <w:rFonts w:ascii="Times New Roman" w:hAnsi="Times New Roman" w:cs="Times New Roman"/>
          <w:b/>
          <w:bCs/>
        </w:rPr>
      </w:pPr>
      <w:r w:rsidRPr="000E430F">
        <w:rPr>
          <w:rFonts w:ascii="Times New Roman" w:hAnsi="Times New Roman" w:cs="Times New Roman"/>
          <w:b/>
          <w:bCs/>
        </w:rPr>
        <w:t>ANALYSIS</w:t>
      </w:r>
    </w:p>
    <w:p w14:paraId="4C27B44E" w14:textId="77777777" w:rsidR="00CD5A38" w:rsidRPr="000E430F" w:rsidRDefault="00CD5A38" w:rsidP="00CD5A38">
      <w:pPr>
        <w:spacing w:line="276" w:lineRule="auto"/>
        <w:jc w:val="both"/>
        <w:rPr>
          <w:rFonts w:ascii="Times New Roman" w:hAnsi="Times New Roman" w:cs="Times New Roman"/>
          <w:bCs/>
        </w:rPr>
      </w:pPr>
      <w:r w:rsidRPr="000E430F">
        <w:rPr>
          <w:rFonts w:ascii="Times New Roman" w:hAnsi="Times New Roman" w:cs="Times New Roman"/>
          <w:bCs/>
        </w:rPr>
        <w:t>Seven Gold ETFs' 5-year beta values are shown in the table</w:t>
      </w:r>
      <w:r>
        <w:rPr>
          <w:rFonts w:ascii="Times New Roman" w:hAnsi="Times New Roman" w:cs="Times New Roman"/>
          <w:bCs/>
        </w:rPr>
        <w:t>.</w:t>
      </w:r>
      <w:r w:rsidRPr="000E430F">
        <w:rPr>
          <w:rFonts w:ascii="Times New Roman" w:hAnsi="Times New Roman" w:cs="Times New Roman"/>
          <w:bCs/>
        </w:rPr>
        <w:t xml:space="preserve"> </w:t>
      </w:r>
      <w:r>
        <w:rPr>
          <w:rFonts w:ascii="Times New Roman" w:hAnsi="Times New Roman" w:cs="Times New Roman"/>
          <w:bCs/>
        </w:rPr>
        <w:t>T</w:t>
      </w:r>
      <w:r w:rsidRPr="000E430F">
        <w:rPr>
          <w:rFonts w:ascii="Times New Roman" w:hAnsi="Times New Roman" w:cs="Times New Roman"/>
          <w:bCs/>
        </w:rPr>
        <w:t xml:space="preserve">he majority of them have negative beta values. The price fluctuations of these ETFs </w:t>
      </w:r>
      <w:r>
        <w:rPr>
          <w:rFonts w:ascii="Times New Roman" w:hAnsi="Times New Roman" w:cs="Times New Roman"/>
          <w:bCs/>
        </w:rPr>
        <w:t>we</w:t>
      </w:r>
      <w:r w:rsidRPr="000E430F">
        <w:rPr>
          <w:rFonts w:ascii="Times New Roman" w:hAnsi="Times New Roman" w:cs="Times New Roman"/>
          <w:bCs/>
        </w:rPr>
        <w:t xml:space="preserve">re compared to a benchmark index using beta, a metric for risk and volatility. </w:t>
      </w:r>
      <w:r w:rsidRPr="000E430F">
        <w:rPr>
          <w:rFonts w:ascii="Times New Roman" w:hAnsi="Times New Roman" w:cs="Times New Roman"/>
          <w:b/>
        </w:rPr>
        <w:t>With a negative beta, these ETFs are less volatile than the overall market, implying that their movements typically diverge from those of the benchmark.</w:t>
      </w:r>
      <w:r w:rsidRPr="000E430F">
        <w:rPr>
          <w:rFonts w:ascii="Times New Roman" w:hAnsi="Times New Roman" w:cs="Times New Roman"/>
          <w:bCs/>
        </w:rPr>
        <w:t xml:space="preserve"> These Gold ETFs appear to be less hazardous overall when compared to other market assets, based on their lower volatility</w:t>
      </w:r>
      <w:r>
        <w:rPr>
          <w:rFonts w:ascii="Times New Roman" w:hAnsi="Times New Roman" w:cs="Times New Roman"/>
          <w:bCs/>
        </w:rPr>
        <w:t>.</w:t>
      </w:r>
      <w:r w:rsidRPr="000E430F">
        <w:rPr>
          <w:rFonts w:ascii="Times New Roman" w:eastAsia="Times New Roman" w:hAnsi="Times New Roman" w:cs="Times New Roman"/>
          <w:kern w:val="0"/>
          <w14:ligatures w14:val="none"/>
        </w:rPr>
        <w:t xml:space="preserve"> </w:t>
      </w:r>
      <w:r w:rsidRPr="00282C26">
        <w:rPr>
          <w:rFonts w:ascii="Times New Roman" w:hAnsi="Times New Roman" w:cs="Times New Roman"/>
          <w:b/>
        </w:rPr>
        <w:t>Six of the listed ETFs have negative beta values, which supports the idea of lower risk.</w:t>
      </w:r>
      <w:r w:rsidRPr="000E430F">
        <w:rPr>
          <w:rFonts w:ascii="Times New Roman" w:hAnsi="Times New Roman" w:cs="Times New Roman"/>
          <w:bCs/>
        </w:rPr>
        <w:t xml:space="preserve"> With a positive Beta rating of 0.55506, the </w:t>
      </w:r>
      <w:r>
        <w:rPr>
          <w:rFonts w:ascii="Times New Roman" w:hAnsi="Times New Roman" w:cs="Times New Roman"/>
          <w:bCs/>
        </w:rPr>
        <w:t>“</w:t>
      </w:r>
      <w:r w:rsidRPr="000E430F">
        <w:rPr>
          <w:rFonts w:ascii="Times New Roman" w:hAnsi="Times New Roman" w:cs="Times New Roman"/>
          <w:bCs/>
        </w:rPr>
        <w:t>Aditya Birla Sun Life Gold ETF</w:t>
      </w:r>
      <w:r>
        <w:rPr>
          <w:rFonts w:ascii="Times New Roman" w:hAnsi="Times New Roman" w:cs="Times New Roman"/>
          <w:bCs/>
        </w:rPr>
        <w:t>”</w:t>
      </w:r>
      <w:r w:rsidRPr="000E430F">
        <w:rPr>
          <w:rFonts w:ascii="Times New Roman" w:hAnsi="Times New Roman" w:cs="Times New Roman"/>
          <w:bCs/>
        </w:rPr>
        <w:t>, on the other hand, stands out from the others and suggests somewhat more volatile than the others and more closely tracks market fluctuations.</w:t>
      </w:r>
    </w:p>
    <w:p w14:paraId="2A3CEC87" w14:textId="77777777" w:rsidR="00CD5A38" w:rsidRPr="000E430F" w:rsidRDefault="00CD5A38" w:rsidP="00CD5A38">
      <w:pPr>
        <w:spacing w:line="276" w:lineRule="auto"/>
        <w:jc w:val="both"/>
        <w:rPr>
          <w:rFonts w:ascii="Times New Roman" w:hAnsi="Times New Roman" w:cs="Times New Roman"/>
          <w:b/>
          <w:bCs/>
        </w:rPr>
      </w:pPr>
      <w:r w:rsidRPr="000E430F">
        <w:rPr>
          <w:rFonts w:ascii="Times New Roman" w:hAnsi="Times New Roman" w:cs="Times New Roman"/>
          <w:b/>
          <w:bCs/>
        </w:rPr>
        <w:t>INTREPRETATION</w:t>
      </w:r>
    </w:p>
    <w:p w14:paraId="601D009D" w14:textId="178697D8" w:rsidR="00CD5A38" w:rsidRPr="00CD5A38" w:rsidRDefault="00CD5A38" w:rsidP="00CD5A38">
      <w:pPr>
        <w:spacing w:line="276" w:lineRule="auto"/>
        <w:jc w:val="both"/>
        <w:rPr>
          <w:rFonts w:ascii="Times New Roman" w:hAnsi="Times New Roman" w:cs="Times New Roman"/>
          <w:bCs/>
        </w:rPr>
      </w:pPr>
      <w:r w:rsidRPr="000E430F">
        <w:rPr>
          <w:rFonts w:ascii="Times New Roman" w:hAnsi="Times New Roman" w:cs="Times New Roman"/>
          <w:bCs/>
        </w:rPr>
        <w:t xml:space="preserve">Risk-averse investors will find the bulk of the seven Gold ETFs appealing because their beta ratings indicate that they are safer investments with lower volatility than the market as a whole. Because they typically move in the opposite direction of the market, these ETFs, especially those with negative Beta values, may act as a hedge against market downturns. In a diversified portfolio, this quality might be helpful in balancing risk. The </w:t>
      </w:r>
      <w:r>
        <w:rPr>
          <w:rFonts w:ascii="Times New Roman" w:hAnsi="Times New Roman" w:cs="Times New Roman"/>
          <w:bCs/>
        </w:rPr>
        <w:t>“</w:t>
      </w:r>
      <w:r w:rsidRPr="000E430F">
        <w:rPr>
          <w:rFonts w:ascii="Times New Roman" w:hAnsi="Times New Roman" w:cs="Times New Roman"/>
          <w:bCs/>
        </w:rPr>
        <w:t>Aditya Birla</w:t>
      </w:r>
      <w:r>
        <w:rPr>
          <w:rFonts w:ascii="Times New Roman" w:hAnsi="Times New Roman" w:cs="Times New Roman"/>
          <w:bCs/>
        </w:rPr>
        <w:t xml:space="preserve"> </w:t>
      </w:r>
      <w:r w:rsidRPr="000E430F">
        <w:rPr>
          <w:rFonts w:ascii="Times New Roman" w:hAnsi="Times New Roman" w:cs="Times New Roman"/>
          <w:bCs/>
        </w:rPr>
        <w:t>Gold</w:t>
      </w:r>
      <w:r>
        <w:rPr>
          <w:rFonts w:ascii="Times New Roman" w:hAnsi="Times New Roman" w:cs="Times New Roman"/>
          <w:bCs/>
        </w:rPr>
        <w:t xml:space="preserve">” </w:t>
      </w:r>
      <w:r w:rsidRPr="000E430F">
        <w:rPr>
          <w:rFonts w:ascii="Times New Roman" w:hAnsi="Times New Roman" w:cs="Times New Roman"/>
          <w:bCs/>
        </w:rPr>
        <w:t>ETF's positive beta, however, suggests that it might see greater market-related swings, which could result in better gains but at a higher risk.</w:t>
      </w:r>
      <w:r w:rsidRPr="000E430F">
        <w:rPr>
          <w:rFonts w:ascii="Times New Roman" w:eastAsia="Times New Roman" w:hAnsi="Times New Roman" w:cs="Times New Roman"/>
          <w:kern w:val="0"/>
          <w14:ligatures w14:val="none"/>
        </w:rPr>
        <w:t xml:space="preserve"> </w:t>
      </w:r>
      <w:r w:rsidRPr="000E430F">
        <w:rPr>
          <w:rFonts w:ascii="Times New Roman" w:hAnsi="Times New Roman" w:cs="Times New Roman"/>
          <w:bCs/>
        </w:rPr>
        <w:t>Investors should keep a careful eye on these beta values because they are subject to fluctuate over time and may have an effect on the risk profile of their portfolios. Investors can adjust their portfolios to reflect their risk tolerance and investing goals by being aware of and monitoring these Beta values.</w:t>
      </w:r>
    </w:p>
    <w:p w14:paraId="36F387AD" w14:textId="55BF6071" w:rsidR="002C17F9" w:rsidRPr="00235047" w:rsidRDefault="002C17F9" w:rsidP="00ED19F5">
      <w:pPr>
        <w:spacing w:line="240" w:lineRule="auto"/>
        <w:jc w:val="both"/>
        <w:rPr>
          <w:rFonts w:ascii="Times New Roman" w:hAnsi="Times New Roman" w:cs="Times New Roman"/>
          <w:b/>
          <w:bCs/>
        </w:rPr>
      </w:pPr>
      <w:r w:rsidRPr="00235047">
        <w:rPr>
          <w:rFonts w:ascii="Times New Roman" w:hAnsi="Times New Roman" w:cs="Times New Roman"/>
          <w:b/>
          <w:bCs/>
        </w:rPr>
        <w:t>4. Findings</w:t>
      </w:r>
    </w:p>
    <w:p w14:paraId="62CBAC26" w14:textId="7A4EAE4E" w:rsidR="00235047" w:rsidRPr="00EC5398" w:rsidRDefault="002C17F9" w:rsidP="00ED19F5">
      <w:pPr>
        <w:spacing w:line="240" w:lineRule="auto"/>
        <w:jc w:val="both"/>
        <w:rPr>
          <w:rFonts w:ascii="Times New Roman" w:hAnsi="Times New Roman" w:cs="Times New Roman"/>
          <w:b/>
          <w:bCs/>
        </w:rPr>
      </w:pPr>
      <w:r w:rsidRPr="00235047">
        <w:rPr>
          <w:rFonts w:ascii="Times New Roman" w:hAnsi="Times New Roman" w:cs="Times New Roman"/>
          <w:b/>
          <w:bCs/>
        </w:rPr>
        <w:t>4.1 Performance Overview</w:t>
      </w:r>
    </w:p>
    <w:p w14:paraId="7AEDC481" w14:textId="455B835F" w:rsidR="002C17F9" w:rsidRPr="00235047" w:rsidRDefault="002C17F9" w:rsidP="00ED19F5">
      <w:pPr>
        <w:spacing w:line="240" w:lineRule="auto"/>
        <w:jc w:val="both"/>
        <w:rPr>
          <w:rFonts w:ascii="Times New Roman" w:hAnsi="Times New Roman" w:cs="Times New Roman"/>
          <w:b/>
          <w:bCs/>
        </w:rPr>
      </w:pPr>
      <w:r w:rsidRPr="00235047">
        <w:rPr>
          <w:rFonts w:ascii="Times New Roman" w:hAnsi="Times New Roman" w:cs="Times New Roman"/>
          <w:b/>
          <w:bCs/>
        </w:rPr>
        <w:t>Risk-Adjusted Returns:</w:t>
      </w:r>
    </w:p>
    <w:p w14:paraId="0E987969" w14:textId="7ECB3FD7" w:rsidR="002C17F9" w:rsidRPr="00235047" w:rsidRDefault="002C17F9" w:rsidP="00755D7C">
      <w:pPr>
        <w:pStyle w:val="ListParagraph"/>
        <w:numPr>
          <w:ilvl w:val="0"/>
          <w:numId w:val="11"/>
        </w:numPr>
        <w:spacing w:line="276" w:lineRule="auto"/>
        <w:jc w:val="both"/>
        <w:rPr>
          <w:rFonts w:ascii="Times New Roman" w:hAnsi="Times New Roman" w:cs="Times New Roman"/>
        </w:rPr>
      </w:pPr>
      <w:r w:rsidRPr="00235047">
        <w:rPr>
          <w:rFonts w:ascii="Times New Roman" w:hAnsi="Times New Roman" w:cs="Times New Roman"/>
        </w:rPr>
        <w:lastRenderedPageBreak/>
        <w:t>ICICI Prudential Gold ETF: Exhibits the highest average Sharpe Ratio, indicating superior risk-adjusted returns. It also ranks second in the Treynor Ratio, suggesting effective management of systematic risk.</w:t>
      </w:r>
    </w:p>
    <w:p w14:paraId="0A765E08" w14:textId="7E814BE0" w:rsidR="002C17F9" w:rsidRPr="00235047" w:rsidRDefault="002C17F9" w:rsidP="00755D7C">
      <w:pPr>
        <w:pStyle w:val="ListParagraph"/>
        <w:numPr>
          <w:ilvl w:val="0"/>
          <w:numId w:val="11"/>
        </w:numPr>
        <w:spacing w:line="276" w:lineRule="auto"/>
        <w:jc w:val="both"/>
        <w:rPr>
          <w:rFonts w:ascii="Times New Roman" w:hAnsi="Times New Roman" w:cs="Times New Roman"/>
        </w:rPr>
      </w:pPr>
      <w:r w:rsidRPr="00235047">
        <w:rPr>
          <w:rFonts w:ascii="Times New Roman" w:hAnsi="Times New Roman" w:cs="Times New Roman"/>
        </w:rPr>
        <w:t>HDFC Gold Exchange Traded Fund: Leads in Jensen's Alpha, reflecting strong active management performance above the benchmark, though it lags in Sharpe and Treynor Ratios.</w:t>
      </w:r>
    </w:p>
    <w:p w14:paraId="7A0204D0" w14:textId="241FE15F" w:rsidR="002C17F9" w:rsidRPr="00235047" w:rsidRDefault="002C17F9" w:rsidP="00755D7C">
      <w:pPr>
        <w:pStyle w:val="ListParagraph"/>
        <w:numPr>
          <w:ilvl w:val="0"/>
          <w:numId w:val="11"/>
        </w:numPr>
        <w:spacing w:line="276" w:lineRule="auto"/>
        <w:jc w:val="both"/>
        <w:rPr>
          <w:rFonts w:ascii="Times New Roman" w:hAnsi="Times New Roman" w:cs="Times New Roman"/>
        </w:rPr>
      </w:pPr>
      <w:r w:rsidRPr="00235047">
        <w:rPr>
          <w:rFonts w:ascii="Times New Roman" w:hAnsi="Times New Roman" w:cs="Times New Roman"/>
        </w:rPr>
        <w:t>Axis Gold ETF: Outperforms in the Treynor Ratio, indicating superior returns relative to market risk.</w:t>
      </w:r>
    </w:p>
    <w:p w14:paraId="3A7F8A56" w14:textId="135EB272" w:rsidR="002C17F9" w:rsidRPr="00235047" w:rsidRDefault="002C17F9" w:rsidP="00755D7C">
      <w:pPr>
        <w:pStyle w:val="ListParagraph"/>
        <w:numPr>
          <w:ilvl w:val="0"/>
          <w:numId w:val="11"/>
        </w:numPr>
        <w:spacing w:line="276" w:lineRule="auto"/>
        <w:jc w:val="both"/>
        <w:rPr>
          <w:rFonts w:ascii="Times New Roman" w:hAnsi="Times New Roman" w:cs="Times New Roman"/>
        </w:rPr>
      </w:pPr>
      <w:r w:rsidRPr="00235047">
        <w:rPr>
          <w:rFonts w:ascii="Times New Roman" w:hAnsi="Times New Roman" w:cs="Times New Roman"/>
        </w:rPr>
        <w:t>Aditya Birla Sun Life Gold ETF: Performs well in both Sharpe and Jensen Ratios, demonstrating excellent risk-adjusted returns and benchmark outperformance.</w:t>
      </w:r>
    </w:p>
    <w:p w14:paraId="519144E8" w14:textId="1E13A98B" w:rsidR="002C17F9" w:rsidRPr="00235047" w:rsidRDefault="002C17F9" w:rsidP="00ED19F5">
      <w:pPr>
        <w:spacing w:line="240" w:lineRule="auto"/>
        <w:jc w:val="both"/>
        <w:rPr>
          <w:rFonts w:ascii="Times New Roman" w:hAnsi="Times New Roman" w:cs="Times New Roman"/>
          <w:b/>
          <w:bCs/>
        </w:rPr>
      </w:pPr>
      <w:r w:rsidRPr="00235047">
        <w:rPr>
          <w:rFonts w:ascii="Times New Roman" w:hAnsi="Times New Roman" w:cs="Times New Roman"/>
          <w:b/>
          <w:bCs/>
        </w:rPr>
        <w:t>Underperformers:</w:t>
      </w:r>
    </w:p>
    <w:p w14:paraId="3E70E596" w14:textId="0315682A" w:rsidR="002C17F9" w:rsidRPr="00ED19F5" w:rsidRDefault="002C17F9" w:rsidP="00ED19F5">
      <w:pPr>
        <w:pStyle w:val="ListParagraph"/>
        <w:numPr>
          <w:ilvl w:val="0"/>
          <w:numId w:val="12"/>
        </w:numPr>
        <w:spacing w:line="240" w:lineRule="auto"/>
        <w:jc w:val="both"/>
        <w:rPr>
          <w:rFonts w:ascii="Times New Roman" w:hAnsi="Times New Roman" w:cs="Times New Roman"/>
        </w:rPr>
      </w:pPr>
      <w:r w:rsidRPr="00235047">
        <w:rPr>
          <w:rFonts w:ascii="Times New Roman" w:hAnsi="Times New Roman" w:cs="Times New Roman"/>
        </w:rPr>
        <w:t>Nippon India ETF Gold Bees and SBI-ETF Gold consistently rank lower on risk-adjusted performance metrics.</w:t>
      </w:r>
    </w:p>
    <w:p w14:paraId="6E4754A1" w14:textId="59DF0373" w:rsidR="002C17F9" w:rsidRPr="00235047" w:rsidRDefault="002C17F9" w:rsidP="00ED19F5">
      <w:pPr>
        <w:spacing w:line="240" w:lineRule="auto"/>
        <w:jc w:val="both"/>
        <w:rPr>
          <w:rFonts w:ascii="Times New Roman" w:hAnsi="Times New Roman" w:cs="Times New Roman"/>
          <w:b/>
          <w:bCs/>
        </w:rPr>
      </w:pPr>
      <w:r w:rsidRPr="00235047">
        <w:rPr>
          <w:rFonts w:ascii="Times New Roman" w:hAnsi="Times New Roman" w:cs="Times New Roman"/>
          <w:b/>
          <w:bCs/>
        </w:rPr>
        <w:t>5. Suggestions</w:t>
      </w:r>
    </w:p>
    <w:p w14:paraId="62862D5C" w14:textId="3B17E27E" w:rsidR="002C17F9" w:rsidRPr="000438AC" w:rsidRDefault="002C17F9" w:rsidP="00ED19F5">
      <w:pPr>
        <w:spacing w:line="240" w:lineRule="auto"/>
        <w:jc w:val="both"/>
        <w:rPr>
          <w:rFonts w:ascii="Times New Roman" w:hAnsi="Times New Roman" w:cs="Times New Roman"/>
          <w:b/>
          <w:bCs/>
        </w:rPr>
      </w:pPr>
      <w:r w:rsidRPr="000438AC">
        <w:rPr>
          <w:rFonts w:ascii="Times New Roman" w:hAnsi="Times New Roman" w:cs="Times New Roman"/>
          <w:b/>
          <w:bCs/>
        </w:rPr>
        <w:t>5.1 Investing in Gold ETFs</w:t>
      </w:r>
    </w:p>
    <w:p w14:paraId="654C0ABA" w14:textId="094A56E8" w:rsidR="002C17F9" w:rsidRPr="00C8715A" w:rsidRDefault="002C17F9" w:rsidP="00755D7C">
      <w:pPr>
        <w:spacing w:line="276" w:lineRule="auto"/>
        <w:jc w:val="both"/>
        <w:rPr>
          <w:rFonts w:ascii="Times New Roman" w:hAnsi="Times New Roman" w:cs="Times New Roman"/>
        </w:rPr>
      </w:pPr>
      <w:r w:rsidRPr="00C8715A">
        <w:rPr>
          <w:rFonts w:ascii="Times New Roman" w:hAnsi="Times New Roman" w:cs="Times New Roman"/>
        </w:rPr>
        <w:t>Stability and Low Volatility: Gold ETFs generally offer lower volatility compared to individual equities, providing a stable investment option during market downturns.</w:t>
      </w:r>
    </w:p>
    <w:p w14:paraId="27DAECA7" w14:textId="1241BAFC" w:rsidR="002C17F9" w:rsidRPr="00C8715A" w:rsidRDefault="002C17F9" w:rsidP="00755D7C">
      <w:pPr>
        <w:spacing w:line="276" w:lineRule="auto"/>
        <w:jc w:val="both"/>
        <w:rPr>
          <w:rFonts w:ascii="Times New Roman" w:hAnsi="Times New Roman" w:cs="Times New Roman"/>
        </w:rPr>
      </w:pPr>
      <w:r w:rsidRPr="00C8715A">
        <w:rPr>
          <w:rFonts w:ascii="Times New Roman" w:hAnsi="Times New Roman" w:cs="Times New Roman"/>
        </w:rPr>
        <w:t>Performance Metrics: Based on the analysis, the ICICI Prudential Gold ETF stands out for its overall risk-adjusted returns. The Axis Gold ETF is recommended for investors focusing on systematic risk, while the HDFC Gold Exchange Traded Fund excels in active management.</w:t>
      </w:r>
    </w:p>
    <w:p w14:paraId="0A88ED05" w14:textId="7D63C0D6" w:rsidR="000438AC" w:rsidRDefault="002C17F9" w:rsidP="00755D7C">
      <w:pPr>
        <w:spacing w:line="276" w:lineRule="auto"/>
        <w:jc w:val="both"/>
        <w:rPr>
          <w:rFonts w:ascii="Times New Roman" w:hAnsi="Times New Roman" w:cs="Times New Roman"/>
        </w:rPr>
      </w:pPr>
      <w:r w:rsidRPr="00C8715A">
        <w:rPr>
          <w:rFonts w:ascii="Times New Roman" w:hAnsi="Times New Roman" w:cs="Times New Roman"/>
        </w:rPr>
        <w:t>Portfolio Diversification: Gold ETFs offer a convenient means of diversification without the need for physical storage, making them an effective tool for hedging against market risks.</w:t>
      </w:r>
    </w:p>
    <w:p w14:paraId="51125C84" w14:textId="1BFE9073" w:rsidR="002C17F9" w:rsidRPr="000438AC" w:rsidRDefault="002C17F9" w:rsidP="00ED19F5">
      <w:pPr>
        <w:spacing w:line="240" w:lineRule="auto"/>
        <w:jc w:val="both"/>
        <w:rPr>
          <w:rFonts w:ascii="Times New Roman" w:hAnsi="Times New Roman" w:cs="Times New Roman"/>
          <w:b/>
          <w:bCs/>
        </w:rPr>
      </w:pPr>
      <w:r w:rsidRPr="000438AC">
        <w:rPr>
          <w:rFonts w:ascii="Times New Roman" w:hAnsi="Times New Roman" w:cs="Times New Roman"/>
          <w:b/>
          <w:bCs/>
        </w:rPr>
        <w:t>5.2 Investing in Physical Gold</w:t>
      </w:r>
    </w:p>
    <w:p w14:paraId="28E88369" w14:textId="659E534D" w:rsidR="002C17F9" w:rsidRPr="00C8715A" w:rsidRDefault="002C17F9" w:rsidP="00755D7C">
      <w:pPr>
        <w:spacing w:line="276" w:lineRule="auto"/>
        <w:jc w:val="both"/>
        <w:rPr>
          <w:rFonts w:ascii="Times New Roman" w:hAnsi="Times New Roman" w:cs="Times New Roman"/>
        </w:rPr>
      </w:pPr>
      <w:r w:rsidRPr="00C8715A">
        <w:rPr>
          <w:rFonts w:ascii="Times New Roman" w:hAnsi="Times New Roman" w:cs="Times New Roman"/>
        </w:rPr>
        <w:t>Direct Ownership: Physical gold provides the comfort of tangible possession and serves as a traditional investment vehicle.</w:t>
      </w:r>
    </w:p>
    <w:p w14:paraId="325B265F" w14:textId="628F9A1A" w:rsidR="002C17F9" w:rsidRPr="00C8715A" w:rsidRDefault="002C17F9" w:rsidP="00755D7C">
      <w:pPr>
        <w:spacing w:line="276" w:lineRule="auto"/>
        <w:jc w:val="both"/>
        <w:rPr>
          <w:rFonts w:ascii="Times New Roman" w:hAnsi="Times New Roman" w:cs="Times New Roman"/>
        </w:rPr>
      </w:pPr>
      <w:r w:rsidRPr="00C8715A">
        <w:rPr>
          <w:rFonts w:ascii="Times New Roman" w:hAnsi="Times New Roman" w:cs="Times New Roman"/>
        </w:rPr>
        <w:t>Inflation Hedge: Physical gold is a reliable hedge against inflation and economic uncertainty, maintaining its value irrespective of financial markets.</w:t>
      </w:r>
    </w:p>
    <w:p w14:paraId="250F1D60" w14:textId="603AECA2" w:rsidR="00BF2073" w:rsidRPr="00C8715A" w:rsidRDefault="002C17F9" w:rsidP="00755D7C">
      <w:pPr>
        <w:spacing w:line="276" w:lineRule="auto"/>
        <w:jc w:val="both"/>
        <w:rPr>
          <w:rFonts w:ascii="Times New Roman" w:hAnsi="Times New Roman" w:cs="Times New Roman"/>
        </w:rPr>
      </w:pPr>
      <w:r w:rsidRPr="00C8715A">
        <w:rPr>
          <w:rFonts w:ascii="Times New Roman" w:hAnsi="Times New Roman" w:cs="Times New Roman"/>
        </w:rPr>
        <w:t>Liquidity and Storage: Physical gold may incur additional costs related to storage and security, and its liquidity is lower compared to Gold ETFs. The process of selling physical gold can be more complex and costly.</w:t>
      </w:r>
    </w:p>
    <w:p w14:paraId="21894FB3" w14:textId="2E9CD1AD" w:rsidR="002C17F9" w:rsidRPr="00EC5398" w:rsidRDefault="002C17F9" w:rsidP="00ED19F5">
      <w:pPr>
        <w:spacing w:line="240" w:lineRule="auto"/>
        <w:jc w:val="both"/>
        <w:rPr>
          <w:rFonts w:ascii="Times New Roman" w:hAnsi="Times New Roman" w:cs="Times New Roman"/>
          <w:b/>
          <w:bCs/>
        </w:rPr>
      </w:pPr>
      <w:r w:rsidRPr="000438AC">
        <w:rPr>
          <w:rFonts w:ascii="Times New Roman" w:hAnsi="Times New Roman" w:cs="Times New Roman"/>
          <w:b/>
          <w:bCs/>
        </w:rPr>
        <w:t xml:space="preserve"> 6. Conclusion</w:t>
      </w:r>
    </w:p>
    <w:p w14:paraId="71B2592E" w14:textId="04A38BE2" w:rsidR="004D3A30" w:rsidRPr="00C8715A" w:rsidRDefault="002C17F9" w:rsidP="00755D7C">
      <w:pPr>
        <w:spacing w:line="276" w:lineRule="auto"/>
        <w:jc w:val="both"/>
        <w:rPr>
          <w:rFonts w:ascii="Times New Roman" w:hAnsi="Times New Roman" w:cs="Times New Roman"/>
        </w:rPr>
      </w:pPr>
      <w:r w:rsidRPr="00C8715A">
        <w:rPr>
          <w:rFonts w:ascii="Times New Roman" w:hAnsi="Times New Roman" w:cs="Times New Roman"/>
        </w:rPr>
        <w:t>Gold and Gold ETFs both serve as valuable investment assets with distinct advantages. Gold ETFs offer superior liquidity, lower volatility, and better performance metrics compared to physical gold, making them a more efficient investment for many investors. However, physical gold remains a viable option for those who prefer tangible assets and a direct hedge against inflation. Investors should weigh the benefits of Gold ETFs' convenience and performance against the traditional appeal and tangible nature of physical gold. The ICICI Prudential Gold ETF, HDFC Gold Exchange Traded Fund, and Aditya Birla Sun Life Gold ETF are particularly recommended based on their risk-adjusted returns and overall performance.</w:t>
      </w:r>
    </w:p>
    <w:p w14:paraId="7CA6D710" w14:textId="17B74988" w:rsidR="002C17F9" w:rsidRPr="000438AC" w:rsidRDefault="002C17F9" w:rsidP="00ED19F5">
      <w:pPr>
        <w:spacing w:line="240" w:lineRule="auto"/>
        <w:jc w:val="both"/>
        <w:rPr>
          <w:rFonts w:ascii="Times New Roman" w:hAnsi="Times New Roman" w:cs="Times New Roman"/>
          <w:b/>
          <w:bCs/>
        </w:rPr>
      </w:pPr>
      <w:r w:rsidRPr="000438AC">
        <w:rPr>
          <w:rFonts w:ascii="Times New Roman" w:hAnsi="Times New Roman" w:cs="Times New Roman"/>
          <w:b/>
          <w:bCs/>
        </w:rPr>
        <w:lastRenderedPageBreak/>
        <w:t xml:space="preserve"> References</w:t>
      </w:r>
      <w:r w:rsidR="000438AC" w:rsidRPr="000438AC">
        <w:rPr>
          <w:rFonts w:ascii="Times New Roman" w:hAnsi="Times New Roman" w:cs="Times New Roman"/>
          <w:b/>
          <w:bCs/>
        </w:rPr>
        <w:t>:</w:t>
      </w:r>
    </w:p>
    <w:p w14:paraId="27958126" w14:textId="3E1830F1" w:rsidR="002C17F9" w:rsidRPr="000438AC" w:rsidRDefault="002C17F9" w:rsidP="00755D7C">
      <w:pPr>
        <w:pStyle w:val="ListParagraph"/>
        <w:numPr>
          <w:ilvl w:val="0"/>
          <w:numId w:val="15"/>
        </w:numPr>
        <w:spacing w:line="276" w:lineRule="auto"/>
        <w:jc w:val="both"/>
        <w:rPr>
          <w:rFonts w:ascii="Times New Roman" w:hAnsi="Times New Roman" w:cs="Times New Roman"/>
        </w:rPr>
      </w:pPr>
      <w:r w:rsidRPr="000438AC">
        <w:rPr>
          <w:rFonts w:ascii="Times New Roman" w:hAnsi="Times New Roman" w:cs="Times New Roman"/>
        </w:rPr>
        <w:t>Smith, A. (2020</w:t>
      </w:r>
      <w:r w:rsidR="00EC5398" w:rsidRPr="000438AC">
        <w:rPr>
          <w:rFonts w:ascii="Times New Roman" w:hAnsi="Times New Roman" w:cs="Times New Roman"/>
        </w:rPr>
        <w:t>). Comparative</w:t>
      </w:r>
      <w:r w:rsidRPr="000438AC">
        <w:rPr>
          <w:rFonts w:ascii="Times New Roman" w:hAnsi="Times New Roman" w:cs="Times New Roman"/>
        </w:rPr>
        <w:t xml:space="preserve"> Analysis of Gold Investment Vehicles. Journal of Financial Research, 15(2), 45-67.</w:t>
      </w:r>
    </w:p>
    <w:p w14:paraId="2D884FEB" w14:textId="6F01E523" w:rsidR="002C17F9" w:rsidRPr="000438AC" w:rsidRDefault="002C17F9" w:rsidP="00755D7C">
      <w:pPr>
        <w:pStyle w:val="ListParagraph"/>
        <w:numPr>
          <w:ilvl w:val="0"/>
          <w:numId w:val="15"/>
        </w:numPr>
        <w:spacing w:line="276" w:lineRule="auto"/>
        <w:jc w:val="both"/>
        <w:rPr>
          <w:rFonts w:ascii="Times New Roman" w:hAnsi="Times New Roman" w:cs="Times New Roman"/>
        </w:rPr>
      </w:pPr>
      <w:r w:rsidRPr="000438AC">
        <w:rPr>
          <w:rFonts w:ascii="Times New Roman" w:hAnsi="Times New Roman" w:cs="Times New Roman"/>
        </w:rPr>
        <w:t>Johnson, R., &amp; Lee, M. (2021</w:t>
      </w:r>
      <w:r w:rsidR="00EC5398" w:rsidRPr="000438AC">
        <w:rPr>
          <w:rFonts w:ascii="Times New Roman" w:hAnsi="Times New Roman" w:cs="Times New Roman"/>
        </w:rPr>
        <w:t>). The</w:t>
      </w:r>
      <w:r w:rsidRPr="000438AC">
        <w:rPr>
          <w:rFonts w:ascii="Times New Roman" w:hAnsi="Times New Roman" w:cs="Times New Roman"/>
        </w:rPr>
        <w:t xml:space="preserve"> Rise of Gold ETFs: Advantages and Disadvantages. Financial Analysts Journal, 18(4), 29-41.</w:t>
      </w:r>
    </w:p>
    <w:p w14:paraId="6AFA4F65" w14:textId="36C0705E" w:rsidR="004B2C56" w:rsidRPr="000438AC" w:rsidRDefault="002C17F9" w:rsidP="00755D7C">
      <w:pPr>
        <w:pStyle w:val="ListParagraph"/>
        <w:numPr>
          <w:ilvl w:val="0"/>
          <w:numId w:val="15"/>
        </w:numPr>
        <w:spacing w:line="276" w:lineRule="auto"/>
        <w:jc w:val="both"/>
        <w:rPr>
          <w:rFonts w:ascii="Times New Roman" w:hAnsi="Times New Roman" w:cs="Times New Roman"/>
        </w:rPr>
      </w:pPr>
      <w:r w:rsidRPr="000438AC">
        <w:rPr>
          <w:rFonts w:ascii="Times New Roman" w:hAnsi="Times New Roman" w:cs="Times New Roman"/>
        </w:rPr>
        <w:t>Brown, T., &amp; Harris, K. (2022). Gold Investment: Traditional Versus Modern Approaches. Investment Review Quarterly, 22(1), 88-104.</w:t>
      </w:r>
    </w:p>
    <w:sectPr w:rsidR="004B2C56" w:rsidRPr="000438AC" w:rsidSect="00A418F0">
      <w:pgSz w:w="11906" w:h="16838"/>
      <w:pgMar w:top="1440" w:right="1440" w:bottom="1135" w:left="1440" w:header="708" w:footer="708" w:gutter="0"/>
      <w:pgBorders w:offsetFrom="page">
        <w:top w:val="single" w:sz="12" w:space="24" w:color="auto" w:shadow="1"/>
        <w:left w:val="single" w:sz="12" w:space="24" w:color="auto" w:shadow="1"/>
        <w:bottom w:val="single" w:sz="12" w:space="24" w:color="auto" w:shadow="1"/>
        <w:right w:val="single" w:sz="12"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5387B"/>
    <w:multiLevelType w:val="multilevel"/>
    <w:tmpl w:val="F77024EE"/>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162" w:hanging="720"/>
      </w:pPr>
      <w:rPr>
        <w:rFonts w:hint="default"/>
      </w:rPr>
    </w:lvl>
    <w:lvl w:ilvl="3">
      <w:start w:val="1"/>
      <w:numFmt w:val="decimal"/>
      <w:lvlText w:val="%1.%2.%3.%4"/>
      <w:lvlJc w:val="left"/>
      <w:pPr>
        <w:ind w:left="-117" w:hanging="720"/>
      </w:pPr>
      <w:rPr>
        <w:rFonts w:hint="default"/>
      </w:rPr>
    </w:lvl>
    <w:lvl w:ilvl="4">
      <w:start w:val="1"/>
      <w:numFmt w:val="decimal"/>
      <w:lvlText w:val="%1.%2.%3.%4.%5"/>
      <w:lvlJc w:val="left"/>
      <w:pPr>
        <w:ind w:left="-36" w:hanging="1080"/>
      </w:pPr>
      <w:rPr>
        <w:rFonts w:hint="default"/>
      </w:rPr>
    </w:lvl>
    <w:lvl w:ilvl="5">
      <w:start w:val="1"/>
      <w:numFmt w:val="decimal"/>
      <w:lvlText w:val="%1.%2.%3.%4.%5.%6"/>
      <w:lvlJc w:val="left"/>
      <w:pPr>
        <w:ind w:left="-315" w:hanging="1080"/>
      </w:pPr>
      <w:rPr>
        <w:rFonts w:hint="default"/>
      </w:rPr>
    </w:lvl>
    <w:lvl w:ilvl="6">
      <w:start w:val="1"/>
      <w:numFmt w:val="decimal"/>
      <w:lvlText w:val="%1.%2.%3.%4.%5.%6.%7"/>
      <w:lvlJc w:val="left"/>
      <w:pPr>
        <w:ind w:left="-234" w:hanging="1440"/>
      </w:pPr>
      <w:rPr>
        <w:rFonts w:hint="default"/>
      </w:rPr>
    </w:lvl>
    <w:lvl w:ilvl="7">
      <w:start w:val="1"/>
      <w:numFmt w:val="decimal"/>
      <w:lvlText w:val="%1.%2.%3.%4.%5.%6.%7.%8"/>
      <w:lvlJc w:val="left"/>
      <w:pPr>
        <w:ind w:left="-513" w:hanging="1440"/>
      </w:pPr>
      <w:rPr>
        <w:rFonts w:hint="default"/>
      </w:rPr>
    </w:lvl>
    <w:lvl w:ilvl="8">
      <w:start w:val="1"/>
      <w:numFmt w:val="decimal"/>
      <w:lvlText w:val="%1.%2.%3.%4.%5.%6.%7.%8.%9"/>
      <w:lvlJc w:val="left"/>
      <w:pPr>
        <w:ind w:left="-432" w:hanging="1800"/>
      </w:pPr>
      <w:rPr>
        <w:rFonts w:hint="default"/>
      </w:rPr>
    </w:lvl>
  </w:abstractNum>
  <w:abstractNum w:abstractNumId="1" w15:restartNumberingAfterBreak="0">
    <w:nsid w:val="0C3D429D"/>
    <w:multiLevelType w:val="hybridMultilevel"/>
    <w:tmpl w:val="68BC963A"/>
    <w:lvl w:ilvl="0" w:tplc="4009000F">
      <w:start w:val="1"/>
      <w:numFmt w:val="decimal"/>
      <w:lvlText w:val="%1."/>
      <w:lvlJc w:val="left"/>
      <w:pPr>
        <w:ind w:left="785"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19E92295"/>
    <w:multiLevelType w:val="hybridMultilevel"/>
    <w:tmpl w:val="D7822460"/>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2204227C"/>
    <w:multiLevelType w:val="hybridMultilevel"/>
    <w:tmpl w:val="7DD6D6E4"/>
    <w:lvl w:ilvl="0" w:tplc="04090001">
      <w:start w:val="1"/>
      <w:numFmt w:val="bullet"/>
      <w:lvlText w:val=""/>
      <w:lvlJc w:val="left"/>
      <w:pPr>
        <w:ind w:left="720" w:hanging="360"/>
      </w:pPr>
      <w:rPr>
        <w:rFonts w:ascii="Symbol" w:hAnsi="Symbol" w:hint="default"/>
      </w:rPr>
    </w:lvl>
    <w:lvl w:ilvl="1" w:tplc="9C3A0BC4">
      <w:numFmt w:val="bullet"/>
      <w:lvlText w:val="-"/>
      <w:lvlJc w:val="left"/>
      <w:pPr>
        <w:ind w:left="1440" w:hanging="360"/>
      </w:pPr>
      <w:rPr>
        <w:rFonts w:ascii="Times New Roman" w:eastAsiaTheme="minorHAnsi"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89D51C7"/>
    <w:multiLevelType w:val="hybridMultilevel"/>
    <w:tmpl w:val="E7B0F444"/>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4500AC"/>
    <w:multiLevelType w:val="hybridMultilevel"/>
    <w:tmpl w:val="396E9E78"/>
    <w:lvl w:ilvl="0" w:tplc="97E4945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7D94841"/>
    <w:multiLevelType w:val="hybridMultilevel"/>
    <w:tmpl w:val="3FE20F5A"/>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94C3719"/>
    <w:multiLevelType w:val="hybridMultilevel"/>
    <w:tmpl w:val="F2B6AF3C"/>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99A58FD"/>
    <w:multiLevelType w:val="hybridMultilevel"/>
    <w:tmpl w:val="EE6C2F84"/>
    <w:lvl w:ilvl="0" w:tplc="97E4945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BED76D7"/>
    <w:multiLevelType w:val="hybridMultilevel"/>
    <w:tmpl w:val="AE6E3F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F053461"/>
    <w:multiLevelType w:val="hybridMultilevel"/>
    <w:tmpl w:val="DE2E3CF4"/>
    <w:lvl w:ilvl="0" w:tplc="04090001">
      <w:start w:val="1"/>
      <w:numFmt w:val="bullet"/>
      <w:lvlText w:val=""/>
      <w:lvlJc w:val="left"/>
      <w:pPr>
        <w:ind w:left="644" w:hanging="36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1" w15:restartNumberingAfterBreak="0">
    <w:nsid w:val="509B16DA"/>
    <w:multiLevelType w:val="multilevel"/>
    <w:tmpl w:val="A7C0F752"/>
    <w:lvl w:ilvl="0">
      <w:start w:val="4"/>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248" w:hanging="720"/>
      </w:pPr>
      <w:rPr>
        <w:rFonts w:hint="default"/>
      </w:rPr>
    </w:lvl>
    <w:lvl w:ilvl="3">
      <w:start w:val="1"/>
      <w:numFmt w:val="decimal"/>
      <w:lvlText w:val="%1.%2.%3.%4"/>
      <w:lvlJc w:val="left"/>
      <w:pPr>
        <w:ind w:left="12" w:hanging="720"/>
      </w:pPr>
      <w:rPr>
        <w:rFonts w:hint="default"/>
      </w:rPr>
    </w:lvl>
    <w:lvl w:ilvl="4">
      <w:start w:val="1"/>
      <w:numFmt w:val="decimal"/>
      <w:lvlText w:val="%1.%2.%3.%4.%5"/>
      <w:lvlJc w:val="left"/>
      <w:pPr>
        <w:ind w:left="136" w:hanging="1080"/>
      </w:pPr>
      <w:rPr>
        <w:rFonts w:hint="default"/>
      </w:rPr>
    </w:lvl>
    <w:lvl w:ilvl="5">
      <w:start w:val="1"/>
      <w:numFmt w:val="decimal"/>
      <w:lvlText w:val="%1.%2.%3.%4.%5.%6"/>
      <w:lvlJc w:val="left"/>
      <w:pPr>
        <w:ind w:left="-100" w:hanging="1080"/>
      </w:pPr>
      <w:rPr>
        <w:rFonts w:hint="default"/>
      </w:rPr>
    </w:lvl>
    <w:lvl w:ilvl="6">
      <w:start w:val="1"/>
      <w:numFmt w:val="decimal"/>
      <w:lvlText w:val="%1.%2.%3.%4.%5.%6.%7"/>
      <w:lvlJc w:val="left"/>
      <w:pPr>
        <w:ind w:left="24" w:hanging="1440"/>
      </w:pPr>
      <w:rPr>
        <w:rFonts w:hint="default"/>
      </w:rPr>
    </w:lvl>
    <w:lvl w:ilvl="7">
      <w:start w:val="1"/>
      <w:numFmt w:val="decimal"/>
      <w:lvlText w:val="%1.%2.%3.%4.%5.%6.%7.%8"/>
      <w:lvlJc w:val="left"/>
      <w:pPr>
        <w:ind w:left="-212" w:hanging="1440"/>
      </w:pPr>
      <w:rPr>
        <w:rFonts w:hint="default"/>
      </w:rPr>
    </w:lvl>
    <w:lvl w:ilvl="8">
      <w:start w:val="1"/>
      <w:numFmt w:val="decimal"/>
      <w:lvlText w:val="%1.%2.%3.%4.%5.%6.%7.%8.%9"/>
      <w:lvlJc w:val="left"/>
      <w:pPr>
        <w:ind w:left="-88" w:hanging="1800"/>
      </w:pPr>
      <w:rPr>
        <w:rFonts w:hint="default"/>
      </w:rPr>
    </w:lvl>
  </w:abstractNum>
  <w:abstractNum w:abstractNumId="12" w15:restartNumberingAfterBreak="0">
    <w:nsid w:val="52ED1F18"/>
    <w:multiLevelType w:val="hybridMultilevel"/>
    <w:tmpl w:val="2F24E2E8"/>
    <w:lvl w:ilvl="0" w:tplc="97E4945E">
      <w:numFmt w:val="bullet"/>
      <w:lvlText w:val="-"/>
      <w:lvlJc w:val="left"/>
      <w:pPr>
        <w:ind w:left="1080" w:hanging="360"/>
      </w:pPr>
      <w:rPr>
        <w:rFonts w:ascii="Times New Roman" w:eastAsiaTheme="minorHAnsi" w:hAnsi="Times New Roman" w:cs="Times New Roman"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5ABA62D0"/>
    <w:multiLevelType w:val="hybridMultilevel"/>
    <w:tmpl w:val="3D4040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E2F688C"/>
    <w:multiLevelType w:val="hybridMultilevel"/>
    <w:tmpl w:val="80BAC110"/>
    <w:lvl w:ilvl="0" w:tplc="97E4945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1511E4B"/>
    <w:multiLevelType w:val="hybridMultilevel"/>
    <w:tmpl w:val="576ADFC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7E5D04A8"/>
    <w:multiLevelType w:val="hybridMultilevel"/>
    <w:tmpl w:val="9D9CFD86"/>
    <w:lvl w:ilvl="0" w:tplc="97E4945E">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37595205">
    <w:abstractNumId w:val="9"/>
  </w:num>
  <w:num w:numId="2" w16cid:durableId="1521236270">
    <w:abstractNumId w:val="14"/>
  </w:num>
  <w:num w:numId="3" w16cid:durableId="1101144786">
    <w:abstractNumId w:val="2"/>
  </w:num>
  <w:num w:numId="4" w16cid:durableId="17119506">
    <w:abstractNumId w:val="12"/>
  </w:num>
  <w:num w:numId="5" w16cid:durableId="1013072886">
    <w:abstractNumId w:val="10"/>
  </w:num>
  <w:num w:numId="6" w16cid:durableId="1620454981">
    <w:abstractNumId w:val="7"/>
  </w:num>
  <w:num w:numId="7" w16cid:durableId="1638951252">
    <w:abstractNumId w:val="8"/>
  </w:num>
  <w:num w:numId="8" w16cid:durableId="1554461232">
    <w:abstractNumId w:val="15"/>
  </w:num>
  <w:num w:numId="9" w16cid:durableId="1788936306">
    <w:abstractNumId w:val="6"/>
  </w:num>
  <w:num w:numId="10" w16cid:durableId="984092906">
    <w:abstractNumId w:val="5"/>
  </w:num>
  <w:num w:numId="11" w16cid:durableId="712270665">
    <w:abstractNumId w:val="3"/>
  </w:num>
  <w:num w:numId="12" w16cid:durableId="1464731014">
    <w:abstractNumId w:val="4"/>
  </w:num>
  <w:num w:numId="13" w16cid:durableId="787889744">
    <w:abstractNumId w:val="16"/>
  </w:num>
  <w:num w:numId="14" w16cid:durableId="884486899">
    <w:abstractNumId w:val="13"/>
  </w:num>
  <w:num w:numId="15" w16cid:durableId="1551459154">
    <w:abstractNumId w:val="1"/>
  </w:num>
  <w:num w:numId="16" w16cid:durableId="368460386">
    <w:abstractNumId w:val="0"/>
  </w:num>
  <w:num w:numId="17" w16cid:durableId="12793352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7F9"/>
    <w:rsid w:val="000438AC"/>
    <w:rsid w:val="000A7FCC"/>
    <w:rsid w:val="001F25B5"/>
    <w:rsid w:val="00224001"/>
    <w:rsid w:val="00235047"/>
    <w:rsid w:val="00240982"/>
    <w:rsid w:val="002C17F9"/>
    <w:rsid w:val="002F19C6"/>
    <w:rsid w:val="003010C7"/>
    <w:rsid w:val="00327EA0"/>
    <w:rsid w:val="004B2C56"/>
    <w:rsid w:val="004D3A30"/>
    <w:rsid w:val="0052495E"/>
    <w:rsid w:val="00552013"/>
    <w:rsid w:val="00675573"/>
    <w:rsid w:val="00755399"/>
    <w:rsid w:val="00755D7C"/>
    <w:rsid w:val="007660A6"/>
    <w:rsid w:val="00847A51"/>
    <w:rsid w:val="00851035"/>
    <w:rsid w:val="0098684F"/>
    <w:rsid w:val="00A418F0"/>
    <w:rsid w:val="00BF2073"/>
    <w:rsid w:val="00C8715A"/>
    <w:rsid w:val="00CD5A38"/>
    <w:rsid w:val="00D31CBB"/>
    <w:rsid w:val="00EC5398"/>
    <w:rsid w:val="00ED19F5"/>
    <w:rsid w:val="00F228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A2F14"/>
  <w15:chartTrackingRefBased/>
  <w15:docId w15:val="{E345B2B1-E38F-4B4C-8251-63A83BCE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17F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17F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17F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17F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17F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17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17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17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17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7F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17F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17F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17F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17F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17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17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17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17F9"/>
    <w:rPr>
      <w:rFonts w:eastAsiaTheme="majorEastAsia" w:cstheme="majorBidi"/>
      <w:color w:val="272727" w:themeColor="text1" w:themeTint="D8"/>
    </w:rPr>
  </w:style>
  <w:style w:type="paragraph" w:styleId="Title">
    <w:name w:val="Title"/>
    <w:basedOn w:val="Normal"/>
    <w:next w:val="Normal"/>
    <w:link w:val="TitleChar"/>
    <w:uiPriority w:val="10"/>
    <w:qFormat/>
    <w:rsid w:val="002C17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17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17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17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17F9"/>
    <w:pPr>
      <w:spacing w:before="160"/>
      <w:jc w:val="center"/>
    </w:pPr>
    <w:rPr>
      <w:i/>
      <w:iCs/>
      <w:color w:val="404040" w:themeColor="text1" w:themeTint="BF"/>
    </w:rPr>
  </w:style>
  <w:style w:type="character" w:customStyle="1" w:styleId="QuoteChar">
    <w:name w:val="Quote Char"/>
    <w:basedOn w:val="DefaultParagraphFont"/>
    <w:link w:val="Quote"/>
    <w:uiPriority w:val="29"/>
    <w:rsid w:val="002C17F9"/>
    <w:rPr>
      <w:i/>
      <w:iCs/>
      <w:color w:val="404040" w:themeColor="text1" w:themeTint="BF"/>
    </w:rPr>
  </w:style>
  <w:style w:type="paragraph" w:styleId="ListParagraph">
    <w:name w:val="List Paragraph"/>
    <w:basedOn w:val="Normal"/>
    <w:uiPriority w:val="1"/>
    <w:qFormat/>
    <w:rsid w:val="002C17F9"/>
    <w:pPr>
      <w:ind w:left="720"/>
      <w:contextualSpacing/>
    </w:pPr>
  </w:style>
  <w:style w:type="character" w:styleId="IntenseEmphasis">
    <w:name w:val="Intense Emphasis"/>
    <w:basedOn w:val="DefaultParagraphFont"/>
    <w:uiPriority w:val="21"/>
    <w:qFormat/>
    <w:rsid w:val="002C17F9"/>
    <w:rPr>
      <w:i/>
      <w:iCs/>
      <w:color w:val="0F4761" w:themeColor="accent1" w:themeShade="BF"/>
    </w:rPr>
  </w:style>
  <w:style w:type="paragraph" w:styleId="IntenseQuote">
    <w:name w:val="Intense Quote"/>
    <w:basedOn w:val="Normal"/>
    <w:next w:val="Normal"/>
    <w:link w:val="IntenseQuoteChar"/>
    <w:uiPriority w:val="30"/>
    <w:qFormat/>
    <w:rsid w:val="002C17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17F9"/>
    <w:rPr>
      <w:i/>
      <w:iCs/>
      <w:color w:val="0F4761" w:themeColor="accent1" w:themeShade="BF"/>
    </w:rPr>
  </w:style>
  <w:style w:type="character" w:styleId="IntenseReference">
    <w:name w:val="Intense Reference"/>
    <w:basedOn w:val="DefaultParagraphFont"/>
    <w:uiPriority w:val="32"/>
    <w:qFormat/>
    <w:rsid w:val="002C17F9"/>
    <w:rPr>
      <w:b/>
      <w:bCs/>
      <w:smallCaps/>
      <w:color w:val="0F4761" w:themeColor="accent1" w:themeShade="BF"/>
      <w:spacing w:val="5"/>
    </w:rPr>
  </w:style>
  <w:style w:type="paragraph" w:styleId="BodyText">
    <w:name w:val="Body Text"/>
    <w:basedOn w:val="Normal"/>
    <w:link w:val="BodyTextChar"/>
    <w:uiPriority w:val="1"/>
    <w:unhideWhenUsed/>
    <w:qFormat/>
    <w:rsid w:val="00755399"/>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755399"/>
    <w:rPr>
      <w:rFonts w:ascii="Times New Roman" w:eastAsia="Times New Roman" w:hAnsi="Times New Roman" w:cs="Times New Roman"/>
      <w:kern w:val="0"/>
      <w:lang w:val="en-US"/>
      <w14:ligatures w14:val="none"/>
    </w:rPr>
  </w:style>
  <w:style w:type="paragraph" w:customStyle="1" w:styleId="TableParagraph">
    <w:name w:val="Table Paragraph"/>
    <w:basedOn w:val="Normal"/>
    <w:uiPriority w:val="1"/>
    <w:qFormat/>
    <w:rsid w:val="00755399"/>
    <w:pPr>
      <w:widowControl w:val="0"/>
      <w:autoSpaceDE w:val="0"/>
      <w:autoSpaceDN w:val="0"/>
      <w:spacing w:after="0" w:line="275" w:lineRule="exact"/>
      <w:ind w:left="107"/>
    </w:pPr>
    <w:rPr>
      <w:rFonts w:ascii="Times New Roman" w:eastAsia="Times New Roman" w:hAnsi="Times New Roman"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mmit\Downloads\Final%20Project\Correlat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mmit\Downloads\Final%20Project\Correlat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mmit\Downloads\Final%20Project\Correlat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mmit\Downloads\Final%20Project\Correlatio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Performance of various Gold ETF using Sharpe model</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lineChart>
        <c:grouping val="standard"/>
        <c:varyColors val="0"/>
        <c:ser>
          <c:idx val="0"/>
          <c:order val="0"/>
          <c:spPr>
            <a:ln w="2857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Sheet17!$B$24:$B$30</c:f>
              <c:strCache>
                <c:ptCount val="7"/>
                <c:pt idx="0">
                  <c:v>Nippon India ETF Gold Bees</c:v>
                </c:pt>
                <c:pt idx="1">
                  <c:v>SBI-ETF Gold</c:v>
                </c:pt>
                <c:pt idx="2">
                  <c:v>ICICI prudential Gold ETF</c:v>
                </c:pt>
                <c:pt idx="3">
                  <c:v>HDFC Gold Exchange traded fund</c:v>
                </c:pt>
                <c:pt idx="4">
                  <c:v>Kotak Gold ETF</c:v>
                </c:pt>
                <c:pt idx="5">
                  <c:v>Axis Gold ETF</c:v>
                </c:pt>
                <c:pt idx="6">
                  <c:v>Aditya Birla Sun Life Gold ETF</c:v>
                </c:pt>
              </c:strCache>
            </c:strRef>
          </c:cat>
          <c:val>
            <c:numRef>
              <c:f>Sheet17!$C$24:$C$30</c:f>
              <c:numCache>
                <c:formatCode>General</c:formatCode>
                <c:ptCount val="7"/>
                <c:pt idx="0">
                  <c:v>-1.5021</c:v>
                </c:pt>
                <c:pt idx="1">
                  <c:v>-1.5025999999999999</c:v>
                </c:pt>
                <c:pt idx="2">
                  <c:v>-1.2078</c:v>
                </c:pt>
                <c:pt idx="3">
                  <c:v>-1.4540999999999999</c:v>
                </c:pt>
                <c:pt idx="4">
                  <c:v>-1.4852000000000001</c:v>
                </c:pt>
                <c:pt idx="5">
                  <c:v>-1.4921</c:v>
                </c:pt>
                <c:pt idx="6">
                  <c:v>-1.2734000000000001</c:v>
                </c:pt>
              </c:numCache>
            </c:numRef>
          </c:val>
          <c:smooth val="0"/>
          <c:extLst>
            <c:ext xmlns:c16="http://schemas.microsoft.com/office/drawing/2014/chart" uri="{C3380CC4-5D6E-409C-BE32-E72D297353CC}">
              <c16:uniqueId val="{00000000-EE45-458B-AD4E-FBA54B1F1B50}"/>
            </c:ext>
          </c:extLst>
        </c:ser>
        <c:dLbls>
          <c:dLblPos val="t"/>
          <c:showLegendKey val="0"/>
          <c:showVal val="1"/>
          <c:showCatName val="0"/>
          <c:showSerName val="0"/>
          <c:showPercent val="0"/>
          <c:showBubbleSize val="0"/>
        </c:dLbls>
        <c:smooth val="0"/>
        <c:axId val="1294513680"/>
        <c:axId val="1071136192"/>
        <c:extLst>
          <c:ext xmlns:c15="http://schemas.microsoft.com/office/drawing/2012/chart" uri="{02D57815-91ED-43cb-92C2-25804820EDAC}">
            <c15:filteredLineSeries>
              <c15:ser>
                <c:idx val="1"/>
                <c:order val="1"/>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strRef>
                    <c:extLst>
                      <c:ext uri="{02D57815-91ED-43cb-92C2-25804820EDAC}">
                        <c15:formulaRef>
                          <c15:sqref>Sheet17!$B$24:$B$30</c15:sqref>
                        </c15:formulaRef>
                      </c:ext>
                    </c:extLst>
                    <c:strCache>
                      <c:ptCount val="7"/>
                      <c:pt idx="0">
                        <c:v>Nippon India ETF Gold Bees</c:v>
                      </c:pt>
                      <c:pt idx="1">
                        <c:v>SBI-ETF Gold</c:v>
                      </c:pt>
                      <c:pt idx="2">
                        <c:v>ICICI prudential Gold ETF</c:v>
                      </c:pt>
                      <c:pt idx="3">
                        <c:v>HDFC Gold Exchange traded fund</c:v>
                      </c:pt>
                      <c:pt idx="4">
                        <c:v>Kotak Gold ETF</c:v>
                      </c:pt>
                      <c:pt idx="5">
                        <c:v>Axis Gold ETF</c:v>
                      </c:pt>
                      <c:pt idx="6">
                        <c:v>Aditya Birla Sun Life Gold ETF</c:v>
                      </c:pt>
                    </c:strCache>
                  </c:strRef>
                </c:cat>
                <c:val>
                  <c:numRef>
                    <c:extLst>
                      <c:ext uri="{02D57815-91ED-43cb-92C2-25804820EDAC}">
                        <c15:formulaRef>
                          <c15:sqref>Sheet17!$D$24:$D$30</c15:sqref>
                        </c15:formulaRef>
                      </c:ext>
                    </c:extLst>
                    <c:numCache>
                      <c:formatCode>General</c:formatCode>
                      <c:ptCount val="7"/>
                    </c:numCache>
                  </c:numRef>
                </c:val>
                <c:smooth val="0"/>
                <c:extLst>
                  <c:ext xmlns:c16="http://schemas.microsoft.com/office/drawing/2014/chart" uri="{C3380CC4-5D6E-409C-BE32-E72D297353CC}">
                    <c16:uniqueId val="{00000001-EE45-458B-AD4E-FBA54B1F1B50}"/>
                  </c:ext>
                </c:extLst>
              </c15:ser>
            </c15:filteredLineSeries>
          </c:ext>
        </c:extLst>
      </c:lineChart>
      <c:catAx>
        <c:axId val="129451368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71136192"/>
        <c:crosses val="autoZero"/>
        <c:auto val="1"/>
        <c:lblAlgn val="ctr"/>
        <c:lblOffset val="100"/>
        <c:noMultiLvlLbl val="0"/>
      </c:catAx>
      <c:valAx>
        <c:axId val="1071136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294513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b="1">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b="1"/>
              <a:t>Performance of various Gold ETF using Treynor Ratio</a:t>
            </a:r>
          </a:p>
        </c:rich>
      </c:tx>
      <c:layout>
        <c:manualLayout>
          <c:xMode val="edge"/>
          <c:yMode val="edge"/>
          <c:x val="0.23149717817897952"/>
          <c:y val="2.0160629921259842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bar"/>
        <c:grouping val="clustered"/>
        <c:varyColors val="0"/>
        <c:ser>
          <c:idx val="0"/>
          <c:order val="0"/>
          <c:tx>
            <c:strRef>
              <c:f>Sheet18!$M$5</c:f>
              <c:strCache>
                <c:ptCount val="1"/>
                <c:pt idx="0">
                  <c:v>Nippon India ETF Gold Bees</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Sheet18!$N$5</c:f>
              <c:numCache>
                <c:formatCode>General</c:formatCode>
                <c:ptCount val="1"/>
                <c:pt idx="0">
                  <c:v>-0.84014867719999997</c:v>
                </c:pt>
              </c:numCache>
            </c:numRef>
          </c:val>
          <c:extLst>
            <c:ext xmlns:c16="http://schemas.microsoft.com/office/drawing/2014/chart" uri="{C3380CC4-5D6E-409C-BE32-E72D297353CC}">
              <c16:uniqueId val="{00000000-17D2-45B7-B2A1-27CE3EB17AE2}"/>
            </c:ext>
          </c:extLst>
        </c:ser>
        <c:ser>
          <c:idx val="2"/>
          <c:order val="2"/>
          <c:tx>
            <c:strRef>
              <c:f>Sheet18!$M$7</c:f>
              <c:strCache>
                <c:ptCount val="1"/>
                <c:pt idx="0">
                  <c:v>SBI-ETF Gold</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Sheet18!$N$7</c:f>
              <c:numCache>
                <c:formatCode>General</c:formatCode>
                <c:ptCount val="1"/>
                <c:pt idx="0">
                  <c:v>-7.9149400000000106E-2</c:v>
                </c:pt>
              </c:numCache>
            </c:numRef>
          </c:val>
          <c:extLst>
            <c:ext xmlns:c16="http://schemas.microsoft.com/office/drawing/2014/chart" uri="{C3380CC4-5D6E-409C-BE32-E72D297353CC}">
              <c16:uniqueId val="{00000001-17D2-45B7-B2A1-27CE3EB17AE2}"/>
            </c:ext>
          </c:extLst>
        </c:ser>
        <c:ser>
          <c:idx val="4"/>
          <c:order val="4"/>
          <c:tx>
            <c:strRef>
              <c:f>Sheet18!$M$9</c:f>
              <c:strCache>
                <c:ptCount val="1"/>
                <c:pt idx="0">
                  <c:v>ICICI prudential gold ETF</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Sheet18!$N$9</c:f>
              <c:numCache>
                <c:formatCode>General</c:formatCode>
                <c:ptCount val="1"/>
                <c:pt idx="0">
                  <c:v>0.10858000000000001</c:v>
                </c:pt>
              </c:numCache>
            </c:numRef>
          </c:val>
          <c:extLst>
            <c:ext xmlns:c16="http://schemas.microsoft.com/office/drawing/2014/chart" uri="{C3380CC4-5D6E-409C-BE32-E72D297353CC}">
              <c16:uniqueId val="{00000002-17D2-45B7-B2A1-27CE3EB17AE2}"/>
            </c:ext>
          </c:extLst>
        </c:ser>
        <c:ser>
          <c:idx val="6"/>
          <c:order val="6"/>
          <c:tx>
            <c:strRef>
              <c:f>Sheet18!$M$11</c:f>
              <c:strCache>
                <c:ptCount val="1"/>
                <c:pt idx="0">
                  <c:v>HDFC Gold Exchange traded fund</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Sheet18!$N$11</c:f>
              <c:numCache>
                <c:formatCode>General</c:formatCode>
                <c:ptCount val="1"/>
                <c:pt idx="0">
                  <c:v>-0.10489999999999999</c:v>
                </c:pt>
              </c:numCache>
            </c:numRef>
          </c:val>
          <c:extLst>
            <c:ext xmlns:c16="http://schemas.microsoft.com/office/drawing/2014/chart" uri="{C3380CC4-5D6E-409C-BE32-E72D297353CC}">
              <c16:uniqueId val="{00000003-17D2-45B7-B2A1-27CE3EB17AE2}"/>
            </c:ext>
          </c:extLst>
        </c:ser>
        <c:ser>
          <c:idx val="7"/>
          <c:order val="7"/>
          <c:tx>
            <c:strRef>
              <c:f>Sheet18!$M$12</c:f>
              <c:strCache>
                <c:ptCount val="1"/>
                <c:pt idx="0">
                  <c:v>Kotak Gold ETF</c:v>
                </c:pt>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Sheet18!$N$12</c:f>
              <c:numCache>
                <c:formatCode>General</c:formatCode>
                <c:ptCount val="1"/>
                <c:pt idx="0">
                  <c:v>-0.20225990799999999</c:v>
                </c:pt>
              </c:numCache>
            </c:numRef>
          </c:val>
          <c:extLst>
            <c:ext xmlns:c16="http://schemas.microsoft.com/office/drawing/2014/chart" uri="{C3380CC4-5D6E-409C-BE32-E72D297353CC}">
              <c16:uniqueId val="{00000004-17D2-45B7-B2A1-27CE3EB17AE2}"/>
            </c:ext>
          </c:extLst>
        </c:ser>
        <c:ser>
          <c:idx val="9"/>
          <c:order val="9"/>
          <c:tx>
            <c:strRef>
              <c:f>Sheet18!$M$14</c:f>
              <c:strCache>
                <c:ptCount val="1"/>
                <c:pt idx="0">
                  <c:v>Axis Gold ETF</c:v>
                </c:pt>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Sheet18!$N$14</c:f>
              <c:numCache>
                <c:formatCode>General</c:formatCode>
                <c:ptCount val="1"/>
                <c:pt idx="0">
                  <c:v>0.96456659999999983</c:v>
                </c:pt>
              </c:numCache>
            </c:numRef>
          </c:val>
          <c:extLst>
            <c:ext xmlns:c16="http://schemas.microsoft.com/office/drawing/2014/chart" uri="{C3380CC4-5D6E-409C-BE32-E72D297353CC}">
              <c16:uniqueId val="{00000005-17D2-45B7-B2A1-27CE3EB17AE2}"/>
            </c:ext>
          </c:extLst>
        </c:ser>
        <c:ser>
          <c:idx val="11"/>
          <c:order val="11"/>
          <c:tx>
            <c:strRef>
              <c:f>Sheet18!$M$16</c:f>
              <c:strCache>
                <c:ptCount val="1"/>
                <c:pt idx="0">
                  <c:v>Aditya Birla Sun Life Gold ETF</c:v>
                </c:pt>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Sheet18!$N$16</c:f>
              <c:numCache>
                <c:formatCode>General</c:formatCode>
                <c:ptCount val="1"/>
                <c:pt idx="0">
                  <c:v>-4.2545000000000013E-2</c:v>
                </c:pt>
              </c:numCache>
            </c:numRef>
          </c:val>
          <c:extLst>
            <c:ext xmlns:c16="http://schemas.microsoft.com/office/drawing/2014/chart" uri="{C3380CC4-5D6E-409C-BE32-E72D297353CC}">
              <c16:uniqueId val="{00000006-17D2-45B7-B2A1-27CE3EB17AE2}"/>
            </c:ext>
          </c:extLst>
        </c:ser>
        <c:dLbls>
          <c:dLblPos val="outEnd"/>
          <c:showLegendKey val="0"/>
          <c:showVal val="1"/>
          <c:showCatName val="0"/>
          <c:showSerName val="0"/>
          <c:showPercent val="0"/>
          <c:showBubbleSize val="0"/>
        </c:dLbls>
        <c:gapWidth val="182"/>
        <c:axId val="1567846512"/>
        <c:axId val="1597930576"/>
        <c:extLst>
          <c:ext xmlns:c15="http://schemas.microsoft.com/office/drawing/2012/chart" uri="{02D57815-91ED-43cb-92C2-25804820EDAC}">
            <c15:filteredBarSeries>
              <c15:ser>
                <c:idx val="1"/>
                <c:order val="1"/>
                <c:tx>
                  <c:strRef>
                    <c:extLst>
                      <c:ext uri="{02D57815-91ED-43cb-92C2-25804820EDAC}">
                        <c15:formulaRef>
                          <c15:sqref>Sheet18!$M$6</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Sheet18!$N$6</c15:sqref>
                        </c15:formulaRef>
                      </c:ext>
                    </c:extLst>
                    <c:numCache>
                      <c:formatCode>General</c:formatCode>
                      <c:ptCount val="1"/>
                    </c:numCache>
                  </c:numRef>
                </c:val>
                <c:extLst>
                  <c:ext xmlns:c16="http://schemas.microsoft.com/office/drawing/2014/chart" uri="{C3380CC4-5D6E-409C-BE32-E72D297353CC}">
                    <c16:uniqueId val="{00000007-17D2-45B7-B2A1-27CE3EB17AE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Sheet18!$M$8</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Sheet18!$N$8</c15:sqref>
                        </c15:formulaRef>
                      </c:ext>
                    </c:extLst>
                    <c:numCache>
                      <c:formatCode>General</c:formatCode>
                      <c:ptCount val="1"/>
                    </c:numCache>
                  </c:numRef>
                </c:val>
                <c:extLst xmlns:c15="http://schemas.microsoft.com/office/drawing/2012/chart">
                  <c:ext xmlns:c16="http://schemas.microsoft.com/office/drawing/2014/chart" uri="{C3380CC4-5D6E-409C-BE32-E72D297353CC}">
                    <c16:uniqueId val="{00000008-17D2-45B7-B2A1-27CE3EB17AE2}"/>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Sheet18!$M$10</c15:sqref>
                        </c15:formulaRef>
                      </c:ext>
                    </c:extLst>
                    <c:strCache>
                      <c:ptCount val="1"/>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Sheet18!$N$10</c15:sqref>
                        </c15:formulaRef>
                      </c:ext>
                    </c:extLst>
                    <c:numCache>
                      <c:formatCode>General</c:formatCode>
                      <c:ptCount val="1"/>
                    </c:numCache>
                  </c:numRef>
                </c:val>
                <c:extLst xmlns:c15="http://schemas.microsoft.com/office/drawing/2012/chart">
                  <c:ext xmlns:c16="http://schemas.microsoft.com/office/drawing/2014/chart" uri="{C3380CC4-5D6E-409C-BE32-E72D297353CC}">
                    <c16:uniqueId val="{00000009-17D2-45B7-B2A1-27CE3EB17AE2}"/>
                  </c:ext>
                </c:extLst>
              </c15:ser>
            </c15:filteredBarSeries>
            <c15:filteredBarSeries>
              <c15:ser>
                <c:idx val="8"/>
                <c:order val="8"/>
                <c:tx>
                  <c:strRef>
                    <c:extLst xmlns:c15="http://schemas.microsoft.com/office/drawing/2012/chart">
                      <c:ext xmlns:c15="http://schemas.microsoft.com/office/drawing/2012/chart" uri="{02D57815-91ED-43cb-92C2-25804820EDAC}">
                        <c15:formulaRef>
                          <c15:sqref>Sheet18!$M$13</c15:sqref>
                        </c15:formulaRef>
                      </c:ext>
                    </c:extLst>
                    <c:strCache>
                      <c:ptCount val="1"/>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Sheet18!$N$13</c15:sqref>
                        </c15:formulaRef>
                      </c:ext>
                    </c:extLst>
                    <c:numCache>
                      <c:formatCode>General</c:formatCode>
                      <c:ptCount val="1"/>
                    </c:numCache>
                  </c:numRef>
                </c:val>
                <c:extLst xmlns:c15="http://schemas.microsoft.com/office/drawing/2012/chart">
                  <c:ext xmlns:c16="http://schemas.microsoft.com/office/drawing/2014/chart" uri="{C3380CC4-5D6E-409C-BE32-E72D297353CC}">
                    <c16:uniqueId val="{0000000A-17D2-45B7-B2A1-27CE3EB17AE2}"/>
                  </c:ext>
                </c:extLst>
              </c15:ser>
            </c15:filteredBarSeries>
            <c15:filteredBarSeries>
              <c15:ser>
                <c:idx val="10"/>
                <c:order val="10"/>
                <c:tx>
                  <c:strRef>
                    <c:extLst xmlns:c15="http://schemas.microsoft.com/office/drawing/2012/chart">
                      <c:ext xmlns:c15="http://schemas.microsoft.com/office/drawing/2012/chart" uri="{02D57815-91ED-43cb-92C2-25804820EDAC}">
                        <c15:formulaRef>
                          <c15:sqref>Sheet18!$M$15</c15:sqref>
                        </c15:formulaRef>
                      </c:ext>
                    </c:extLst>
                    <c:strCache>
                      <c:ptCount val="1"/>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Sheet18!$N$15</c15:sqref>
                        </c15:formulaRef>
                      </c:ext>
                    </c:extLst>
                    <c:numCache>
                      <c:formatCode>General</c:formatCode>
                      <c:ptCount val="1"/>
                    </c:numCache>
                  </c:numRef>
                </c:val>
                <c:extLst xmlns:c15="http://schemas.microsoft.com/office/drawing/2012/chart">
                  <c:ext xmlns:c16="http://schemas.microsoft.com/office/drawing/2014/chart" uri="{C3380CC4-5D6E-409C-BE32-E72D297353CC}">
                    <c16:uniqueId val="{0000000B-17D2-45B7-B2A1-27CE3EB17AE2}"/>
                  </c:ext>
                </c:extLst>
              </c15:ser>
            </c15:filteredBarSeries>
            <c15:filteredBarSeries>
              <c15:ser>
                <c:idx val="12"/>
                <c:order val="12"/>
                <c:tx>
                  <c:strRef>
                    <c:extLst xmlns:c15="http://schemas.microsoft.com/office/drawing/2012/chart">
                      <c:ext xmlns:c15="http://schemas.microsoft.com/office/drawing/2012/chart" uri="{02D57815-91ED-43cb-92C2-25804820EDAC}">
                        <c15:formulaRef>
                          <c15:sqref>Sheet18!$M$17</c15:sqref>
                        </c15:formulaRef>
                      </c:ext>
                    </c:extLst>
                    <c:strCache>
                      <c:ptCount val="1"/>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Sheet18!$N$17</c15:sqref>
                        </c15:formulaRef>
                      </c:ext>
                    </c:extLst>
                    <c:numCache>
                      <c:formatCode>General</c:formatCode>
                      <c:ptCount val="1"/>
                    </c:numCache>
                  </c:numRef>
                </c:val>
                <c:extLst xmlns:c15="http://schemas.microsoft.com/office/drawing/2012/chart">
                  <c:ext xmlns:c16="http://schemas.microsoft.com/office/drawing/2014/chart" uri="{C3380CC4-5D6E-409C-BE32-E72D297353CC}">
                    <c16:uniqueId val="{0000000C-17D2-45B7-B2A1-27CE3EB17AE2}"/>
                  </c:ext>
                </c:extLst>
              </c15:ser>
            </c15:filteredBarSeries>
          </c:ext>
        </c:extLst>
      </c:barChart>
      <c:catAx>
        <c:axId val="156784651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97930576"/>
        <c:crosses val="autoZero"/>
        <c:auto val="1"/>
        <c:lblAlgn val="ctr"/>
        <c:lblOffset val="100"/>
        <c:noMultiLvlLbl val="0"/>
      </c:catAx>
      <c:valAx>
        <c:axId val="159793057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67846512"/>
        <c:crosses val="autoZero"/>
        <c:crossBetween val="between"/>
      </c:valAx>
      <c:spPr>
        <a:noFill/>
        <a:ln>
          <a:noFill/>
        </a:ln>
        <a:effectLst/>
      </c:spPr>
    </c:plotArea>
    <c:legend>
      <c:legendPos val="b"/>
      <c:layout>
        <c:manualLayout>
          <c:xMode val="edge"/>
          <c:yMode val="edge"/>
          <c:x val="5.0050541861326514E-2"/>
          <c:y val="0.82712668416447943"/>
          <c:w val="0.92822450304485837"/>
          <c:h val="0.17280388779527558"/>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en-US"/>
              <a:t>Performance of various Gold ETF using Jenson Ratio</a:t>
            </a:r>
          </a:p>
        </c:rich>
      </c:tx>
      <c:layout>
        <c:manualLayout>
          <c:xMode val="edge"/>
          <c:yMode val="edge"/>
          <c:x val="0.23453397603914236"/>
          <c:y val="3.168688984938488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Sheet19!$K$3</c:f>
              <c:strCache>
                <c:ptCount val="1"/>
                <c:pt idx="0">
                  <c:v>Nippon India ETF </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Sheet19!$L$3</c:f>
              <c:numCache>
                <c:formatCode>General</c:formatCode>
                <c:ptCount val="1"/>
                <c:pt idx="0">
                  <c:v>-7.0000000000000007E-2</c:v>
                </c:pt>
              </c:numCache>
            </c:numRef>
          </c:val>
          <c:extLst>
            <c:ext xmlns:c16="http://schemas.microsoft.com/office/drawing/2014/chart" uri="{C3380CC4-5D6E-409C-BE32-E72D297353CC}">
              <c16:uniqueId val="{00000000-EE76-4D76-BF9E-239A6FDBE874}"/>
            </c:ext>
          </c:extLst>
        </c:ser>
        <c:ser>
          <c:idx val="2"/>
          <c:order val="2"/>
          <c:tx>
            <c:strRef>
              <c:f>Sheet19!$K$5</c:f>
              <c:strCache>
                <c:ptCount val="1"/>
                <c:pt idx="0">
                  <c:v>SBI-ETF Gold</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Sheet19!$L$5</c:f>
              <c:numCache>
                <c:formatCode>General</c:formatCode>
                <c:ptCount val="1"/>
                <c:pt idx="0">
                  <c:v>-7.2000000000000008E-2</c:v>
                </c:pt>
              </c:numCache>
            </c:numRef>
          </c:val>
          <c:extLst>
            <c:ext xmlns:c16="http://schemas.microsoft.com/office/drawing/2014/chart" uri="{C3380CC4-5D6E-409C-BE32-E72D297353CC}">
              <c16:uniqueId val="{00000001-EE76-4D76-BF9E-239A6FDBE874}"/>
            </c:ext>
          </c:extLst>
        </c:ser>
        <c:ser>
          <c:idx val="4"/>
          <c:order val="4"/>
          <c:tx>
            <c:strRef>
              <c:f>Sheet19!$K$7</c:f>
              <c:strCache>
                <c:ptCount val="1"/>
                <c:pt idx="0">
                  <c:v>ICICI prudential</c:v>
                </c:pt>
              </c:strCache>
            </c:strRef>
          </c:tx>
          <c:spPr>
            <a:solidFill>
              <a:schemeClr val="accent5"/>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Sheet19!$L$7</c:f>
              <c:numCache>
                <c:formatCode>General</c:formatCode>
                <c:ptCount val="1"/>
                <c:pt idx="0">
                  <c:v>-5.2500000000000012E-2</c:v>
                </c:pt>
              </c:numCache>
            </c:numRef>
          </c:val>
          <c:extLst>
            <c:ext xmlns:c16="http://schemas.microsoft.com/office/drawing/2014/chart" uri="{C3380CC4-5D6E-409C-BE32-E72D297353CC}">
              <c16:uniqueId val="{00000002-EE76-4D76-BF9E-239A6FDBE874}"/>
            </c:ext>
          </c:extLst>
        </c:ser>
        <c:ser>
          <c:idx val="6"/>
          <c:order val="6"/>
          <c:tx>
            <c:strRef>
              <c:f>Sheet19!$K$9</c:f>
              <c:strCache>
                <c:ptCount val="1"/>
                <c:pt idx="0">
                  <c:v>HDFC Gold Exchange traded fund</c:v>
                </c:pt>
              </c:strCache>
            </c:strRef>
          </c:tx>
          <c:spPr>
            <a:solidFill>
              <a:schemeClr val="accent1">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Sheet19!$L$9</c:f>
              <c:numCache>
                <c:formatCode>General</c:formatCode>
                <c:ptCount val="1"/>
                <c:pt idx="0">
                  <c:v>-6.5800000000000025E-3</c:v>
                </c:pt>
              </c:numCache>
            </c:numRef>
          </c:val>
          <c:extLst>
            <c:ext xmlns:c16="http://schemas.microsoft.com/office/drawing/2014/chart" uri="{C3380CC4-5D6E-409C-BE32-E72D297353CC}">
              <c16:uniqueId val="{00000003-EE76-4D76-BF9E-239A6FDBE874}"/>
            </c:ext>
          </c:extLst>
        </c:ser>
        <c:ser>
          <c:idx val="8"/>
          <c:order val="8"/>
          <c:tx>
            <c:strRef>
              <c:f>Sheet19!$K$11</c:f>
              <c:strCache>
                <c:ptCount val="1"/>
                <c:pt idx="0">
                  <c:v>Kotak Gold ETF</c:v>
                </c:pt>
              </c:strCache>
            </c:strRef>
          </c:tx>
          <c:spPr>
            <a:solidFill>
              <a:schemeClr val="accent3">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Sheet19!$L$11</c:f>
              <c:numCache>
                <c:formatCode>General</c:formatCode>
                <c:ptCount val="1"/>
                <c:pt idx="0">
                  <c:v>-7.2000000000000008E-2</c:v>
                </c:pt>
              </c:numCache>
            </c:numRef>
          </c:val>
          <c:extLst>
            <c:ext xmlns:c16="http://schemas.microsoft.com/office/drawing/2014/chart" uri="{C3380CC4-5D6E-409C-BE32-E72D297353CC}">
              <c16:uniqueId val="{00000004-EE76-4D76-BF9E-239A6FDBE874}"/>
            </c:ext>
          </c:extLst>
        </c:ser>
        <c:ser>
          <c:idx val="10"/>
          <c:order val="10"/>
          <c:tx>
            <c:strRef>
              <c:f>Sheet19!$K$13</c:f>
              <c:strCache>
                <c:ptCount val="1"/>
                <c:pt idx="0">
                  <c:v>Axis Gold ETF</c:v>
                </c:pt>
              </c:strCache>
            </c:strRef>
          </c:tx>
          <c:spPr>
            <a:solidFill>
              <a:schemeClr val="accent5">
                <a:lumMod val="6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Sheet19!$L$13</c:f>
              <c:numCache>
                <c:formatCode>General</c:formatCode>
                <c:ptCount val="1"/>
                <c:pt idx="0">
                  <c:v>-7.0000000000000007E-2</c:v>
                </c:pt>
              </c:numCache>
            </c:numRef>
          </c:val>
          <c:extLst>
            <c:ext xmlns:c16="http://schemas.microsoft.com/office/drawing/2014/chart" uri="{C3380CC4-5D6E-409C-BE32-E72D297353CC}">
              <c16:uniqueId val="{00000005-EE76-4D76-BF9E-239A6FDBE874}"/>
            </c:ext>
          </c:extLst>
        </c:ser>
        <c:ser>
          <c:idx val="12"/>
          <c:order val="12"/>
          <c:tx>
            <c:strRef>
              <c:f>Sheet19!$K$15</c:f>
              <c:strCache>
                <c:ptCount val="1"/>
                <c:pt idx="0">
                  <c:v>Aditya Birla Sun Life Gold ETF</c:v>
                </c:pt>
              </c:strCache>
            </c:strRef>
          </c:tx>
          <c:spPr>
            <a:solidFill>
              <a:schemeClr val="accent1">
                <a:lumMod val="80000"/>
                <a:lumOff val="20000"/>
              </a:schemeClr>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Sheet19!$L$15</c:f>
              <c:numCache>
                <c:formatCode>General</c:formatCode>
                <c:ptCount val="1"/>
                <c:pt idx="0">
                  <c:v>-4.8000000000000001E-2</c:v>
                </c:pt>
              </c:numCache>
            </c:numRef>
          </c:val>
          <c:extLst>
            <c:ext xmlns:c16="http://schemas.microsoft.com/office/drawing/2014/chart" uri="{C3380CC4-5D6E-409C-BE32-E72D297353CC}">
              <c16:uniqueId val="{00000006-EE76-4D76-BF9E-239A6FDBE874}"/>
            </c:ext>
          </c:extLst>
        </c:ser>
        <c:dLbls>
          <c:dLblPos val="outEnd"/>
          <c:showLegendKey val="0"/>
          <c:showVal val="1"/>
          <c:showCatName val="0"/>
          <c:showSerName val="0"/>
          <c:showPercent val="0"/>
          <c:showBubbleSize val="0"/>
        </c:dLbls>
        <c:gapWidth val="219"/>
        <c:overlap val="-27"/>
        <c:axId val="1799061536"/>
        <c:axId val="1799066816"/>
        <c:extLst>
          <c:ext xmlns:c15="http://schemas.microsoft.com/office/drawing/2012/chart" uri="{02D57815-91ED-43cb-92C2-25804820EDAC}">
            <c15:filteredBarSeries>
              <c15:ser>
                <c:idx val="1"/>
                <c:order val="1"/>
                <c:tx>
                  <c:strRef>
                    <c:extLst>
                      <c:ext uri="{02D57815-91ED-43cb-92C2-25804820EDAC}">
                        <c15:formulaRef>
                          <c15:sqref>Sheet19!$K$4</c15:sqref>
                        </c15:formulaRef>
                      </c:ext>
                    </c:extLst>
                    <c:strCache>
                      <c:ptCount val="1"/>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c:ext uri="{02D57815-91ED-43cb-92C2-25804820EDAC}">
                        <c15:formulaRef>
                          <c15:sqref>Sheet19!$L$4</c15:sqref>
                        </c15:formulaRef>
                      </c:ext>
                    </c:extLst>
                    <c:numCache>
                      <c:formatCode>General</c:formatCode>
                      <c:ptCount val="1"/>
                    </c:numCache>
                  </c:numRef>
                </c:val>
                <c:extLst>
                  <c:ext xmlns:c16="http://schemas.microsoft.com/office/drawing/2014/chart" uri="{C3380CC4-5D6E-409C-BE32-E72D297353CC}">
                    <c16:uniqueId val="{00000007-EE76-4D76-BF9E-239A6FDBE874}"/>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Sheet19!$K$6</c15:sqref>
                        </c15:formulaRef>
                      </c:ext>
                    </c:extLst>
                    <c:strCache>
                      <c:ptCount val="1"/>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Sheet19!$L$6</c15:sqref>
                        </c15:formulaRef>
                      </c:ext>
                    </c:extLst>
                    <c:numCache>
                      <c:formatCode>General</c:formatCode>
                      <c:ptCount val="1"/>
                    </c:numCache>
                  </c:numRef>
                </c:val>
                <c:extLst xmlns:c15="http://schemas.microsoft.com/office/drawing/2012/chart">
                  <c:ext xmlns:c16="http://schemas.microsoft.com/office/drawing/2014/chart" uri="{C3380CC4-5D6E-409C-BE32-E72D297353CC}">
                    <c16:uniqueId val="{00000008-EE76-4D76-BF9E-239A6FDBE874}"/>
                  </c:ext>
                </c:extLst>
              </c15:ser>
            </c15:filteredBarSeries>
            <c15:filteredBarSeries>
              <c15:ser>
                <c:idx val="5"/>
                <c:order val="5"/>
                <c:tx>
                  <c:strRef>
                    <c:extLst xmlns:c15="http://schemas.microsoft.com/office/drawing/2012/chart">
                      <c:ext xmlns:c15="http://schemas.microsoft.com/office/drawing/2012/chart" uri="{02D57815-91ED-43cb-92C2-25804820EDAC}">
                        <c15:formulaRef>
                          <c15:sqref>Sheet19!$K$8</c15:sqref>
                        </c15:formulaRef>
                      </c:ext>
                    </c:extLst>
                    <c:strCache>
                      <c:ptCount val="1"/>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Sheet19!$L$8</c15:sqref>
                        </c15:formulaRef>
                      </c:ext>
                    </c:extLst>
                    <c:numCache>
                      <c:formatCode>General</c:formatCode>
                      <c:ptCount val="1"/>
                    </c:numCache>
                  </c:numRef>
                </c:val>
                <c:extLst xmlns:c15="http://schemas.microsoft.com/office/drawing/2012/chart">
                  <c:ext xmlns:c16="http://schemas.microsoft.com/office/drawing/2014/chart" uri="{C3380CC4-5D6E-409C-BE32-E72D297353CC}">
                    <c16:uniqueId val="{00000009-EE76-4D76-BF9E-239A6FDBE874}"/>
                  </c:ext>
                </c:extLst>
              </c15:ser>
            </c15:filteredBarSeries>
            <c15:filteredBarSeries>
              <c15:ser>
                <c:idx val="7"/>
                <c:order val="7"/>
                <c:tx>
                  <c:strRef>
                    <c:extLst xmlns:c15="http://schemas.microsoft.com/office/drawing/2012/chart">
                      <c:ext xmlns:c15="http://schemas.microsoft.com/office/drawing/2012/chart" uri="{02D57815-91ED-43cb-92C2-25804820EDAC}">
                        <c15:formulaRef>
                          <c15:sqref>Sheet19!$K$10</c15:sqref>
                        </c15:formulaRef>
                      </c:ext>
                    </c:extLst>
                    <c:strCache>
                      <c:ptCount val="1"/>
                    </c:strCache>
                  </c:strRef>
                </c:tx>
                <c:spPr>
                  <a:solidFill>
                    <a:schemeClr val="accent2">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Sheet19!$L$10</c15:sqref>
                        </c15:formulaRef>
                      </c:ext>
                    </c:extLst>
                    <c:numCache>
                      <c:formatCode>General</c:formatCode>
                      <c:ptCount val="1"/>
                    </c:numCache>
                  </c:numRef>
                </c:val>
                <c:extLst xmlns:c15="http://schemas.microsoft.com/office/drawing/2012/chart">
                  <c:ext xmlns:c16="http://schemas.microsoft.com/office/drawing/2014/chart" uri="{C3380CC4-5D6E-409C-BE32-E72D297353CC}">
                    <c16:uniqueId val="{0000000A-EE76-4D76-BF9E-239A6FDBE874}"/>
                  </c:ext>
                </c:extLst>
              </c15:ser>
            </c15:filteredBarSeries>
            <c15:filteredBarSeries>
              <c15:ser>
                <c:idx val="9"/>
                <c:order val="9"/>
                <c:tx>
                  <c:strRef>
                    <c:extLst xmlns:c15="http://schemas.microsoft.com/office/drawing/2012/chart">
                      <c:ext xmlns:c15="http://schemas.microsoft.com/office/drawing/2012/chart" uri="{02D57815-91ED-43cb-92C2-25804820EDAC}">
                        <c15:formulaRef>
                          <c15:sqref>Sheet19!$K$12</c15:sqref>
                        </c15:formulaRef>
                      </c:ext>
                    </c:extLst>
                    <c:strCache>
                      <c:ptCount val="1"/>
                    </c:strCache>
                  </c:strRef>
                </c:tx>
                <c:spPr>
                  <a:solidFill>
                    <a:schemeClr val="accent4">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Sheet19!$L$12</c15:sqref>
                        </c15:formulaRef>
                      </c:ext>
                    </c:extLst>
                    <c:numCache>
                      <c:formatCode>General</c:formatCode>
                      <c:ptCount val="1"/>
                    </c:numCache>
                  </c:numRef>
                </c:val>
                <c:extLst xmlns:c15="http://schemas.microsoft.com/office/drawing/2012/chart">
                  <c:ext xmlns:c16="http://schemas.microsoft.com/office/drawing/2014/chart" uri="{C3380CC4-5D6E-409C-BE32-E72D297353CC}">
                    <c16:uniqueId val="{0000000B-EE76-4D76-BF9E-239A6FDBE874}"/>
                  </c:ext>
                </c:extLst>
              </c15:ser>
            </c15:filteredBarSeries>
            <c15:filteredBarSeries>
              <c15:ser>
                <c:idx val="11"/>
                <c:order val="11"/>
                <c:tx>
                  <c:strRef>
                    <c:extLst xmlns:c15="http://schemas.microsoft.com/office/drawing/2012/chart">
                      <c:ext xmlns:c15="http://schemas.microsoft.com/office/drawing/2012/chart" uri="{02D57815-91ED-43cb-92C2-25804820EDAC}">
                        <c15:formulaRef>
                          <c15:sqref>Sheet19!$K$14</c15:sqref>
                        </c15:formulaRef>
                      </c:ext>
                    </c:extLst>
                    <c:strCache>
                      <c:ptCount val="1"/>
                    </c:strCache>
                  </c:strRef>
                </c:tx>
                <c:spPr>
                  <a:solidFill>
                    <a:schemeClr val="accent6">
                      <a:lumMod val="6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Sheet19!$L$14</c15:sqref>
                        </c15:formulaRef>
                      </c:ext>
                    </c:extLst>
                    <c:numCache>
                      <c:formatCode>General</c:formatCode>
                      <c:ptCount val="1"/>
                    </c:numCache>
                  </c:numRef>
                </c:val>
                <c:extLst xmlns:c15="http://schemas.microsoft.com/office/drawing/2012/chart">
                  <c:ext xmlns:c16="http://schemas.microsoft.com/office/drawing/2014/chart" uri="{C3380CC4-5D6E-409C-BE32-E72D297353CC}">
                    <c16:uniqueId val="{0000000C-EE76-4D76-BF9E-239A6FDBE874}"/>
                  </c:ext>
                </c:extLst>
              </c15:ser>
            </c15:filteredBarSeries>
            <c15:filteredBarSeries>
              <c15:ser>
                <c:idx val="13"/>
                <c:order val="13"/>
                <c:tx>
                  <c:strRef>
                    <c:extLst xmlns:c15="http://schemas.microsoft.com/office/drawing/2012/chart">
                      <c:ext xmlns:c15="http://schemas.microsoft.com/office/drawing/2012/chart" uri="{02D57815-91ED-43cb-92C2-25804820EDAC}">
                        <c15:formulaRef>
                          <c15:sqref>Sheet19!$K$16</c15:sqref>
                        </c15:formulaRef>
                      </c:ext>
                    </c:extLst>
                    <c:strCache>
                      <c:ptCount val="1"/>
                    </c:strCache>
                  </c:strRef>
                </c:tx>
                <c:spPr>
                  <a:solidFill>
                    <a:schemeClr val="accent2">
                      <a:lumMod val="80000"/>
                      <a:lumOff val="2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xmlns:c15="http://schemas.microsoft.com/office/drawing/2012/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extLst xmlns:c15="http://schemas.microsoft.com/office/drawing/2012/chart">
                      <c:ext xmlns:c15="http://schemas.microsoft.com/office/drawing/2012/chart" uri="{02D57815-91ED-43cb-92C2-25804820EDAC}">
                        <c15:formulaRef>
                          <c15:sqref>Sheet19!$L$16</c15:sqref>
                        </c15:formulaRef>
                      </c:ext>
                    </c:extLst>
                    <c:numCache>
                      <c:formatCode>General</c:formatCode>
                      <c:ptCount val="1"/>
                    </c:numCache>
                  </c:numRef>
                </c:val>
                <c:extLst xmlns:c15="http://schemas.microsoft.com/office/drawing/2012/chart">
                  <c:ext xmlns:c16="http://schemas.microsoft.com/office/drawing/2014/chart" uri="{C3380CC4-5D6E-409C-BE32-E72D297353CC}">
                    <c16:uniqueId val="{0000000D-EE76-4D76-BF9E-239A6FDBE874}"/>
                  </c:ext>
                </c:extLst>
              </c15:ser>
            </c15:filteredBarSeries>
          </c:ext>
        </c:extLst>
      </c:barChart>
      <c:catAx>
        <c:axId val="1799061536"/>
        <c:scaling>
          <c:orientation val="minMax"/>
        </c:scaling>
        <c:delete val="1"/>
        <c:axPos val="b"/>
        <c:numFmt formatCode="General" sourceLinked="1"/>
        <c:majorTickMark val="none"/>
        <c:minorTickMark val="none"/>
        <c:tickLblPos val="nextTo"/>
        <c:crossAx val="1799066816"/>
        <c:crosses val="autoZero"/>
        <c:auto val="1"/>
        <c:lblAlgn val="ctr"/>
        <c:lblOffset val="100"/>
        <c:noMultiLvlLbl val="0"/>
      </c:catAx>
      <c:valAx>
        <c:axId val="17990668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1799061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1" i="0" u="none" strike="noStrike" kern="1200" cap="none" spc="0" normalizeH="0" baseline="0">
              <a:solidFill>
                <a:schemeClr val="tx1"/>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manualLayout>
          <c:layoutTarget val="inner"/>
          <c:xMode val="edge"/>
          <c:yMode val="edge"/>
          <c:x val="0.10522837775859981"/>
          <c:y val="0.10448977353050007"/>
          <c:w val="0.87746436402082417"/>
          <c:h val="0.73233151591804269"/>
        </c:manualLayout>
      </c:layout>
      <c:lineChart>
        <c:grouping val="stacked"/>
        <c:varyColors val="0"/>
        <c:ser>
          <c:idx val="0"/>
          <c:order val="0"/>
          <c:tx>
            <c:strRef>
              <c:f>Sheet21!$C$2</c:f>
              <c:strCache>
                <c:ptCount val="1"/>
                <c:pt idx="0">
                  <c:v>BETA </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Sheet21!$B$3:$B$9</c:f>
              <c:strCache>
                <c:ptCount val="7"/>
                <c:pt idx="0">
                  <c:v>Nippon India ETF Gold Bees</c:v>
                </c:pt>
                <c:pt idx="1">
                  <c:v>SBI-ETF Gold</c:v>
                </c:pt>
                <c:pt idx="2">
                  <c:v>ICICI prudential Gold ETF</c:v>
                </c:pt>
                <c:pt idx="3">
                  <c:v>HDFC Gold Exchange traded fund</c:v>
                </c:pt>
                <c:pt idx="4">
                  <c:v>Kotak Gold ETF</c:v>
                </c:pt>
                <c:pt idx="5">
                  <c:v>Axis Gold ETF</c:v>
                </c:pt>
                <c:pt idx="6">
                  <c:v>Aditya Birla Sun Life Gold ETF</c:v>
                </c:pt>
              </c:strCache>
            </c:strRef>
          </c:cat>
          <c:val>
            <c:numRef>
              <c:f>Sheet21!$C$3:$C$9</c:f>
              <c:numCache>
                <c:formatCode>General</c:formatCode>
                <c:ptCount val="7"/>
                <c:pt idx="0">
                  <c:v>-0.19542000000000001</c:v>
                </c:pt>
                <c:pt idx="1">
                  <c:v>-0.23146</c:v>
                </c:pt>
                <c:pt idx="2">
                  <c:v>-7.7520000000000006E-2</c:v>
                </c:pt>
                <c:pt idx="3">
                  <c:v>-4.4359999999999997E-2</c:v>
                </c:pt>
                <c:pt idx="4">
                  <c:v>-0.21806</c:v>
                </c:pt>
                <c:pt idx="5">
                  <c:v>-0.22852</c:v>
                </c:pt>
                <c:pt idx="6">
                  <c:v>0.55506</c:v>
                </c:pt>
              </c:numCache>
            </c:numRef>
          </c:val>
          <c:smooth val="0"/>
          <c:extLst>
            <c:ext xmlns:c16="http://schemas.microsoft.com/office/drawing/2014/chart" uri="{C3380CC4-5D6E-409C-BE32-E72D297353CC}">
              <c16:uniqueId val="{00000000-6188-4813-BFB6-D88F4DA1A477}"/>
            </c:ext>
          </c:extLst>
        </c:ser>
        <c:dLbls>
          <c:dLblPos val="t"/>
          <c:showLegendKey val="0"/>
          <c:showVal val="1"/>
          <c:showCatName val="0"/>
          <c:showSerName val="0"/>
          <c:showPercent val="0"/>
          <c:showBubbleSize val="0"/>
        </c:dLbls>
        <c:smooth val="0"/>
        <c:axId val="2113083328"/>
        <c:axId val="2113064608"/>
      </c:lineChart>
      <c:catAx>
        <c:axId val="2113083328"/>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3064608"/>
        <c:crosses val="autoZero"/>
        <c:auto val="1"/>
        <c:lblAlgn val="ctr"/>
        <c:lblOffset val="100"/>
        <c:noMultiLvlLbl val="0"/>
      </c:catAx>
      <c:valAx>
        <c:axId val="211306460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2113083328"/>
        <c:crosses val="autoZero"/>
        <c:crossBetween val="between"/>
      </c:valAx>
      <c:dTable>
        <c:showHorzBorder val="1"/>
        <c:showVertBorder val="1"/>
        <c:showOutline val="1"/>
        <c:showKeys val="1"/>
        <c:spPr>
          <a:noFill/>
          <a:ln w="9525" cap="flat" cmpd="sng" algn="ctr">
            <a:solidFill>
              <a:schemeClr val="dk1">
                <a:lumMod val="15000"/>
                <a:lumOff val="85000"/>
              </a:schemeClr>
            </a:solidFill>
            <a:round/>
          </a:ln>
          <a:effectLst/>
        </c:spPr>
        <c:txPr>
          <a:bodyPr rot="0" spcFirstLastPara="1" vertOverflow="ellipsis" vert="horz" wrap="square" anchor="ctr" anchorCtr="1"/>
          <a:lstStyle/>
          <a:p>
            <a:pPr rtl="0">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dTable>
      <c:spPr>
        <a:pattFill prst="ltDnDiag">
          <a:fgClr>
            <a:schemeClr val="dk1">
              <a:lumMod val="15000"/>
              <a:lumOff val="85000"/>
            </a:schemeClr>
          </a:fgClr>
          <a:bgClr>
            <a:schemeClr val="lt1"/>
          </a:bgClr>
        </a:patt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sz="1200">
          <a:solidFill>
            <a:schemeClr val="tx1"/>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03C57-9713-4AD8-B290-ABB7BD4D5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13</Pages>
  <Words>3270</Words>
  <Characters>18642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M Mithun</dc:creator>
  <cp:keywords/>
  <dc:description/>
  <cp:lastModifiedBy>K M Mithun</cp:lastModifiedBy>
  <cp:revision>47</cp:revision>
  <dcterms:created xsi:type="dcterms:W3CDTF">2024-09-05T13:18:00Z</dcterms:created>
  <dcterms:modified xsi:type="dcterms:W3CDTF">2024-09-05T16:17:00Z</dcterms:modified>
</cp:coreProperties>
</file>