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E4E19" w14:textId="77777777" w:rsidR="008E149C" w:rsidRDefault="008E149C" w:rsidP="008E149C">
      <w:pPr>
        <w:spacing w:line="360" w:lineRule="auto"/>
        <w:jc w:val="center"/>
        <w:rPr>
          <w:rFonts w:ascii="Times New Roman" w:hAnsi="Times New Roman" w:cs="Times New Roman"/>
          <w:b/>
          <w:bCs/>
          <w:sz w:val="28"/>
          <w:szCs w:val="28"/>
          <w:lang w:val="en-US"/>
        </w:rPr>
      </w:pPr>
    </w:p>
    <w:p w14:paraId="72B9A8C1" w14:textId="77777777" w:rsidR="001A5178" w:rsidRDefault="001A5178" w:rsidP="008E149C">
      <w:pPr>
        <w:spacing w:line="360" w:lineRule="auto"/>
        <w:jc w:val="center"/>
        <w:rPr>
          <w:rFonts w:ascii="Times New Roman" w:hAnsi="Times New Roman" w:cs="Times New Roman"/>
          <w:b/>
          <w:bCs/>
          <w:sz w:val="28"/>
          <w:szCs w:val="28"/>
          <w:lang w:val="en-US"/>
        </w:rPr>
        <w:sectPr w:rsidR="001A5178" w:rsidSect="001A5178">
          <w:footerReference w:type="default" r:id="rId8"/>
          <w:pgSz w:w="11906" w:h="16838"/>
          <w:pgMar w:top="1440" w:right="1440" w:bottom="1440" w:left="144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num="2" w:space="624"/>
          <w:docGrid w:linePitch="360"/>
        </w:sectPr>
      </w:pPr>
    </w:p>
    <w:p w14:paraId="715E9220" w14:textId="675F47DC" w:rsidR="008E149C" w:rsidRPr="008E149C" w:rsidRDefault="008E149C" w:rsidP="008E149C">
      <w:pPr>
        <w:spacing w:line="360" w:lineRule="auto"/>
        <w:jc w:val="center"/>
        <w:rPr>
          <w:rFonts w:ascii="Times New Roman" w:hAnsi="Times New Roman" w:cs="Times New Roman"/>
          <w:b/>
          <w:bCs/>
          <w:sz w:val="28"/>
          <w:szCs w:val="28"/>
          <w:lang w:val="en-US"/>
        </w:rPr>
      </w:pPr>
      <w:r w:rsidRPr="008E149C">
        <w:rPr>
          <w:rFonts w:ascii="Times New Roman" w:hAnsi="Times New Roman" w:cs="Times New Roman"/>
          <w:b/>
          <w:bCs/>
          <w:sz w:val="28"/>
          <w:szCs w:val="28"/>
          <w:lang w:val="en-US"/>
        </w:rPr>
        <w:t>TITLE:</w:t>
      </w:r>
    </w:p>
    <w:p w14:paraId="5418B78E" w14:textId="69DBF80A" w:rsidR="008E149C" w:rsidRPr="008E149C" w:rsidRDefault="008E149C" w:rsidP="008E149C">
      <w:pPr>
        <w:spacing w:line="360" w:lineRule="auto"/>
        <w:jc w:val="center"/>
        <w:rPr>
          <w:rFonts w:ascii="Times New Roman" w:hAnsi="Times New Roman" w:cs="Times New Roman"/>
          <w:b/>
          <w:bCs/>
          <w:sz w:val="28"/>
          <w:szCs w:val="28"/>
          <w:lang w:val="en-US"/>
        </w:rPr>
      </w:pPr>
      <w:r w:rsidRPr="008E149C">
        <w:rPr>
          <w:rFonts w:ascii="Times New Roman" w:hAnsi="Times New Roman" w:cs="Times New Roman"/>
          <w:b/>
          <w:bCs/>
          <w:sz w:val="28"/>
          <w:szCs w:val="28"/>
          <w:lang w:val="en-US"/>
        </w:rPr>
        <w:t>“</w:t>
      </w:r>
      <w:r w:rsidR="002849EA" w:rsidRPr="008E149C">
        <w:rPr>
          <w:rFonts w:ascii="Times New Roman" w:hAnsi="Times New Roman" w:cs="Times New Roman"/>
          <w:b/>
          <w:bCs/>
          <w:sz w:val="28"/>
          <w:szCs w:val="28"/>
          <w:lang w:val="en-US"/>
        </w:rPr>
        <w:t>THE ACCURACY OF OPTION PRICING MODEL: A COMPARATIVE ANALYSIS OF BLACK SCHOLES AND MONTE CARLO SIMULATION WITH EMPIRICAL EVIDENCE</w:t>
      </w:r>
      <w:r w:rsidRPr="008E149C">
        <w:rPr>
          <w:rFonts w:ascii="Times New Roman" w:hAnsi="Times New Roman" w:cs="Times New Roman"/>
          <w:b/>
          <w:bCs/>
          <w:sz w:val="28"/>
          <w:szCs w:val="28"/>
          <w:lang w:val="en-US"/>
        </w:rPr>
        <w:t>”</w:t>
      </w:r>
    </w:p>
    <w:p w14:paraId="4CAC9D8E" w14:textId="77777777" w:rsidR="00797732" w:rsidRDefault="00797732" w:rsidP="008E149C">
      <w:pPr>
        <w:spacing w:line="360" w:lineRule="auto"/>
        <w:jc w:val="both"/>
        <w:rPr>
          <w:rFonts w:ascii="Times New Roman" w:hAnsi="Times New Roman" w:cs="Times New Roman"/>
          <w:sz w:val="24"/>
          <w:szCs w:val="24"/>
        </w:rPr>
      </w:pPr>
    </w:p>
    <w:p w14:paraId="5F79134C" w14:textId="77777777" w:rsidR="008E149C" w:rsidRDefault="008E149C" w:rsidP="008E149C">
      <w:pPr>
        <w:spacing w:line="360" w:lineRule="auto"/>
        <w:jc w:val="both"/>
        <w:rPr>
          <w:rFonts w:ascii="Times New Roman" w:hAnsi="Times New Roman" w:cs="Times New Roman"/>
          <w:sz w:val="24"/>
          <w:szCs w:val="24"/>
        </w:rPr>
      </w:pPr>
    </w:p>
    <w:p w14:paraId="5E090FAB" w14:textId="14BD59AD" w:rsidR="008E149C" w:rsidRDefault="008E149C">
      <w:pPr>
        <w:rPr>
          <w:rFonts w:ascii="Times New Roman" w:hAnsi="Times New Roman" w:cs="Times New Roman"/>
          <w:b/>
          <w:bCs/>
          <w:sz w:val="24"/>
          <w:szCs w:val="24"/>
        </w:rPr>
      </w:pPr>
      <w:r w:rsidRPr="008E149C">
        <w:rPr>
          <w:rFonts w:ascii="Times New Roman" w:hAnsi="Times New Roman" w:cs="Times New Roman"/>
          <w:b/>
          <w:bCs/>
          <w:sz w:val="28"/>
          <w:szCs w:val="28"/>
        </w:rPr>
        <w:t>AUTHOR:</w:t>
      </w:r>
    </w:p>
    <w:p w14:paraId="2D9318A7" w14:textId="0D369824" w:rsidR="008E149C" w:rsidRDefault="00AE79E0"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Ms. </w:t>
      </w:r>
      <w:r w:rsidR="008E149C">
        <w:rPr>
          <w:rFonts w:ascii="Times New Roman" w:hAnsi="Times New Roman" w:cs="Times New Roman"/>
          <w:sz w:val="24"/>
          <w:szCs w:val="24"/>
        </w:rPr>
        <w:t>Sanjana</w:t>
      </w:r>
    </w:p>
    <w:p w14:paraId="6162497E" w14:textId="77777777" w:rsidR="008E149C" w:rsidRDefault="008E149C"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Masters of Business Administration</w:t>
      </w:r>
    </w:p>
    <w:p w14:paraId="609D01AC" w14:textId="77777777" w:rsidR="008E149C" w:rsidRDefault="008E149C"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Sahyadri College of Engineering and Management</w:t>
      </w:r>
    </w:p>
    <w:p w14:paraId="35AD3573" w14:textId="77777777" w:rsidR="008E149C" w:rsidRDefault="008E149C"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Adyar, Mangaluru-575007</w:t>
      </w:r>
    </w:p>
    <w:p w14:paraId="0278B2D6" w14:textId="1F1E367A" w:rsidR="008E149C" w:rsidRDefault="008E149C" w:rsidP="00A354D4">
      <w:pPr>
        <w:spacing w:line="276" w:lineRule="auto"/>
        <w:jc w:val="both"/>
        <w:rPr>
          <w:rStyle w:val="Hyperlink"/>
          <w:rFonts w:ascii="Times New Roman" w:hAnsi="Times New Roman" w:cs="Times New Roman"/>
          <w:sz w:val="24"/>
          <w:szCs w:val="24"/>
        </w:rPr>
      </w:pPr>
      <w:r>
        <w:rPr>
          <w:rFonts w:ascii="Times New Roman" w:hAnsi="Times New Roman" w:cs="Times New Roman"/>
          <w:sz w:val="24"/>
          <w:szCs w:val="24"/>
        </w:rPr>
        <w:t xml:space="preserve">Email ID: </w:t>
      </w:r>
      <w:hyperlink r:id="rId9" w:history="1">
        <w:r w:rsidRPr="00264A2E">
          <w:rPr>
            <w:rStyle w:val="Hyperlink"/>
            <w:rFonts w:ascii="Times New Roman" w:hAnsi="Times New Roman" w:cs="Times New Roman"/>
            <w:sz w:val="24"/>
            <w:szCs w:val="24"/>
          </w:rPr>
          <w:t>sanjana.mba22@sahyadri.edu.in</w:t>
        </w:r>
      </w:hyperlink>
    </w:p>
    <w:p w14:paraId="7EAF5B4E" w14:textId="23B5D133" w:rsidR="007B746A" w:rsidRDefault="007B746A" w:rsidP="008E149C">
      <w:pPr>
        <w:spacing w:line="360" w:lineRule="auto"/>
        <w:jc w:val="both"/>
        <w:rPr>
          <w:rFonts w:ascii="Times New Roman" w:hAnsi="Times New Roman" w:cs="Times New Roman"/>
          <w:sz w:val="24"/>
          <w:szCs w:val="24"/>
        </w:rPr>
      </w:pPr>
    </w:p>
    <w:p w14:paraId="1226E3A0" w14:textId="6CFB316D" w:rsidR="001A5178" w:rsidRPr="001A5178" w:rsidRDefault="001A5178" w:rsidP="001A5178">
      <w:pPr>
        <w:rPr>
          <w:rFonts w:ascii="Times New Roman" w:hAnsi="Times New Roman" w:cs="Times New Roman"/>
          <w:b/>
          <w:bCs/>
          <w:sz w:val="24"/>
          <w:szCs w:val="24"/>
        </w:rPr>
      </w:pPr>
      <w:r>
        <w:rPr>
          <w:rFonts w:ascii="Times New Roman" w:hAnsi="Times New Roman" w:cs="Times New Roman"/>
          <w:b/>
          <w:bCs/>
          <w:sz w:val="28"/>
          <w:szCs w:val="28"/>
        </w:rPr>
        <w:t>GUIDE</w:t>
      </w:r>
      <w:r w:rsidRPr="008E149C">
        <w:rPr>
          <w:rFonts w:ascii="Times New Roman" w:hAnsi="Times New Roman" w:cs="Times New Roman"/>
          <w:b/>
          <w:bCs/>
          <w:sz w:val="28"/>
          <w:szCs w:val="28"/>
        </w:rPr>
        <w:t>:</w:t>
      </w:r>
    </w:p>
    <w:p w14:paraId="3F67EDED" w14:textId="6487A262" w:rsidR="00A354D4" w:rsidRDefault="00A354D4"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Prof. Monisha Shetty</w:t>
      </w:r>
    </w:p>
    <w:p w14:paraId="7C52B7C7" w14:textId="517DA7D9" w:rsidR="00A354D4" w:rsidRDefault="00A354D4"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Assistant Professor</w:t>
      </w:r>
    </w:p>
    <w:p w14:paraId="08C727EC" w14:textId="77777777" w:rsidR="00A354D4" w:rsidRDefault="00A354D4" w:rsidP="00A354D4">
      <w:pPr>
        <w:spacing w:line="276" w:lineRule="auto"/>
        <w:jc w:val="both"/>
        <w:rPr>
          <w:rStyle w:val="Hyperlink"/>
          <w:rFonts w:ascii="Times New Roman" w:hAnsi="Times New Roman" w:cs="Times New Roman"/>
          <w:color w:val="auto"/>
          <w:sz w:val="24"/>
          <w:szCs w:val="24"/>
          <w:u w:val="none"/>
        </w:rPr>
      </w:pPr>
      <w:r>
        <w:rPr>
          <w:rStyle w:val="Hyperlink"/>
          <w:rFonts w:ascii="Times New Roman" w:hAnsi="Times New Roman" w:cs="Times New Roman"/>
          <w:color w:val="auto"/>
          <w:sz w:val="24"/>
          <w:szCs w:val="24"/>
          <w:u w:val="none"/>
        </w:rPr>
        <w:t>Department of Business Administration</w:t>
      </w:r>
    </w:p>
    <w:p w14:paraId="5B533251" w14:textId="77777777" w:rsidR="00A354D4" w:rsidRDefault="00A354D4"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Sahyadri College of Engineering and Management</w:t>
      </w:r>
    </w:p>
    <w:p w14:paraId="21BE465D" w14:textId="77777777" w:rsidR="00A354D4" w:rsidRDefault="00A354D4"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Adyar, Mangaluru-575007</w:t>
      </w:r>
    </w:p>
    <w:p w14:paraId="5FDB469E" w14:textId="1A48D2E9" w:rsidR="001A5178" w:rsidRDefault="001A5178" w:rsidP="00A354D4">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Email ID: </w:t>
      </w:r>
      <w:hyperlink r:id="rId10" w:history="1">
        <w:r w:rsidRPr="007C726F">
          <w:rPr>
            <w:rStyle w:val="Hyperlink"/>
            <w:rFonts w:ascii="Times New Roman" w:hAnsi="Times New Roman" w:cs="Times New Roman"/>
            <w:sz w:val="24"/>
            <w:szCs w:val="24"/>
          </w:rPr>
          <w:t>monisha.mba@sahyadri.edu.in</w:t>
        </w:r>
      </w:hyperlink>
    </w:p>
    <w:p w14:paraId="578BEB8C" w14:textId="77777777" w:rsidR="001A5178" w:rsidRDefault="001A5178" w:rsidP="00A354D4">
      <w:pPr>
        <w:spacing w:line="276" w:lineRule="auto"/>
        <w:jc w:val="both"/>
        <w:rPr>
          <w:rFonts w:ascii="Times New Roman" w:hAnsi="Times New Roman" w:cs="Times New Roman"/>
          <w:sz w:val="24"/>
          <w:szCs w:val="24"/>
        </w:rPr>
        <w:sectPr w:rsidR="001A5178" w:rsidSect="001A5178">
          <w:type w:val="continuous"/>
          <w:pgSz w:w="11906" w:h="16838"/>
          <w:pgMar w:top="1440" w:right="1440" w:bottom="1440" w:left="144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space="624"/>
          <w:docGrid w:linePitch="360"/>
        </w:sectPr>
      </w:pPr>
    </w:p>
    <w:p w14:paraId="4B5BD163" w14:textId="77777777" w:rsidR="001A5178" w:rsidRDefault="001A5178" w:rsidP="00A354D4">
      <w:pPr>
        <w:spacing w:line="276" w:lineRule="auto"/>
        <w:jc w:val="both"/>
        <w:rPr>
          <w:rFonts w:ascii="Times New Roman" w:hAnsi="Times New Roman" w:cs="Times New Roman"/>
          <w:sz w:val="24"/>
          <w:szCs w:val="24"/>
        </w:rPr>
      </w:pPr>
    </w:p>
    <w:p w14:paraId="0EF923A0" w14:textId="77777777" w:rsidR="00A354D4" w:rsidRPr="007B746A" w:rsidRDefault="00A354D4" w:rsidP="008E149C">
      <w:pPr>
        <w:spacing w:line="360" w:lineRule="auto"/>
        <w:jc w:val="both"/>
        <w:rPr>
          <w:rFonts w:ascii="Times New Roman" w:hAnsi="Times New Roman" w:cs="Times New Roman"/>
          <w:sz w:val="24"/>
          <w:szCs w:val="24"/>
        </w:rPr>
      </w:pPr>
    </w:p>
    <w:p w14:paraId="213D255B" w14:textId="2A365C1E" w:rsidR="008E149C" w:rsidRPr="008E149C" w:rsidRDefault="008E149C" w:rsidP="008E149C">
      <w:pPr>
        <w:spacing w:line="360" w:lineRule="auto"/>
        <w:jc w:val="both"/>
        <w:rPr>
          <w:rFonts w:ascii="Times New Roman" w:hAnsi="Times New Roman" w:cs="Times New Roman"/>
          <w:b/>
          <w:bCs/>
          <w:sz w:val="24"/>
          <w:szCs w:val="24"/>
        </w:rPr>
      </w:pPr>
      <w:r w:rsidRPr="008E149C">
        <w:rPr>
          <w:rFonts w:ascii="Times New Roman" w:hAnsi="Times New Roman" w:cs="Times New Roman"/>
          <w:b/>
          <w:bCs/>
          <w:sz w:val="24"/>
          <w:szCs w:val="24"/>
        </w:rPr>
        <w:br w:type="page"/>
      </w:r>
    </w:p>
    <w:p w14:paraId="7591D16F" w14:textId="77777777" w:rsidR="008E149C" w:rsidRPr="008E149C" w:rsidRDefault="008E149C" w:rsidP="008E149C">
      <w:pPr>
        <w:spacing w:line="360" w:lineRule="auto"/>
        <w:jc w:val="both"/>
        <w:rPr>
          <w:rFonts w:ascii="Times New Roman" w:hAnsi="Times New Roman" w:cs="Times New Roman"/>
          <w:b/>
          <w:bCs/>
          <w:sz w:val="28"/>
          <w:szCs w:val="28"/>
        </w:rPr>
      </w:pPr>
      <w:r w:rsidRPr="008E149C">
        <w:rPr>
          <w:rFonts w:ascii="Times New Roman" w:hAnsi="Times New Roman" w:cs="Times New Roman"/>
          <w:b/>
          <w:bCs/>
          <w:sz w:val="28"/>
          <w:szCs w:val="28"/>
        </w:rPr>
        <w:lastRenderedPageBreak/>
        <w:t xml:space="preserve">ABSTRACT: </w:t>
      </w:r>
    </w:p>
    <w:p w14:paraId="321765EF" w14:textId="2B5B2FB4" w:rsidR="008E149C" w:rsidRPr="008E149C" w:rsidRDefault="008E149C" w:rsidP="008E149C">
      <w:pPr>
        <w:spacing w:line="360" w:lineRule="auto"/>
        <w:jc w:val="both"/>
        <w:rPr>
          <w:rFonts w:ascii="Times New Roman" w:hAnsi="Times New Roman" w:cs="Times New Roman"/>
          <w:sz w:val="24"/>
          <w:szCs w:val="24"/>
        </w:rPr>
      </w:pPr>
      <w:r w:rsidRPr="008E149C">
        <w:rPr>
          <w:rFonts w:ascii="Times New Roman" w:hAnsi="Times New Roman" w:cs="Times New Roman"/>
          <w:sz w:val="24"/>
          <w:szCs w:val="24"/>
        </w:rPr>
        <w:t>The Black-Scholes Model (BSM) is compared with the Monte Carlo Simulation (MCS), using</w:t>
      </w:r>
      <w:r>
        <w:rPr>
          <w:rFonts w:ascii="Times New Roman" w:hAnsi="Times New Roman" w:cs="Times New Roman"/>
          <w:sz w:val="24"/>
          <w:szCs w:val="24"/>
        </w:rPr>
        <w:t xml:space="preserve"> </w:t>
      </w:r>
      <w:r w:rsidRPr="008E149C">
        <w:rPr>
          <w:rFonts w:ascii="Times New Roman" w:hAnsi="Times New Roman" w:cs="Times New Roman"/>
          <w:sz w:val="24"/>
          <w:szCs w:val="24"/>
        </w:rPr>
        <w:t>Indian Stock Options for this study. This study seeks to assess the efficiency of models in price</w:t>
      </w:r>
      <w:r>
        <w:rPr>
          <w:rFonts w:ascii="Times New Roman" w:hAnsi="Times New Roman" w:cs="Times New Roman"/>
          <w:sz w:val="24"/>
          <w:szCs w:val="24"/>
        </w:rPr>
        <w:t xml:space="preserve"> </w:t>
      </w:r>
      <w:r w:rsidRPr="008E149C">
        <w:rPr>
          <w:rFonts w:ascii="Times New Roman" w:hAnsi="Times New Roman" w:cs="Times New Roman"/>
          <w:sz w:val="24"/>
          <w:szCs w:val="24"/>
        </w:rPr>
        <w:t>options across sectors and market capitalizations. We analysed data of 2 companies and across</w:t>
      </w:r>
      <w:r>
        <w:rPr>
          <w:rFonts w:ascii="Times New Roman" w:hAnsi="Times New Roman" w:cs="Times New Roman"/>
          <w:sz w:val="24"/>
          <w:szCs w:val="24"/>
        </w:rPr>
        <w:t xml:space="preserve"> </w:t>
      </w:r>
      <w:r w:rsidRPr="008E149C">
        <w:rPr>
          <w:rFonts w:ascii="Times New Roman" w:hAnsi="Times New Roman" w:cs="Times New Roman"/>
          <w:sz w:val="24"/>
          <w:szCs w:val="24"/>
        </w:rPr>
        <w:t>the top-15 industries using Power BI</w:t>
      </w:r>
      <w:r>
        <w:rPr>
          <w:rFonts w:ascii="Times New Roman" w:hAnsi="Times New Roman" w:cs="Times New Roman"/>
          <w:sz w:val="24"/>
          <w:szCs w:val="24"/>
        </w:rPr>
        <w:t>,</w:t>
      </w:r>
      <w:r w:rsidRPr="008E149C">
        <w:rPr>
          <w:rFonts w:ascii="Times New Roman" w:hAnsi="Times New Roman" w:cs="Times New Roman"/>
          <w:sz w:val="24"/>
          <w:szCs w:val="24"/>
        </w:rPr>
        <w:t xml:space="preserve"> correlation, regression, and paired-sample t-test. Larger</w:t>
      </w:r>
      <w:r>
        <w:rPr>
          <w:rFonts w:ascii="Times New Roman" w:hAnsi="Times New Roman" w:cs="Times New Roman"/>
          <w:sz w:val="24"/>
          <w:szCs w:val="24"/>
        </w:rPr>
        <w:t xml:space="preserve"> </w:t>
      </w:r>
      <w:r w:rsidRPr="008E149C">
        <w:rPr>
          <w:rFonts w:ascii="Times New Roman" w:hAnsi="Times New Roman" w:cs="Times New Roman"/>
          <w:sz w:val="24"/>
          <w:szCs w:val="24"/>
        </w:rPr>
        <w:t>capitalization options, BSM methods in general perform better than MCS when volatility is high.</w:t>
      </w:r>
      <w:r>
        <w:rPr>
          <w:rFonts w:ascii="Times New Roman" w:hAnsi="Times New Roman" w:cs="Times New Roman"/>
          <w:sz w:val="24"/>
          <w:szCs w:val="24"/>
        </w:rPr>
        <w:t xml:space="preserve"> </w:t>
      </w:r>
      <w:r w:rsidRPr="008E149C">
        <w:rPr>
          <w:rFonts w:ascii="Times New Roman" w:hAnsi="Times New Roman" w:cs="Times New Roman"/>
          <w:sz w:val="24"/>
          <w:szCs w:val="24"/>
        </w:rPr>
        <w:t>Based upon the assumptions of large-cap stock, BSM seemed more favourable as</w:t>
      </w:r>
      <w:r>
        <w:rPr>
          <w:rFonts w:ascii="Times New Roman" w:hAnsi="Times New Roman" w:cs="Times New Roman"/>
          <w:sz w:val="24"/>
          <w:szCs w:val="24"/>
        </w:rPr>
        <w:t xml:space="preserve"> </w:t>
      </w:r>
      <w:r w:rsidRPr="008E149C">
        <w:rPr>
          <w:rFonts w:ascii="Times New Roman" w:hAnsi="Times New Roman" w:cs="Times New Roman"/>
          <w:sz w:val="24"/>
          <w:szCs w:val="24"/>
        </w:rPr>
        <w:t>compared to MCS</w:t>
      </w:r>
      <w:r>
        <w:rPr>
          <w:rFonts w:ascii="Times New Roman" w:hAnsi="Times New Roman" w:cs="Times New Roman"/>
          <w:sz w:val="24"/>
          <w:szCs w:val="24"/>
        </w:rPr>
        <w:t xml:space="preserve"> </w:t>
      </w:r>
      <w:r w:rsidRPr="008E149C">
        <w:rPr>
          <w:rFonts w:ascii="Times New Roman" w:hAnsi="Times New Roman" w:cs="Times New Roman"/>
          <w:sz w:val="24"/>
          <w:szCs w:val="24"/>
        </w:rPr>
        <w:t xml:space="preserve">while in some cases like Tata Communications, </w:t>
      </w:r>
      <w:r w:rsidR="008F6275" w:rsidRPr="008E149C">
        <w:rPr>
          <w:rFonts w:ascii="Times New Roman" w:hAnsi="Times New Roman" w:cs="Times New Roman"/>
          <w:sz w:val="24"/>
          <w:szCs w:val="24"/>
        </w:rPr>
        <w:t>with</w:t>
      </w:r>
      <w:r w:rsidRPr="008E149C">
        <w:rPr>
          <w:rFonts w:ascii="Times New Roman" w:hAnsi="Times New Roman" w:cs="Times New Roman"/>
          <w:sz w:val="24"/>
          <w:szCs w:val="24"/>
        </w:rPr>
        <w:t xml:space="preserve"> higher</w:t>
      </w:r>
      <w:r>
        <w:rPr>
          <w:rFonts w:ascii="Times New Roman" w:hAnsi="Times New Roman" w:cs="Times New Roman"/>
          <w:sz w:val="24"/>
          <w:szCs w:val="24"/>
        </w:rPr>
        <w:t xml:space="preserve"> </w:t>
      </w:r>
      <w:r w:rsidRPr="008E149C">
        <w:rPr>
          <w:rFonts w:ascii="Times New Roman" w:hAnsi="Times New Roman" w:cs="Times New Roman"/>
          <w:sz w:val="24"/>
          <w:szCs w:val="24"/>
        </w:rPr>
        <w:t>predictions. They also suffer from not representing market factors well in the real world. This</w:t>
      </w:r>
      <w:r>
        <w:rPr>
          <w:rFonts w:ascii="Times New Roman" w:hAnsi="Times New Roman" w:cs="Times New Roman"/>
          <w:sz w:val="24"/>
          <w:szCs w:val="24"/>
        </w:rPr>
        <w:t xml:space="preserve"> </w:t>
      </w:r>
      <w:r w:rsidRPr="008E149C">
        <w:rPr>
          <w:rFonts w:ascii="Times New Roman" w:hAnsi="Times New Roman" w:cs="Times New Roman"/>
          <w:sz w:val="24"/>
          <w:szCs w:val="24"/>
        </w:rPr>
        <w:t>advisor is statistically tested, which confirms the predictive power of BSM and reveals that options from this market conform significantly to model values. This paper finds BSM as</w:t>
      </w:r>
      <w:r>
        <w:rPr>
          <w:rFonts w:ascii="Times New Roman" w:hAnsi="Times New Roman" w:cs="Times New Roman"/>
          <w:sz w:val="24"/>
          <w:szCs w:val="24"/>
        </w:rPr>
        <w:t xml:space="preserve"> </w:t>
      </w:r>
      <w:r w:rsidRPr="008E149C">
        <w:rPr>
          <w:rFonts w:ascii="Times New Roman" w:hAnsi="Times New Roman" w:cs="Times New Roman"/>
          <w:sz w:val="24"/>
          <w:szCs w:val="24"/>
        </w:rPr>
        <w:t xml:space="preserve">relevant option pricing strategy for the historical dataset used, particularly with large-cap stocks. Nonetheless, additional research is necessary to investigate the MCS behavior under other market scenarios and stock types. </w:t>
      </w:r>
    </w:p>
    <w:p w14:paraId="367E90C9" w14:textId="7D5104AD" w:rsidR="008E149C" w:rsidRDefault="008E149C" w:rsidP="008E149C">
      <w:pPr>
        <w:spacing w:line="360" w:lineRule="auto"/>
        <w:jc w:val="both"/>
        <w:rPr>
          <w:rFonts w:ascii="Times New Roman" w:hAnsi="Times New Roman" w:cs="Times New Roman"/>
          <w:sz w:val="24"/>
          <w:szCs w:val="24"/>
        </w:rPr>
      </w:pPr>
      <w:r w:rsidRPr="008E149C">
        <w:rPr>
          <w:rFonts w:ascii="Times New Roman" w:hAnsi="Times New Roman" w:cs="Times New Roman"/>
          <w:b/>
          <w:bCs/>
          <w:sz w:val="24"/>
          <w:szCs w:val="24"/>
        </w:rPr>
        <w:t>Keywords:</w:t>
      </w:r>
      <w:r w:rsidRPr="008E149C">
        <w:rPr>
          <w:rFonts w:ascii="Times New Roman" w:hAnsi="Times New Roman" w:cs="Times New Roman"/>
          <w:sz w:val="24"/>
          <w:szCs w:val="24"/>
        </w:rPr>
        <w:t xml:space="preserve"> Option pricing, Black-Scholes Model, Monte Carlo Simulation, Indian stock Market, Market Capitalization, Volatility, Model Comparison.</w:t>
      </w:r>
    </w:p>
    <w:p w14:paraId="6E27F5F4" w14:textId="77777777" w:rsidR="008E149C" w:rsidRDefault="008E149C" w:rsidP="008E149C">
      <w:pPr>
        <w:spacing w:line="360" w:lineRule="auto"/>
        <w:jc w:val="both"/>
        <w:rPr>
          <w:rFonts w:ascii="Times New Roman" w:hAnsi="Times New Roman" w:cs="Times New Roman"/>
          <w:sz w:val="24"/>
          <w:szCs w:val="24"/>
        </w:rPr>
      </w:pPr>
    </w:p>
    <w:p w14:paraId="203378C4" w14:textId="15F569CB" w:rsidR="008E149C" w:rsidRDefault="008E149C" w:rsidP="008E149C">
      <w:pPr>
        <w:spacing w:line="360" w:lineRule="auto"/>
        <w:jc w:val="both"/>
        <w:rPr>
          <w:rFonts w:ascii="Times New Roman" w:hAnsi="Times New Roman" w:cs="Times New Roman"/>
          <w:b/>
          <w:bCs/>
          <w:kern w:val="28"/>
          <w:sz w:val="28"/>
          <w:szCs w:val="28"/>
        </w:rPr>
      </w:pPr>
      <w:r w:rsidRPr="000B3F13">
        <w:rPr>
          <w:rFonts w:ascii="Times New Roman" w:hAnsi="Times New Roman" w:cs="Times New Roman"/>
          <w:b/>
          <w:bCs/>
          <w:kern w:val="28"/>
          <w:sz w:val="28"/>
          <w:szCs w:val="28"/>
        </w:rPr>
        <w:t>INTRODUCTION</w:t>
      </w:r>
      <w:r>
        <w:rPr>
          <w:rFonts w:ascii="Times New Roman" w:hAnsi="Times New Roman" w:cs="Times New Roman"/>
          <w:b/>
          <w:bCs/>
          <w:kern w:val="28"/>
          <w:sz w:val="28"/>
          <w:szCs w:val="28"/>
        </w:rPr>
        <w:t>:</w:t>
      </w:r>
    </w:p>
    <w:p w14:paraId="4B6F2CB5" w14:textId="1684AF99" w:rsidR="00732F1C" w:rsidRDefault="00732F1C" w:rsidP="008E149C">
      <w:pPr>
        <w:spacing w:line="360" w:lineRule="auto"/>
        <w:jc w:val="both"/>
        <w:rPr>
          <w:rFonts w:ascii="Times New Roman" w:hAnsi="Times New Roman" w:cs="Times New Roman"/>
          <w:sz w:val="24"/>
          <w:szCs w:val="24"/>
        </w:rPr>
      </w:pPr>
      <w:r w:rsidRPr="00732F1C">
        <w:rPr>
          <w:rFonts w:ascii="Times New Roman" w:hAnsi="Times New Roman" w:cs="Times New Roman"/>
          <w:sz w:val="24"/>
          <w:szCs w:val="24"/>
        </w:rPr>
        <w:t xml:space="preserve">The concept of options trading has a </w:t>
      </w:r>
      <w:r w:rsidRPr="00732F1C">
        <w:rPr>
          <w:rFonts w:ascii="Times New Roman" w:hAnsi="Times New Roman" w:cs="Times New Roman"/>
          <w:sz w:val="24"/>
          <w:szCs w:val="24"/>
        </w:rPr>
        <w:t>colourful</w:t>
      </w:r>
      <w:r w:rsidRPr="00732F1C">
        <w:rPr>
          <w:rFonts w:ascii="Times New Roman" w:hAnsi="Times New Roman" w:cs="Times New Roman"/>
          <w:sz w:val="24"/>
          <w:szCs w:val="24"/>
        </w:rPr>
        <w:t xml:space="preserve"> history that </w:t>
      </w:r>
      <w:r w:rsidR="00F16EE5" w:rsidRPr="00732F1C">
        <w:rPr>
          <w:rFonts w:ascii="Times New Roman" w:hAnsi="Times New Roman" w:cs="Times New Roman"/>
          <w:sz w:val="24"/>
          <w:szCs w:val="24"/>
        </w:rPr>
        <w:t>dates to</w:t>
      </w:r>
      <w:r w:rsidRPr="00732F1C">
        <w:rPr>
          <w:rFonts w:ascii="Times New Roman" w:hAnsi="Times New Roman" w:cs="Times New Roman"/>
          <w:sz w:val="24"/>
          <w:szCs w:val="24"/>
        </w:rPr>
        <w:t xml:space="preserve"> 17 century Holland, when tulips were fashionable. Traders, intoxicated by the wild </w:t>
      </w:r>
      <w:r w:rsidRPr="00732F1C">
        <w:rPr>
          <w:rFonts w:ascii="Times New Roman" w:hAnsi="Times New Roman" w:cs="Times New Roman"/>
          <w:sz w:val="24"/>
          <w:szCs w:val="24"/>
        </w:rPr>
        <w:t xml:space="preserve">speculation, started to create contracts for future tulip prices that were so strikingly </w:t>
      </w:r>
      <w:r w:rsidRPr="00732F1C">
        <w:rPr>
          <w:rFonts w:ascii="Times New Roman" w:hAnsi="Times New Roman" w:cs="Times New Roman"/>
          <w:sz w:val="24"/>
          <w:szCs w:val="24"/>
        </w:rPr>
        <w:t>like</w:t>
      </w:r>
      <w:r w:rsidRPr="00732F1C">
        <w:rPr>
          <w:rFonts w:ascii="Times New Roman" w:hAnsi="Times New Roman" w:cs="Times New Roman"/>
          <w:sz w:val="24"/>
          <w:szCs w:val="24"/>
        </w:rPr>
        <w:t xml:space="preserve"> modern puts and calls most people have never heard of such things before. Although formal option markets emerged in London during the late 17 century, it was not until economics and mathematics provided a theoretical foundation for the pricing of these contracts that progress was made. Traders were still dependent on intuition, experience and market feeling to assess values of options. Not until the 20th century did major breakthroughs in financial mathematics set the stage for modern option pricing.</w:t>
      </w:r>
    </w:p>
    <w:p w14:paraId="208A445C" w14:textId="52E666A7" w:rsidR="00732F1C" w:rsidRDefault="00732F1C" w:rsidP="008E149C">
      <w:pPr>
        <w:spacing w:line="360" w:lineRule="auto"/>
        <w:jc w:val="both"/>
        <w:rPr>
          <w:rFonts w:ascii="Times New Roman" w:hAnsi="Times New Roman" w:cs="Times New Roman"/>
          <w:sz w:val="24"/>
          <w:szCs w:val="24"/>
        </w:rPr>
      </w:pPr>
      <w:r w:rsidRPr="00732F1C">
        <w:rPr>
          <w:rFonts w:ascii="Times New Roman" w:hAnsi="Times New Roman" w:cs="Times New Roman"/>
          <w:sz w:val="24"/>
          <w:szCs w:val="24"/>
        </w:rPr>
        <w:t xml:space="preserve">To make sound financial decisions, accurately valuing options is vital. Options are contracts giving the buyer the right to buy or sell an asset at a specific price and time, but they </w:t>
      </w:r>
      <w:r w:rsidRPr="00732F1C">
        <w:rPr>
          <w:rFonts w:ascii="Times New Roman" w:hAnsi="Times New Roman" w:cs="Times New Roman"/>
          <w:sz w:val="24"/>
          <w:szCs w:val="24"/>
        </w:rPr>
        <w:t>do not</w:t>
      </w:r>
      <w:r w:rsidRPr="00732F1C">
        <w:rPr>
          <w:rFonts w:ascii="Times New Roman" w:hAnsi="Times New Roman" w:cs="Times New Roman"/>
          <w:sz w:val="24"/>
          <w:szCs w:val="24"/>
        </w:rPr>
        <w:t xml:space="preserve"> have to. This paper compares two popular pricing methods: Black-Scholes, which is simple but has limitations, and Monte Carlo, which is more flexible. By </w:t>
      </w:r>
      <w:r w:rsidRPr="00732F1C">
        <w:rPr>
          <w:rFonts w:ascii="Times New Roman" w:hAnsi="Times New Roman" w:cs="Times New Roman"/>
          <w:sz w:val="24"/>
          <w:szCs w:val="24"/>
        </w:rPr>
        <w:t>analysing</w:t>
      </w:r>
      <w:r w:rsidRPr="00732F1C">
        <w:rPr>
          <w:rFonts w:ascii="Times New Roman" w:hAnsi="Times New Roman" w:cs="Times New Roman"/>
          <w:sz w:val="24"/>
          <w:szCs w:val="24"/>
        </w:rPr>
        <w:t xml:space="preserve"> both, we aim to determine their effectiveness in real-world option pricing.</w:t>
      </w:r>
    </w:p>
    <w:p w14:paraId="38F41C8B" w14:textId="13A210E7" w:rsidR="008E149C" w:rsidRDefault="004259BA" w:rsidP="008E149C">
      <w:pPr>
        <w:spacing w:line="360" w:lineRule="auto"/>
        <w:jc w:val="both"/>
        <w:rPr>
          <w:rFonts w:ascii="Times New Roman" w:hAnsi="Times New Roman" w:cs="Times New Roman"/>
          <w:b/>
          <w:kern w:val="28"/>
          <w:sz w:val="24"/>
          <w:szCs w:val="24"/>
        </w:rPr>
      </w:pPr>
      <w:r w:rsidRPr="004259BA">
        <w:rPr>
          <w:rFonts w:ascii="Times New Roman" w:hAnsi="Times New Roman" w:cs="Times New Roman"/>
          <w:b/>
          <w:kern w:val="28"/>
          <w:sz w:val="24"/>
          <w:szCs w:val="24"/>
        </w:rPr>
        <w:t>Black Scholes Model:</w:t>
      </w:r>
    </w:p>
    <w:p w14:paraId="5336D36A" w14:textId="7B514B82" w:rsidR="00F16EE5" w:rsidRDefault="00F16EE5" w:rsidP="004259BA">
      <w:pPr>
        <w:spacing w:line="360" w:lineRule="auto"/>
        <w:jc w:val="both"/>
        <w:rPr>
          <w:rFonts w:ascii="Times New Roman" w:hAnsi="Times New Roman" w:cs="Times New Roman"/>
          <w:bCs/>
          <w:kern w:val="28"/>
          <w:sz w:val="24"/>
          <w:szCs w:val="24"/>
        </w:rPr>
      </w:pPr>
      <w:r w:rsidRPr="00F16EE5">
        <w:rPr>
          <w:rFonts w:ascii="Times New Roman" w:hAnsi="Times New Roman" w:cs="Times New Roman"/>
          <w:bCs/>
          <w:kern w:val="28"/>
          <w:sz w:val="24"/>
          <w:szCs w:val="24"/>
        </w:rPr>
        <w:t xml:space="preserve">The Black-Scholes-Merton (BSM) model is a key tool for valuing options, contracts that give the right, but not the obligation, to buy or sell a security at a specific price. Despite its complexity, BSM remains essential in finance. Investors, traders, and risk managers use it to price options, gauge market sentiment, and create more complex models. BSM is mainly used for European options, exercisable only on the expiration date. </w:t>
      </w:r>
      <w:proofErr w:type="gramStart"/>
      <w:r w:rsidRPr="00F16EE5">
        <w:rPr>
          <w:rFonts w:ascii="Times New Roman" w:hAnsi="Times New Roman" w:cs="Times New Roman"/>
          <w:bCs/>
          <w:kern w:val="28"/>
          <w:sz w:val="24"/>
          <w:szCs w:val="24"/>
        </w:rPr>
        <w:t>It's</w:t>
      </w:r>
      <w:proofErr w:type="gramEnd"/>
      <w:r w:rsidRPr="00F16EE5">
        <w:rPr>
          <w:rFonts w:ascii="Times New Roman" w:hAnsi="Times New Roman" w:cs="Times New Roman"/>
          <w:bCs/>
          <w:kern w:val="28"/>
          <w:sz w:val="24"/>
          <w:szCs w:val="24"/>
        </w:rPr>
        <w:t xml:space="preserve"> employed by investors to check option prices, traders for hedging strategies, and banks for creating derivatives. The BSM formula for call options involves multiplying </w:t>
      </w:r>
      <w:r w:rsidRPr="00F16EE5">
        <w:rPr>
          <w:rFonts w:ascii="Times New Roman" w:hAnsi="Times New Roman" w:cs="Times New Roman"/>
          <w:bCs/>
          <w:kern w:val="28"/>
          <w:sz w:val="24"/>
          <w:szCs w:val="24"/>
        </w:rPr>
        <w:lastRenderedPageBreak/>
        <w:t>the stock price by a specific probability distribution function.</w:t>
      </w:r>
    </w:p>
    <w:p w14:paraId="6DF2666B" w14:textId="7E490AF8"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It is frequently used by:</w:t>
      </w:r>
    </w:p>
    <w:p w14:paraId="07500A7D"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1) Investors: To check discovery option prices for reasonableness before buying or selling them.</w:t>
      </w:r>
    </w:p>
    <w:p w14:paraId="24AF1B61"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 xml:space="preserve">2) Option traders: For creation of hedging and pricing techniques for options. </w:t>
      </w:r>
    </w:p>
    <w:p w14:paraId="6CBA1407"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3) Banks: For creating derivative products and pricing options within their portfolios.</w:t>
      </w:r>
    </w:p>
    <w:p w14:paraId="399F4ECC"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The stock price is multiplied by the cumulative standard normal probability distribution function to get the Black-Scholes call option formula.</w:t>
      </w:r>
    </w:p>
    <w:p w14:paraId="2F9EC47F"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Notation used in mathematics for Call Option:</w:t>
      </w:r>
    </w:p>
    <w:p w14:paraId="78E5148D" w14:textId="77777777" w:rsidR="004259BA" w:rsidRPr="000B3F13" w:rsidRDefault="004259BA" w:rsidP="004259BA">
      <w:pPr>
        <w:spacing w:line="360" w:lineRule="auto"/>
        <w:jc w:val="both"/>
        <w:rPr>
          <w:rFonts w:ascii="Times New Roman" w:hAnsi="Times New Roman" w:cs="Times New Roman"/>
          <w:bCs/>
          <w:kern w:val="28"/>
          <w:sz w:val="24"/>
          <w:szCs w:val="24"/>
        </w:rPr>
      </w:pPr>
      <m:oMathPara>
        <m:oMathParaPr>
          <m:jc m:val="left"/>
        </m:oMathParaPr>
        <m:oMath>
          <m:r>
            <w:rPr>
              <w:rFonts w:ascii="Cambria Math" w:hAnsi="Cambria Math" w:cs="Times New Roman"/>
              <w:kern w:val="28"/>
              <w:sz w:val="24"/>
              <w:szCs w:val="24"/>
            </w:rPr>
            <m:t>C=SN</m:t>
          </m:r>
          <m:d>
            <m:dPr>
              <m:ctrlPr>
                <w:rPr>
                  <w:rFonts w:ascii="Cambria Math" w:hAnsi="Cambria Math" w:cs="Times New Roman"/>
                  <w:bCs/>
                  <w:i/>
                  <w:kern w:val="28"/>
                  <w:sz w:val="24"/>
                  <w:szCs w:val="24"/>
                </w:rPr>
              </m:ctrlPr>
            </m:dPr>
            <m:e>
              <m:r>
                <w:rPr>
                  <w:rFonts w:ascii="Cambria Math" w:hAnsi="Cambria Math" w:cs="Times New Roman"/>
                  <w:kern w:val="28"/>
                  <w:sz w:val="24"/>
                  <w:szCs w:val="24"/>
                </w:rPr>
                <m:t>d1</m:t>
              </m:r>
            </m:e>
          </m:d>
          <m:r>
            <w:rPr>
              <w:rFonts w:ascii="Cambria Math" w:hAnsi="Cambria Math" w:cs="Times New Roman"/>
              <w:kern w:val="28"/>
              <w:sz w:val="24"/>
              <w:szCs w:val="24"/>
            </w:rPr>
            <m:t>-K</m:t>
          </m:r>
          <m:sSup>
            <m:sSupPr>
              <m:ctrlPr>
                <w:rPr>
                  <w:rFonts w:ascii="Cambria Math" w:hAnsi="Cambria Math" w:cs="Times New Roman"/>
                  <w:bCs/>
                  <w:i/>
                  <w:kern w:val="28"/>
                  <w:sz w:val="24"/>
                  <w:szCs w:val="24"/>
                </w:rPr>
              </m:ctrlPr>
            </m:sSupPr>
            <m:e>
              <m:r>
                <w:rPr>
                  <w:rFonts w:ascii="Cambria Math" w:hAnsi="Cambria Math" w:cs="Times New Roman"/>
                  <w:kern w:val="28"/>
                  <w:sz w:val="24"/>
                  <w:szCs w:val="24"/>
                </w:rPr>
                <m:t>e</m:t>
              </m:r>
            </m:e>
            <m:sup>
              <m:r>
                <w:rPr>
                  <w:rFonts w:ascii="Cambria Math" w:hAnsi="Cambria Math" w:cs="Times New Roman"/>
                  <w:kern w:val="28"/>
                  <w:sz w:val="24"/>
                  <w:szCs w:val="24"/>
                </w:rPr>
                <m:t>-rt</m:t>
              </m:r>
            </m:sup>
          </m:sSup>
          <m:r>
            <w:rPr>
              <w:rFonts w:ascii="Cambria Math" w:hAnsi="Cambria Math" w:cs="Times New Roman"/>
              <w:kern w:val="28"/>
              <w:sz w:val="24"/>
              <w:szCs w:val="24"/>
            </w:rPr>
            <m:t>N(d2)</m:t>
          </m:r>
        </m:oMath>
      </m:oMathPara>
    </w:p>
    <w:p w14:paraId="07524BF4"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Where:</w:t>
      </w:r>
    </w:p>
    <w:p w14:paraId="7B388450" w14:textId="77777777" w:rsidR="004259BA" w:rsidRPr="000B3F13" w:rsidRDefault="004259BA" w:rsidP="004259BA">
      <w:pPr>
        <w:spacing w:line="360" w:lineRule="auto"/>
        <w:jc w:val="both"/>
        <w:rPr>
          <w:rFonts w:ascii="Times New Roman" w:eastAsiaTheme="minorEastAsia" w:hAnsi="Times New Roman" w:cs="Times New Roman"/>
          <w:sz w:val="24"/>
          <w:szCs w:val="24"/>
        </w:rPr>
      </w:pPr>
      <m:oMathPara>
        <m:oMathParaPr>
          <m:jc m:val="left"/>
        </m:oMathParaPr>
        <m:oMath>
          <m:r>
            <w:rPr>
              <w:rFonts w:ascii="Cambria Math" w:hAnsi="Cambria Math"/>
              <w:sz w:val="24"/>
              <w:szCs w:val="24"/>
            </w:rPr>
            <m:t>d1=</m:t>
          </m:r>
          <m:f>
            <m:fPr>
              <m:ctrlPr>
                <w:rPr>
                  <w:rFonts w:ascii="Cambria Math" w:hAnsi="Cambria Math"/>
                  <w:i/>
                  <w:sz w:val="24"/>
                  <w:szCs w:val="24"/>
                </w:rPr>
              </m:ctrlPr>
            </m:fPr>
            <m:num>
              <m:r>
                <w:rPr>
                  <w:rFonts w:ascii="Cambria Math" w:hAnsi="Cambria Math"/>
                  <w:sz w:val="24"/>
                  <w:szCs w:val="24"/>
                </w:rPr>
                <m:t>In</m:t>
              </m:r>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S</m:t>
                      </m:r>
                    </m:num>
                    <m:den>
                      <m:r>
                        <w:rPr>
                          <w:rFonts w:ascii="Cambria Math" w:hAnsi="Cambria Math"/>
                          <w:sz w:val="24"/>
                          <w:szCs w:val="24"/>
                        </w:rPr>
                        <m:t>K</m:t>
                      </m:r>
                    </m:den>
                  </m:f>
                </m:e>
              </m:d>
              <m:r>
                <w:rPr>
                  <w:rFonts w:ascii="Cambria Math" w:hAnsi="Cambria Math"/>
                  <w:sz w:val="24"/>
                  <w:szCs w:val="24"/>
                </w:rPr>
                <m:t>+</m:t>
              </m:r>
              <m:d>
                <m:dPr>
                  <m:ctrlPr>
                    <w:rPr>
                      <w:rFonts w:ascii="Cambria Math" w:hAnsi="Cambria Math"/>
                      <w:i/>
                      <w:sz w:val="24"/>
                      <w:szCs w:val="24"/>
                    </w:rPr>
                  </m:ctrlPr>
                </m:dPr>
                <m:e>
                  <m:r>
                    <w:rPr>
                      <w:rFonts w:ascii="Cambria Math" w:hAnsi="Cambria Math"/>
                      <w:sz w:val="24"/>
                      <w:szCs w:val="24"/>
                    </w:rPr>
                    <m:t>r+0.5*</m:t>
                  </m:r>
                  <m:sSup>
                    <m:sSupPr>
                      <m:ctrlPr>
                        <w:rPr>
                          <w:rFonts w:ascii="Cambria Math" w:hAnsi="Cambria Math"/>
                          <w:i/>
                          <w:sz w:val="24"/>
                          <w:szCs w:val="24"/>
                        </w:rPr>
                      </m:ctrlPr>
                    </m:sSupPr>
                    <m:e>
                      <m:r>
                        <w:rPr>
                          <w:rFonts w:ascii="Cambria Math" w:hAnsi="Cambria Math"/>
                          <w:sz w:val="24"/>
                          <w:szCs w:val="24"/>
                        </w:rPr>
                        <m:t>σ</m:t>
                      </m:r>
                    </m:e>
                    <m:sup>
                      <m:r>
                        <w:rPr>
                          <w:rFonts w:ascii="Cambria Math" w:hAnsi="Cambria Math"/>
                          <w:sz w:val="24"/>
                          <w:szCs w:val="24"/>
                        </w:rPr>
                        <m:t>2</m:t>
                      </m:r>
                    </m:sup>
                  </m:sSup>
                </m:e>
              </m:d>
              <m:r>
                <w:rPr>
                  <w:rFonts w:ascii="Cambria Math" w:hAnsi="Cambria Math"/>
                  <w:sz w:val="24"/>
                  <w:szCs w:val="24"/>
                </w:rPr>
                <m:t>t</m:t>
              </m:r>
            </m:num>
            <m:den>
              <m:r>
                <w:rPr>
                  <w:rFonts w:ascii="Cambria Math" w:hAnsi="Cambria Math"/>
                  <w:sz w:val="24"/>
                  <w:szCs w:val="24"/>
                </w:rPr>
                <m:t>σ√t</m:t>
              </m:r>
            </m:den>
          </m:f>
        </m:oMath>
      </m:oMathPara>
    </w:p>
    <w:p w14:paraId="4238E580"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And,</w:t>
      </w:r>
    </w:p>
    <w:p w14:paraId="1BC943D5" w14:textId="77777777" w:rsidR="004259BA" w:rsidRPr="000B3F13" w:rsidRDefault="004259BA" w:rsidP="004259BA">
      <w:pPr>
        <w:spacing w:line="360" w:lineRule="auto"/>
        <w:jc w:val="both"/>
        <w:rPr>
          <w:rFonts w:ascii="Times New Roman" w:eastAsiaTheme="minorEastAsia" w:hAnsi="Times New Roman" w:cs="Times New Roman"/>
          <w:bCs/>
          <w:kern w:val="28"/>
          <w:sz w:val="24"/>
          <w:szCs w:val="24"/>
        </w:rPr>
      </w:pPr>
      <m:oMathPara>
        <m:oMathParaPr>
          <m:jc m:val="left"/>
        </m:oMathParaPr>
        <m:oMath>
          <m:r>
            <w:rPr>
              <w:rFonts w:ascii="Cambria Math" w:hAnsi="Cambria Math" w:cs="Times New Roman"/>
              <w:kern w:val="28"/>
              <w:sz w:val="24"/>
              <w:szCs w:val="24"/>
            </w:rPr>
            <m:t>d2=d1-σ√t</m:t>
          </m:r>
        </m:oMath>
      </m:oMathPara>
    </w:p>
    <w:p w14:paraId="133BFE2D"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Where:</w:t>
      </w:r>
    </w:p>
    <w:p w14:paraId="7F92B5DF"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i/>
          <w:iCs/>
          <w:kern w:val="28"/>
          <w:sz w:val="24"/>
          <w:szCs w:val="24"/>
        </w:rPr>
        <w:t xml:space="preserve">C </w:t>
      </w:r>
      <w:r w:rsidRPr="000B3F13">
        <w:rPr>
          <w:rFonts w:ascii="Times New Roman" w:hAnsi="Times New Roman" w:cs="Times New Roman"/>
          <w:bCs/>
          <w:kern w:val="28"/>
          <w:sz w:val="24"/>
          <w:szCs w:val="24"/>
        </w:rPr>
        <w:t>= Call option price</w:t>
      </w:r>
    </w:p>
    <w:p w14:paraId="3A582EB0"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i/>
          <w:iCs/>
          <w:kern w:val="28"/>
          <w:sz w:val="24"/>
          <w:szCs w:val="24"/>
        </w:rPr>
        <w:t xml:space="preserve">S </w:t>
      </w:r>
      <w:r w:rsidRPr="000B3F13">
        <w:rPr>
          <w:rFonts w:ascii="Times New Roman" w:hAnsi="Times New Roman" w:cs="Times New Roman"/>
          <w:bCs/>
          <w:kern w:val="28"/>
          <w:sz w:val="24"/>
          <w:szCs w:val="24"/>
        </w:rPr>
        <w:t>= Current stock (or other underlying) price</w:t>
      </w:r>
    </w:p>
    <w:p w14:paraId="6403E762"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i/>
          <w:iCs/>
          <w:kern w:val="28"/>
          <w:sz w:val="24"/>
          <w:szCs w:val="24"/>
        </w:rPr>
        <w:t xml:space="preserve">K </w:t>
      </w:r>
      <w:r w:rsidRPr="000B3F13">
        <w:rPr>
          <w:rFonts w:ascii="Times New Roman" w:hAnsi="Times New Roman" w:cs="Times New Roman"/>
          <w:bCs/>
          <w:kern w:val="28"/>
          <w:sz w:val="24"/>
          <w:szCs w:val="24"/>
        </w:rPr>
        <w:t>= Strike price</w:t>
      </w:r>
    </w:p>
    <w:p w14:paraId="04D08574"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i/>
          <w:iCs/>
          <w:kern w:val="28"/>
          <w:sz w:val="24"/>
          <w:szCs w:val="24"/>
        </w:rPr>
        <w:t xml:space="preserve">r </w:t>
      </w:r>
      <w:r w:rsidRPr="000B3F13">
        <w:rPr>
          <w:rFonts w:ascii="Times New Roman" w:hAnsi="Times New Roman" w:cs="Times New Roman"/>
          <w:bCs/>
          <w:kern w:val="28"/>
          <w:sz w:val="24"/>
          <w:szCs w:val="24"/>
        </w:rPr>
        <w:t>= Risk-free interest rate</w:t>
      </w:r>
    </w:p>
    <w:p w14:paraId="4E9C675D"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i/>
          <w:iCs/>
          <w:kern w:val="28"/>
          <w:sz w:val="24"/>
          <w:szCs w:val="24"/>
        </w:rPr>
        <w:t xml:space="preserve">t </w:t>
      </w:r>
      <w:r w:rsidRPr="000B3F13">
        <w:rPr>
          <w:rFonts w:ascii="Times New Roman" w:hAnsi="Times New Roman" w:cs="Times New Roman"/>
          <w:bCs/>
          <w:kern w:val="28"/>
          <w:sz w:val="24"/>
          <w:szCs w:val="24"/>
        </w:rPr>
        <w:t>= Time to maturity</w:t>
      </w:r>
    </w:p>
    <w:p w14:paraId="61364BC6"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i/>
          <w:iCs/>
          <w:kern w:val="28"/>
          <w:sz w:val="24"/>
          <w:szCs w:val="24"/>
        </w:rPr>
        <w:t xml:space="preserve">N </w:t>
      </w:r>
      <w:r w:rsidRPr="000B3F13">
        <w:rPr>
          <w:rFonts w:ascii="Times New Roman" w:hAnsi="Times New Roman" w:cs="Times New Roman"/>
          <w:bCs/>
          <w:kern w:val="28"/>
          <w:sz w:val="24"/>
          <w:szCs w:val="24"/>
        </w:rPr>
        <w:t>= A normal distribution​</w:t>
      </w:r>
    </w:p>
    <w:p w14:paraId="7B05E7D5"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e = constant = 2.71828</w:t>
      </w:r>
    </w:p>
    <w:p w14:paraId="2C9BCEB7"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The BSM formula is a complex calculation that considers several inputs:</w:t>
      </w:r>
    </w:p>
    <w:p w14:paraId="70561187"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Spot Price (S): The present price of the underlying stock.</w:t>
      </w:r>
    </w:p>
    <w:p w14:paraId="30EB5A16"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Strike Price (K): The price at which the holder of this option is eligible to sell (put) or purchase a certain number of shares.</w:t>
      </w:r>
    </w:p>
    <w:p w14:paraId="4FEBC326"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Options Time to Maturity (T): The time remaining for an option to expire.</w:t>
      </w:r>
    </w:p>
    <w:p w14:paraId="22AA7BBF"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Risk-free interest rate (r): which is just the return on a no-risk investment, like government bonds.</w:t>
      </w:r>
    </w:p>
    <w:p w14:paraId="015A1A4B" w14:textId="77777777" w:rsidR="004259BA" w:rsidRPr="000B3F13" w:rsidRDefault="004259BA" w:rsidP="004259B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Volatility(σ): How much the stock swings in price.</w:t>
      </w:r>
    </w:p>
    <w:p w14:paraId="0676059D" w14:textId="6ED4F70D" w:rsidR="00F16EE5" w:rsidRDefault="00F16EE5" w:rsidP="008E149C">
      <w:pPr>
        <w:spacing w:line="360" w:lineRule="auto"/>
        <w:jc w:val="both"/>
        <w:rPr>
          <w:rFonts w:ascii="Times New Roman" w:hAnsi="Times New Roman" w:cs="Times New Roman"/>
          <w:bCs/>
          <w:kern w:val="28"/>
          <w:sz w:val="24"/>
          <w:szCs w:val="24"/>
        </w:rPr>
      </w:pPr>
      <w:r w:rsidRPr="00F16EE5">
        <w:rPr>
          <w:rFonts w:ascii="Times New Roman" w:hAnsi="Times New Roman" w:cs="Times New Roman"/>
          <w:bCs/>
          <w:kern w:val="28"/>
          <w:sz w:val="24"/>
          <w:szCs w:val="24"/>
        </w:rPr>
        <w:t xml:space="preserve">BSM’s simplicity and ease of use make it a valuable option pricing tool despite its flaws. While advanced models offer more realistic market conditions, </w:t>
      </w:r>
      <w:proofErr w:type="gramStart"/>
      <w:r w:rsidRPr="00F16EE5">
        <w:rPr>
          <w:rFonts w:ascii="Times New Roman" w:hAnsi="Times New Roman" w:cs="Times New Roman"/>
          <w:bCs/>
          <w:kern w:val="28"/>
          <w:sz w:val="24"/>
          <w:szCs w:val="24"/>
        </w:rPr>
        <w:t>they're</w:t>
      </w:r>
      <w:proofErr w:type="gramEnd"/>
      <w:r w:rsidRPr="00F16EE5">
        <w:rPr>
          <w:rFonts w:ascii="Times New Roman" w:hAnsi="Times New Roman" w:cs="Times New Roman"/>
          <w:bCs/>
          <w:kern w:val="28"/>
          <w:sz w:val="24"/>
          <w:szCs w:val="24"/>
        </w:rPr>
        <w:t xml:space="preserve"> often more complex. BSM provides a baseline price to understand factors affecting option value. However, it has limitations, such as being primarily for European options, requiring complex calculations, and making unrealistic assumptions about market conditions.</w:t>
      </w:r>
    </w:p>
    <w:p w14:paraId="65A7085D" w14:textId="086E31B8" w:rsidR="004259BA" w:rsidRPr="008E149C" w:rsidRDefault="004259BA" w:rsidP="008E149C">
      <w:pPr>
        <w:spacing w:line="360" w:lineRule="auto"/>
        <w:jc w:val="both"/>
        <w:rPr>
          <w:rFonts w:ascii="Times New Roman" w:hAnsi="Times New Roman" w:cs="Times New Roman"/>
          <w:sz w:val="20"/>
          <w:szCs w:val="20"/>
        </w:rPr>
      </w:pPr>
      <w:r w:rsidRPr="004259BA">
        <w:rPr>
          <w:rFonts w:ascii="Times New Roman" w:hAnsi="Times New Roman" w:cs="Times New Roman"/>
          <w:b/>
          <w:kern w:val="28"/>
          <w:sz w:val="24"/>
          <w:szCs w:val="24"/>
        </w:rPr>
        <w:t>Implied Volatility and Monte Carlo Simulation:</w:t>
      </w:r>
    </w:p>
    <w:p w14:paraId="7482949C" w14:textId="75E670EA" w:rsidR="00F16EE5" w:rsidRDefault="00F16EE5" w:rsidP="004259BA">
      <w:pPr>
        <w:spacing w:line="360" w:lineRule="auto"/>
        <w:jc w:val="both"/>
        <w:rPr>
          <w:rFonts w:ascii="Times New Roman" w:hAnsi="Times New Roman" w:cs="Times New Roman"/>
          <w:bCs/>
          <w:kern w:val="28"/>
          <w:sz w:val="24"/>
          <w:szCs w:val="24"/>
        </w:rPr>
      </w:pPr>
      <w:r w:rsidRPr="00F16EE5">
        <w:rPr>
          <w:rFonts w:ascii="Times New Roman" w:hAnsi="Times New Roman" w:cs="Times New Roman"/>
          <w:bCs/>
          <w:kern w:val="28"/>
          <w:sz w:val="24"/>
          <w:szCs w:val="24"/>
        </w:rPr>
        <w:t xml:space="preserve">Historically, volatility has been used in option pricing models like Black-Scholes. When we </w:t>
      </w:r>
      <w:proofErr w:type="gramStart"/>
      <w:r w:rsidRPr="00F16EE5">
        <w:rPr>
          <w:rFonts w:ascii="Times New Roman" w:hAnsi="Times New Roman" w:cs="Times New Roman"/>
          <w:bCs/>
          <w:kern w:val="28"/>
          <w:sz w:val="24"/>
          <w:szCs w:val="24"/>
        </w:rPr>
        <w:t>don't</w:t>
      </w:r>
      <w:proofErr w:type="gramEnd"/>
      <w:r w:rsidRPr="00F16EE5">
        <w:rPr>
          <w:rFonts w:ascii="Times New Roman" w:hAnsi="Times New Roman" w:cs="Times New Roman"/>
          <w:bCs/>
          <w:kern w:val="28"/>
          <w:sz w:val="24"/>
          <w:szCs w:val="24"/>
        </w:rPr>
        <w:t xml:space="preserve"> know the "true" volatility, Monte Carlo simulation and implied volatility (IV) come into play. IV is the volatility needed to match the market price of an option, reflecting market risk. Monte Carlo simulation is a powerful tool that </w:t>
      </w:r>
      <w:proofErr w:type="gramStart"/>
      <w:r w:rsidRPr="00F16EE5">
        <w:rPr>
          <w:rFonts w:ascii="Times New Roman" w:hAnsi="Times New Roman" w:cs="Times New Roman"/>
          <w:bCs/>
          <w:kern w:val="28"/>
          <w:sz w:val="24"/>
          <w:szCs w:val="24"/>
        </w:rPr>
        <w:t>doesn't</w:t>
      </w:r>
      <w:proofErr w:type="gramEnd"/>
      <w:r w:rsidRPr="00F16EE5">
        <w:rPr>
          <w:rFonts w:ascii="Times New Roman" w:hAnsi="Times New Roman" w:cs="Times New Roman"/>
          <w:bCs/>
          <w:kern w:val="28"/>
          <w:sz w:val="24"/>
          <w:szCs w:val="24"/>
        </w:rPr>
        <w:t xml:space="preserve"> need predetermined volatility. It simulates various price paths for the underlying asset. It can handle complex market conditions and helps calibrate models like Black-Scholes to better represent real </w:t>
      </w:r>
      <w:r w:rsidRPr="00F16EE5">
        <w:rPr>
          <w:rFonts w:ascii="Times New Roman" w:hAnsi="Times New Roman" w:cs="Times New Roman"/>
          <w:bCs/>
          <w:kern w:val="28"/>
          <w:sz w:val="24"/>
          <w:szCs w:val="24"/>
        </w:rPr>
        <w:lastRenderedPageBreak/>
        <w:t>markets. While Black-Scholes offers a quick and easy pricing method, Monte Carlo's implied volatility provides a more flexible and data-driven approach, leading to a better understanding of option values and risks.</w:t>
      </w:r>
    </w:p>
    <w:p w14:paraId="0E456BA4" w14:textId="10144408" w:rsidR="004259BA" w:rsidRPr="004259BA" w:rsidRDefault="004259BA" w:rsidP="004259BA">
      <w:pPr>
        <w:spacing w:line="360" w:lineRule="auto"/>
        <w:jc w:val="both"/>
        <w:rPr>
          <w:rFonts w:ascii="Times New Roman" w:hAnsi="Times New Roman" w:cs="Times New Roman"/>
          <w:b/>
          <w:kern w:val="28"/>
          <w:sz w:val="24"/>
          <w:szCs w:val="24"/>
        </w:rPr>
      </w:pPr>
      <w:r w:rsidRPr="004259BA">
        <w:rPr>
          <w:rFonts w:ascii="Times New Roman" w:hAnsi="Times New Roman" w:cs="Times New Roman"/>
          <w:b/>
          <w:kern w:val="28"/>
          <w:sz w:val="24"/>
          <w:szCs w:val="24"/>
        </w:rPr>
        <w:t xml:space="preserve">Stock Market Capitalization: </w:t>
      </w:r>
    </w:p>
    <w:p w14:paraId="00314085" w14:textId="77777777" w:rsidR="00F16EE5" w:rsidRPr="00F16EE5" w:rsidRDefault="00F16EE5" w:rsidP="00F16EE5">
      <w:pPr>
        <w:spacing w:line="360" w:lineRule="auto"/>
        <w:jc w:val="both"/>
        <w:rPr>
          <w:rFonts w:ascii="Times New Roman" w:hAnsi="Times New Roman" w:cs="Times New Roman"/>
          <w:bCs/>
          <w:kern w:val="28"/>
          <w:sz w:val="24"/>
          <w:szCs w:val="24"/>
        </w:rPr>
      </w:pPr>
      <w:r w:rsidRPr="00F16EE5">
        <w:rPr>
          <w:rFonts w:ascii="Times New Roman" w:hAnsi="Times New Roman" w:cs="Times New Roman"/>
          <w:bCs/>
          <w:kern w:val="28"/>
          <w:sz w:val="24"/>
          <w:szCs w:val="24"/>
        </w:rPr>
        <w:t>The total value of a company's outstanding shares is its market capitalization (market cap). Large-cap stocks are issued by companies with the largest market caps. These are often well-established, financially sound companies, sometimes called "blue chips." They are usually more liquid and easier to trade. Mid-cap stocks fall between small-cap and large-cap. They offer growth potential but can be riskier. Small-cap stocks, issued by the smallest companies, have the most growth potential but are also the riskiest.</w:t>
      </w:r>
    </w:p>
    <w:p w14:paraId="462A1ACD" w14:textId="77777777" w:rsidR="004259BA" w:rsidRDefault="004259BA" w:rsidP="004259BA">
      <w:pPr>
        <w:spacing w:line="360" w:lineRule="auto"/>
        <w:jc w:val="both"/>
        <w:rPr>
          <w:rFonts w:ascii="Times New Roman" w:hAnsi="Times New Roman" w:cs="Times New Roman"/>
          <w:bCs/>
          <w:kern w:val="28"/>
          <w:sz w:val="24"/>
          <w:szCs w:val="24"/>
        </w:rPr>
      </w:pPr>
    </w:p>
    <w:p w14:paraId="318BC212" w14:textId="3E2CE883" w:rsidR="004259BA" w:rsidRDefault="004259BA" w:rsidP="004259BA">
      <w:pPr>
        <w:spacing w:line="360" w:lineRule="auto"/>
        <w:jc w:val="both"/>
        <w:rPr>
          <w:rFonts w:ascii="Times New Roman" w:hAnsi="Times New Roman" w:cs="Times New Roman"/>
          <w:b/>
          <w:kern w:val="28"/>
          <w:sz w:val="28"/>
          <w:szCs w:val="28"/>
        </w:rPr>
      </w:pPr>
      <w:r w:rsidRPr="002B10DA">
        <w:rPr>
          <w:rFonts w:ascii="Times New Roman" w:hAnsi="Times New Roman" w:cs="Times New Roman"/>
          <w:b/>
          <w:kern w:val="28"/>
          <w:sz w:val="28"/>
          <w:szCs w:val="28"/>
        </w:rPr>
        <w:t>CONCEPTUAL FRAMEWORK</w:t>
      </w:r>
      <w:r>
        <w:rPr>
          <w:rFonts w:ascii="Times New Roman" w:hAnsi="Times New Roman" w:cs="Times New Roman"/>
          <w:b/>
          <w:kern w:val="28"/>
          <w:sz w:val="28"/>
          <w:szCs w:val="28"/>
        </w:rPr>
        <w:t>:</w:t>
      </w:r>
    </w:p>
    <w:p w14:paraId="56BF1B44" w14:textId="7E41E400" w:rsidR="004259BA" w:rsidRDefault="004259BA" w:rsidP="004259BA">
      <w:pPr>
        <w:spacing w:line="360" w:lineRule="auto"/>
        <w:jc w:val="both"/>
        <w:rPr>
          <w:rFonts w:ascii="Times New Roman" w:hAnsi="Times New Roman" w:cs="Times New Roman"/>
          <w:bCs/>
          <w:kern w:val="28"/>
          <w:sz w:val="24"/>
          <w:szCs w:val="24"/>
        </w:rPr>
      </w:pPr>
      <w:r>
        <w:rPr>
          <w:rFonts w:ascii="Times New Roman" w:hAnsi="Times New Roman" w:cs="Times New Roman"/>
          <w:bCs/>
          <w:noProof/>
          <w:kern w:val="28"/>
          <w:sz w:val="24"/>
          <w:szCs w:val="24"/>
        </w:rPr>
        <w:drawing>
          <wp:inline distT="0" distB="0" distL="0" distR="0" wp14:anchorId="40D4CD16" wp14:editId="190CF3AB">
            <wp:extent cx="3028950" cy="3609840"/>
            <wp:effectExtent l="19050" t="19050" r="19050" b="10160"/>
            <wp:docPr id="986698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698126" name="Picture 986698126"/>
                    <pic:cNvPicPr/>
                  </pic:nvPicPr>
                  <pic:blipFill>
                    <a:blip r:embed="rId11">
                      <a:extLst>
                        <a:ext uri="{28A0092B-C50C-407E-A947-70E740481C1C}">
                          <a14:useLocalDpi xmlns:a14="http://schemas.microsoft.com/office/drawing/2010/main" val="0"/>
                        </a:ext>
                      </a:extLst>
                    </a:blip>
                    <a:stretch>
                      <a:fillRect/>
                    </a:stretch>
                  </pic:blipFill>
                  <pic:spPr>
                    <a:xfrm>
                      <a:off x="0" y="0"/>
                      <a:ext cx="3039789" cy="3622758"/>
                    </a:xfrm>
                    <a:prstGeom prst="rect">
                      <a:avLst/>
                    </a:prstGeom>
                    <a:ln>
                      <a:solidFill>
                        <a:schemeClr val="tx1"/>
                      </a:solidFill>
                    </a:ln>
                  </pic:spPr>
                </pic:pic>
              </a:graphicData>
            </a:graphic>
          </wp:inline>
        </w:drawing>
      </w:r>
    </w:p>
    <w:p w14:paraId="41393290" w14:textId="4895D7FE" w:rsidR="004259BA" w:rsidRDefault="004259BA" w:rsidP="004259BA">
      <w:pPr>
        <w:spacing w:line="360" w:lineRule="auto"/>
        <w:jc w:val="both"/>
        <w:rPr>
          <w:rFonts w:ascii="Times New Roman" w:hAnsi="Times New Roman" w:cs="Times New Roman"/>
          <w:b/>
          <w:kern w:val="28"/>
          <w:sz w:val="28"/>
          <w:szCs w:val="28"/>
        </w:rPr>
      </w:pPr>
      <w:r w:rsidRPr="000B3F13">
        <w:rPr>
          <w:rFonts w:ascii="Times New Roman" w:hAnsi="Times New Roman" w:cs="Times New Roman"/>
          <w:b/>
          <w:kern w:val="28"/>
          <w:sz w:val="28"/>
          <w:szCs w:val="28"/>
        </w:rPr>
        <w:t>LITERATURE REVIEW</w:t>
      </w:r>
      <w:r>
        <w:rPr>
          <w:rFonts w:ascii="Times New Roman" w:hAnsi="Times New Roman" w:cs="Times New Roman"/>
          <w:b/>
          <w:kern w:val="28"/>
          <w:sz w:val="28"/>
          <w:szCs w:val="28"/>
        </w:rPr>
        <w:t>:</w:t>
      </w:r>
    </w:p>
    <w:bookmarkStart w:id="0" w:name="_Hlk176160099"/>
    <w:p w14:paraId="4F5951B1" w14:textId="77777777" w:rsidR="00DE2E94" w:rsidRDefault="00000000" w:rsidP="00DE2E94">
      <w:pPr>
        <w:spacing w:line="360" w:lineRule="auto"/>
        <w:jc w:val="both"/>
        <w:rPr>
          <w:rFonts w:ascii="Times New Roman" w:hAnsi="Times New Roman" w:cs="Times New Roman"/>
          <w:bCs/>
          <w:kern w:val="28"/>
          <w:sz w:val="24"/>
          <w:szCs w:val="24"/>
        </w:rPr>
      </w:pPr>
      <w:sdt>
        <w:sdtPr>
          <w:rPr>
            <w:rFonts w:ascii="Times New Roman" w:hAnsi="Times New Roman" w:cs="Times New Roman"/>
            <w:bCs/>
            <w:kern w:val="28"/>
            <w:sz w:val="24"/>
            <w:szCs w:val="24"/>
          </w:rPr>
          <w:id w:val="-1061637219"/>
          <w:citation/>
        </w:sdtPr>
        <w:sdtContent>
          <w:r w:rsidR="00DE2E94" w:rsidRPr="0057326F">
            <w:rPr>
              <w:rFonts w:ascii="Times New Roman" w:hAnsi="Times New Roman" w:cs="Times New Roman"/>
              <w:bCs/>
              <w:kern w:val="28"/>
              <w:sz w:val="24"/>
              <w:szCs w:val="24"/>
            </w:rPr>
            <w:fldChar w:fldCharType="begin"/>
          </w:r>
          <w:r w:rsidR="00DE2E94" w:rsidRPr="0057326F">
            <w:rPr>
              <w:rFonts w:ascii="Times New Roman" w:hAnsi="Times New Roman" w:cs="Times New Roman"/>
              <w:sz w:val="24"/>
              <w:szCs w:val="24"/>
            </w:rPr>
            <w:instrText xml:space="preserve"> CITATION Anu20 \l 16393 </w:instrText>
          </w:r>
          <w:r w:rsidR="00DE2E94" w:rsidRPr="0057326F">
            <w:rPr>
              <w:rFonts w:ascii="Times New Roman" w:hAnsi="Times New Roman" w:cs="Times New Roman"/>
              <w:bCs/>
              <w:kern w:val="28"/>
              <w:sz w:val="24"/>
              <w:szCs w:val="24"/>
            </w:rPr>
            <w:fldChar w:fldCharType="separate"/>
          </w:r>
          <w:r w:rsidR="00DE2E94" w:rsidRPr="00280910">
            <w:rPr>
              <w:rFonts w:ascii="Times New Roman" w:hAnsi="Times New Roman" w:cs="Times New Roman"/>
              <w:noProof/>
              <w:sz w:val="24"/>
              <w:szCs w:val="24"/>
            </w:rPr>
            <w:t>(Shastri, 2020)</w:t>
          </w:r>
          <w:r w:rsidR="00DE2E94" w:rsidRPr="0057326F">
            <w:rPr>
              <w:rFonts w:ascii="Times New Roman" w:hAnsi="Times New Roman" w:cs="Times New Roman"/>
              <w:bCs/>
              <w:kern w:val="28"/>
              <w:sz w:val="24"/>
              <w:szCs w:val="24"/>
            </w:rPr>
            <w:fldChar w:fldCharType="end"/>
          </w:r>
        </w:sdtContent>
      </w:sdt>
      <w:bookmarkEnd w:id="0"/>
      <w:r w:rsidR="00DE2E94">
        <w:rPr>
          <w:rFonts w:ascii="Times New Roman" w:hAnsi="Times New Roman" w:cs="Times New Roman"/>
          <w:bCs/>
          <w:kern w:val="28"/>
          <w:sz w:val="24"/>
          <w:szCs w:val="24"/>
        </w:rPr>
        <w:t xml:space="preserve"> </w:t>
      </w:r>
      <w:r w:rsidR="00DE2E94" w:rsidRPr="000B3F13">
        <w:rPr>
          <w:rFonts w:ascii="Times New Roman" w:hAnsi="Times New Roman" w:cs="Times New Roman"/>
          <w:bCs/>
          <w:kern w:val="28"/>
          <w:sz w:val="24"/>
          <w:szCs w:val="24"/>
        </w:rPr>
        <w:t>The study examines the March 2018, 28-day expiry option prices for 30 NSE stocks across 10 industries, with the top 3 by market capitalization. Determines fair value using BSOPM, then uses a paired t-test to compare the outcome with market data.</w:t>
      </w:r>
      <w:r w:rsidR="00DE2E94">
        <w:rPr>
          <w:rFonts w:ascii="Times New Roman" w:hAnsi="Times New Roman" w:cs="Times New Roman"/>
          <w:bCs/>
          <w:kern w:val="28"/>
          <w:sz w:val="24"/>
          <w:szCs w:val="24"/>
        </w:rPr>
        <w:t xml:space="preserve"> </w:t>
      </w:r>
      <w:r w:rsidR="00DE2E94" w:rsidRPr="000B3F13">
        <w:rPr>
          <w:rFonts w:ascii="Times New Roman" w:hAnsi="Times New Roman" w:cs="Times New Roman"/>
          <w:bCs/>
          <w:kern w:val="28"/>
          <w:sz w:val="24"/>
          <w:szCs w:val="24"/>
        </w:rPr>
        <w:t>A thorough examination of 30 call options revealed notable differences between 23 options' market values and theoretical (BSOPM) prices. This implies that BSOPM has limitations when it comes to cheap stocks. The constraints of BSOPM may have an impact on other financial instrument and employee stock option valuations. It is advised to use different pricing models for increased accuracy.</w:t>
      </w:r>
    </w:p>
    <w:bookmarkStart w:id="1" w:name="_Hlk176160113"/>
    <w:p w14:paraId="1156175E" w14:textId="1EA8092F" w:rsidR="006F4227" w:rsidRDefault="00000000" w:rsidP="006F4227">
      <w:pPr>
        <w:spacing w:line="360" w:lineRule="auto"/>
        <w:jc w:val="both"/>
        <w:rPr>
          <w:rFonts w:ascii="Times New Roman" w:hAnsi="Times New Roman" w:cs="Times New Roman"/>
          <w:bCs/>
          <w:kern w:val="28"/>
          <w:sz w:val="24"/>
          <w:szCs w:val="24"/>
        </w:rPr>
      </w:pPr>
      <w:sdt>
        <w:sdtPr>
          <w:rPr>
            <w:rFonts w:ascii="Times New Roman" w:hAnsi="Times New Roman" w:cs="Times New Roman"/>
            <w:bCs/>
            <w:kern w:val="28"/>
            <w:sz w:val="24"/>
            <w:szCs w:val="24"/>
          </w:rPr>
          <w:id w:val="-521091807"/>
          <w:citation/>
        </w:sdtPr>
        <w:sdtContent>
          <w:r w:rsidR="00DE2E94" w:rsidRPr="0057326F">
            <w:rPr>
              <w:rFonts w:ascii="Times New Roman" w:hAnsi="Times New Roman" w:cs="Times New Roman"/>
              <w:bCs/>
              <w:kern w:val="28"/>
              <w:sz w:val="24"/>
              <w:szCs w:val="24"/>
            </w:rPr>
            <w:fldChar w:fldCharType="begin"/>
          </w:r>
          <w:r w:rsidR="00DE2E94" w:rsidRPr="0057326F">
            <w:rPr>
              <w:rStyle w:val="Hyperlink"/>
              <w:rFonts w:ascii="Times New Roman" w:hAnsi="Times New Roman" w:cs="Times New Roman"/>
              <w:sz w:val="24"/>
              <w:szCs w:val="24"/>
            </w:rPr>
            <w:instrText xml:space="preserve"> CITATION Zuz18 \l 16393 </w:instrText>
          </w:r>
          <w:r w:rsidR="00DE2E94" w:rsidRPr="0057326F">
            <w:rPr>
              <w:rFonts w:ascii="Times New Roman" w:hAnsi="Times New Roman" w:cs="Times New Roman"/>
              <w:bCs/>
              <w:kern w:val="28"/>
              <w:sz w:val="24"/>
              <w:szCs w:val="24"/>
            </w:rPr>
            <w:fldChar w:fldCharType="separate"/>
          </w:r>
          <w:r w:rsidR="00DE2E94" w:rsidRPr="00280910">
            <w:rPr>
              <w:rFonts w:ascii="Times New Roman" w:hAnsi="Times New Roman" w:cs="Times New Roman"/>
              <w:noProof/>
              <w:sz w:val="24"/>
              <w:szCs w:val="24"/>
            </w:rPr>
            <w:t>(Jankova, 2018)</w:t>
          </w:r>
          <w:r w:rsidR="00DE2E94" w:rsidRPr="0057326F">
            <w:rPr>
              <w:rFonts w:ascii="Times New Roman" w:hAnsi="Times New Roman" w:cs="Times New Roman"/>
              <w:bCs/>
              <w:kern w:val="28"/>
              <w:sz w:val="24"/>
              <w:szCs w:val="24"/>
            </w:rPr>
            <w:fldChar w:fldCharType="end"/>
          </w:r>
        </w:sdtContent>
      </w:sdt>
      <w:bookmarkEnd w:id="1"/>
      <w:r w:rsidR="00DE2E94">
        <w:rPr>
          <w:rFonts w:ascii="Times New Roman" w:hAnsi="Times New Roman" w:cs="Times New Roman"/>
          <w:bCs/>
          <w:kern w:val="28"/>
          <w:sz w:val="24"/>
          <w:szCs w:val="24"/>
        </w:rPr>
        <w:t xml:space="preserve"> </w:t>
      </w:r>
      <w:r w:rsidR="00DE2E94" w:rsidRPr="000B3F13">
        <w:rPr>
          <w:rFonts w:ascii="Times New Roman" w:hAnsi="Times New Roman" w:cs="Times New Roman"/>
          <w:bCs/>
          <w:kern w:val="28"/>
          <w:sz w:val="24"/>
          <w:szCs w:val="24"/>
        </w:rPr>
        <w:t>Evaluated if Black-Scholes could value the security by comparing the Garman-Kohlhagen, Merton, and Black-Scholes models.</w:t>
      </w:r>
      <w:r w:rsidR="00DE2E94">
        <w:rPr>
          <w:rFonts w:ascii="Times New Roman" w:hAnsi="Times New Roman" w:cs="Times New Roman"/>
          <w:bCs/>
          <w:kern w:val="28"/>
          <w:sz w:val="24"/>
          <w:szCs w:val="24"/>
        </w:rPr>
        <w:t xml:space="preserve"> </w:t>
      </w:r>
      <w:r w:rsidR="00DE2E94" w:rsidRPr="000B3F13">
        <w:rPr>
          <w:rFonts w:ascii="Times New Roman" w:hAnsi="Times New Roman" w:cs="Times New Roman"/>
          <w:bCs/>
          <w:kern w:val="28"/>
          <w:sz w:val="24"/>
          <w:szCs w:val="24"/>
        </w:rPr>
        <w:t>Although it is widely used in option pricing, the Black-Scholes model is predicated on rigid assumptions. The most difficult task is precisely calculating volatility, which is a crucial component of option value. The Black Scholes model has undergone numerous revisions because of this constraint.</w:t>
      </w:r>
    </w:p>
    <w:bookmarkStart w:id="2" w:name="_Hlk176160128"/>
    <w:p w14:paraId="4360C6E0" w14:textId="06E3584D" w:rsidR="006F4227" w:rsidRDefault="00000000" w:rsidP="006F4227">
      <w:pPr>
        <w:spacing w:line="360" w:lineRule="auto"/>
        <w:jc w:val="both"/>
        <w:rPr>
          <w:rFonts w:ascii="Times New Roman" w:hAnsi="Times New Roman" w:cs="Times New Roman"/>
          <w:bCs/>
          <w:kern w:val="28"/>
          <w:sz w:val="24"/>
          <w:szCs w:val="24"/>
        </w:rPr>
      </w:pPr>
      <w:sdt>
        <w:sdtPr>
          <w:rPr>
            <w:bCs/>
            <w:kern w:val="28"/>
          </w:rPr>
          <w:id w:val="749087870"/>
          <w:citation/>
        </w:sdtPr>
        <w:sdtContent>
          <w:r w:rsidR="006F4227" w:rsidRPr="002D7E44">
            <w:rPr>
              <w:rFonts w:ascii="Times New Roman" w:hAnsi="Times New Roman" w:cs="Times New Roman"/>
              <w:bCs/>
              <w:kern w:val="28"/>
              <w:sz w:val="24"/>
              <w:szCs w:val="24"/>
            </w:rPr>
            <w:fldChar w:fldCharType="begin"/>
          </w:r>
          <w:r w:rsidR="006F4227" w:rsidRPr="002D7E44">
            <w:rPr>
              <w:rStyle w:val="Hyperlink"/>
              <w:rFonts w:ascii="Times New Roman" w:hAnsi="Times New Roman" w:cs="Times New Roman"/>
              <w:sz w:val="24"/>
              <w:szCs w:val="24"/>
            </w:rPr>
            <w:instrText xml:space="preserve"> CITATION Hen04 \l 16393 </w:instrText>
          </w:r>
          <w:r w:rsidR="006F4227" w:rsidRPr="002D7E44">
            <w:rPr>
              <w:rFonts w:ascii="Times New Roman" w:hAnsi="Times New Roman" w:cs="Times New Roman"/>
              <w:bCs/>
              <w:kern w:val="28"/>
              <w:sz w:val="24"/>
              <w:szCs w:val="24"/>
            </w:rPr>
            <w:fldChar w:fldCharType="separate"/>
          </w:r>
          <w:r w:rsidR="006F4227" w:rsidRPr="00280910">
            <w:rPr>
              <w:rFonts w:ascii="Times New Roman" w:hAnsi="Times New Roman" w:cs="Times New Roman"/>
              <w:noProof/>
              <w:sz w:val="24"/>
              <w:szCs w:val="24"/>
            </w:rPr>
            <w:t>(Henri Berestycki, 2004)</w:t>
          </w:r>
          <w:r w:rsidR="006F4227" w:rsidRPr="002D7E44">
            <w:rPr>
              <w:rFonts w:ascii="Times New Roman" w:hAnsi="Times New Roman" w:cs="Times New Roman"/>
              <w:bCs/>
              <w:kern w:val="28"/>
              <w:sz w:val="24"/>
              <w:szCs w:val="24"/>
            </w:rPr>
            <w:fldChar w:fldCharType="end"/>
          </w:r>
        </w:sdtContent>
      </w:sdt>
      <w:bookmarkEnd w:id="2"/>
      <w:r w:rsidR="006F4227">
        <w:rPr>
          <w:bCs/>
          <w:kern w:val="28"/>
        </w:rPr>
        <w:t xml:space="preserve"> </w:t>
      </w:r>
      <w:r w:rsidR="006F4227" w:rsidRPr="000B3F13">
        <w:rPr>
          <w:rFonts w:ascii="Times New Roman" w:hAnsi="Times New Roman" w:cs="Times New Roman"/>
          <w:bCs/>
          <w:kern w:val="28"/>
          <w:sz w:val="24"/>
          <w:szCs w:val="24"/>
        </w:rPr>
        <w:t>This study investigates the use of option prices to calculate stochastic volatility, or volatility in inconsistent markets. To estimate the implied volatility, the authors study European options (calls and puts). Based on their research, they developed a new technique that uses partial differential equations (PDEs).</w:t>
      </w:r>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 xml:space="preserve">The topic of this study is option pricing close to expiration (short maturity). It examines implied volatility's behavior </w:t>
      </w:r>
      <w:r w:rsidR="006F4227" w:rsidRPr="000B3F13">
        <w:rPr>
          <w:rFonts w:ascii="Times New Roman" w:hAnsi="Times New Roman" w:cs="Times New Roman"/>
          <w:bCs/>
          <w:kern w:val="28"/>
          <w:sz w:val="24"/>
          <w:szCs w:val="24"/>
        </w:rPr>
        <w:lastRenderedPageBreak/>
        <w:t>in this situation. Based on implied volatility, the Black-Scholes Model (BSM) is seen to be appropriate for option valuation.</w:t>
      </w:r>
    </w:p>
    <w:bookmarkStart w:id="3" w:name="_Hlk176160142"/>
    <w:p w14:paraId="0BBB480F" w14:textId="77777777" w:rsidR="006F4227" w:rsidRDefault="00000000" w:rsidP="006F4227">
      <w:pPr>
        <w:spacing w:line="360" w:lineRule="auto"/>
        <w:jc w:val="both"/>
        <w:rPr>
          <w:rFonts w:ascii="Times New Roman" w:hAnsi="Times New Roman" w:cs="Times New Roman"/>
          <w:bCs/>
          <w:kern w:val="28"/>
          <w:sz w:val="24"/>
          <w:szCs w:val="24"/>
        </w:rPr>
      </w:pPr>
      <w:sdt>
        <w:sdtPr>
          <w:rPr>
            <w:rFonts w:ascii="Times New Roman" w:hAnsi="Times New Roman" w:cs="Times New Roman"/>
            <w:bCs/>
            <w:kern w:val="28"/>
            <w:sz w:val="24"/>
            <w:szCs w:val="24"/>
          </w:rPr>
          <w:id w:val="1152414017"/>
          <w:citation/>
        </w:sdtPr>
        <w:sdtContent>
          <w:r w:rsidR="006F4227" w:rsidRPr="002D7E44">
            <w:rPr>
              <w:rFonts w:ascii="Times New Roman" w:hAnsi="Times New Roman" w:cs="Times New Roman"/>
              <w:bCs/>
              <w:kern w:val="28"/>
              <w:sz w:val="24"/>
              <w:szCs w:val="24"/>
            </w:rPr>
            <w:fldChar w:fldCharType="begin"/>
          </w:r>
          <w:r w:rsidR="006F4227" w:rsidRPr="002D7E44">
            <w:rPr>
              <w:rFonts w:ascii="Times New Roman" w:hAnsi="Times New Roman" w:cs="Times New Roman"/>
              <w:bCs/>
              <w:kern w:val="28"/>
              <w:sz w:val="24"/>
              <w:szCs w:val="24"/>
            </w:rPr>
            <w:instrText xml:space="preserve"> CITATION Muh13 \l 16393 </w:instrText>
          </w:r>
          <w:r w:rsidR="006F4227" w:rsidRPr="002D7E44">
            <w:rPr>
              <w:rFonts w:ascii="Times New Roman" w:hAnsi="Times New Roman" w:cs="Times New Roman"/>
              <w:bCs/>
              <w:kern w:val="28"/>
              <w:sz w:val="24"/>
              <w:szCs w:val="24"/>
            </w:rPr>
            <w:fldChar w:fldCharType="separate"/>
          </w:r>
          <w:r w:rsidR="006F4227" w:rsidRPr="00280910">
            <w:rPr>
              <w:rFonts w:ascii="Times New Roman" w:hAnsi="Times New Roman" w:cs="Times New Roman"/>
              <w:noProof/>
              <w:kern w:val="28"/>
              <w:sz w:val="24"/>
              <w:szCs w:val="24"/>
            </w:rPr>
            <w:t>(Muhammad Sheraza, 2013)</w:t>
          </w:r>
          <w:r w:rsidR="006F4227" w:rsidRPr="002D7E44">
            <w:rPr>
              <w:rFonts w:ascii="Times New Roman" w:hAnsi="Times New Roman" w:cs="Times New Roman"/>
              <w:bCs/>
              <w:kern w:val="28"/>
              <w:sz w:val="24"/>
              <w:szCs w:val="24"/>
            </w:rPr>
            <w:fldChar w:fldCharType="end"/>
          </w:r>
        </w:sdtContent>
      </w:sdt>
      <w:bookmarkEnd w:id="3"/>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A Black-Scholes model with GARCH volatility is suggested in this study to overcome the drawbacks of the lognormal assumption. It emphasizes that rather than coming from a perfectly normal distribution, real-world volatility patterns are caused by market inefficiencies.</w:t>
      </w:r>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This work enhances stock option pricing by extending the Black-Scholes model to include GARCH, a more accurate volatility metric. Although GARCH considers variations in actual volatility, the model's traditional constant volatility is used. Investors may benefit from a more precise option price as a result.</w:t>
      </w:r>
    </w:p>
    <w:bookmarkStart w:id="4" w:name="_Hlk176160152"/>
    <w:p w14:paraId="0734EA6E" w14:textId="77777777" w:rsidR="006F4227" w:rsidRDefault="00000000" w:rsidP="006F4227">
      <w:pPr>
        <w:spacing w:line="360" w:lineRule="auto"/>
        <w:jc w:val="both"/>
        <w:rPr>
          <w:rFonts w:ascii="Times New Roman" w:hAnsi="Times New Roman" w:cs="Times New Roman"/>
          <w:bCs/>
          <w:kern w:val="28"/>
          <w:sz w:val="24"/>
          <w:szCs w:val="24"/>
        </w:rPr>
      </w:pPr>
      <w:sdt>
        <w:sdtPr>
          <w:rPr>
            <w:rFonts w:ascii="Times New Roman" w:hAnsi="Times New Roman" w:cs="Times New Roman"/>
            <w:bCs/>
            <w:kern w:val="28"/>
            <w:sz w:val="24"/>
            <w:szCs w:val="24"/>
          </w:rPr>
          <w:id w:val="-1500418811"/>
          <w:citation/>
        </w:sdtPr>
        <w:sdtContent>
          <w:r w:rsidR="006F4227" w:rsidRPr="002D7E44">
            <w:rPr>
              <w:rFonts w:ascii="Times New Roman" w:hAnsi="Times New Roman" w:cs="Times New Roman"/>
              <w:bCs/>
              <w:kern w:val="28"/>
              <w:sz w:val="24"/>
              <w:szCs w:val="24"/>
            </w:rPr>
            <w:fldChar w:fldCharType="begin"/>
          </w:r>
          <w:r w:rsidR="006F4227" w:rsidRPr="002D7E44">
            <w:rPr>
              <w:rFonts w:ascii="Times New Roman" w:hAnsi="Times New Roman" w:cs="Times New Roman"/>
              <w:bCs/>
              <w:kern w:val="28"/>
              <w:sz w:val="24"/>
              <w:szCs w:val="24"/>
              <w:u w:val="single"/>
            </w:rPr>
            <w:instrText xml:space="preserve"> CITATION Ami17 \l 16393 </w:instrText>
          </w:r>
          <w:r w:rsidR="006F4227" w:rsidRPr="002D7E44">
            <w:rPr>
              <w:rFonts w:ascii="Times New Roman" w:hAnsi="Times New Roman" w:cs="Times New Roman"/>
              <w:bCs/>
              <w:kern w:val="28"/>
              <w:sz w:val="24"/>
              <w:szCs w:val="24"/>
            </w:rPr>
            <w:fldChar w:fldCharType="separate"/>
          </w:r>
          <w:r w:rsidR="006F4227" w:rsidRPr="00280910">
            <w:rPr>
              <w:rFonts w:ascii="Times New Roman" w:hAnsi="Times New Roman" w:cs="Times New Roman"/>
              <w:noProof/>
              <w:kern w:val="28"/>
              <w:sz w:val="24"/>
              <w:szCs w:val="24"/>
            </w:rPr>
            <w:t>(Amir Ahmad Dar, 2017)</w:t>
          </w:r>
          <w:r w:rsidR="006F4227" w:rsidRPr="002D7E44">
            <w:rPr>
              <w:rFonts w:ascii="Times New Roman" w:hAnsi="Times New Roman" w:cs="Times New Roman"/>
              <w:bCs/>
              <w:kern w:val="28"/>
              <w:sz w:val="24"/>
              <w:szCs w:val="24"/>
            </w:rPr>
            <w:fldChar w:fldCharType="end"/>
          </w:r>
        </w:sdtContent>
      </w:sdt>
      <w:bookmarkEnd w:id="4"/>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Using 13 years of daily closing data from McDonald's, the study compares the European option pricing Black-Scholes and Binomial models. To see if there were any discrepancies, they examined the models in Excel and computed option prices in MATLAB.</w:t>
      </w:r>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We contrasted the Binomial and Black-Scholes models for pricing calls and puts on options. Both produced comparable findings, which MATLAB code further confirmed. This implies that our techniques were precise. Monte Carlo simulation takes market uncertainties into account, which sets it apart from deterministic models and may be useful in determining the applicability of the Black-Scholes Model.</w:t>
      </w:r>
    </w:p>
    <w:bookmarkStart w:id="5" w:name="_Hlk176160163"/>
    <w:p w14:paraId="2002C6F0" w14:textId="297F30F4" w:rsidR="006F4227" w:rsidRDefault="00000000" w:rsidP="006F4227">
      <w:pPr>
        <w:spacing w:line="360" w:lineRule="auto"/>
        <w:jc w:val="both"/>
        <w:rPr>
          <w:rFonts w:ascii="Times New Roman" w:hAnsi="Times New Roman" w:cs="Times New Roman"/>
          <w:bCs/>
          <w:kern w:val="28"/>
          <w:sz w:val="24"/>
          <w:szCs w:val="24"/>
        </w:rPr>
      </w:pPr>
      <w:sdt>
        <w:sdtPr>
          <w:rPr>
            <w:rFonts w:ascii="Times New Roman" w:hAnsi="Times New Roman" w:cs="Times New Roman"/>
            <w:bCs/>
            <w:kern w:val="28"/>
            <w:sz w:val="24"/>
            <w:szCs w:val="24"/>
          </w:rPr>
          <w:id w:val="504020066"/>
          <w:citation/>
        </w:sdtPr>
        <w:sdtContent>
          <w:r w:rsidR="006F4227" w:rsidRPr="007D422F">
            <w:rPr>
              <w:rFonts w:ascii="Times New Roman" w:hAnsi="Times New Roman" w:cs="Times New Roman"/>
              <w:bCs/>
              <w:kern w:val="28"/>
              <w:sz w:val="24"/>
              <w:szCs w:val="24"/>
            </w:rPr>
            <w:fldChar w:fldCharType="begin"/>
          </w:r>
          <w:r w:rsidR="006F4227" w:rsidRPr="007D422F">
            <w:rPr>
              <w:rFonts w:ascii="Times New Roman" w:hAnsi="Times New Roman" w:cs="Times New Roman"/>
              <w:bCs/>
              <w:kern w:val="28"/>
              <w:sz w:val="24"/>
              <w:szCs w:val="24"/>
              <w:u w:val="single"/>
            </w:rPr>
            <w:instrText xml:space="preserve"> CITATION Mon24 \l 16393 </w:instrText>
          </w:r>
          <w:r w:rsidR="006F4227" w:rsidRPr="007D422F">
            <w:rPr>
              <w:rFonts w:ascii="Times New Roman" w:hAnsi="Times New Roman" w:cs="Times New Roman"/>
              <w:bCs/>
              <w:kern w:val="28"/>
              <w:sz w:val="24"/>
              <w:szCs w:val="24"/>
            </w:rPr>
            <w:fldChar w:fldCharType="separate"/>
          </w:r>
          <w:r w:rsidR="006F4227" w:rsidRPr="00280910">
            <w:rPr>
              <w:rFonts w:ascii="Times New Roman" w:hAnsi="Times New Roman" w:cs="Times New Roman"/>
              <w:noProof/>
              <w:kern w:val="28"/>
              <w:sz w:val="24"/>
              <w:szCs w:val="24"/>
            </w:rPr>
            <w:t>(Monsurat Foluke Salami, 2024)</w:t>
          </w:r>
          <w:r w:rsidR="006F4227" w:rsidRPr="007D422F">
            <w:rPr>
              <w:rFonts w:ascii="Times New Roman" w:hAnsi="Times New Roman" w:cs="Times New Roman"/>
              <w:bCs/>
              <w:kern w:val="28"/>
              <w:sz w:val="24"/>
              <w:szCs w:val="24"/>
            </w:rPr>
            <w:fldChar w:fldCharType="end"/>
          </w:r>
        </w:sdtContent>
      </w:sdt>
      <w:bookmarkEnd w:id="5"/>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 xml:space="preserve">This study uses paired t-tests on hundreds of calls and put options to compare actual stock option prices with estimates from the Black-Scholes Model. This aids in </w:t>
      </w:r>
      <w:r w:rsidR="006F4227" w:rsidRPr="000B3F13">
        <w:rPr>
          <w:rFonts w:ascii="Times New Roman" w:hAnsi="Times New Roman" w:cs="Times New Roman"/>
          <w:bCs/>
          <w:kern w:val="28"/>
          <w:sz w:val="24"/>
          <w:szCs w:val="24"/>
        </w:rPr>
        <w:t>evaluating the accuracy of the model for the Indian market.</w:t>
      </w:r>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Although the Black-Scholes model is a widely used method for option price estimation, it is vital to keep in mind that its accuracy is not always guaranteed. Numerous factors, such as supply and demand, interest rates, and economic conditions, might impact the actual market price of an option.</w:t>
      </w:r>
    </w:p>
    <w:bookmarkStart w:id="6" w:name="_Hlk176160174"/>
    <w:p w14:paraId="53D3EEC1" w14:textId="77777777" w:rsidR="006F4227" w:rsidRDefault="00000000" w:rsidP="006F4227">
      <w:pPr>
        <w:spacing w:line="360" w:lineRule="auto"/>
        <w:jc w:val="both"/>
        <w:rPr>
          <w:rFonts w:ascii="Times New Roman" w:hAnsi="Times New Roman" w:cs="Times New Roman"/>
          <w:bCs/>
          <w:kern w:val="28"/>
          <w:sz w:val="24"/>
          <w:szCs w:val="24"/>
        </w:rPr>
      </w:pPr>
      <w:sdt>
        <w:sdtPr>
          <w:rPr>
            <w:rFonts w:ascii="Times New Roman" w:hAnsi="Times New Roman" w:cs="Times New Roman"/>
            <w:bCs/>
            <w:kern w:val="28"/>
            <w:sz w:val="24"/>
            <w:szCs w:val="24"/>
          </w:rPr>
          <w:id w:val="1392930809"/>
          <w:citation/>
        </w:sdtPr>
        <w:sdtContent>
          <w:r w:rsidR="006F4227" w:rsidRPr="007D422F">
            <w:rPr>
              <w:rFonts w:ascii="Times New Roman" w:hAnsi="Times New Roman" w:cs="Times New Roman"/>
              <w:bCs/>
              <w:kern w:val="28"/>
              <w:sz w:val="24"/>
              <w:szCs w:val="24"/>
            </w:rPr>
            <w:fldChar w:fldCharType="begin"/>
          </w:r>
          <w:r w:rsidR="006F4227" w:rsidRPr="007D422F">
            <w:rPr>
              <w:rFonts w:ascii="Times New Roman" w:hAnsi="Times New Roman" w:cs="Times New Roman"/>
              <w:bCs/>
              <w:kern w:val="28"/>
              <w:sz w:val="24"/>
              <w:szCs w:val="24"/>
              <w:u w:val="single"/>
            </w:rPr>
            <w:instrText xml:space="preserve"> CITATION LiP20 \l 16393 </w:instrText>
          </w:r>
          <w:r w:rsidR="006F4227" w:rsidRPr="007D422F">
            <w:rPr>
              <w:rFonts w:ascii="Times New Roman" w:hAnsi="Times New Roman" w:cs="Times New Roman"/>
              <w:bCs/>
              <w:kern w:val="28"/>
              <w:sz w:val="24"/>
              <w:szCs w:val="24"/>
            </w:rPr>
            <w:fldChar w:fldCharType="separate"/>
          </w:r>
          <w:r w:rsidR="006F4227" w:rsidRPr="00280910">
            <w:rPr>
              <w:rFonts w:ascii="Times New Roman" w:hAnsi="Times New Roman" w:cs="Times New Roman"/>
              <w:noProof/>
              <w:kern w:val="28"/>
              <w:sz w:val="24"/>
              <w:szCs w:val="24"/>
            </w:rPr>
            <w:t>(Li, 2020)</w:t>
          </w:r>
          <w:r w:rsidR="006F4227" w:rsidRPr="007D422F">
            <w:rPr>
              <w:rFonts w:ascii="Times New Roman" w:hAnsi="Times New Roman" w:cs="Times New Roman"/>
              <w:bCs/>
              <w:kern w:val="28"/>
              <w:sz w:val="24"/>
              <w:szCs w:val="24"/>
            </w:rPr>
            <w:fldChar w:fldCharType="end"/>
          </w:r>
        </w:sdtContent>
      </w:sdt>
      <w:bookmarkEnd w:id="6"/>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In this study, the Monte Carlo simulation of call options is performed using significance sampling, a variance reduction technique. It uses singular perturbation from a pricing equation to approximate the option price. Their technique, when compared to a simple Monte Carlo simulation, dramatically reduces variance.</w:t>
      </w:r>
      <w:r w:rsidR="006F4227">
        <w:rPr>
          <w:rFonts w:ascii="Times New Roman" w:hAnsi="Times New Roman" w:cs="Times New Roman"/>
          <w:bCs/>
          <w:kern w:val="28"/>
          <w:sz w:val="24"/>
          <w:szCs w:val="24"/>
        </w:rPr>
        <w:t xml:space="preserve"> </w:t>
      </w:r>
      <w:r w:rsidR="006F4227" w:rsidRPr="000B3F13">
        <w:rPr>
          <w:rFonts w:ascii="Times New Roman" w:hAnsi="Times New Roman" w:cs="Times New Roman"/>
          <w:bCs/>
          <w:kern w:val="28"/>
          <w:sz w:val="24"/>
          <w:szCs w:val="24"/>
        </w:rPr>
        <w:t>Compared to the Black-Scholes Model, Monte Carlo simulation can handle more complex models with features like fluctuating volatility, which makes it possibly more accurate for pricing call options. Because of this, it is useful for option pricing, particularly when attempting to lessen the effects of volatility variations.</w:t>
      </w:r>
    </w:p>
    <w:p w14:paraId="1CE41E63" w14:textId="77777777" w:rsidR="00F16EE5" w:rsidRDefault="00F16EE5" w:rsidP="00A45261">
      <w:pPr>
        <w:spacing w:line="360" w:lineRule="auto"/>
        <w:jc w:val="both"/>
        <w:rPr>
          <w:rFonts w:ascii="Times New Roman" w:hAnsi="Times New Roman" w:cs="Times New Roman"/>
          <w:bCs/>
          <w:kern w:val="28"/>
          <w:sz w:val="24"/>
          <w:szCs w:val="24"/>
        </w:rPr>
      </w:pPr>
    </w:p>
    <w:p w14:paraId="79ACEC28" w14:textId="7D0DFE5D" w:rsidR="00A45261" w:rsidRDefault="00A45261" w:rsidP="00A45261">
      <w:pPr>
        <w:spacing w:line="360" w:lineRule="auto"/>
        <w:jc w:val="both"/>
        <w:rPr>
          <w:rFonts w:ascii="Times New Roman" w:hAnsi="Times New Roman" w:cs="Times New Roman"/>
          <w:b/>
          <w:kern w:val="28"/>
          <w:sz w:val="28"/>
          <w:szCs w:val="28"/>
        </w:rPr>
      </w:pPr>
      <w:r w:rsidRPr="000B3F13">
        <w:rPr>
          <w:rFonts w:ascii="Times New Roman" w:hAnsi="Times New Roman" w:cs="Times New Roman"/>
          <w:b/>
          <w:kern w:val="28"/>
          <w:sz w:val="28"/>
          <w:szCs w:val="28"/>
        </w:rPr>
        <w:t>OBJECTIVES:</w:t>
      </w:r>
    </w:p>
    <w:p w14:paraId="534960E0" w14:textId="77777777" w:rsidR="00A45261" w:rsidRPr="000B3F13" w:rsidRDefault="00A45261" w:rsidP="00A45261">
      <w:pPr>
        <w:numPr>
          <w:ilvl w:val="0"/>
          <w:numId w:val="3"/>
        </w:numPr>
        <w:spacing w:line="360" w:lineRule="auto"/>
        <w:jc w:val="both"/>
        <w:rPr>
          <w:rFonts w:ascii="Times New Roman" w:hAnsi="Times New Roman" w:cs="Times New Roman"/>
          <w:bCs/>
          <w:kern w:val="28"/>
          <w:sz w:val="24"/>
          <w:szCs w:val="24"/>
          <w:lang w:val="en-US"/>
        </w:rPr>
      </w:pPr>
      <w:r w:rsidRPr="000B3F13">
        <w:rPr>
          <w:rFonts w:ascii="Times New Roman" w:hAnsi="Times New Roman" w:cs="Times New Roman"/>
          <w:bCs/>
          <w:kern w:val="28"/>
          <w:sz w:val="24"/>
          <w:szCs w:val="24"/>
          <w:lang w:val="en-US"/>
        </w:rPr>
        <w:t xml:space="preserve">To assess </w:t>
      </w:r>
      <w:r w:rsidRPr="000B3F13">
        <w:rPr>
          <w:rFonts w:ascii="Times New Roman" w:hAnsi="Times New Roman" w:cs="Times New Roman"/>
          <w:bCs/>
          <w:kern w:val="28"/>
          <w:sz w:val="24"/>
          <w:szCs w:val="24"/>
        </w:rPr>
        <w:t>the Black-Scholes Model's on the selected Indian Stocks.</w:t>
      </w:r>
    </w:p>
    <w:p w14:paraId="41164D3D" w14:textId="77777777" w:rsidR="00A45261" w:rsidRPr="000B3F13" w:rsidRDefault="00A45261" w:rsidP="00A45261">
      <w:pPr>
        <w:numPr>
          <w:ilvl w:val="0"/>
          <w:numId w:val="3"/>
        </w:numPr>
        <w:spacing w:line="360" w:lineRule="auto"/>
        <w:jc w:val="both"/>
        <w:rPr>
          <w:rFonts w:ascii="Times New Roman" w:hAnsi="Times New Roman" w:cs="Times New Roman"/>
          <w:bCs/>
          <w:kern w:val="28"/>
          <w:sz w:val="24"/>
          <w:szCs w:val="24"/>
          <w:lang w:val="en-US"/>
        </w:rPr>
      </w:pPr>
      <w:r w:rsidRPr="000B3F13">
        <w:rPr>
          <w:rFonts w:ascii="Times New Roman" w:hAnsi="Times New Roman" w:cs="Times New Roman"/>
          <w:bCs/>
          <w:kern w:val="28"/>
          <w:sz w:val="24"/>
          <w:szCs w:val="24"/>
          <w:lang w:val="en-US"/>
        </w:rPr>
        <w:t>To evaluate options</w:t>
      </w:r>
      <w:r w:rsidRPr="000B3F13">
        <w:rPr>
          <w:rFonts w:ascii="Times New Roman" w:hAnsi="Times New Roman" w:cs="Times New Roman"/>
          <w:bCs/>
          <w:kern w:val="28"/>
          <w:sz w:val="24"/>
          <w:szCs w:val="24"/>
        </w:rPr>
        <w:t xml:space="preserve"> of selected stocks</w:t>
      </w:r>
      <w:r w:rsidRPr="000B3F13">
        <w:rPr>
          <w:rFonts w:ascii="Times New Roman" w:hAnsi="Times New Roman" w:cs="Times New Roman"/>
          <w:bCs/>
          <w:kern w:val="28"/>
          <w:sz w:val="24"/>
          <w:szCs w:val="24"/>
          <w:lang w:val="en-US"/>
        </w:rPr>
        <w:t xml:space="preserve"> using Monte Carlo Simulation.</w:t>
      </w:r>
    </w:p>
    <w:p w14:paraId="0F9DEB2A" w14:textId="77777777" w:rsidR="00A45261" w:rsidRPr="000B3F13" w:rsidRDefault="00A45261" w:rsidP="00A45261">
      <w:pPr>
        <w:numPr>
          <w:ilvl w:val="0"/>
          <w:numId w:val="3"/>
        </w:numPr>
        <w:spacing w:line="360" w:lineRule="auto"/>
        <w:jc w:val="both"/>
        <w:rPr>
          <w:rFonts w:ascii="Times New Roman" w:hAnsi="Times New Roman" w:cs="Times New Roman"/>
          <w:bCs/>
          <w:kern w:val="28"/>
          <w:sz w:val="24"/>
          <w:szCs w:val="24"/>
          <w:lang w:val="en-US"/>
        </w:rPr>
      </w:pPr>
      <w:r w:rsidRPr="000B3F13">
        <w:rPr>
          <w:rFonts w:ascii="Times New Roman" w:hAnsi="Times New Roman" w:cs="Times New Roman"/>
          <w:bCs/>
          <w:kern w:val="28"/>
          <w:sz w:val="24"/>
          <w:szCs w:val="24"/>
          <w:lang w:val="en-US"/>
        </w:rPr>
        <w:t>To compare the Effectiveness of Black-Scholes vs Monte Carlo Simulation.</w:t>
      </w:r>
    </w:p>
    <w:p w14:paraId="3F7D4101" w14:textId="77777777" w:rsidR="00A45261" w:rsidRDefault="00A45261" w:rsidP="00A45261">
      <w:pPr>
        <w:spacing w:line="360" w:lineRule="auto"/>
        <w:jc w:val="both"/>
        <w:rPr>
          <w:rFonts w:ascii="Times New Roman" w:hAnsi="Times New Roman" w:cs="Times New Roman"/>
          <w:bCs/>
          <w:kern w:val="28"/>
          <w:sz w:val="24"/>
          <w:szCs w:val="24"/>
        </w:rPr>
      </w:pPr>
    </w:p>
    <w:p w14:paraId="7759B116" w14:textId="760DBA58"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
          <w:kern w:val="28"/>
          <w:sz w:val="28"/>
          <w:szCs w:val="28"/>
        </w:rPr>
        <w:t>HYPOTHESIS:</w:t>
      </w:r>
    </w:p>
    <w:p w14:paraId="46EB9992"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lastRenderedPageBreak/>
        <w:t>H0: There is no significant difference in the mean option prices calculated by Black-Scholes and Monte Carlo Simulation.</w:t>
      </w:r>
    </w:p>
    <w:p w14:paraId="576F4430"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H1: There is a significant difference in the mean option prices calculated by Black-Scholes and Monte Carlo Simulation.</w:t>
      </w:r>
    </w:p>
    <w:p w14:paraId="6297D095"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H0: There is no correlation between Black-Scholes predicted option prices and NSE observed option prices.</w:t>
      </w:r>
    </w:p>
    <w:p w14:paraId="7529DA96" w14:textId="77777777" w:rsidR="00A45261" w:rsidRPr="000B3F13" w:rsidRDefault="00A45261" w:rsidP="00F16EE5">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H2: There is a correlation between Black-Scholes predicted option prices and NSE observed option prices.</w:t>
      </w:r>
    </w:p>
    <w:p w14:paraId="61B3B35D" w14:textId="77777777" w:rsidR="00A45261" w:rsidRPr="000B3F13" w:rsidRDefault="00A45261" w:rsidP="00F16EE5">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H0: The Black-Scholes model has no predictive power over NSE option prices.</w:t>
      </w:r>
    </w:p>
    <w:p w14:paraId="45F4CED3" w14:textId="77777777" w:rsidR="00A45261" w:rsidRPr="000B3F13" w:rsidRDefault="00A45261" w:rsidP="00F16EE5">
      <w:pPr>
        <w:spacing w:line="360" w:lineRule="auto"/>
        <w:rPr>
          <w:rFonts w:ascii="Times New Roman" w:hAnsi="Times New Roman" w:cs="Times New Roman"/>
          <w:bCs/>
          <w:kern w:val="28"/>
          <w:sz w:val="24"/>
          <w:szCs w:val="24"/>
        </w:rPr>
      </w:pPr>
      <w:r w:rsidRPr="000B3F13">
        <w:rPr>
          <w:rFonts w:ascii="Times New Roman" w:hAnsi="Times New Roman" w:cs="Times New Roman"/>
          <w:bCs/>
          <w:kern w:val="28"/>
          <w:sz w:val="24"/>
          <w:szCs w:val="24"/>
        </w:rPr>
        <w:t>H3: The Black-Scholes model has predictive power over NSE option prices.</w:t>
      </w:r>
    </w:p>
    <w:p w14:paraId="01BEAB09" w14:textId="77777777" w:rsidR="00A45261" w:rsidRDefault="00A45261" w:rsidP="00A45261">
      <w:pPr>
        <w:spacing w:line="360" w:lineRule="auto"/>
        <w:jc w:val="both"/>
        <w:rPr>
          <w:rFonts w:ascii="Times New Roman" w:hAnsi="Times New Roman" w:cs="Times New Roman"/>
          <w:bCs/>
          <w:kern w:val="28"/>
          <w:sz w:val="24"/>
          <w:szCs w:val="24"/>
        </w:rPr>
      </w:pPr>
    </w:p>
    <w:p w14:paraId="69904165" w14:textId="62083960" w:rsidR="00A45261" w:rsidRDefault="00A45261" w:rsidP="00A45261">
      <w:pPr>
        <w:spacing w:line="360" w:lineRule="auto"/>
        <w:jc w:val="both"/>
        <w:rPr>
          <w:rFonts w:ascii="Times New Roman" w:hAnsi="Times New Roman" w:cs="Times New Roman"/>
          <w:bCs/>
          <w:kern w:val="28"/>
          <w:sz w:val="24"/>
          <w:szCs w:val="24"/>
          <w:lang w:val="en-US"/>
        </w:rPr>
      </w:pPr>
      <w:r>
        <w:rPr>
          <w:rFonts w:ascii="Times New Roman" w:hAnsi="Times New Roman" w:cs="Times New Roman"/>
          <w:b/>
          <w:kern w:val="28"/>
          <w:sz w:val="28"/>
          <w:szCs w:val="28"/>
          <w:lang w:val="en-US"/>
        </w:rPr>
        <w:t>NEED OF THE STUDY:</w:t>
      </w:r>
    </w:p>
    <w:p w14:paraId="04EE5585" w14:textId="134414E3" w:rsidR="00941D9E" w:rsidRDefault="00F16EE5" w:rsidP="00A45261">
      <w:pPr>
        <w:spacing w:line="360" w:lineRule="auto"/>
        <w:jc w:val="both"/>
        <w:rPr>
          <w:rFonts w:ascii="Times New Roman" w:hAnsi="Times New Roman" w:cs="Times New Roman"/>
          <w:bCs/>
          <w:kern w:val="28"/>
          <w:sz w:val="24"/>
          <w:szCs w:val="24"/>
          <w:lang w:val="en-US"/>
        </w:rPr>
      </w:pPr>
      <w:r w:rsidRPr="00F16EE5">
        <w:rPr>
          <w:rFonts w:ascii="Times New Roman" w:hAnsi="Times New Roman" w:cs="Times New Roman"/>
          <w:bCs/>
          <w:kern w:val="28"/>
          <w:sz w:val="24"/>
          <w:szCs w:val="24"/>
          <w:lang w:val="en-US"/>
        </w:rPr>
        <w:t>Despite its popularity, Black-Scholes has limitations, especially in emerging markets like India. Its assumptions of constant volatility and inability to handle American options or dividends can lead to pricing errors. This study compares Black-Scholes to Monte Carlo simulation in India to assess their effectiveness and provide insights for investors and financial institutions.</w:t>
      </w:r>
    </w:p>
    <w:p w14:paraId="64B7E143" w14:textId="77777777" w:rsidR="00F16EE5" w:rsidRDefault="00F16EE5" w:rsidP="00A45261">
      <w:pPr>
        <w:spacing w:line="360" w:lineRule="auto"/>
        <w:jc w:val="both"/>
        <w:rPr>
          <w:rFonts w:ascii="Times New Roman" w:hAnsi="Times New Roman" w:cs="Times New Roman"/>
          <w:bCs/>
          <w:kern w:val="28"/>
          <w:sz w:val="24"/>
          <w:szCs w:val="24"/>
          <w:lang w:val="en-US"/>
        </w:rPr>
      </w:pPr>
    </w:p>
    <w:p w14:paraId="3702ED5C" w14:textId="095B3E7A" w:rsidR="00941D9E" w:rsidRPr="00941D9E" w:rsidRDefault="00941D9E" w:rsidP="00941D9E">
      <w:pPr>
        <w:spacing w:line="360" w:lineRule="auto"/>
        <w:jc w:val="both"/>
        <w:rPr>
          <w:rFonts w:ascii="Times New Roman" w:hAnsi="Times New Roman" w:cs="Times New Roman"/>
          <w:b/>
          <w:kern w:val="28"/>
          <w:sz w:val="28"/>
          <w:szCs w:val="28"/>
          <w:lang w:val="en-US"/>
        </w:rPr>
      </w:pPr>
      <w:r w:rsidRPr="00941D9E">
        <w:rPr>
          <w:rFonts w:ascii="Times New Roman" w:hAnsi="Times New Roman" w:cs="Times New Roman"/>
          <w:b/>
          <w:kern w:val="28"/>
          <w:sz w:val="28"/>
          <w:szCs w:val="28"/>
          <w:lang w:val="en-US"/>
        </w:rPr>
        <w:t>SCOPE OF THE STUDY:</w:t>
      </w:r>
    </w:p>
    <w:p w14:paraId="2EF1FF52" w14:textId="54CDCFAC" w:rsidR="00941D9E" w:rsidRDefault="00F16EE5" w:rsidP="00A45261">
      <w:pPr>
        <w:spacing w:line="360" w:lineRule="auto"/>
        <w:jc w:val="both"/>
        <w:rPr>
          <w:rFonts w:ascii="Times New Roman" w:hAnsi="Times New Roman" w:cs="Times New Roman"/>
          <w:bCs/>
          <w:kern w:val="28"/>
          <w:sz w:val="24"/>
          <w:szCs w:val="24"/>
        </w:rPr>
      </w:pPr>
      <w:r w:rsidRPr="00F16EE5">
        <w:rPr>
          <w:rFonts w:ascii="Times New Roman" w:hAnsi="Times New Roman" w:cs="Times New Roman"/>
          <w:bCs/>
          <w:kern w:val="28"/>
          <w:sz w:val="24"/>
          <w:szCs w:val="24"/>
        </w:rPr>
        <w:t xml:space="preserve">The study compares Black-Scholes and Monte Carlo for option pricing on Indian stocks. Considering factors like price, strike, time, interest </w:t>
      </w:r>
      <w:r w:rsidRPr="00F16EE5">
        <w:rPr>
          <w:rFonts w:ascii="Times New Roman" w:hAnsi="Times New Roman" w:cs="Times New Roman"/>
          <w:bCs/>
          <w:kern w:val="28"/>
          <w:sz w:val="24"/>
          <w:szCs w:val="24"/>
        </w:rPr>
        <w:t>rate, and volatility, we evaluate their performance using NSE data from 15 sectors and 2 companies. The goal is to assess the models' strengths and weaknesses in the Indian market to mitigate risks associated with using Black-Scholes.</w:t>
      </w:r>
    </w:p>
    <w:p w14:paraId="23A1DDE9" w14:textId="77777777" w:rsidR="00F16EE5" w:rsidRDefault="00F16EE5" w:rsidP="00A45261">
      <w:pPr>
        <w:spacing w:line="360" w:lineRule="auto"/>
        <w:jc w:val="both"/>
        <w:rPr>
          <w:rFonts w:ascii="Times New Roman" w:hAnsi="Times New Roman" w:cs="Times New Roman"/>
          <w:bCs/>
          <w:kern w:val="28"/>
          <w:sz w:val="24"/>
          <w:szCs w:val="24"/>
          <w:lang w:val="en-US"/>
        </w:rPr>
      </w:pPr>
    </w:p>
    <w:p w14:paraId="29F79B3E" w14:textId="28207407" w:rsidR="00A45261" w:rsidRPr="000B3F13" w:rsidRDefault="00A45261" w:rsidP="00A45261">
      <w:pPr>
        <w:spacing w:line="360" w:lineRule="auto"/>
        <w:jc w:val="both"/>
        <w:rPr>
          <w:rFonts w:ascii="Times New Roman" w:hAnsi="Times New Roman" w:cs="Times New Roman"/>
          <w:b/>
          <w:kern w:val="28"/>
          <w:sz w:val="28"/>
          <w:szCs w:val="28"/>
        </w:rPr>
      </w:pPr>
      <w:r w:rsidRPr="000B3F13">
        <w:rPr>
          <w:rFonts w:ascii="Times New Roman" w:hAnsi="Times New Roman" w:cs="Times New Roman"/>
          <w:b/>
          <w:kern w:val="28"/>
          <w:sz w:val="28"/>
          <w:szCs w:val="28"/>
        </w:rPr>
        <w:t>RESEARCH METHODOLOGY:</w:t>
      </w:r>
    </w:p>
    <w:p w14:paraId="1B0B6B33"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
          <w:kern w:val="28"/>
          <w:sz w:val="24"/>
          <w:szCs w:val="24"/>
        </w:rPr>
        <w:t>a. Data Sample:</w:t>
      </w:r>
      <w:r w:rsidRPr="000B3F13">
        <w:rPr>
          <w:rFonts w:ascii="Times New Roman" w:hAnsi="Times New Roman" w:cs="Times New Roman"/>
          <w:bCs/>
          <w:kern w:val="28"/>
          <w:sz w:val="24"/>
          <w:szCs w:val="24"/>
        </w:rPr>
        <w:t xml:space="preserve"> 2 Companies across 15 industries. </w:t>
      </w:r>
    </w:p>
    <w:p w14:paraId="201C368E"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
          <w:kern w:val="28"/>
          <w:sz w:val="24"/>
          <w:szCs w:val="24"/>
        </w:rPr>
        <w:t>b. Data source:</w:t>
      </w:r>
      <w:r w:rsidRPr="000B3F13">
        <w:rPr>
          <w:rFonts w:ascii="Times New Roman" w:hAnsi="Times New Roman" w:cs="Times New Roman"/>
          <w:bCs/>
          <w:kern w:val="28"/>
          <w:sz w:val="24"/>
          <w:szCs w:val="24"/>
        </w:rPr>
        <w:t xml:space="preserve"> NSE website</w:t>
      </w:r>
    </w:p>
    <w:p w14:paraId="7565B3CF"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
          <w:kern w:val="28"/>
          <w:sz w:val="24"/>
          <w:szCs w:val="24"/>
        </w:rPr>
        <w:t>c. Rationale:</w:t>
      </w:r>
      <w:r w:rsidRPr="000B3F13">
        <w:rPr>
          <w:rFonts w:ascii="Times New Roman" w:hAnsi="Times New Roman" w:cs="Times New Roman"/>
          <w:bCs/>
          <w:kern w:val="28"/>
          <w:sz w:val="24"/>
          <w:szCs w:val="24"/>
        </w:rPr>
        <w:t xml:space="preserve"> Includes Large and Mid-Cap Stocks that are categorised based on Market Capitalization. </w:t>
      </w:r>
    </w:p>
    <w:p w14:paraId="59AFFE50"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
          <w:kern w:val="28"/>
          <w:sz w:val="24"/>
          <w:szCs w:val="24"/>
        </w:rPr>
        <w:t>d. Option Pricing Techniques:</w:t>
      </w:r>
      <w:r w:rsidRPr="000B3F13">
        <w:rPr>
          <w:rFonts w:ascii="Times New Roman" w:hAnsi="Times New Roman" w:cs="Times New Roman"/>
          <w:bCs/>
          <w:kern w:val="28"/>
          <w:sz w:val="24"/>
          <w:szCs w:val="24"/>
        </w:rPr>
        <w:t xml:space="preserve"> Black-Scholes model and Monte Carlo Simulations. </w:t>
      </w:r>
    </w:p>
    <w:p w14:paraId="08531ADF" w14:textId="773A9B93" w:rsidR="00941D9E"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
          <w:kern w:val="28"/>
          <w:sz w:val="24"/>
          <w:szCs w:val="24"/>
        </w:rPr>
        <w:t>e. Research tools:</w:t>
      </w:r>
      <w:r w:rsidRPr="000B3F13">
        <w:rPr>
          <w:rFonts w:ascii="Times New Roman" w:hAnsi="Times New Roman" w:cs="Times New Roman"/>
          <w:bCs/>
          <w:kern w:val="28"/>
          <w:sz w:val="24"/>
          <w:szCs w:val="24"/>
        </w:rPr>
        <w:t xml:space="preserve"> Power BI (used to create visual aids that effectively communicate the simulation outcomes), correlation (significant relation between two variables), regression (significant predictor for option price) and paired-sample t-test (significant difference between the two valuation techniques). </w:t>
      </w:r>
    </w:p>
    <w:p w14:paraId="4457B3FF" w14:textId="1E6F49F2" w:rsidR="00941D9E"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
          <w:kern w:val="28"/>
          <w:sz w:val="24"/>
          <w:szCs w:val="24"/>
        </w:rPr>
        <w:t>f. Software:</w:t>
      </w:r>
      <w:r w:rsidRPr="000B3F13">
        <w:rPr>
          <w:rFonts w:ascii="Times New Roman" w:hAnsi="Times New Roman" w:cs="Times New Roman"/>
          <w:bCs/>
          <w:kern w:val="28"/>
          <w:sz w:val="24"/>
          <w:szCs w:val="24"/>
        </w:rPr>
        <w:t xml:space="preserve"> Power BI, Publish or Perish and VOS Viewer.</w:t>
      </w:r>
    </w:p>
    <w:p w14:paraId="2F6E7562" w14:textId="77777777" w:rsidR="00A45261" w:rsidRPr="000B3F13" w:rsidRDefault="00A45261" w:rsidP="00A45261">
      <w:pPr>
        <w:spacing w:line="360" w:lineRule="auto"/>
        <w:jc w:val="both"/>
        <w:rPr>
          <w:rFonts w:ascii="Times New Roman" w:hAnsi="Times New Roman" w:cs="Times New Roman"/>
          <w:b/>
          <w:kern w:val="28"/>
          <w:sz w:val="24"/>
          <w:szCs w:val="24"/>
        </w:rPr>
      </w:pPr>
      <w:r w:rsidRPr="000B3F13">
        <w:rPr>
          <w:rFonts w:ascii="Times New Roman" w:hAnsi="Times New Roman" w:cs="Times New Roman"/>
          <w:b/>
          <w:kern w:val="28"/>
          <w:sz w:val="24"/>
          <w:szCs w:val="24"/>
        </w:rPr>
        <w:t>g. Sample:</w:t>
      </w:r>
    </w:p>
    <w:p w14:paraId="3EEFE624" w14:textId="597A1067" w:rsidR="00941D9E"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Market Capital as on 31/03/2024 as per NSE</w:t>
      </w:r>
      <w:r w:rsidR="00941D9E">
        <w:rPr>
          <w:rFonts w:ascii="Times New Roman" w:hAnsi="Times New Roman" w:cs="Times New Roman"/>
          <w:bCs/>
          <w:kern w:val="28"/>
          <w:sz w:val="24"/>
          <w:szCs w:val="24"/>
        </w:rPr>
        <w:t>:</w:t>
      </w:r>
    </w:p>
    <w:p w14:paraId="1EFCE053"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1.  Financial Services</w:t>
      </w:r>
    </w:p>
    <w:p w14:paraId="66368C78" w14:textId="77777777" w:rsidR="00A45261" w:rsidRPr="000B3F13" w:rsidRDefault="00A45261" w:rsidP="00A45261">
      <w:pPr>
        <w:pStyle w:val="ListParagraph"/>
        <w:numPr>
          <w:ilvl w:val="1"/>
          <w:numId w:val="4"/>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HDFC Bank – Rs. 109,991,524.33 (in lakhs)</w:t>
      </w:r>
    </w:p>
    <w:p w14:paraId="55B7B9E6" w14:textId="77777777" w:rsidR="00A45261" w:rsidRPr="000B3F13" w:rsidRDefault="00A45261" w:rsidP="00A45261">
      <w:pPr>
        <w:pStyle w:val="ListParagraph"/>
        <w:numPr>
          <w:ilvl w:val="1"/>
          <w:numId w:val="4"/>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Federal Bank Ltd. – Rs. 3,658,946.70 (in lakhs)</w:t>
      </w:r>
    </w:p>
    <w:p w14:paraId="04639263"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2.  Information Technology</w:t>
      </w:r>
    </w:p>
    <w:p w14:paraId="7AF38DAB" w14:textId="77777777" w:rsidR="00A45261" w:rsidRPr="000B3F13" w:rsidRDefault="00A45261" w:rsidP="00A45261">
      <w:pPr>
        <w:pStyle w:val="ListParagraph"/>
        <w:numPr>
          <w:ilvl w:val="1"/>
          <w:numId w:val="5"/>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TCS – Rs. 140,247,926.46 (in lakhs)</w:t>
      </w:r>
    </w:p>
    <w:p w14:paraId="6C8ED1AE" w14:textId="77777777" w:rsidR="00A45261" w:rsidRPr="000B3F13" w:rsidRDefault="00A45261" w:rsidP="00A45261">
      <w:pPr>
        <w:pStyle w:val="ListParagraph"/>
        <w:numPr>
          <w:ilvl w:val="1"/>
          <w:numId w:val="5"/>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MphasiS Ltd. – Rs. 4,511,861.86 (in lakhs)</w:t>
      </w:r>
    </w:p>
    <w:p w14:paraId="3E0EE417"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lastRenderedPageBreak/>
        <w:t>3.  Capital Goods</w:t>
      </w:r>
    </w:p>
    <w:p w14:paraId="5C512523" w14:textId="77777777" w:rsidR="00A45261" w:rsidRPr="000B3F13" w:rsidRDefault="00A45261" w:rsidP="00A45261">
      <w:pPr>
        <w:pStyle w:val="ListParagraph"/>
        <w:numPr>
          <w:ilvl w:val="1"/>
          <w:numId w:val="6"/>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ABB India Ltd. – Rs. 13,479,173.87 (in lakhs)</w:t>
      </w:r>
    </w:p>
    <w:p w14:paraId="300AA74D" w14:textId="77777777" w:rsidR="00A45261" w:rsidRPr="00437800" w:rsidRDefault="00A45261" w:rsidP="00A45261">
      <w:pPr>
        <w:pStyle w:val="ListParagraph"/>
        <w:numPr>
          <w:ilvl w:val="1"/>
          <w:numId w:val="6"/>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Polycab India Ltd. – Rs. 7,608,988.43 (in lakhs)</w:t>
      </w:r>
    </w:p>
    <w:p w14:paraId="23C10AEB"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4.  Oil, Gas &amp; Consumable Fuels</w:t>
      </w:r>
    </w:p>
    <w:p w14:paraId="3FCC99F6" w14:textId="77777777" w:rsidR="00A45261" w:rsidRPr="000B3F13" w:rsidRDefault="00A45261" w:rsidP="00A45261">
      <w:pPr>
        <w:pStyle w:val="ListParagraph"/>
        <w:numPr>
          <w:ilvl w:val="1"/>
          <w:numId w:val="7"/>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Coal India Ltd. – Rs. 26,752,403.67 (in lakhs)</w:t>
      </w:r>
    </w:p>
    <w:p w14:paraId="74DFB5E6" w14:textId="56EA2EAE" w:rsidR="00941D9E" w:rsidRPr="00941D9E" w:rsidRDefault="00A45261" w:rsidP="00941D9E">
      <w:pPr>
        <w:pStyle w:val="ListParagraph"/>
        <w:numPr>
          <w:ilvl w:val="1"/>
          <w:numId w:val="7"/>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Indraprastha Gas Ltd. – Rs. 3,015,603.45 (in lakhs)</w:t>
      </w:r>
    </w:p>
    <w:p w14:paraId="2674BB1F"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5.  Automobile and Auto Components</w:t>
      </w:r>
    </w:p>
    <w:p w14:paraId="673B5752" w14:textId="77777777" w:rsidR="00A45261" w:rsidRPr="000B3F13" w:rsidRDefault="00A45261" w:rsidP="00A45261">
      <w:pPr>
        <w:pStyle w:val="ListParagraph"/>
        <w:numPr>
          <w:ilvl w:val="1"/>
          <w:numId w:val="8"/>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Bajaj Auto – Rs. 25,905,708.85 (in lakhs)</w:t>
      </w:r>
    </w:p>
    <w:p w14:paraId="6A91D46E" w14:textId="77777777" w:rsidR="00A45261" w:rsidRPr="000B3F13" w:rsidRDefault="00A45261" w:rsidP="00A45261">
      <w:pPr>
        <w:pStyle w:val="ListParagraph"/>
        <w:numPr>
          <w:ilvl w:val="1"/>
          <w:numId w:val="8"/>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MRF Ltd. – Rs. 5,657,148.26 (in lakhs)</w:t>
      </w:r>
    </w:p>
    <w:p w14:paraId="778F7286"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6.  Fast Moving Consumer Goods</w:t>
      </w:r>
    </w:p>
    <w:p w14:paraId="55297477" w14:textId="77777777" w:rsidR="00A45261" w:rsidRPr="000B3F13" w:rsidRDefault="00A45261" w:rsidP="00A45261">
      <w:pPr>
        <w:pStyle w:val="ListParagraph"/>
        <w:numPr>
          <w:ilvl w:val="1"/>
          <w:numId w:val="9"/>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ITC Ltd – Rs. 53,464,377.65 (in lakhs)</w:t>
      </w:r>
    </w:p>
    <w:p w14:paraId="3265E7C0" w14:textId="77777777" w:rsidR="00A45261" w:rsidRPr="000B3F13" w:rsidRDefault="00A45261" w:rsidP="00A45261">
      <w:pPr>
        <w:pStyle w:val="ListParagraph"/>
        <w:numPr>
          <w:ilvl w:val="1"/>
          <w:numId w:val="9"/>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Britannia Industries Ltd. – Rs. 11,829,644.19 (in lakhs)</w:t>
      </w:r>
    </w:p>
    <w:p w14:paraId="0A788785"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7.  Healthcare</w:t>
      </w:r>
    </w:p>
    <w:p w14:paraId="4CF3B9D4" w14:textId="77777777" w:rsidR="00A45261" w:rsidRPr="000B3F13" w:rsidRDefault="00A45261" w:rsidP="00A45261">
      <w:pPr>
        <w:pStyle w:val="ListParagraph"/>
        <w:numPr>
          <w:ilvl w:val="1"/>
          <w:numId w:val="10"/>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Apollo Hospitals Enterprise Ltd. – Rs. 9,140,103.08 (in lakhs)</w:t>
      </w:r>
    </w:p>
    <w:p w14:paraId="3D2CE2EA" w14:textId="77777777" w:rsidR="00A45261" w:rsidRPr="000B3F13" w:rsidRDefault="00A45261" w:rsidP="00A45261">
      <w:pPr>
        <w:pStyle w:val="ListParagraph"/>
        <w:numPr>
          <w:ilvl w:val="1"/>
          <w:numId w:val="10"/>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Syngene International Ltd. – Rs. 2,824,356.38 (in lakhs)</w:t>
      </w:r>
    </w:p>
    <w:p w14:paraId="7E0A103C"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8.  Metals &amp; Mining</w:t>
      </w:r>
    </w:p>
    <w:p w14:paraId="631DB6D8" w14:textId="77777777" w:rsidR="00A45261" w:rsidRPr="000B3F13" w:rsidRDefault="00A45261" w:rsidP="00A45261">
      <w:pPr>
        <w:pStyle w:val="ListParagraph"/>
        <w:numPr>
          <w:ilvl w:val="1"/>
          <w:numId w:val="11"/>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Adani Enterprises Ltd. – Rs. 36,446,975.84 (in lakhs)</w:t>
      </w:r>
    </w:p>
    <w:p w14:paraId="05FC6FCA" w14:textId="77777777" w:rsidR="00A45261" w:rsidRPr="000B3F13" w:rsidRDefault="00A45261" w:rsidP="00A45261">
      <w:pPr>
        <w:pStyle w:val="ListParagraph"/>
        <w:numPr>
          <w:ilvl w:val="1"/>
          <w:numId w:val="11"/>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Steel Authority of India Ltd. – Rs. 5,545,230.20 (in lakhs)</w:t>
      </w:r>
    </w:p>
    <w:p w14:paraId="40593A67"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 xml:space="preserve">9.  Chemicals </w:t>
      </w:r>
    </w:p>
    <w:p w14:paraId="3A2246BA" w14:textId="77777777" w:rsidR="00A45261" w:rsidRPr="000B3F13" w:rsidRDefault="00A45261" w:rsidP="00A45261">
      <w:pPr>
        <w:pStyle w:val="ListParagraph"/>
        <w:numPr>
          <w:ilvl w:val="1"/>
          <w:numId w:val="12"/>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Pidilite Industries Ltd. – Rs. 15,333,045.77 (in lakhs)</w:t>
      </w:r>
    </w:p>
    <w:p w14:paraId="50002815" w14:textId="77777777" w:rsidR="00A45261" w:rsidRPr="000B3F13" w:rsidRDefault="00A45261" w:rsidP="00A45261">
      <w:pPr>
        <w:pStyle w:val="ListParagraph"/>
        <w:numPr>
          <w:ilvl w:val="1"/>
          <w:numId w:val="12"/>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Tata Chemicals Ltd. – Rs. 2,753,660.61 (in lakhs)</w:t>
      </w:r>
    </w:p>
    <w:p w14:paraId="310E97A7"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10.  Construction</w:t>
      </w:r>
    </w:p>
    <w:p w14:paraId="17DCBC55" w14:textId="77777777" w:rsidR="00A45261" w:rsidRPr="000B3F13" w:rsidRDefault="00A45261" w:rsidP="00A45261">
      <w:pPr>
        <w:pStyle w:val="ListParagraph"/>
        <w:numPr>
          <w:ilvl w:val="1"/>
          <w:numId w:val="13"/>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Larsen &amp; Toubro Ltd. – Rs. 51,739,685.70 (in lakhs)</w:t>
      </w:r>
    </w:p>
    <w:p w14:paraId="0A31DA7B" w14:textId="77777777" w:rsidR="00A45261" w:rsidRPr="000B3F13" w:rsidRDefault="00A45261" w:rsidP="00A45261">
      <w:pPr>
        <w:pStyle w:val="ListParagraph"/>
        <w:numPr>
          <w:ilvl w:val="1"/>
          <w:numId w:val="13"/>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ACC Ltd. – Rs. 4,679,095.23 (in lakhs)</w:t>
      </w:r>
    </w:p>
    <w:p w14:paraId="35974CBE"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11.  Telecommunication</w:t>
      </w:r>
    </w:p>
    <w:p w14:paraId="0867E760" w14:textId="77777777" w:rsidR="00A45261" w:rsidRPr="000B3F13" w:rsidRDefault="00A45261" w:rsidP="00A45261">
      <w:pPr>
        <w:pStyle w:val="ListParagraph"/>
        <w:numPr>
          <w:ilvl w:val="1"/>
          <w:numId w:val="14"/>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Bharti Airtel Ltd. – Rs. 69,478,399.83 (in lakhs)</w:t>
      </w:r>
    </w:p>
    <w:p w14:paraId="1523F2E4" w14:textId="77777777" w:rsidR="00A45261" w:rsidRPr="000B3F13" w:rsidRDefault="00A45261" w:rsidP="00A45261">
      <w:pPr>
        <w:pStyle w:val="ListParagraph"/>
        <w:numPr>
          <w:ilvl w:val="1"/>
          <w:numId w:val="14"/>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Tata Communications Ltd. – Rs. 5,729,640 (in lakhs)</w:t>
      </w:r>
    </w:p>
    <w:p w14:paraId="1F29E454"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12.  Services</w:t>
      </w:r>
    </w:p>
    <w:p w14:paraId="252939A4" w14:textId="77777777" w:rsidR="00A45261" w:rsidRPr="000B3F13" w:rsidRDefault="00A45261" w:rsidP="00A45261">
      <w:pPr>
        <w:pStyle w:val="ListParagraph"/>
        <w:numPr>
          <w:ilvl w:val="1"/>
          <w:numId w:val="15"/>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Adani Ports and Special Economic Zone Ltd. – Rs. 28,985,824.43 (in lakhs)</w:t>
      </w:r>
    </w:p>
    <w:p w14:paraId="39951B3A" w14:textId="77777777" w:rsidR="00A45261" w:rsidRPr="000B3F13" w:rsidRDefault="00A45261" w:rsidP="00A45261">
      <w:pPr>
        <w:pStyle w:val="ListParagraph"/>
        <w:numPr>
          <w:ilvl w:val="1"/>
          <w:numId w:val="15"/>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Container Corporation of India Ltd. – Rs. 5,374,585.44 (in lakhs)</w:t>
      </w:r>
    </w:p>
    <w:p w14:paraId="284240F6"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13.  Realty</w:t>
      </w:r>
    </w:p>
    <w:p w14:paraId="10C2DC63" w14:textId="77777777" w:rsidR="00A45261" w:rsidRPr="000B3F13" w:rsidRDefault="00A45261" w:rsidP="00A45261">
      <w:pPr>
        <w:pStyle w:val="ListParagraph"/>
        <w:numPr>
          <w:ilvl w:val="1"/>
          <w:numId w:val="16"/>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DLF Ltd. – Rs. 22,203,575.87 (in lakhs)</w:t>
      </w:r>
    </w:p>
    <w:p w14:paraId="1E8D6C3A" w14:textId="77777777" w:rsidR="00A45261" w:rsidRPr="000B3F13" w:rsidRDefault="00A45261" w:rsidP="00A45261">
      <w:pPr>
        <w:pStyle w:val="ListParagraph"/>
        <w:numPr>
          <w:ilvl w:val="1"/>
          <w:numId w:val="16"/>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Godrej Properties Ltd. – Rs. 6,395,231.94 (in lakhs)</w:t>
      </w:r>
    </w:p>
    <w:p w14:paraId="327DB1A1"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14.  Consumer Services</w:t>
      </w:r>
    </w:p>
    <w:p w14:paraId="1B144F0C" w14:textId="77777777" w:rsidR="00A45261" w:rsidRPr="000B3F13" w:rsidRDefault="00A45261" w:rsidP="00A45261">
      <w:pPr>
        <w:pStyle w:val="ListParagraph"/>
        <w:numPr>
          <w:ilvl w:val="1"/>
          <w:numId w:val="17"/>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Indian Railway Catering and Tourism Corporation Ltd. – Rs. 7,437,600.00 (in lakhs)</w:t>
      </w:r>
    </w:p>
    <w:p w14:paraId="752945DD" w14:textId="77777777" w:rsidR="00A45261" w:rsidRPr="000B3F13" w:rsidRDefault="00A45261" w:rsidP="00A45261">
      <w:pPr>
        <w:pStyle w:val="ListParagraph"/>
        <w:numPr>
          <w:ilvl w:val="1"/>
          <w:numId w:val="17"/>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Aditya Birla Fashion and Retail Ltd. – Rs. 1,950,971.59 (in lakhs)</w:t>
      </w:r>
    </w:p>
    <w:p w14:paraId="4B6A2C91" w14:textId="77777777"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15.  Consumer Durables</w:t>
      </w:r>
    </w:p>
    <w:p w14:paraId="433C8520" w14:textId="77777777" w:rsidR="00A45261" w:rsidRPr="000B3F13" w:rsidRDefault="00A45261" w:rsidP="00A45261">
      <w:pPr>
        <w:pStyle w:val="ListParagraph"/>
        <w:numPr>
          <w:ilvl w:val="1"/>
          <w:numId w:val="18"/>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Havells India Ltd. – Rs. 9,494,247.90 (in lakhs)</w:t>
      </w:r>
    </w:p>
    <w:p w14:paraId="4DF53DE6" w14:textId="30CA3C5A" w:rsidR="00941D9E" w:rsidRPr="00941D9E" w:rsidRDefault="00A45261" w:rsidP="00941D9E">
      <w:pPr>
        <w:pStyle w:val="ListParagraph"/>
        <w:numPr>
          <w:ilvl w:val="1"/>
          <w:numId w:val="18"/>
        </w:num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Voltas Ltd. – Rs. 3,651,478.55 (in lakhs)</w:t>
      </w:r>
    </w:p>
    <w:p w14:paraId="43C09922" w14:textId="77777777" w:rsidR="00A45261" w:rsidRPr="000B3F13" w:rsidRDefault="00A45261" w:rsidP="00A45261">
      <w:pPr>
        <w:spacing w:line="360" w:lineRule="auto"/>
        <w:jc w:val="both"/>
        <w:rPr>
          <w:rFonts w:ascii="Times New Roman" w:hAnsi="Times New Roman" w:cs="Times New Roman"/>
          <w:b/>
          <w:kern w:val="28"/>
          <w:sz w:val="24"/>
          <w:szCs w:val="24"/>
        </w:rPr>
      </w:pPr>
      <w:r w:rsidRPr="000B3F13">
        <w:rPr>
          <w:rFonts w:ascii="Times New Roman" w:hAnsi="Times New Roman" w:cs="Times New Roman"/>
          <w:b/>
          <w:kern w:val="28"/>
          <w:sz w:val="24"/>
          <w:szCs w:val="24"/>
        </w:rPr>
        <w:t>h. Risk Free rate:</w:t>
      </w:r>
    </w:p>
    <w:p w14:paraId="29243197" w14:textId="145CD34A" w:rsidR="00941D9E"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lastRenderedPageBreak/>
        <w:t>Rf = 6.842 % (as on 30</w:t>
      </w:r>
      <w:r w:rsidRPr="000B3F13">
        <w:rPr>
          <w:rFonts w:ascii="Times New Roman" w:hAnsi="Times New Roman" w:cs="Times New Roman"/>
          <w:bCs/>
          <w:kern w:val="28"/>
          <w:sz w:val="24"/>
          <w:szCs w:val="24"/>
          <w:vertAlign w:val="superscript"/>
        </w:rPr>
        <w:t>th</w:t>
      </w:r>
      <w:r w:rsidRPr="000B3F13">
        <w:rPr>
          <w:rFonts w:ascii="Times New Roman" w:hAnsi="Times New Roman" w:cs="Times New Roman"/>
          <w:bCs/>
          <w:kern w:val="28"/>
          <w:sz w:val="24"/>
          <w:szCs w:val="24"/>
        </w:rPr>
        <w:t xml:space="preserve"> May 2024)</w:t>
      </w:r>
    </w:p>
    <w:p w14:paraId="578EF56D" w14:textId="77777777" w:rsidR="00A45261" w:rsidRPr="00CB256A" w:rsidRDefault="00A45261" w:rsidP="00A45261">
      <w:pPr>
        <w:spacing w:line="360" w:lineRule="auto"/>
        <w:jc w:val="both"/>
        <w:rPr>
          <w:rFonts w:ascii="Times New Roman" w:hAnsi="Times New Roman" w:cs="Times New Roman"/>
          <w:bCs/>
          <w:kern w:val="28"/>
          <w:sz w:val="24"/>
          <w:szCs w:val="24"/>
        </w:rPr>
      </w:pPr>
      <w:r>
        <w:rPr>
          <w:rFonts w:ascii="Times New Roman" w:hAnsi="Times New Roman" w:cs="Times New Roman"/>
          <w:b/>
          <w:kern w:val="28"/>
          <w:sz w:val="24"/>
          <w:szCs w:val="24"/>
        </w:rPr>
        <w:t xml:space="preserve">i. Time Period: </w:t>
      </w:r>
      <w:r>
        <w:rPr>
          <w:rFonts w:ascii="Times New Roman" w:hAnsi="Times New Roman" w:cs="Times New Roman"/>
          <w:bCs/>
          <w:kern w:val="28"/>
          <w:sz w:val="24"/>
          <w:szCs w:val="24"/>
        </w:rPr>
        <w:t>From 31</w:t>
      </w:r>
      <w:r w:rsidRPr="00CB256A">
        <w:rPr>
          <w:rFonts w:ascii="Times New Roman" w:hAnsi="Times New Roman" w:cs="Times New Roman"/>
          <w:bCs/>
          <w:kern w:val="28"/>
          <w:sz w:val="24"/>
          <w:szCs w:val="24"/>
          <w:vertAlign w:val="superscript"/>
        </w:rPr>
        <w:t>st</w:t>
      </w:r>
      <w:r>
        <w:rPr>
          <w:rFonts w:ascii="Times New Roman" w:hAnsi="Times New Roman" w:cs="Times New Roman"/>
          <w:bCs/>
          <w:kern w:val="28"/>
          <w:sz w:val="24"/>
          <w:szCs w:val="24"/>
        </w:rPr>
        <w:t xml:space="preserve"> May to 27</w:t>
      </w:r>
      <w:r w:rsidRPr="00CB256A">
        <w:rPr>
          <w:rFonts w:ascii="Times New Roman" w:hAnsi="Times New Roman" w:cs="Times New Roman"/>
          <w:bCs/>
          <w:kern w:val="28"/>
          <w:sz w:val="24"/>
          <w:szCs w:val="24"/>
          <w:vertAlign w:val="superscript"/>
        </w:rPr>
        <w:t>th</w:t>
      </w:r>
      <w:r>
        <w:rPr>
          <w:rFonts w:ascii="Times New Roman" w:hAnsi="Times New Roman" w:cs="Times New Roman"/>
          <w:bCs/>
          <w:kern w:val="28"/>
          <w:sz w:val="24"/>
          <w:szCs w:val="24"/>
        </w:rPr>
        <w:t xml:space="preserve"> June 2024</w:t>
      </w:r>
    </w:p>
    <w:p w14:paraId="6ED9A9D5" w14:textId="77777777" w:rsidR="00A45261" w:rsidRDefault="00A45261" w:rsidP="00A45261">
      <w:pPr>
        <w:spacing w:line="360" w:lineRule="auto"/>
        <w:jc w:val="both"/>
        <w:rPr>
          <w:rFonts w:ascii="Times New Roman" w:hAnsi="Times New Roman" w:cs="Times New Roman"/>
          <w:bCs/>
          <w:kern w:val="28"/>
          <w:sz w:val="24"/>
          <w:szCs w:val="24"/>
          <w:lang w:val="en-US"/>
        </w:rPr>
      </w:pPr>
    </w:p>
    <w:p w14:paraId="6F2A2DD5" w14:textId="2507258E" w:rsidR="00A45261" w:rsidRPr="000B3F13" w:rsidRDefault="00A45261" w:rsidP="00A45261">
      <w:pPr>
        <w:spacing w:line="360" w:lineRule="auto"/>
        <w:jc w:val="both"/>
        <w:rPr>
          <w:rFonts w:ascii="Times New Roman" w:hAnsi="Times New Roman" w:cs="Times New Roman"/>
          <w:bCs/>
          <w:kern w:val="28"/>
          <w:sz w:val="24"/>
          <w:szCs w:val="24"/>
        </w:rPr>
      </w:pPr>
      <w:r w:rsidRPr="000B3F13">
        <w:rPr>
          <w:rFonts w:ascii="Times New Roman" w:hAnsi="Times New Roman" w:cs="Times New Roman"/>
          <w:b/>
          <w:kern w:val="28"/>
          <w:sz w:val="28"/>
          <w:szCs w:val="28"/>
        </w:rPr>
        <w:t xml:space="preserve">LIMITATIONS: </w:t>
      </w:r>
    </w:p>
    <w:p w14:paraId="32329764" w14:textId="454B718F" w:rsidR="001A5178" w:rsidRDefault="00F16EE5" w:rsidP="00A45261">
      <w:pPr>
        <w:spacing w:line="360" w:lineRule="auto"/>
        <w:jc w:val="both"/>
        <w:rPr>
          <w:rFonts w:ascii="Times New Roman" w:hAnsi="Times New Roman" w:cs="Times New Roman"/>
          <w:bCs/>
          <w:kern w:val="28"/>
          <w:sz w:val="24"/>
          <w:szCs w:val="24"/>
        </w:rPr>
      </w:pPr>
      <w:r w:rsidRPr="00F16EE5">
        <w:rPr>
          <w:rFonts w:ascii="Times New Roman" w:hAnsi="Times New Roman" w:cs="Times New Roman"/>
          <w:bCs/>
          <w:kern w:val="28"/>
          <w:sz w:val="24"/>
          <w:szCs w:val="24"/>
        </w:rPr>
        <w:t xml:space="preserve">Small-cap stocks on the NSE often lack historical data, making research difficult. This is due to their shorter operating history, limited public interest, and inconsistent data collection. Any study relying on historical data to </w:t>
      </w:r>
      <w:r w:rsidRPr="00F16EE5">
        <w:rPr>
          <w:rFonts w:ascii="Times New Roman" w:hAnsi="Times New Roman" w:cs="Times New Roman"/>
          <w:bCs/>
          <w:kern w:val="28"/>
          <w:sz w:val="24"/>
          <w:szCs w:val="24"/>
        </w:rPr>
        <w:t>analyse</w:t>
      </w:r>
      <w:r w:rsidRPr="00F16EE5">
        <w:rPr>
          <w:rFonts w:ascii="Times New Roman" w:hAnsi="Times New Roman" w:cs="Times New Roman"/>
          <w:bCs/>
          <w:kern w:val="28"/>
          <w:sz w:val="24"/>
          <w:szCs w:val="24"/>
        </w:rPr>
        <w:t xml:space="preserve"> small-cap stocks is inherently limited.</w:t>
      </w:r>
    </w:p>
    <w:p w14:paraId="75E025EA" w14:textId="77777777" w:rsidR="00F16EE5" w:rsidRDefault="00F16EE5" w:rsidP="00A45261">
      <w:pPr>
        <w:spacing w:line="360" w:lineRule="auto"/>
        <w:jc w:val="both"/>
        <w:rPr>
          <w:rFonts w:ascii="Times New Roman" w:hAnsi="Times New Roman" w:cs="Times New Roman"/>
          <w:bCs/>
          <w:kern w:val="28"/>
          <w:sz w:val="24"/>
          <w:szCs w:val="24"/>
        </w:rPr>
      </w:pPr>
    </w:p>
    <w:p w14:paraId="33669C0E" w14:textId="41762254" w:rsidR="00941D9E" w:rsidRPr="001A5178" w:rsidRDefault="00941D9E" w:rsidP="00F16EE5">
      <w:pPr>
        <w:spacing w:line="360" w:lineRule="auto"/>
        <w:rPr>
          <w:rFonts w:ascii="Times New Roman" w:hAnsi="Times New Roman" w:cs="Times New Roman"/>
          <w:b/>
          <w:kern w:val="28"/>
          <w:sz w:val="28"/>
          <w:szCs w:val="28"/>
        </w:rPr>
      </w:pPr>
      <w:r w:rsidRPr="000B3F13">
        <w:rPr>
          <w:rFonts w:ascii="Times New Roman" w:hAnsi="Times New Roman" w:cs="Times New Roman"/>
          <w:b/>
          <w:kern w:val="28"/>
          <w:sz w:val="28"/>
          <w:szCs w:val="28"/>
        </w:rPr>
        <w:t>DATA ANALYSIS AND</w:t>
      </w:r>
      <w:r w:rsidR="00F16EE5">
        <w:rPr>
          <w:rFonts w:ascii="Times New Roman" w:hAnsi="Times New Roman" w:cs="Times New Roman"/>
          <w:b/>
          <w:kern w:val="28"/>
          <w:sz w:val="28"/>
          <w:szCs w:val="28"/>
        </w:rPr>
        <w:t xml:space="preserve"> </w:t>
      </w:r>
      <w:r w:rsidRPr="000B3F13">
        <w:rPr>
          <w:rFonts w:ascii="Times New Roman" w:hAnsi="Times New Roman" w:cs="Times New Roman"/>
          <w:b/>
          <w:kern w:val="28"/>
          <w:sz w:val="28"/>
          <w:szCs w:val="28"/>
        </w:rPr>
        <w:t>INTERPRETATION</w:t>
      </w:r>
      <w:r>
        <w:rPr>
          <w:rFonts w:ascii="Times New Roman" w:hAnsi="Times New Roman" w:cs="Times New Roman"/>
          <w:b/>
          <w:kern w:val="28"/>
          <w:sz w:val="28"/>
          <w:szCs w:val="28"/>
        </w:rPr>
        <w:t>:</w:t>
      </w:r>
    </w:p>
    <w:p w14:paraId="32639E00" w14:textId="70D195A4" w:rsidR="00941D9E" w:rsidRDefault="00941D9E" w:rsidP="00941D9E">
      <w:pPr>
        <w:rPr>
          <w:rFonts w:ascii="Times New Roman" w:hAnsi="Times New Roman" w:cs="Times New Roman"/>
          <w:b/>
          <w:kern w:val="28"/>
          <w:sz w:val="24"/>
          <w:szCs w:val="24"/>
        </w:rPr>
      </w:pPr>
      <w:r>
        <w:rPr>
          <w:rFonts w:ascii="Times New Roman" w:hAnsi="Times New Roman" w:cs="Times New Roman"/>
          <w:b/>
          <w:kern w:val="28"/>
          <w:sz w:val="24"/>
          <w:szCs w:val="24"/>
        </w:rPr>
        <w:t>Chart 1: Market Capital Distribution of the selected Large and Mid-Cap Stocks</w:t>
      </w:r>
    </w:p>
    <w:p w14:paraId="55419F05" w14:textId="070999A9" w:rsidR="00941D9E" w:rsidRDefault="00941D9E" w:rsidP="00A45261">
      <w:pPr>
        <w:spacing w:line="360" w:lineRule="auto"/>
        <w:jc w:val="both"/>
        <w:rPr>
          <w:rFonts w:ascii="Times New Roman" w:hAnsi="Times New Roman" w:cs="Times New Roman"/>
          <w:bCs/>
          <w:kern w:val="28"/>
          <w:sz w:val="24"/>
          <w:szCs w:val="24"/>
        </w:rPr>
      </w:pPr>
      <w:r>
        <w:rPr>
          <w:rFonts w:ascii="Times New Roman" w:hAnsi="Times New Roman" w:cs="Times New Roman"/>
          <w:b/>
          <w:noProof/>
          <w:kern w:val="28"/>
          <w:sz w:val="24"/>
          <w:szCs w:val="24"/>
        </w:rPr>
        <w:drawing>
          <wp:inline distT="0" distB="0" distL="0" distR="0" wp14:anchorId="16589488" wp14:editId="4C504853">
            <wp:extent cx="3074312" cy="1924050"/>
            <wp:effectExtent l="19050" t="19050" r="12065" b="19050"/>
            <wp:docPr id="1838089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3792" cy="1929983"/>
                    </a:xfrm>
                    <a:prstGeom prst="rect">
                      <a:avLst/>
                    </a:prstGeom>
                    <a:noFill/>
                    <a:ln>
                      <a:solidFill>
                        <a:srgbClr val="44546A">
                          <a:lumMod val="75000"/>
                        </a:srgbClr>
                      </a:solidFill>
                    </a:ln>
                  </pic:spPr>
                </pic:pic>
              </a:graphicData>
            </a:graphic>
          </wp:inline>
        </w:drawing>
      </w:r>
    </w:p>
    <w:p w14:paraId="61ACA53C" w14:textId="77777777" w:rsidR="00941D9E" w:rsidRDefault="00941D9E" w:rsidP="00941D9E">
      <w:pPr>
        <w:rPr>
          <w:rFonts w:ascii="Times New Roman" w:hAnsi="Times New Roman" w:cs="Times New Roman"/>
          <w:b/>
          <w:kern w:val="28"/>
          <w:sz w:val="24"/>
          <w:szCs w:val="24"/>
        </w:rPr>
      </w:pPr>
      <w:r>
        <w:rPr>
          <w:rFonts w:ascii="Times New Roman" w:hAnsi="Times New Roman" w:cs="Times New Roman"/>
          <w:b/>
          <w:kern w:val="28"/>
          <w:sz w:val="24"/>
          <w:szCs w:val="24"/>
        </w:rPr>
        <w:t>Analysis:</w:t>
      </w:r>
    </w:p>
    <w:p w14:paraId="32438642" w14:textId="4AFD950B" w:rsidR="00941D9E" w:rsidRDefault="00F16EE5" w:rsidP="00A45261">
      <w:pPr>
        <w:spacing w:line="360" w:lineRule="auto"/>
        <w:jc w:val="both"/>
        <w:rPr>
          <w:rFonts w:ascii="Times New Roman" w:hAnsi="Times New Roman" w:cs="Times New Roman"/>
          <w:bCs/>
          <w:kern w:val="28"/>
          <w:sz w:val="24"/>
          <w:szCs w:val="24"/>
        </w:rPr>
      </w:pPr>
      <w:r w:rsidRPr="00F16EE5">
        <w:rPr>
          <w:rFonts w:ascii="Times New Roman" w:hAnsi="Times New Roman" w:cs="Times New Roman"/>
          <w:bCs/>
          <w:kern w:val="28"/>
          <w:sz w:val="24"/>
          <w:szCs w:val="24"/>
        </w:rPr>
        <w:t xml:space="preserve">This visualization shows the distribution of market capitalization for major and mid-sized Indian companies. Maharashtra is a dominant state, with many companies concentrated there. Other key states include Karnataka and Gujarat. The map reveals uneven economic activity and financial resources across India, providing insights for </w:t>
      </w:r>
      <w:r w:rsidRPr="00F16EE5">
        <w:rPr>
          <w:rFonts w:ascii="Times New Roman" w:hAnsi="Times New Roman" w:cs="Times New Roman"/>
          <w:bCs/>
          <w:kern w:val="28"/>
          <w:sz w:val="24"/>
          <w:szCs w:val="24"/>
        </w:rPr>
        <w:t>investors, policymakers, and businesses seeking growth opportunities.</w:t>
      </w:r>
    </w:p>
    <w:p w14:paraId="232A0A7D" w14:textId="77777777" w:rsidR="00941D9E" w:rsidRDefault="00941D9E" w:rsidP="00941D9E">
      <w:pPr>
        <w:rPr>
          <w:rFonts w:ascii="Times New Roman" w:hAnsi="Times New Roman" w:cs="Times New Roman"/>
          <w:b/>
          <w:kern w:val="28"/>
          <w:sz w:val="24"/>
          <w:szCs w:val="24"/>
        </w:rPr>
      </w:pPr>
      <w:r>
        <w:rPr>
          <w:rFonts w:ascii="Times New Roman" w:hAnsi="Times New Roman" w:cs="Times New Roman"/>
          <w:b/>
          <w:kern w:val="28"/>
          <w:sz w:val="24"/>
          <w:szCs w:val="24"/>
        </w:rPr>
        <w:t xml:space="preserve">Chart 2: Large Cap Stocks Leaderboard </w:t>
      </w:r>
    </w:p>
    <w:p w14:paraId="276685DC" w14:textId="1798311C" w:rsidR="00941D9E" w:rsidRDefault="00941D9E" w:rsidP="00A45261">
      <w:pPr>
        <w:spacing w:line="360" w:lineRule="auto"/>
        <w:jc w:val="both"/>
        <w:rPr>
          <w:rFonts w:ascii="Times New Roman" w:hAnsi="Times New Roman" w:cs="Times New Roman"/>
          <w:bCs/>
          <w:kern w:val="28"/>
          <w:sz w:val="24"/>
          <w:szCs w:val="24"/>
        </w:rPr>
      </w:pPr>
      <w:r>
        <w:rPr>
          <w:rFonts w:ascii="Times New Roman" w:hAnsi="Times New Roman" w:cs="Times New Roman"/>
          <w:b/>
          <w:noProof/>
          <w:kern w:val="28"/>
          <w:sz w:val="24"/>
          <w:szCs w:val="24"/>
        </w:rPr>
        <w:drawing>
          <wp:inline distT="0" distB="0" distL="0" distR="0" wp14:anchorId="44A0CCDF" wp14:editId="7F0DB7C7">
            <wp:extent cx="3089371" cy="2005576"/>
            <wp:effectExtent l="19050" t="19050" r="15875" b="13970"/>
            <wp:docPr id="1797623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59" t="1149"/>
                    <a:stretch/>
                  </pic:blipFill>
                  <pic:spPr bwMode="auto">
                    <a:xfrm>
                      <a:off x="0" y="0"/>
                      <a:ext cx="3115721" cy="2022682"/>
                    </a:xfrm>
                    <a:prstGeom prst="rect">
                      <a:avLst/>
                    </a:prstGeom>
                    <a:noFill/>
                    <a:ln>
                      <a:solidFill>
                        <a:srgbClr val="44546A">
                          <a:lumMod val="50000"/>
                        </a:srgbClr>
                      </a:solidFill>
                    </a:ln>
                    <a:extLst>
                      <a:ext uri="{53640926-AAD7-44D8-BBD7-CCE9431645EC}">
                        <a14:shadowObscured xmlns:a14="http://schemas.microsoft.com/office/drawing/2010/main"/>
                      </a:ext>
                    </a:extLst>
                  </pic:spPr>
                </pic:pic>
              </a:graphicData>
            </a:graphic>
          </wp:inline>
        </w:drawing>
      </w:r>
    </w:p>
    <w:p w14:paraId="19244091" w14:textId="77777777" w:rsidR="006711E5" w:rsidRDefault="006711E5" w:rsidP="006711E5">
      <w:pPr>
        <w:rPr>
          <w:rFonts w:ascii="Times New Roman" w:hAnsi="Times New Roman" w:cs="Times New Roman"/>
          <w:b/>
          <w:kern w:val="28"/>
          <w:sz w:val="24"/>
          <w:szCs w:val="24"/>
        </w:rPr>
      </w:pPr>
      <w:r>
        <w:rPr>
          <w:rFonts w:ascii="Times New Roman" w:hAnsi="Times New Roman" w:cs="Times New Roman"/>
          <w:b/>
          <w:kern w:val="28"/>
          <w:sz w:val="24"/>
          <w:szCs w:val="24"/>
        </w:rPr>
        <w:t>Analysis:</w:t>
      </w:r>
    </w:p>
    <w:p w14:paraId="5CC2D07D" w14:textId="377AB33C" w:rsidR="001A5178" w:rsidRDefault="00A04F73" w:rsidP="006711E5">
      <w:pPr>
        <w:spacing w:line="360" w:lineRule="auto"/>
        <w:jc w:val="both"/>
        <w:rPr>
          <w:rFonts w:ascii="Times New Roman" w:hAnsi="Times New Roman" w:cs="Times New Roman"/>
          <w:bCs/>
          <w:kern w:val="28"/>
          <w:sz w:val="24"/>
          <w:szCs w:val="24"/>
        </w:rPr>
      </w:pPr>
      <w:r w:rsidRPr="00A04F73">
        <w:rPr>
          <w:rFonts w:ascii="Times New Roman" w:hAnsi="Times New Roman" w:cs="Times New Roman"/>
          <w:bCs/>
          <w:kern w:val="28"/>
          <w:sz w:val="24"/>
          <w:szCs w:val="24"/>
        </w:rPr>
        <w:t>Many large-cap companies are in financial services on NSE. Other sectors like FMCG, auto, IT, and real estate have varying representation. Financial services and FMCG have more large-cap companies. Some sectors, like real estate and telecom, have fewer. Adani Group's dominance shows growing conglomerates in India's market.</w:t>
      </w:r>
    </w:p>
    <w:p w14:paraId="4E04A14B" w14:textId="5AE7973F" w:rsidR="006711E5" w:rsidRPr="001A5178" w:rsidRDefault="006711E5" w:rsidP="001A5178">
      <w:pPr>
        <w:rPr>
          <w:rFonts w:ascii="Times New Roman" w:hAnsi="Times New Roman" w:cs="Times New Roman"/>
          <w:bCs/>
          <w:kern w:val="28"/>
          <w:sz w:val="24"/>
          <w:szCs w:val="24"/>
        </w:rPr>
      </w:pPr>
      <w:r>
        <w:rPr>
          <w:rFonts w:ascii="Times New Roman" w:hAnsi="Times New Roman" w:cs="Times New Roman"/>
          <w:b/>
          <w:kern w:val="28"/>
          <w:sz w:val="24"/>
          <w:szCs w:val="24"/>
        </w:rPr>
        <w:t xml:space="preserve">Chart 3: Mid Cap Stocks Leaderboard </w:t>
      </w:r>
    </w:p>
    <w:p w14:paraId="22AC8C98" w14:textId="77777777" w:rsidR="006711E5" w:rsidRDefault="006711E5" w:rsidP="006711E5">
      <w:pPr>
        <w:spacing w:line="360" w:lineRule="auto"/>
        <w:jc w:val="both"/>
        <w:rPr>
          <w:rFonts w:ascii="Times New Roman" w:hAnsi="Times New Roman" w:cs="Times New Roman"/>
          <w:bCs/>
          <w:kern w:val="28"/>
          <w:sz w:val="24"/>
          <w:szCs w:val="24"/>
        </w:rPr>
      </w:pPr>
      <w:r>
        <w:rPr>
          <w:rFonts w:ascii="Times New Roman" w:hAnsi="Times New Roman" w:cs="Times New Roman"/>
          <w:bCs/>
          <w:noProof/>
          <w:kern w:val="28"/>
          <w:sz w:val="24"/>
          <w:szCs w:val="24"/>
        </w:rPr>
        <w:drawing>
          <wp:inline distT="0" distB="0" distL="0" distR="0" wp14:anchorId="238FFBC1" wp14:editId="26CC19FD">
            <wp:extent cx="3123560" cy="1924050"/>
            <wp:effectExtent l="0" t="0" r="1270" b="0"/>
            <wp:docPr id="141304179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3001" cy="1929865"/>
                    </a:xfrm>
                    <a:prstGeom prst="rect">
                      <a:avLst/>
                    </a:prstGeom>
                    <a:noFill/>
                  </pic:spPr>
                </pic:pic>
              </a:graphicData>
            </a:graphic>
          </wp:inline>
        </w:drawing>
      </w:r>
    </w:p>
    <w:p w14:paraId="509A6E99" w14:textId="77777777" w:rsidR="006711E5" w:rsidRDefault="006711E5" w:rsidP="006711E5">
      <w:pPr>
        <w:spacing w:line="360" w:lineRule="auto"/>
        <w:jc w:val="both"/>
        <w:rPr>
          <w:rFonts w:ascii="Times New Roman" w:hAnsi="Times New Roman" w:cs="Times New Roman"/>
          <w:b/>
          <w:kern w:val="28"/>
          <w:sz w:val="24"/>
          <w:szCs w:val="24"/>
        </w:rPr>
      </w:pPr>
      <w:r>
        <w:rPr>
          <w:rFonts w:ascii="Times New Roman" w:hAnsi="Times New Roman" w:cs="Times New Roman"/>
          <w:b/>
          <w:kern w:val="28"/>
          <w:sz w:val="24"/>
          <w:szCs w:val="24"/>
        </w:rPr>
        <w:t>Analysis:</w:t>
      </w:r>
    </w:p>
    <w:p w14:paraId="2AEBC4AF" w14:textId="4BDC58FE" w:rsidR="00A04F73" w:rsidRDefault="00A04F73" w:rsidP="00A45261">
      <w:pPr>
        <w:spacing w:line="360" w:lineRule="auto"/>
        <w:jc w:val="both"/>
        <w:rPr>
          <w:rFonts w:ascii="Times New Roman" w:hAnsi="Times New Roman" w:cs="Times New Roman"/>
          <w:bCs/>
          <w:kern w:val="28"/>
          <w:sz w:val="24"/>
          <w:szCs w:val="24"/>
        </w:rPr>
      </w:pPr>
      <w:r w:rsidRPr="00A04F73">
        <w:rPr>
          <w:rFonts w:ascii="Times New Roman" w:hAnsi="Times New Roman" w:cs="Times New Roman"/>
          <w:bCs/>
          <w:kern w:val="28"/>
          <w:sz w:val="24"/>
          <w:szCs w:val="24"/>
        </w:rPr>
        <w:t xml:space="preserve">A detailed analysis of 101 mid-cap companies on NSE shows a diverse range across 19 industries, with financial services being dominant. While some sectors like healthcare and IT are well-represented, others like construction and media are less so. This </w:t>
      </w:r>
      <w:r w:rsidRPr="00A04F73">
        <w:rPr>
          <w:rFonts w:ascii="Times New Roman" w:hAnsi="Times New Roman" w:cs="Times New Roman"/>
          <w:bCs/>
          <w:kern w:val="28"/>
          <w:sz w:val="24"/>
          <w:szCs w:val="24"/>
        </w:rPr>
        <w:lastRenderedPageBreak/>
        <w:t>suggests different growth trends and investment opportunities within mid-cap stocks.</w:t>
      </w:r>
    </w:p>
    <w:p w14:paraId="60A30D49" w14:textId="5FBE8471" w:rsidR="00941D9E" w:rsidRPr="001A5178" w:rsidRDefault="006711E5" w:rsidP="00A45261">
      <w:pPr>
        <w:spacing w:line="360" w:lineRule="auto"/>
        <w:jc w:val="both"/>
        <w:rPr>
          <w:rFonts w:ascii="Times New Roman" w:hAnsi="Times New Roman" w:cs="Times New Roman"/>
          <w:bCs/>
          <w:kern w:val="28"/>
          <w:sz w:val="24"/>
          <w:szCs w:val="24"/>
        </w:rPr>
      </w:pPr>
      <w:r w:rsidRPr="007D100F">
        <w:rPr>
          <w:rFonts w:ascii="Times New Roman" w:hAnsi="Times New Roman" w:cs="Times New Roman"/>
          <w:b/>
          <w:kern w:val="28"/>
          <w:sz w:val="28"/>
          <w:szCs w:val="28"/>
          <w:u w:val="single"/>
        </w:rPr>
        <w:t>Comprehensive Table of all 30 Stocks:</w:t>
      </w:r>
    </w:p>
    <w:p w14:paraId="2683B905" w14:textId="3751D737" w:rsidR="002849EA" w:rsidRDefault="002849EA" w:rsidP="00A45261">
      <w:pPr>
        <w:spacing w:line="360" w:lineRule="auto"/>
        <w:jc w:val="both"/>
        <w:rPr>
          <w:rFonts w:ascii="Times New Roman" w:hAnsi="Times New Roman" w:cs="Times New Roman"/>
          <w:bCs/>
          <w:kern w:val="28"/>
          <w:sz w:val="24"/>
          <w:szCs w:val="24"/>
        </w:rPr>
      </w:pPr>
      <w:r>
        <w:rPr>
          <w:rFonts w:ascii="Times New Roman" w:hAnsi="Times New Roman" w:cs="Times New Roman"/>
          <w:bCs/>
          <w:noProof/>
          <w:kern w:val="28"/>
          <w:sz w:val="24"/>
          <w:szCs w:val="24"/>
        </w:rPr>
        <w:drawing>
          <wp:inline distT="0" distB="0" distL="0" distR="0" wp14:anchorId="188AD708" wp14:editId="135E18DB">
            <wp:extent cx="3107635" cy="4058236"/>
            <wp:effectExtent l="0" t="0" r="0" b="0"/>
            <wp:docPr id="252304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3977" cy="4079577"/>
                    </a:xfrm>
                    <a:prstGeom prst="rect">
                      <a:avLst/>
                    </a:prstGeom>
                    <a:noFill/>
                  </pic:spPr>
                </pic:pic>
              </a:graphicData>
            </a:graphic>
          </wp:inline>
        </w:drawing>
      </w:r>
    </w:p>
    <w:p w14:paraId="43AFF103" w14:textId="32C249D7" w:rsidR="002849EA" w:rsidRDefault="002849EA" w:rsidP="00A45261">
      <w:pPr>
        <w:spacing w:line="360" w:lineRule="auto"/>
        <w:jc w:val="both"/>
        <w:rPr>
          <w:rFonts w:ascii="Times New Roman" w:hAnsi="Times New Roman" w:cs="Times New Roman"/>
          <w:bCs/>
          <w:kern w:val="28"/>
          <w:sz w:val="24"/>
          <w:szCs w:val="24"/>
        </w:rPr>
      </w:pPr>
      <w:r>
        <w:rPr>
          <w:rFonts w:ascii="Times New Roman" w:hAnsi="Times New Roman" w:cs="Times New Roman"/>
          <w:bCs/>
          <w:noProof/>
          <w:kern w:val="28"/>
          <w:sz w:val="24"/>
          <w:szCs w:val="24"/>
        </w:rPr>
        <w:drawing>
          <wp:inline distT="0" distB="0" distL="0" distR="0" wp14:anchorId="55D2E984" wp14:editId="716ABC70">
            <wp:extent cx="3162300" cy="1906974"/>
            <wp:effectExtent l="0" t="0" r="0" b="0"/>
            <wp:docPr id="5828740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71020" cy="1912232"/>
                    </a:xfrm>
                    <a:prstGeom prst="rect">
                      <a:avLst/>
                    </a:prstGeom>
                    <a:noFill/>
                  </pic:spPr>
                </pic:pic>
              </a:graphicData>
            </a:graphic>
          </wp:inline>
        </w:drawing>
      </w:r>
    </w:p>
    <w:p w14:paraId="78AEE43B" w14:textId="77777777" w:rsidR="002849EA" w:rsidRPr="007D100F" w:rsidRDefault="002849EA" w:rsidP="002849EA">
      <w:pPr>
        <w:rPr>
          <w:rFonts w:ascii="Times New Roman" w:hAnsi="Times New Roman" w:cs="Times New Roman"/>
          <w:b/>
          <w:kern w:val="28"/>
          <w:sz w:val="28"/>
          <w:szCs w:val="28"/>
        </w:rPr>
      </w:pPr>
      <w:r w:rsidRPr="007D100F">
        <w:rPr>
          <w:rFonts w:ascii="Times New Roman" w:hAnsi="Times New Roman" w:cs="Times New Roman"/>
          <w:b/>
          <w:kern w:val="28"/>
          <w:sz w:val="28"/>
          <w:szCs w:val="28"/>
        </w:rPr>
        <w:t xml:space="preserve">Analysis: </w:t>
      </w:r>
    </w:p>
    <w:p w14:paraId="7240BA11" w14:textId="418824F5" w:rsidR="00A04F73" w:rsidRDefault="00A04F73" w:rsidP="002849EA">
      <w:pPr>
        <w:spacing w:line="360" w:lineRule="auto"/>
        <w:jc w:val="both"/>
        <w:rPr>
          <w:rFonts w:ascii="Times New Roman" w:hAnsi="Times New Roman" w:cs="Times New Roman"/>
          <w:bCs/>
          <w:kern w:val="28"/>
          <w:sz w:val="24"/>
          <w:szCs w:val="24"/>
        </w:rPr>
      </w:pPr>
      <w:r w:rsidRPr="00A04F73">
        <w:rPr>
          <w:rFonts w:ascii="Times New Roman" w:hAnsi="Times New Roman" w:cs="Times New Roman"/>
          <w:bCs/>
          <w:kern w:val="28"/>
          <w:sz w:val="24"/>
          <w:szCs w:val="24"/>
        </w:rPr>
        <w:t xml:space="preserve">This study compares the Black-Scholes Model (BSM) and Monte Carlo Simulation (MCS) against actual NSE call option prices. We found that BSM generally predicts prices more accurately than MCS for most stocks. However, MCS can be better in specific cases, like Tata Communications Ltd. </w:t>
      </w:r>
      <w:r w:rsidRPr="00A04F73">
        <w:rPr>
          <w:rFonts w:ascii="Times New Roman" w:hAnsi="Times New Roman" w:cs="Times New Roman"/>
          <w:bCs/>
          <w:kern w:val="28"/>
          <w:sz w:val="24"/>
          <w:szCs w:val="24"/>
        </w:rPr>
        <w:t>BSM's superiority is likely due to the high volatility of the stocks, which aligns with its assumptions. Therefore, BSM is a suitable option pricing strategy for large and mid-cap stocks.</w:t>
      </w:r>
    </w:p>
    <w:p w14:paraId="7E87636F" w14:textId="29385C7C" w:rsidR="002849EA" w:rsidRPr="001A5178" w:rsidRDefault="002849EA" w:rsidP="002849EA">
      <w:pPr>
        <w:spacing w:line="360" w:lineRule="auto"/>
        <w:jc w:val="both"/>
        <w:rPr>
          <w:rFonts w:ascii="Times New Roman" w:hAnsi="Times New Roman" w:cs="Times New Roman"/>
          <w:bCs/>
          <w:kern w:val="28"/>
          <w:sz w:val="24"/>
          <w:szCs w:val="24"/>
        </w:rPr>
      </w:pPr>
      <w:r w:rsidRPr="002849EA">
        <w:rPr>
          <w:rFonts w:ascii="Times New Roman" w:hAnsi="Times New Roman" w:cs="Times New Roman"/>
          <w:b/>
          <w:kern w:val="28"/>
          <w:sz w:val="28"/>
          <w:szCs w:val="28"/>
          <w:u w:val="single"/>
        </w:rPr>
        <w:t>T – Test Interpretation:</w:t>
      </w:r>
    </w:p>
    <w:tbl>
      <w:tblPr>
        <w:tblStyle w:val="TableGrid"/>
        <w:tblW w:w="4802" w:type="dxa"/>
        <w:tblLook w:val="04A0" w:firstRow="1" w:lastRow="0" w:firstColumn="1" w:lastColumn="0" w:noHBand="0" w:noVBand="1"/>
      </w:tblPr>
      <w:tblGrid>
        <w:gridCol w:w="1885"/>
        <w:gridCol w:w="1586"/>
        <w:gridCol w:w="1331"/>
      </w:tblGrid>
      <w:tr w:rsidR="002849EA" w:rsidRPr="000B3F13" w14:paraId="2A320197" w14:textId="77777777" w:rsidTr="001A5178">
        <w:trPr>
          <w:trHeight w:val="268"/>
        </w:trPr>
        <w:tc>
          <w:tcPr>
            <w:tcW w:w="1885" w:type="dxa"/>
            <w:tcBorders>
              <w:top w:val="single" w:sz="12" w:space="0" w:color="auto"/>
              <w:left w:val="single" w:sz="12" w:space="0" w:color="auto"/>
              <w:bottom w:val="single" w:sz="12" w:space="0" w:color="auto"/>
              <w:right w:val="single" w:sz="12" w:space="0" w:color="auto"/>
            </w:tcBorders>
            <w:noWrap/>
            <w:hideMark/>
          </w:tcPr>
          <w:p w14:paraId="2AFE9B2D" w14:textId="77777777" w:rsidR="002849EA" w:rsidRPr="001C1C73" w:rsidRDefault="002849EA" w:rsidP="00300DC5">
            <w:pPr>
              <w:rPr>
                <w:rFonts w:ascii="Times New Roman" w:hAnsi="Times New Roman" w:cs="Times New Roman"/>
                <w:b/>
                <w:bCs/>
                <w:kern w:val="28"/>
                <w:sz w:val="24"/>
                <w:szCs w:val="24"/>
              </w:rPr>
            </w:pPr>
            <w:r w:rsidRPr="001C1C73">
              <w:rPr>
                <w:rFonts w:ascii="Times New Roman" w:hAnsi="Times New Roman" w:cs="Times New Roman"/>
                <w:b/>
                <w:bCs/>
                <w:kern w:val="28"/>
                <w:sz w:val="24"/>
                <w:szCs w:val="24"/>
              </w:rPr>
              <w:t> Particulars</w:t>
            </w:r>
          </w:p>
        </w:tc>
        <w:tc>
          <w:tcPr>
            <w:tcW w:w="1586" w:type="dxa"/>
            <w:tcBorders>
              <w:top w:val="single" w:sz="12" w:space="0" w:color="auto"/>
              <w:left w:val="single" w:sz="12" w:space="0" w:color="auto"/>
              <w:bottom w:val="single" w:sz="12" w:space="0" w:color="auto"/>
              <w:right w:val="single" w:sz="12" w:space="0" w:color="auto"/>
            </w:tcBorders>
            <w:noWrap/>
            <w:hideMark/>
          </w:tcPr>
          <w:p w14:paraId="0493DEF3" w14:textId="77777777" w:rsidR="002849EA" w:rsidRPr="001C1C73" w:rsidRDefault="002849EA" w:rsidP="00300DC5">
            <w:pPr>
              <w:jc w:val="center"/>
              <w:rPr>
                <w:rFonts w:ascii="Times New Roman" w:hAnsi="Times New Roman" w:cs="Times New Roman"/>
                <w:b/>
                <w:bCs/>
                <w:kern w:val="28"/>
                <w:sz w:val="24"/>
                <w:szCs w:val="24"/>
              </w:rPr>
            </w:pPr>
            <w:r w:rsidRPr="001C1C73">
              <w:rPr>
                <w:rFonts w:ascii="Times New Roman" w:hAnsi="Times New Roman" w:cs="Times New Roman"/>
                <w:b/>
                <w:bCs/>
                <w:kern w:val="28"/>
                <w:sz w:val="24"/>
                <w:szCs w:val="24"/>
              </w:rPr>
              <w:t>Monte Carlo</w:t>
            </w:r>
          </w:p>
        </w:tc>
        <w:tc>
          <w:tcPr>
            <w:tcW w:w="1331" w:type="dxa"/>
            <w:tcBorders>
              <w:top w:val="single" w:sz="12" w:space="0" w:color="auto"/>
              <w:left w:val="single" w:sz="12" w:space="0" w:color="auto"/>
              <w:bottom w:val="single" w:sz="12" w:space="0" w:color="auto"/>
              <w:right w:val="single" w:sz="12" w:space="0" w:color="auto"/>
            </w:tcBorders>
            <w:noWrap/>
            <w:hideMark/>
          </w:tcPr>
          <w:p w14:paraId="37DCBC56" w14:textId="77777777" w:rsidR="002849EA" w:rsidRPr="001C1C73" w:rsidRDefault="002849EA" w:rsidP="00300DC5">
            <w:pPr>
              <w:jc w:val="center"/>
              <w:rPr>
                <w:rFonts w:ascii="Times New Roman" w:hAnsi="Times New Roman" w:cs="Times New Roman"/>
                <w:b/>
                <w:bCs/>
                <w:kern w:val="28"/>
                <w:sz w:val="24"/>
                <w:szCs w:val="24"/>
              </w:rPr>
            </w:pPr>
            <w:r w:rsidRPr="001C1C73">
              <w:rPr>
                <w:rFonts w:ascii="Times New Roman" w:hAnsi="Times New Roman" w:cs="Times New Roman"/>
                <w:b/>
                <w:bCs/>
                <w:kern w:val="28"/>
                <w:sz w:val="24"/>
                <w:szCs w:val="24"/>
              </w:rPr>
              <w:t>BSM</w:t>
            </w:r>
          </w:p>
        </w:tc>
      </w:tr>
      <w:tr w:rsidR="002849EA" w:rsidRPr="000B3F13" w14:paraId="43210AF1"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5B73C93B"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Mean</w:t>
            </w:r>
          </w:p>
        </w:tc>
        <w:tc>
          <w:tcPr>
            <w:tcW w:w="1586" w:type="dxa"/>
            <w:tcBorders>
              <w:top w:val="single" w:sz="12" w:space="0" w:color="auto"/>
              <w:left w:val="single" w:sz="12" w:space="0" w:color="auto"/>
              <w:bottom w:val="single" w:sz="12" w:space="0" w:color="auto"/>
              <w:right w:val="single" w:sz="12" w:space="0" w:color="auto"/>
            </w:tcBorders>
            <w:noWrap/>
            <w:hideMark/>
          </w:tcPr>
          <w:p w14:paraId="03FBD24D"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295.88</w:t>
            </w:r>
          </w:p>
        </w:tc>
        <w:tc>
          <w:tcPr>
            <w:tcW w:w="1331" w:type="dxa"/>
            <w:tcBorders>
              <w:top w:val="single" w:sz="12" w:space="0" w:color="auto"/>
              <w:left w:val="single" w:sz="12" w:space="0" w:color="auto"/>
              <w:bottom w:val="single" w:sz="12" w:space="0" w:color="auto"/>
              <w:right w:val="single" w:sz="12" w:space="0" w:color="auto"/>
            </w:tcBorders>
            <w:noWrap/>
            <w:hideMark/>
          </w:tcPr>
          <w:p w14:paraId="6EBF7CBB"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290.83</w:t>
            </w:r>
          </w:p>
        </w:tc>
      </w:tr>
      <w:tr w:rsidR="002849EA" w:rsidRPr="000B3F13" w14:paraId="617BBF0D"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65ADA6E0"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Variance</w:t>
            </w:r>
          </w:p>
        </w:tc>
        <w:tc>
          <w:tcPr>
            <w:tcW w:w="1586" w:type="dxa"/>
            <w:tcBorders>
              <w:top w:val="single" w:sz="12" w:space="0" w:color="auto"/>
              <w:left w:val="single" w:sz="12" w:space="0" w:color="auto"/>
              <w:bottom w:val="single" w:sz="12" w:space="0" w:color="auto"/>
              <w:right w:val="single" w:sz="12" w:space="0" w:color="auto"/>
            </w:tcBorders>
            <w:noWrap/>
            <w:hideMark/>
          </w:tcPr>
          <w:p w14:paraId="51E7CBB8"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683630.47</w:t>
            </w:r>
          </w:p>
        </w:tc>
        <w:tc>
          <w:tcPr>
            <w:tcW w:w="1331" w:type="dxa"/>
            <w:tcBorders>
              <w:top w:val="single" w:sz="12" w:space="0" w:color="auto"/>
              <w:left w:val="single" w:sz="12" w:space="0" w:color="auto"/>
              <w:bottom w:val="single" w:sz="12" w:space="0" w:color="auto"/>
              <w:right w:val="single" w:sz="12" w:space="0" w:color="auto"/>
            </w:tcBorders>
            <w:noWrap/>
            <w:hideMark/>
          </w:tcPr>
          <w:p w14:paraId="447F44B5"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680694.25</w:t>
            </w:r>
          </w:p>
        </w:tc>
      </w:tr>
      <w:tr w:rsidR="002849EA" w:rsidRPr="000B3F13" w14:paraId="408934C5"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635D33C1"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Observations</w:t>
            </w:r>
          </w:p>
        </w:tc>
        <w:tc>
          <w:tcPr>
            <w:tcW w:w="1586" w:type="dxa"/>
            <w:tcBorders>
              <w:top w:val="single" w:sz="12" w:space="0" w:color="auto"/>
              <w:left w:val="single" w:sz="12" w:space="0" w:color="auto"/>
              <w:bottom w:val="single" w:sz="12" w:space="0" w:color="auto"/>
              <w:right w:val="single" w:sz="12" w:space="0" w:color="auto"/>
            </w:tcBorders>
            <w:noWrap/>
            <w:hideMark/>
          </w:tcPr>
          <w:p w14:paraId="099771BF"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30</w:t>
            </w:r>
          </w:p>
        </w:tc>
        <w:tc>
          <w:tcPr>
            <w:tcW w:w="1331" w:type="dxa"/>
            <w:tcBorders>
              <w:top w:val="single" w:sz="12" w:space="0" w:color="auto"/>
              <w:left w:val="single" w:sz="12" w:space="0" w:color="auto"/>
              <w:bottom w:val="single" w:sz="12" w:space="0" w:color="auto"/>
              <w:right w:val="single" w:sz="12" w:space="0" w:color="auto"/>
            </w:tcBorders>
            <w:noWrap/>
            <w:hideMark/>
          </w:tcPr>
          <w:p w14:paraId="11F35ED1"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30</w:t>
            </w:r>
          </w:p>
        </w:tc>
      </w:tr>
      <w:tr w:rsidR="002849EA" w:rsidRPr="000B3F13" w14:paraId="05B057EA"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6ABA2FEC"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Pearson Correlation</w:t>
            </w:r>
          </w:p>
        </w:tc>
        <w:tc>
          <w:tcPr>
            <w:tcW w:w="1586" w:type="dxa"/>
            <w:tcBorders>
              <w:top w:val="single" w:sz="12" w:space="0" w:color="auto"/>
              <w:left w:val="single" w:sz="12" w:space="0" w:color="auto"/>
              <w:bottom w:val="single" w:sz="12" w:space="0" w:color="auto"/>
              <w:right w:val="single" w:sz="12" w:space="0" w:color="auto"/>
            </w:tcBorders>
            <w:noWrap/>
            <w:hideMark/>
          </w:tcPr>
          <w:p w14:paraId="03CD6015"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0.999970862</w:t>
            </w:r>
          </w:p>
        </w:tc>
        <w:tc>
          <w:tcPr>
            <w:tcW w:w="1331" w:type="dxa"/>
            <w:tcBorders>
              <w:top w:val="single" w:sz="12" w:space="0" w:color="auto"/>
              <w:left w:val="single" w:sz="12" w:space="0" w:color="auto"/>
              <w:bottom w:val="single" w:sz="12" w:space="0" w:color="auto"/>
              <w:right w:val="single" w:sz="12" w:space="0" w:color="auto"/>
            </w:tcBorders>
            <w:noWrap/>
            <w:hideMark/>
          </w:tcPr>
          <w:p w14:paraId="78EBB5F4" w14:textId="77777777" w:rsidR="002849EA" w:rsidRPr="000B3F13" w:rsidRDefault="002849EA" w:rsidP="00300DC5">
            <w:pPr>
              <w:jc w:val="center"/>
              <w:rPr>
                <w:rFonts w:ascii="Times New Roman" w:hAnsi="Times New Roman" w:cs="Times New Roman"/>
                <w:bCs/>
                <w:kern w:val="28"/>
                <w:sz w:val="24"/>
                <w:szCs w:val="24"/>
              </w:rPr>
            </w:pPr>
          </w:p>
        </w:tc>
      </w:tr>
      <w:tr w:rsidR="002849EA" w:rsidRPr="000B3F13" w14:paraId="36192CEE"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592972AA"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Hypothesized Mean Difference</w:t>
            </w:r>
          </w:p>
        </w:tc>
        <w:tc>
          <w:tcPr>
            <w:tcW w:w="1586" w:type="dxa"/>
            <w:tcBorders>
              <w:top w:val="single" w:sz="12" w:space="0" w:color="auto"/>
              <w:left w:val="single" w:sz="12" w:space="0" w:color="auto"/>
              <w:bottom w:val="single" w:sz="12" w:space="0" w:color="auto"/>
              <w:right w:val="single" w:sz="12" w:space="0" w:color="auto"/>
            </w:tcBorders>
            <w:noWrap/>
            <w:hideMark/>
          </w:tcPr>
          <w:p w14:paraId="2620C89D"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0</w:t>
            </w:r>
          </w:p>
        </w:tc>
        <w:tc>
          <w:tcPr>
            <w:tcW w:w="1331" w:type="dxa"/>
            <w:tcBorders>
              <w:top w:val="single" w:sz="12" w:space="0" w:color="auto"/>
              <w:left w:val="single" w:sz="12" w:space="0" w:color="auto"/>
              <w:bottom w:val="single" w:sz="12" w:space="0" w:color="auto"/>
              <w:right w:val="single" w:sz="12" w:space="0" w:color="auto"/>
            </w:tcBorders>
            <w:noWrap/>
            <w:hideMark/>
          </w:tcPr>
          <w:p w14:paraId="52BCF53E"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 </w:t>
            </w:r>
          </w:p>
        </w:tc>
      </w:tr>
      <w:tr w:rsidR="002849EA" w:rsidRPr="000B3F13" w14:paraId="187EF2A3"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7EDD8564"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df</w:t>
            </w:r>
          </w:p>
        </w:tc>
        <w:tc>
          <w:tcPr>
            <w:tcW w:w="1586" w:type="dxa"/>
            <w:tcBorders>
              <w:top w:val="single" w:sz="12" w:space="0" w:color="auto"/>
              <w:left w:val="single" w:sz="12" w:space="0" w:color="auto"/>
              <w:bottom w:val="single" w:sz="12" w:space="0" w:color="auto"/>
              <w:right w:val="single" w:sz="12" w:space="0" w:color="auto"/>
            </w:tcBorders>
            <w:noWrap/>
            <w:hideMark/>
          </w:tcPr>
          <w:p w14:paraId="135352DA"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29</w:t>
            </w:r>
          </w:p>
        </w:tc>
        <w:tc>
          <w:tcPr>
            <w:tcW w:w="1331" w:type="dxa"/>
            <w:tcBorders>
              <w:top w:val="single" w:sz="12" w:space="0" w:color="auto"/>
              <w:left w:val="single" w:sz="12" w:space="0" w:color="auto"/>
              <w:bottom w:val="single" w:sz="12" w:space="0" w:color="auto"/>
              <w:right w:val="single" w:sz="12" w:space="0" w:color="auto"/>
            </w:tcBorders>
            <w:noWrap/>
            <w:hideMark/>
          </w:tcPr>
          <w:p w14:paraId="7E9E430B"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 </w:t>
            </w:r>
          </w:p>
        </w:tc>
      </w:tr>
      <w:tr w:rsidR="002849EA" w:rsidRPr="000B3F13" w14:paraId="1FC28BCA"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592F1195"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t Stat</w:t>
            </w:r>
          </w:p>
        </w:tc>
        <w:tc>
          <w:tcPr>
            <w:tcW w:w="1586" w:type="dxa"/>
            <w:tcBorders>
              <w:top w:val="single" w:sz="12" w:space="0" w:color="auto"/>
              <w:left w:val="single" w:sz="12" w:space="0" w:color="auto"/>
              <w:bottom w:val="single" w:sz="12" w:space="0" w:color="auto"/>
              <w:right w:val="single" w:sz="12" w:space="0" w:color="auto"/>
            </w:tcBorders>
            <w:noWrap/>
            <w:hideMark/>
          </w:tcPr>
          <w:p w14:paraId="7DC26E12"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4.2226</w:t>
            </w:r>
          </w:p>
        </w:tc>
        <w:tc>
          <w:tcPr>
            <w:tcW w:w="1331" w:type="dxa"/>
            <w:tcBorders>
              <w:top w:val="single" w:sz="12" w:space="0" w:color="auto"/>
              <w:left w:val="single" w:sz="12" w:space="0" w:color="auto"/>
              <w:bottom w:val="single" w:sz="12" w:space="0" w:color="auto"/>
              <w:right w:val="single" w:sz="12" w:space="0" w:color="auto"/>
            </w:tcBorders>
            <w:noWrap/>
            <w:hideMark/>
          </w:tcPr>
          <w:p w14:paraId="2705ACCA"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 </w:t>
            </w:r>
          </w:p>
        </w:tc>
      </w:tr>
      <w:tr w:rsidR="002849EA" w:rsidRPr="000B3F13" w14:paraId="60DBA938"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05798606"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P(T&lt;=t) one-tail</w:t>
            </w:r>
          </w:p>
        </w:tc>
        <w:tc>
          <w:tcPr>
            <w:tcW w:w="1586" w:type="dxa"/>
            <w:tcBorders>
              <w:top w:val="single" w:sz="12" w:space="0" w:color="auto"/>
              <w:left w:val="single" w:sz="12" w:space="0" w:color="auto"/>
              <w:bottom w:val="single" w:sz="12" w:space="0" w:color="auto"/>
              <w:right w:val="single" w:sz="12" w:space="0" w:color="auto"/>
            </w:tcBorders>
            <w:noWrap/>
            <w:hideMark/>
          </w:tcPr>
          <w:p w14:paraId="22174C27"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0.0001</w:t>
            </w:r>
          </w:p>
        </w:tc>
        <w:tc>
          <w:tcPr>
            <w:tcW w:w="1331" w:type="dxa"/>
            <w:tcBorders>
              <w:top w:val="single" w:sz="12" w:space="0" w:color="auto"/>
              <w:left w:val="single" w:sz="12" w:space="0" w:color="auto"/>
              <w:bottom w:val="single" w:sz="12" w:space="0" w:color="auto"/>
              <w:right w:val="single" w:sz="12" w:space="0" w:color="auto"/>
            </w:tcBorders>
            <w:noWrap/>
            <w:hideMark/>
          </w:tcPr>
          <w:p w14:paraId="72D141F1"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 </w:t>
            </w:r>
          </w:p>
        </w:tc>
      </w:tr>
      <w:tr w:rsidR="002849EA" w:rsidRPr="000B3F13" w14:paraId="60C2E11F"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65F7AE1F"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t Critical one-tail</w:t>
            </w:r>
          </w:p>
        </w:tc>
        <w:tc>
          <w:tcPr>
            <w:tcW w:w="1586" w:type="dxa"/>
            <w:tcBorders>
              <w:top w:val="single" w:sz="12" w:space="0" w:color="auto"/>
              <w:left w:val="single" w:sz="12" w:space="0" w:color="auto"/>
              <w:bottom w:val="single" w:sz="12" w:space="0" w:color="auto"/>
              <w:right w:val="single" w:sz="12" w:space="0" w:color="auto"/>
            </w:tcBorders>
            <w:noWrap/>
            <w:hideMark/>
          </w:tcPr>
          <w:p w14:paraId="69DFC0DD"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1.6991</w:t>
            </w:r>
          </w:p>
        </w:tc>
        <w:tc>
          <w:tcPr>
            <w:tcW w:w="1331" w:type="dxa"/>
            <w:tcBorders>
              <w:top w:val="single" w:sz="12" w:space="0" w:color="auto"/>
              <w:left w:val="single" w:sz="12" w:space="0" w:color="auto"/>
              <w:bottom w:val="single" w:sz="12" w:space="0" w:color="auto"/>
              <w:right w:val="single" w:sz="12" w:space="0" w:color="auto"/>
            </w:tcBorders>
            <w:noWrap/>
            <w:hideMark/>
          </w:tcPr>
          <w:p w14:paraId="47F6C3D0"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 </w:t>
            </w:r>
          </w:p>
        </w:tc>
      </w:tr>
      <w:tr w:rsidR="002849EA" w:rsidRPr="000B3F13" w14:paraId="100CB00A"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2F4344F2"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P(T&lt;=t) two-tail</w:t>
            </w:r>
          </w:p>
        </w:tc>
        <w:tc>
          <w:tcPr>
            <w:tcW w:w="1586" w:type="dxa"/>
            <w:tcBorders>
              <w:top w:val="single" w:sz="12" w:space="0" w:color="auto"/>
              <w:left w:val="single" w:sz="12" w:space="0" w:color="auto"/>
              <w:bottom w:val="single" w:sz="12" w:space="0" w:color="auto"/>
              <w:right w:val="single" w:sz="12" w:space="0" w:color="auto"/>
            </w:tcBorders>
            <w:noWrap/>
            <w:hideMark/>
          </w:tcPr>
          <w:p w14:paraId="42B8B3DB"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0.0002</w:t>
            </w:r>
          </w:p>
        </w:tc>
        <w:tc>
          <w:tcPr>
            <w:tcW w:w="1331" w:type="dxa"/>
            <w:tcBorders>
              <w:top w:val="single" w:sz="12" w:space="0" w:color="auto"/>
              <w:left w:val="single" w:sz="12" w:space="0" w:color="auto"/>
              <w:bottom w:val="single" w:sz="12" w:space="0" w:color="auto"/>
              <w:right w:val="single" w:sz="12" w:space="0" w:color="auto"/>
            </w:tcBorders>
            <w:noWrap/>
            <w:hideMark/>
          </w:tcPr>
          <w:p w14:paraId="42D8BE63"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 </w:t>
            </w:r>
          </w:p>
        </w:tc>
      </w:tr>
      <w:tr w:rsidR="002849EA" w:rsidRPr="000B3F13" w14:paraId="4A39D677" w14:textId="77777777" w:rsidTr="001A5178">
        <w:trPr>
          <w:trHeight w:val="238"/>
        </w:trPr>
        <w:tc>
          <w:tcPr>
            <w:tcW w:w="1885" w:type="dxa"/>
            <w:tcBorders>
              <w:top w:val="single" w:sz="12" w:space="0" w:color="auto"/>
              <w:left w:val="single" w:sz="12" w:space="0" w:color="auto"/>
              <w:bottom w:val="single" w:sz="12" w:space="0" w:color="auto"/>
              <w:right w:val="single" w:sz="12" w:space="0" w:color="auto"/>
            </w:tcBorders>
            <w:noWrap/>
            <w:hideMark/>
          </w:tcPr>
          <w:p w14:paraId="51CA1B77"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t Critical two-tail</w:t>
            </w:r>
          </w:p>
        </w:tc>
        <w:tc>
          <w:tcPr>
            <w:tcW w:w="1586" w:type="dxa"/>
            <w:tcBorders>
              <w:top w:val="single" w:sz="12" w:space="0" w:color="auto"/>
              <w:left w:val="single" w:sz="12" w:space="0" w:color="auto"/>
              <w:bottom w:val="single" w:sz="12" w:space="0" w:color="auto"/>
              <w:right w:val="single" w:sz="12" w:space="0" w:color="auto"/>
            </w:tcBorders>
            <w:noWrap/>
            <w:hideMark/>
          </w:tcPr>
          <w:p w14:paraId="518C8809" w14:textId="77777777" w:rsidR="002849EA" w:rsidRPr="000B3F13" w:rsidRDefault="002849EA" w:rsidP="00300DC5">
            <w:pPr>
              <w:jc w:val="center"/>
              <w:rPr>
                <w:rFonts w:ascii="Times New Roman" w:hAnsi="Times New Roman" w:cs="Times New Roman"/>
                <w:bCs/>
                <w:kern w:val="28"/>
                <w:sz w:val="24"/>
                <w:szCs w:val="24"/>
              </w:rPr>
            </w:pPr>
            <w:r w:rsidRPr="000B3F13">
              <w:rPr>
                <w:rFonts w:ascii="Times New Roman" w:hAnsi="Times New Roman" w:cs="Times New Roman"/>
                <w:bCs/>
                <w:kern w:val="28"/>
                <w:sz w:val="24"/>
                <w:szCs w:val="24"/>
              </w:rPr>
              <w:t>2.0452</w:t>
            </w:r>
          </w:p>
        </w:tc>
        <w:tc>
          <w:tcPr>
            <w:tcW w:w="1331" w:type="dxa"/>
            <w:tcBorders>
              <w:top w:val="single" w:sz="12" w:space="0" w:color="auto"/>
              <w:left w:val="single" w:sz="12" w:space="0" w:color="auto"/>
              <w:bottom w:val="single" w:sz="12" w:space="0" w:color="auto"/>
              <w:right w:val="single" w:sz="12" w:space="0" w:color="auto"/>
            </w:tcBorders>
            <w:noWrap/>
            <w:hideMark/>
          </w:tcPr>
          <w:p w14:paraId="174B9903" w14:textId="77777777" w:rsidR="002849EA" w:rsidRPr="000B3F13" w:rsidRDefault="002849EA" w:rsidP="00300DC5">
            <w:pPr>
              <w:rPr>
                <w:rFonts w:ascii="Times New Roman" w:hAnsi="Times New Roman" w:cs="Times New Roman"/>
                <w:bCs/>
                <w:kern w:val="28"/>
                <w:sz w:val="24"/>
                <w:szCs w:val="24"/>
              </w:rPr>
            </w:pPr>
            <w:r w:rsidRPr="000B3F13">
              <w:rPr>
                <w:rFonts w:ascii="Times New Roman" w:hAnsi="Times New Roman" w:cs="Times New Roman"/>
                <w:bCs/>
                <w:kern w:val="28"/>
                <w:sz w:val="24"/>
                <w:szCs w:val="24"/>
              </w:rPr>
              <w:t> </w:t>
            </w:r>
          </w:p>
        </w:tc>
      </w:tr>
    </w:tbl>
    <w:p w14:paraId="27E56CEC" w14:textId="77777777" w:rsidR="002849EA" w:rsidRDefault="002849EA" w:rsidP="002849EA">
      <w:pPr>
        <w:rPr>
          <w:rFonts w:ascii="Times New Roman" w:hAnsi="Times New Roman" w:cs="Times New Roman"/>
          <w:bCs/>
          <w:kern w:val="28"/>
          <w:sz w:val="24"/>
          <w:szCs w:val="24"/>
        </w:rPr>
      </w:pPr>
    </w:p>
    <w:p w14:paraId="27905D79" w14:textId="77777777" w:rsidR="002849EA" w:rsidRPr="007D100F" w:rsidRDefault="002849EA" w:rsidP="002849EA">
      <w:pPr>
        <w:rPr>
          <w:rFonts w:ascii="Times New Roman" w:hAnsi="Times New Roman" w:cs="Times New Roman"/>
          <w:bCs/>
          <w:kern w:val="28"/>
          <w:sz w:val="28"/>
          <w:szCs w:val="28"/>
        </w:rPr>
      </w:pPr>
      <w:r w:rsidRPr="007D100F">
        <w:rPr>
          <w:rFonts w:ascii="Times New Roman" w:hAnsi="Times New Roman" w:cs="Times New Roman"/>
          <w:b/>
          <w:kern w:val="28"/>
          <w:sz w:val="28"/>
          <w:szCs w:val="28"/>
        </w:rPr>
        <w:t xml:space="preserve">Hypothesis Statement: </w:t>
      </w:r>
    </w:p>
    <w:p w14:paraId="685EA639" w14:textId="77777777" w:rsidR="002849EA" w:rsidRPr="000B3F13"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H0: There is no significant difference in the mean option prices calculated by Black-Scholes and Monte Carlo Simulation.</w:t>
      </w:r>
    </w:p>
    <w:p w14:paraId="121BCC8D" w14:textId="77777777" w:rsidR="002849EA" w:rsidRPr="000B3F13"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H1: There is a significant difference in the mean option prices calculated by Black-Scholes and Monte Carlo Simulation.</w:t>
      </w:r>
    </w:p>
    <w:p w14:paraId="4F82E9A8" w14:textId="77777777" w:rsidR="002849EA" w:rsidRPr="007D100F" w:rsidRDefault="002849EA" w:rsidP="002849EA">
      <w:pPr>
        <w:spacing w:line="360" w:lineRule="auto"/>
        <w:jc w:val="both"/>
        <w:rPr>
          <w:rFonts w:ascii="Times New Roman" w:hAnsi="Times New Roman" w:cs="Times New Roman"/>
          <w:b/>
          <w:kern w:val="28"/>
          <w:sz w:val="28"/>
          <w:szCs w:val="28"/>
        </w:rPr>
      </w:pPr>
      <w:r w:rsidRPr="007D100F">
        <w:rPr>
          <w:rFonts w:ascii="Times New Roman" w:hAnsi="Times New Roman" w:cs="Times New Roman"/>
          <w:b/>
          <w:kern w:val="28"/>
          <w:sz w:val="28"/>
          <w:szCs w:val="28"/>
        </w:rPr>
        <w:t>Analysis:</w:t>
      </w:r>
    </w:p>
    <w:p w14:paraId="6C4AA0DA" w14:textId="77777777" w:rsidR="002849EA" w:rsidRDefault="002849EA" w:rsidP="002849EA">
      <w:pPr>
        <w:spacing w:line="360" w:lineRule="auto"/>
        <w:jc w:val="both"/>
        <w:rPr>
          <w:rFonts w:ascii="Times New Roman" w:hAnsi="Times New Roman" w:cs="Times New Roman"/>
          <w:bCs/>
          <w:kern w:val="28"/>
          <w:sz w:val="24"/>
          <w:szCs w:val="24"/>
        </w:rPr>
      </w:pPr>
      <w:r>
        <w:rPr>
          <w:rFonts w:ascii="Times New Roman" w:hAnsi="Times New Roman" w:cs="Times New Roman"/>
          <w:bCs/>
          <w:kern w:val="28"/>
          <w:sz w:val="24"/>
          <w:szCs w:val="24"/>
        </w:rPr>
        <w:t xml:space="preserve">The P value for a one-tailed test = 0.0001 and P value for a two tailed test = 0.002 which is less than 0.05, indicating a very strong statistical significance. This means that we reject H0 and accept H1, that is, </w:t>
      </w:r>
      <w:r w:rsidRPr="000B3F13">
        <w:rPr>
          <w:rFonts w:ascii="Times New Roman" w:hAnsi="Times New Roman" w:cs="Times New Roman"/>
          <w:bCs/>
          <w:kern w:val="28"/>
          <w:sz w:val="24"/>
          <w:szCs w:val="24"/>
        </w:rPr>
        <w:t>there is a significant difference in the mean option prices calculated by Black-Scholes and Monte Carlo Simulation.</w:t>
      </w:r>
    </w:p>
    <w:p w14:paraId="0609CEB3" w14:textId="77777777" w:rsidR="002849EA" w:rsidRDefault="002849EA" w:rsidP="002849EA">
      <w:pPr>
        <w:spacing w:line="360" w:lineRule="auto"/>
        <w:jc w:val="both"/>
        <w:rPr>
          <w:rFonts w:ascii="Times New Roman" w:hAnsi="Times New Roman" w:cs="Times New Roman"/>
          <w:bCs/>
          <w:kern w:val="28"/>
          <w:sz w:val="24"/>
          <w:szCs w:val="24"/>
        </w:rPr>
      </w:pPr>
      <w:r>
        <w:rPr>
          <w:rFonts w:ascii="Times New Roman" w:hAnsi="Times New Roman" w:cs="Times New Roman"/>
          <w:bCs/>
          <w:kern w:val="28"/>
          <w:sz w:val="24"/>
          <w:szCs w:val="24"/>
        </w:rPr>
        <w:t xml:space="preserve">The positive t-statistics = 4.2226 suggests that the mean option price from Monte Carlo Simulation is </w:t>
      </w:r>
      <w:r>
        <w:rPr>
          <w:rFonts w:ascii="Times New Roman" w:hAnsi="Times New Roman" w:cs="Times New Roman"/>
          <w:bCs/>
          <w:kern w:val="28"/>
          <w:sz w:val="24"/>
          <w:szCs w:val="24"/>
        </w:rPr>
        <w:lastRenderedPageBreak/>
        <w:t>likely higher than the mean price from the Black Scholes Model.</w:t>
      </w:r>
    </w:p>
    <w:p w14:paraId="1D079AEB" w14:textId="6E6BF709" w:rsidR="002849EA" w:rsidRPr="00937CD0" w:rsidRDefault="002849EA" w:rsidP="002849EA">
      <w:pPr>
        <w:spacing w:line="360" w:lineRule="auto"/>
        <w:jc w:val="both"/>
        <w:rPr>
          <w:rFonts w:ascii="Times New Roman" w:hAnsi="Times New Roman" w:cs="Times New Roman"/>
          <w:bCs/>
          <w:kern w:val="28"/>
          <w:sz w:val="24"/>
          <w:szCs w:val="24"/>
        </w:rPr>
      </w:pPr>
      <w:r>
        <w:rPr>
          <w:rFonts w:ascii="Times New Roman" w:hAnsi="Times New Roman" w:cs="Times New Roman"/>
          <w:bCs/>
          <w:kern w:val="28"/>
          <w:sz w:val="24"/>
          <w:szCs w:val="24"/>
        </w:rPr>
        <w:t>Therefore, Alternative hypothesis is accepted, stating there is a significant difference in the mean option prices calculated by Black Scholes and Monte Carlo Simulation.</w:t>
      </w:r>
    </w:p>
    <w:p w14:paraId="07BC1769" w14:textId="5009A4E4" w:rsidR="002849EA" w:rsidRPr="002849EA" w:rsidRDefault="002849EA" w:rsidP="002849EA">
      <w:pPr>
        <w:spacing w:line="360" w:lineRule="auto"/>
        <w:jc w:val="both"/>
        <w:rPr>
          <w:rFonts w:ascii="Times New Roman" w:hAnsi="Times New Roman" w:cs="Times New Roman"/>
          <w:bCs/>
          <w:kern w:val="28"/>
          <w:sz w:val="24"/>
          <w:szCs w:val="24"/>
        </w:rPr>
      </w:pPr>
      <w:r w:rsidRPr="002849EA">
        <w:rPr>
          <w:rFonts w:ascii="Times New Roman" w:hAnsi="Times New Roman" w:cs="Times New Roman"/>
          <w:b/>
          <w:kern w:val="28"/>
          <w:sz w:val="28"/>
          <w:szCs w:val="28"/>
          <w:u w:val="single"/>
        </w:rPr>
        <w:t>Correlation and Regression Testing for Black Scholes Model in comparison to NSE Call Option Price:</w:t>
      </w:r>
    </w:p>
    <w:tbl>
      <w:tblPr>
        <w:tblStyle w:val="TableGrid"/>
        <w:tblW w:w="5179" w:type="dxa"/>
        <w:tblInd w:w="-15" w:type="dxa"/>
        <w:tblLayout w:type="fixed"/>
        <w:tblLook w:val="0000" w:firstRow="0" w:lastRow="0" w:firstColumn="0" w:lastColumn="0" w:noHBand="0" w:noVBand="0"/>
      </w:tblPr>
      <w:tblGrid>
        <w:gridCol w:w="1222"/>
        <w:gridCol w:w="1151"/>
        <w:gridCol w:w="1294"/>
        <w:gridCol w:w="1512"/>
      </w:tblGrid>
      <w:tr w:rsidR="002849EA" w:rsidRPr="000B3F13" w14:paraId="435498AE" w14:textId="77777777" w:rsidTr="00937CD0">
        <w:trPr>
          <w:trHeight w:val="380"/>
        </w:trPr>
        <w:tc>
          <w:tcPr>
            <w:tcW w:w="5179" w:type="dxa"/>
            <w:gridSpan w:val="4"/>
            <w:tcBorders>
              <w:top w:val="single" w:sz="12" w:space="0" w:color="auto"/>
              <w:left w:val="single" w:sz="12" w:space="0" w:color="auto"/>
              <w:right w:val="single" w:sz="12" w:space="0" w:color="auto"/>
            </w:tcBorders>
          </w:tcPr>
          <w:p w14:paraId="55DABB69" w14:textId="77777777" w:rsidR="002849EA" w:rsidRPr="000B3F13" w:rsidRDefault="002849EA" w:rsidP="00300DC5">
            <w:pPr>
              <w:autoSpaceDE w:val="0"/>
              <w:autoSpaceDN w:val="0"/>
              <w:adjustRightInd w:val="0"/>
              <w:spacing w:line="320" w:lineRule="atLeast"/>
              <w:ind w:left="60" w:right="60"/>
              <w:jc w:val="center"/>
              <w:rPr>
                <w:rFonts w:ascii="Times New Roman" w:hAnsi="Times New Roman" w:cs="Times New Roman"/>
                <w:color w:val="000000"/>
                <w:kern w:val="0"/>
                <w:sz w:val="24"/>
                <w:szCs w:val="24"/>
              </w:rPr>
            </w:pPr>
            <w:r w:rsidRPr="000B3F13">
              <w:rPr>
                <w:rFonts w:ascii="Times New Roman" w:hAnsi="Times New Roman" w:cs="Times New Roman"/>
                <w:b/>
                <w:bCs/>
                <w:color w:val="000000"/>
                <w:kern w:val="0"/>
                <w:sz w:val="24"/>
                <w:szCs w:val="24"/>
              </w:rPr>
              <w:t>Correlation</w:t>
            </w:r>
            <w:r>
              <w:rPr>
                <w:rFonts w:ascii="Times New Roman" w:hAnsi="Times New Roman" w:cs="Times New Roman"/>
                <w:b/>
                <w:bCs/>
                <w:color w:val="000000"/>
                <w:kern w:val="0"/>
                <w:sz w:val="24"/>
                <w:szCs w:val="24"/>
              </w:rPr>
              <w:t xml:space="preserve"> Testing Results: -</w:t>
            </w:r>
          </w:p>
        </w:tc>
      </w:tr>
      <w:tr w:rsidR="002849EA" w:rsidRPr="000B3F13" w14:paraId="5482CD8E" w14:textId="77777777" w:rsidTr="00937CD0">
        <w:trPr>
          <w:trHeight w:val="786"/>
        </w:trPr>
        <w:tc>
          <w:tcPr>
            <w:tcW w:w="2373" w:type="dxa"/>
            <w:gridSpan w:val="2"/>
            <w:tcBorders>
              <w:top w:val="single" w:sz="12" w:space="0" w:color="auto"/>
              <w:left w:val="single" w:sz="12" w:space="0" w:color="auto"/>
              <w:bottom w:val="single" w:sz="12" w:space="0" w:color="auto"/>
              <w:right w:val="single" w:sz="12" w:space="0" w:color="auto"/>
            </w:tcBorders>
          </w:tcPr>
          <w:p w14:paraId="1F722B32" w14:textId="77777777" w:rsidR="002849EA" w:rsidRPr="000B3F13" w:rsidRDefault="002849EA" w:rsidP="00300DC5">
            <w:pPr>
              <w:autoSpaceDE w:val="0"/>
              <w:autoSpaceDN w:val="0"/>
              <w:adjustRightInd w:val="0"/>
              <w:rPr>
                <w:rFonts w:ascii="Times New Roman" w:hAnsi="Times New Roman" w:cs="Times New Roman"/>
                <w:b/>
                <w:bCs/>
                <w:kern w:val="0"/>
                <w:sz w:val="24"/>
                <w:szCs w:val="24"/>
              </w:rPr>
            </w:pPr>
            <w:r w:rsidRPr="000B3F13">
              <w:rPr>
                <w:rFonts w:ascii="Times New Roman" w:hAnsi="Times New Roman" w:cs="Times New Roman"/>
                <w:b/>
                <w:bCs/>
                <w:kern w:val="0"/>
                <w:sz w:val="24"/>
                <w:szCs w:val="24"/>
              </w:rPr>
              <w:t>Particulars</w:t>
            </w:r>
          </w:p>
        </w:tc>
        <w:tc>
          <w:tcPr>
            <w:tcW w:w="1294" w:type="dxa"/>
            <w:tcBorders>
              <w:top w:val="single" w:sz="12" w:space="0" w:color="auto"/>
              <w:left w:val="single" w:sz="12" w:space="0" w:color="auto"/>
              <w:bottom w:val="single" w:sz="12" w:space="0" w:color="auto"/>
              <w:right w:val="single" w:sz="12" w:space="0" w:color="auto"/>
            </w:tcBorders>
          </w:tcPr>
          <w:p w14:paraId="79EFEAC9" w14:textId="77777777" w:rsidR="002849EA" w:rsidRPr="000B3F13" w:rsidRDefault="002849EA" w:rsidP="00300DC5">
            <w:pPr>
              <w:autoSpaceDE w:val="0"/>
              <w:autoSpaceDN w:val="0"/>
              <w:adjustRightInd w:val="0"/>
              <w:spacing w:line="320" w:lineRule="atLeast"/>
              <w:ind w:left="60" w:right="60"/>
              <w:jc w:val="center"/>
              <w:rPr>
                <w:rFonts w:ascii="Times New Roman" w:hAnsi="Times New Roman" w:cs="Times New Roman"/>
                <w:b/>
                <w:bCs/>
                <w:color w:val="000000"/>
                <w:kern w:val="0"/>
                <w:sz w:val="24"/>
                <w:szCs w:val="24"/>
              </w:rPr>
            </w:pPr>
            <w:r w:rsidRPr="000B3F13">
              <w:rPr>
                <w:rFonts w:ascii="Times New Roman" w:hAnsi="Times New Roman" w:cs="Times New Roman"/>
                <w:b/>
                <w:bCs/>
                <w:color w:val="000000"/>
                <w:kern w:val="0"/>
                <w:sz w:val="24"/>
                <w:szCs w:val="24"/>
              </w:rPr>
              <w:t>NSE Call Price</w:t>
            </w:r>
          </w:p>
        </w:tc>
        <w:tc>
          <w:tcPr>
            <w:tcW w:w="1511" w:type="dxa"/>
            <w:tcBorders>
              <w:top w:val="single" w:sz="12" w:space="0" w:color="auto"/>
              <w:left w:val="single" w:sz="12" w:space="0" w:color="auto"/>
              <w:bottom w:val="single" w:sz="12" w:space="0" w:color="auto"/>
              <w:right w:val="single" w:sz="12" w:space="0" w:color="auto"/>
            </w:tcBorders>
          </w:tcPr>
          <w:p w14:paraId="040F281F" w14:textId="77777777" w:rsidR="002849EA" w:rsidRPr="000B3F13" w:rsidRDefault="002849EA" w:rsidP="00300DC5">
            <w:pPr>
              <w:autoSpaceDE w:val="0"/>
              <w:autoSpaceDN w:val="0"/>
              <w:adjustRightInd w:val="0"/>
              <w:spacing w:line="320" w:lineRule="atLeast"/>
              <w:ind w:left="60" w:right="60"/>
              <w:jc w:val="center"/>
              <w:rPr>
                <w:rFonts w:ascii="Times New Roman" w:hAnsi="Times New Roman" w:cs="Times New Roman"/>
                <w:b/>
                <w:bCs/>
                <w:color w:val="000000"/>
                <w:kern w:val="0"/>
                <w:sz w:val="24"/>
                <w:szCs w:val="24"/>
              </w:rPr>
            </w:pPr>
            <w:r w:rsidRPr="000B3F13">
              <w:rPr>
                <w:rFonts w:ascii="Times New Roman" w:hAnsi="Times New Roman" w:cs="Times New Roman"/>
                <w:b/>
                <w:bCs/>
                <w:color w:val="000000"/>
                <w:kern w:val="0"/>
                <w:sz w:val="24"/>
                <w:szCs w:val="24"/>
              </w:rPr>
              <w:t>Black Scholes Model Call Price</w:t>
            </w:r>
          </w:p>
        </w:tc>
      </w:tr>
      <w:tr w:rsidR="002849EA" w:rsidRPr="000B3F13" w14:paraId="0EC3E7EF" w14:textId="77777777" w:rsidTr="00937CD0">
        <w:trPr>
          <w:trHeight w:val="380"/>
        </w:trPr>
        <w:tc>
          <w:tcPr>
            <w:tcW w:w="1222" w:type="dxa"/>
            <w:vMerge w:val="restart"/>
            <w:tcBorders>
              <w:top w:val="single" w:sz="12" w:space="0" w:color="auto"/>
              <w:left w:val="single" w:sz="12" w:space="0" w:color="auto"/>
              <w:right w:val="single" w:sz="12" w:space="0" w:color="auto"/>
            </w:tcBorders>
          </w:tcPr>
          <w:p w14:paraId="3914A571" w14:textId="77777777" w:rsidR="002849EA" w:rsidRPr="000B3F13" w:rsidRDefault="002849EA" w:rsidP="00300DC5">
            <w:pPr>
              <w:autoSpaceDE w:val="0"/>
              <w:autoSpaceDN w:val="0"/>
              <w:adjustRightInd w:val="0"/>
              <w:spacing w:line="320" w:lineRule="atLeast"/>
              <w:ind w:left="60" w:right="60"/>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NSE Call Price</w:t>
            </w:r>
          </w:p>
        </w:tc>
        <w:tc>
          <w:tcPr>
            <w:tcW w:w="1151" w:type="dxa"/>
            <w:tcBorders>
              <w:top w:val="single" w:sz="12" w:space="0" w:color="auto"/>
              <w:left w:val="single" w:sz="12" w:space="0" w:color="auto"/>
              <w:bottom w:val="single" w:sz="12" w:space="0" w:color="auto"/>
              <w:right w:val="single" w:sz="12" w:space="0" w:color="auto"/>
            </w:tcBorders>
          </w:tcPr>
          <w:p w14:paraId="681BA642" w14:textId="77777777" w:rsidR="002849EA" w:rsidRPr="000B3F13" w:rsidRDefault="002849EA" w:rsidP="00300DC5">
            <w:pPr>
              <w:autoSpaceDE w:val="0"/>
              <w:autoSpaceDN w:val="0"/>
              <w:adjustRightInd w:val="0"/>
              <w:spacing w:line="320" w:lineRule="atLeast"/>
              <w:ind w:left="60" w:right="60"/>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Pearson Correlation</w:t>
            </w:r>
          </w:p>
        </w:tc>
        <w:tc>
          <w:tcPr>
            <w:tcW w:w="1294" w:type="dxa"/>
            <w:tcBorders>
              <w:top w:val="single" w:sz="12" w:space="0" w:color="auto"/>
              <w:left w:val="single" w:sz="12" w:space="0" w:color="auto"/>
              <w:bottom w:val="single" w:sz="12" w:space="0" w:color="auto"/>
              <w:right w:val="single" w:sz="12" w:space="0" w:color="auto"/>
            </w:tcBorders>
          </w:tcPr>
          <w:p w14:paraId="07C61363"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1</w:t>
            </w:r>
          </w:p>
        </w:tc>
        <w:tc>
          <w:tcPr>
            <w:tcW w:w="1511" w:type="dxa"/>
            <w:tcBorders>
              <w:top w:val="single" w:sz="12" w:space="0" w:color="auto"/>
              <w:left w:val="single" w:sz="12" w:space="0" w:color="auto"/>
              <w:bottom w:val="single" w:sz="12" w:space="0" w:color="auto"/>
              <w:right w:val="single" w:sz="12" w:space="0" w:color="auto"/>
            </w:tcBorders>
          </w:tcPr>
          <w:p w14:paraId="54E27589"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0.997</w:t>
            </w:r>
          </w:p>
        </w:tc>
      </w:tr>
      <w:tr w:rsidR="002849EA" w:rsidRPr="000B3F13" w14:paraId="1983DDC9" w14:textId="77777777" w:rsidTr="00937CD0">
        <w:trPr>
          <w:trHeight w:val="170"/>
        </w:trPr>
        <w:tc>
          <w:tcPr>
            <w:tcW w:w="1222" w:type="dxa"/>
            <w:vMerge/>
            <w:tcBorders>
              <w:left w:val="single" w:sz="12" w:space="0" w:color="auto"/>
              <w:right w:val="single" w:sz="12" w:space="0" w:color="auto"/>
            </w:tcBorders>
          </w:tcPr>
          <w:p w14:paraId="0CA5632A" w14:textId="77777777" w:rsidR="002849EA" w:rsidRPr="000B3F13" w:rsidRDefault="002849EA" w:rsidP="00300DC5">
            <w:pPr>
              <w:autoSpaceDE w:val="0"/>
              <w:autoSpaceDN w:val="0"/>
              <w:adjustRightInd w:val="0"/>
              <w:rPr>
                <w:rFonts w:ascii="Times New Roman" w:hAnsi="Times New Roman" w:cs="Times New Roman"/>
                <w:color w:val="000000"/>
                <w:kern w:val="0"/>
                <w:sz w:val="24"/>
                <w:szCs w:val="24"/>
              </w:rPr>
            </w:pPr>
          </w:p>
        </w:tc>
        <w:tc>
          <w:tcPr>
            <w:tcW w:w="1151" w:type="dxa"/>
            <w:tcBorders>
              <w:top w:val="single" w:sz="12" w:space="0" w:color="auto"/>
              <w:left w:val="single" w:sz="12" w:space="0" w:color="auto"/>
              <w:bottom w:val="single" w:sz="12" w:space="0" w:color="auto"/>
              <w:right w:val="single" w:sz="12" w:space="0" w:color="auto"/>
            </w:tcBorders>
          </w:tcPr>
          <w:p w14:paraId="3FDA0398" w14:textId="77777777" w:rsidR="002849EA" w:rsidRPr="000B3F13" w:rsidRDefault="002849EA" w:rsidP="00300DC5">
            <w:pPr>
              <w:autoSpaceDE w:val="0"/>
              <w:autoSpaceDN w:val="0"/>
              <w:adjustRightInd w:val="0"/>
              <w:spacing w:line="320" w:lineRule="atLeast"/>
              <w:ind w:left="60" w:right="60"/>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Sig. (2-tailed)</w:t>
            </w:r>
          </w:p>
        </w:tc>
        <w:tc>
          <w:tcPr>
            <w:tcW w:w="1294" w:type="dxa"/>
            <w:tcBorders>
              <w:top w:val="single" w:sz="12" w:space="0" w:color="auto"/>
              <w:left w:val="single" w:sz="12" w:space="0" w:color="auto"/>
              <w:bottom w:val="single" w:sz="12" w:space="0" w:color="auto"/>
              <w:right w:val="single" w:sz="12" w:space="0" w:color="auto"/>
            </w:tcBorders>
          </w:tcPr>
          <w:p w14:paraId="29C8C70C" w14:textId="77777777" w:rsidR="002849EA" w:rsidRPr="000B3F13" w:rsidRDefault="002849EA" w:rsidP="00300DC5">
            <w:pPr>
              <w:autoSpaceDE w:val="0"/>
              <w:autoSpaceDN w:val="0"/>
              <w:adjustRightInd w:val="0"/>
              <w:rPr>
                <w:rFonts w:ascii="Times New Roman" w:hAnsi="Times New Roman" w:cs="Times New Roman"/>
                <w:kern w:val="0"/>
                <w:sz w:val="24"/>
                <w:szCs w:val="24"/>
              </w:rPr>
            </w:pPr>
          </w:p>
        </w:tc>
        <w:tc>
          <w:tcPr>
            <w:tcW w:w="1511" w:type="dxa"/>
            <w:tcBorders>
              <w:top w:val="single" w:sz="12" w:space="0" w:color="auto"/>
              <w:left w:val="single" w:sz="12" w:space="0" w:color="auto"/>
              <w:bottom w:val="single" w:sz="12" w:space="0" w:color="auto"/>
              <w:right w:val="single" w:sz="12" w:space="0" w:color="auto"/>
            </w:tcBorders>
          </w:tcPr>
          <w:p w14:paraId="1688CF42"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0.000</w:t>
            </w:r>
          </w:p>
        </w:tc>
      </w:tr>
      <w:tr w:rsidR="002849EA" w:rsidRPr="000B3F13" w14:paraId="39396A4C" w14:textId="77777777" w:rsidTr="00937CD0">
        <w:trPr>
          <w:trHeight w:val="170"/>
        </w:trPr>
        <w:tc>
          <w:tcPr>
            <w:tcW w:w="1222" w:type="dxa"/>
            <w:vMerge/>
            <w:tcBorders>
              <w:left w:val="single" w:sz="12" w:space="0" w:color="auto"/>
              <w:bottom w:val="single" w:sz="12" w:space="0" w:color="auto"/>
              <w:right w:val="single" w:sz="12" w:space="0" w:color="auto"/>
            </w:tcBorders>
          </w:tcPr>
          <w:p w14:paraId="72E03472" w14:textId="77777777" w:rsidR="002849EA" w:rsidRPr="000B3F13" w:rsidRDefault="002849EA" w:rsidP="00300DC5">
            <w:pPr>
              <w:autoSpaceDE w:val="0"/>
              <w:autoSpaceDN w:val="0"/>
              <w:adjustRightInd w:val="0"/>
              <w:rPr>
                <w:rFonts w:ascii="Times New Roman" w:hAnsi="Times New Roman" w:cs="Times New Roman"/>
                <w:color w:val="000000"/>
                <w:kern w:val="0"/>
                <w:sz w:val="24"/>
                <w:szCs w:val="24"/>
              </w:rPr>
            </w:pPr>
          </w:p>
        </w:tc>
        <w:tc>
          <w:tcPr>
            <w:tcW w:w="1151" w:type="dxa"/>
            <w:tcBorders>
              <w:top w:val="single" w:sz="12" w:space="0" w:color="auto"/>
              <w:left w:val="single" w:sz="12" w:space="0" w:color="auto"/>
              <w:bottom w:val="single" w:sz="12" w:space="0" w:color="auto"/>
              <w:right w:val="single" w:sz="12" w:space="0" w:color="auto"/>
            </w:tcBorders>
          </w:tcPr>
          <w:p w14:paraId="1E48DDBF" w14:textId="77777777" w:rsidR="002849EA" w:rsidRPr="000B3F13" w:rsidRDefault="002849EA" w:rsidP="00300DC5">
            <w:pPr>
              <w:autoSpaceDE w:val="0"/>
              <w:autoSpaceDN w:val="0"/>
              <w:adjustRightInd w:val="0"/>
              <w:spacing w:line="320" w:lineRule="atLeast"/>
              <w:ind w:left="60" w:right="60"/>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N</w:t>
            </w:r>
          </w:p>
        </w:tc>
        <w:tc>
          <w:tcPr>
            <w:tcW w:w="1294" w:type="dxa"/>
            <w:tcBorders>
              <w:top w:val="single" w:sz="12" w:space="0" w:color="auto"/>
              <w:left w:val="single" w:sz="12" w:space="0" w:color="auto"/>
              <w:bottom w:val="single" w:sz="12" w:space="0" w:color="auto"/>
              <w:right w:val="single" w:sz="12" w:space="0" w:color="auto"/>
            </w:tcBorders>
          </w:tcPr>
          <w:p w14:paraId="6C6FA441"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30</w:t>
            </w:r>
          </w:p>
        </w:tc>
        <w:tc>
          <w:tcPr>
            <w:tcW w:w="1511" w:type="dxa"/>
            <w:tcBorders>
              <w:top w:val="single" w:sz="12" w:space="0" w:color="auto"/>
              <w:left w:val="single" w:sz="12" w:space="0" w:color="auto"/>
              <w:bottom w:val="single" w:sz="12" w:space="0" w:color="auto"/>
              <w:right w:val="single" w:sz="12" w:space="0" w:color="auto"/>
            </w:tcBorders>
          </w:tcPr>
          <w:p w14:paraId="11FD307A"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30</w:t>
            </w:r>
          </w:p>
        </w:tc>
      </w:tr>
      <w:tr w:rsidR="002849EA" w:rsidRPr="000B3F13" w14:paraId="6B5956CF" w14:textId="77777777" w:rsidTr="00937CD0">
        <w:trPr>
          <w:trHeight w:val="380"/>
        </w:trPr>
        <w:tc>
          <w:tcPr>
            <w:tcW w:w="1222" w:type="dxa"/>
            <w:vMerge w:val="restart"/>
            <w:tcBorders>
              <w:top w:val="single" w:sz="12" w:space="0" w:color="auto"/>
              <w:left w:val="single" w:sz="12" w:space="0" w:color="auto"/>
              <w:right w:val="single" w:sz="12" w:space="0" w:color="auto"/>
            </w:tcBorders>
          </w:tcPr>
          <w:p w14:paraId="6AAFC55E" w14:textId="77777777" w:rsidR="002849EA" w:rsidRPr="000B3F13" w:rsidRDefault="002849EA" w:rsidP="00300DC5">
            <w:pPr>
              <w:autoSpaceDE w:val="0"/>
              <w:autoSpaceDN w:val="0"/>
              <w:adjustRightInd w:val="0"/>
              <w:spacing w:line="320" w:lineRule="atLeast"/>
              <w:ind w:left="60" w:right="60"/>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Black Scholes Model Call Price</w:t>
            </w:r>
          </w:p>
        </w:tc>
        <w:tc>
          <w:tcPr>
            <w:tcW w:w="1151" w:type="dxa"/>
            <w:tcBorders>
              <w:top w:val="single" w:sz="12" w:space="0" w:color="auto"/>
              <w:left w:val="single" w:sz="12" w:space="0" w:color="auto"/>
              <w:bottom w:val="single" w:sz="12" w:space="0" w:color="auto"/>
              <w:right w:val="single" w:sz="12" w:space="0" w:color="auto"/>
            </w:tcBorders>
          </w:tcPr>
          <w:p w14:paraId="7433863B" w14:textId="77777777" w:rsidR="002849EA" w:rsidRPr="000B3F13" w:rsidRDefault="002849EA" w:rsidP="00300DC5">
            <w:pPr>
              <w:autoSpaceDE w:val="0"/>
              <w:autoSpaceDN w:val="0"/>
              <w:adjustRightInd w:val="0"/>
              <w:spacing w:line="320" w:lineRule="atLeast"/>
              <w:ind w:left="60" w:right="60"/>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Pearson Correlation</w:t>
            </w:r>
          </w:p>
        </w:tc>
        <w:tc>
          <w:tcPr>
            <w:tcW w:w="1294" w:type="dxa"/>
            <w:tcBorders>
              <w:top w:val="single" w:sz="12" w:space="0" w:color="auto"/>
              <w:left w:val="single" w:sz="12" w:space="0" w:color="auto"/>
              <w:bottom w:val="single" w:sz="12" w:space="0" w:color="auto"/>
              <w:right w:val="single" w:sz="12" w:space="0" w:color="auto"/>
            </w:tcBorders>
          </w:tcPr>
          <w:p w14:paraId="77B17287"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0.997</w:t>
            </w:r>
          </w:p>
        </w:tc>
        <w:tc>
          <w:tcPr>
            <w:tcW w:w="1511" w:type="dxa"/>
            <w:tcBorders>
              <w:top w:val="single" w:sz="12" w:space="0" w:color="auto"/>
              <w:left w:val="single" w:sz="12" w:space="0" w:color="auto"/>
              <w:bottom w:val="single" w:sz="12" w:space="0" w:color="auto"/>
              <w:right w:val="single" w:sz="12" w:space="0" w:color="auto"/>
            </w:tcBorders>
          </w:tcPr>
          <w:p w14:paraId="6D8390DD"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1</w:t>
            </w:r>
          </w:p>
        </w:tc>
      </w:tr>
      <w:tr w:rsidR="002849EA" w:rsidRPr="000B3F13" w14:paraId="6DF39BDC" w14:textId="77777777" w:rsidTr="00937CD0">
        <w:trPr>
          <w:trHeight w:val="170"/>
        </w:trPr>
        <w:tc>
          <w:tcPr>
            <w:tcW w:w="1222" w:type="dxa"/>
            <w:vMerge/>
            <w:tcBorders>
              <w:left w:val="single" w:sz="12" w:space="0" w:color="auto"/>
              <w:right w:val="single" w:sz="12" w:space="0" w:color="auto"/>
            </w:tcBorders>
          </w:tcPr>
          <w:p w14:paraId="5D642C06" w14:textId="77777777" w:rsidR="002849EA" w:rsidRPr="000B3F13" w:rsidRDefault="002849EA" w:rsidP="00300DC5">
            <w:pPr>
              <w:autoSpaceDE w:val="0"/>
              <w:autoSpaceDN w:val="0"/>
              <w:adjustRightInd w:val="0"/>
              <w:rPr>
                <w:rFonts w:ascii="Times New Roman" w:hAnsi="Times New Roman" w:cs="Times New Roman"/>
                <w:color w:val="000000"/>
                <w:kern w:val="0"/>
                <w:sz w:val="24"/>
                <w:szCs w:val="24"/>
              </w:rPr>
            </w:pPr>
          </w:p>
        </w:tc>
        <w:tc>
          <w:tcPr>
            <w:tcW w:w="1151" w:type="dxa"/>
            <w:tcBorders>
              <w:top w:val="single" w:sz="12" w:space="0" w:color="auto"/>
              <w:left w:val="single" w:sz="12" w:space="0" w:color="auto"/>
              <w:bottom w:val="single" w:sz="12" w:space="0" w:color="auto"/>
              <w:right w:val="single" w:sz="12" w:space="0" w:color="auto"/>
            </w:tcBorders>
          </w:tcPr>
          <w:p w14:paraId="66F9C083" w14:textId="77777777" w:rsidR="002849EA" w:rsidRPr="000B3F13" w:rsidRDefault="002849EA" w:rsidP="00300DC5">
            <w:pPr>
              <w:autoSpaceDE w:val="0"/>
              <w:autoSpaceDN w:val="0"/>
              <w:adjustRightInd w:val="0"/>
              <w:spacing w:line="320" w:lineRule="atLeast"/>
              <w:ind w:left="60" w:right="60"/>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Sig. (2-tailed)</w:t>
            </w:r>
          </w:p>
        </w:tc>
        <w:tc>
          <w:tcPr>
            <w:tcW w:w="1294" w:type="dxa"/>
            <w:tcBorders>
              <w:top w:val="single" w:sz="12" w:space="0" w:color="auto"/>
              <w:left w:val="single" w:sz="12" w:space="0" w:color="auto"/>
              <w:bottom w:val="single" w:sz="12" w:space="0" w:color="auto"/>
              <w:right w:val="single" w:sz="12" w:space="0" w:color="auto"/>
            </w:tcBorders>
          </w:tcPr>
          <w:p w14:paraId="165B55BB"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0.000</w:t>
            </w:r>
          </w:p>
        </w:tc>
        <w:tc>
          <w:tcPr>
            <w:tcW w:w="1511" w:type="dxa"/>
            <w:tcBorders>
              <w:top w:val="single" w:sz="12" w:space="0" w:color="auto"/>
              <w:left w:val="single" w:sz="12" w:space="0" w:color="auto"/>
              <w:bottom w:val="single" w:sz="12" w:space="0" w:color="auto"/>
              <w:right w:val="single" w:sz="12" w:space="0" w:color="auto"/>
            </w:tcBorders>
          </w:tcPr>
          <w:p w14:paraId="48F4AF3D" w14:textId="77777777" w:rsidR="002849EA" w:rsidRPr="000B3F13" w:rsidRDefault="002849EA" w:rsidP="00300DC5">
            <w:pPr>
              <w:autoSpaceDE w:val="0"/>
              <w:autoSpaceDN w:val="0"/>
              <w:adjustRightInd w:val="0"/>
              <w:rPr>
                <w:rFonts w:ascii="Times New Roman" w:hAnsi="Times New Roman" w:cs="Times New Roman"/>
                <w:kern w:val="0"/>
                <w:sz w:val="24"/>
                <w:szCs w:val="24"/>
              </w:rPr>
            </w:pPr>
          </w:p>
        </w:tc>
      </w:tr>
      <w:tr w:rsidR="002849EA" w:rsidRPr="000B3F13" w14:paraId="198D67A5" w14:textId="77777777" w:rsidTr="00937CD0">
        <w:trPr>
          <w:trHeight w:val="170"/>
        </w:trPr>
        <w:tc>
          <w:tcPr>
            <w:tcW w:w="1222" w:type="dxa"/>
            <w:vMerge/>
            <w:tcBorders>
              <w:left w:val="single" w:sz="12" w:space="0" w:color="auto"/>
              <w:bottom w:val="single" w:sz="12" w:space="0" w:color="auto"/>
              <w:right w:val="single" w:sz="12" w:space="0" w:color="auto"/>
            </w:tcBorders>
          </w:tcPr>
          <w:p w14:paraId="35AF4BEC" w14:textId="77777777" w:rsidR="002849EA" w:rsidRPr="000B3F13" w:rsidRDefault="002849EA" w:rsidP="00300DC5">
            <w:pPr>
              <w:autoSpaceDE w:val="0"/>
              <w:autoSpaceDN w:val="0"/>
              <w:adjustRightInd w:val="0"/>
              <w:rPr>
                <w:rFonts w:ascii="Times New Roman" w:hAnsi="Times New Roman" w:cs="Times New Roman"/>
                <w:kern w:val="0"/>
                <w:sz w:val="24"/>
                <w:szCs w:val="24"/>
              </w:rPr>
            </w:pPr>
          </w:p>
        </w:tc>
        <w:tc>
          <w:tcPr>
            <w:tcW w:w="1151" w:type="dxa"/>
            <w:tcBorders>
              <w:top w:val="single" w:sz="12" w:space="0" w:color="auto"/>
              <w:left w:val="single" w:sz="12" w:space="0" w:color="auto"/>
              <w:bottom w:val="single" w:sz="12" w:space="0" w:color="auto"/>
              <w:right w:val="single" w:sz="12" w:space="0" w:color="auto"/>
            </w:tcBorders>
          </w:tcPr>
          <w:p w14:paraId="21006019" w14:textId="77777777" w:rsidR="002849EA" w:rsidRPr="000B3F13" w:rsidRDefault="002849EA" w:rsidP="00300DC5">
            <w:pPr>
              <w:autoSpaceDE w:val="0"/>
              <w:autoSpaceDN w:val="0"/>
              <w:adjustRightInd w:val="0"/>
              <w:spacing w:line="320" w:lineRule="atLeast"/>
              <w:ind w:left="60" w:right="60"/>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N</w:t>
            </w:r>
          </w:p>
        </w:tc>
        <w:tc>
          <w:tcPr>
            <w:tcW w:w="1294" w:type="dxa"/>
            <w:tcBorders>
              <w:top w:val="single" w:sz="12" w:space="0" w:color="auto"/>
              <w:left w:val="single" w:sz="12" w:space="0" w:color="auto"/>
              <w:bottom w:val="single" w:sz="12" w:space="0" w:color="auto"/>
              <w:right w:val="single" w:sz="12" w:space="0" w:color="auto"/>
            </w:tcBorders>
          </w:tcPr>
          <w:p w14:paraId="26735DE0"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30</w:t>
            </w:r>
          </w:p>
        </w:tc>
        <w:tc>
          <w:tcPr>
            <w:tcW w:w="1511" w:type="dxa"/>
            <w:tcBorders>
              <w:top w:val="single" w:sz="12" w:space="0" w:color="auto"/>
              <w:left w:val="single" w:sz="12" w:space="0" w:color="auto"/>
              <w:bottom w:val="single" w:sz="12" w:space="0" w:color="auto"/>
              <w:right w:val="single" w:sz="12" w:space="0" w:color="auto"/>
            </w:tcBorders>
          </w:tcPr>
          <w:p w14:paraId="32E51618" w14:textId="77777777" w:rsidR="002849EA" w:rsidRPr="000B3F13" w:rsidRDefault="002849EA" w:rsidP="00300DC5">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0B3F13">
              <w:rPr>
                <w:rFonts w:ascii="Times New Roman" w:hAnsi="Times New Roman" w:cs="Times New Roman"/>
                <w:color w:val="000000"/>
                <w:kern w:val="0"/>
                <w:sz w:val="24"/>
                <w:szCs w:val="24"/>
              </w:rPr>
              <w:t>30</w:t>
            </w:r>
          </w:p>
        </w:tc>
      </w:tr>
    </w:tbl>
    <w:p w14:paraId="60CDDF02" w14:textId="77777777" w:rsidR="002849EA" w:rsidRDefault="002849EA" w:rsidP="002849EA">
      <w:pPr>
        <w:spacing w:line="360" w:lineRule="auto"/>
        <w:jc w:val="both"/>
        <w:rPr>
          <w:rFonts w:ascii="Times New Roman" w:hAnsi="Times New Roman" w:cs="Times New Roman"/>
          <w:b/>
          <w:kern w:val="28"/>
          <w:sz w:val="24"/>
          <w:szCs w:val="24"/>
        </w:rPr>
      </w:pPr>
    </w:p>
    <w:p w14:paraId="54F14729" w14:textId="77777777" w:rsidR="002849EA" w:rsidRPr="007D100F" w:rsidRDefault="002849EA" w:rsidP="002849EA">
      <w:pPr>
        <w:spacing w:line="360" w:lineRule="auto"/>
        <w:jc w:val="both"/>
        <w:rPr>
          <w:rFonts w:ascii="Times New Roman" w:hAnsi="Times New Roman" w:cs="Times New Roman"/>
          <w:b/>
          <w:kern w:val="28"/>
          <w:sz w:val="28"/>
          <w:szCs w:val="28"/>
        </w:rPr>
      </w:pPr>
      <w:r w:rsidRPr="007D100F">
        <w:rPr>
          <w:rFonts w:ascii="Times New Roman" w:hAnsi="Times New Roman" w:cs="Times New Roman"/>
          <w:b/>
          <w:kern w:val="28"/>
          <w:sz w:val="28"/>
          <w:szCs w:val="28"/>
        </w:rPr>
        <w:t>Hypothesis Statement:</w:t>
      </w:r>
    </w:p>
    <w:p w14:paraId="4743DE44" w14:textId="77777777" w:rsidR="002849EA" w:rsidRPr="000B3F13"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H0: There is no correlation between Black-Scholes predicted option prices and NSE observed option prices.</w:t>
      </w:r>
    </w:p>
    <w:p w14:paraId="11B29F89" w14:textId="77777777" w:rsidR="002849EA"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H2: There is a correlation between Black-Scholes predicted option prices and NSE observed option prices.</w:t>
      </w:r>
    </w:p>
    <w:p w14:paraId="0C9F1387" w14:textId="77777777" w:rsidR="002849EA" w:rsidRPr="007D100F" w:rsidRDefault="002849EA" w:rsidP="002849EA">
      <w:pPr>
        <w:spacing w:line="360" w:lineRule="auto"/>
        <w:jc w:val="both"/>
        <w:rPr>
          <w:rFonts w:ascii="Times New Roman" w:hAnsi="Times New Roman" w:cs="Times New Roman"/>
          <w:b/>
          <w:kern w:val="28"/>
          <w:sz w:val="28"/>
          <w:szCs w:val="28"/>
        </w:rPr>
      </w:pPr>
      <w:r w:rsidRPr="007D100F">
        <w:rPr>
          <w:rFonts w:ascii="Times New Roman" w:hAnsi="Times New Roman" w:cs="Times New Roman"/>
          <w:b/>
          <w:kern w:val="28"/>
          <w:sz w:val="28"/>
          <w:szCs w:val="28"/>
        </w:rPr>
        <w:t>Analysis:</w:t>
      </w:r>
    </w:p>
    <w:p w14:paraId="4DBCE3D4" w14:textId="77777777" w:rsidR="002849EA" w:rsidRPr="000B3F13"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The sig. value i.e., p value is 0.000 which is less than 0.05 hence we reject H0 and accept H2, therefore there is a correlation between Black-Scholes predicted option prices and NSE observed option prices.</w:t>
      </w:r>
    </w:p>
    <w:p w14:paraId="627D2849" w14:textId="77777777" w:rsidR="002849EA"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 xml:space="preserve">R value = 0.997; </w:t>
      </w:r>
    </w:p>
    <w:p w14:paraId="767F646A" w14:textId="77777777" w:rsidR="002849EA"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So, there exists a strong uphill positive correlation.</w:t>
      </w:r>
    </w:p>
    <w:tbl>
      <w:tblPr>
        <w:tblStyle w:val="TableGrid"/>
        <w:tblpPr w:leftFromText="180" w:rightFromText="180" w:vertAnchor="text" w:horzAnchor="page" w:tblpX="6440" w:tblpY="1709"/>
        <w:tblW w:w="4722" w:type="dxa"/>
        <w:tblLayout w:type="fixed"/>
        <w:tblLook w:val="0000" w:firstRow="0" w:lastRow="0" w:firstColumn="0" w:lastColumn="0" w:noHBand="0" w:noVBand="0"/>
      </w:tblPr>
      <w:tblGrid>
        <w:gridCol w:w="1378"/>
        <w:gridCol w:w="1114"/>
        <w:gridCol w:w="1254"/>
        <w:gridCol w:w="976"/>
      </w:tblGrid>
      <w:tr w:rsidR="00937CD0" w:rsidRPr="000B3F13" w14:paraId="6E2873A3" w14:textId="77777777" w:rsidTr="008F6275">
        <w:trPr>
          <w:trHeight w:val="122"/>
        </w:trPr>
        <w:tc>
          <w:tcPr>
            <w:tcW w:w="4722" w:type="dxa"/>
            <w:gridSpan w:val="4"/>
            <w:tcBorders>
              <w:top w:val="single" w:sz="12" w:space="0" w:color="auto"/>
              <w:left w:val="single" w:sz="12" w:space="0" w:color="auto"/>
              <w:right w:val="single" w:sz="12" w:space="0" w:color="auto"/>
            </w:tcBorders>
          </w:tcPr>
          <w:p w14:paraId="7A38BFF1" w14:textId="77777777" w:rsidR="00937CD0" w:rsidRPr="00937CD0" w:rsidRDefault="00937CD0" w:rsidP="00937CD0">
            <w:pPr>
              <w:autoSpaceDE w:val="0"/>
              <w:autoSpaceDN w:val="0"/>
              <w:adjustRightInd w:val="0"/>
              <w:spacing w:line="320" w:lineRule="atLeast"/>
              <w:ind w:left="60" w:right="60"/>
              <w:jc w:val="center"/>
              <w:rPr>
                <w:rFonts w:ascii="Times New Roman" w:hAnsi="Times New Roman" w:cs="Times New Roman"/>
                <w:color w:val="000000"/>
                <w:kern w:val="0"/>
                <w:sz w:val="24"/>
                <w:szCs w:val="24"/>
              </w:rPr>
            </w:pPr>
            <w:r w:rsidRPr="00937CD0">
              <w:rPr>
                <w:rFonts w:ascii="Times New Roman" w:hAnsi="Times New Roman" w:cs="Times New Roman"/>
                <w:b/>
                <w:bCs/>
                <w:color w:val="000000"/>
                <w:kern w:val="0"/>
                <w:sz w:val="24"/>
                <w:szCs w:val="24"/>
              </w:rPr>
              <w:t>Regression Testing Results: -</w:t>
            </w:r>
          </w:p>
        </w:tc>
      </w:tr>
      <w:tr w:rsidR="00937CD0" w:rsidRPr="000B3F13" w14:paraId="6A1AE76E" w14:textId="77777777" w:rsidTr="008F6275">
        <w:trPr>
          <w:trHeight w:val="205"/>
        </w:trPr>
        <w:tc>
          <w:tcPr>
            <w:tcW w:w="1378" w:type="dxa"/>
            <w:vMerge w:val="restart"/>
            <w:tcBorders>
              <w:top w:val="single" w:sz="12" w:space="0" w:color="auto"/>
              <w:left w:val="single" w:sz="12" w:space="0" w:color="auto"/>
              <w:right w:val="single" w:sz="12" w:space="0" w:color="auto"/>
            </w:tcBorders>
          </w:tcPr>
          <w:p w14:paraId="20E9346B" w14:textId="77777777" w:rsidR="00937CD0" w:rsidRPr="00937CD0" w:rsidRDefault="00937CD0" w:rsidP="00937CD0">
            <w:pPr>
              <w:autoSpaceDE w:val="0"/>
              <w:autoSpaceDN w:val="0"/>
              <w:adjustRightInd w:val="0"/>
              <w:spacing w:line="320" w:lineRule="atLeast"/>
              <w:ind w:left="60" w:right="60"/>
              <w:rPr>
                <w:rFonts w:ascii="Times New Roman" w:hAnsi="Times New Roman" w:cs="Times New Roman"/>
                <w:b/>
                <w:bCs/>
                <w:color w:val="000000"/>
                <w:kern w:val="0"/>
                <w:sz w:val="24"/>
                <w:szCs w:val="24"/>
              </w:rPr>
            </w:pPr>
            <w:r w:rsidRPr="00937CD0">
              <w:rPr>
                <w:rFonts w:ascii="Times New Roman" w:hAnsi="Times New Roman" w:cs="Times New Roman"/>
                <w:b/>
                <w:bCs/>
                <w:color w:val="000000"/>
                <w:kern w:val="0"/>
                <w:sz w:val="24"/>
                <w:szCs w:val="24"/>
              </w:rPr>
              <w:t>Model</w:t>
            </w:r>
          </w:p>
        </w:tc>
        <w:tc>
          <w:tcPr>
            <w:tcW w:w="1114" w:type="dxa"/>
            <w:tcBorders>
              <w:top w:val="single" w:sz="12" w:space="0" w:color="auto"/>
              <w:left w:val="single" w:sz="12" w:space="0" w:color="auto"/>
              <w:bottom w:val="single" w:sz="12" w:space="0" w:color="auto"/>
              <w:right w:val="single" w:sz="12" w:space="0" w:color="auto"/>
            </w:tcBorders>
          </w:tcPr>
          <w:p w14:paraId="16F1335E" w14:textId="70D71F94" w:rsidR="00937CD0" w:rsidRPr="00937CD0" w:rsidRDefault="008F6275" w:rsidP="00937CD0">
            <w:pPr>
              <w:autoSpaceDE w:val="0"/>
              <w:autoSpaceDN w:val="0"/>
              <w:adjustRightInd w:val="0"/>
              <w:spacing w:line="320" w:lineRule="atLeast"/>
              <w:ind w:left="60" w:right="60"/>
              <w:rPr>
                <w:rFonts w:ascii="Times New Roman" w:hAnsi="Times New Roman" w:cs="Times New Roman"/>
                <w:b/>
                <w:bCs/>
                <w:color w:val="000000"/>
                <w:kern w:val="0"/>
              </w:rPr>
            </w:pPr>
            <w:r w:rsidRPr="00937CD0">
              <w:rPr>
                <w:rFonts w:ascii="Times New Roman" w:hAnsi="Times New Roman" w:cs="Times New Roman"/>
                <w:b/>
                <w:bCs/>
                <w:color w:val="000000"/>
                <w:kern w:val="0"/>
              </w:rPr>
              <w:t>Unstand</w:t>
            </w:r>
            <w:r>
              <w:rPr>
                <w:rFonts w:ascii="Times New Roman" w:hAnsi="Times New Roman" w:cs="Times New Roman"/>
                <w:b/>
                <w:bCs/>
                <w:color w:val="000000"/>
                <w:kern w:val="0"/>
              </w:rPr>
              <w:t>a</w:t>
            </w:r>
            <w:r w:rsidRPr="00937CD0">
              <w:rPr>
                <w:rFonts w:ascii="Times New Roman" w:hAnsi="Times New Roman" w:cs="Times New Roman"/>
                <w:b/>
                <w:bCs/>
                <w:color w:val="000000"/>
                <w:kern w:val="0"/>
              </w:rPr>
              <w:t>rdized</w:t>
            </w:r>
            <w:r w:rsidR="00937CD0" w:rsidRPr="00937CD0">
              <w:rPr>
                <w:rFonts w:ascii="Times New Roman" w:hAnsi="Times New Roman" w:cs="Times New Roman"/>
                <w:b/>
                <w:bCs/>
                <w:color w:val="000000"/>
                <w:kern w:val="0"/>
              </w:rPr>
              <w:t xml:space="preserve"> Coefficients</w:t>
            </w:r>
          </w:p>
        </w:tc>
        <w:tc>
          <w:tcPr>
            <w:tcW w:w="1254" w:type="dxa"/>
            <w:tcBorders>
              <w:top w:val="single" w:sz="12" w:space="0" w:color="auto"/>
              <w:left w:val="single" w:sz="12" w:space="0" w:color="auto"/>
              <w:bottom w:val="single" w:sz="12" w:space="0" w:color="auto"/>
              <w:right w:val="single" w:sz="12" w:space="0" w:color="auto"/>
            </w:tcBorders>
          </w:tcPr>
          <w:p w14:paraId="0B7993C2" w14:textId="77777777" w:rsidR="00937CD0" w:rsidRPr="00937CD0" w:rsidRDefault="00937CD0" w:rsidP="00937CD0">
            <w:pPr>
              <w:autoSpaceDE w:val="0"/>
              <w:autoSpaceDN w:val="0"/>
              <w:adjustRightInd w:val="0"/>
              <w:spacing w:line="320" w:lineRule="atLeast"/>
              <w:ind w:left="60" w:right="60"/>
              <w:jc w:val="center"/>
              <w:rPr>
                <w:rFonts w:ascii="Times New Roman" w:hAnsi="Times New Roman" w:cs="Times New Roman"/>
                <w:b/>
                <w:bCs/>
                <w:color w:val="000000"/>
                <w:kern w:val="0"/>
              </w:rPr>
            </w:pPr>
            <w:r w:rsidRPr="00937CD0">
              <w:rPr>
                <w:rFonts w:ascii="Times New Roman" w:hAnsi="Times New Roman" w:cs="Times New Roman"/>
                <w:b/>
                <w:bCs/>
                <w:color w:val="000000"/>
                <w:kern w:val="0"/>
              </w:rPr>
              <w:t>Standardized Coefficients</w:t>
            </w:r>
          </w:p>
        </w:tc>
        <w:tc>
          <w:tcPr>
            <w:tcW w:w="974" w:type="dxa"/>
            <w:vMerge w:val="restart"/>
            <w:tcBorders>
              <w:top w:val="single" w:sz="12" w:space="0" w:color="auto"/>
              <w:left w:val="single" w:sz="12" w:space="0" w:color="auto"/>
              <w:right w:val="single" w:sz="12" w:space="0" w:color="auto"/>
            </w:tcBorders>
          </w:tcPr>
          <w:p w14:paraId="20FB7742" w14:textId="77777777" w:rsidR="00937CD0" w:rsidRPr="00937CD0" w:rsidRDefault="00937CD0" w:rsidP="00937CD0">
            <w:pPr>
              <w:autoSpaceDE w:val="0"/>
              <w:autoSpaceDN w:val="0"/>
              <w:adjustRightInd w:val="0"/>
              <w:spacing w:line="320" w:lineRule="atLeast"/>
              <w:ind w:left="60" w:right="60"/>
              <w:jc w:val="center"/>
              <w:rPr>
                <w:rFonts w:ascii="Times New Roman" w:hAnsi="Times New Roman" w:cs="Times New Roman"/>
                <w:b/>
                <w:bCs/>
                <w:color w:val="000000"/>
                <w:kern w:val="0"/>
                <w:sz w:val="24"/>
                <w:szCs w:val="24"/>
              </w:rPr>
            </w:pPr>
            <w:r w:rsidRPr="00937CD0">
              <w:rPr>
                <w:rFonts w:ascii="Times New Roman" w:hAnsi="Times New Roman" w:cs="Times New Roman"/>
                <w:b/>
                <w:bCs/>
                <w:color w:val="000000"/>
                <w:kern w:val="0"/>
                <w:sz w:val="24"/>
                <w:szCs w:val="24"/>
              </w:rPr>
              <w:t>Sig.</w:t>
            </w:r>
          </w:p>
        </w:tc>
      </w:tr>
      <w:tr w:rsidR="00937CD0" w:rsidRPr="000B3F13" w14:paraId="3C3A5F77" w14:textId="77777777" w:rsidTr="008F6275">
        <w:trPr>
          <w:trHeight w:val="121"/>
        </w:trPr>
        <w:tc>
          <w:tcPr>
            <w:tcW w:w="1378" w:type="dxa"/>
            <w:vMerge/>
            <w:tcBorders>
              <w:left w:val="single" w:sz="12" w:space="0" w:color="auto"/>
              <w:bottom w:val="single" w:sz="12" w:space="0" w:color="auto"/>
              <w:right w:val="single" w:sz="12" w:space="0" w:color="auto"/>
            </w:tcBorders>
          </w:tcPr>
          <w:p w14:paraId="252D599A" w14:textId="77777777" w:rsidR="00937CD0" w:rsidRPr="00937CD0" w:rsidRDefault="00937CD0" w:rsidP="00937CD0">
            <w:pPr>
              <w:autoSpaceDE w:val="0"/>
              <w:autoSpaceDN w:val="0"/>
              <w:adjustRightInd w:val="0"/>
              <w:rPr>
                <w:rFonts w:ascii="Times New Roman" w:hAnsi="Times New Roman" w:cs="Times New Roman"/>
                <w:b/>
                <w:bCs/>
                <w:color w:val="000000"/>
                <w:kern w:val="0"/>
                <w:sz w:val="24"/>
                <w:szCs w:val="24"/>
              </w:rPr>
            </w:pPr>
          </w:p>
        </w:tc>
        <w:tc>
          <w:tcPr>
            <w:tcW w:w="1114" w:type="dxa"/>
            <w:tcBorders>
              <w:top w:val="single" w:sz="12" w:space="0" w:color="auto"/>
              <w:left w:val="single" w:sz="12" w:space="0" w:color="auto"/>
              <w:bottom w:val="single" w:sz="12" w:space="0" w:color="auto"/>
              <w:right w:val="single" w:sz="12" w:space="0" w:color="auto"/>
            </w:tcBorders>
          </w:tcPr>
          <w:p w14:paraId="57D33F56" w14:textId="77777777" w:rsidR="00937CD0" w:rsidRPr="00937CD0" w:rsidRDefault="00937CD0" w:rsidP="00937CD0">
            <w:pPr>
              <w:autoSpaceDE w:val="0"/>
              <w:autoSpaceDN w:val="0"/>
              <w:adjustRightInd w:val="0"/>
              <w:spacing w:line="320" w:lineRule="atLeast"/>
              <w:ind w:left="60" w:right="60"/>
              <w:jc w:val="center"/>
              <w:rPr>
                <w:rFonts w:ascii="Times New Roman" w:hAnsi="Times New Roman" w:cs="Times New Roman"/>
                <w:b/>
                <w:bCs/>
                <w:color w:val="000000"/>
                <w:kern w:val="0"/>
                <w:sz w:val="24"/>
                <w:szCs w:val="24"/>
              </w:rPr>
            </w:pPr>
            <w:r w:rsidRPr="00937CD0">
              <w:rPr>
                <w:rFonts w:ascii="Times New Roman" w:hAnsi="Times New Roman" w:cs="Times New Roman"/>
                <w:b/>
                <w:bCs/>
                <w:color w:val="000000"/>
                <w:kern w:val="0"/>
                <w:sz w:val="24"/>
                <w:szCs w:val="24"/>
              </w:rPr>
              <w:t>B</w:t>
            </w:r>
          </w:p>
        </w:tc>
        <w:tc>
          <w:tcPr>
            <w:tcW w:w="1254" w:type="dxa"/>
            <w:tcBorders>
              <w:top w:val="single" w:sz="12" w:space="0" w:color="auto"/>
              <w:left w:val="single" w:sz="12" w:space="0" w:color="auto"/>
              <w:bottom w:val="single" w:sz="12" w:space="0" w:color="auto"/>
              <w:right w:val="single" w:sz="12" w:space="0" w:color="auto"/>
            </w:tcBorders>
          </w:tcPr>
          <w:p w14:paraId="33525AB9" w14:textId="77777777" w:rsidR="00937CD0" w:rsidRPr="00937CD0" w:rsidRDefault="00937CD0" w:rsidP="00937CD0">
            <w:pPr>
              <w:autoSpaceDE w:val="0"/>
              <w:autoSpaceDN w:val="0"/>
              <w:adjustRightInd w:val="0"/>
              <w:spacing w:line="320" w:lineRule="atLeast"/>
              <w:ind w:left="60" w:right="60"/>
              <w:jc w:val="center"/>
              <w:rPr>
                <w:rFonts w:ascii="Times New Roman" w:hAnsi="Times New Roman" w:cs="Times New Roman"/>
                <w:b/>
                <w:bCs/>
                <w:color w:val="000000"/>
                <w:kern w:val="0"/>
                <w:sz w:val="24"/>
                <w:szCs w:val="24"/>
              </w:rPr>
            </w:pPr>
            <w:r w:rsidRPr="00937CD0">
              <w:rPr>
                <w:rFonts w:ascii="Times New Roman" w:hAnsi="Times New Roman" w:cs="Times New Roman"/>
                <w:b/>
                <w:bCs/>
                <w:color w:val="000000"/>
                <w:kern w:val="0"/>
                <w:sz w:val="24"/>
                <w:szCs w:val="24"/>
              </w:rPr>
              <w:t>Beta</w:t>
            </w:r>
          </w:p>
        </w:tc>
        <w:tc>
          <w:tcPr>
            <w:tcW w:w="974" w:type="dxa"/>
            <w:vMerge/>
            <w:tcBorders>
              <w:left w:val="single" w:sz="12" w:space="0" w:color="auto"/>
              <w:bottom w:val="single" w:sz="12" w:space="0" w:color="auto"/>
              <w:right w:val="single" w:sz="12" w:space="0" w:color="auto"/>
            </w:tcBorders>
          </w:tcPr>
          <w:p w14:paraId="386600D3" w14:textId="77777777" w:rsidR="00937CD0" w:rsidRPr="00937CD0" w:rsidRDefault="00937CD0" w:rsidP="00937CD0">
            <w:pPr>
              <w:autoSpaceDE w:val="0"/>
              <w:autoSpaceDN w:val="0"/>
              <w:adjustRightInd w:val="0"/>
              <w:rPr>
                <w:rFonts w:ascii="Times New Roman" w:hAnsi="Times New Roman" w:cs="Times New Roman"/>
                <w:color w:val="000000"/>
                <w:kern w:val="0"/>
                <w:sz w:val="24"/>
                <w:szCs w:val="24"/>
              </w:rPr>
            </w:pPr>
          </w:p>
        </w:tc>
      </w:tr>
      <w:tr w:rsidR="00937CD0" w:rsidRPr="000B3F13" w14:paraId="0117EB24" w14:textId="77777777" w:rsidTr="008F6275">
        <w:trPr>
          <w:trHeight w:val="448"/>
        </w:trPr>
        <w:tc>
          <w:tcPr>
            <w:tcW w:w="1378" w:type="dxa"/>
            <w:tcBorders>
              <w:top w:val="single" w:sz="12" w:space="0" w:color="auto"/>
              <w:left w:val="single" w:sz="12" w:space="0" w:color="auto"/>
              <w:bottom w:val="single" w:sz="12" w:space="0" w:color="auto"/>
              <w:right w:val="single" w:sz="12" w:space="0" w:color="auto"/>
            </w:tcBorders>
          </w:tcPr>
          <w:p w14:paraId="46D60652" w14:textId="77777777" w:rsidR="00937CD0" w:rsidRPr="00937CD0" w:rsidRDefault="00937CD0" w:rsidP="00937CD0">
            <w:pPr>
              <w:autoSpaceDE w:val="0"/>
              <w:autoSpaceDN w:val="0"/>
              <w:adjustRightInd w:val="0"/>
              <w:spacing w:line="320" w:lineRule="atLeast"/>
              <w:ind w:left="60" w:right="60"/>
              <w:rPr>
                <w:rFonts w:ascii="Times New Roman" w:hAnsi="Times New Roman" w:cs="Times New Roman"/>
                <w:color w:val="000000"/>
                <w:kern w:val="0"/>
                <w:sz w:val="24"/>
                <w:szCs w:val="24"/>
              </w:rPr>
            </w:pPr>
            <w:r w:rsidRPr="00937CD0">
              <w:rPr>
                <w:rFonts w:ascii="Times New Roman" w:hAnsi="Times New Roman" w:cs="Times New Roman"/>
                <w:color w:val="000000"/>
                <w:kern w:val="0"/>
                <w:sz w:val="24"/>
                <w:szCs w:val="24"/>
              </w:rPr>
              <w:t>(Constant)</w:t>
            </w:r>
          </w:p>
        </w:tc>
        <w:tc>
          <w:tcPr>
            <w:tcW w:w="1114" w:type="dxa"/>
            <w:tcBorders>
              <w:top w:val="single" w:sz="12" w:space="0" w:color="auto"/>
              <w:left w:val="single" w:sz="12" w:space="0" w:color="auto"/>
              <w:bottom w:val="single" w:sz="12" w:space="0" w:color="auto"/>
              <w:right w:val="single" w:sz="12" w:space="0" w:color="auto"/>
            </w:tcBorders>
          </w:tcPr>
          <w:p w14:paraId="1BBD6257" w14:textId="77777777" w:rsidR="00937CD0" w:rsidRPr="00937CD0" w:rsidRDefault="00937CD0" w:rsidP="00937CD0">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937CD0">
              <w:rPr>
                <w:rFonts w:ascii="Times New Roman" w:hAnsi="Times New Roman" w:cs="Times New Roman"/>
                <w:color w:val="000000"/>
                <w:kern w:val="0"/>
                <w:sz w:val="24"/>
                <w:szCs w:val="24"/>
              </w:rPr>
              <w:t>25.326</w:t>
            </w:r>
          </w:p>
        </w:tc>
        <w:tc>
          <w:tcPr>
            <w:tcW w:w="1254" w:type="dxa"/>
            <w:tcBorders>
              <w:top w:val="single" w:sz="12" w:space="0" w:color="auto"/>
              <w:left w:val="single" w:sz="12" w:space="0" w:color="auto"/>
              <w:bottom w:val="single" w:sz="12" w:space="0" w:color="auto"/>
              <w:right w:val="single" w:sz="12" w:space="0" w:color="auto"/>
            </w:tcBorders>
          </w:tcPr>
          <w:p w14:paraId="7E32BEE6" w14:textId="77777777" w:rsidR="00937CD0" w:rsidRPr="00937CD0" w:rsidRDefault="00937CD0" w:rsidP="00937CD0">
            <w:pPr>
              <w:autoSpaceDE w:val="0"/>
              <w:autoSpaceDN w:val="0"/>
              <w:adjustRightInd w:val="0"/>
              <w:rPr>
                <w:rFonts w:ascii="Times New Roman" w:hAnsi="Times New Roman" w:cs="Times New Roman"/>
                <w:kern w:val="0"/>
                <w:sz w:val="24"/>
                <w:szCs w:val="24"/>
              </w:rPr>
            </w:pPr>
          </w:p>
        </w:tc>
        <w:tc>
          <w:tcPr>
            <w:tcW w:w="974" w:type="dxa"/>
            <w:tcBorders>
              <w:top w:val="single" w:sz="12" w:space="0" w:color="auto"/>
              <w:left w:val="single" w:sz="12" w:space="0" w:color="auto"/>
              <w:bottom w:val="single" w:sz="12" w:space="0" w:color="auto"/>
              <w:right w:val="single" w:sz="12" w:space="0" w:color="auto"/>
            </w:tcBorders>
          </w:tcPr>
          <w:p w14:paraId="54775580" w14:textId="77777777" w:rsidR="00937CD0" w:rsidRPr="00937CD0" w:rsidRDefault="00937CD0" w:rsidP="00937CD0">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937CD0">
              <w:rPr>
                <w:rFonts w:ascii="Times New Roman" w:hAnsi="Times New Roman" w:cs="Times New Roman"/>
                <w:color w:val="000000"/>
                <w:kern w:val="0"/>
                <w:sz w:val="24"/>
                <w:szCs w:val="24"/>
              </w:rPr>
              <w:t>0.004</w:t>
            </w:r>
          </w:p>
        </w:tc>
      </w:tr>
      <w:tr w:rsidR="00937CD0" w:rsidRPr="000B3F13" w14:paraId="288C011D" w14:textId="77777777" w:rsidTr="008F6275">
        <w:trPr>
          <w:trHeight w:val="40"/>
        </w:trPr>
        <w:tc>
          <w:tcPr>
            <w:tcW w:w="1378" w:type="dxa"/>
            <w:tcBorders>
              <w:top w:val="single" w:sz="12" w:space="0" w:color="auto"/>
              <w:left w:val="single" w:sz="12" w:space="0" w:color="auto"/>
              <w:bottom w:val="single" w:sz="12" w:space="0" w:color="auto"/>
              <w:right w:val="single" w:sz="12" w:space="0" w:color="auto"/>
            </w:tcBorders>
          </w:tcPr>
          <w:p w14:paraId="7A62EA8E" w14:textId="77777777" w:rsidR="00937CD0" w:rsidRPr="00937CD0" w:rsidRDefault="00937CD0" w:rsidP="00937CD0">
            <w:pPr>
              <w:autoSpaceDE w:val="0"/>
              <w:autoSpaceDN w:val="0"/>
              <w:adjustRightInd w:val="0"/>
              <w:spacing w:line="320" w:lineRule="atLeast"/>
              <w:ind w:left="60" w:right="60"/>
              <w:rPr>
                <w:rFonts w:ascii="Times New Roman" w:hAnsi="Times New Roman" w:cs="Times New Roman"/>
                <w:color w:val="000000"/>
                <w:kern w:val="0"/>
                <w:sz w:val="24"/>
                <w:szCs w:val="24"/>
              </w:rPr>
            </w:pPr>
            <w:r w:rsidRPr="00937CD0">
              <w:rPr>
                <w:rFonts w:ascii="Times New Roman" w:hAnsi="Times New Roman" w:cs="Times New Roman"/>
                <w:color w:val="000000"/>
                <w:kern w:val="0"/>
                <w:sz w:val="24"/>
                <w:szCs w:val="24"/>
              </w:rPr>
              <w:t>Black Scholes Model Call Price</w:t>
            </w:r>
          </w:p>
        </w:tc>
        <w:tc>
          <w:tcPr>
            <w:tcW w:w="1114" w:type="dxa"/>
            <w:tcBorders>
              <w:top w:val="single" w:sz="12" w:space="0" w:color="auto"/>
              <w:left w:val="single" w:sz="12" w:space="0" w:color="auto"/>
              <w:bottom w:val="single" w:sz="12" w:space="0" w:color="auto"/>
              <w:right w:val="single" w:sz="12" w:space="0" w:color="auto"/>
            </w:tcBorders>
          </w:tcPr>
          <w:p w14:paraId="3FCD52AB" w14:textId="77777777" w:rsidR="00937CD0" w:rsidRPr="00937CD0" w:rsidRDefault="00937CD0" w:rsidP="00937CD0">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937CD0">
              <w:rPr>
                <w:rFonts w:ascii="Times New Roman" w:hAnsi="Times New Roman" w:cs="Times New Roman"/>
                <w:color w:val="000000"/>
                <w:kern w:val="0"/>
                <w:sz w:val="24"/>
                <w:szCs w:val="24"/>
              </w:rPr>
              <w:t>0.695</w:t>
            </w:r>
          </w:p>
        </w:tc>
        <w:tc>
          <w:tcPr>
            <w:tcW w:w="1254" w:type="dxa"/>
            <w:tcBorders>
              <w:top w:val="single" w:sz="12" w:space="0" w:color="auto"/>
              <w:left w:val="single" w:sz="12" w:space="0" w:color="auto"/>
              <w:bottom w:val="single" w:sz="12" w:space="0" w:color="auto"/>
              <w:right w:val="single" w:sz="12" w:space="0" w:color="auto"/>
            </w:tcBorders>
          </w:tcPr>
          <w:p w14:paraId="08CD1275" w14:textId="77777777" w:rsidR="00937CD0" w:rsidRPr="00937CD0" w:rsidRDefault="00937CD0" w:rsidP="00937CD0">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937CD0">
              <w:rPr>
                <w:rFonts w:ascii="Times New Roman" w:hAnsi="Times New Roman" w:cs="Times New Roman"/>
                <w:color w:val="000000"/>
                <w:kern w:val="0"/>
                <w:sz w:val="24"/>
                <w:szCs w:val="24"/>
              </w:rPr>
              <w:t>0.997</w:t>
            </w:r>
          </w:p>
        </w:tc>
        <w:tc>
          <w:tcPr>
            <w:tcW w:w="974" w:type="dxa"/>
            <w:tcBorders>
              <w:top w:val="single" w:sz="12" w:space="0" w:color="auto"/>
              <w:left w:val="single" w:sz="12" w:space="0" w:color="auto"/>
              <w:bottom w:val="single" w:sz="12" w:space="0" w:color="auto"/>
              <w:right w:val="single" w:sz="12" w:space="0" w:color="auto"/>
            </w:tcBorders>
          </w:tcPr>
          <w:p w14:paraId="30F7ABF1" w14:textId="77777777" w:rsidR="00937CD0" w:rsidRPr="00937CD0" w:rsidRDefault="00937CD0" w:rsidP="00937CD0">
            <w:pPr>
              <w:autoSpaceDE w:val="0"/>
              <w:autoSpaceDN w:val="0"/>
              <w:adjustRightInd w:val="0"/>
              <w:spacing w:line="320" w:lineRule="atLeast"/>
              <w:ind w:left="60" w:right="60"/>
              <w:jc w:val="right"/>
              <w:rPr>
                <w:rFonts w:ascii="Times New Roman" w:hAnsi="Times New Roman" w:cs="Times New Roman"/>
                <w:color w:val="000000"/>
                <w:kern w:val="0"/>
                <w:sz w:val="24"/>
                <w:szCs w:val="24"/>
              </w:rPr>
            </w:pPr>
            <w:r w:rsidRPr="00937CD0">
              <w:rPr>
                <w:rFonts w:ascii="Times New Roman" w:hAnsi="Times New Roman" w:cs="Times New Roman"/>
                <w:color w:val="000000"/>
                <w:kern w:val="0"/>
                <w:sz w:val="24"/>
                <w:szCs w:val="24"/>
              </w:rPr>
              <w:t>0.000</w:t>
            </w:r>
          </w:p>
        </w:tc>
      </w:tr>
    </w:tbl>
    <w:p w14:paraId="19D1648C" w14:textId="07E37312" w:rsidR="002849EA" w:rsidRDefault="002849EA" w:rsidP="002849EA">
      <w:pPr>
        <w:spacing w:line="360" w:lineRule="auto"/>
        <w:jc w:val="both"/>
        <w:rPr>
          <w:rFonts w:ascii="Times New Roman" w:hAnsi="Times New Roman" w:cs="Times New Roman"/>
          <w:bCs/>
          <w:kern w:val="28"/>
          <w:sz w:val="24"/>
          <w:szCs w:val="24"/>
        </w:rPr>
      </w:pPr>
      <w:r>
        <w:rPr>
          <w:rFonts w:ascii="Times New Roman" w:hAnsi="Times New Roman" w:cs="Times New Roman"/>
          <w:bCs/>
          <w:kern w:val="28"/>
          <w:sz w:val="24"/>
          <w:szCs w:val="24"/>
        </w:rPr>
        <w:t xml:space="preserve">For Large Cap as well as Mid Cap Stocks the Black Scholes Model predicted option prices do correlate with the NSE observed option prices. </w:t>
      </w:r>
    </w:p>
    <w:p w14:paraId="228DCC67" w14:textId="77777777" w:rsidR="008F6275" w:rsidRDefault="008F6275" w:rsidP="002849EA">
      <w:pPr>
        <w:spacing w:line="360" w:lineRule="auto"/>
        <w:jc w:val="both"/>
        <w:rPr>
          <w:rFonts w:ascii="Times New Roman" w:hAnsi="Times New Roman" w:cs="Times New Roman"/>
          <w:bCs/>
          <w:kern w:val="28"/>
          <w:sz w:val="24"/>
          <w:szCs w:val="24"/>
        </w:rPr>
      </w:pPr>
    </w:p>
    <w:p w14:paraId="53515955" w14:textId="77777777" w:rsidR="002849EA" w:rsidRPr="000B3F13" w:rsidRDefault="002849EA" w:rsidP="002849EA">
      <w:pPr>
        <w:spacing w:line="360" w:lineRule="auto"/>
        <w:jc w:val="both"/>
        <w:rPr>
          <w:rFonts w:ascii="Times New Roman" w:hAnsi="Times New Roman" w:cs="Times New Roman"/>
          <w:b/>
          <w:kern w:val="28"/>
          <w:sz w:val="24"/>
          <w:szCs w:val="24"/>
        </w:rPr>
      </w:pPr>
    </w:p>
    <w:p w14:paraId="72DCF934" w14:textId="77777777" w:rsidR="002849EA" w:rsidRPr="007D100F" w:rsidRDefault="002849EA" w:rsidP="002849EA">
      <w:pPr>
        <w:spacing w:line="360" w:lineRule="auto"/>
        <w:jc w:val="both"/>
        <w:rPr>
          <w:rFonts w:ascii="Times New Roman" w:hAnsi="Times New Roman" w:cs="Times New Roman"/>
          <w:b/>
          <w:kern w:val="28"/>
          <w:sz w:val="28"/>
          <w:szCs w:val="28"/>
        </w:rPr>
      </w:pPr>
      <w:r w:rsidRPr="007D100F">
        <w:rPr>
          <w:rFonts w:ascii="Times New Roman" w:hAnsi="Times New Roman" w:cs="Times New Roman"/>
          <w:b/>
          <w:kern w:val="28"/>
          <w:sz w:val="28"/>
          <w:szCs w:val="28"/>
        </w:rPr>
        <w:t>Hypothesis Statement:</w:t>
      </w:r>
    </w:p>
    <w:p w14:paraId="22512C3D" w14:textId="77777777" w:rsidR="002849EA" w:rsidRPr="000B3F13"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H0: The Black-Scholes model has no predictive power over NSE option prices.</w:t>
      </w:r>
    </w:p>
    <w:p w14:paraId="1F1AECD0" w14:textId="77777777" w:rsidR="002849EA" w:rsidRDefault="002849EA" w:rsidP="002849EA">
      <w:pPr>
        <w:spacing w:line="360" w:lineRule="auto"/>
        <w:jc w:val="both"/>
        <w:rPr>
          <w:rFonts w:ascii="Times New Roman" w:hAnsi="Times New Roman" w:cs="Times New Roman"/>
          <w:bCs/>
          <w:kern w:val="28"/>
          <w:sz w:val="24"/>
          <w:szCs w:val="24"/>
        </w:rPr>
      </w:pPr>
      <w:r w:rsidRPr="000B3F13">
        <w:rPr>
          <w:rFonts w:ascii="Times New Roman" w:hAnsi="Times New Roman" w:cs="Times New Roman"/>
          <w:bCs/>
          <w:kern w:val="28"/>
          <w:sz w:val="24"/>
          <w:szCs w:val="24"/>
        </w:rPr>
        <w:t>H3: The Black-Scholes model has predictive power over NSE option prices.</w:t>
      </w:r>
    </w:p>
    <w:p w14:paraId="66FBBA6E" w14:textId="77777777" w:rsidR="002849EA" w:rsidRPr="007D100F" w:rsidRDefault="002849EA" w:rsidP="002849EA">
      <w:pPr>
        <w:spacing w:line="360" w:lineRule="auto"/>
        <w:jc w:val="both"/>
        <w:rPr>
          <w:rFonts w:ascii="Times New Roman" w:hAnsi="Times New Roman" w:cs="Times New Roman"/>
          <w:b/>
          <w:kern w:val="28"/>
          <w:sz w:val="28"/>
          <w:szCs w:val="28"/>
        </w:rPr>
      </w:pPr>
      <w:r w:rsidRPr="007D100F">
        <w:rPr>
          <w:rFonts w:ascii="Times New Roman" w:hAnsi="Times New Roman" w:cs="Times New Roman"/>
          <w:b/>
          <w:kern w:val="28"/>
          <w:sz w:val="28"/>
          <w:szCs w:val="28"/>
        </w:rPr>
        <w:t>Analysis:</w:t>
      </w:r>
    </w:p>
    <w:p w14:paraId="622C0A1E" w14:textId="77777777" w:rsidR="002849EA" w:rsidRDefault="002849EA" w:rsidP="002849EA">
      <w:pPr>
        <w:spacing w:line="360" w:lineRule="auto"/>
        <w:jc w:val="both"/>
        <w:rPr>
          <w:rFonts w:ascii="Times New Roman" w:hAnsi="Times New Roman" w:cs="Times New Roman"/>
          <w:bCs/>
          <w:iCs/>
          <w:kern w:val="28"/>
          <w:sz w:val="24"/>
          <w:szCs w:val="24"/>
        </w:rPr>
      </w:pPr>
      <m:oMath>
        <m:r>
          <m:rPr>
            <m:sty m:val="p"/>
          </m:rPr>
          <w:rPr>
            <w:rFonts w:ascii="Cambria Math" w:hAnsi="Cambria Math" w:cs="Times New Roman"/>
            <w:kern w:val="28"/>
            <w:sz w:val="24"/>
            <w:szCs w:val="24"/>
          </w:rPr>
          <m:t>y=bx + a</m:t>
        </m:r>
      </m:oMath>
      <w:r>
        <w:rPr>
          <w:rFonts w:ascii="Times New Roman" w:hAnsi="Times New Roman" w:cs="Times New Roman"/>
          <w:bCs/>
          <w:iCs/>
          <w:kern w:val="28"/>
          <w:sz w:val="24"/>
          <w:szCs w:val="24"/>
        </w:rPr>
        <w:t xml:space="preserve"> </w:t>
      </w:r>
    </w:p>
    <w:p w14:paraId="4E8CF9EA" w14:textId="77777777" w:rsidR="002849EA" w:rsidRDefault="002849EA" w:rsidP="002849EA">
      <w:pPr>
        <w:spacing w:line="360" w:lineRule="auto"/>
        <w:jc w:val="both"/>
        <w:rPr>
          <w:rFonts w:ascii="Times New Roman" w:hAnsi="Times New Roman" w:cs="Times New Roman"/>
          <w:bCs/>
          <w:iCs/>
          <w:kern w:val="28"/>
          <w:sz w:val="24"/>
          <w:szCs w:val="24"/>
        </w:rPr>
      </w:pPr>
      <w:r>
        <w:rPr>
          <w:rFonts w:ascii="Times New Roman" w:hAnsi="Times New Roman" w:cs="Times New Roman"/>
          <w:bCs/>
          <w:iCs/>
          <w:kern w:val="28"/>
          <w:sz w:val="24"/>
          <w:szCs w:val="24"/>
        </w:rPr>
        <w:t>y (NSE Option Price) = b (Black Scholes Model Option Price) + a</w:t>
      </w:r>
    </w:p>
    <w:p w14:paraId="115C57C2" w14:textId="77777777" w:rsidR="002849EA" w:rsidRDefault="002849EA" w:rsidP="002849EA">
      <w:pPr>
        <w:spacing w:line="360" w:lineRule="auto"/>
        <w:jc w:val="both"/>
        <w:rPr>
          <w:rFonts w:ascii="Times New Roman" w:hAnsi="Times New Roman" w:cs="Times New Roman"/>
          <w:bCs/>
          <w:kern w:val="28"/>
          <w:sz w:val="24"/>
          <w:szCs w:val="24"/>
        </w:rPr>
      </w:pPr>
      <w:r>
        <w:rPr>
          <w:rFonts w:ascii="Times New Roman" w:hAnsi="Times New Roman" w:cs="Times New Roman"/>
          <w:bCs/>
          <w:iCs/>
          <w:kern w:val="28"/>
          <w:sz w:val="24"/>
          <w:szCs w:val="24"/>
        </w:rPr>
        <w:lastRenderedPageBreak/>
        <w:t xml:space="preserve">The P value for Black Scholes Model Call price = 0.00, which is less than 0.05, </w:t>
      </w:r>
      <w:r w:rsidRPr="000B3F13">
        <w:rPr>
          <w:rFonts w:ascii="Times New Roman" w:hAnsi="Times New Roman" w:cs="Times New Roman"/>
          <w:bCs/>
          <w:kern w:val="28"/>
          <w:sz w:val="24"/>
          <w:szCs w:val="24"/>
        </w:rPr>
        <w:t>hence we reject H0 and accept H</w:t>
      </w:r>
      <w:r>
        <w:rPr>
          <w:rFonts w:ascii="Times New Roman" w:hAnsi="Times New Roman" w:cs="Times New Roman"/>
          <w:bCs/>
          <w:kern w:val="28"/>
          <w:sz w:val="24"/>
          <w:szCs w:val="24"/>
        </w:rPr>
        <w:t>3</w:t>
      </w:r>
      <w:r w:rsidRPr="000B3F13">
        <w:rPr>
          <w:rFonts w:ascii="Times New Roman" w:hAnsi="Times New Roman" w:cs="Times New Roman"/>
          <w:bCs/>
          <w:kern w:val="28"/>
          <w:sz w:val="24"/>
          <w:szCs w:val="24"/>
        </w:rPr>
        <w:t xml:space="preserve">, </w:t>
      </w:r>
      <w:r>
        <w:rPr>
          <w:rFonts w:ascii="Times New Roman" w:hAnsi="Times New Roman" w:cs="Times New Roman"/>
          <w:bCs/>
          <w:kern w:val="28"/>
          <w:sz w:val="24"/>
          <w:szCs w:val="24"/>
        </w:rPr>
        <w:t>t</w:t>
      </w:r>
      <w:r w:rsidRPr="00EB211C">
        <w:rPr>
          <w:rFonts w:ascii="Times New Roman" w:hAnsi="Times New Roman" w:cs="Times New Roman"/>
          <w:bCs/>
          <w:kern w:val="28"/>
          <w:sz w:val="24"/>
          <w:szCs w:val="24"/>
        </w:rPr>
        <w:t>he Black-Scholes model has predictive power over NSE option prices.</w:t>
      </w:r>
    </w:p>
    <w:p w14:paraId="1E9F6779" w14:textId="77777777" w:rsidR="002849EA" w:rsidRDefault="002849EA" w:rsidP="002849EA">
      <w:pPr>
        <w:spacing w:line="360" w:lineRule="auto"/>
        <w:jc w:val="both"/>
        <w:rPr>
          <w:rFonts w:ascii="Times New Roman" w:hAnsi="Times New Roman" w:cs="Times New Roman"/>
          <w:bCs/>
          <w:kern w:val="28"/>
          <w:sz w:val="24"/>
          <w:szCs w:val="24"/>
        </w:rPr>
      </w:pPr>
      <w:r>
        <w:rPr>
          <w:rFonts w:ascii="Times New Roman" w:hAnsi="Times New Roman" w:cs="Times New Roman"/>
          <w:bCs/>
          <w:kern w:val="28"/>
          <w:sz w:val="24"/>
          <w:szCs w:val="24"/>
        </w:rPr>
        <w:t>BSM Call Option Price P &lt; 0.05</w:t>
      </w:r>
    </w:p>
    <w:p w14:paraId="6451570F" w14:textId="77777777" w:rsidR="002849EA" w:rsidRPr="007D100F" w:rsidRDefault="002849EA" w:rsidP="002849EA">
      <w:pPr>
        <w:spacing w:line="360" w:lineRule="auto"/>
        <w:jc w:val="both"/>
        <w:rPr>
          <w:rFonts w:ascii="Times New Roman" w:hAnsi="Times New Roman" w:cs="Times New Roman"/>
          <w:b/>
          <w:iCs/>
          <w:kern w:val="28"/>
          <w:sz w:val="28"/>
          <w:szCs w:val="28"/>
        </w:rPr>
      </w:pPr>
      <w:r w:rsidRPr="007D100F">
        <w:rPr>
          <w:rFonts w:ascii="Times New Roman" w:hAnsi="Times New Roman" w:cs="Times New Roman"/>
          <w:b/>
          <w:kern w:val="28"/>
          <w:sz w:val="28"/>
          <w:szCs w:val="28"/>
        </w:rPr>
        <w:t>Regression Equation:</w:t>
      </w:r>
    </w:p>
    <w:p w14:paraId="1F85CCF1" w14:textId="77777777" w:rsidR="002849EA" w:rsidRDefault="002849EA" w:rsidP="002849EA">
      <w:pPr>
        <w:spacing w:line="360" w:lineRule="auto"/>
        <w:jc w:val="both"/>
        <w:rPr>
          <w:rFonts w:ascii="Times New Roman" w:hAnsi="Times New Roman" w:cs="Times New Roman"/>
          <w:bCs/>
          <w:iCs/>
          <w:kern w:val="28"/>
          <w:sz w:val="24"/>
          <w:szCs w:val="24"/>
        </w:rPr>
      </w:pPr>
      <w:r>
        <w:rPr>
          <w:rFonts w:ascii="Times New Roman" w:hAnsi="Times New Roman" w:cs="Times New Roman"/>
          <w:bCs/>
          <w:iCs/>
          <w:kern w:val="28"/>
          <w:sz w:val="24"/>
          <w:szCs w:val="24"/>
        </w:rPr>
        <w:t>y = 0.695 x + 25.326</w:t>
      </w:r>
    </w:p>
    <w:p w14:paraId="6B140201" w14:textId="77777777" w:rsidR="002849EA" w:rsidRDefault="002849EA" w:rsidP="002849EA">
      <w:pPr>
        <w:spacing w:line="360" w:lineRule="auto"/>
        <w:jc w:val="both"/>
        <w:rPr>
          <w:rFonts w:ascii="Times New Roman" w:hAnsi="Times New Roman" w:cs="Times New Roman"/>
          <w:bCs/>
          <w:iCs/>
          <w:kern w:val="28"/>
          <w:sz w:val="24"/>
          <w:szCs w:val="24"/>
        </w:rPr>
      </w:pPr>
      <w:r>
        <w:rPr>
          <w:rFonts w:ascii="Times New Roman" w:hAnsi="Times New Roman" w:cs="Times New Roman"/>
          <w:bCs/>
          <w:iCs/>
          <w:kern w:val="28"/>
          <w:sz w:val="24"/>
          <w:szCs w:val="24"/>
        </w:rPr>
        <w:t>Therefore, Beta value = 0.695</w:t>
      </w:r>
    </w:p>
    <w:p w14:paraId="799DD300" w14:textId="77777777" w:rsidR="002849EA" w:rsidRPr="00B411CA" w:rsidRDefault="002849EA" w:rsidP="002849EA">
      <w:pPr>
        <w:spacing w:line="360" w:lineRule="auto"/>
        <w:jc w:val="both"/>
        <w:rPr>
          <w:rFonts w:ascii="Times New Roman" w:hAnsi="Times New Roman" w:cs="Times New Roman"/>
          <w:bCs/>
          <w:iCs/>
          <w:kern w:val="28"/>
          <w:sz w:val="24"/>
          <w:szCs w:val="24"/>
        </w:rPr>
      </w:pPr>
      <w:r>
        <w:rPr>
          <w:rFonts w:ascii="Times New Roman" w:hAnsi="Times New Roman" w:cs="Times New Roman"/>
          <w:bCs/>
          <w:iCs/>
          <w:kern w:val="28"/>
          <w:sz w:val="24"/>
          <w:szCs w:val="24"/>
        </w:rPr>
        <w:t>F</w:t>
      </w:r>
      <w:r w:rsidRPr="00B411CA">
        <w:rPr>
          <w:rFonts w:ascii="Times New Roman" w:hAnsi="Times New Roman" w:cs="Times New Roman"/>
          <w:bCs/>
          <w:iCs/>
          <w:kern w:val="28"/>
          <w:sz w:val="24"/>
          <w:szCs w:val="24"/>
        </w:rPr>
        <w:t xml:space="preserve">or </w:t>
      </w:r>
      <w:r>
        <w:rPr>
          <w:rFonts w:ascii="Times New Roman" w:hAnsi="Times New Roman" w:cs="Times New Roman"/>
          <w:bCs/>
          <w:iCs/>
          <w:kern w:val="28"/>
          <w:sz w:val="24"/>
          <w:szCs w:val="24"/>
        </w:rPr>
        <w:t xml:space="preserve">every </w:t>
      </w:r>
      <w:r w:rsidRPr="00B411CA">
        <w:rPr>
          <w:rFonts w:ascii="Times New Roman" w:hAnsi="Times New Roman" w:cs="Times New Roman"/>
          <w:bCs/>
          <w:iCs/>
          <w:kern w:val="28"/>
          <w:sz w:val="24"/>
          <w:szCs w:val="24"/>
        </w:rPr>
        <w:t xml:space="preserve">1-unit change in </w:t>
      </w:r>
      <w:r>
        <w:rPr>
          <w:rFonts w:ascii="Times New Roman" w:hAnsi="Times New Roman" w:cs="Times New Roman"/>
          <w:bCs/>
          <w:iCs/>
          <w:kern w:val="28"/>
          <w:sz w:val="24"/>
          <w:szCs w:val="24"/>
        </w:rPr>
        <w:t xml:space="preserve">Black Scholes Model Call Price </w:t>
      </w:r>
      <w:r w:rsidRPr="00B411CA">
        <w:rPr>
          <w:rFonts w:ascii="Times New Roman" w:hAnsi="Times New Roman" w:cs="Times New Roman"/>
          <w:bCs/>
          <w:iCs/>
          <w:kern w:val="28"/>
          <w:sz w:val="24"/>
          <w:szCs w:val="24"/>
        </w:rPr>
        <w:t xml:space="preserve">will lead to </w:t>
      </w:r>
      <w:r>
        <w:rPr>
          <w:rFonts w:ascii="Times New Roman" w:hAnsi="Times New Roman" w:cs="Times New Roman"/>
          <w:bCs/>
          <w:iCs/>
          <w:kern w:val="28"/>
          <w:sz w:val="24"/>
          <w:szCs w:val="24"/>
        </w:rPr>
        <w:t>69.5</w:t>
      </w:r>
      <w:r w:rsidRPr="00B411CA">
        <w:rPr>
          <w:rFonts w:ascii="Times New Roman" w:hAnsi="Times New Roman" w:cs="Times New Roman"/>
          <w:bCs/>
          <w:iCs/>
          <w:kern w:val="28"/>
          <w:sz w:val="24"/>
          <w:szCs w:val="24"/>
        </w:rPr>
        <w:t xml:space="preserve">% change in </w:t>
      </w:r>
      <w:r>
        <w:rPr>
          <w:rFonts w:ascii="Times New Roman" w:hAnsi="Times New Roman" w:cs="Times New Roman"/>
          <w:bCs/>
          <w:iCs/>
          <w:kern w:val="28"/>
          <w:sz w:val="24"/>
          <w:szCs w:val="24"/>
        </w:rPr>
        <w:t>NSE Option Price.</w:t>
      </w:r>
    </w:p>
    <w:p w14:paraId="2EE16594" w14:textId="77777777" w:rsidR="002849EA" w:rsidRDefault="002849EA">
      <w:pPr>
        <w:rPr>
          <w:rFonts w:ascii="Times New Roman" w:hAnsi="Times New Roman" w:cs="Times New Roman"/>
          <w:b/>
          <w:iCs/>
          <w:kern w:val="28"/>
          <w:sz w:val="24"/>
          <w:szCs w:val="24"/>
        </w:rPr>
      </w:pPr>
    </w:p>
    <w:p w14:paraId="68D83EA6" w14:textId="77777777" w:rsidR="002849EA" w:rsidRDefault="002849EA">
      <w:pPr>
        <w:rPr>
          <w:rFonts w:ascii="Times New Roman" w:hAnsi="Times New Roman" w:cs="Times New Roman"/>
          <w:b/>
          <w:iCs/>
          <w:kern w:val="28"/>
          <w:sz w:val="28"/>
          <w:szCs w:val="28"/>
        </w:rPr>
      </w:pPr>
      <w:r w:rsidRPr="002849EA">
        <w:rPr>
          <w:rFonts w:ascii="Times New Roman" w:hAnsi="Times New Roman" w:cs="Times New Roman"/>
          <w:b/>
          <w:iCs/>
          <w:kern w:val="28"/>
          <w:sz w:val="28"/>
          <w:szCs w:val="28"/>
        </w:rPr>
        <w:t>FINDINGS</w:t>
      </w:r>
      <w:r>
        <w:rPr>
          <w:rFonts w:ascii="Times New Roman" w:hAnsi="Times New Roman" w:cs="Times New Roman"/>
          <w:b/>
          <w:iCs/>
          <w:kern w:val="28"/>
          <w:sz w:val="28"/>
          <w:szCs w:val="28"/>
        </w:rPr>
        <w:t>:</w:t>
      </w:r>
    </w:p>
    <w:p w14:paraId="2A3DA046"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Different regions hold market capitalization, but most is centred around Maharashtra; that close relationship supports its status as a major business and financial centre.</w:t>
      </w:r>
    </w:p>
    <w:p w14:paraId="193A55B4"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Significant disparities exist in market capitalization across Indian states.</w:t>
      </w:r>
    </w:p>
    <w:p w14:paraId="6DF69DAC"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Financial services are the largest sector for large-cap stocks. There are also major segments such as FMCGs, Automobiles, and IT that cannot be ignored.</w:t>
      </w:r>
    </w:p>
    <w:p w14:paraId="290BD409" w14:textId="77777777" w:rsidR="002849EA" w:rsidRPr="00ED639D"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The prospect of commanding a large market capitalization attracts conglomerates.</w:t>
      </w:r>
    </w:p>
    <w:p w14:paraId="45D21D2F" w14:textId="77777777" w:rsidR="002849EA" w:rsidRPr="00ED639D"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Mid-cap stocks can spread across the industries, but they are concentrated in financial services</w:t>
      </w:r>
      <w:r>
        <w:rPr>
          <w:rFonts w:ascii="Times New Roman" w:hAnsi="Times New Roman" w:cs="Times New Roman"/>
          <w:bCs/>
          <w:kern w:val="28"/>
          <w:sz w:val="24"/>
          <w:szCs w:val="24"/>
        </w:rPr>
        <w:t xml:space="preserve">. </w:t>
      </w:r>
      <w:r w:rsidRPr="00ED639D">
        <w:rPr>
          <w:rFonts w:ascii="Times New Roman" w:hAnsi="Times New Roman" w:cs="Times New Roman"/>
          <w:bCs/>
          <w:kern w:val="28"/>
          <w:sz w:val="24"/>
          <w:szCs w:val="24"/>
        </w:rPr>
        <w:t>Mid-cap stocks in different sectors offer different prospects for growth.</w:t>
      </w:r>
    </w:p>
    <w:p w14:paraId="28B66B98" w14:textId="77777777" w:rsidR="002849EA" w:rsidRPr="00ED639D"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The Black-Scholes model is often superior to the Monte Carlo simulation in pricing large-cap options.</w:t>
      </w:r>
    </w:p>
    <w:p w14:paraId="794A5FB0"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The models both have limitations in describing the market in practice.</w:t>
      </w:r>
    </w:p>
    <w:p w14:paraId="3545C8FE"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Higher volatility generally benefits the Black-Scholes Model.</w:t>
      </w:r>
    </w:p>
    <w:p w14:paraId="513C7B09"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ED639D">
        <w:rPr>
          <w:rFonts w:ascii="Times New Roman" w:hAnsi="Times New Roman" w:cs="Times New Roman"/>
          <w:bCs/>
          <w:kern w:val="28"/>
          <w:sz w:val="24"/>
          <w:szCs w:val="24"/>
        </w:rPr>
        <w:t>Large-cap stocks tend to align better with Black-Scholes Model assumptions.</w:t>
      </w:r>
    </w:p>
    <w:p w14:paraId="1848DC0B"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646C4C">
        <w:rPr>
          <w:rFonts w:ascii="Times New Roman" w:hAnsi="Times New Roman" w:cs="Times New Roman"/>
          <w:bCs/>
          <w:kern w:val="28"/>
          <w:sz w:val="24"/>
          <w:szCs w:val="24"/>
        </w:rPr>
        <w:t>The Black-Scholes Model (BSM) generally provides more accurate option price predictions than the Monte Carlo Simulation (MCS) for the studied stocks.</w:t>
      </w:r>
    </w:p>
    <w:p w14:paraId="3E2E4852"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646C4C">
        <w:rPr>
          <w:rFonts w:ascii="Times New Roman" w:hAnsi="Times New Roman" w:cs="Times New Roman"/>
          <w:bCs/>
          <w:kern w:val="28"/>
          <w:sz w:val="24"/>
          <w:szCs w:val="24"/>
        </w:rPr>
        <w:t>In certain cases, particularly for Tata Communications, the MCS produced closer predictions to actual NSE prices.</w:t>
      </w:r>
    </w:p>
    <w:p w14:paraId="10993FB8"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646C4C">
        <w:rPr>
          <w:rFonts w:ascii="Times New Roman" w:hAnsi="Times New Roman" w:cs="Times New Roman"/>
          <w:bCs/>
          <w:kern w:val="28"/>
          <w:sz w:val="24"/>
          <w:szCs w:val="24"/>
        </w:rPr>
        <w:t>BSM emerges as a suitable option pricing strategy for both large and mid-cap stocks in the analysed dataset.</w:t>
      </w:r>
    </w:p>
    <w:p w14:paraId="622E25B9"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646C4C">
        <w:rPr>
          <w:rFonts w:ascii="Times New Roman" w:hAnsi="Times New Roman" w:cs="Times New Roman"/>
          <w:bCs/>
          <w:kern w:val="28"/>
          <w:sz w:val="24"/>
          <w:szCs w:val="24"/>
        </w:rPr>
        <w:t>There is a statistically significant difference between the mean option prices calculated by the Black-Scholes and Monte Carlo models.</w:t>
      </w:r>
    </w:p>
    <w:p w14:paraId="1F6A06AC"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646C4C">
        <w:rPr>
          <w:rFonts w:ascii="Times New Roman" w:hAnsi="Times New Roman" w:cs="Times New Roman"/>
          <w:bCs/>
          <w:kern w:val="28"/>
          <w:sz w:val="24"/>
          <w:szCs w:val="24"/>
        </w:rPr>
        <w:t>The mean option price from the Monte Carlo Simulation is higher than that of the Black-Scholes Model.</w:t>
      </w:r>
    </w:p>
    <w:p w14:paraId="418EAD81"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646C4C">
        <w:rPr>
          <w:rFonts w:ascii="Times New Roman" w:hAnsi="Times New Roman" w:cs="Times New Roman"/>
          <w:bCs/>
          <w:kern w:val="28"/>
          <w:sz w:val="24"/>
          <w:szCs w:val="24"/>
        </w:rPr>
        <w:t>A strong positive correlation exists between Black-Scholes predicted option prices and NSE observed option prices.</w:t>
      </w:r>
    </w:p>
    <w:p w14:paraId="19A31079"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646C4C">
        <w:rPr>
          <w:rFonts w:ascii="Times New Roman" w:hAnsi="Times New Roman" w:cs="Times New Roman"/>
          <w:bCs/>
          <w:kern w:val="28"/>
          <w:sz w:val="24"/>
          <w:szCs w:val="24"/>
        </w:rPr>
        <w:t>The Black-Scholes Model exhibits predictive power over NSE option prices.</w:t>
      </w:r>
    </w:p>
    <w:p w14:paraId="1FBBA6EF" w14:textId="77777777" w:rsidR="002849EA" w:rsidRDefault="002849EA" w:rsidP="002849EA">
      <w:pPr>
        <w:pStyle w:val="ListParagraph"/>
        <w:numPr>
          <w:ilvl w:val="0"/>
          <w:numId w:val="20"/>
        </w:numPr>
        <w:spacing w:line="360" w:lineRule="auto"/>
        <w:jc w:val="both"/>
        <w:rPr>
          <w:rFonts w:ascii="Times New Roman" w:hAnsi="Times New Roman" w:cs="Times New Roman"/>
          <w:bCs/>
          <w:kern w:val="28"/>
          <w:sz w:val="24"/>
          <w:szCs w:val="24"/>
        </w:rPr>
      </w:pPr>
      <w:r w:rsidRPr="00646C4C">
        <w:rPr>
          <w:rFonts w:ascii="Times New Roman" w:hAnsi="Times New Roman" w:cs="Times New Roman"/>
          <w:bCs/>
          <w:kern w:val="28"/>
          <w:sz w:val="24"/>
          <w:szCs w:val="24"/>
        </w:rPr>
        <w:t>A one-unit change in the Black-Scholes Model call price leads to a 69.5% change in the NSE option price.</w:t>
      </w:r>
    </w:p>
    <w:p w14:paraId="6A6E8C2B" w14:textId="77777777" w:rsidR="002849EA" w:rsidRDefault="002849EA" w:rsidP="002849EA">
      <w:pPr>
        <w:rPr>
          <w:rFonts w:ascii="Times New Roman" w:hAnsi="Times New Roman" w:cs="Times New Roman"/>
          <w:bCs/>
          <w:kern w:val="28"/>
          <w:sz w:val="24"/>
          <w:szCs w:val="24"/>
        </w:rPr>
      </w:pPr>
    </w:p>
    <w:p w14:paraId="7F9DA9D6" w14:textId="6FC4C2B5" w:rsidR="002849EA" w:rsidRDefault="002849EA" w:rsidP="002849EA">
      <w:pPr>
        <w:rPr>
          <w:rFonts w:ascii="Times New Roman" w:hAnsi="Times New Roman" w:cs="Times New Roman"/>
          <w:bCs/>
          <w:kern w:val="28"/>
          <w:sz w:val="24"/>
          <w:szCs w:val="24"/>
        </w:rPr>
      </w:pPr>
      <w:r>
        <w:rPr>
          <w:rFonts w:ascii="Times New Roman" w:hAnsi="Times New Roman" w:cs="Times New Roman"/>
          <w:b/>
          <w:kern w:val="28"/>
          <w:sz w:val="28"/>
          <w:szCs w:val="28"/>
        </w:rPr>
        <w:t>SUGGESTIONS:</w:t>
      </w:r>
    </w:p>
    <w:p w14:paraId="5E8972E6" w14:textId="77777777" w:rsidR="002849EA" w:rsidRDefault="002849EA" w:rsidP="002849EA">
      <w:pPr>
        <w:pStyle w:val="ListParagraph"/>
        <w:numPr>
          <w:ilvl w:val="0"/>
          <w:numId w:val="21"/>
        </w:numPr>
        <w:spacing w:line="360" w:lineRule="auto"/>
        <w:jc w:val="both"/>
        <w:rPr>
          <w:rFonts w:ascii="Times New Roman" w:hAnsi="Times New Roman" w:cs="Times New Roman"/>
          <w:bCs/>
          <w:kern w:val="28"/>
          <w:sz w:val="24"/>
          <w:szCs w:val="24"/>
        </w:rPr>
      </w:pPr>
      <w:r w:rsidRPr="008E3E49">
        <w:rPr>
          <w:rFonts w:ascii="Times New Roman" w:hAnsi="Times New Roman" w:cs="Times New Roman"/>
          <w:bCs/>
          <w:kern w:val="28"/>
          <w:sz w:val="24"/>
          <w:szCs w:val="24"/>
        </w:rPr>
        <w:t xml:space="preserve">Explore the factors contributing to Maharashtra's dominance in market </w:t>
      </w:r>
      <w:r w:rsidRPr="008E3E49">
        <w:rPr>
          <w:rFonts w:ascii="Times New Roman" w:hAnsi="Times New Roman" w:cs="Times New Roman"/>
          <w:bCs/>
          <w:kern w:val="28"/>
          <w:sz w:val="24"/>
          <w:szCs w:val="24"/>
        </w:rPr>
        <w:lastRenderedPageBreak/>
        <w:t>capitalization and investigate the potential for other regions to develop similar financial hubs.</w:t>
      </w:r>
    </w:p>
    <w:p w14:paraId="5A09BAA5" w14:textId="77777777" w:rsidR="002849EA" w:rsidRDefault="002849EA" w:rsidP="002849EA">
      <w:pPr>
        <w:pStyle w:val="ListParagraph"/>
        <w:numPr>
          <w:ilvl w:val="0"/>
          <w:numId w:val="21"/>
        </w:numPr>
        <w:spacing w:line="360" w:lineRule="auto"/>
        <w:jc w:val="both"/>
        <w:rPr>
          <w:rFonts w:ascii="Times New Roman" w:hAnsi="Times New Roman" w:cs="Times New Roman"/>
          <w:bCs/>
          <w:kern w:val="28"/>
          <w:sz w:val="24"/>
          <w:szCs w:val="24"/>
        </w:rPr>
      </w:pPr>
      <w:r w:rsidRPr="008E3E49">
        <w:rPr>
          <w:rFonts w:ascii="Times New Roman" w:hAnsi="Times New Roman" w:cs="Times New Roman"/>
          <w:bCs/>
          <w:kern w:val="28"/>
          <w:sz w:val="24"/>
          <w:szCs w:val="24"/>
        </w:rPr>
        <w:t>While financial services are prominent, a more in-depth study of other sectors like FMCG, Automobiles, and IT could reveal unique investment opportunities and risks.</w:t>
      </w:r>
    </w:p>
    <w:p w14:paraId="424A24A8" w14:textId="77777777" w:rsidR="002849EA" w:rsidRPr="008E3E49" w:rsidRDefault="002849EA" w:rsidP="002849EA">
      <w:pPr>
        <w:pStyle w:val="ListParagraph"/>
        <w:numPr>
          <w:ilvl w:val="0"/>
          <w:numId w:val="21"/>
        </w:numPr>
        <w:spacing w:line="360" w:lineRule="auto"/>
        <w:jc w:val="both"/>
        <w:rPr>
          <w:rFonts w:ascii="Times New Roman" w:hAnsi="Times New Roman" w:cs="Times New Roman"/>
          <w:bCs/>
          <w:kern w:val="28"/>
          <w:sz w:val="24"/>
          <w:szCs w:val="24"/>
        </w:rPr>
      </w:pPr>
      <w:r w:rsidRPr="008E3E49">
        <w:rPr>
          <w:rFonts w:ascii="Times New Roman" w:hAnsi="Times New Roman" w:cs="Times New Roman"/>
          <w:bCs/>
          <w:kern w:val="28"/>
          <w:sz w:val="24"/>
          <w:szCs w:val="24"/>
        </w:rPr>
        <w:t>Conduct further research on the conditions under which the Monte Carlo Simulation might outperform the Black-Scholes Model, especially for mid-cap stocks and less volatile assets.</w:t>
      </w:r>
    </w:p>
    <w:p w14:paraId="316D1D45" w14:textId="77777777" w:rsidR="002849EA" w:rsidRDefault="002849EA" w:rsidP="002849EA">
      <w:pPr>
        <w:pStyle w:val="ListParagraph"/>
        <w:numPr>
          <w:ilvl w:val="0"/>
          <w:numId w:val="21"/>
        </w:numPr>
        <w:spacing w:line="360" w:lineRule="auto"/>
        <w:jc w:val="both"/>
        <w:rPr>
          <w:rFonts w:ascii="Times New Roman" w:hAnsi="Times New Roman" w:cs="Times New Roman"/>
          <w:bCs/>
          <w:kern w:val="28"/>
          <w:sz w:val="24"/>
          <w:szCs w:val="24"/>
        </w:rPr>
      </w:pPr>
      <w:r w:rsidRPr="008E3E49">
        <w:rPr>
          <w:rFonts w:ascii="Times New Roman" w:hAnsi="Times New Roman" w:cs="Times New Roman"/>
          <w:bCs/>
          <w:kern w:val="28"/>
          <w:sz w:val="24"/>
          <w:szCs w:val="24"/>
        </w:rPr>
        <w:t>Increase the sample size and include a wider range of stocks to strengthen the generalizability of the findings and improve model accuracy.</w:t>
      </w:r>
    </w:p>
    <w:p w14:paraId="4208AA8C" w14:textId="77777777" w:rsidR="002849EA" w:rsidRDefault="002849EA" w:rsidP="002849EA">
      <w:pPr>
        <w:pStyle w:val="ListParagraph"/>
        <w:numPr>
          <w:ilvl w:val="0"/>
          <w:numId w:val="21"/>
        </w:numPr>
        <w:spacing w:line="360" w:lineRule="auto"/>
        <w:jc w:val="both"/>
        <w:rPr>
          <w:rFonts w:ascii="Times New Roman" w:hAnsi="Times New Roman" w:cs="Times New Roman"/>
          <w:bCs/>
          <w:kern w:val="28"/>
          <w:sz w:val="24"/>
          <w:szCs w:val="24"/>
        </w:rPr>
      </w:pPr>
      <w:r w:rsidRPr="008E3E49">
        <w:rPr>
          <w:rFonts w:ascii="Times New Roman" w:hAnsi="Times New Roman" w:cs="Times New Roman"/>
          <w:bCs/>
          <w:kern w:val="28"/>
          <w:sz w:val="24"/>
          <w:szCs w:val="24"/>
        </w:rPr>
        <w:t>Explore how the performance of both models varies under different market conditions (e.g., bull, bear, volatile) to assess their robustness.</w:t>
      </w:r>
    </w:p>
    <w:p w14:paraId="61838577" w14:textId="77777777" w:rsidR="002849EA" w:rsidRPr="008E3E49" w:rsidRDefault="002849EA" w:rsidP="002849EA">
      <w:pPr>
        <w:spacing w:line="360" w:lineRule="auto"/>
        <w:jc w:val="both"/>
        <w:rPr>
          <w:rFonts w:ascii="Times New Roman" w:hAnsi="Times New Roman" w:cs="Times New Roman"/>
          <w:bCs/>
          <w:kern w:val="28"/>
          <w:sz w:val="24"/>
          <w:szCs w:val="24"/>
        </w:rPr>
      </w:pPr>
    </w:p>
    <w:p w14:paraId="0DA40073" w14:textId="70A44531" w:rsidR="002849EA" w:rsidRPr="00646C4C" w:rsidRDefault="002849EA" w:rsidP="002849EA">
      <w:pPr>
        <w:spacing w:line="360" w:lineRule="auto"/>
        <w:jc w:val="both"/>
        <w:rPr>
          <w:rFonts w:ascii="Times New Roman" w:hAnsi="Times New Roman" w:cs="Times New Roman"/>
          <w:bCs/>
          <w:kern w:val="28"/>
          <w:sz w:val="24"/>
          <w:szCs w:val="24"/>
        </w:rPr>
      </w:pPr>
      <w:r>
        <w:rPr>
          <w:rFonts w:ascii="Times New Roman" w:hAnsi="Times New Roman" w:cs="Times New Roman"/>
          <w:b/>
          <w:kern w:val="28"/>
          <w:sz w:val="28"/>
          <w:szCs w:val="28"/>
        </w:rPr>
        <w:t xml:space="preserve">CONCLUSION: </w:t>
      </w:r>
    </w:p>
    <w:p w14:paraId="40F2410F" w14:textId="77777777" w:rsidR="00A04F73" w:rsidRDefault="00A04F73" w:rsidP="00A04F73">
      <w:pPr>
        <w:spacing w:line="360" w:lineRule="auto"/>
        <w:jc w:val="both"/>
        <w:rPr>
          <w:rFonts w:ascii="Times New Roman" w:hAnsi="Times New Roman" w:cs="Times New Roman"/>
          <w:bCs/>
          <w:kern w:val="28"/>
          <w:sz w:val="24"/>
          <w:szCs w:val="24"/>
        </w:rPr>
      </w:pPr>
      <w:r w:rsidRPr="00A04F73">
        <w:rPr>
          <w:rFonts w:ascii="Times New Roman" w:hAnsi="Times New Roman" w:cs="Times New Roman"/>
          <w:bCs/>
          <w:kern w:val="28"/>
          <w:sz w:val="24"/>
          <w:szCs w:val="24"/>
        </w:rPr>
        <w:t>Analysing</w:t>
      </w:r>
      <w:r w:rsidRPr="00A04F73">
        <w:rPr>
          <w:rFonts w:ascii="Times New Roman" w:hAnsi="Times New Roman" w:cs="Times New Roman"/>
          <w:bCs/>
          <w:kern w:val="28"/>
          <w:sz w:val="24"/>
          <w:szCs w:val="24"/>
        </w:rPr>
        <w:t xml:space="preserve"> market capitalization and option pricing models in India reveals clear patterns. Maharashtra dominates market capitalization, but regional disparities persist. Financial services lead large-cap stocks, while mid-caps have a similar skew. For option pricing, the Black-Scholes Model consistently outperformed Monte Carlo Simulation, especially for volatile large and mid-cap stocks. Statistical analysis supports its accuracy. While BSM is generally superior, market conditions and individual stock characteristics can influence model performance. Further research with a broader dataset and controlled conditions is needed for a more comprehensive understanding.</w:t>
      </w:r>
    </w:p>
    <w:p w14:paraId="45AF9B54" w14:textId="292D1102" w:rsidR="002849EA" w:rsidRPr="00A04F73" w:rsidRDefault="002849EA" w:rsidP="00A04F73">
      <w:pPr>
        <w:spacing w:line="360" w:lineRule="auto"/>
        <w:jc w:val="both"/>
        <w:rPr>
          <w:rFonts w:ascii="Times New Roman" w:hAnsi="Times New Roman" w:cs="Times New Roman"/>
          <w:bCs/>
          <w:kern w:val="28"/>
          <w:sz w:val="24"/>
          <w:szCs w:val="24"/>
        </w:rPr>
      </w:pPr>
      <w:r w:rsidRPr="002849EA">
        <w:rPr>
          <w:rFonts w:ascii="Times New Roman" w:eastAsiaTheme="majorEastAsia" w:hAnsi="Times New Roman" w:cs="Times New Roman"/>
          <w:b/>
          <w:bCs/>
          <w:kern w:val="0"/>
          <w:sz w:val="28"/>
          <w:szCs w:val="28"/>
          <w:lang w:val="en-US"/>
          <w14:ligatures w14:val="none"/>
        </w:rPr>
        <w:t>REFERENCES:</w:t>
      </w:r>
    </w:p>
    <w:sdt>
      <w:sdtPr>
        <w:rPr>
          <w:rFonts w:ascii="Times New Roman" w:hAnsi="Times New Roman" w:cs="Times New Roman"/>
          <w:sz w:val="24"/>
          <w:szCs w:val="24"/>
        </w:rPr>
        <w:id w:val="-573587230"/>
        <w:bibliography/>
      </w:sdtPr>
      <w:sdtContent>
        <w:p w14:paraId="7CE6BFBA" w14:textId="77777777" w:rsidR="002849EA" w:rsidRPr="002849EA" w:rsidRDefault="002849EA" w:rsidP="002849EA">
          <w:pPr>
            <w:numPr>
              <w:ilvl w:val="0"/>
              <w:numId w:val="22"/>
            </w:numPr>
            <w:spacing w:line="360" w:lineRule="auto"/>
            <w:rPr>
              <w:rFonts w:ascii="Times New Roman" w:hAnsi="Times New Roman" w:cs="Times New Roman"/>
              <w:noProof/>
              <w:kern w:val="0"/>
              <w:sz w:val="24"/>
              <w:szCs w:val="24"/>
              <w:lang w:val="en-US"/>
              <w14:ligatures w14:val="none"/>
            </w:rPr>
          </w:pPr>
          <w:r w:rsidRPr="002849EA">
            <w:rPr>
              <w:rFonts w:ascii="Times New Roman" w:hAnsi="Times New Roman" w:cs="Times New Roman"/>
              <w:sz w:val="24"/>
              <w:szCs w:val="24"/>
            </w:rPr>
            <w:fldChar w:fldCharType="begin"/>
          </w:r>
          <w:r w:rsidRPr="002849EA">
            <w:rPr>
              <w:rFonts w:ascii="Times New Roman" w:hAnsi="Times New Roman" w:cs="Times New Roman"/>
              <w:sz w:val="24"/>
              <w:szCs w:val="24"/>
            </w:rPr>
            <w:instrText xml:space="preserve"> BIBLIOGRAPHY </w:instrText>
          </w:r>
          <w:r w:rsidRPr="002849EA">
            <w:rPr>
              <w:rFonts w:ascii="Times New Roman" w:hAnsi="Times New Roman" w:cs="Times New Roman"/>
              <w:sz w:val="24"/>
              <w:szCs w:val="24"/>
            </w:rPr>
            <w:fldChar w:fldCharType="separate"/>
          </w:r>
          <w:r w:rsidRPr="002849EA">
            <w:rPr>
              <w:rFonts w:ascii="Times New Roman" w:hAnsi="Times New Roman" w:cs="Times New Roman"/>
              <w:noProof/>
              <w:sz w:val="24"/>
              <w:szCs w:val="24"/>
              <w:lang w:val="en-US"/>
            </w:rPr>
            <w:t>A.S. Shinde, K. T. (2012). Retrieved from https://www.sciencedirect.com/science/article/pii/S1877705812019480</w:t>
          </w:r>
        </w:p>
        <w:p w14:paraId="3B563716"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Ahmad Golbabai, O. N. (2019). Retrieved from chrome-extension://efaidnbmnnnibpcajpcglclefindmkaj/https://app.cafeprozhe.com/storage/files/project/ikqG82CUKzeWBW2hoBRe5pQWXLa2hOz56XVgHrMR.pdf</w:t>
          </w:r>
        </w:p>
        <w:p w14:paraId="758C0BD9"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Amir Ahmad Dar, N. A. (2017). Retrieved from chrome-extension://efaidnbmnnnibpcajpcglclefindmkaj/https://www.researchgate.net/profile/AmirDar/publication/319643467_Option_Pricing_Using_Monte_Carlo_Simulation/links/5a2e112f0f7e9b63e53d3f64/Option-Pricing-Using-Monte-Carlo-Simulation.pdf</w:t>
          </w:r>
        </w:p>
        <w:p w14:paraId="18AF8144"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Anuradha, A. A. (2018). Retrieved from chrome-extension://efaidnbmnnnibpcajpcglclefindmkaj/https://www.aimspress.com/fileOther/PDF/QFE/QFE-02-01-230.pdf</w:t>
          </w:r>
        </w:p>
        <w:p w14:paraId="1FFEC3E1"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 xml:space="preserve">Bill, 9. d. (n.d.). </w:t>
          </w:r>
          <w:r w:rsidRPr="002849EA">
            <w:rPr>
              <w:rFonts w:ascii="Times New Roman" w:hAnsi="Times New Roman" w:cs="Times New Roman"/>
              <w:i/>
              <w:iCs/>
              <w:noProof/>
              <w:sz w:val="24"/>
              <w:szCs w:val="24"/>
              <w:lang w:val="en-US"/>
            </w:rPr>
            <w:t>Investopedia</w:t>
          </w:r>
          <w:r w:rsidRPr="002849EA">
            <w:rPr>
              <w:rFonts w:ascii="Times New Roman" w:hAnsi="Times New Roman" w:cs="Times New Roman"/>
              <w:noProof/>
              <w:sz w:val="24"/>
              <w:szCs w:val="24"/>
              <w:lang w:val="en-US"/>
            </w:rPr>
            <w:t>. Retrieved from • https://www.investopedia.com/ask/answers/040915/how-riskfree-rate-determined-when-calculating-market-risk-premium.asp#:~:text=Since%20T%2Dbills%20are%20paid,form%20of%20zero%2Dcoupon%20bond.</w:t>
          </w:r>
        </w:p>
        <w:p w14:paraId="0BAD4EBB"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 xml:space="preserve">Categories, M. C. (n.d.). </w:t>
          </w:r>
          <w:r w:rsidRPr="002849EA">
            <w:rPr>
              <w:rFonts w:ascii="Times New Roman" w:hAnsi="Times New Roman" w:cs="Times New Roman"/>
              <w:i/>
              <w:iCs/>
              <w:noProof/>
              <w:sz w:val="24"/>
              <w:szCs w:val="24"/>
              <w:lang w:val="en-US"/>
            </w:rPr>
            <w:t>Economic Times</w:t>
          </w:r>
          <w:r w:rsidRPr="002849EA">
            <w:rPr>
              <w:rFonts w:ascii="Times New Roman" w:hAnsi="Times New Roman" w:cs="Times New Roman"/>
              <w:noProof/>
              <w:sz w:val="24"/>
              <w:szCs w:val="24"/>
              <w:lang w:val="en-US"/>
            </w:rPr>
            <w:t>. Retrieved from • https://economictimes.indiatimes.com/mf/anal</w:t>
          </w:r>
          <w:r w:rsidRPr="002849EA">
            <w:rPr>
              <w:rFonts w:ascii="Times New Roman" w:hAnsi="Times New Roman" w:cs="Times New Roman"/>
              <w:noProof/>
              <w:sz w:val="24"/>
              <w:szCs w:val="24"/>
              <w:lang w:val="en-US"/>
            </w:rPr>
            <w:lastRenderedPageBreak/>
            <w:t>ysis/mid-smallcap-fund-do-we-need-a-new-category-targeting-both-mid-and-small-ap-stocks/articleshow/110268289.cms?from=mdr</w:t>
          </w:r>
        </w:p>
        <w:p w14:paraId="12B2140F"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Dr. R.Srinivasan, D. L. (2024). Retrieved from https://www.kuey.net/index.php/kuey/article/download/6230/4538</w:t>
          </w:r>
        </w:p>
        <w:p w14:paraId="54B838CC"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Henri Berestycki, J. B. (2004). Retrieved from chrome-extension://efaidnbmnnnibpcajpcglclefindmkaj/https://citeseerx.ist.psu.edu/document?repid=rep1&amp;type=pdf&amp;doi=feea0a57da4dc2ddb0248b7601e8205ea254e157</w:t>
          </w:r>
        </w:p>
        <w:p w14:paraId="3A67D089"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 xml:space="preserve">Interest, R. F. (n.d.). </w:t>
          </w:r>
          <w:r w:rsidRPr="002849EA">
            <w:rPr>
              <w:rFonts w:ascii="Times New Roman" w:hAnsi="Times New Roman" w:cs="Times New Roman"/>
              <w:i/>
              <w:iCs/>
              <w:noProof/>
              <w:sz w:val="24"/>
              <w:szCs w:val="24"/>
              <w:lang w:val="en-US"/>
            </w:rPr>
            <w:t>ViewPoint</w:t>
          </w:r>
          <w:r w:rsidRPr="002849EA">
            <w:rPr>
              <w:rFonts w:ascii="Times New Roman" w:hAnsi="Times New Roman" w:cs="Times New Roman"/>
              <w:noProof/>
              <w:sz w:val="24"/>
              <w:szCs w:val="24"/>
              <w:lang w:val="en-US"/>
            </w:rPr>
            <w:t>. Retrieved from • https://viewpoint.pwc.com/dt/us/en/pwc/accounting_guides/stockbased_compensat/stockbased_compensat__3_US/chapter_9_developing_US/95_riskfree_interest_US.html</w:t>
          </w:r>
        </w:p>
        <w:p w14:paraId="3BB7FD39"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Jankova, Z. (2018). Retrieved from chromeextension://efaidnbmnnnibpcajpcglclefindmkaj/https://ibimapublishing.com/articles/JFSR/2018/179814/179814.pdf</w:t>
          </w:r>
        </w:p>
        <w:p w14:paraId="1C7A4B4D"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Kroese, R. Y. (2008). Retrieved from http://r-studio.ir/Download/Simulation%20_%20The%20Monte%20Carlo%20Method.pdf</w:t>
          </w:r>
        </w:p>
        <w:p w14:paraId="1AA7896A"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Krznaric, M. J. (2016). Retrieved from chrome-extension://efaidnbmnnnibpcajpcglclefindmkaj/https://ideaexchange.uakron.edu/cgi/viewcontent.cgi?article=1410&amp;context=honors_research_projects</w:t>
          </w:r>
        </w:p>
        <w:p w14:paraId="284F6314"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Li, P. L. (2020). Retrieved from chrome-extension://efaidnbmnnnibpcajpcglclefindmkaj</w:t>
          </w:r>
          <w:r w:rsidRPr="002849EA">
            <w:rPr>
              <w:rFonts w:ascii="Times New Roman" w:hAnsi="Times New Roman" w:cs="Times New Roman"/>
              <w:noProof/>
              <w:sz w:val="24"/>
              <w:szCs w:val="24"/>
              <w:lang w:val="en-US"/>
            </w:rPr>
            <w:t>/https://otik.uk.zcu.cz/bitstream/11025/36975/1/EM_2_2020_10.pdf</w:t>
          </w:r>
        </w:p>
        <w:p w14:paraId="0898B941"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Manjunatha, A. K. (2018). Retrieved from https://www.aimsinternational.org/aims16/16ACD/PDF/A-226-Final.pdf</w:t>
          </w:r>
        </w:p>
        <w:p w14:paraId="6607B4EC"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Monsurat Foluke Salami. (2024). Retrieved from C:\Users\HP\Downloads\fams-10-1216386.pdf</w:t>
          </w:r>
        </w:p>
        <w:p w14:paraId="50B4B86C"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Muhammad Sheraza, V. P. (2013). Retrieved from chrome-extension://efaidnbmnnnibpcajpcglclefindmkaj/https://core.ac.uk/download/pdf/82261152.pdf</w:t>
          </w:r>
        </w:p>
        <w:p w14:paraId="4013D649"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 xml:space="preserve">Rate, G. B. (n.d.). </w:t>
          </w:r>
          <w:r w:rsidRPr="002849EA">
            <w:rPr>
              <w:rFonts w:ascii="Times New Roman" w:hAnsi="Times New Roman" w:cs="Times New Roman"/>
              <w:i/>
              <w:iCs/>
              <w:noProof/>
              <w:sz w:val="24"/>
              <w:szCs w:val="24"/>
              <w:lang w:val="en-US"/>
            </w:rPr>
            <w:t>RBI</w:t>
          </w:r>
          <w:r w:rsidRPr="002849EA">
            <w:rPr>
              <w:rFonts w:ascii="Times New Roman" w:hAnsi="Times New Roman" w:cs="Times New Roman"/>
              <w:noProof/>
              <w:sz w:val="24"/>
              <w:szCs w:val="24"/>
              <w:lang w:val="en-US"/>
            </w:rPr>
            <w:t>. Retrieved from https://www.rbi.org.in/</w:t>
          </w:r>
        </w:p>
        <w:p w14:paraId="54107A32"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 xml:space="preserve">Rate, R. F. (n.d.). </w:t>
          </w:r>
          <w:r w:rsidRPr="002849EA">
            <w:rPr>
              <w:rFonts w:ascii="Times New Roman" w:hAnsi="Times New Roman" w:cs="Times New Roman"/>
              <w:i/>
              <w:iCs/>
              <w:noProof/>
              <w:sz w:val="24"/>
              <w:szCs w:val="24"/>
              <w:lang w:val="en-US"/>
            </w:rPr>
            <w:t>Investopedia</w:t>
          </w:r>
          <w:r w:rsidRPr="002849EA">
            <w:rPr>
              <w:rFonts w:ascii="Times New Roman" w:hAnsi="Times New Roman" w:cs="Times New Roman"/>
              <w:noProof/>
              <w:sz w:val="24"/>
              <w:szCs w:val="24"/>
              <w:lang w:val="en-US"/>
            </w:rPr>
            <w:t>. Retrieved from • https://www.investopedia.com/terms/r/riskfreerate.asp#:~:text=In%20practice%2C%20a%20truly%20risk,as%20their%20risk%2Dfree%20rate.</w:t>
          </w:r>
        </w:p>
        <w:p w14:paraId="172CBB8A"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Seda Gulen, C. P. (2019). Retrieved from https://www.mdpi.com/2227-7390/7/8/760/pdf</w:t>
          </w:r>
        </w:p>
        <w:p w14:paraId="2A235BC6"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Shastri, A. S. (2020). Retrieved from https://drive.google.com/file/d/1OG79BdYYD2V7xWgMyOmHGZJUr4UaqpFh/view?usp=drive_link</w:t>
          </w:r>
        </w:p>
        <w:p w14:paraId="29848F13"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Teneng, D. (2011). Retrieved from chrome-extension://efaidnbmnnnibpcajpcglclefindmkaj/https://convention.vse.cz/media/Collection_2011_Volume_01.pdf</w:t>
          </w:r>
        </w:p>
        <w:p w14:paraId="5D71A511"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lastRenderedPageBreak/>
            <w:t>Vevek, A. M. (2015). Retrieved from http://www.pbr.co.in/2015/2015_month/Sep/12.pdf</w:t>
          </w:r>
        </w:p>
        <w:p w14:paraId="6BD65CDB"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 xml:space="preserve">Volatility, I. (n.d.). </w:t>
          </w:r>
          <w:r w:rsidRPr="002849EA">
            <w:rPr>
              <w:rFonts w:ascii="Times New Roman" w:hAnsi="Times New Roman" w:cs="Times New Roman"/>
              <w:i/>
              <w:iCs/>
              <w:noProof/>
              <w:sz w:val="24"/>
              <w:szCs w:val="24"/>
              <w:lang w:val="en-US"/>
            </w:rPr>
            <w:t>Option Price</w:t>
          </w:r>
          <w:r w:rsidRPr="002849EA">
            <w:rPr>
              <w:rFonts w:ascii="Times New Roman" w:hAnsi="Times New Roman" w:cs="Times New Roman"/>
              <w:noProof/>
              <w:sz w:val="24"/>
              <w:szCs w:val="24"/>
              <w:lang w:val="en-US"/>
            </w:rPr>
            <w:t>. Retrieved from https://www.option-price.com/implied-volatility.php</w:t>
          </w:r>
        </w:p>
        <w:p w14:paraId="19B53C0A"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Westerlund, I. M. (2021). Retrieved from chrome-extension://efaidnbmnnnibpcajpcglclefindmkaj/https://gupea.ub.gu.se/bitstream/handle/2077/71238/21%2022%203.pdf?sequence=1&amp;isAllowed=y</w:t>
          </w:r>
        </w:p>
        <w:p w14:paraId="58CD167C"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Yao Elikem Ayekple, C. K. (2018). Retrieved from https://ccsenet.org/journal/index.php/jmr/article/view/0/37663</w:t>
          </w:r>
        </w:p>
        <w:p w14:paraId="4EE47E7E" w14:textId="77777777" w:rsidR="002849EA" w:rsidRPr="002849EA" w:rsidRDefault="002849EA" w:rsidP="002849EA">
          <w:pPr>
            <w:numPr>
              <w:ilvl w:val="0"/>
              <w:numId w:val="22"/>
            </w:numPr>
            <w:spacing w:line="360" w:lineRule="auto"/>
            <w:rPr>
              <w:rFonts w:ascii="Times New Roman" w:hAnsi="Times New Roman" w:cs="Times New Roman"/>
              <w:noProof/>
              <w:sz w:val="24"/>
              <w:szCs w:val="24"/>
              <w:lang w:val="en-US"/>
            </w:rPr>
          </w:pPr>
          <w:r w:rsidRPr="002849EA">
            <w:rPr>
              <w:rFonts w:ascii="Times New Roman" w:hAnsi="Times New Roman" w:cs="Times New Roman"/>
              <w:noProof/>
              <w:sz w:val="24"/>
              <w:szCs w:val="24"/>
              <w:lang w:val="en-US"/>
            </w:rPr>
            <w:t xml:space="preserve">Zetoun, M. (2013). Retrieved from C:\Users\HP\Downloads\DOC-20240509-WA0007_ </w:t>
          </w:r>
        </w:p>
        <w:p w14:paraId="2ED593BF" w14:textId="77777777" w:rsidR="002849EA" w:rsidRPr="002849EA" w:rsidRDefault="002849EA" w:rsidP="002849EA">
          <w:pPr>
            <w:spacing w:line="360" w:lineRule="auto"/>
            <w:rPr>
              <w:rFonts w:ascii="Times New Roman" w:hAnsi="Times New Roman" w:cs="Times New Roman"/>
              <w:sz w:val="24"/>
              <w:szCs w:val="24"/>
            </w:rPr>
          </w:pPr>
          <w:r w:rsidRPr="002849EA">
            <w:rPr>
              <w:rFonts w:ascii="Times New Roman" w:hAnsi="Times New Roman" w:cs="Times New Roman"/>
              <w:b/>
              <w:bCs/>
              <w:noProof/>
              <w:sz w:val="24"/>
              <w:szCs w:val="24"/>
            </w:rPr>
            <w:fldChar w:fldCharType="end"/>
          </w:r>
        </w:p>
      </w:sdtContent>
    </w:sdt>
    <w:p w14:paraId="5291D669" w14:textId="77777777" w:rsidR="002849EA" w:rsidRPr="002849EA" w:rsidRDefault="002849EA" w:rsidP="002849EA">
      <w:pPr>
        <w:spacing w:line="360" w:lineRule="auto"/>
        <w:rPr>
          <w:rFonts w:ascii="Times New Roman" w:hAnsi="Times New Roman" w:cs="Times New Roman"/>
          <w:sz w:val="24"/>
          <w:szCs w:val="24"/>
        </w:rPr>
      </w:pPr>
    </w:p>
    <w:p w14:paraId="12964F21" w14:textId="75631719" w:rsidR="00A45261" w:rsidRPr="002849EA" w:rsidRDefault="00A45261" w:rsidP="002849EA">
      <w:pPr>
        <w:rPr>
          <w:rFonts w:ascii="Times New Roman" w:hAnsi="Times New Roman" w:cs="Times New Roman"/>
          <w:b/>
          <w:iCs/>
          <w:kern w:val="28"/>
          <w:sz w:val="24"/>
          <w:szCs w:val="24"/>
        </w:rPr>
      </w:pPr>
    </w:p>
    <w:p w14:paraId="6B5581DD" w14:textId="4DF7CBCC" w:rsidR="006F4227" w:rsidRDefault="006F4227" w:rsidP="006F4227">
      <w:pPr>
        <w:spacing w:line="360" w:lineRule="auto"/>
        <w:jc w:val="both"/>
        <w:rPr>
          <w:rFonts w:ascii="Times New Roman" w:hAnsi="Times New Roman" w:cs="Times New Roman"/>
          <w:bCs/>
          <w:kern w:val="28"/>
          <w:sz w:val="24"/>
          <w:szCs w:val="24"/>
        </w:rPr>
      </w:pPr>
    </w:p>
    <w:p w14:paraId="33FF50D6" w14:textId="2596A16F" w:rsidR="006F4227" w:rsidRDefault="006F4227" w:rsidP="006F4227">
      <w:pPr>
        <w:spacing w:line="360" w:lineRule="auto"/>
        <w:jc w:val="both"/>
        <w:rPr>
          <w:rFonts w:ascii="Times New Roman" w:hAnsi="Times New Roman" w:cs="Times New Roman"/>
          <w:bCs/>
          <w:kern w:val="28"/>
          <w:sz w:val="24"/>
          <w:szCs w:val="24"/>
        </w:rPr>
      </w:pPr>
    </w:p>
    <w:p w14:paraId="542E622D" w14:textId="72BA4847" w:rsidR="00DE2E94" w:rsidRDefault="006F4227" w:rsidP="004259BA">
      <w:pPr>
        <w:spacing w:line="360" w:lineRule="auto"/>
        <w:jc w:val="both"/>
        <w:rPr>
          <w:rFonts w:ascii="Times New Roman" w:hAnsi="Times New Roman" w:cs="Times New Roman"/>
          <w:b/>
          <w:kern w:val="28"/>
          <w:sz w:val="28"/>
          <w:szCs w:val="28"/>
        </w:rPr>
      </w:pPr>
      <w:r>
        <w:rPr>
          <w:bCs/>
          <w:kern w:val="28"/>
        </w:rPr>
        <w:t xml:space="preserve"> </w:t>
      </w:r>
    </w:p>
    <w:p w14:paraId="0512558B" w14:textId="77777777" w:rsidR="008E149C" w:rsidRPr="008E149C" w:rsidRDefault="008E149C" w:rsidP="008E149C">
      <w:pPr>
        <w:spacing w:line="360" w:lineRule="auto"/>
        <w:jc w:val="both"/>
        <w:rPr>
          <w:rFonts w:ascii="Times New Roman" w:hAnsi="Times New Roman" w:cs="Times New Roman"/>
          <w:sz w:val="24"/>
          <w:szCs w:val="24"/>
        </w:rPr>
      </w:pPr>
    </w:p>
    <w:sectPr w:rsidR="008E149C" w:rsidRPr="008E149C" w:rsidSect="001A5178">
      <w:type w:val="continuous"/>
      <w:pgSz w:w="11906" w:h="16838"/>
      <w:pgMar w:top="720" w:right="720" w:bottom="720" w:left="720" w:header="708" w:footer="708" w:gutter="0"/>
      <w:pgBorders w:offsetFrom="page">
        <w:top w:val="thinThickSmallGap" w:sz="18" w:space="24" w:color="auto"/>
        <w:left w:val="thinThickSmallGap" w:sz="18" w:space="24" w:color="auto"/>
        <w:bottom w:val="thickThinSmallGap" w:sz="18" w:space="24" w:color="auto"/>
        <w:right w:val="thickThinSmallGap" w:sz="18" w:space="24" w:color="auto"/>
      </w:pgBorders>
      <w:cols w:num="2" w:space="62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9847E3" w14:textId="77777777" w:rsidR="002D7F4A" w:rsidRDefault="002D7F4A" w:rsidP="00941D9E">
      <w:pPr>
        <w:spacing w:after="0" w:line="240" w:lineRule="auto"/>
      </w:pPr>
      <w:r>
        <w:separator/>
      </w:r>
    </w:p>
  </w:endnote>
  <w:endnote w:type="continuationSeparator" w:id="0">
    <w:p w14:paraId="53A5921D" w14:textId="77777777" w:rsidR="002D7F4A" w:rsidRDefault="002D7F4A" w:rsidP="00941D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55106999"/>
      <w:docPartObj>
        <w:docPartGallery w:val="Page Numbers (Bottom of Page)"/>
        <w:docPartUnique/>
      </w:docPartObj>
    </w:sdtPr>
    <w:sdtEndPr>
      <w:rPr>
        <w:noProof/>
      </w:rPr>
    </w:sdtEndPr>
    <w:sdtContent>
      <w:p w14:paraId="1CD8F4C5" w14:textId="0534769B" w:rsidR="00941D9E" w:rsidRDefault="00941D9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CBDCC4C" w14:textId="77777777" w:rsidR="00941D9E" w:rsidRDefault="00941D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6DCA72" w14:textId="77777777" w:rsidR="002D7F4A" w:rsidRDefault="002D7F4A" w:rsidP="00941D9E">
      <w:pPr>
        <w:spacing w:after="0" w:line="240" w:lineRule="auto"/>
      </w:pPr>
      <w:r>
        <w:separator/>
      </w:r>
    </w:p>
  </w:footnote>
  <w:footnote w:type="continuationSeparator" w:id="0">
    <w:p w14:paraId="178BD0E9" w14:textId="77777777" w:rsidR="002D7F4A" w:rsidRDefault="002D7F4A" w:rsidP="00941D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A2EC9"/>
    <w:multiLevelType w:val="hybridMultilevel"/>
    <w:tmpl w:val="674081A2"/>
    <w:lvl w:ilvl="0" w:tplc="FFFFFFFF">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10F26A3"/>
    <w:multiLevelType w:val="hybridMultilevel"/>
    <w:tmpl w:val="7632F7B0"/>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1C91164"/>
    <w:multiLevelType w:val="multilevel"/>
    <w:tmpl w:val="920C76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E6429CB"/>
    <w:multiLevelType w:val="hybridMultilevel"/>
    <w:tmpl w:val="1D8A7E5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F844AC2"/>
    <w:multiLevelType w:val="hybridMultilevel"/>
    <w:tmpl w:val="64BCFF22"/>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0313E54"/>
    <w:multiLevelType w:val="hybridMultilevel"/>
    <w:tmpl w:val="2E64190C"/>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3FC44B6"/>
    <w:multiLevelType w:val="hybridMultilevel"/>
    <w:tmpl w:val="2FA2A32A"/>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6205260"/>
    <w:multiLevelType w:val="hybridMultilevel"/>
    <w:tmpl w:val="EB9A33A0"/>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2A0A7A57"/>
    <w:multiLevelType w:val="hybridMultilevel"/>
    <w:tmpl w:val="B106CA94"/>
    <w:lvl w:ilvl="0" w:tplc="FFFFFFFF">
      <w:start w:val="1"/>
      <w:numFmt w:val="decimal"/>
      <w:lvlText w:val="%1."/>
      <w:lvlJc w:val="left"/>
      <w:pPr>
        <w:ind w:left="720" w:hanging="360"/>
      </w:pPr>
    </w:lvl>
    <w:lvl w:ilvl="1" w:tplc="05FAA446">
      <w:start w:val="1"/>
      <w:numFmt w:val="decimal"/>
      <w:lvlText w:val="%2."/>
      <w:lvlJc w:val="left"/>
      <w:pPr>
        <w:ind w:left="360" w:hanging="360"/>
      </w:pPr>
      <w:rPr>
        <w:sz w:val="28"/>
        <w:szCs w:val="28"/>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EA94958"/>
    <w:multiLevelType w:val="hybridMultilevel"/>
    <w:tmpl w:val="1A324580"/>
    <w:lvl w:ilvl="0" w:tplc="4009001B">
      <w:start w:val="1"/>
      <w:numFmt w:val="lowerRoman"/>
      <w:lvlText w:val="%1."/>
      <w:lvlJc w:val="right"/>
      <w:pPr>
        <w:ind w:left="360" w:hanging="360"/>
      </w:pPr>
      <w:rPr>
        <w:rFont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 w15:restartNumberingAfterBreak="0">
    <w:nsid w:val="2F5B636D"/>
    <w:multiLevelType w:val="hybridMultilevel"/>
    <w:tmpl w:val="5E2AFC52"/>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D24419D"/>
    <w:multiLevelType w:val="hybridMultilevel"/>
    <w:tmpl w:val="C0A05B94"/>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A6669FF"/>
    <w:multiLevelType w:val="hybridMultilevel"/>
    <w:tmpl w:val="76E82D4E"/>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4C76074E"/>
    <w:multiLevelType w:val="hybridMultilevel"/>
    <w:tmpl w:val="168E9F44"/>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FD44FB7"/>
    <w:multiLevelType w:val="hybridMultilevel"/>
    <w:tmpl w:val="DAAA3A00"/>
    <w:lvl w:ilvl="0" w:tplc="EBDCDA72">
      <w:start w:val="1"/>
      <w:numFmt w:val="bullet"/>
      <w:lvlText w:val=""/>
      <w:lvlJc w:val="left"/>
      <w:pPr>
        <w:ind w:left="360" w:hanging="360"/>
      </w:pPr>
      <w:rPr>
        <w:rFonts w:ascii="Symbol" w:hAnsi="Symbol" w:hint="default"/>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1D81B78"/>
    <w:multiLevelType w:val="hybridMultilevel"/>
    <w:tmpl w:val="01CE759E"/>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6CA4A5B"/>
    <w:multiLevelType w:val="hybridMultilevel"/>
    <w:tmpl w:val="739C8338"/>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5B8A0903"/>
    <w:multiLevelType w:val="hybridMultilevel"/>
    <w:tmpl w:val="02B89B2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 w15:restartNumberingAfterBreak="0">
    <w:nsid w:val="5EBF1C8A"/>
    <w:multiLevelType w:val="hybridMultilevel"/>
    <w:tmpl w:val="97EE02E0"/>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69F65969"/>
    <w:multiLevelType w:val="hybridMultilevel"/>
    <w:tmpl w:val="2A6852BA"/>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6F351AFC"/>
    <w:multiLevelType w:val="hybridMultilevel"/>
    <w:tmpl w:val="BE6CA8BC"/>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08F0015"/>
    <w:multiLevelType w:val="hybridMultilevel"/>
    <w:tmpl w:val="8EBC5C1C"/>
    <w:lvl w:ilvl="0" w:tplc="4009000D">
      <w:start w:val="1"/>
      <w:numFmt w:val="bullet"/>
      <w:lvlText w:val=""/>
      <w:lvlJc w:val="left"/>
      <w:pPr>
        <w:ind w:left="720" w:hanging="360"/>
      </w:pPr>
      <w:rPr>
        <w:rFonts w:ascii="Wingdings" w:hAnsi="Wingdings" w:hint="default"/>
      </w:rPr>
    </w:lvl>
    <w:lvl w:ilvl="1" w:tplc="4009000D">
      <w:start w:val="1"/>
      <w:numFmt w:val="bullet"/>
      <w:lvlText w:val=""/>
      <w:lvlJc w:val="left"/>
      <w:pPr>
        <w:ind w:left="644" w:hanging="360"/>
      </w:pPr>
      <w:rPr>
        <w:rFonts w:ascii="Wingdings" w:hAnsi="Wingdings"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40293249">
    <w:abstractNumId w:val="3"/>
  </w:num>
  <w:num w:numId="2" w16cid:durableId="1666007646">
    <w:abstractNumId w:val="2"/>
  </w:num>
  <w:num w:numId="3" w16cid:durableId="1532718001">
    <w:abstractNumId w:val="9"/>
  </w:num>
  <w:num w:numId="4" w16cid:durableId="1542012784">
    <w:abstractNumId w:val="18"/>
  </w:num>
  <w:num w:numId="5" w16cid:durableId="768624055">
    <w:abstractNumId w:val="10"/>
  </w:num>
  <w:num w:numId="6" w16cid:durableId="1322094">
    <w:abstractNumId w:val="0"/>
  </w:num>
  <w:num w:numId="7" w16cid:durableId="1374647127">
    <w:abstractNumId w:val="1"/>
  </w:num>
  <w:num w:numId="8" w16cid:durableId="2060545456">
    <w:abstractNumId w:val="13"/>
  </w:num>
  <w:num w:numId="9" w16cid:durableId="490221496">
    <w:abstractNumId w:val="15"/>
  </w:num>
  <w:num w:numId="10" w16cid:durableId="162553407">
    <w:abstractNumId w:val="16"/>
  </w:num>
  <w:num w:numId="11" w16cid:durableId="1611276834">
    <w:abstractNumId w:val="11"/>
  </w:num>
  <w:num w:numId="12" w16cid:durableId="2123261899">
    <w:abstractNumId w:val="5"/>
  </w:num>
  <w:num w:numId="13" w16cid:durableId="1435981568">
    <w:abstractNumId w:val="21"/>
  </w:num>
  <w:num w:numId="14" w16cid:durableId="254293673">
    <w:abstractNumId w:val="4"/>
  </w:num>
  <w:num w:numId="15" w16cid:durableId="1525483339">
    <w:abstractNumId w:val="20"/>
  </w:num>
  <w:num w:numId="16" w16cid:durableId="178203419">
    <w:abstractNumId w:val="19"/>
  </w:num>
  <w:num w:numId="17" w16cid:durableId="1503470738">
    <w:abstractNumId w:val="6"/>
  </w:num>
  <w:num w:numId="18" w16cid:durableId="12463018">
    <w:abstractNumId w:val="12"/>
  </w:num>
  <w:num w:numId="19" w16cid:durableId="751196146">
    <w:abstractNumId w:val="8"/>
  </w:num>
  <w:num w:numId="20" w16cid:durableId="1463187287">
    <w:abstractNumId w:val="7"/>
  </w:num>
  <w:num w:numId="21" w16cid:durableId="1087651045">
    <w:abstractNumId w:val="14"/>
  </w:num>
  <w:num w:numId="22" w16cid:durableId="7123115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149C"/>
    <w:rsid w:val="00020DE4"/>
    <w:rsid w:val="001A5178"/>
    <w:rsid w:val="001B6058"/>
    <w:rsid w:val="002849EA"/>
    <w:rsid w:val="002D7F4A"/>
    <w:rsid w:val="004259BA"/>
    <w:rsid w:val="004421F6"/>
    <w:rsid w:val="00595B43"/>
    <w:rsid w:val="006711E5"/>
    <w:rsid w:val="006F4227"/>
    <w:rsid w:val="00711FD5"/>
    <w:rsid w:val="00732F1C"/>
    <w:rsid w:val="00797732"/>
    <w:rsid w:val="007B746A"/>
    <w:rsid w:val="0087532C"/>
    <w:rsid w:val="008E149C"/>
    <w:rsid w:val="008F6275"/>
    <w:rsid w:val="00937CD0"/>
    <w:rsid w:val="00941D9E"/>
    <w:rsid w:val="00A04F73"/>
    <w:rsid w:val="00A354D4"/>
    <w:rsid w:val="00A45261"/>
    <w:rsid w:val="00AE79E0"/>
    <w:rsid w:val="00DE2E94"/>
    <w:rsid w:val="00E52D2C"/>
    <w:rsid w:val="00F16E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DF75F8"/>
  <w15:chartTrackingRefBased/>
  <w15:docId w15:val="{92A12FCA-7BE0-4F12-9694-7298F205C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04F73"/>
    <w:pPr>
      <w:keepNext/>
      <w:keepLines/>
      <w:spacing w:before="240" w:after="0"/>
      <w:outlineLvl w:val="0"/>
    </w:pPr>
    <w:rPr>
      <w:rFonts w:asciiTheme="majorHAnsi" w:eastAsiaTheme="majorEastAsia" w:hAnsiTheme="majorHAnsi" w:cstheme="majorBidi"/>
      <w:color w:val="2F5496" w:themeColor="accent1" w:themeShade="BF"/>
      <w:kern w:val="0"/>
      <w:sz w:val="32"/>
      <w:szCs w:val="32"/>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149C"/>
    <w:rPr>
      <w:color w:val="0563C1" w:themeColor="hyperlink"/>
      <w:u w:val="single"/>
    </w:rPr>
  </w:style>
  <w:style w:type="character" w:styleId="UnresolvedMention">
    <w:name w:val="Unresolved Mention"/>
    <w:basedOn w:val="DefaultParagraphFont"/>
    <w:uiPriority w:val="99"/>
    <w:semiHidden/>
    <w:unhideWhenUsed/>
    <w:rsid w:val="008E149C"/>
    <w:rPr>
      <w:color w:val="605E5C"/>
      <w:shd w:val="clear" w:color="auto" w:fill="E1DFDD"/>
    </w:rPr>
  </w:style>
  <w:style w:type="paragraph" w:styleId="ListParagraph">
    <w:name w:val="List Paragraph"/>
    <w:basedOn w:val="Normal"/>
    <w:uiPriority w:val="34"/>
    <w:qFormat/>
    <w:rsid w:val="004259BA"/>
    <w:pPr>
      <w:ind w:left="720"/>
      <w:contextualSpacing/>
    </w:pPr>
  </w:style>
  <w:style w:type="paragraph" w:styleId="Header">
    <w:name w:val="header"/>
    <w:basedOn w:val="Normal"/>
    <w:link w:val="HeaderChar"/>
    <w:uiPriority w:val="99"/>
    <w:unhideWhenUsed/>
    <w:rsid w:val="00941D9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41D9E"/>
  </w:style>
  <w:style w:type="paragraph" w:styleId="Footer">
    <w:name w:val="footer"/>
    <w:basedOn w:val="Normal"/>
    <w:link w:val="FooterChar"/>
    <w:uiPriority w:val="99"/>
    <w:unhideWhenUsed/>
    <w:rsid w:val="00941D9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41D9E"/>
  </w:style>
  <w:style w:type="table" w:styleId="TableGrid">
    <w:name w:val="Table Grid"/>
    <w:basedOn w:val="TableNormal"/>
    <w:uiPriority w:val="39"/>
    <w:rsid w:val="0028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04F73"/>
    <w:rPr>
      <w:rFonts w:asciiTheme="majorHAnsi" w:eastAsiaTheme="majorEastAsia" w:hAnsiTheme="majorHAnsi" w:cstheme="majorBidi"/>
      <w:color w:val="2F5496" w:themeColor="accent1" w:themeShade="BF"/>
      <w:kern w:val="0"/>
      <w:sz w:val="32"/>
      <w:szCs w:val="32"/>
      <w:lang w:val="en-US"/>
      <w14:ligatures w14:val="none"/>
    </w:rPr>
  </w:style>
  <w:style w:type="paragraph" w:styleId="Bibliography">
    <w:name w:val="Bibliography"/>
    <w:basedOn w:val="Normal"/>
    <w:next w:val="Normal"/>
    <w:uiPriority w:val="37"/>
    <w:unhideWhenUsed/>
    <w:rsid w:val="00A04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583960">
      <w:bodyDiv w:val="1"/>
      <w:marLeft w:val="0"/>
      <w:marRight w:val="0"/>
      <w:marTop w:val="0"/>
      <w:marBottom w:val="0"/>
      <w:divBdr>
        <w:top w:val="none" w:sz="0" w:space="0" w:color="auto"/>
        <w:left w:val="none" w:sz="0" w:space="0" w:color="auto"/>
        <w:bottom w:val="none" w:sz="0" w:space="0" w:color="auto"/>
        <w:right w:val="none" w:sz="0" w:space="0" w:color="auto"/>
      </w:divBdr>
    </w:div>
    <w:div w:id="1314678802">
      <w:bodyDiv w:val="1"/>
      <w:marLeft w:val="0"/>
      <w:marRight w:val="0"/>
      <w:marTop w:val="0"/>
      <w:marBottom w:val="0"/>
      <w:divBdr>
        <w:top w:val="none" w:sz="0" w:space="0" w:color="auto"/>
        <w:left w:val="none" w:sz="0" w:space="0" w:color="auto"/>
        <w:bottom w:val="none" w:sz="0" w:space="0" w:color="auto"/>
        <w:right w:val="none" w:sz="0" w:space="0" w:color="auto"/>
      </w:divBdr>
    </w:div>
    <w:div w:id="2056925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monisha.mba@sahyadri.edu.in" TargetMode="External"/><Relationship Id="rId4" Type="http://schemas.openxmlformats.org/officeDocument/2006/relationships/settings" Target="settings.xml"/><Relationship Id="rId9" Type="http://schemas.openxmlformats.org/officeDocument/2006/relationships/hyperlink" Target="mailto:sanjana.mba22@sahyadri.edu.i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Anu20</b:Tag>
    <b:SourceType>DocumentFromInternetSite</b:SourceType>
    <b:Guid>{B6C85B60-E703-447D-98E3-B997C5330F73}</b:Guid>
    <b:Author>
      <b:Author>
        <b:NameList>
          <b:Person>
            <b:Last>Shastri</b:Last>
            <b:First>Anubha</b:First>
            <b:Middle>Srivastava and Manjula</b:Middle>
          </b:Person>
        </b:NameList>
      </b:Author>
    </b:Author>
    <b:Year>2020</b:Year>
    <b:URL>https://drive.google.com/file/d/1OG79BdYYD2V7xWgMyOmHGZJUr4UaqpFh/view?usp=drive_link</b:URL>
    <b:RefOrder>1</b:RefOrder>
  </b:Source>
  <b:Source>
    <b:Tag>Zuz18</b:Tag>
    <b:SourceType>InternetSite</b:SourceType>
    <b:Guid>{94C3E469-D902-4888-BE1F-8433418CB939}</b:Guid>
    <b:Year>2018</b:Year>
    <b:URL>chromeextension://efaidnbmnnnibpcajpcglclefindmkaj/https://ibimapublishing.com/articles/JFSR/2018/179814/179814.pdf</b:URL>
    <b:Author>
      <b:Author>
        <b:NameList>
          <b:Person>
            <b:Last>Jankova</b:Last>
            <b:First>Zuzana</b:First>
          </b:Person>
        </b:NameList>
      </b:Author>
    </b:Author>
    <b:RefOrder>2</b:RefOrder>
  </b:Source>
  <b:Source>
    <b:Tag>ASS12</b:Tag>
    <b:SourceType>InternetSite</b:SourceType>
    <b:Guid>{C440713E-7662-4816-A7AD-1A096C08C4DC}</b:Guid>
    <b:Author>
      <b:Author>
        <b:NameList>
          <b:Person>
            <b:Last>A.S. Shinde</b:Last>
            <b:First>K.C.</b:First>
            <b:Middle>Takale</b:Middle>
          </b:Person>
        </b:NameList>
      </b:Author>
    </b:Author>
    <b:Year>2012</b:Year>
    <b:URL>https://www.sciencedirect.com/science/article/pii/S1877705812019480</b:URL>
    <b:RefOrder>8</b:RefOrder>
  </b:Source>
  <b:Source>
    <b:Tag>Hen04</b:Tag>
    <b:SourceType>InternetSite</b:SourceType>
    <b:Guid>{22FE8653-5F33-4A55-9A68-B0EF7B665AF3}</b:Guid>
    <b:Author>
      <b:Author>
        <b:NameList>
          <b:Person>
            <b:Last>Henri Berestycki</b:Last>
            <b:First>Jérôme</b:First>
            <b:Middle>Busca, Igor Florent</b:Middle>
          </b:Person>
        </b:NameList>
      </b:Author>
    </b:Author>
    <b:Year>2004</b:Year>
    <b:URL>chrome-extension://efaidnbmnnnibpcajpcglclefindmkaj/https://citeseerx.ist.psu.edu/document?repid=rep1&amp;type=pdf&amp;doi=feea0a57da4dc2ddb0248b7601e8205ea254e157</b:URL>
    <b:RefOrder>3</b:RefOrder>
  </b:Source>
  <b:Source>
    <b:Tag>Muh13</b:Tag>
    <b:SourceType>InternetSite</b:SourceType>
    <b:Guid>{20AEEFCC-595D-4ADC-9436-5FB9B49A25CE}</b:Guid>
    <b:Author>
      <b:Author>
        <b:NameList>
          <b:Person>
            <b:Last>Muhammad Sheraza</b:Last>
            <b:First>Vasile</b:First>
            <b:Middle>Predaa</b:Middle>
          </b:Person>
        </b:NameList>
      </b:Author>
    </b:Author>
    <b:Year>2013</b:Year>
    <b:URL>chrome-extension://efaidnbmnnnibpcajpcglclefindmkaj/https://core.ac.uk/download/pdf/82261152.pdf</b:URL>
    <b:RefOrder>4</b:RefOrder>
  </b:Source>
  <b:Source>
    <b:Tag>Ami17</b:Tag>
    <b:SourceType>InternetSite</b:SourceType>
    <b:Guid>{8C9AAB03-F2D1-4A3B-A6A2-D64A930AA8A4}</b:Guid>
    <b:Author>
      <b:Author>
        <b:NameList>
          <b:Person>
            <b:Last>Amir Ahmad Dar</b:Last>
            <b:First>N.</b:First>
            <b:Middle>Anuradha, B S Abdur Rahman</b:Middle>
          </b:Person>
        </b:NameList>
      </b:Author>
    </b:Author>
    <b:Year>2017</b:Year>
    <b:URL>chrome-extension://efaidnbmnnnibpcajpcglclefindmkaj/https://www.researchgate.net/profile/AmirDar/publication/319643467_Option_Pricing_Using_Monte_Carlo_Simulation/links/5a2e112f0f7e9b63e53d3f64/Option-Pricing-Using-Monte-Carlo-Simulation.pdf</b:URL>
    <b:RefOrder>5</b:RefOrder>
  </b:Source>
  <b:Source>
    <b:Tag>Mon24</b:Tag>
    <b:SourceType>InternetSite</b:SourceType>
    <b:Guid>{C266D7A3-4813-43DB-B472-F1A2D2994AD9}</b:Guid>
    <b:Year>2024</b:Year>
    <b:URL>C:\Users\HP\Downloads\fams-10-1216386.pdf</b:URL>
    <b:Author>
      <b:Author>
        <b:NameList>
          <b:Person>
            <b:Last>Monsurat Foluke Salami</b:Last>
          </b:Person>
        </b:NameList>
      </b:Author>
    </b:Author>
    <b:RefOrder>6</b:RefOrder>
  </b:Source>
  <b:Source>
    <b:Tag>Yao18</b:Tag>
    <b:SourceType>InternetSite</b:SourceType>
    <b:Guid>{DDD7CC3B-F12F-4B04-B41E-E18953CE2488}</b:Guid>
    <b:Author>
      <b:Author>
        <b:NameList>
          <b:Person>
            <b:Last>Yao Elikem Ayekple</b:Last>
            <b:First>Charles</b:First>
            <b:Middle>Kofi Tetteh and Prince Kwaku Fefemwole</b:Middle>
          </b:Person>
        </b:NameList>
      </b:Author>
    </b:Author>
    <b:Year>2018</b:Year>
    <b:URL>https://ccsenet.org/journal/index.php/jmr/article/view/0/37663</b:URL>
    <b:RefOrder>9</b:RefOrder>
  </b:Source>
  <b:Source>
    <b:Tag>Mir13</b:Tag>
    <b:SourceType>InternetSite</b:SourceType>
    <b:Guid>{3C1980BD-04E6-4A47-B66D-0389EC10C071}</b:Guid>
    <b:Author>
      <b:Author>
        <b:NameList>
          <b:Person>
            <b:Last>Zetoun</b:Last>
            <b:First>Mirella</b:First>
          </b:Person>
        </b:NameList>
      </b:Author>
    </b:Author>
    <b:Year>2013</b:Year>
    <b:URL>C:\Users\HP\Downloads\DOC-20240509-WA0007_ </b:URL>
    <b:RefOrder>10</b:RefOrder>
  </b:Source>
  <b:Source>
    <b:Tag>LiP20</b:Tag>
    <b:SourceType>InternetSite</b:SourceType>
    <b:Guid>{3CD7EDD1-75BD-4053-A1D2-F352024B5FCF}</b:Guid>
    <b:Author>
      <b:Author>
        <b:NameList>
          <b:Person>
            <b:Last>Li</b:Last>
            <b:First>Pengshi</b:First>
            <b:Middle>Li, Wei Chen, Haidong</b:Middle>
          </b:Person>
        </b:NameList>
      </b:Author>
    </b:Author>
    <b:Year>2020</b:Year>
    <b:URL>chrome-extension://efaidnbmnnnibpcajpcglclefindmkaj/https://otik.uk.zcu.cz/bitstream/11025/36975/1/EM_2_2020_10.pdf</b:URL>
    <b:RefOrder>7</b:RefOrder>
  </b:Source>
  <b:Source>
    <b:Tag>Dea11</b:Tag>
    <b:SourceType>InternetSite</b:SourceType>
    <b:Guid>{8DFD96A4-F3DE-44D3-A01E-50AC208F2223}</b:Guid>
    <b:Author>
      <b:Author>
        <b:NameList>
          <b:Person>
            <b:Last>Teneng</b:Last>
            <b:First>Dean</b:First>
          </b:Person>
        </b:NameList>
      </b:Author>
    </b:Author>
    <b:Year>2011</b:Year>
    <b:URL>chrome-extension://efaidnbmnnnibpcajpcglclefindmkaj/https://convention.vse.cz/media/Collection_2011_Volume_01.pdf</b:URL>
    <b:RefOrder>11</b:RefOrder>
  </b:Source>
  <b:Source>
    <b:Tag>Ami18</b:Tag>
    <b:SourceType>InternetSite</b:SourceType>
    <b:Guid>{9936A7F0-6A48-4BF6-8D09-5577B6AD1F26}</b:Guid>
    <b:Author>
      <b:Author>
        <b:NameList>
          <b:Person>
            <b:Last>Anuradha</b:Last>
            <b:First>Amir</b:First>
            <b:Middle>Ahmad Dar and N.</b:Middle>
          </b:Person>
        </b:NameList>
      </b:Author>
    </b:Author>
    <b:Year>2018</b:Year>
    <b:URL>chrome-extension://efaidnbmnnnibpcajpcglclefindmkaj/https://www.aimspress.com/fileOther/PDF/QFE/QFE-02-01-230.pdf</b:URL>
    <b:RefOrder>12</b:RefOrder>
  </b:Source>
  <b:Source>
    <b:Tag>Sed19</b:Tag>
    <b:SourceType>InternetSite</b:SourceType>
    <b:Guid>{1E039247-CAE8-44F3-9075-F725AB985E3C}</b:Guid>
    <b:Author>
      <b:Author>
        <b:NameList>
          <b:Person>
            <b:Last>Seda Gulen</b:Last>
            <b:First>Catalin</b:First>
            <b:Middle>Popescu and Murat Sari</b:Middle>
          </b:Person>
        </b:NameList>
      </b:Author>
    </b:Author>
    <b:Year>2019</b:Year>
    <b:URL>https://www.mdpi.com/2227-7390/7/8/760/pdf</b:URL>
    <b:RefOrder>13</b:RefOrder>
  </b:Source>
  <b:Source>
    <b:Tag>Mat16</b:Tag>
    <b:SourceType>InternetSite</b:SourceType>
    <b:Guid>{9983C981-3DAC-4465-9890-BCE579547CAD}</b:Guid>
    <b:Author>
      <b:Author>
        <b:NameList>
          <b:Person>
            <b:Last>Krznaric</b:Last>
            <b:First>Matthew</b:First>
            <b:Middle>J.</b:Middle>
          </b:Person>
        </b:NameList>
      </b:Author>
    </b:Author>
    <b:Year>2016</b:Year>
    <b:URL>chrome-extension://efaidnbmnnnibpcajpcglclefindmkaj/https://ideaexchange.uakron.edu/cgi/viewcontent.cgi?article=1410&amp;context=honors_research_projects</b:URL>
    <b:RefOrder>14</b:RefOrder>
  </b:Source>
  <b:Source>
    <b:Tag>Ahm19</b:Tag>
    <b:SourceType>InternetSite</b:SourceType>
    <b:Guid>{3E46B60F-4FAA-4C82-B153-49550CDAE38C}</b:Guid>
    <b:Author>
      <b:Author>
        <b:NameList>
          <b:Person>
            <b:Last>Ahmad Golbabai</b:Last>
            <b:First>Omid</b:First>
            <b:Middle>Nikan and Touraj Nikazad</b:Middle>
          </b:Person>
        </b:NameList>
      </b:Author>
    </b:Author>
    <b:Year>2019</b:Year>
    <b:URL>chrome-extension://efaidnbmnnnibpcajpcglclefindmkaj/https://app.cafeprozhe.com/storage/files/project/ikqG82CUKzeWBW2hoBRe5pQWXLa2hOz56XVgHrMR.pdf</b:URL>
    <b:RefOrder>15</b:RefOrder>
  </b:Source>
  <b:Source>
    <b:Tag>Isa21</b:Tag>
    <b:SourceType>InternetSite</b:SourceType>
    <b:Guid>{6D8828A4-EE5A-4CC6-A7B2-D052BE9B1885}</b:Guid>
    <b:Author>
      <b:Author>
        <b:NameList>
          <b:Person>
            <b:Last>Westerlund</b:Last>
            <b:First>Isak</b:First>
            <b:Middle>Meding and Viking Zandhoff</b:Middle>
          </b:Person>
        </b:NameList>
      </b:Author>
    </b:Author>
    <b:Year>2021</b:Year>
    <b:URL>chrome-extension://efaidnbmnnnibpcajpcglclefindmkaj/https://gupea.ub.gu.se/bitstream/handle/2077/71238/21%2022%203.pdf?sequence=1&amp;isAllowed=y</b:URL>
    <b:RefOrder>16</b:RefOrder>
  </b:Source>
  <b:Source>
    <b:Tag>Reu08</b:Tag>
    <b:SourceType>InternetSite</b:SourceType>
    <b:Guid>{A5E55209-E900-4BF3-A171-E301E1A3B529}</b:Guid>
    <b:Author>
      <b:Author>
        <b:NameList>
          <b:Person>
            <b:Last>Kroese</b:Last>
            <b:First>Reuven</b:First>
            <b:Middle>Y. Rubinstein and Dirk P.</b:Middle>
          </b:Person>
        </b:NameList>
      </b:Author>
    </b:Author>
    <b:Year>2008</b:Year>
    <b:URL>http://r-studio.ir/Download/Simulation%20_%20The%20Monte%20Carlo%20Method.pdf</b:URL>
    <b:RefOrder>17</b:RefOrder>
  </b:Source>
  <b:Source>
    <b:Tag>DrR24</b:Tag>
    <b:SourceType>InternetSite</b:SourceType>
    <b:Guid>{7A070A73-6546-49CD-A740-D6CEC694B9EB}</b:Guid>
    <b:Author>
      <b:Author>
        <b:NameList>
          <b:Person>
            <b:Last>Dr. R.Srinivasan</b:Last>
            <b:First>Dr.</b:First>
            <b:Middle>Lekshmy .P.L, Dr D Anilkumar, Dr. Barunjyoti Choudhury, Dr Coral Barboza and Dr. Pramod Kumar</b:Middle>
          </b:Person>
        </b:NameList>
      </b:Author>
    </b:Author>
    <b:Year>2024</b:Year>
    <b:URL>https://www.kuey.net/index.php/kuey/article/download/6230/4538</b:URL>
    <b:RefOrder>18</b:RefOrder>
  </b:Source>
  <b:Source>
    <b:Tag>Ash18</b:Tag>
    <b:SourceType>InternetSite</b:SourceType>
    <b:Guid>{B253C51C-C6D3-49F0-9224-CD58EA835398}</b:Guid>
    <b:Author>
      <b:Author>
        <b:NameList>
          <b:Person>
            <b:Last>Manjunatha</b:Last>
            <b:First>Asha</b:First>
            <b:Middle>K. and A T</b:Middle>
          </b:Person>
        </b:NameList>
      </b:Author>
    </b:Author>
    <b:Year>2018</b:Year>
    <b:URL>https://www.aimsinternational.org/aims16/16ACD/PDF/A-226-Final.pdf</b:URL>
    <b:RefOrder>19</b:RefOrder>
  </b:Source>
  <b:Source>
    <b:Tag>AMu15</b:Tag>
    <b:SourceType>InternetSite</b:SourceType>
    <b:Guid>{107E1CD7-95E5-492F-894C-FD71C461B2B5}</b:Guid>
    <b:Author>
      <b:Author>
        <b:NameList>
          <b:Person>
            <b:Last>Vevek</b:Last>
            <b:First>A.</b:First>
            <b:Middle>Muthusamy and S.</b:Middle>
          </b:Person>
        </b:NameList>
      </b:Author>
    </b:Author>
    <b:Year>2015</b:Year>
    <b:URL>http://www.pbr.co.in/2015/2015_month/Sep/12.pdf</b:URL>
    <b:RefOrder>20</b:RefOrder>
  </b:Source>
  <b:Source>
    <b:Tag>Ris</b:Tag>
    <b:SourceType>InternetSite</b:SourceType>
    <b:Guid>{C4D48003-EF73-4E73-BA7F-18536D01D0FB}</b:Guid>
    <b:Author>
      <b:Author>
        <b:NameList>
          <b:Person>
            <b:Last>Rate</b:Last>
            <b:First>Risk</b:First>
            <b:Middle>Free</b:Middle>
          </b:Person>
        </b:NameList>
      </b:Author>
    </b:Author>
    <b:Title>Investopedia</b:Title>
    <b:URL>•	https://www.investopedia.com/terms/r/riskfreerate.asp#:~:text=In%20practice%2C%20a%20truly%20risk,as%20their%20risk%2Dfree%20rate.</b:URL>
    <b:RefOrder>21</b:RefOrder>
  </b:Source>
  <b:Source>
    <b:Tag>Ris1</b:Tag>
    <b:SourceType>InternetSite</b:SourceType>
    <b:Guid>{A8C486F0-1155-4A2F-9E01-09995047ED5A}</b:Guid>
    <b:Author>
      <b:Author>
        <b:NameList>
          <b:Person>
            <b:Last>Interest</b:Last>
            <b:First>Risk</b:First>
            <b:Middle>Free Rate</b:Middle>
          </b:Person>
        </b:NameList>
      </b:Author>
    </b:Author>
    <b:Title>ViewPoint</b:Title>
    <b:URL>•	https://viewpoint.pwc.com/dt/us/en/pwc/accounting_guides/stockbased_compensat/stockbased_compensat__3_US/chapter_9_developing_US/95_riskfree_interest_US.html</b:URL>
    <b:RefOrder>22</b:RefOrder>
  </b:Source>
  <b:Source>
    <b:Tag>Gov</b:Tag>
    <b:SourceType>InternetSite</b:SourceType>
    <b:Guid>{DCC009AE-03B2-41A2-AAC2-E3F46561A712}</b:Guid>
    <b:Author>
      <b:Author>
        <b:NameList>
          <b:Person>
            <b:Last>Rate</b:Last>
            <b:First>Government</b:First>
            <b:Middle>Bond</b:Middle>
          </b:Person>
        </b:NameList>
      </b:Author>
    </b:Author>
    <b:Title>RBI</b:Title>
    <b:URL>https://www.rbi.org.in/</b:URL>
    <b:RefOrder>23</b:RefOrder>
  </b:Source>
  <b:Source>
    <b:Tag>91d</b:Tag>
    <b:SourceType>InternetSite</b:SourceType>
    <b:Guid>{A7C2476D-E2D5-44AD-968B-C224D395B30E}</b:Guid>
    <b:Author>
      <b:Author>
        <b:NameList>
          <b:Person>
            <b:Last>Bill</b:Last>
            <b:First>91</b:First>
            <b:Middle>day Treasury</b:Middle>
          </b:Person>
        </b:NameList>
      </b:Author>
    </b:Author>
    <b:Title>Investopedia</b:Title>
    <b:URL>•	https://www.investopedia.com/ask/answers/040915/how-riskfree-rate-determined-when-calculating-market-risk-premium.asp#:~:text=Since%20T%2Dbills%20are%20paid,form%20of%20zero%2Dcoupon%20bond.</b:URL>
    <b:RefOrder>24</b:RefOrder>
  </b:Source>
  <b:Source>
    <b:Tag>Mid</b:Tag>
    <b:SourceType>InternetSite</b:SourceType>
    <b:Guid>{3AD94577-034B-4EE4-AA7A-F3E84A29DAC4}</b:Guid>
    <b:Author>
      <b:Author>
        <b:NameList>
          <b:Person>
            <b:Last>Categories</b:Last>
            <b:First>Mid</b:First>
            <b:Middle>Cap and Small Cap</b:Middle>
          </b:Person>
        </b:NameList>
      </b:Author>
    </b:Author>
    <b:Title>Economic Times</b:Title>
    <b:URL>•	https://economictimes.indiatimes.com/mf/analysis/mid-smallcap-fund-do-we-need-a-new-category-targeting-both-mid-and-small-ap-stocks/articleshow/110268289.cms?from=mdr</b:URL>
    <b:RefOrder>25</b:RefOrder>
  </b:Source>
  <b:Source>
    <b:Tag>Imp</b:Tag>
    <b:SourceType>InternetSite</b:SourceType>
    <b:Guid>{CCE63CAE-B84B-422E-92E5-3B573533338A}</b:Guid>
    <b:Author>
      <b:Author>
        <b:NameList>
          <b:Person>
            <b:Last>Volatility</b:Last>
            <b:First>Implied</b:First>
          </b:Person>
        </b:NameList>
      </b:Author>
    </b:Author>
    <b:Title>Option Price</b:Title>
    <b:URL>https://www.option-price.com/implied-volatility.php</b:URL>
    <b:RefOrder>26</b:RefOrder>
  </b:Source>
</b:Sources>
</file>

<file path=customXml/itemProps1.xml><?xml version="1.0" encoding="utf-8"?>
<ds:datastoreItem xmlns:ds="http://schemas.openxmlformats.org/officeDocument/2006/customXml" ds:itemID="{EAED7D1F-8607-4729-8584-76564D69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14</Pages>
  <Words>4185</Words>
  <Characters>23859</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SANJANA SK</dc:creator>
  <cp:keywords/>
  <dc:description/>
  <cp:lastModifiedBy>SANJANA SK</cp:lastModifiedBy>
  <cp:revision>4</cp:revision>
  <cp:lastPrinted>2024-09-02T03:34:00Z</cp:lastPrinted>
  <dcterms:created xsi:type="dcterms:W3CDTF">2024-08-23T23:41:00Z</dcterms:created>
  <dcterms:modified xsi:type="dcterms:W3CDTF">2024-09-02T03:39:00Z</dcterms:modified>
</cp:coreProperties>
</file>