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F10A0" w14:textId="472F7C7B" w:rsidR="00883C8C" w:rsidRPr="003D5354" w:rsidRDefault="003D5354" w:rsidP="003D5354">
      <w:pPr>
        <w:jc w:val="center"/>
        <w:rPr>
          <w:rFonts w:ascii="Times New Roman" w:hAnsi="Times New Roman" w:cs="Times New Roman"/>
          <w:b/>
          <w:bCs/>
          <w:sz w:val="32"/>
          <w:szCs w:val="40"/>
        </w:rPr>
      </w:pPr>
      <w:r w:rsidRPr="003D5354">
        <w:rPr>
          <w:rFonts w:ascii="Times New Roman" w:hAnsi="Times New Roman" w:cs="Times New Roman"/>
          <w:b/>
          <w:bCs/>
          <w:sz w:val="32"/>
          <w:szCs w:val="40"/>
        </w:rPr>
        <w:t>"Navigating Economic Challenges: India's Approach to Unconventional Monetary Policies"</w:t>
      </w:r>
    </w:p>
    <w:p w14:paraId="7E5174F7" w14:textId="77777777" w:rsidR="00B87240" w:rsidRDefault="00B87240" w:rsidP="00B87240">
      <w:pPr>
        <w:rPr>
          <w:rFonts w:ascii="Times New Roman" w:hAnsi="Times New Roman" w:cs="Times New Roman"/>
          <w:b/>
          <w:bCs/>
          <w:sz w:val="32"/>
          <w:szCs w:val="32"/>
        </w:rPr>
      </w:pPr>
    </w:p>
    <w:p w14:paraId="160114E7" w14:textId="77777777" w:rsidR="00B87240" w:rsidRDefault="00B87240" w:rsidP="00B87240">
      <w:pPr>
        <w:spacing w:after="0"/>
        <w:jc w:val="center"/>
        <w:rPr>
          <w:rFonts w:ascii="Times New Roman" w:hAnsi="Times New Roman" w:cs="Times New Roman"/>
          <w:b/>
          <w:bCs/>
          <w:sz w:val="24"/>
          <w:szCs w:val="32"/>
        </w:rPr>
      </w:pPr>
      <w:r>
        <w:rPr>
          <w:rFonts w:ascii="Times New Roman" w:hAnsi="Times New Roman" w:cs="Times New Roman"/>
          <w:b/>
          <w:bCs/>
          <w:sz w:val="24"/>
          <w:szCs w:val="32"/>
        </w:rPr>
        <w:t xml:space="preserve">By Manas Verma (Research Scholar, Shambhu Dayal College, Ghaziabad, </w:t>
      </w:r>
    </w:p>
    <w:p w14:paraId="428BAE6C" w14:textId="77777777" w:rsidR="00B87240" w:rsidRDefault="00B87240" w:rsidP="00B87240">
      <w:pPr>
        <w:jc w:val="center"/>
        <w:rPr>
          <w:rFonts w:ascii="Times New Roman" w:hAnsi="Times New Roman" w:cs="Times New Roman"/>
          <w:b/>
          <w:bCs/>
          <w:sz w:val="24"/>
          <w:szCs w:val="32"/>
        </w:rPr>
      </w:pPr>
      <w:r>
        <w:rPr>
          <w:rFonts w:ascii="Times New Roman" w:hAnsi="Times New Roman" w:cs="Times New Roman"/>
          <w:b/>
          <w:bCs/>
          <w:sz w:val="24"/>
          <w:szCs w:val="32"/>
        </w:rPr>
        <w:t>Chaudhary Charan Singh University, Meerut )</w:t>
      </w:r>
    </w:p>
    <w:p w14:paraId="77B0E14C" w14:textId="77777777" w:rsidR="003D5354" w:rsidRDefault="003D5354" w:rsidP="003D5354">
      <w:pPr>
        <w:rPr>
          <w:b/>
          <w:bCs/>
          <w:sz w:val="32"/>
          <w:szCs w:val="40"/>
        </w:rPr>
      </w:pPr>
    </w:p>
    <w:p w14:paraId="1EEDBC80"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Abstract</w:t>
      </w:r>
    </w:p>
    <w:p w14:paraId="2165497A"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In response to economic crises and unconventional circumstances, central banks around the world have increasingly turned to unconventional monetary policy tools to achieve their policy objectives. This paper explores the use of such tools by the Reserve Bank of India (RBI), including quantitative easing, forward guidance, and the potential for negative interest rates. By assessing the effectiveness of these measures in the context of India's economic environment, this paper aims to provide a comprehensive understanding of their role in stabilizing the economy during periods of severe stress.</w:t>
      </w:r>
    </w:p>
    <w:p w14:paraId="45C09208"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1. Introduction</w:t>
      </w:r>
    </w:p>
    <w:p w14:paraId="07AF060A"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The global financial crisis of 2008 and the economic disruptions caused by the COVID-19 pandemic have highlighted the limitations of traditional monetary policy tools. In response to these challenges, central banks, including the Reserve Bank of India (RBI), have adopted unconventional monetary policy measures. These tools, which include quantitative easing, forward guidance, and negative interest rates, are designed to provide additional monetary stimulus when traditional policy measures, such as lowering interest rates, are no longer effective.</w:t>
      </w:r>
    </w:p>
    <w:p w14:paraId="60876BE6"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This paper examines the unconventional monetary policy tools employed by the RBI, assessing their effectiveness in achieving policy objectives during periods of economic crisis or when conventional tools are insufficient.</w:t>
      </w:r>
    </w:p>
    <w:p w14:paraId="46432E39"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2. Unconventional Monetary Policy Tools</w:t>
      </w:r>
    </w:p>
    <w:p w14:paraId="1A51081E"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2.1 Quantitative Easing (QE)</w:t>
      </w:r>
    </w:p>
    <w:p w14:paraId="31B11E59"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Quantitative easing (QE) involves large-scale purchases of government securities or other financial assets by the central bank to inject liquidity into the financial system. Unlike traditional open market operations, QE is used when interest rates are already near zero and cannot be lowered further. By purchasing long-term securities, the central bank aims to lower long-term interest rates, encourage lending, and stimulate economic activity.</w:t>
      </w:r>
    </w:p>
    <w:p w14:paraId="72E5FFB1"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In India, the RBI has not implemented QE in the same manner as central banks in advanced economies like the Federal Reserve or the European Central Bank. However, during the COVID-19 pandemic, the RBI engaged in measures that resemble QE, such as the targeted long-term repo operations (TLTROs) and special open market operations, commonly referred to as "Operation Twist." These measures were aimed at lowering borrowing costs and ensuring adequate liquidity in the financial system.</w:t>
      </w:r>
    </w:p>
    <w:p w14:paraId="7C8F0E73"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lastRenderedPageBreak/>
        <w:t>2.2 Forward Guidance</w:t>
      </w:r>
    </w:p>
    <w:p w14:paraId="172A5A60"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Forward guidance is a communication tool used by central banks to influence expectations about the future path of interest rates. By providing explicit guidance on the likely future course of monetary policy, central banks aim to influence economic behavior, such as spending and investment decisions.</w:t>
      </w:r>
    </w:p>
    <w:p w14:paraId="4ED9CD72"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The RBI has employed forward guidance during periods of economic uncertainty to signal its policy intentions. For example, during the COVID-19 pandemic, the RBI used forward guidance to reassure markets that it would maintain an accommodative stance for as long as necessary to support economic recovery. This guidance helped to anchor market expectations and provided stability in uncertain times.</w:t>
      </w:r>
    </w:p>
    <w:p w14:paraId="14AB6D93"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2.3 Negative Interest Rates</w:t>
      </w:r>
    </w:p>
    <w:p w14:paraId="0F976E1B"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Negative interest rates, where nominal interest rates are set below zero, are an unconventional tool that some central banks have used to encourage lending and investment. By charging banks for holding excess reserves, central banks aim to incentivize banks to lend more to businesses and consumers.</w:t>
      </w:r>
    </w:p>
    <w:p w14:paraId="3F67C325"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While the RBI has not implemented negative interest rates, it is a topic of discussion in the context of unconventional monetary policy. The potential for negative interest rates in India raises important considerations, such as the impact on bank profitability, financial stability, and the behavior of savers and borrowers.</w:t>
      </w:r>
    </w:p>
    <w:p w14:paraId="0AB64B45"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3. Effectiveness of Unconventional Monetary Policy in India</w:t>
      </w:r>
    </w:p>
    <w:p w14:paraId="0E724DF7"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3.1 Impact on Financial Markets</w:t>
      </w:r>
    </w:p>
    <w:p w14:paraId="5225C389"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The unconventional monetary policy measures implemented by the RBI have had a significant impact on financial markets. The TLTROs and Operation Twist helped to lower bond yields, reduce borrowing costs, and improve liquidity in the financial system. These measures were particularly effective in stabilizing markets during the initial phases of the COVID-19 pandemic.</w:t>
      </w:r>
    </w:p>
    <w:p w14:paraId="0DCB5190"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However, the effectiveness of these measures in achieving broader economic objectives, such as boosting investment and consumption, is less clear. While financial markets responded positively to the RBI's actions, the transmission of these benefits to the real economy was uneven, reflecting structural challenges in the Indian economy.</w:t>
      </w:r>
    </w:p>
    <w:p w14:paraId="4C04BF47"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3.2 Influence on Economic Activity</w:t>
      </w:r>
    </w:p>
    <w:p w14:paraId="6D2AE8F2"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The use of forward guidance by the RBI has played a crucial role in shaping economic expectations and providing stability during times of crisis. By signaling a commitment to accommodative policy, the RBI was able to influence interest rate expectations and support economic activity.</w:t>
      </w:r>
    </w:p>
    <w:p w14:paraId="22378A2C"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However, the impact of forward guidance on actual economic outcomes depends on the credibility of the central bank and the degree to which market participants believe the guidance. In India, the RBI's forward guidance was generally well-received, but its effectiveness in stimulating demand and investment was moderated by other factors, such as weak consumer confidence and structural bottlenecks.</w:t>
      </w:r>
    </w:p>
    <w:p w14:paraId="47BC7002"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lastRenderedPageBreak/>
        <w:t>3.3 Challenges and Limitations</w:t>
      </w:r>
    </w:p>
    <w:p w14:paraId="2321D525"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Unconventional monetary policy measures come with challenges and limitations, particularly in the Indian context. The effectiveness of QE-like measures, for example, is constrained by the relatively shallow bond market and the dominance of public sector banks, which may not respond as expected to increased liquidity.</w:t>
      </w:r>
    </w:p>
    <w:p w14:paraId="63FAACCE"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Additionally, the potential for negative interest rates in India raises significant concerns. The Indian banking sector, already burdened by high levels of non-performing assets (NPAs), may struggle with the profitability challenges posed by negative rates. Furthermore, negative interest rates could have unintended consequences for savings behavior, potentially undermining financial stability.</w:t>
      </w:r>
    </w:p>
    <w:p w14:paraId="22C435CD"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4. Case Studies of Unconventional Monetary Policy in India</w:t>
      </w:r>
    </w:p>
    <w:p w14:paraId="5C50C094"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4.1 The COVID-19 Pandemic</w:t>
      </w:r>
    </w:p>
    <w:p w14:paraId="20F8D611"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The COVID-19 pandemic presented an unprecedented challenge to the Indian economy, prompting the RBI to adopt unconventional measures to support growth and stability. The TLTROs, Operation Twist, and forward guidance were key components of the RBI's response. These measures were aimed at ensuring liquidity, lowering borrowing costs, and providing clear guidance to markets.</w:t>
      </w:r>
    </w:p>
    <w:p w14:paraId="05391E06"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The RBI's actions helped to stabilize financial markets and provided a foundation for economic recovery. However, the uneven transmission of these measures to the real economy highlights the limitations of unconventional monetary policy in addressing deep-rooted structural issues.</w:t>
      </w:r>
    </w:p>
    <w:p w14:paraId="7B418978"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4.2 Global Financial Crisis</w:t>
      </w:r>
    </w:p>
    <w:p w14:paraId="1C43B0C4"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During the global financial crisis of 2008, the RBI's response was primarily conventional, focusing on interest rate cuts and liquidity provision. However, the lessons learned from the global financial crisis informed the RBI's approach to unconventional measures during the COVID-19 pandemic. The experience of advanced economies with QE and forward guidance provided valuable insights into the potential benefits and risks of these tools.</w:t>
      </w:r>
    </w:p>
    <w:p w14:paraId="6BE0FF88"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5. Conclusion</w:t>
      </w:r>
    </w:p>
    <w:p w14:paraId="31B7E451"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Unconventional monetary policy measures have become an important part of the central banking toolkit, particularly during periods of economic crisis or when conventional tools are insufficient. The RBI's use of QE-like measures, forward guidance, and the exploration of negative interest rates reflects the need for innovative approaches to monetary policy in challenging times.</w:t>
      </w:r>
    </w:p>
    <w:p w14:paraId="76BEBE15" w14:textId="77777777" w:rsidR="003D5354" w:rsidRPr="003D5354" w:rsidRDefault="003D5354" w:rsidP="003D5354">
      <w:pPr>
        <w:rPr>
          <w:rFonts w:ascii="Times New Roman" w:hAnsi="Times New Roman" w:cs="Times New Roman"/>
          <w:sz w:val="24"/>
          <w:szCs w:val="32"/>
        </w:rPr>
      </w:pPr>
      <w:r w:rsidRPr="003D5354">
        <w:rPr>
          <w:rFonts w:ascii="Times New Roman" w:hAnsi="Times New Roman" w:cs="Times New Roman"/>
          <w:sz w:val="24"/>
          <w:szCs w:val="32"/>
        </w:rPr>
        <w:t>While these measures have had positive effects on financial markets and provided stability during uncertain periods, their effectiveness in achieving broader economic objectives in India is limited by structural challenges and the unique characteristics of the Indian economy. As the global economic environment continues to evolve, the RBI's approach to unconventional monetary policy will need to be adaptive, balancing the benefits of these tools with the potential risks.</w:t>
      </w:r>
    </w:p>
    <w:p w14:paraId="0E8F107C" w14:textId="77777777" w:rsidR="003D5354" w:rsidRPr="003D5354" w:rsidRDefault="003D5354" w:rsidP="003D5354">
      <w:pPr>
        <w:rPr>
          <w:rFonts w:ascii="Times New Roman" w:hAnsi="Times New Roman" w:cs="Times New Roman"/>
          <w:b/>
          <w:bCs/>
          <w:sz w:val="24"/>
          <w:szCs w:val="32"/>
        </w:rPr>
      </w:pPr>
      <w:r w:rsidRPr="003D5354">
        <w:rPr>
          <w:rFonts w:ascii="Times New Roman" w:hAnsi="Times New Roman" w:cs="Times New Roman"/>
          <w:b/>
          <w:bCs/>
          <w:sz w:val="24"/>
          <w:szCs w:val="32"/>
        </w:rPr>
        <w:t>6. References</w:t>
      </w:r>
    </w:p>
    <w:p w14:paraId="21782B68" w14:textId="77777777" w:rsidR="003D5354" w:rsidRPr="003D5354" w:rsidRDefault="003D5354" w:rsidP="003D5354">
      <w:pPr>
        <w:numPr>
          <w:ilvl w:val="0"/>
          <w:numId w:val="2"/>
        </w:numPr>
        <w:rPr>
          <w:rFonts w:ascii="Times New Roman" w:hAnsi="Times New Roman" w:cs="Times New Roman"/>
          <w:sz w:val="24"/>
          <w:szCs w:val="32"/>
        </w:rPr>
      </w:pPr>
      <w:r w:rsidRPr="003D5354">
        <w:rPr>
          <w:rFonts w:ascii="Times New Roman" w:hAnsi="Times New Roman" w:cs="Times New Roman"/>
          <w:sz w:val="24"/>
          <w:szCs w:val="32"/>
        </w:rPr>
        <w:lastRenderedPageBreak/>
        <w:t>Reserve Bank of India (RBI) Reports and Publications.</w:t>
      </w:r>
    </w:p>
    <w:p w14:paraId="1A25FDC4" w14:textId="77777777" w:rsidR="003D5354" w:rsidRPr="003D5354" w:rsidRDefault="003D5354" w:rsidP="003D5354">
      <w:pPr>
        <w:numPr>
          <w:ilvl w:val="0"/>
          <w:numId w:val="2"/>
        </w:numPr>
        <w:rPr>
          <w:rFonts w:ascii="Times New Roman" w:hAnsi="Times New Roman" w:cs="Times New Roman"/>
          <w:sz w:val="24"/>
          <w:szCs w:val="32"/>
        </w:rPr>
      </w:pPr>
      <w:r w:rsidRPr="003D5354">
        <w:rPr>
          <w:rFonts w:ascii="Times New Roman" w:hAnsi="Times New Roman" w:cs="Times New Roman"/>
          <w:sz w:val="24"/>
          <w:szCs w:val="32"/>
        </w:rPr>
        <w:t>Bhattacharya, K., &amp; Patnaik, I. (2020). "Unconventional Monetary Policy in India: A Review." Journal of Indian Economics.</w:t>
      </w:r>
    </w:p>
    <w:p w14:paraId="3E84F888" w14:textId="77777777" w:rsidR="003D5354" w:rsidRPr="003D5354" w:rsidRDefault="003D5354" w:rsidP="003D5354">
      <w:pPr>
        <w:numPr>
          <w:ilvl w:val="0"/>
          <w:numId w:val="2"/>
        </w:numPr>
        <w:rPr>
          <w:rFonts w:ascii="Times New Roman" w:hAnsi="Times New Roman" w:cs="Times New Roman"/>
          <w:sz w:val="24"/>
          <w:szCs w:val="32"/>
        </w:rPr>
      </w:pPr>
      <w:r w:rsidRPr="003D5354">
        <w:rPr>
          <w:rFonts w:ascii="Times New Roman" w:hAnsi="Times New Roman" w:cs="Times New Roman"/>
          <w:sz w:val="24"/>
          <w:szCs w:val="32"/>
        </w:rPr>
        <w:t>Government of India Economic Surveys (various years).</w:t>
      </w:r>
    </w:p>
    <w:p w14:paraId="0E3F5951" w14:textId="77777777" w:rsidR="003D5354" w:rsidRPr="003D5354" w:rsidRDefault="003D5354" w:rsidP="003D5354">
      <w:pPr>
        <w:numPr>
          <w:ilvl w:val="0"/>
          <w:numId w:val="2"/>
        </w:numPr>
        <w:rPr>
          <w:rFonts w:ascii="Times New Roman" w:hAnsi="Times New Roman" w:cs="Times New Roman"/>
          <w:sz w:val="24"/>
          <w:szCs w:val="32"/>
        </w:rPr>
      </w:pPr>
      <w:r w:rsidRPr="003D5354">
        <w:rPr>
          <w:rFonts w:ascii="Times New Roman" w:hAnsi="Times New Roman" w:cs="Times New Roman"/>
          <w:sz w:val="24"/>
          <w:szCs w:val="32"/>
        </w:rPr>
        <w:t>Subbarao, D. (2019). "The RBI and the Financial Crisis: Lessons and Challenges." Reserve Bank of India Occasional Papers.</w:t>
      </w:r>
    </w:p>
    <w:p w14:paraId="2F523F16" w14:textId="77777777" w:rsidR="003D5354" w:rsidRPr="003D5354" w:rsidRDefault="003D5354" w:rsidP="003D5354">
      <w:pPr>
        <w:numPr>
          <w:ilvl w:val="0"/>
          <w:numId w:val="2"/>
        </w:numPr>
        <w:rPr>
          <w:rFonts w:ascii="Times New Roman" w:hAnsi="Times New Roman" w:cs="Times New Roman"/>
          <w:sz w:val="24"/>
          <w:szCs w:val="32"/>
        </w:rPr>
      </w:pPr>
      <w:r w:rsidRPr="003D5354">
        <w:rPr>
          <w:rFonts w:ascii="Times New Roman" w:hAnsi="Times New Roman" w:cs="Times New Roman"/>
          <w:sz w:val="24"/>
          <w:szCs w:val="32"/>
        </w:rPr>
        <w:t>Patra, M.D., &amp; Ray, P. (2021). "Monetary Policy in India: Tools and Effectiveness in Crisis Periods." Indian Journal of Finance and Economics.</w:t>
      </w:r>
    </w:p>
    <w:p w14:paraId="5DCCE0E5" w14:textId="77777777" w:rsidR="003D5354" w:rsidRPr="003D5354" w:rsidRDefault="003D5354" w:rsidP="003D5354">
      <w:pPr>
        <w:rPr>
          <w:sz w:val="32"/>
          <w:szCs w:val="40"/>
        </w:rPr>
      </w:pPr>
    </w:p>
    <w:sectPr w:rsidR="003D5354" w:rsidRPr="003D5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4A44"/>
    <w:multiLevelType w:val="multilevel"/>
    <w:tmpl w:val="B1B6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300AE"/>
    <w:multiLevelType w:val="multilevel"/>
    <w:tmpl w:val="7372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016552">
    <w:abstractNumId w:val="0"/>
  </w:num>
  <w:num w:numId="2" w16cid:durableId="16610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0D"/>
    <w:rsid w:val="003D5354"/>
    <w:rsid w:val="00807574"/>
    <w:rsid w:val="00883C8C"/>
    <w:rsid w:val="009142A6"/>
    <w:rsid w:val="009C6F0D"/>
    <w:rsid w:val="00B8724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D529"/>
  <w15:chartTrackingRefBased/>
  <w15:docId w15:val="{0687550B-8969-42FF-A495-075E8997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6408">
      <w:bodyDiv w:val="1"/>
      <w:marLeft w:val="0"/>
      <w:marRight w:val="0"/>
      <w:marTop w:val="0"/>
      <w:marBottom w:val="0"/>
      <w:divBdr>
        <w:top w:val="none" w:sz="0" w:space="0" w:color="auto"/>
        <w:left w:val="none" w:sz="0" w:space="0" w:color="auto"/>
        <w:bottom w:val="none" w:sz="0" w:space="0" w:color="auto"/>
        <w:right w:val="none" w:sz="0" w:space="0" w:color="auto"/>
      </w:divBdr>
    </w:div>
    <w:div w:id="353774805">
      <w:bodyDiv w:val="1"/>
      <w:marLeft w:val="0"/>
      <w:marRight w:val="0"/>
      <w:marTop w:val="0"/>
      <w:marBottom w:val="0"/>
      <w:divBdr>
        <w:top w:val="none" w:sz="0" w:space="0" w:color="auto"/>
        <w:left w:val="none" w:sz="0" w:space="0" w:color="auto"/>
        <w:bottom w:val="none" w:sz="0" w:space="0" w:color="auto"/>
        <w:right w:val="none" w:sz="0" w:space="0" w:color="auto"/>
      </w:divBdr>
    </w:div>
    <w:div w:id="434833301">
      <w:bodyDiv w:val="1"/>
      <w:marLeft w:val="0"/>
      <w:marRight w:val="0"/>
      <w:marTop w:val="0"/>
      <w:marBottom w:val="0"/>
      <w:divBdr>
        <w:top w:val="none" w:sz="0" w:space="0" w:color="auto"/>
        <w:left w:val="none" w:sz="0" w:space="0" w:color="auto"/>
        <w:bottom w:val="none" w:sz="0" w:space="0" w:color="auto"/>
        <w:right w:val="none" w:sz="0" w:space="0" w:color="auto"/>
      </w:divBdr>
    </w:div>
    <w:div w:id="725764594">
      <w:bodyDiv w:val="1"/>
      <w:marLeft w:val="0"/>
      <w:marRight w:val="0"/>
      <w:marTop w:val="0"/>
      <w:marBottom w:val="0"/>
      <w:divBdr>
        <w:top w:val="none" w:sz="0" w:space="0" w:color="auto"/>
        <w:left w:val="none" w:sz="0" w:space="0" w:color="auto"/>
        <w:bottom w:val="none" w:sz="0" w:space="0" w:color="auto"/>
        <w:right w:val="none" w:sz="0" w:space="0" w:color="auto"/>
      </w:divBdr>
    </w:div>
    <w:div w:id="784076340">
      <w:bodyDiv w:val="1"/>
      <w:marLeft w:val="0"/>
      <w:marRight w:val="0"/>
      <w:marTop w:val="0"/>
      <w:marBottom w:val="0"/>
      <w:divBdr>
        <w:top w:val="none" w:sz="0" w:space="0" w:color="auto"/>
        <w:left w:val="none" w:sz="0" w:space="0" w:color="auto"/>
        <w:bottom w:val="none" w:sz="0" w:space="0" w:color="auto"/>
        <w:right w:val="none" w:sz="0" w:space="0" w:color="auto"/>
      </w:divBdr>
    </w:div>
    <w:div w:id="1610623893">
      <w:bodyDiv w:val="1"/>
      <w:marLeft w:val="0"/>
      <w:marRight w:val="0"/>
      <w:marTop w:val="0"/>
      <w:marBottom w:val="0"/>
      <w:divBdr>
        <w:top w:val="none" w:sz="0" w:space="0" w:color="auto"/>
        <w:left w:val="none" w:sz="0" w:space="0" w:color="auto"/>
        <w:bottom w:val="none" w:sz="0" w:space="0" w:color="auto"/>
        <w:right w:val="none" w:sz="0" w:space="0" w:color="auto"/>
      </w:divBdr>
    </w:div>
    <w:div w:id="1758138301">
      <w:bodyDiv w:val="1"/>
      <w:marLeft w:val="0"/>
      <w:marRight w:val="0"/>
      <w:marTop w:val="0"/>
      <w:marBottom w:val="0"/>
      <w:divBdr>
        <w:top w:val="none" w:sz="0" w:space="0" w:color="auto"/>
        <w:left w:val="none" w:sz="0" w:space="0" w:color="auto"/>
        <w:bottom w:val="none" w:sz="0" w:space="0" w:color="auto"/>
        <w:right w:val="none" w:sz="0" w:space="0" w:color="auto"/>
      </w:divBdr>
    </w:div>
    <w:div w:id="1849248046">
      <w:bodyDiv w:val="1"/>
      <w:marLeft w:val="0"/>
      <w:marRight w:val="0"/>
      <w:marTop w:val="0"/>
      <w:marBottom w:val="0"/>
      <w:divBdr>
        <w:top w:val="none" w:sz="0" w:space="0" w:color="auto"/>
        <w:left w:val="none" w:sz="0" w:space="0" w:color="auto"/>
        <w:bottom w:val="none" w:sz="0" w:space="0" w:color="auto"/>
        <w:right w:val="none" w:sz="0" w:space="0" w:color="auto"/>
      </w:divBdr>
    </w:div>
    <w:div w:id="2095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Raj</dc:creator>
  <cp:keywords/>
  <dc:description/>
  <cp:lastModifiedBy>Priya Raj</cp:lastModifiedBy>
  <cp:revision>3</cp:revision>
  <dcterms:created xsi:type="dcterms:W3CDTF">2024-08-24T14:28:00Z</dcterms:created>
  <dcterms:modified xsi:type="dcterms:W3CDTF">2024-08-28T07:15:00Z</dcterms:modified>
</cp:coreProperties>
</file>