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38" w:rsidRPr="00DE6111" w:rsidRDefault="00291C46" w:rsidP="00E6227D">
      <w:pPr>
        <w:spacing w:after="240"/>
        <w:jc w:val="center"/>
        <w:rPr>
          <w:rFonts w:asciiTheme="majorHAnsi" w:hAnsiTheme="majorHAnsi"/>
          <w:b/>
          <w:bCs/>
          <w:sz w:val="32"/>
          <w:szCs w:val="28"/>
        </w:rPr>
      </w:pPr>
      <w:r w:rsidRPr="00DE6111">
        <w:rPr>
          <w:rFonts w:asciiTheme="majorHAnsi" w:hAnsiTheme="majorHAnsi"/>
          <w:b/>
          <w:bCs/>
          <w:sz w:val="28"/>
          <w:szCs w:val="24"/>
        </w:rPr>
        <w:t>TRANSFORMING NANOTECHNOLOGY EDUCATION: CURRENT TRENDS AND INNOVATIVE APPROACHES</w:t>
      </w:r>
    </w:p>
    <w:p w:rsidR="00F86A38" w:rsidRPr="00DE6111" w:rsidRDefault="00291C46" w:rsidP="00865159">
      <w:pPr>
        <w:spacing w:after="60"/>
        <w:jc w:val="center"/>
        <w:rPr>
          <w:rFonts w:asciiTheme="majorHAnsi" w:hAnsiTheme="majorHAnsi"/>
          <w:b/>
          <w:bCs/>
          <w:szCs w:val="24"/>
          <w:vertAlign w:val="superscript"/>
        </w:rPr>
      </w:pPr>
      <w:r w:rsidRPr="00DE6111">
        <w:rPr>
          <w:rFonts w:asciiTheme="majorHAnsi" w:hAnsiTheme="majorHAnsi"/>
          <w:b/>
          <w:bCs/>
          <w:szCs w:val="24"/>
        </w:rPr>
        <w:t>Yogendra Deora</w:t>
      </w:r>
      <w:r w:rsidR="00F86A38" w:rsidRPr="00DE6111">
        <w:rPr>
          <w:rFonts w:asciiTheme="majorHAnsi" w:hAnsiTheme="majorHAnsi"/>
          <w:b/>
          <w:bCs/>
          <w:szCs w:val="24"/>
        </w:rPr>
        <w:t xml:space="preserve"> </w:t>
      </w:r>
    </w:p>
    <w:p w:rsidR="00DC0C29" w:rsidRPr="00DE6111" w:rsidRDefault="00291C46" w:rsidP="00F86A38">
      <w:pPr>
        <w:spacing w:after="0"/>
        <w:jc w:val="center"/>
        <w:rPr>
          <w:rFonts w:asciiTheme="majorHAnsi" w:hAnsiTheme="majorHAnsi"/>
          <w:sz w:val="22"/>
        </w:rPr>
      </w:pPr>
      <w:r w:rsidRPr="00DE6111">
        <w:rPr>
          <w:rFonts w:asciiTheme="majorHAnsi" w:hAnsiTheme="majorHAnsi"/>
          <w:sz w:val="22"/>
        </w:rPr>
        <w:t xml:space="preserve">Associate </w:t>
      </w:r>
      <w:r w:rsidR="00554271" w:rsidRPr="00DE6111">
        <w:rPr>
          <w:rFonts w:asciiTheme="majorHAnsi" w:hAnsiTheme="majorHAnsi"/>
          <w:sz w:val="22"/>
        </w:rPr>
        <w:t>Professor</w:t>
      </w:r>
    </w:p>
    <w:p w:rsidR="00F86A38" w:rsidRPr="00DE6111" w:rsidRDefault="00291C46" w:rsidP="00F86A38">
      <w:pPr>
        <w:spacing w:after="0"/>
        <w:jc w:val="center"/>
        <w:rPr>
          <w:rFonts w:asciiTheme="majorHAnsi" w:hAnsiTheme="majorHAnsi"/>
          <w:szCs w:val="24"/>
        </w:rPr>
      </w:pPr>
      <w:r w:rsidRPr="00DE6111">
        <w:rPr>
          <w:rFonts w:asciiTheme="majorHAnsi" w:hAnsiTheme="majorHAnsi"/>
          <w:sz w:val="22"/>
        </w:rPr>
        <w:t xml:space="preserve">S B P </w:t>
      </w:r>
      <w:r w:rsidR="00F86A38" w:rsidRPr="00DE6111">
        <w:rPr>
          <w:rFonts w:asciiTheme="majorHAnsi" w:hAnsiTheme="majorHAnsi"/>
          <w:sz w:val="22"/>
        </w:rPr>
        <w:t xml:space="preserve">Government College, </w:t>
      </w:r>
      <w:r w:rsidRPr="00DE6111">
        <w:rPr>
          <w:rFonts w:asciiTheme="majorHAnsi" w:hAnsiTheme="majorHAnsi"/>
          <w:sz w:val="22"/>
        </w:rPr>
        <w:t>Dungar</w:t>
      </w:r>
      <w:r w:rsidR="00F86A38" w:rsidRPr="00DE6111">
        <w:rPr>
          <w:rFonts w:asciiTheme="majorHAnsi" w:hAnsiTheme="majorHAnsi"/>
          <w:sz w:val="22"/>
        </w:rPr>
        <w:t>pur-(Rajasthan), INDIA</w:t>
      </w:r>
    </w:p>
    <w:p w:rsidR="00F86A38" w:rsidRPr="00DE6111" w:rsidRDefault="00F86A38" w:rsidP="00F86A38">
      <w:pPr>
        <w:jc w:val="center"/>
        <w:rPr>
          <w:b/>
          <w:bCs/>
          <w:sz w:val="28"/>
          <w:szCs w:val="24"/>
        </w:rPr>
      </w:pPr>
    </w:p>
    <w:p w:rsidR="00F21038" w:rsidRPr="00DE6111" w:rsidRDefault="00554271" w:rsidP="00554271">
      <w:pPr>
        <w:jc w:val="center"/>
        <w:rPr>
          <w:rFonts w:asciiTheme="majorHAnsi" w:hAnsiTheme="majorHAnsi"/>
          <w:b/>
          <w:bCs/>
        </w:rPr>
      </w:pPr>
      <w:r w:rsidRPr="00DE6111">
        <w:rPr>
          <w:rFonts w:asciiTheme="majorHAnsi" w:hAnsiTheme="majorHAnsi"/>
          <w:b/>
          <w:bCs/>
        </w:rPr>
        <w:t>ABSTRACT</w:t>
      </w:r>
    </w:p>
    <w:p w:rsidR="0057162E" w:rsidRPr="00DE6111" w:rsidRDefault="0057162E" w:rsidP="0057162E">
      <w:pPr>
        <w:rPr>
          <w:sz w:val="20"/>
          <w:szCs w:val="18"/>
        </w:rPr>
      </w:pPr>
      <w:r w:rsidRPr="00DE6111">
        <w:rPr>
          <w:sz w:val="20"/>
          <w:szCs w:val="18"/>
        </w:rPr>
        <w:t>Nanotechnology, as a multidisciplinary field of research and development, is becoming increasingly significant in developed countries due to its profound potential impact on national security, economic prosperity, and overall quality of life. As advancements in nanotechnology continue at a rapid pace, there is a growing demand for specific professional knowledge and skills in this domain. To ensure a country's prominence in nanotechnology research and development, it is essential to adopt contemporary approaches and practices that effectively engage learners, enhancing their ability to apply nanoscale-related content knowledge. Integrating innovative technologies, such as three-dimensional graphics, virtual reality, virtual modeling, visualizations, and other information and communication technologies, is crucial in reinforcing the scientific and technological concepts associated with nanotechnology. These technologies provide immersive and interactive learning experiences, allowing students to visualize and manipulate nanoscale phenomena, which is often difficult to comprehend through traditional teaching methods. This paper explores the current content and approaches in nanotechnology education, emphasizing the need for a curriculum that not only imparts fundamental knowledge but also fosters critical thinking, problem-solving, and innovation. By preparing knowledgeable and engaged citizens, we can ensure that society is well-equipped to harness the transformative impact of nanotechnology, driving forward advancements in medicine, energy, materials science, and beyond.</w:t>
      </w:r>
    </w:p>
    <w:p w:rsidR="000235E3" w:rsidRPr="00DE6111" w:rsidRDefault="000235E3" w:rsidP="000235E3">
      <w:pPr>
        <w:rPr>
          <w:rFonts w:asciiTheme="majorHAnsi" w:hAnsiTheme="majorHAnsi"/>
          <w:sz w:val="20"/>
          <w:szCs w:val="18"/>
        </w:rPr>
      </w:pPr>
      <w:r w:rsidRPr="00DE6111">
        <w:rPr>
          <w:rFonts w:asciiTheme="majorHAnsi" w:hAnsiTheme="majorHAnsi"/>
          <w:b/>
          <w:bCs/>
          <w:i/>
          <w:iCs/>
          <w:sz w:val="20"/>
          <w:szCs w:val="18"/>
        </w:rPr>
        <w:t>Keywords:</w:t>
      </w:r>
      <w:r w:rsidRPr="00DE6111">
        <w:rPr>
          <w:rFonts w:asciiTheme="majorHAnsi" w:hAnsiTheme="majorHAnsi"/>
          <w:b/>
          <w:bCs/>
          <w:sz w:val="20"/>
          <w:szCs w:val="18"/>
        </w:rPr>
        <w:t xml:space="preserve"> </w:t>
      </w:r>
      <w:r w:rsidRPr="00DE6111">
        <w:rPr>
          <w:rFonts w:asciiTheme="majorHAnsi" w:hAnsiTheme="majorHAnsi"/>
          <w:sz w:val="20"/>
          <w:szCs w:val="18"/>
        </w:rPr>
        <w:t xml:space="preserve">Nanotechnology, </w:t>
      </w:r>
      <w:r w:rsidR="00373242" w:rsidRPr="00DE6111">
        <w:rPr>
          <w:rFonts w:asciiTheme="majorHAnsi" w:hAnsiTheme="majorHAnsi"/>
          <w:sz w:val="20"/>
          <w:szCs w:val="18"/>
        </w:rPr>
        <w:t>Nano scale, Research</w:t>
      </w:r>
      <w:r w:rsidRPr="00DE6111">
        <w:rPr>
          <w:rFonts w:asciiTheme="majorHAnsi" w:hAnsiTheme="majorHAnsi"/>
          <w:sz w:val="20"/>
          <w:szCs w:val="18"/>
        </w:rPr>
        <w:t xml:space="preserve">, Multidisciplinary, </w:t>
      </w:r>
      <w:r w:rsidR="00373242" w:rsidRPr="00DE6111">
        <w:rPr>
          <w:rFonts w:asciiTheme="majorHAnsi" w:hAnsiTheme="majorHAnsi"/>
          <w:sz w:val="20"/>
          <w:szCs w:val="18"/>
        </w:rPr>
        <w:t>Innovation</w:t>
      </w:r>
      <w:r w:rsidRPr="00DE6111">
        <w:rPr>
          <w:rFonts w:asciiTheme="majorHAnsi" w:hAnsiTheme="majorHAnsi"/>
          <w:sz w:val="20"/>
          <w:szCs w:val="18"/>
        </w:rPr>
        <w:t>, Scientific concepts</w:t>
      </w:r>
    </w:p>
    <w:p w:rsidR="00F21038" w:rsidRPr="00DE6111" w:rsidRDefault="00A1208D" w:rsidP="00A1208D">
      <w:pPr>
        <w:jc w:val="center"/>
        <w:rPr>
          <w:rFonts w:asciiTheme="majorHAnsi" w:hAnsiTheme="majorHAnsi"/>
          <w:b/>
          <w:bCs/>
        </w:rPr>
      </w:pPr>
      <w:r w:rsidRPr="00DE6111">
        <w:rPr>
          <w:rFonts w:asciiTheme="majorHAnsi" w:hAnsiTheme="majorHAnsi"/>
          <w:b/>
          <w:bCs/>
        </w:rPr>
        <w:t>I. INTRODUCTION</w:t>
      </w:r>
    </w:p>
    <w:p w:rsidR="001465A3" w:rsidRPr="00DE6111" w:rsidRDefault="001465A3" w:rsidP="001465A3">
      <w:pPr>
        <w:rPr>
          <w:sz w:val="20"/>
          <w:szCs w:val="18"/>
        </w:rPr>
      </w:pPr>
      <w:r w:rsidRPr="00DE6111">
        <w:rPr>
          <w:sz w:val="20"/>
          <w:szCs w:val="18"/>
        </w:rPr>
        <w:t>Contemporary educational systems must prioritize high-level content and innovative approaches to nurture an educated, skilled, and creative populace. With emerging technologies like nanotechnology projected to dominate the future, career and technical education must focus on medical, biotechnological, and nanotechnological advancements. As trend and longitudinal analyses indicate, nanotechnology will play a transformative role with a profound impact on society, making it a vital area for workforce development and economic growth (Mnyusiwalla et al., 2003).</w:t>
      </w:r>
    </w:p>
    <w:p w:rsidR="001465A3" w:rsidRPr="00DE6111" w:rsidRDefault="001465A3" w:rsidP="001465A3">
      <w:pPr>
        <w:rPr>
          <w:sz w:val="20"/>
          <w:szCs w:val="18"/>
        </w:rPr>
      </w:pPr>
      <w:r w:rsidRPr="00DE6111">
        <w:rPr>
          <w:sz w:val="20"/>
          <w:szCs w:val="18"/>
        </w:rPr>
        <w:t>Nanotechnology, characterized by its potential to revolutionize industries, is at the forefront of this technological wave. Shelley (2006) highlights the significant progress in targeted nanoscience and nanotechnology, leading to marketable products and new commercial applications. As nanotechnologies are increasingly integrated into various consumer products, their widespread adoption is imminent. Shelley emphasizes the boundless possibilities of nanotechnology, especially in energy, medical, and information technology sectors, which are crucial components of modern society.</w:t>
      </w:r>
    </w:p>
    <w:p w:rsidR="001465A3" w:rsidRPr="00DE6111" w:rsidRDefault="001465A3" w:rsidP="001465A3">
      <w:pPr>
        <w:rPr>
          <w:sz w:val="20"/>
          <w:szCs w:val="18"/>
        </w:rPr>
      </w:pPr>
      <w:r w:rsidRPr="00DE6111">
        <w:rPr>
          <w:sz w:val="20"/>
          <w:szCs w:val="18"/>
        </w:rPr>
        <w:t>To leverage these opportunities, this paper advocates for the integration of nanotechnology education into the broader educational curriculum. Recognizing the societal and economic importance of this field, it urges governments, businesses, and educational institutions to prioritize its development. By equipping students with the knowledge and skills needed to excel in nanotechnology, we prepare them to contribute significantly to future innovations and advancements.</w:t>
      </w:r>
    </w:p>
    <w:p w:rsidR="001465A3" w:rsidRPr="00DE6111" w:rsidRDefault="001465A3" w:rsidP="001465A3">
      <w:r w:rsidRPr="00DE6111">
        <w:rPr>
          <w:sz w:val="20"/>
          <w:szCs w:val="18"/>
        </w:rPr>
        <w:t>The paper will discuss the current landscape of nanotechnology education, its challenges, and potential strategies for effective implementation. By fostering an environment of learning that embraces the latest technologies and teaching methods, we can ensure that the next generation is ready to meet the demands of an increasingly technological world.</w:t>
      </w:r>
    </w:p>
    <w:p w:rsidR="00F21038" w:rsidRPr="00DE6111" w:rsidRDefault="00A1208D" w:rsidP="00EE75C8">
      <w:pPr>
        <w:jc w:val="center"/>
        <w:rPr>
          <w:rFonts w:asciiTheme="majorHAnsi" w:hAnsiTheme="majorHAnsi"/>
          <w:b/>
          <w:bCs/>
        </w:rPr>
      </w:pPr>
      <w:r w:rsidRPr="00DE6111">
        <w:rPr>
          <w:rFonts w:asciiTheme="majorHAnsi" w:hAnsiTheme="majorHAnsi"/>
          <w:b/>
          <w:bCs/>
        </w:rPr>
        <w:t>II. REVIEW OF LITERATURE</w:t>
      </w:r>
    </w:p>
    <w:p w:rsidR="001465A3" w:rsidRPr="00DE6111" w:rsidRDefault="001465A3" w:rsidP="001465A3">
      <w:pPr>
        <w:rPr>
          <w:sz w:val="20"/>
          <w:szCs w:val="20"/>
        </w:rPr>
      </w:pPr>
      <w:r w:rsidRPr="00DE6111">
        <w:rPr>
          <w:sz w:val="20"/>
          <w:szCs w:val="20"/>
        </w:rPr>
        <w:t>Nanotechnology is dedicated to crafting purposeful materials, devices, and systems by manipulating matter at the nanometer scale and exploiting unique phenomena and properties at this level (Mnyusiwalla et al., 2003). According to Lakhtakia (2006), nanotechnology is not limited to a specific method or resource but encompasses all aspects of device and system fabrication at the nanoscale. This broad scope of nanotechnology is driving a new era of scientific inquiry and technological innovation, breaking down traditional disciplinary barriers in education and the sciences and leading to a dynamic interplay between nanotechnology and technology as a whole (Schank et al., 2007).</w:t>
      </w:r>
    </w:p>
    <w:p w:rsidR="001465A3" w:rsidRPr="00DE6111" w:rsidRDefault="001465A3" w:rsidP="001465A3">
      <w:pPr>
        <w:rPr>
          <w:sz w:val="20"/>
          <w:szCs w:val="20"/>
        </w:rPr>
      </w:pPr>
      <w:r w:rsidRPr="00DE6111">
        <w:rPr>
          <w:sz w:val="20"/>
          <w:szCs w:val="20"/>
        </w:rPr>
        <w:t>As a multidisciplinary field, nanotechnology brings together experts from diverse disciplines, including chemistry, physics, biology, materials science, and engineering. These collaborations foster the exploration and utilization of objects at the nanoscale (Clark &amp; Ernst, 2005). As scientific advancements continue to rapidly intertwine with technology and society, educational institutions face the challenge of updating curricula to keep pace with the ever-</w:t>
      </w:r>
      <w:r w:rsidRPr="00DE6111">
        <w:rPr>
          <w:sz w:val="20"/>
          <w:szCs w:val="20"/>
        </w:rPr>
        <w:lastRenderedPageBreak/>
        <w:t>evolving innovations. This challenge is particularly pertinent as nano businesses are projected to become the fastest-growing industry in history, surpassing the combined growth of the telecommunications and information technology industries</w:t>
      </w:r>
      <w:r w:rsidR="00324F84" w:rsidRPr="00DE6111">
        <w:rPr>
          <w:sz w:val="20"/>
          <w:szCs w:val="20"/>
        </w:rPr>
        <w:t xml:space="preserve"> (</w:t>
      </w:r>
      <w:r w:rsidR="00324F84" w:rsidRPr="00DE6111">
        <w:rPr>
          <w:sz w:val="20"/>
          <w:szCs w:val="20"/>
          <w:shd w:val="clear" w:color="auto" w:fill="FFFFFF"/>
        </w:rPr>
        <w:t>Bobokulova, 2024).</w:t>
      </w:r>
    </w:p>
    <w:p w:rsidR="001465A3" w:rsidRPr="00DE6111" w:rsidRDefault="001465A3" w:rsidP="001465A3">
      <w:pPr>
        <w:rPr>
          <w:sz w:val="20"/>
          <w:szCs w:val="20"/>
        </w:rPr>
      </w:pPr>
      <w:r w:rsidRPr="00DE6111">
        <w:rPr>
          <w:sz w:val="20"/>
          <w:szCs w:val="20"/>
        </w:rPr>
        <w:t>The impact of nanotechnology extends across various sectors, including the military, law enforcement, and commercial goods. Research and development in nanotechnologies have already led to advancements in fields like nano-optics and nanophotonics, which hold the potential for developing new industrial processes and fostering a sustainable environment. Current products, such as stain repellents and dental fillers, are tangible outcomes of nano-related research, showcasing the immediate applications of nanotechnology in everyday life</w:t>
      </w:r>
      <w:r w:rsidR="008C0570" w:rsidRPr="00DE6111">
        <w:rPr>
          <w:sz w:val="20"/>
          <w:szCs w:val="20"/>
        </w:rPr>
        <w:t xml:space="preserve"> (Amalina et al., 2022)</w:t>
      </w:r>
      <w:r w:rsidRPr="00DE6111">
        <w:rPr>
          <w:sz w:val="20"/>
          <w:szCs w:val="20"/>
        </w:rPr>
        <w:t>.</w:t>
      </w:r>
    </w:p>
    <w:p w:rsidR="001465A3" w:rsidRPr="00DE6111" w:rsidRDefault="001465A3" w:rsidP="001465A3">
      <w:pPr>
        <w:rPr>
          <w:sz w:val="20"/>
          <w:szCs w:val="20"/>
        </w:rPr>
      </w:pPr>
      <w:r w:rsidRPr="00DE6111">
        <w:rPr>
          <w:sz w:val="20"/>
          <w:szCs w:val="20"/>
        </w:rPr>
        <w:t>The manufacturing of these products requires precise instruments and chemicals, which are crucial for producing at smaller scales and form the foundation for further discoveries. The merging of biology, chemistry, medicine, and fabrication in these applications presents cross-disciplinary education opportunities with significant potential</w:t>
      </w:r>
      <w:r w:rsidR="00324F84" w:rsidRPr="00DE6111">
        <w:rPr>
          <w:sz w:val="20"/>
          <w:szCs w:val="20"/>
        </w:rPr>
        <w:t xml:space="preserve"> (Jackman et al., 2016)</w:t>
      </w:r>
      <w:r w:rsidRPr="00DE6111">
        <w:rPr>
          <w:sz w:val="20"/>
          <w:szCs w:val="20"/>
        </w:rPr>
        <w:t>. As a result, the increasing demand for targeted knowledge and skills in nanotechnology will profoundly impact the education system at all levels. It highlights the need for students to be aware of and engaged with experimental technologies, preparing them for a future where nanotechnology plays a central role in societal advancements (Shields and Rodgers, 2005).</w:t>
      </w:r>
    </w:p>
    <w:p w:rsidR="001465A3" w:rsidRPr="00DE6111" w:rsidRDefault="001465A3" w:rsidP="001465A3">
      <w:pPr>
        <w:rPr>
          <w:sz w:val="20"/>
          <w:szCs w:val="20"/>
        </w:rPr>
      </w:pPr>
      <w:r w:rsidRPr="00DE6111">
        <w:rPr>
          <w:sz w:val="20"/>
          <w:szCs w:val="20"/>
        </w:rPr>
        <w:t>By integrating disciplines within technology education classrooms, educators can cultivate an environment that fosters innovation and prepares students for the complexities of working in a field that is continuously evolving</w:t>
      </w:r>
      <w:r w:rsidR="00A82E39" w:rsidRPr="00DE6111">
        <w:rPr>
          <w:sz w:val="20"/>
          <w:szCs w:val="20"/>
        </w:rPr>
        <w:t xml:space="preserve"> </w:t>
      </w:r>
      <w:r w:rsidR="00A82E39" w:rsidRPr="00DE6111">
        <w:rPr>
          <w:sz w:val="20"/>
          <w:szCs w:val="20"/>
          <w:shd w:val="clear" w:color="auto" w:fill="FFFFFF"/>
        </w:rPr>
        <w:t>(José and Shinde, 2024)</w:t>
      </w:r>
      <w:r w:rsidRPr="00DE6111">
        <w:rPr>
          <w:sz w:val="20"/>
          <w:szCs w:val="20"/>
        </w:rPr>
        <w:t>. This approach not only equips students with the technical skills necessary for success in the nanotechnology industry but also encourages them to think critically and creatively about the possibilities and challenges of working at the nanoscale.</w:t>
      </w:r>
    </w:p>
    <w:p w:rsidR="00CD0F53" w:rsidRPr="00DE6111" w:rsidRDefault="00CD0F53" w:rsidP="00CD0F53">
      <w:pPr>
        <w:rPr>
          <w:sz w:val="20"/>
          <w:szCs w:val="20"/>
        </w:rPr>
      </w:pPr>
      <w:r w:rsidRPr="00DE6111">
        <w:rPr>
          <w:sz w:val="20"/>
          <w:szCs w:val="20"/>
        </w:rPr>
        <w:t>Ongoing technological advancements provide new and relevant content for classroom incorporation. At the high school level, it is crucial to introduce advanced subject matter and cutting-edge approaches to enhance students' knowledge and motivation. The future progress in nanoscale science and engineering will heavily depend on the quality of education (</w:t>
      </w:r>
      <w:r w:rsidR="00A82E39" w:rsidRPr="00DE6111">
        <w:rPr>
          <w:sz w:val="20"/>
          <w:szCs w:val="20"/>
          <w:shd w:val="clear" w:color="auto" w:fill="FFFFFF"/>
        </w:rPr>
        <w:t>Schmidt</w:t>
      </w:r>
      <w:r w:rsidRPr="00DE6111">
        <w:rPr>
          <w:sz w:val="20"/>
          <w:szCs w:val="20"/>
        </w:rPr>
        <w:t>, 20</w:t>
      </w:r>
      <w:r w:rsidR="00A82E39" w:rsidRPr="00DE6111">
        <w:rPr>
          <w:sz w:val="20"/>
          <w:szCs w:val="20"/>
        </w:rPr>
        <w:t>20</w:t>
      </w:r>
      <w:r w:rsidRPr="00DE6111">
        <w:rPr>
          <w:sz w:val="20"/>
          <w:szCs w:val="20"/>
        </w:rPr>
        <w:t>). Schank et al. (2009) emphasized the importance of proper teacher preparation, well-designed nanoscience curricular activities, and engaging experiences to help students understand the fundamental principles governing nanoscopic scale behavior.</w:t>
      </w:r>
    </w:p>
    <w:p w:rsidR="00CD0F53" w:rsidRPr="00DE6111" w:rsidRDefault="00CD0F53" w:rsidP="00CD0F53">
      <w:pPr>
        <w:rPr>
          <w:sz w:val="20"/>
          <w:szCs w:val="20"/>
        </w:rPr>
      </w:pPr>
      <w:r w:rsidRPr="00DE6111">
        <w:rPr>
          <w:sz w:val="20"/>
          <w:szCs w:val="20"/>
        </w:rPr>
        <w:t>Incorporating real-world examples in curricular activities can positively impact students' attitudes toward science and emerging ideas. The use of high-quality three-dimensional graphics and virtual reality software can significantly enhance students' understanding of the nanoscale (Jones et al., 2003). These tools can provide students with an immersive experience that helps them visualize and interact with concepts that are difficult to grasp through traditional teaching methods.</w:t>
      </w:r>
    </w:p>
    <w:p w:rsidR="00CD0F53" w:rsidRPr="00DE6111" w:rsidRDefault="00CD0F53" w:rsidP="00CD0F53">
      <w:pPr>
        <w:rPr>
          <w:sz w:val="20"/>
          <w:szCs w:val="20"/>
        </w:rPr>
      </w:pPr>
      <w:r w:rsidRPr="00DE6111">
        <w:rPr>
          <w:sz w:val="20"/>
          <w:szCs w:val="20"/>
        </w:rPr>
        <w:t>Understanding scale in nanotechnology can be particularly challenging for students. Relating nanometers to familiar units of measurement helps create some awareness of nanoscale objects, but tangible objects that students perceive as extremely small can enhance this understanding (Ernst, 2009). Representing scale exponentially through graphical visualizations is also an effective approach to this topic (Wiebe et al., 2003). Such visual aids can bridge the gap between theoretical concepts and their practical applications.</w:t>
      </w:r>
    </w:p>
    <w:p w:rsidR="00CD0F53" w:rsidRPr="00DE6111" w:rsidRDefault="00CD0F53" w:rsidP="00CD0F53">
      <w:r w:rsidRPr="00DE6111">
        <w:rPr>
          <w:sz w:val="20"/>
          <w:szCs w:val="20"/>
        </w:rPr>
        <w:t>Clark and Ernst (2005) conducted a three-year study linking science and technology concepts through visualizations. Students who participated in instructional units involving the creation of visualizations showed significant improvement in their knowledge of the identified content areas. This finding underscores the value of integrating visual learning techniques into the curriculum. By doing so, educators can create a more engaging and effective learning environment that prepares students for future innovations in nanotechnology and other emerging fields.</w:t>
      </w:r>
    </w:p>
    <w:p w:rsidR="008B1B12" w:rsidRPr="00DE6111" w:rsidRDefault="00A1208D" w:rsidP="00A1208D">
      <w:pPr>
        <w:jc w:val="center"/>
        <w:rPr>
          <w:rFonts w:asciiTheme="majorHAnsi" w:hAnsiTheme="majorHAnsi"/>
          <w:b/>
          <w:bCs/>
        </w:rPr>
      </w:pPr>
      <w:r w:rsidRPr="00DE6111">
        <w:rPr>
          <w:rFonts w:asciiTheme="majorHAnsi" w:hAnsiTheme="majorHAnsi"/>
          <w:b/>
          <w:bCs/>
        </w:rPr>
        <w:t xml:space="preserve">III. </w:t>
      </w:r>
      <w:r w:rsidR="00DE4AD9" w:rsidRPr="00DE6111">
        <w:rPr>
          <w:rFonts w:asciiTheme="majorHAnsi" w:hAnsiTheme="majorHAnsi"/>
          <w:b/>
          <w:bCs/>
        </w:rPr>
        <w:t>INTERDISCIPLINARY CONNECTIONS: INTEGRATING MATHEMATICS AND SCIENCE</w:t>
      </w:r>
    </w:p>
    <w:p w:rsidR="00287D23" w:rsidRPr="00DE6111" w:rsidRDefault="00287D23" w:rsidP="00287D23">
      <w:pPr>
        <w:rPr>
          <w:sz w:val="20"/>
          <w:szCs w:val="18"/>
        </w:rPr>
      </w:pPr>
      <w:r w:rsidRPr="00DE6111">
        <w:rPr>
          <w:sz w:val="20"/>
          <w:szCs w:val="18"/>
        </w:rPr>
        <w:t>Universities are actively incorporating nanotechnology into technology education teacher-preparation programs, providing students with a diverse array of learning opportunities in medical, environmental, and biotechnological subjects. These programs are designed to include various learning activities, experimentation, data collection exercises, and modeling projects to ensure comprehensive understanding and practical application of the concepts. The medical technology sequence, for example, encompasses disease prevention and medical imaging technologies and techniques like pasteurization, irradiation, sterilization, water treatment, sanitation, immunization, computerized axial tomography, ultrasound technology, magnetic resonance imaging, and endoscope technology (Ernst, 2009). These topics prepare future educators to teach cutting-edge medical technologies that are increasingly integral to healthcare.</w:t>
      </w:r>
    </w:p>
    <w:p w:rsidR="00287D23" w:rsidRPr="00DE6111" w:rsidRDefault="00287D23" w:rsidP="00287D23">
      <w:pPr>
        <w:rPr>
          <w:sz w:val="20"/>
          <w:szCs w:val="18"/>
        </w:rPr>
      </w:pPr>
      <w:r w:rsidRPr="00DE6111">
        <w:rPr>
          <w:sz w:val="20"/>
          <w:szCs w:val="18"/>
        </w:rPr>
        <w:t>In the environmental sequence of teacher-preparation programs, topics such as graphical weather patterns, Earth observation systems, green power, sustainability, cradle-to-cradle design, and renewable energy resources are explored. This sequence is essential for training educators who can effectively teach the importance of environmental sustainability and technological solutions to environmental challenges. The biotechnology sequence focuses on DNA technology, gene detection, enzyme replacement, cell culture, and related nanotechnologies, offering a comprehensive understanding of the intersection between biology and technology</w:t>
      </w:r>
      <w:r w:rsidR="00700ADA" w:rsidRPr="00DE6111">
        <w:rPr>
          <w:sz w:val="20"/>
          <w:szCs w:val="18"/>
        </w:rPr>
        <w:t xml:space="preserve"> (Yu et al., 2023)</w:t>
      </w:r>
      <w:r w:rsidRPr="00DE6111">
        <w:rPr>
          <w:sz w:val="20"/>
          <w:szCs w:val="18"/>
        </w:rPr>
        <w:t>.</w:t>
      </w:r>
    </w:p>
    <w:p w:rsidR="00287D23" w:rsidRPr="00DE6111" w:rsidRDefault="00287D23" w:rsidP="00287D23">
      <w:pPr>
        <w:rPr>
          <w:sz w:val="20"/>
          <w:szCs w:val="18"/>
        </w:rPr>
      </w:pPr>
      <w:r w:rsidRPr="00DE6111">
        <w:rPr>
          <w:sz w:val="20"/>
          <w:szCs w:val="18"/>
        </w:rPr>
        <w:t xml:space="preserve">A crucial aspect of nanotechnology education in these programs is nanomanipulation, which is integrated into the </w:t>
      </w:r>
      <w:r w:rsidRPr="00DE6111">
        <w:rPr>
          <w:sz w:val="20"/>
          <w:szCs w:val="18"/>
        </w:rPr>
        <w:lastRenderedPageBreak/>
        <w:t>coursework to enhance teacher preparation. To effectively integrate nanotechnology into technology education teacher-preparation programs, a sequential and interconnected curriculum is necessary. This curriculum should gradually build upon each segment, fostering layered knowledge and performance-based application aligned with systems-based benchmarks.</w:t>
      </w:r>
      <w:r w:rsidR="00DE6111" w:rsidRPr="00DE6111">
        <w:rPr>
          <w:sz w:val="20"/>
          <w:szCs w:val="18"/>
        </w:rPr>
        <w:t xml:space="preserve"> </w:t>
      </w:r>
      <w:r w:rsidRPr="00DE6111">
        <w:rPr>
          <w:sz w:val="20"/>
          <w:szCs w:val="18"/>
        </w:rPr>
        <w:t>Incorporating visual examples and simulated real-world applications can significantly enhance student engagement and understanding. Intrinsically motivating approaches such as visual and kinesthetic learning methods, problem-based learning, and learning through design are effective for reinforcing STEM-based material. Problem-based and project-based learning approaches not only improve understanding but also encourage deep and creative learning</w:t>
      </w:r>
      <w:r w:rsidR="0023622A" w:rsidRPr="00DE6111">
        <w:rPr>
          <w:sz w:val="20"/>
          <w:szCs w:val="18"/>
        </w:rPr>
        <w:t xml:space="preserve"> (Yu and Len, 2020)</w:t>
      </w:r>
      <w:r w:rsidRPr="00DE6111">
        <w:rPr>
          <w:sz w:val="20"/>
          <w:szCs w:val="18"/>
        </w:rPr>
        <w:t>.</w:t>
      </w:r>
    </w:p>
    <w:p w:rsidR="00287D23" w:rsidRPr="00DE6111" w:rsidRDefault="00287D23" w:rsidP="00287D23">
      <w:r w:rsidRPr="00DE6111">
        <w:rPr>
          <w:sz w:val="20"/>
          <w:szCs w:val="18"/>
        </w:rPr>
        <w:t>Connecting ideas from mathematics and science is crucial for reinforcing the application of concepts, skills, and principles in nanotechnology. This involves integrating disciplines like chemistry, physics, biology, materials science, and engineering (Clark &amp; Ernst, 2007). Such an interdisciplinary approach ensures that future educators are well-equipped to teach the next generation of students the complexities of nanotechnology and its applications across various fields.</w:t>
      </w:r>
      <w:r w:rsidR="00DE6111" w:rsidRPr="00DE6111">
        <w:rPr>
          <w:sz w:val="20"/>
          <w:szCs w:val="18"/>
        </w:rPr>
        <w:t xml:space="preserve"> </w:t>
      </w:r>
      <w:r w:rsidRPr="00DE6111">
        <w:rPr>
          <w:sz w:val="20"/>
          <w:szCs w:val="18"/>
        </w:rPr>
        <w:t>By providing a comprehensive, interconnected curriculum and employing innovative teaching methods, universities can prepare educators who are capable of inspiring and guiding students in the rapidly evolving field of nanotechnology</w:t>
      </w:r>
      <w:r w:rsidR="00070029" w:rsidRPr="00DE6111">
        <w:rPr>
          <w:sz w:val="20"/>
          <w:szCs w:val="18"/>
        </w:rPr>
        <w:t xml:space="preserve"> (</w:t>
      </w:r>
      <w:r w:rsidR="00070029" w:rsidRPr="00DE6111">
        <w:rPr>
          <w:sz w:val="20"/>
          <w:szCs w:val="20"/>
          <w:shd w:val="clear" w:color="auto" w:fill="FFFFFF"/>
        </w:rPr>
        <w:t>Bauer, 2021)</w:t>
      </w:r>
      <w:r w:rsidRPr="00DE6111">
        <w:rPr>
          <w:sz w:val="20"/>
          <w:szCs w:val="18"/>
        </w:rPr>
        <w:t>. This preparation is essential for fostering a generation of learners who are ready to tackle the challenges and opportunities presented by advancements in nanotechnology.</w:t>
      </w:r>
    </w:p>
    <w:p w:rsidR="00F21038" w:rsidRPr="00DE6111" w:rsidRDefault="00A1208D" w:rsidP="00A1208D">
      <w:pPr>
        <w:jc w:val="center"/>
        <w:rPr>
          <w:rFonts w:asciiTheme="majorHAnsi" w:hAnsiTheme="majorHAnsi"/>
          <w:b/>
          <w:bCs/>
        </w:rPr>
      </w:pPr>
      <w:r w:rsidRPr="00DE6111">
        <w:rPr>
          <w:rFonts w:asciiTheme="majorHAnsi" w:hAnsiTheme="majorHAnsi"/>
          <w:b/>
          <w:bCs/>
        </w:rPr>
        <w:t>IV. CONCLUSION</w:t>
      </w:r>
    </w:p>
    <w:p w:rsidR="00287D23" w:rsidRPr="00DE6111" w:rsidRDefault="00287D23" w:rsidP="00287D23">
      <w:r w:rsidRPr="00DE6111">
        <w:rPr>
          <w:sz w:val="20"/>
          <w:szCs w:val="18"/>
        </w:rPr>
        <w:t>Nanotechnology holds immense potential and has become a priority due to its impact on various aspects of society, including health care, environmental sustainability, and advanced materials. As nanotechnology continues to advance rapidly, it demands targeted knowledge and skills from educators and students alike to ensure that the workforce is well-prepared to meet these new challenges and opportunities. Integrating nanotechnology content into technology education teacher-preparation programs is crucial for preparing knowledgeable and engaged citizens who can fully grasp and harness the transformative impact of nanotechnology on society.</w:t>
      </w:r>
      <w:r w:rsidR="00DE6111" w:rsidRPr="00DE6111">
        <w:rPr>
          <w:sz w:val="20"/>
          <w:szCs w:val="18"/>
        </w:rPr>
        <w:t xml:space="preserve"> </w:t>
      </w:r>
      <w:r w:rsidRPr="00DE6111">
        <w:rPr>
          <w:sz w:val="20"/>
          <w:szCs w:val="18"/>
        </w:rPr>
        <w:t>To achieve this, a well-designed curriculum with innovative approaches should be implemented. These approaches might include visualizations, which can help students understand complex nanoscale concepts, and problem-based learning, which encourages critical thinking and real-world application of knowledge. By fostering interdisciplinary connections and incorporating real-world examples, educators can effectively navigate the complexities of nanoscale science. This method of teaching not only enhances understanding but also prepares future generations to thrive in a technologically driven world. Through these efforts, we can ensure that our education system remains responsive to the demands of a rapidly advancing field like nanotechnology, ultimately benefiting society as a whole.</w:t>
      </w:r>
    </w:p>
    <w:p w:rsidR="00F21038" w:rsidRPr="00DE6111" w:rsidRDefault="00A1208D" w:rsidP="00A1208D">
      <w:pPr>
        <w:jc w:val="center"/>
        <w:rPr>
          <w:rFonts w:asciiTheme="majorHAnsi" w:hAnsiTheme="majorHAnsi"/>
          <w:b/>
          <w:bCs/>
        </w:rPr>
      </w:pPr>
      <w:r w:rsidRPr="00DE6111">
        <w:rPr>
          <w:rFonts w:asciiTheme="majorHAnsi" w:hAnsiTheme="majorHAnsi"/>
          <w:b/>
          <w:bCs/>
        </w:rPr>
        <w:t>V. REFERENCES</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Amalina, I., Jiwanti, P. K., Amrillah, T., Rizki, I. N., Firmansyah, M. L., Wibowo, A. C., ... &amp; Sari, R. (2022). NANOTECHNOLOGY EDUCATION AND APLICATION IN LIFE TOWARDS HIGH SCHOOL STUDENTS. Jurnal Layanan Masyarakat, 6(1). </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Bauer, J. (2021). Teaching nanotechnology through research proposals. Journal of Chemical Education, 98(7), 2347-2355. </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Bobokulova, M. (2024). THE ROLE OF NANOTECHNOLOGY IN MODERN PHYSICS. Development and innovations in science, 3(1), 145-153. </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Clark, A. C., &amp; Ernst, J. V. (2005). Supporting technological literacy through the integration of engineering, mathematics, scientific, and technological concepts. Proceedings of the American Society for Engineering Education Annual Conference and Exposition, Session 146, Chicago, IL.</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Clark, A. C., &amp; Ernst, J. V. (2007). A model for the integration of science, technology, engineering, and mathematics. The Technology Teacher, 66(4), 24-26.</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Ernst, J. V. (2009). Nanotechnology Education: Contemporary Content and Approaches. Journal of Technology Studies, 35(1), 3-8.</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Jackman, J. A., Cho, D. J., Lee, J., Chen, J. M., Besenbacher, F., Bonnell, D. A., ... &amp; Cho, N. J. (2016). Nanotechnology education for the global world: training the leaders of tomorrow. </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Jones, M. G., Andre, T., Superfine, R., &amp; Taylor, R. (2003). Learning at the nanoscale: The impact of students’ use of remote microscopy on concepts of viruses, scale, and microscopy. Journal of Research in Science Teaching, 40(3), 303-322.</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José, B. J. A., &amp; Shinde, M. D. (2024). Advancing Science, Technology, and Engineering through Sustainable Nanotechnology. Aspects Nanotechnol, 6(1), 103-109. </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Lakhtakia, A. (2006). Priming pre-university education for nanotechnology. Current Science, 90(1), 37-40.</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Mnyusiwalla, A., Daar, A. S., &amp; Singer, P. A. (2003). "Mind the gap": Science and ethics in nanotechnology. Nanotechnology, 14, R9-R13.</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 xml:space="preserve">Schank, P., Krajcik, J., &amp; Yunker, M. (2007). Can nanoscience be a catalyst for educational reform? In F. </w:t>
      </w:r>
      <w:r w:rsidRPr="00DE6111">
        <w:rPr>
          <w:rFonts w:asciiTheme="majorHAnsi" w:hAnsiTheme="majorHAnsi"/>
          <w:sz w:val="20"/>
          <w:szCs w:val="18"/>
        </w:rPr>
        <w:lastRenderedPageBreak/>
        <w:t>Allhoff, P. Lin, &amp; J. Moor (Eds.), Nanoethics: The ethical and social implications of nanotechnology (pp. 277-290). Wiley.</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Schank, P., Wise, P., Stanford, T., &amp; Rosenquist, A. (2009). Can high school students learn nanoscience? An evaluation of the viability and impact of the nanosense curriculum. Menlo Park, CA: SRI International.</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Schmidt, D. L. (2020). Nanotechnology and education. Women in Nanotechnology: Contributions from the Atomic Level and Up, 29-41. </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Shelley, T. (2006). Nanotechnology: New promises, new dangers. New York: Zed Books.</w:t>
      </w:r>
    </w:p>
    <w:p w:rsidR="00DE6111" w:rsidRPr="00DE6111" w:rsidRDefault="00DE6111" w:rsidP="00865159">
      <w:pPr>
        <w:pStyle w:val="ListParagraph"/>
        <w:numPr>
          <w:ilvl w:val="0"/>
          <w:numId w:val="4"/>
        </w:numPr>
        <w:spacing w:after="60"/>
        <w:ind w:left="567" w:hanging="567"/>
        <w:rPr>
          <w:rFonts w:asciiTheme="majorHAnsi" w:hAnsiTheme="majorHAnsi"/>
          <w:sz w:val="20"/>
          <w:szCs w:val="18"/>
        </w:rPr>
      </w:pPr>
      <w:r w:rsidRPr="00DE6111">
        <w:rPr>
          <w:rFonts w:asciiTheme="majorHAnsi" w:hAnsiTheme="majorHAnsi"/>
          <w:sz w:val="20"/>
          <w:szCs w:val="18"/>
        </w:rPr>
        <w:t>Shields, C. J., &amp; Rodgers, G. E. (2005). Incorporating experimental technologies in the middle-level technology education classroom. Journal of Industrial Teacher Education, 42(4), 72-80.</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Wiebe, E. N., Clark, A. C., Ferzli, M., &amp; McBroom, R. (2003). The VisTE Project: Visualization for improved technological and scientific literacy. Proceedings of the American Society for Engineering Education Annual Conference and Exposition, Session 2438. Nashville, TN. </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 xml:space="preserve">Yu, D. G., Li, Q., Song, W., Xu, L., Zhang, K., &amp; Zhou, T. (2023). Advanced technique-based combination of innovation education and safety education in higher education. Journal of Chemical Education, 100(2), 507-516. </w:t>
      </w:r>
    </w:p>
    <w:p w:rsidR="00DE6111" w:rsidRPr="00DE6111" w:rsidRDefault="00DE6111" w:rsidP="00865159">
      <w:pPr>
        <w:pStyle w:val="ListParagraph"/>
        <w:numPr>
          <w:ilvl w:val="0"/>
          <w:numId w:val="4"/>
        </w:numPr>
        <w:spacing w:after="60"/>
        <w:ind w:left="567" w:hanging="567"/>
      </w:pPr>
      <w:r w:rsidRPr="00DE6111">
        <w:rPr>
          <w:rFonts w:asciiTheme="majorHAnsi" w:hAnsiTheme="majorHAnsi"/>
          <w:sz w:val="20"/>
          <w:szCs w:val="18"/>
        </w:rPr>
        <w:t>Yu, H. P., &amp; Jen, E. (2020). Integrating nanotechnology in the science curriculum for elementary high-ability students in Taiwan: Evidenced-based lessons. Roeper Review, 42(1), 38-48.</w:t>
      </w:r>
    </w:p>
    <w:p w:rsidR="00043F5E" w:rsidRPr="00DE6111" w:rsidRDefault="00043F5E" w:rsidP="00043F5E"/>
    <w:p w:rsidR="009E11B5" w:rsidRPr="00DE6111" w:rsidRDefault="009E11B5" w:rsidP="00CD69F0">
      <w:pPr>
        <w:pStyle w:val="ListParagraph"/>
        <w:widowControl/>
        <w:autoSpaceDE/>
        <w:autoSpaceDN/>
        <w:spacing w:after="125"/>
        <w:ind w:left="720"/>
        <w:jc w:val="left"/>
        <w:textAlignment w:val="baseline"/>
        <w:rPr>
          <w:sz w:val="23"/>
          <w:szCs w:val="23"/>
          <w:lang w:val="en-IN" w:eastAsia="en-IN" w:bidi="hi-IN"/>
        </w:rPr>
      </w:pPr>
    </w:p>
    <w:p w:rsidR="008C0570" w:rsidRPr="00DE6111" w:rsidRDefault="008C0570" w:rsidP="00CD69F0">
      <w:pPr>
        <w:pStyle w:val="ListParagraph"/>
        <w:ind w:left="720"/>
        <w:rPr>
          <w:rFonts w:asciiTheme="majorHAnsi" w:hAnsiTheme="majorHAnsi" w:cs="Arial"/>
          <w:sz w:val="20"/>
          <w:szCs w:val="20"/>
          <w:shd w:val="clear" w:color="auto" w:fill="FFFFFF"/>
        </w:rPr>
      </w:pPr>
    </w:p>
    <w:p w:rsidR="009E11B5" w:rsidRPr="00DE6111" w:rsidRDefault="009E11B5" w:rsidP="00D56168">
      <w:pPr>
        <w:rPr>
          <w:rFonts w:asciiTheme="majorHAnsi" w:hAnsiTheme="majorHAnsi"/>
          <w:sz w:val="20"/>
          <w:szCs w:val="18"/>
        </w:rPr>
      </w:pPr>
    </w:p>
    <w:p w:rsidR="00D56168" w:rsidRPr="00DE6111" w:rsidRDefault="00D56168" w:rsidP="00D56168">
      <w:pPr>
        <w:rPr>
          <w:rFonts w:asciiTheme="majorHAnsi" w:hAnsiTheme="majorHAnsi"/>
          <w:sz w:val="20"/>
          <w:szCs w:val="18"/>
        </w:rPr>
      </w:pPr>
    </w:p>
    <w:p w:rsidR="009E11B5" w:rsidRPr="00DE6111" w:rsidRDefault="009E11B5" w:rsidP="00D56168">
      <w:pPr>
        <w:rPr>
          <w:rFonts w:asciiTheme="majorHAnsi" w:hAnsiTheme="majorHAnsi"/>
          <w:sz w:val="20"/>
          <w:szCs w:val="18"/>
        </w:rPr>
      </w:pPr>
    </w:p>
    <w:p w:rsidR="00B01013" w:rsidRPr="00DE6111" w:rsidRDefault="00B01013" w:rsidP="00D56168">
      <w:pPr>
        <w:rPr>
          <w:rFonts w:asciiTheme="majorHAnsi" w:hAnsiTheme="majorHAnsi"/>
          <w:sz w:val="20"/>
          <w:szCs w:val="18"/>
        </w:rPr>
      </w:pPr>
    </w:p>
    <w:p w:rsidR="009E11B5" w:rsidRPr="00DE6111" w:rsidRDefault="009E11B5" w:rsidP="00CD69F0">
      <w:pPr>
        <w:pStyle w:val="ListParagraph"/>
        <w:ind w:left="720"/>
      </w:pPr>
    </w:p>
    <w:sectPr w:rsidR="009E11B5" w:rsidRPr="00DE6111" w:rsidSect="00DC0C29">
      <w:pgSz w:w="11907" w:h="16839" w:code="9"/>
      <w:pgMar w:top="1843" w:right="1191" w:bottom="340" w:left="119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5AA" w:rsidRDefault="00F745AA" w:rsidP="001465A3">
      <w:pPr>
        <w:spacing w:after="0"/>
      </w:pPr>
      <w:r>
        <w:separator/>
      </w:r>
    </w:p>
  </w:endnote>
  <w:endnote w:type="continuationSeparator" w:id="1">
    <w:p w:rsidR="00F745AA" w:rsidRDefault="00F745AA" w:rsidP="001465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5AA" w:rsidRDefault="00F745AA" w:rsidP="001465A3">
      <w:pPr>
        <w:spacing w:after="0"/>
      </w:pPr>
      <w:r>
        <w:separator/>
      </w:r>
    </w:p>
  </w:footnote>
  <w:footnote w:type="continuationSeparator" w:id="1">
    <w:p w:rsidR="00F745AA" w:rsidRDefault="00F745AA" w:rsidP="001465A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60C"/>
    <w:multiLevelType w:val="multilevel"/>
    <w:tmpl w:val="40126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F355E"/>
    <w:multiLevelType w:val="hybridMultilevel"/>
    <w:tmpl w:val="2312EEE0"/>
    <w:lvl w:ilvl="0" w:tplc="8F6455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1B961BE"/>
    <w:multiLevelType w:val="multilevel"/>
    <w:tmpl w:val="2416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3E5344"/>
    <w:multiLevelType w:val="hybridMultilevel"/>
    <w:tmpl w:val="889C4768"/>
    <w:lvl w:ilvl="0" w:tplc="CC1A9488">
      <w:start w:val="1"/>
      <w:numFmt w:val="decimal"/>
      <w:lvlText w:val="[%1]"/>
      <w:lvlJc w:val="left"/>
      <w:pPr>
        <w:ind w:left="720" w:hanging="360"/>
      </w:pPr>
      <w:rPr>
        <w:rFonts w:asciiTheme="majorHAnsi" w:hAnsiTheme="majorHAnsi" w:hint="default"/>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21038"/>
    <w:rsid w:val="000235E3"/>
    <w:rsid w:val="00043F5E"/>
    <w:rsid w:val="000518EF"/>
    <w:rsid w:val="000621CF"/>
    <w:rsid w:val="00062B7F"/>
    <w:rsid w:val="00070029"/>
    <w:rsid w:val="00082EAB"/>
    <w:rsid w:val="00094BBE"/>
    <w:rsid w:val="000A1519"/>
    <w:rsid w:val="000A1E64"/>
    <w:rsid w:val="000B51AB"/>
    <w:rsid w:val="001432EC"/>
    <w:rsid w:val="00144A53"/>
    <w:rsid w:val="001465A3"/>
    <w:rsid w:val="001B2CFA"/>
    <w:rsid w:val="00205B47"/>
    <w:rsid w:val="0023622A"/>
    <w:rsid w:val="00261874"/>
    <w:rsid w:val="00287D23"/>
    <w:rsid w:val="00291C46"/>
    <w:rsid w:val="002A2724"/>
    <w:rsid w:val="002A5FC3"/>
    <w:rsid w:val="002D27D1"/>
    <w:rsid w:val="00324F84"/>
    <w:rsid w:val="00346270"/>
    <w:rsid w:val="003540FE"/>
    <w:rsid w:val="00354D27"/>
    <w:rsid w:val="00373242"/>
    <w:rsid w:val="00424C13"/>
    <w:rsid w:val="00440332"/>
    <w:rsid w:val="0047074A"/>
    <w:rsid w:val="00486C9C"/>
    <w:rsid w:val="0049243D"/>
    <w:rsid w:val="004B7DD4"/>
    <w:rsid w:val="00554271"/>
    <w:rsid w:val="00555934"/>
    <w:rsid w:val="0057162E"/>
    <w:rsid w:val="0059712D"/>
    <w:rsid w:val="005B5B67"/>
    <w:rsid w:val="00611792"/>
    <w:rsid w:val="00684C83"/>
    <w:rsid w:val="00700ADA"/>
    <w:rsid w:val="00717E56"/>
    <w:rsid w:val="007554FA"/>
    <w:rsid w:val="00772528"/>
    <w:rsid w:val="007C21E0"/>
    <w:rsid w:val="007F42DB"/>
    <w:rsid w:val="007F724B"/>
    <w:rsid w:val="00804F70"/>
    <w:rsid w:val="00865159"/>
    <w:rsid w:val="008757EB"/>
    <w:rsid w:val="008B1B12"/>
    <w:rsid w:val="008B2CBC"/>
    <w:rsid w:val="008C0570"/>
    <w:rsid w:val="008C3B87"/>
    <w:rsid w:val="008E3421"/>
    <w:rsid w:val="008E75DB"/>
    <w:rsid w:val="009011B5"/>
    <w:rsid w:val="00906563"/>
    <w:rsid w:val="00927F0B"/>
    <w:rsid w:val="00940D81"/>
    <w:rsid w:val="00957C35"/>
    <w:rsid w:val="00964031"/>
    <w:rsid w:val="009679AF"/>
    <w:rsid w:val="00987EEC"/>
    <w:rsid w:val="009968D2"/>
    <w:rsid w:val="009C57C1"/>
    <w:rsid w:val="009E11B5"/>
    <w:rsid w:val="00A1208D"/>
    <w:rsid w:val="00A64A58"/>
    <w:rsid w:val="00A82E39"/>
    <w:rsid w:val="00AC2906"/>
    <w:rsid w:val="00B01013"/>
    <w:rsid w:val="00B10323"/>
    <w:rsid w:val="00B329BF"/>
    <w:rsid w:val="00B562AD"/>
    <w:rsid w:val="00B6632D"/>
    <w:rsid w:val="00B87FC3"/>
    <w:rsid w:val="00BE7BBF"/>
    <w:rsid w:val="00C04258"/>
    <w:rsid w:val="00C1566D"/>
    <w:rsid w:val="00C757AB"/>
    <w:rsid w:val="00CB32F7"/>
    <w:rsid w:val="00CC69A1"/>
    <w:rsid w:val="00CD0F53"/>
    <w:rsid w:val="00CD69F0"/>
    <w:rsid w:val="00D56168"/>
    <w:rsid w:val="00D7564B"/>
    <w:rsid w:val="00D95EB9"/>
    <w:rsid w:val="00DA3FC7"/>
    <w:rsid w:val="00DA6798"/>
    <w:rsid w:val="00DC0C29"/>
    <w:rsid w:val="00DE4AD9"/>
    <w:rsid w:val="00DE6111"/>
    <w:rsid w:val="00E30F9B"/>
    <w:rsid w:val="00E36486"/>
    <w:rsid w:val="00E54B72"/>
    <w:rsid w:val="00E6227D"/>
    <w:rsid w:val="00EE75C8"/>
    <w:rsid w:val="00EF3C54"/>
    <w:rsid w:val="00F15826"/>
    <w:rsid w:val="00F21038"/>
    <w:rsid w:val="00F745AA"/>
    <w:rsid w:val="00F86A38"/>
    <w:rsid w:val="00FD7B8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C13"/>
    <w:pPr>
      <w:spacing w:after="120"/>
      <w:jc w:val="both"/>
    </w:pPr>
    <w:rPr>
      <w:rFonts w:ascii="Times New Roman" w:eastAsia="Times New Roman" w:hAnsi="Times New Roman" w:cs="Times New Roman"/>
      <w:sz w:val="24"/>
    </w:rPr>
  </w:style>
  <w:style w:type="paragraph" w:styleId="Heading1">
    <w:name w:val="heading 1"/>
    <w:basedOn w:val="Normal"/>
    <w:uiPriority w:val="1"/>
    <w:qFormat/>
    <w:rsid w:val="00F21038"/>
    <w:pPr>
      <w:ind w:left="5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21038"/>
    <w:rPr>
      <w:sz w:val="20"/>
      <w:szCs w:val="20"/>
    </w:rPr>
  </w:style>
  <w:style w:type="paragraph" w:styleId="ListParagraph">
    <w:name w:val="List Paragraph"/>
    <w:basedOn w:val="Normal"/>
    <w:uiPriority w:val="1"/>
    <w:qFormat/>
    <w:rsid w:val="00F21038"/>
  </w:style>
  <w:style w:type="paragraph" w:customStyle="1" w:styleId="TableParagraph">
    <w:name w:val="Table Paragraph"/>
    <w:basedOn w:val="Normal"/>
    <w:uiPriority w:val="1"/>
    <w:qFormat/>
    <w:rsid w:val="00F21038"/>
    <w:pPr>
      <w:spacing w:before="35"/>
    </w:pPr>
  </w:style>
  <w:style w:type="character" w:styleId="HTMLCite">
    <w:name w:val="HTML Cite"/>
    <w:basedOn w:val="DefaultParagraphFont"/>
    <w:uiPriority w:val="99"/>
    <w:semiHidden/>
    <w:unhideWhenUsed/>
    <w:rsid w:val="00CD69F0"/>
    <w:rPr>
      <w:i/>
      <w:iCs/>
    </w:rPr>
  </w:style>
  <w:style w:type="paragraph" w:styleId="NormalWeb">
    <w:name w:val="Normal (Web)"/>
    <w:basedOn w:val="Normal"/>
    <w:uiPriority w:val="99"/>
    <w:semiHidden/>
    <w:unhideWhenUsed/>
    <w:rsid w:val="00043F5E"/>
    <w:pPr>
      <w:widowControl/>
      <w:autoSpaceDE/>
      <w:autoSpaceDN/>
      <w:spacing w:before="100" w:beforeAutospacing="1" w:after="100" w:afterAutospacing="1"/>
      <w:jc w:val="left"/>
    </w:pPr>
    <w:rPr>
      <w:szCs w:val="24"/>
      <w:lang w:val="en-IN" w:eastAsia="en-IN" w:bidi="hi-IN"/>
    </w:rPr>
  </w:style>
  <w:style w:type="character" w:customStyle="1" w:styleId="overflow-hidden">
    <w:name w:val="overflow-hidden"/>
    <w:basedOn w:val="DefaultParagraphFont"/>
    <w:rsid w:val="0057162E"/>
  </w:style>
  <w:style w:type="paragraph" w:styleId="Header">
    <w:name w:val="header"/>
    <w:basedOn w:val="Normal"/>
    <w:link w:val="HeaderChar"/>
    <w:uiPriority w:val="99"/>
    <w:semiHidden/>
    <w:unhideWhenUsed/>
    <w:rsid w:val="001465A3"/>
    <w:pPr>
      <w:tabs>
        <w:tab w:val="center" w:pos="4513"/>
        <w:tab w:val="right" w:pos="9026"/>
      </w:tabs>
      <w:spacing w:after="0"/>
    </w:pPr>
  </w:style>
  <w:style w:type="character" w:customStyle="1" w:styleId="HeaderChar">
    <w:name w:val="Header Char"/>
    <w:basedOn w:val="DefaultParagraphFont"/>
    <w:link w:val="Header"/>
    <w:uiPriority w:val="99"/>
    <w:semiHidden/>
    <w:rsid w:val="001465A3"/>
    <w:rPr>
      <w:rFonts w:ascii="Times New Roman" w:eastAsia="Times New Roman" w:hAnsi="Times New Roman" w:cs="Times New Roman"/>
      <w:sz w:val="24"/>
    </w:rPr>
  </w:style>
  <w:style w:type="paragraph" w:styleId="Footer">
    <w:name w:val="footer"/>
    <w:basedOn w:val="Normal"/>
    <w:link w:val="FooterChar"/>
    <w:uiPriority w:val="99"/>
    <w:semiHidden/>
    <w:unhideWhenUsed/>
    <w:rsid w:val="001465A3"/>
    <w:pPr>
      <w:tabs>
        <w:tab w:val="center" w:pos="4513"/>
        <w:tab w:val="right" w:pos="9026"/>
      </w:tabs>
      <w:spacing w:after="0"/>
    </w:pPr>
  </w:style>
  <w:style w:type="character" w:customStyle="1" w:styleId="FooterChar">
    <w:name w:val="Footer Char"/>
    <w:basedOn w:val="DefaultParagraphFont"/>
    <w:link w:val="Footer"/>
    <w:uiPriority w:val="99"/>
    <w:semiHidden/>
    <w:rsid w:val="001465A3"/>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4327112">
      <w:bodyDiv w:val="1"/>
      <w:marLeft w:val="0"/>
      <w:marRight w:val="0"/>
      <w:marTop w:val="0"/>
      <w:marBottom w:val="0"/>
      <w:divBdr>
        <w:top w:val="none" w:sz="0" w:space="0" w:color="auto"/>
        <w:left w:val="none" w:sz="0" w:space="0" w:color="auto"/>
        <w:bottom w:val="none" w:sz="0" w:space="0" w:color="auto"/>
        <w:right w:val="none" w:sz="0" w:space="0" w:color="auto"/>
      </w:divBdr>
    </w:div>
    <w:div w:id="440608479">
      <w:bodyDiv w:val="1"/>
      <w:marLeft w:val="0"/>
      <w:marRight w:val="0"/>
      <w:marTop w:val="0"/>
      <w:marBottom w:val="0"/>
      <w:divBdr>
        <w:top w:val="none" w:sz="0" w:space="0" w:color="auto"/>
        <w:left w:val="none" w:sz="0" w:space="0" w:color="auto"/>
        <w:bottom w:val="none" w:sz="0" w:space="0" w:color="auto"/>
        <w:right w:val="none" w:sz="0" w:space="0" w:color="auto"/>
      </w:divBdr>
    </w:div>
    <w:div w:id="536746031">
      <w:bodyDiv w:val="1"/>
      <w:marLeft w:val="0"/>
      <w:marRight w:val="0"/>
      <w:marTop w:val="0"/>
      <w:marBottom w:val="0"/>
      <w:divBdr>
        <w:top w:val="none" w:sz="0" w:space="0" w:color="auto"/>
        <w:left w:val="none" w:sz="0" w:space="0" w:color="auto"/>
        <w:bottom w:val="none" w:sz="0" w:space="0" w:color="auto"/>
        <w:right w:val="none" w:sz="0" w:space="0" w:color="auto"/>
      </w:divBdr>
    </w:div>
    <w:div w:id="712657954">
      <w:bodyDiv w:val="1"/>
      <w:marLeft w:val="0"/>
      <w:marRight w:val="0"/>
      <w:marTop w:val="0"/>
      <w:marBottom w:val="0"/>
      <w:divBdr>
        <w:top w:val="none" w:sz="0" w:space="0" w:color="auto"/>
        <w:left w:val="none" w:sz="0" w:space="0" w:color="auto"/>
        <w:bottom w:val="none" w:sz="0" w:space="0" w:color="auto"/>
        <w:right w:val="none" w:sz="0" w:space="0" w:color="auto"/>
      </w:divBdr>
    </w:div>
    <w:div w:id="724842470">
      <w:bodyDiv w:val="1"/>
      <w:marLeft w:val="0"/>
      <w:marRight w:val="0"/>
      <w:marTop w:val="0"/>
      <w:marBottom w:val="0"/>
      <w:divBdr>
        <w:top w:val="none" w:sz="0" w:space="0" w:color="auto"/>
        <w:left w:val="none" w:sz="0" w:space="0" w:color="auto"/>
        <w:bottom w:val="none" w:sz="0" w:space="0" w:color="auto"/>
        <w:right w:val="none" w:sz="0" w:space="0" w:color="auto"/>
      </w:divBdr>
      <w:divsChild>
        <w:div w:id="1847555493">
          <w:marLeft w:val="0"/>
          <w:marRight w:val="0"/>
          <w:marTop w:val="0"/>
          <w:marBottom w:val="0"/>
          <w:divBdr>
            <w:top w:val="none" w:sz="0" w:space="0" w:color="auto"/>
            <w:left w:val="none" w:sz="0" w:space="0" w:color="auto"/>
            <w:bottom w:val="none" w:sz="0" w:space="0" w:color="auto"/>
            <w:right w:val="none" w:sz="0" w:space="0" w:color="auto"/>
          </w:divBdr>
          <w:divsChild>
            <w:div w:id="809592181">
              <w:marLeft w:val="0"/>
              <w:marRight w:val="0"/>
              <w:marTop w:val="0"/>
              <w:marBottom w:val="0"/>
              <w:divBdr>
                <w:top w:val="none" w:sz="0" w:space="0" w:color="auto"/>
                <w:left w:val="none" w:sz="0" w:space="0" w:color="auto"/>
                <w:bottom w:val="none" w:sz="0" w:space="0" w:color="auto"/>
                <w:right w:val="none" w:sz="0" w:space="0" w:color="auto"/>
              </w:divBdr>
              <w:divsChild>
                <w:div w:id="425468795">
                  <w:marLeft w:val="0"/>
                  <w:marRight w:val="0"/>
                  <w:marTop w:val="0"/>
                  <w:marBottom w:val="0"/>
                  <w:divBdr>
                    <w:top w:val="none" w:sz="0" w:space="0" w:color="auto"/>
                    <w:left w:val="none" w:sz="0" w:space="0" w:color="auto"/>
                    <w:bottom w:val="none" w:sz="0" w:space="0" w:color="auto"/>
                    <w:right w:val="none" w:sz="0" w:space="0" w:color="auto"/>
                  </w:divBdr>
                  <w:divsChild>
                    <w:div w:id="12425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2049">
          <w:marLeft w:val="0"/>
          <w:marRight w:val="0"/>
          <w:marTop w:val="0"/>
          <w:marBottom w:val="0"/>
          <w:divBdr>
            <w:top w:val="none" w:sz="0" w:space="0" w:color="auto"/>
            <w:left w:val="none" w:sz="0" w:space="0" w:color="auto"/>
            <w:bottom w:val="none" w:sz="0" w:space="0" w:color="auto"/>
            <w:right w:val="none" w:sz="0" w:space="0" w:color="auto"/>
          </w:divBdr>
          <w:divsChild>
            <w:div w:id="1912108840">
              <w:marLeft w:val="0"/>
              <w:marRight w:val="0"/>
              <w:marTop w:val="0"/>
              <w:marBottom w:val="0"/>
              <w:divBdr>
                <w:top w:val="none" w:sz="0" w:space="0" w:color="auto"/>
                <w:left w:val="none" w:sz="0" w:space="0" w:color="auto"/>
                <w:bottom w:val="none" w:sz="0" w:space="0" w:color="auto"/>
                <w:right w:val="none" w:sz="0" w:space="0" w:color="auto"/>
              </w:divBdr>
              <w:divsChild>
                <w:div w:id="1181892305">
                  <w:marLeft w:val="0"/>
                  <w:marRight w:val="0"/>
                  <w:marTop w:val="0"/>
                  <w:marBottom w:val="0"/>
                  <w:divBdr>
                    <w:top w:val="none" w:sz="0" w:space="0" w:color="auto"/>
                    <w:left w:val="none" w:sz="0" w:space="0" w:color="auto"/>
                    <w:bottom w:val="none" w:sz="0" w:space="0" w:color="auto"/>
                    <w:right w:val="none" w:sz="0" w:space="0" w:color="auto"/>
                  </w:divBdr>
                  <w:divsChild>
                    <w:div w:id="16030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5591">
      <w:bodyDiv w:val="1"/>
      <w:marLeft w:val="0"/>
      <w:marRight w:val="0"/>
      <w:marTop w:val="0"/>
      <w:marBottom w:val="0"/>
      <w:divBdr>
        <w:top w:val="none" w:sz="0" w:space="0" w:color="auto"/>
        <w:left w:val="none" w:sz="0" w:space="0" w:color="auto"/>
        <w:bottom w:val="none" w:sz="0" w:space="0" w:color="auto"/>
        <w:right w:val="none" w:sz="0" w:space="0" w:color="auto"/>
      </w:divBdr>
    </w:div>
    <w:div w:id="1364671409">
      <w:bodyDiv w:val="1"/>
      <w:marLeft w:val="0"/>
      <w:marRight w:val="0"/>
      <w:marTop w:val="0"/>
      <w:marBottom w:val="0"/>
      <w:divBdr>
        <w:top w:val="none" w:sz="0" w:space="0" w:color="auto"/>
        <w:left w:val="none" w:sz="0" w:space="0" w:color="auto"/>
        <w:bottom w:val="none" w:sz="0" w:space="0" w:color="auto"/>
        <w:right w:val="none" w:sz="0" w:space="0" w:color="auto"/>
      </w:divBdr>
    </w:div>
    <w:div w:id="1567104331">
      <w:bodyDiv w:val="1"/>
      <w:marLeft w:val="0"/>
      <w:marRight w:val="0"/>
      <w:marTop w:val="0"/>
      <w:marBottom w:val="0"/>
      <w:divBdr>
        <w:top w:val="none" w:sz="0" w:space="0" w:color="auto"/>
        <w:left w:val="none" w:sz="0" w:space="0" w:color="auto"/>
        <w:bottom w:val="none" w:sz="0" w:space="0" w:color="auto"/>
        <w:right w:val="none" w:sz="0" w:space="0" w:color="auto"/>
      </w:divBdr>
    </w:div>
    <w:div w:id="1688366306">
      <w:bodyDiv w:val="1"/>
      <w:marLeft w:val="0"/>
      <w:marRight w:val="0"/>
      <w:marTop w:val="0"/>
      <w:marBottom w:val="0"/>
      <w:divBdr>
        <w:top w:val="none" w:sz="0" w:space="0" w:color="auto"/>
        <w:left w:val="none" w:sz="0" w:space="0" w:color="auto"/>
        <w:bottom w:val="none" w:sz="0" w:space="0" w:color="auto"/>
        <w:right w:val="none" w:sz="0" w:space="0" w:color="auto"/>
      </w:divBdr>
    </w:div>
    <w:div w:id="1809467394">
      <w:bodyDiv w:val="1"/>
      <w:marLeft w:val="0"/>
      <w:marRight w:val="0"/>
      <w:marTop w:val="0"/>
      <w:marBottom w:val="0"/>
      <w:divBdr>
        <w:top w:val="none" w:sz="0" w:space="0" w:color="auto"/>
        <w:left w:val="none" w:sz="0" w:space="0" w:color="auto"/>
        <w:bottom w:val="none" w:sz="0" w:space="0" w:color="auto"/>
        <w:right w:val="none" w:sz="0" w:space="0" w:color="auto"/>
      </w:divBdr>
      <w:divsChild>
        <w:div w:id="402604413">
          <w:marLeft w:val="0"/>
          <w:marRight w:val="0"/>
          <w:marTop w:val="0"/>
          <w:marBottom w:val="157"/>
          <w:divBdr>
            <w:top w:val="none" w:sz="0" w:space="0" w:color="auto"/>
            <w:left w:val="none" w:sz="0" w:space="0" w:color="auto"/>
            <w:bottom w:val="none" w:sz="0" w:space="0" w:color="auto"/>
            <w:right w:val="none" w:sz="0" w:space="0" w:color="auto"/>
          </w:divBdr>
        </w:div>
        <w:div w:id="737509298">
          <w:marLeft w:val="0"/>
          <w:marRight w:val="0"/>
          <w:marTop w:val="0"/>
          <w:marBottom w:val="125"/>
          <w:divBdr>
            <w:top w:val="none" w:sz="0" w:space="0" w:color="auto"/>
            <w:left w:val="none" w:sz="0" w:space="0" w:color="auto"/>
            <w:bottom w:val="none" w:sz="0" w:space="0" w:color="auto"/>
            <w:right w:val="none" w:sz="0" w:space="0" w:color="auto"/>
          </w:divBdr>
          <w:divsChild>
            <w:div w:id="1926454260">
              <w:marLeft w:val="0"/>
              <w:marRight w:val="0"/>
              <w:marTop w:val="0"/>
              <w:marBottom w:val="0"/>
              <w:divBdr>
                <w:top w:val="none" w:sz="0" w:space="0" w:color="auto"/>
                <w:left w:val="none" w:sz="0" w:space="0" w:color="auto"/>
                <w:bottom w:val="none" w:sz="0" w:space="0" w:color="auto"/>
                <w:right w:val="none" w:sz="0" w:space="0" w:color="auto"/>
              </w:divBdr>
            </w:div>
            <w:div w:id="852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2629</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layout</vt:lpstr>
    </vt:vector>
  </TitlesOfParts>
  <Company/>
  <LinksUpToDate>false</LinksUpToDate>
  <CharactersWithSpaces>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dc:title>
  <dc:creator>Admin</dc:creator>
  <cp:lastModifiedBy>Admin</cp:lastModifiedBy>
  <cp:revision>23</cp:revision>
  <dcterms:created xsi:type="dcterms:W3CDTF">2024-08-16T06:52:00Z</dcterms:created>
  <dcterms:modified xsi:type="dcterms:W3CDTF">2024-08-16T08:46:00Z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2010-03-19T00:00:00Z</vt:filetime>
  </property>
  <property fmtid="{D5CDD505-2E9C-101B-9397-08002B2CF9AE}" pid="3" name="Creator">
    <vt:lpwstr>QuarkXPress(tm) 6.52</vt:lpwstr>
  </property>
  <property fmtid="{D5CDD505-2E9C-101B-9397-08002B2CF9AE}" pid="4" name="LastSaved">
    <vt:filetime>2023-08-01T00:00:00Z</vt:filetime>
  </property>
</Properties>
</file>