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FE8" w:rsidRPr="00C641B8" w:rsidRDefault="000A5FE8" w:rsidP="003D1430">
      <w:pPr>
        <w:spacing w:line="240" w:lineRule="auto"/>
        <w:jc w:val="center"/>
        <w:rPr>
          <w:rFonts w:ascii="Times New Roman" w:hAnsi="Times New Roman" w:cs="Times New Roman"/>
          <w:b/>
          <w:sz w:val="28"/>
          <w:szCs w:val="28"/>
        </w:rPr>
      </w:pPr>
      <w:r w:rsidRPr="00C641B8">
        <w:rPr>
          <w:rFonts w:ascii="Times New Roman" w:hAnsi="Times New Roman" w:cs="Times New Roman"/>
          <w:b/>
          <w:sz w:val="28"/>
          <w:szCs w:val="28"/>
        </w:rPr>
        <w:t>HEALTH RISKS EVA</w:t>
      </w:r>
      <w:r w:rsidR="00304CDA" w:rsidRPr="00C641B8">
        <w:rPr>
          <w:rFonts w:ascii="Times New Roman" w:hAnsi="Times New Roman" w:cs="Times New Roman"/>
          <w:b/>
          <w:sz w:val="28"/>
          <w:szCs w:val="28"/>
        </w:rPr>
        <w:t>LUATION OF HEAVY METALS IN DRUM</w:t>
      </w:r>
      <w:r w:rsidRPr="00C641B8">
        <w:rPr>
          <w:rFonts w:ascii="Times New Roman" w:hAnsi="Times New Roman" w:cs="Times New Roman"/>
          <w:b/>
          <w:sz w:val="28"/>
          <w:szCs w:val="28"/>
        </w:rPr>
        <w:t>STICK LEAF SAMPLES CULTIVATED IN KATSINA STATE, NIGERIA</w:t>
      </w:r>
    </w:p>
    <w:p w:rsidR="003D1430" w:rsidRPr="00C641B8" w:rsidRDefault="003D1430" w:rsidP="003D1430">
      <w:pPr>
        <w:spacing w:line="240" w:lineRule="auto"/>
        <w:jc w:val="center"/>
        <w:rPr>
          <w:rFonts w:ascii="Times New Roman" w:hAnsi="Times New Roman" w:cs="Times New Roman"/>
          <w:b/>
          <w:sz w:val="24"/>
          <w:szCs w:val="24"/>
        </w:rPr>
      </w:pPr>
      <w:r w:rsidRPr="00C641B8">
        <w:rPr>
          <w:rFonts w:ascii="Times New Roman" w:hAnsi="Times New Roman" w:cs="Times New Roman"/>
          <w:b/>
          <w:sz w:val="24"/>
          <w:szCs w:val="24"/>
        </w:rPr>
        <w:t>N. U. Matazu</w:t>
      </w:r>
      <w:r w:rsidR="00C641B8" w:rsidRPr="00C641B8">
        <w:rPr>
          <w:rFonts w:ascii="Times New Roman" w:hAnsi="Times New Roman" w:cs="Times New Roman"/>
          <w:b/>
          <w:sz w:val="24"/>
          <w:szCs w:val="24"/>
          <w:vertAlign w:val="superscript"/>
        </w:rPr>
        <w:t>1</w:t>
      </w:r>
      <w:r w:rsidRPr="00C641B8">
        <w:rPr>
          <w:rFonts w:ascii="Times New Roman" w:hAnsi="Times New Roman" w:cs="Times New Roman"/>
          <w:b/>
          <w:sz w:val="24"/>
          <w:szCs w:val="24"/>
        </w:rPr>
        <w:t xml:space="preserve"> &amp; A. Usman</w:t>
      </w:r>
      <w:r w:rsidR="00C641B8" w:rsidRPr="00C641B8">
        <w:rPr>
          <w:rFonts w:ascii="Times New Roman" w:hAnsi="Times New Roman" w:cs="Times New Roman"/>
          <w:b/>
          <w:sz w:val="24"/>
          <w:szCs w:val="24"/>
          <w:vertAlign w:val="superscript"/>
        </w:rPr>
        <w:t>2</w:t>
      </w:r>
      <w:r w:rsidRPr="00C641B8">
        <w:rPr>
          <w:rFonts w:ascii="Times New Roman" w:hAnsi="Times New Roman" w:cs="Times New Roman"/>
          <w:b/>
          <w:sz w:val="24"/>
          <w:szCs w:val="24"/>
        </w:rPr>
        <w:t>*</w:t>
      </w:r>
    </w:p>
    <w:p w:rsidR="003D1430" w:rsidRPr="00C641B8" w:rsidRDefault="00C641B8" w:rsidP="003D1430">
      <w:pPr>
        <w:spacing w:line="240" w:lineRule="auto"/>
        <w:jc w:val="center"/>
        <w:rPr>
          <w:rFonts w:ascii="Times New Roman" w:hAnsi="Times New Roman" w:cs="Times New Roman"/>
        </w:rPr>
      </w:pPr>
      <w:r w:rsidRPr="00C641B8">
        <w:rPr>
          <w:rFonts w:ascii="Times New Roman" w:hAnsi="Times New Roman" w:cs="Times New Roman"/>
          <w:vertAlign w:val="superscript"/>
        </w:rPr>
        <w:t>1</w:t>
      </w:r>
      <w:r w:rsidRPr="00C641B8">
        <w:rPr>
          <w:rFonts w:ascii="Times New Roman" w:hAnsi="Times New Roman" w:cs="Times New Roman"/>
        </w:rPr>
        <w:t>Senior L</w:t>
      </w:r>
      <w:r>
        <w:rPr>
          <w:rFonts w:ascii="Times New Roman" w:hAnsi="Times New Roman" w:cs="Times New Roman"/>
        </w:rPr>
        <w:t>ecturer, Department of Biochemistry</w:t>
      </w:r>
      <w:r w:rsidR="003D1430" w:rsidRPr="00C641B8">
        <w:rPr>
          <w:rFonts w:ascii="Times New Roman" w:hAnsi="Times New Roman" w:cs="Times New Roman"/>
        </w:rPr>
        <w:t>, Faculty of Natural and Science Applied Sciences, Umaru Musa Yar’adua University Katsina, 820001 Katsina, Nigeria</w:t>
      </w:r>
    </w:p>
    <w:p w:rsidR="00C641B8" w:rsidRDefault="00C641B8" w:rsidP="003D1430">
      <w:pPr>
        <w:spacing w:line="240" w:lineRule="auto"/>
        <w:jc w:val="center"/>
        <w:rPr>
          <w:rFonts w:ascii="Times New Roman" w:hAnsi="Times New Roman" w:cs="Times New Roman"/>
        </w:rPr>
      </w:pPr>
      <w:r w:rsidRPr="00C641B8">
        <w:rPr>
          <w:rFonts w:ascii="Times New Roman" w:hAnsi="Times New Roman" w:cs="Times New Roman"/>
          <w:vertAlign w:val="superscript"/>
        </w:rPr>
        <w:t>2</w:t>
      </w:r>
      <w:r w:rsidR="003D1430" w:rsidRPr="00C641B8">
        <w:rPr>
          <w:rFonts w:ascii="Times New Roman" w:hAnsi="Times New Roman" w:cs="Times New Roman"/>
        </w:rPr>
        <w:t>*</w:t>
      </w:r>
      <w:r>
        <w:rPr>
          <w:rFonts w:ascii="Times New Roman" w:hAnsi="Times New Roman" w:cs="Times New Roman"/>
        </w:rPr>
        <w:t>Associate Professor, Department of Biochemistry</w:t>
      </w:r>
      <w:r w:rsidRPr="00C641B8">
        <w:rPr>
          <w:rFonts w:ascii="Times New Roman" w:hAnsi="Times New Roman" w:cs="Times New Roman"/>
        </w:rPr>
        <w:t xml:space="preserve">, Faculty of Natural and Science Applied Sciences, Umaru Musa Yar’adua University Katsina, 820001 Katsina, Nigeria </w:t>
      </w:r>
    </w:p>
    <w:p w:rsidR="003D1430" w:rsidRPr="00C641B8" w:rsidRDefault="003D1430" w:rsidP="003D1430">
      <w:pPr>
        <w:spacing w:line="240" w:lineRule="auto"/>
        <w:jc w:val="center"/>
        <w:rPr>
          <w:rFonts w:ascii="Times New Roman" w:hAnsi="Times New Roman" w:cs="Times New Roman"/>
          <w:b/>
          <w:sz w:val="24"/>
          <w:szCs w:val="24"/>
        </w:rPr>
      </w:pPr>
      <w:r w:rsidRPr="00C641B8">
        <w:rPr>
          <w:rFonts w:ascii="Times New Roman" w:hAnsi="Times New Roman" w:cs="Times New Roman"/>
        </w:rPr>
        <w:t>Corresponding Author: usman.aminu@umyu.edu.ng</w:t>
      </w:r>
    </w:p>
    <w:p w:rsidR="00A20245" w:rsidRPr="00C641B8" w:rsidRDefault="00A20245" w:rsidP="00377679">
      <w:pPr>
        <w:spacing w:line="240" w:lineRule="auto"/>
        <w:jc w:val="both"/>
        <w:rPr>
          <w:rFonts w:ascii="Times New Roman" w:hAnsi="Times New Roman" w:cs="Times New Roman"/>
          <w:sz w:val="24"/>
          <w:szCs w:val="24"/>
        </w:rPr>
      </w:pPr>
      <w:r w:rsidRPr="00C641B8">
        <w:rPr>
          <w:rFonts w:ascii="Times New Roman" w:hAnsi="Times New Roman" w:cs="Times New Roman"/>
          <w:b/>
          <w:sz w:val="24"/>
          <w:szCs w:val="24"/>
        </w:rPr>
        <w:t>ABSTRACT</w:t>
      </w:r>
    </w:p>
    <w:p w:rsidR="00A20245" w:rsidRPr="00C641B8" w:rsidRDefault="0039559A" w:rsidP="0039559A">
      <w:pPr>
        <w:spacing w:line="240" w:lineRule="auto"/>
        <w:jc w:val="both"/>
        <w:rPr>
          <w:rFonts w:ascii="Times New Roman" w:hAnsi="Times New Roman" w:cs="Times New Roman"/>
          <w:sz w:val="20"/>
          <w:szCs w:val="20"/>
        </w:rPr>
      </w:pPr>
      <w:r w:rsidRPr="00C641B8">
        <w:rPr>
          <w:rFonts w:ascii="Times New Roman" w:hAnsi="Times New Roman" w:cs="Times New Roman"/>
          <w:sz w:val="20"/>
          <w:szCs w:val="20"/>
        </w:rPr>
        <w:t>This work contributes to the monitoring of heavy metals in agricultural produce in Katsina State, Northwest Nigeria, and the possible health risk to the consumer populati</w:t>
      </w:r>
      <w:r w:rsidR="00304CDA" w:rsidRPr="00C641B8">
        <w:rPr>
          <w:rFonts w:ascii="Times New Roman" w:hAnsi="Times New Roman" w:cs="Times New Roman"/>
          <w:sz w:val="20"/>
          <w:szCs w:val="20"/>
        </w:rPr>
        <w:t>on. Drum</w:t>
      </w:r>
      <w:r w:rsidRPr="00C641B8">
        <w:rPr>
          <w:rFonts w:ascii="Times New Roman" w:hAnsi="Times New Roman" w:cs="Times New Roman"/>
          <w:sz w:val="20"/>
          <w:szCs w:val="20"/>
        </w:rPr>
        <w:t>stick leaf samples from the three senatorial zones that constitute to make up Katsina state in the North West of Nigeria were collected and the concentrations of seven heavy metals (Pb, Cd, Cr, Fe, Zn, Mn and Ni) in all the samples were evaluated by atomic absorption spectrometry. The health risk assessment methods developed by the United States Environmental Protection Agency (US EPA) were employed to explore the potential health hazards of heavy metals in the samples on the children and adult population. The</w:t>
      </w:r>
      <w:r w:rsidR="00304CDA" w:rsidRPr="00C641B8">
        <w:rPr>
          <w:rFonts w:ascii="Times New Roman" w:hAnsi="Times New Roman" w:cs="Times New Roman"/>
          <w:sz w:val="20"/>
          <w:szCs w:val="20"/>
        </w:rPr>
        <w:t xml:space="preserve"> highest concentration (mg/kg) was observed for Zn (range: 0.826-1.428), followed by Fe (range: 0.596-1.369), Pb (range: 0.521-1.251) and Cr (range: 0.138-0.310). While Cd has the lowest concentration (range: 0.039-0.073) with the heavy metals Mn and Ni being below detection level (BDL)</w:t>
      </w:r>
      <w:r w:rsidRPr="00C641B8">
        <w:rPr>
          <w:rFonts w:ascii="Times New Roman" w:hAnsi="Times New Roman" w:cs="Times New Roman"/>
          <w:sz w:val="20"/>
          <w:szCs w:val="20"/>
        </w:rPr>
        <w:t>.</w:t>
      </w:r>
      <w:r w:rsidR="00304CDA" w:rsidRPr="00C641B8">
        <w:rPr>
          <w:rFonts w:ascii="Times New Roman" w:hAnsi="Times New Roman" w:cs="Times New Roman"/>
          <w:sz w:val="20"/>
          <w:szCs w:val="20"/>
        </w:rPr>
        <w:t xml:space="preserve"> The mean Pb concentrations in all the samples were above the permissible regulatory limit.</w:t>
      </w:r>
      <w:r w:rsidRPr="00C641B8">
        <w:rPr>
          <w:rFonts w:ascii="Times New Roman" w:hAnsi="Times New Roman" w:cs="Times New Roman"/>
          <w:sz w:val="20"/>
          <w:szCs w:val="20"/>
        </w:rPr>
        <w:t xml:space="preserve"> The target hazard quotient (THQ) and the hazard index (Hi) for the heavy metals evaluated were within the safety limit. The overall cancer risk to the adults based on pseudo-total metal concentrations exceeded the target value, mainly contribu</w:t>
      </w:r>
      <w:r w:rsidR="00304CDA" w:rsidRPr="00C641B8">
        <w:rPr>
          <w:rFonts w:ascii="Times New Roman" w:hAnsi="Times New Roman" w:cs="Times New Roman"/>
          <w:sz w:val="20"/>
          <w:szCs w:val="20"/>
        </w:rPr>
        <w:t>ted by the heavy metal Pb. Cd</w:t>
      </w:r>
      <w:r w:rsidRPr="00C641B8">
        <w:rPr>
          <w:rFonts w:ascii="Times New Roman" w:hAnsi="Times New Roman" w:cs="Times New Roman"/>
          <w:sz w:val="20"/>
          <w:szCs w:val="20"/>
        </w:rPr>
        <w:t xml:space="preserve"> is the primary heavy metal posing non cancer risks while Pb caused the greatest cancer risk. It was concluded </w:t>
      </w:r>
      <w:r w:rsidR="00304CDA" w:rsidRPr="00C641B8">
        <w:rPr>
          <w:rFonts w:ascii="Times New Roman" w:hAnsi="Times New Roman" w:cs="Times New Roman"/>
          <w:sz w:val="20"/>
          <w:szCs w:val="20"/>
        </w:rPr>
        <w:t>that consumption of the Drumstick</w:t>
      </w:r>
      <w:r w:rsidRPr="00C641B8">
        <w:rPr>
          <w:rFonts w:ascii="Times New Roman" w:hAnsi="Times New Roman" w:cs="Times New Roman"/>
          <w:sz w:val="20"/>
          <w:szCs w:val="20"/>
        </w:rPr>
        <w:t xml:space="preserve"> leaf samples from Katsina State may contribute to the population cancer burden.</w:t>
      </w:r>
    </w:p>
    <w:p w:rsidR="00304CDA" w:rsidRPr="00C641B8" w:rsidRDefault="00304CDA" w:rsidP="0039559A">
      <w:pPr>
        <w:spacing w:line="240" w:lineRule="auto"/>
        <w:jc w:val="both"/>
        <w:rPr>
          <w:rFonts w:ascii="Times New Roman" w:hAnsi="Times New Roman" w:cs="Times New Roman"/>
          <w:sz w:val="20"/>
          <w:szCs w:val="20"/>
        </w:rPr>
      </w:pPr>
      <w:r w:rsidRPr="00C641B8">
        <w:rPr>
          <w:rFonts w:ascii="Times New Roman" w:hAnsi="Times New Roman" w:cs="Times New Roman"/>
          <w:b/>
          <w:sz w:val="20"/>
          <w:szCs w:val="20"/>
        </w:rPr>
        <w:t>KEY WORDS</w:t>
      </w:r>
      <w:r w:rsidRPr="00C641B8">
        <w:rPr>
          <w:rFonts w:ascii="Times New Roman" w:hAnsi="Times New Roman" w:cs="Times New Roman"/>
          <w:sz w:val="20"/>
          <w:szCs w:val="20"/>
        </w:rPr>
        <w:t xml:space="preserve">: Vegetables, Pollution, Environmental pollutants, Population, </w:t>
      </w:r>
      <w:r w:rsidR="00DC2A70" w:rsidRPr="00C641B8">
        <w:rPr>
          <w:rFonts w:ascii="Times New Roman" w:hAnsi="Times New Roman" w:cs="Times New Roman"/>
          <w:sz w:val="20"/>
          <w:szCs w:val="20"/>
        </w:rPr>
        <w:t>Health hazard</w:t>
      </w:r>
    </w:p>
    <w:p w:rsidR="00DC2A70" w:rsidRPr="00C641B8" w:rsidRDefault="00DC2A70" w:rsidP="00C641B8">
      <w:pPr>
        <w:pStyle w:val="ListParagraph"/>
        <w:numPr>
          <w:ilvl w:val="0"/>
          <w:numId w:val="2"/>
        </w:numPr>
        <w:jc w:val="both"/>
        <w:rPr>
          <w:b/>
        </w:rPr>
      </w:pPr>
      <w:r w:rsidRPr="00C641B8">
        <w:rPr>
          <w:b/>
        </w:rPr>
        <w:t>INTRODUCTION</w:t>
      </w:r>
    </w:p>
    <w:p w:rsidR="004966EF" w:rsidRPr="00C641B8" w:rsidRDefault="004966EF" w:rsidP="00377679">
      <w:pPr>
        <w:spacing w:line="240" w:lineRule="auto"/>
        <w:jc w:val="both"/>
        <w:rPr>
          <w:rFonts w:ascii="Times New Roman" w:hAnsi="Times New Roman" w:cs="Times New Roman"/>
          <w:sz w:val="20"/>
          <w:szCs w:val="20"/>
        </w:rPr>
      </w:pPr>
      <w:r w:rsidRPr="00C641B8">
        <w:rPr>
          <w:rFonts w:ascii="Times New Roman" w:hAnsi="Times New Roman" w:cs="Times New Roman"/>
          <w:sz w:val="20"/>
          <w:szCs w:val="20"/>
        </w:rPr>
        <w:t>The leading causes of morbidity and mortality in the developed countries, and now increasingly becoming prevalent in developing countries are chronic disease conditions that include Cardiovascular and cerebrovascular diseases, cancer, diabetes, metabolic syndrome, obesity, neurocognitive disorders, and immune dysfunction such as autoimmune dise</w:t>
      </w:r>
      <w:r w:rsidR="00DE40B3" w:rsidRPr="00C641B8">
        <w:rPr>
          <w:rFonts w:ascii="Times New Roman" w:hAnsi="Times New Roman" w:cs="Times New Roman"/>
          <w:sz w:val="20"/>
          <w:szCs w:val="20"/>
        </w:rPr>
        <w:t xml:space="preserve">ases (WHO, </w:t>
      </w:r>
      <w:r w:rsidRPr="00C641B8">
        <w:rPr>
          <w:rFonts w:ascii="Times New Roman" w:hAnsi="Times New Roman" w:cs="Times New Roman"/>
          <w:sz w:val="20"/>
          <w:szCs w:val="20"/>
        </w:rPr>
        <w:t xml:space="preserve">2011). The manifestation of heavy </w:t>
      </w:r>
      <w:r w:rsidR="002A0F6B" w:rsidRPr="00C641B8">
        <w:rPr>
          <w:rFonts w:ascii="Times New Roman" w:hAnsi="Times New Roman" w:cs="Times New Roman"/>
          <w:sz w:val="20"/>
          <w:szCs w:val="20"/>
        </w:rPr>
        <w:t>metal toxicity</w:t>
      </w:r>
      <w:r w:rsidRPr="00C641B8">
        <w:rPr>
          <w:rFonts w:ascii="Times New Roman" w:hAnsi="Times New Roman" w:cs="Times New Roman"/>
          <w:sz w:val="20"/>
          <w:szCs w:val="20"/>
        </w:rPr>
        <w:t xml:space="preserve"> commonly involves the brain and kidney and can also occur </w:t>
      </w:r>
      <w:r w:rsidR="002A0F6B" w:rsidRPr="00C641B8">
        <w:rPr>
          <w:rFonts w:ascii="Times New Roman" w:hAnsi="Times New Roman" w:cs="Times New Roman"/>
          <w:sz w:val="20"/>
          <w:szCs w:val="20"/>
        </w:rPr>
        <w:t>in other</w:t>
      </w:r>
      <w:r w:rsidRPr="00C641B8">
        <w:rPr>
          <w:rFonts w:ascii="Times New Roman" w:hAnsi="Times New Roman" w:cs="Times New Roman"/>
          <w:sz w:val="20"/>
          <w:szCs w:val="20"/>
        </w:rPr>
        <w:t xml:space="preserve"> parts of the body, for example the metalloid </w:t>
      </w:r>
      <w:r w:rsidR="002A0F6B" w:rsidRPr="00C641B8">
        <w:rPr>
          <w:rFonts w:ascii="Times New Roman" w:hAnsi="Times New Roman" w:cs="Times New Roman"/>
          <w:sz w:val="20"/>
          <w:szCs w:val="20"/>
        </w:rPr>
        <w:t>arsenic, is</w:t>
      </w:r>
      <w:r w:rsidRPr="00C641B8">
        <w:rPr>
          <w:rFonts w:ascii="Times New Roman" w:hAnsi="Times New Roman" w:cs="Times New Roman"/>
          <w:sz w:val="20"/>
          <w:szCs w:val="20"/>
        </w:rPr>
        <w:t xml:space="preserve"> clearly capable of causing cancer, and hypertension can result in individuals exposed to lead, and renal toxicity can result in individual exposed to cadmium (Gottipolu </w:t>
      </w:r>
      <w:r w:rsidRPr="00C641B8">
        <w:rPr>
          <w:rFonts w:ascii="Times New Roman" w:hAnsi="Times New Roman" w:cs="Times New Roman"/>
          <w:i/>
          <w:sz w:val="20"/>
          <w:szCs w:val="20"/>
        </w:rPr>
        <w:t>et al</w:t>
      </w:r>
      <w:r w:rsidRPr="00C641B8">
        <w:rPr>
          <w:rFonts w:ascii="Times New Roman" w:hAnsi="Times New Roman" w:cs="Times New Roman"/>
          <w:sz w:val="20"/>
          <w:szCs w:val="20"/>
        </w:rPr>
        <w:t>., 2012).</w:t>
      </w:r>
    </w:p>
    <w:p w:rsidR="00760DB9" w:rsidRPr="00C641B8" w:rsidRDefault="00760DB9" w:rsidP="00760DB9">
      <w:pPr>
        <w:spacing w:line="240" w:lineRule="auto"/>
        <w:jc w:val="both"/>
        <w:rPr>
          <w:rFonts w:ascii="Times New Roman" w:hAnsi="Times New Roman" w:cs="Times New Roman"/>
          <w:sz w:val="20"/>
          <w:szCs w:val="20"/>
        </w:rPr>
      </w:pPr>
      <w:r w:rsidRPr="00C641B8">
        <w:rPr>
          <w:rFonts w:ascii="Times New Roman" w:hAnsi="Times New Roman" w:cs="Times New Roman"/>
          <w:sz w:val="20"/>
          <w:szCs w:val="20"/>
        </w:rPr>
        <w:t>It has been shown over the years that various anthropogenic and natural activities contribute to heavy metal build up in the environment</w:t>
      </w:r>
      <w:r w:rsidR="00666D27" w:rsidRPr="00C641B8">
        <w:rPr>
          <w:rFonts w:ascii="Times New Roman" w:hAnsi="Times New Roman" w:cs="Times New Roman"/>
          <w:sz w:val="20"/>
          <w:szCs w:val="20"/>
        </w:rPr>
        <w:t xml:space="preserve"> (Rayhan and Hosna</w:t>
      </w:r>
      <w:r w:rsidR="002A0F6B" w:rsidRPr="00C641B8">
        <w:rPr>
          <w:rFonts w:ascii="Times New Roman" w:hAnsi="Times New Roman" w:cs="Times New Roman"/>
          <w:sz w:val="20"/>
          <w:szCs w:val="20"/>
        </w:rPr>
        <w:t>, 2021).</w:t>
      </w:r>
    </w:p>
    <w:p w:rsidR="00377679" w:rsidRPr="00C641B8" w:rsidRDefault="00377679" w:rsidP="009F79BA">
      <w:pPr>
        <w:spacing w:line="240" w:lineRule="auto"/>
        <w:jc w:val="both"/>
        <w:rPr>
          <w:rFonts w:ascii="Times New Roman" w:hAnsi="Times New Roman" w:cs="Times New Roman"/>
          <w:sz w:val="20"/>
          <w:szCs w:val="20"/>
        </w:rPr>
      </w:pPr>
      <w:r w:rsidRPr="00C641B8">
        <w:rPr>
          <w:rFonts w:ascii="Times New Roman" w:hAnsi="Times New Roman" w:cs="Times New Roman"/>
          <w:i/>
          <w:sz w:val="20"/>
          <w:szCs w:val="20"/>
        </w:rPr>
        <w:t>Moringa oleifera</w:t>
      </w:r>
      <w:r w:rsidRPr="00C641B8">
        <w:rPr>
          <w:rFonts w:ascii="Times New Roman" w:hAnsi="Times New Roman" w:cs="Times New Roman"/>
          <w:sz w:val="20"/>
          <w:szCs w:val="20"/>
        </w:rPr>
        <w:t xml:space="preserve"> (Zogale Gandi in Hausa language) is cultivated for its food, medicinal and culinary value and its leaves, fruits and roots are the parts used. It is commonly known as the ‘horseradish’ tree arising from the taste of a condiment prepared from the roots or ‘drumstick’ tree due to the shape of the pods. </w:t>
      </w:r>
      <w:r w:rsidRPr="00C641B8">
        <w:rPr>
          <w:rFonts w:ascii="Times New Roman" w:hAnsi="Times New Roman" w:cs="Times New Roman"/>
          <w:i/>
          <w:sz w:val="20"/>
          <w:szCs w:val="20"/>
        </w:rPr>
        <w:t>M. oleifera</w:t>
      </w:r>
      <w:r w:rsidRPr="00C641B8">
        <w:rPr>
          <w:rFonts w:ascii="Times New Roman" w:hAnsi="Times New Roman" w:cs="Times New Roman"/>
          <w:sz w:val="20"/>
          <w:szCs w:val="20"/>
        </w:rPr>
        <w:t xml:space="preserve"> has a host of other country-specific vernacular names, an indication of the significance of the tree around the worl</w:t>
      </w:r>
      <w:r w:rsidR="001B09BD" w:rsidRPr="00C641B8">
        <w:rPr>
          <w:rFonts w:ascii="Times New Roman" w:hAnsi="Times New Roman" w:cs="Times New Roman"/>
          <w:sz w:val="20"/>
          <w:szCs w:val="20"/>
        </w:rPr>
        <w:t>d (Nautiyal and Venkataram, 1987</w:t>
      </w:r>
      <w:r w:rsidRPr="00C641B8">
        <w:rPr>
          <w:rFonts w:ascii="Times New Roman" w:hAnsi="Times New Roman" w:cs="Times New Roman"/>
          <w:sz w:val="20"/>
          <w:szCs w:val="20"/>
        </w:rPr>
        <w:t>).</w:t>
      </w:r>
    </w:p>
    <w:p w:rsidR="00377679" w:rsidRPr="00C641B8" w:rsidRDefault="00377679" w:rsidP="00377679">
      <w:pPr>
        <w:spacing w:line="240" w:lineRule="auto"/>
        <w:jc w:val="both"/>
        <w:rPr>
          <w:rFonts w:ascii="Times New Roman" w:hAnsi="Times New Roman" w:cs="Times New Roman"/>
          <w:sz w:val="20"/>
          <w:szCs w:val="20"/>
        </w:rPr>
      </w:pPr>
      <w:r w:rsidRPr="00C641B8">
        <w:rPr>
          <w:rFonts w:ascii="Times New Roman" w:hAnsi="Times New Roman" w:cs="Times New Roman"/>
          <w:sz w:val="20"/>
          <w:szCs w:val="20"/>
        </w:rPr>
        <w:t>The present study investigated the presence of heavy metals in Drumstick leaf which is a component of the diet among the population in Katsina state, Nigeria. “Kwadon Zogale” a salad prepared from boiled drumstick leaves mixed with groundnut cake and spices is a delicacy of inhabitants of Katsina state.</w:t>
      </w:r>
    </w:p>
    <w:p w:rsidR="00DC2A70" w:rsidRPr="00C641B8" w:rsidRDefault="00DC2A70" w:rsidP="00377679">
      <w:pPr>
        <w:spacing w:line="240" w:lineRule="auto"/>
        <w:jc w:val="both"/>
        <w:rPr>
          <w:rFonts w:ascii="Times New Roman" w:hAnsi="Times New Roman" w:cs="Times New Roman"/>
          <w:sz w:val="24"/>
          <w:szCs w:val="24"/>
        </w:rPr>
      </w:pPr>
    </w:p>
    <w:p w:rsidR="00DC2A70" w:rsidRPr="00C641B8" w:rsidRDefault="00C641B8" w:rsidP="0037767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DC2A70" w:rsidRPr="00C641B8">
        <w:rPr>
          <w:rFonts w:ascii="Times New Roman" w:hAnsi="Times New Roman" w:cs="Times New Roman"/>
          <w:b/>
          <w:sz w:val="24"/>
          <w:szCs w:val="24"/>
        </w:rPr>
        <w:t>METHODOLOGY</w:t>
      </w:r>
    </w:p>
    <w:p w:rsidR="00DC2A70" w:rsidRPr="00C641B8" w:rsidRDefault="00DC2A70" w:rsidP="00377679">
      <w:pPr>
        <w:spacing w:line="240" w:lineRule="auto"/>
        <w:jc w:val="both"/>
        <w:rPr>
          <w:rFonts w:ascii="Times New Roman" w:hAnsi="Times New Roman" w:cs="Times New Roman"/>
          <w:b/>
          <w:sz w:val="20"/>
          <w:szCs w:val="20"/>
        </w:rPr>
      </w:pPr>
      <w:r w:rsidRPr="00C641B8">
        <w:rPr>
          <w:rFonts w:ascii="Times New Roman" w:hAnsi="Times New Roman" w:cs="Times New Roman"/>
          <w:b/>
          <w:sz w:val="20"/>
          <w:szCs w:val="20"/>
        </w:rPr>
        <w:lastRenderedPageBreak/>
        <w:t xml:space="preserve">2.1 </w:t>
      </w:r>
      <w:r w:rsidR="00C641B8" w:rsidRPr="00C641B8">
        <w:rPr>
          <w:rFonts w:ascii="Times New Roman" w:hAnsi="Times New Roman" w:cs="Times New Roman"/>
          <w:b/>
          <w:sz w:val="20"/>
          <w:szCs w:val="20"/>
        </w:rPr>
        <w:t>Sampling Area</w:t>
      </w:r>
    </w:p>
    <w:p w:rsidR="00DC2A70" w:rsidRPr="00C641B8" w:rsidRDefault="00DC2A70" w:rsidP="00DC2A70">
      <w:pPr>
        <w:spacing w:line="240" w:lineRule="auto"/>
        <w:jc w:val="both"/>
        <w:rPr>
          <w:rFonts w:ascii="Times New Roman" w:hAnsi="Times New Roman" w:cs="Times New Roman"/>
          <w:sz w:val="20"/>
          <w:szCs w:val="20"/>
        </w:rPr>
      </w:pPr>
      <w:r w:rsidRPr="00C641B8">
        <w:rPr>
          <w:rFonts w:ascii="Times New Roman" w:hAnsi="Times New Roman" w:cs="Times New Roman"/>
          <w:sz w:val="20"/>
          <w:szCs w:val="20"/>
        </w:rPr>
        <w:t>The study was conducted during 2017-2018 in Katsina State, Nigeria located between latitude 12015’N and longitude 7030’E in the North West Zone of Nigeria, with an area of 24,192km</w:t>
      </w:r>
      <w:r w:rsidRPr="00C641B8">
        <w:rPr>
          <w:rFonts w:ascii="Times New Roman" w:hAnsi="Times New Roman" w:cs="Times New Roman"/>
          <w:sz w:val="20"/>
          <w:szCs w:val="20"/>
          <w:vertAlign w:val="superscript"/>
        </w:rPr>
        <w:t>2</w:t>
      </w:r>
      <w:r w:rsidRPr="00C641B8">
        <w:rPr>
          <w:rFonts w:ascii="Times New Roman" w:hAnsi="Times New Roman" w:cs="Times New Roman"/>
          <w:sz w:val="20"/>
          <w:szCs w:val="20"/>
        </w:rPr>
        <w:t xml:space="preserve"> (9,341 sq. meters) and a population of 7.6 million with the growth rate of 3.0% per annum. With more than 50% of the population between the ages of 15-64 years and 80% of the population engaged in subsistence farming and livestock rearing (Katsina State, 2016). The State has a rainy season that begins in April and ends in October, while the dry season starts in November and last till March. The average annual rainfall, temperature, and relative humidity of Katsina State are 1,312 mm, 27.3ºC and 50.2%, respectively.</w:t>
      </w:r>
    </w:p>
    <w:p w:rsidR="009F79BA" w:rsidRPr="006A3C42" w:rsidRDefault="006A3C42" w:rsidP="009F79BA">
      <w:pPr>
        <w:spacing w:line="240" w:lineRule="auto"/>
        <w:jc w:val="both"/>
        <w:rPr>
          <w:rFonts w:ascii="Times New Roman" w:hAnsi="Times New Roman" w:cs="Times New Roman"/>
          <w:b/>
          <w:sz w:val="20"/>
          <w:szCs w:val="20"/>
        </w:rPr>
      </w:pPr>
      <w:r>
        <w:rPr>
          <w:rFonts w:ascii="Times New Roman" w:hAnsi="Times New Roman" w:cs="Times New Roman"/>
          <w:b/>
          <w:sz w:val="20"/>
          <w:szCs w:val="20"/>
        </w:rPr>
        <w:t>2.2 Sampling and Sample P</w:t>
      </w:r>
      <w:r w:rsidRPr="006A3C42">
        <w:rPr>
          <w:rFonts w:ascii="Times New Roman" w:hAnsi="Times New Roman" w:cs="Times New Roman"/>
          <w:b/>
          <w:sz w:val="20"/>
          <w:szCs w:val="20"/>
        </w:rPr>
        <w:t>reparation</w:t>
      </w:r>
    </w:p>
    <w:p w:rsidR="009F79BA" w:rsidRPr="006A3C42" w:rsidRDefault="009F79BA" w:rsidP="009F79BA">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The leaves of the vegetable sample were collected with the consent of the farmers from the sampling site using a cleaned and decontaminated polyethylene bag. The edible portion of the vegetable sample was cut into small pieces, washed with tap water and then rinsed with distilled deionized water. These were placed on cardboard papers and dried in open-air in the laboratory for three weeks. The dried samples were then grinded into fine powder using a ceramic pestle and mortar and stored in a stoppered plastic bottle.</w:t>
      </w:r>
    </w:p>
    <w:p w:rsidR="009F79BA" w:rsidRPr="006A3C42" w:rsidRDefault="00A20245" w:rsidP="009F79BA">
      <w:pPr>
        <w:spacing w:line="240" w:lineRule="auto"/>
        <w:jc w:val="both"/>
        <w:rPr>
          <w:rFonts w:ascii="Times New Roman" w:hAnsi="Times New Roman" w:cs="Times New Roman"/>
          <w:b/>
          <w:sz w:val="20"/>
          <w:szCs w:val="20"/>
        </w:rPr>
      </w:pPr>
      <w:r w:rsidRPr="006A3C42">
        <w:rPr>
          <w:rFonts w:ascii="Times New Roman" w:hAnsi="Times New Roman" w:cs="Times New Roman"/>
          <w:b/>
          <w:sz w:val="20"/>
          <w:szCs w:val="20"/>
        </w:rPr>
        <w:t xml:space="preserve">2.3 </w:t>
      </w:r>
      <w:r w:rsidR="006A3C42" w:rsidRPr="006A3C42">
        <w:rPr>
          <w:rFonts w:ascii="Times New Roman" w:hAnsi="Times New Roman" w:cs="Times New Roman"/>
          <w:b/>
          <w:sz w:val="20"/>
          <w:szCs w:val="20"/>
        </w:rPr>
        <w:t>Sample Digestion</w:t>
      </w:r>
    </w:p>
    <w:p w:rsidR="009F79BA" w:rsidRPr="006A3C42" w:rsidRDefault="009F79BA" w:rsidP="009F79BA">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The plant sample was digested according to the p</w:t>
      </w:r>
      <w:r w:rsidR="004D685D" w:rsidRPr="006A3C42">
        <w:rPr>
          <w:rFonts w:ascii="Times New Roman" w:hAnsi="Times New Roman" w:cs="Times New Roman"/>
          <w:sz w:val="20"/>
          <w:szCs w:val="20"/>
        </w:rPr>
        <w:t>rocedure adopted by Awofolu (2005)</w:t>
      </w:r>
      <w:r w:rsidRPr="006A3C42">
        <w:rPr>
          <w:rFonts w:ascii="Times New Roman" w:hAnsi="Times New Roman" w:cs="Times New Roman"/>
          <w:sz w:val="20"/>
          <w:szCs w:val="20"/>
        </w:rPr>
        <w:t>; whereby 0.5 g of the powdered sample was weighed into a 100 mL beaker and 5 mL of concentrated HNO</w:t>
      </w:r>
      <w:r w:rsidRPr="006A3C42">
        <w:rPr>
          <w:rFonts w:ascii="Times New Roman" w:hAnsi="Times New Roman" w:cs="Times New Roman"/>
          <w:sz w:val="20"/>
          <w:szCs w:val="20"/>
          <w:vertAlign w:val="subscript"/>
        </w:rPr>
        <w:t>3</w:t>
      </w:r>
      <w:r w:rsidRPr="006A3C42">
        <w:rPr>
          <w:rFonts w:ascii="Times New Roman" w:hAnsi="Times New Roman" w:cs="Times New Roman"/>
          <w:sz w:val="20"/>
          <w:szCs w:val="20"/>
        </w:rPr>
        <w:t xml:space="preserve"> and 2 mL HClO</w:t>
      </w:r>
      <w:r w:rsidRPr="006A3C42">
        <w:rPr>
          <w:rFonts w:ascii="Times New Roman" w:hAnsi="Times New Roman" w:cs="Times New Roman"/>
          <w:sz w:val="20"/>
          <w:szCs w:val="20"/>
          <w:vertAlign w:val="subscript"/>
        </w:rPr>
        <w:t>4</w:t>
      </w:r>
      <w:r w:rsidRPr="006A3C42">
        <w:rPr>
          <w:rFonts w:ascii="Times New Roman" w:hAnsi="Times New Roman" w:cs="Times New Roman"/>
          <w:sz w:val="20"/>
          <w:szCs w:val="20"/>
        </w:rPr>
        <w:t xml:space="preserve"> were added. The mixture was then heated on a hot plate at 95° C until the solution became clear. It was then filtered into a 100 mL volumetric flask and made up to</w:t>
      </w:r>
      <w:r w:rsidR="00697C74" w:rsidRPr="006A3C42">
        <w:rPr>
          <w:rFonts w:ascii="Times New Roman" w:hAnsi="Times New Roman" w:cs="Times New Roman"/>
          <w:sz w:val="20"/>
          <w:szCs w:val="20"/>
        </w:rPr>
        <w:t xml:space="preserve"> the mark with distilled water.</w:t>
      </w:r>
    </w:p>
    <w:p w:rsidR="009F79BA" w:rsidRPr="006A3C42" w:rsidRDefault="006A3C42" w:rsidP="009F79BA">
      <w:pPr>
        <w:spacing w:line="240" w:lineRule="auto"/>
        <w:jc w:val="both"/>
        <w:rPr>
          <w:rFonts w:ascii="Times New Roman" w:hAnsi="Times New Roman" w:cs="Times New Roman"/>
          <w:b/>
          <w:sz w:val="20"/>
          <w:szCs w:val="20"/>
        </w:rPr>
      </w:pPr>
      <w:r w:rsidRPr="006A3C42">
        <w:rPr>
          <w:rFonts w:ascii="Times New Roman" w:hAnsi="Times New Roman" w:cs="Times New Roman"/>
          <w:b/>
          <w:sz w:val="20"/>
          <w:szCs w:val="20"/>
        </w:rPr>
        <w:t>2.4 Heavy Metal Determination</w:t>
      </w:r>
    </w:p>
    <w:p w:rsidR="00697C74" w:rsidRPr="006A3C42" w:rsidRDefault="009F79BA" w:rsidP="009F79BA">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 xml:space="preserve">The concentration of heavy metals in the sample was determined using Atomic Absorption Spectrophotometer (Buck 210 VGP Model) equipped with a digital read-out system. Working standards were used, after serial dilution of 1000 ppm metal stock solution in each case. Calibration curves were generated by plotting absorbance values versus concentrations. By interpolation, the concentration of the metals in sample digest was determined as </w:t>
      </w:r>
      <w:r w:rsidR="004D685D" w:rsidRPr="006A3C42">
        <w:rPr>
          <w:rFonts w:ascii="Times New Roman" w:hAnsi="Times New Roman" w:cs="Times New Roman"/>
          <w:sz w:val="20"/>
          <w:szCs w:val="20"/>
        </w:rPr>
        <w:t>described by Audu and Lawal (2006)</w:t>
      </w:r>
      <w:r w:rsidRPr="006A3C42">
        <w:rPr>
          <w:rFonts w:ascii="Times New Roman" w:hAnsi="Times New Roman" w:cs="Times New Roman"/>
          <w:sz w:val="20"/>
          <w:szCs w:val="20"/>
        </w:rPr>
        <w:t>.</w:t>
      </w:r>
    </w:p>
    <w:p w:rsidR="009F79BA" w:rsidRPr="006A3C42" w:rsidRDefault="00A20245" w:rsidP="009F79BA">
      <w:pPr>
        <w:spacing w:line="240" w:lineRule="auto"/>
        <w:jc w:val="both"/>
        <w:rPr>
          <w:rFonts w:ascii="Times New Roman" w:hAnsi="Times New Roman" w:cs="Times New Roman"/>
          <w:b/>
          <w:sz w:val="20"/>
          <w:szCs w:val="20"/>
        </w:rPr>
      </w:pPr>
      <w:r w:rsidRPr="006A3C42">
        <w:rPr>
          <w:rFonts w:ascii="Times New Roman" w:hAnsi="Times New Roman" w:cs="Times New Roman"/>
          <w:b/>
          <w:sz w:val="20"/>
          <w:szCs w:val="20"/>
        </w:rPr>
        <w:t xml:space="preserve">2.5 </w:t>
      </w:r>
      <w:r w:rsidR="006A3C42" w:rsidRPr="006A3C42">
        <w:rPr>
          <w:rFonts w:ascii="Times New Roman" w:hAnsi="Times New Roman" w:cs="Times New Roman"/>
          <w:b/>
          <w:sz w:val="20"/>
          <w:szCs w:val="20"/>
        </w:rPr>
        <w:t>Heavy Metal Health Risk Assessment</w:t>
      </w:r>
    </w:p>
    <w:p w:rsidR="009F79BA" w:rsidRPr="006A3C42" w:rsidRDefault="006A3C42" w:rsidP="009F79BA">
      <w:pPr>
        <w:spacing w:line="240" w:lineRule="auto"/>
        <w:jc w:val="both"/>
        <w:rPr>
          <w:rFonts w:ascii="Times New Roman" w:hAnsi="Times New Roman" w:cs="Times New Roman"/>
          <w:b/>
          <w:sz w:val="20"/>
          <w:szCs w:val="20"/>
        </w:rPr>
      </w:pPr>
      <w:r>
        <w:rPr>
          <w:rFonts w:ascii="Times New Roman" w:hAnsi="Times New Roman" w:cs="Times New Roman"/>
          <w:b/>
          <w:sz w:val="20"/>
          <w:szCs w:val="20"/>
        </w:rPr>
        <w:t>2.5.1 Daily Intake of Metals (DIM</w:t>
      </w:r>
      <w:r w:rsidRPr="006A3C42">
        <w:rPr>
          <w:rFonts w:ascii="Times New Roman" w:hAnsi="Times New Roman" w:cs="Times New Roman"/>
          <w:b/>
          <w:sz w:val="20"/>
          <w:szCs w:val="20"/>
        </w:rPr>
        <w:t>)</w:t>
      </w:r>
    </w:p>
    <w:p w:rsidR="009F79BA" w:rsidRPr="006A3C42" w:rsidRDefault="009F79BA" w:rsidP="009F79BA">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The ingestion of heavy metals in the samples depicted as the daily intake of metals             (DIM) was calculated</w:t>
      </w:r>
      <w:r w:rsidR="00697C74" w:rsidRPr="006A3C42">
        <w:rPr>
          <w:rFonts w:ascii="Times New Roman" w:hAnsi="Times New Roman" w:cs="Times New Roman"/>
          <w:sz w:val="20"/>
          <w:szCs w:val="20"/>
        </w:rPr>
        <w:t xml:space="preserve"> using the following equation. </w:t>
      </w:r>
    </w:p>
    <w:p w:rsidR="009F79BA" w:rsidRPr="006A3C42" w:rsidRDefault="009F79BA" w:rsidP="009F79BA">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 xml:space="preserve">DIM </w:t>
      </w:r>
      <w:r w:rsidR="00A20245" w:rsidRPr="006A3C42">
        <w:rPr>
          <w:rFonts w:ascii="Times New Roman" w:hAnsi="Times New Roman" w:cs="Times New Roman"/>
          <w:sz w:val="20"/>
          <w:szCs w:val="20"/>
        </w:rPr>
        <w:t>= (</w:t>
      </w:r>
      <w:r w:rsidRPr="006A3C42">
        <w:rPr>
          <w:rFonts w:ascii="Times New Roman" w:hAnsi="Times New Roman" w:cs="Times New Roman"/>
          <w:sz w:val="20"/>
          <w:szCs w:val="20"/>
        </w:rPr>
        <w:t>Cmetal x Cfactor x Dintake)/</w:t>
      </w:r>
      <w:r w:rsidR="00A20245" w:rsidRPr="006A3C42">
        <w:rPr>
          <w:rFonts w:ascii="Times New Roman" w:hAnsi="Times New Roman" w:cs="Times New Roman"/>
          <w:sz w:val="20"/>
          <w:szCs w:val="20"/>
        </w:rPr>
        <w:t>Bweight …</w:t>
      </w:r>
      <w:r w:rsidRPr="006A3C42">
        <w:rPr>
          <w:rFonts w:ascii="Times New Roman" w:hAnsi="Times New Roman" w:cs="Times New Roman"/>
          <w:sz w:val="20"/>
          <w:szCs w:val="20"/>
        </w:rPr>
        <w:t>……eqn. (1)</w:t>
      </w:r>
    </w:p>
    <w:p w:rsidR="009F79BA" w:rsidRPr="006A3C42" w:rsidRDefault="009F79BA" w:rsidP="009F79BA">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With Cmetal standing for heavy metal concentration in the sample, Cfactor representing the conversion factor (</w:t>
      </w:r>
      <w:r w:rsidR="004D685D" w:rsidRPr="006A3C42">
        <w:rPr>
          <w:rFonts w:ascii="Times New Roman" w:hAnsi="Times New Roman" w:cs="Times New Roman"/>
          <w:sz w:val="20"/>
          <w:szCs w:val="20"/>
        </w:rPr>
        <w:t>Cf) which was taken as 0.085 (Jan et al., 2010)</w:t>
      </w:r>
      <w:r w:rsidRPr="006A3C42">
        <w:rPr>
          <w:rFonts w:ascii="Times New Roman" w:hAnsi="Times New Roman" w:cs="Times New Roman"/>
          <w:sz w:val="20"/>
          <w:szCs w:val="20"/>
        </w:rPr>
        <w:t xml:space="preserve"> used in converting the sample to it dry weight, Dintake representing the daily intake of the sample taken from literatu</w:t>
      </w:r>
      <w:r w:rsidR="004D685D" w:rsidRPr="006A3C42">
        <w:rPr>
          <w:rFonts w:ascii="Times New Roman" w:hAnsi="Times New Roman" w:cs="Times New Roman"/>
          <w:sz w:val="20"/>
          <w:szCs w:val="20"/>
        </w:rPr>
        <w:t xml:space="preserve">re as 0.527 kg person−1 d−1 (Balkhaira </w:t>
      </w:r>
      <w:r w:rsidR="004D685D" w:rsidRPr="006A3C42">
        <w:rPr>
          <w:rFonts w:ascii="Times New Roman" w:hAnsi="Times New Roman" w:cs="Times New Roman"/>
          <w:i/>
          <w:sz w:val="20"/>
          <w:szCs w:val="20"/>
        </w:rPr>
        <w:t>et al.,</w:t>
      </w:r>
      <w:r w:rsidR="004D685D" w:rsidRPr="006A3C42">
        <w:rPr>
          <w:rFonts w:ascii="Times New Roman" w:hAnsi="Times New Roman" w:cs="Times New Roman"/>
          <w:sz w:val="20"/>
          <w:szCs w:val="20"/>
        </w:rPr>
        <w:t xml:space="preserve"> 2015)</w:t>
      </w:r>
      <w:r w:rsidRPr="006A3C42">
        <w:rPr>
          <w:rFonts w:ascii="Times New Roman" w:hAnsi="Times New Roman" w:cs="Times New Roman"/>
          <w:sz w:val="20"/>
          <w:szCs w:val="20"/>
        </w:rPr>
        <w:t xml:space="preserve">, and Bweight representing the average body weight which is also taken </w:t>
      </w:r>
      <w:r w:rsidR="00DE40B3" w:rsidRPr="006A3C42">
        <w:rPr>
          <w:rFonts w:ascii="Times New Roman" w:hAnsi="Times New Roman" w:cs="Times New Roman"/>
          <w:sz w:val="20"/>
          <w:szCs w:val="20"/>
        </w:rPr>
        <w:t xml:space="preserve">from the literature as 60 kg (Orisakwe </w:t>
      </w:r>
      <w:r w:rsidR="00DE40B3" w:rsidRPr="006A3C42">
        <w:rPr>
          <w:rFonts w:ascii="Times New Roman" w:hAnsi="Times New Roman" w:cs="Times New Roman"/>
          <w:i/>
          <w:sz w:val="20"/>
          <w:szCs w:val="20"/>
        </w:rPr>
        <w:t>et al</w:t>
      </w:r>
      <w:r w:rsidR="00DE40B3" w:rsidRPr="006A3C42">
        <w:rPr>
          <w:rFonts w:ascii="Times New Roman" w:hAnsi="Times New Roman" w:cs="Times New Roman"/>
          <w:sz w:val="20"/>
          <w:szCs w:val="20"/>
        </w:rPr>
        <w:t xml:space="preserve">., 2015) for adults and 24 kg (Ekhator </w:t>
      </w:r>
      <w:r w:rsidR="00DE40B3" w:rsidRPr="006A3C42">
        <w:rPr>
          <w:rFonts w:ascii="Times New Roman" w:hAnsi="Times New Roman" w:cs="Times New Roman"/>
          <w:i/>
          <w:sz w:val="20"/>
          <w:szCs w:val="20"/>
        </w:rPr>
        <w:t>et al</w:t>
      </w:r>
      <w:r w:rsidR="00DE40B3" w:rsidRPr="006A3C42">
        <w:rPr>
          <w:rFonts w:ascii="Times New Roman" w:hAnsi="Times New Roman" w:cs="Times New Roman"/>
          <w:sz w:val="20"/>
          <w:szCs w:val="20"/>
        </w:rPr>
        <w:t>., 2017)</w:t>
      </w:r>
      <w:r w:rsidRPr="006A3C42">
        <w:rPr>
          <w:rFonts w:ascii="Times New Roman" w:hAnsi="Times New Roman" w:cs="Times New Roman"/>
          <w:sz w:val="20"/>
          <w:szCs w:val="20"/>
        </w:rPr>
        <w:t xml:space="preserve"> for children. The same values</w:t>
      </w:r>
      <w:r w:rsidR="00697C74" w:rsidRPr="006A3C42">
        <w:rPr>
          <w:rFonts w:ascii="Times New Roman" w:hAnsi="Times New Roman" w:cs="Times New Roman"/>
          <w:sz w:val="20"/>
          <w:szCs w:val="20"/>
        </w:rPr>
        <w:t xml:space="preserve"> were used to evaluate the HRI.</w:t>
      </w:r>
    </w:p>
    <w:p w:rsidR="009F79BA" w:rsidRPr="006A3C42" w:rsidRDefault="00A20245" w:rsidP="009F79BA">
      <w:pPr>
        <w:spacing w:line="240" w:lineRule="auto"/>
        <w:jc w:val="both"/>
        <w:rPr>
          <w:rFonts w:ascii="Times New Roman" w:hAnsi="Times New Roman" w:cs="Times New Roman"/>
          <w:b/>
          <w:sz w:val="20"/>
          <w:szCs w:val="20"/>
        </w:rPr>
      </w:pPr>
      <w:r w:rsidRPr="006A3C42">
        <w:rPr>
          <w:rFonts w:ascii="Times New Roman" w:hAnsi="Times New Roman" w:cs="Times New Roman"/>
          <w:b/>
          <w:sz w:val="20"/>
          <w:szCs w:val="20"/>
        </w:rPr>
        <w:t xml:space="preserve">2.5.2 </w:t>
      </w:r>
      <w:r w:rsidR="006A3C42" w:rsidRPr="006A3C42">
        <w:rPr>
          <w:rFonts w:ascii="Times New Roman" w:hAnsi="Times New Roman" w:cs="Times New Roman"/>
          <w:b/>
          <w:sz w:val="20"/>
          <w:szCs w:val="20"/>
        </w:rPr>
        <w:t>Non-Cancer Risks</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 xml:space="preserve">Non-carcinogenic risks for individual heavy metal of the samples will be evaluated by computing the target hazard quotient (THQ) using the following equation (Micheal </w:t>
      </w:r>
      <w:r w:rsidRPr="006A3C42">
        <w:rPr>
          <w:rFonts w:ascii="Times New Roman" w:hAnsi="Times New Roman" w:cs="Times New Roman"/>
          <w:i/>
          <w:sz w:val="20"/>
          <w:szCs w:val="20"/>
        </w:rPr>
        <w:t>et al</w:t>
      </w:r>
      <w:r w:rsidRPr="006A3C42">
        <w:rPr>
          <w:rFonts w:ascii="Times New Roman" w:hAnsi="Times New Roman" w:cs="Times New Roman"/>
          <w:sz w:val="20"/>
          <w:szCs w:val="20"/>
        </w:rPr>
        <w:t>., 2015).</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THQ=CDI/RfD</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 xml:space="preserve">CDI was the chronic daily heavy metal intake (mg/kg/day) obtained from the previous section and RfD is the oral reference dose (mg/kg/day) which represents an estimation of the maximum permissible risk on human population through daily exposure, taking into consideration a sensitive group during a lifetime (Li and Zhang, 2010). The following reference doses were used (Pb = 0.6, Cd = 0.5, Zn = 0.3, Fe = 0.7, Ni = 0.4, Mn = 0.014, Cr = 0.3) (Li et al., 2013; US-EPA, 2002). To evaluate the potential risk to human health through more than one heavy metal, chronic hazard index (HI) will be obtained as the sum of all hazard quotients (THQ) calculated for </w:t>
      </w:r>
      <w:r w:rsidRPr="006A3C42">
        <w:rPr>
          <w:rFonts w:ascii="Times New Roman" w:hAnsi="Times New Roman" w:cs="Times New Roman"/>
          <w:sz w:val="20"/>
          <w:szCs w:val="20"/>
        </w:rPr>
        <w:lastRenderedPageBreak/>
        <w:t>individual heavy metals for a particular exposure pathway (NFPCSP Nutrition Fact Sheet, 2011). It was calculated as follows:</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HI=THQ</w:t>
      </w:r>
      <w:r w:rsidRPr="006A3C42">
        <w:rPr>
          <w:rFonts w:ascii="Times New Roman" w:hAnsi="Times New Roman" w:cs="Times New Roman"/>
          <w:sz w:val="20"/>
          <w:szCs w:val="20"/>
          <w:vertAlign w:val="subscript"/>
        </w:rPr>
        <w:t>1</w:t>
      </w:r>
      <w:r w:rsidRPr="006A3C42">
        <w:rPr>
          <w:rFonts w:ascii="Times New Roman" w:hAnsi="Times New Roman" w:cs="Times New Roman"/>
          <w:sz w:val="20"/>
          <w:szCs w:val="20"/>
        </w:rPr>
        <w:t>+THQ</w:t>
      </w:r>
      <w:r w:rsidRPr="006A3C42">
        <w:rPr>
          <w:rFonts w:ascii="Times New Roman" w:hAnsi="Times New Roman" w:cs="Times New Roman"/>
          <w:sz w:val="20"/>
          <w:szCs w:val="20"/>
          <w:vertAlign w:val="subscript"/>
        </w:rPr>
        <w:t>2</w:t>
      </w:r>
      <w:r w:rsidRPr="006A3C42">
        <w:rPr>
          <w:rFonts w:ascii="Times New Roman" w:hAnsi="Times New Roman" w:cs="Times New Roman"/>
          <w:sz w:val="20"/>
          <w:szCs w:val="20"/>
        </w:rPr>
        <w:t>+</w:t>
      </w:r>
      <w:r w:rsidRPr="006A3C42">
        <w:rPr>
          <w:rFonts w:ascii="Cambria Math" w:hAnsi="Cambria Math" w:cs="Cambria Math"/>
          <w:sz w:val="20"/>
          <w:szCs w:val="20"/>
        </w:rPr>
        <w:t>⋯</w:t>
      </w:r>
      <w:r w:rsidRPr="006A3C42">
        <w:rPr>
          <w:rFonts w:ascii="Times New Roman" w:hAnsi="Times New Roman" w:cs="Times New Roman"/>
          <w:sz w:val="20"/>
          <w:szCs w:val="20"/>
        </w:rPr>
        <w:t>+THQ</w:t>
      </w:r>
      <w:r w:rsidRPr="006A3C42">
        <w:rPr>
          <w:rFonts w:ascii="Times New Roman" w:hAnsi="Times New Roman" w:cs="Times New Roman"/>
          <w:sz w:val="20"/>
          <w:szCs w:val="20"/>
          <w:vertAlign w:val="subscript"/>
        </w:rPr>
        <w:t>n</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Where 1, 2 …. n are the individual heavy metals in samples.</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 xml:space="preserve">It is based on the assumption that the magnitude of the effect is proportional to the sum of the multiple metal exposures and that similar working mechanism linearly affects the target organ (RAIS, 2007). The population is assumed to be safe when HI &lt; 1 and in a level of concern when 1 &lt; HI &lt; 5 (Guerra </w:t>
      </w:r>
      <w:r w:rsidRPr="006A3C42">
        <w:rPr>
          <w:rFonts w:ascii="Times New Roman" w:hAnsi="Times New Roman" w:cs="Times New Roman"/>
          <w:i/>
          <w:sz w:val="20"/>
          <w:szCs w:val="20"/>
        </w:rPr>
        <w:t>et al</w:t>
      </w:r>
      <w:r w:rsidRPr="006A3C42">
        <w:rPr>
          <w:rFonts w:ascii="Times New Roman" w:hAnsi="Times New Roman" w:cs="Times New Roman"/>
          <w:sz w:val="20"/>
          <w:szCs w:val="20"/>
        </w:rPr>
        <w:t>., 2012).</w:t>
      </w:r>
    </w:p>
    <w:p w:rsidR="009F79BA" w:rsidRPr="006A3C42" w:rsidRDefault="00A20245" w:rsidP="009F79BA">
      <w:pPr>
        <w:spacing w:line="240" w:lineRule="auto"/>
        <w:jc w:val="both"/>
        <w:rPr>
          <w:rFonts w:ascii="Times New Roman" w:hAnsi="Times New Roman" w:cs="Times New Roman"/>
          <w:b/>
          <w:sz w:val="20"/>
          <w:szCs w:val="20"/>
        </w:rPr>
      </w:pPr>
      <w:r w:rsidRPr="006A3C42">
        <w:rPr>
          <w:rFonts w:ascii="Times New Roman" w:hAnsi="Times New Roman" w:cs="Times New Roman"/>
          <w:b/>
          <w:sz w:val="20"/>
          <w:szCs w:val="20"/>
        </w:rPr>
        <w:t xml:space="preserve">2.5.3 </w:t>
      </w:r>
      <w:r w:rsidR="006A3C42" w:rsidRPr="006A3C42">
        <w:rPr>
          <w:rFonts w:ascii="Times New Roman" w:hAnsi="Times New Roman" w:cs="Times New Roman"/>
          <w:b/>
          <w:sz w:val="20"/>
          <w:szCs w:val="20"/>
        </w:rPr>
        <w:t>Cancer Risks</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 xml:space="preserve">The possibility of cancer risks in the studied samples through intake of carcinogenic heavy metals will be estimated using the Incremental Lifetime Cancer Risk (ILCR) (Liu </w:t>
      </w:r>
      <w:r w:rsidRPr="006A3C42">
        <w:rPr>
          <w:rFonts w:ascii="Times New Roman" w:hAnsi="Times New Roman" w:cs="Times New Roman"/>
          <w:i/>
          <w:sz w:val="20"/>
          <w:szCs w:val="20"/>
        </w:rPr>
        <w:t>et al</w:t>
      </w:r>
      <w:r w:rsidRPr="006A3C42">
        <w:rPr>
          <w:rFonts w:ascii="Times New Roman" w:hAnsi="Times New Roman" w:cs="Times New Roman"/>
          <w:sz w:val="20"/>
          <w:szCs w:val="20"/>
        </w:rPr>
        <w:t>., 2013).</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ILCR= CDI×CSF</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Where, CDI is chronic daily intake of chemical carcinogen, mg/kg BW/day which represents the lifetime average daily dose of exposure to the chemical carcinogen.</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 xml:space="preserve">The US EPA ILCR is obtained using the cancer slope factor (CSF), which is the risk produced by a lifetime average dose of 1 mg/kg BW/day and is contaminant specific (Micheal et al., 2015). The following cancer slope factor for specific heavy metals will be used; Pb = 0.0085 mg/kg/day (Kamunda </w:t>
      </w:r>
      <w:r w:rsidRPr="006A3C42">
        <w:rPr>
          <w:rFonts w:ascii="Times New Roman" w:hAnsi="Times New Roman" w:cs="Times New Roman"/>
          <w:i/>
          <w:sz w:val="20"/>
          <w:szCs w:val="20"/>
        </w:rPr>
        <w:t>et al</w:t>
      </w:r>
      <w:r w:rsidRPr="006A3C42">
        <w:rPr>
          <w:rFonts w:ascii="Times New Roman" w:hAnsi="Times New Roman" w:cs="Times New Roman"/>
          <w:sz w:val="20"/>
          <w:szCs w:val="20"/>
        </w:rPr>
        <w:t xml:space="preserve">., 2016), Cd = 0.38 mg/kg/day (Yang </w:t>
      </w:r>
      <w:r w:rsidRPr="006A3C42">
        <w:rPr>
          <w:rFonts w:ascii="Times New Roman" w:hAnsi="Times New Roman" w:cs="Times New Roman"/>
          <w:i/>
          <w:sz w:val="20"/>
          <w:szCs w:val="20"/>
        </w:rPr>
        <w:t>et al</w:t>
      </w:r>
      <w:r w:rsidRPr="006A3C42">
        <w:rPr>
          <w:rFonts w:ascii="Times New Roman" w:hAnsi="Times New Roman" w:cs="Times New Roman"/>
          <w:sz w:val="20"/>
          <w:szCs w:val="20"/>
        </w:rPr>
        <w:t xml:space="preserve">., 2018), Ni = 1.7 mg/kg/day (Javed </w:t>
      </w:r>
      <w:r w:rsidRPr="006A3C42">
        <w:rPr>
          <w:rFonts w:ascii="Times New Roman" w:hAnsi="Times New Roman" w:cs="Times New Roman"/>
          <w:i/>
          <w:sz w:val="20"/>
          <w:szCs w:val="20"/>
        </w:rPr>
        <w:t>et al</w:t>
      </w:r>
      <w:r w:rsidRPr="006A3C42">
        <w:rPr>
          <w:rFonts w:ascii="Times New Roman" w:hAnsi="Times New Roman" w:cs="Times New Roman"/>
          <w:sz w:val="20"/>
          <w:szCs w:val="20"/>
        </w:rPr>
        <w:t xml:space="preserve">., 2016). ILCR value in sample represents the probability of an individual’s lifetime health risks from carcinogenic heavy metals’ exposure (Pepper </w:t>
      </w:r>
      <w:r w:rsidRPr="006A3C42">
        <w:rPr>
          <w:rFonts w:ascii="Times New Roman" w:hAnsi="Times New Roman" w:cs="Times New Roman"/>
          <w:i/>
          <w:sz w:val="20"/>
          <w:szCs w:val="20"/>
        </w:rPr>
        <w:t>et al</w:t>
      </w:r>
      <w:r w:rsidRPr="006A3C42">
        <w:rPr>
          <w:rFonts w:ascii="Times New Roman" w:hAnsi="Times New Roman" w:cs="Times New Roman"/>
          <w:sz w:val="20"/>
          <w:szCs w:val="20"/>
        </w:rPr>
        <w:t>., 2012). The level of acceptable cancer risk (ILCR) for regulatory purposes was considered within the range of 10</w:t>
      </w:r>
      <w:r w:rsidRPr="006A3C42">
        <w:rPr>
          <w:rFonts w:ascii="Times New Roman" w:hAnsi="Times New Roman" w:cs="Times New Roman"/>
          <w:sz w:val="20"/>
          <w:szCs w:val="20"/>
          <w:vertAlign w:val="superscript"/>
        </w:rPr>
        <w:t>−6</w:t>
      </w:r>
      <w:r w:rsidRPr="006A3C42">
        <w:rPr>
          <w:rFonts w:ascii="Times New Roman" w:hAnsi="Times New Roman" w:cs="Times New Roman"/>
          <w:sz w:val="20"/>
          <w:szCs w:val="20"/>
        </w:rPr>
        <w:t xml:space="preserve"> to 10</w:t>
      </w:r>
      <w:r w:rsidRPr="006A3C42">
        <w:rPr>
          <w:rFonts w:ascii="Times New Roman" w:hAnsi="Times New Roman" w:cs="Times New Roman"/>
          <w:sz w:val="20"/>
          <w:szCs w:val="20"/>
          <w:vertAlign w:val="superscript"/>
        </w:rPr>
        <w:t>−4</w:t>
      </w:r>
      <w:r w:rsidRPr="006A3C42">
        <w:rPr>
          <w:rFonts w:ascii="Times New Roman" w:hAnsi="Times New Roman" w:cs="Times New Roman"/>
          <w:sz w:val="20"/>
          <w:szCs w:val="20"/>
        </w:rPr>
        <w:t xml:space="preserve"> (Li and Zhang, 2010). The CDI values will be calculated on the basis of the following equation and CSF values for carcinogenic heavy metals will be used according to the literature (Liu </w:t>
      </w:r>
      <w:r w:rsidRPr="006A3C42">
        <w:rPr>
          <w:rFonts w:ascii="Times New Roman" w:hAnsi="Times New Roman" w:cs="Times New Roman"/>
          <w:i/>
          <w:sz w:val="20"/>
          <w:szCs w:val="20"/>
        </w:rPr>
        <w:t>et al</w:t>
      </w:r>
      <w:r w:rsidRPr="006A3C42">
        <w:rPr>
          <w:rFonts w:ascii="Times New Roman" w:hAnsi="Times New Roman" w:cs="Times New Roman"/>
          <w:sz w:val="20"/>
          <w:szCs w:val="20"/>
        </w:rPr>
        <w:t>., 2013).</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CDI = (EDI × EFr × EDtot)/AT</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 xml:space="preserve">where EDI is the estimated daily intake of metal via consumption of the samples; EFr is representing the exposure frequency (365 days/year); EDtot is the exposure duration of 60 years, average lifetime for Nigerians; AT is the period of exposure for non-carcinogenic effects (EFr × EDtot), and 60 years’ life time for carcinogenic effect (Micheal </w:t>
      </w:r>
      <w:r w:rsidRPr="006A3C42">
        <w:rPr>
          <w:rFonts w:ascii="Times New Roman" w:hAnsi="Times New Roman" w:cs="Times New Roman"/>
          <w:i/>
          <w:sz w:val="20"/>
          <w:szCs w:val="20"/>
        </w:rPr>
        <w:t>et al</w:t>
      </w:r>
      <w:r w:rsidRPr="006A3C42">
        <w:rPr>
          <w:rFonts w:ascii="Times New Roman" w:hAnsi="Times New Roman" w:cs="Times New Roman"/>
          <w:sz w:val="20"/>
          <w:szCs w:val="20"/>
        </w:rPr>
        <w:t xml:space="preserve">., 2015). The cumulative cancer risks in the samples as a result of exposure to multiple carcinogenic heavy metals due to consumption of a particular type of food were assumed to be the sum of the individual heavy metal increment risks and calculated by the following equation (Liu </w:t>
      </w:r>
      <w:r w:rsidRPr="006A3C42">
        <w:rPr>
          <w:rFonts w:ascii="Times New Roman" w:hAnsi="Times New Roman" w:cs="Times New Roman"/>
          <w:i/>
          <w:sz w:val="20"/>
          <w:szCs w:val="20"/>
        </w:rPr>
        <w:t>et al.</w:t>
      </w:r>
      <w:r w:rsidRPr="006A3C42">
        <w:rPr>
          <w:rFonts w:ascii="Times New Roman" w:hAnsi="Times New Roman" w:cs="Times New Roman"/>
          <w:sz w:val="20"/>
          <w:szCs w:val="20"/>
        </w:rPr>
        <w:t>, 2013).</w:t>
      </w:r>
    </w:p>
    <w:p w:rsidR="00697C74" w:rsidRPr="006A3C42" w:rsidRDefault="00697C74" w:rsidP="00697C74">
      <w:pPr>
        <w:spacing w:line="240" w:lineRule="auto"/>
        <w:jc w:val="both"/>
        <w:rPr>
          <w:rFonts w:ascii="Times New Roman" w:hAnsi="Times New Roman" w:cs="Times New Roman"/>
          <w:sz w:val="20"/>
          <w:szCs w:val="20"/>
        </w:rPr>
      </w:pPr>
      <w:r w:rsidRPr="006A3C42">
        <w:rPr>
          <w:rFonts w:ascii="Times New Roman" w:hAnsi="Times New Roman" w:cs="Times New Roman"/>
          <w:sz w:val="20"/>
          <w:szCs w:val="20"/>
        </w:rPr>
        <w:t>∑1n=ILCR</w:t>
      </w:r>
      <w:r w:rsidRPr="006A3C42">
        <w:rPr>
          <w:rFonts w:ascii="Times New Roman" w:hAnsi="Times New Roman" w:cs="Times New Roman"/>
          <w:sz w:val="20"/>
          <w:szCs w:val="20"/>
          <w:vertAlign w:val="subscript"/>
        </w:rPr>
        <w:t>1</w:t>
      </w:r>
      <w:r w:rsidRPr="006A3C42">
        <w:rPr>
          <w:rFonts w:ascii="Times New Roman" w:hAnsi="Times New Roman" w:cs="Times New Roman"/>
          <w:sz w:val="20"/>
          <w:szCs w:val="20"/>
        </w:rPr>
        <w:t>+ILCR</w:t>
      </w:r>
      <w:r w:rsidRPr="006A3C42">
        <w:rPr>
          <w:rFonts w:ascii="Times New Roman" w:hAnsi="Times New Roman" w:cs="Times New Roman"/>
          <w:sz w:val="20"/>
          <w:szCs w:val="20"/>
          <w:vertAlign w:val="subscript"/>
        </w:rPr>
        <w:t>2</w:t>
      </w:r>
      <w:r w:rsidRPr="006A3C42">
        <w:rPr>
          <w:rFonts w:ascii="Times New Roman" w:hAnsi="Times New Roman" w:cs="Times New Roman"/>
          <w:sz w:val="20"/>
          <w:szCs w:val="20"/>
        </w:rPr>
        <w:t>+</w:t>
      </w:r>
      <w:r w:rsidRPr="006A3C42">
        <w:rPr>
          <w:rFonts w:ascii="Cambria Math" w:hAnsi="Cambria Math" w:cs="Cambria Math"/>
          <w:sz w:val="20"/>
          <w:szCs w:val="20"/>
        </w:rPr>
        <w:t>⋯</w:t>
      </w:r>
      <w:r w:rsidRPr="006A3C42">
        <w:rPr>
          <w:rFonts w:ascii="Times New Roman" w:hAnsi="Times New Roman" w:cs="Times New Roman"/>
          <w:sz w:val="20"/>
          <w:szCs w:val="20"/>
        </w:rPr>
        <w:t>+ILCRn</w:t>
      </w:r>
    </w:p>
    <w:p w:rsidR="00697C74" w:rsidRPr="00C641B8" w:rsidRDefault="00697C74" w:rsidP="00697C74">
      <w:pPr>
        <w:spacing w:line="240" w:lineRule="auto"/>
        <w:jc w:val="both"/>
        <w:rPr>
          <w:rFonts w:ascii="Times New Roman" w:hAnsi="Times New Roman" w:cs="Times New Roman"/>
          <w:sz w:val="24"/>
          <w:szCs w:val="24"/>
        </w:rPr>
      </w:pPr>
      <w:r w:rsidRPr="006A3C42">
        <w:rPr>
          <w:rFonts w:ascii="Times New Roman" w:hAnsi="Times New Roman" w:cs="Times New Roman"/>
          <w:sz w:val="20"/>
          <w:szCs w:val="20"/>
        </w:rPr>
        <w:t>Where, n = 1, 2 …, n is the individual carcinogenic heavy metal</w:t>
      </w:r>
      <w:r w:rsidRPr="00C641B8">
        <w:rPr>
          <w:rFonts w:ascii="Times New Roman" w:hAnsi="Times New Roman" w:cs="Times New Roman"/>
          <w:sz w:val="24"/>
          <w:szCs w:val="24"/>
        </w:rPr>
        <w:t>.</w:t>
      </w:r>
    </w:p>
    <w:p w:rsidR="00697C74" w:rsidRPr="006A3C42" w:rsidRDefault="00785AD6" w:rsidP="006A3C42">
      <w:pPr>
        <w:pStyle w:val="ListParagraph"/>
        <w:numPr>
          <w:ilvl w:val="0"/>
          <w:numId w:val="3"/>
        </w:numPr>
        <w:ind w:left="0" w:firstLine="90"/>
        <w:jc w:val="both"/>
        <w:rPr>
          <w:b/>
          <w:sz w:val="20"/>
          <w:szCs w:val="20"/>
        </w:rPr>
      </w:pPr>
      <w:r w:rsidRPr="006A3C42">
        <w:rPr>
          <w:b/>
          <w:sz w:val="20"/>
          <w:szCs w:val="20"/>
        </w:rPr>
        <w:t>RESULTS AND DISCUSSION</w:t>
      </w:r>
    </w:p>
    <w:p w:rsidR="004966EF" w:rsidRPr="006A3C42" w:rsidRDefault="004966EF" w:rsidP="00377679">
      <w:pPr>
        <w:pStyle w:val="Body"/>
        <w:rPr>
          <w:rFonts w:ascii="Times New Roman" w:hAnsi="Times New Roman"/>
        </w:rPr>
      </w:pPr>
      <w:r w:rsidRPr="006A3C42">
        <w:rPr>
          <w:rFonts w:ascii="Times New Roman" w:hAnsi="Times New Roman"/>
        </w:rPr>
        <w:t>A total of 11 Drumstick leaf samples were analyzed for the presence of heavy metals in t</w:t>
      </w:r>
      <w:r w:rsidR="00377679" w:rsidRPr="006A3C42">
        <w:rPr>
          <w:rFonts w:ascii="Times New Roman" w:hAnsi="Times New Roman"/>
        </w:rPr>
        <w:t>his study. As shown in Figure 1</w:t>
      </w:r>
      <w:r w:rsidRPr="006A3C42">
        <w:rPr>
          <w:rFonts w:ascii="Times New Roman" w:hAnsi="Times New Roman"/>
        </w:rPr>
        <w:t>, among the heavy metals evaluated, the highest concentration (mg/kg) was observed for Zn (range: 0.826-1.428), followed by Fe (range: 0.596-1.369), Pb (range: 0.521-1.251) and Cr (range: 0.138-0.310). While Cd has the lowest concentration (range: 0.039-0.073) with the heavy metals Mn and Ni being below detection level (BDL).</w:t>
      </w:r>
      <w:r w:rsidR="00DE40B3" w:rsidRPr="006A3C42">
        <w:rPr>
          <w:rFonts w:ascii="Times New Roman" w:hAnsi="Times New Roman"/>
        </w:rPr>
        <w:t xml:space="preserve"> In contrast a</w:t>
      </w:r>
      <w:r w:rsidR="00666D27" w:rsidRPr="006A3C42">
        <w:rPr>
          <w:rFonts w:ascii="Times New Roman" w:hAnsi="Times New Roman"/>
        </w:rPr>
        <w:t xml:space="preserve"> study conducted in Jibia local Government area of Katsina State Nigeria on </w:t>
      </w:r>
      <w:r w:rsidR="00DE40B3" w:rsidRPr="006A3C42">
        <w:rPr>
          <w:rFonts w:ascii="Times New Roman" w:hAnsi="Times New Roman"/>
        </w:rPr>
        <w:t xml:space="preserve">the </w:t>
      </w:r>
      <w:r w:rsidR="00666D27" w:rsidRPr="006A3C42">
        <w:rPr>
          <w:rFonts w:ascii="Times New Roman" w:hAnsi="Times New Roman"/>
        </w:rPr>
        <w:t xml:space="preserve">health risks evaluation of heavy metals in drumstick leaf samples have reported the detection of the heavy metal Ni </w:t>
      </w:r>
      <w:r w:rsidR="00CE5224" w:rsidRPr="006A3C42">
        <w:rPr>
          <w:rFonts w:ascii="Times New Roman" w:hAnsi="Times New Roman"/>
        </w:rPr>
        <w:t xml:space="preserve">(Yaradua </w:t>
      </w:r>
      <w:r w:rsidR="00CE5224" w:rsidRPr="006A3C42">
        <w:rPr>
          <w:rFonts w:ascii="Times New Roman" w:hAnsi="Times New Roman"/>
          <w:i/>
        </w:rPr>
        <w:t>et al</w:t>
      </w:r>
      <w:r w:rsidR="00CE5224" w:rsidRPr="006A3C42">
        <w:rPr>
          <w:rFonts w:ascii="Times New Roman" w:hAnsi="Times New Roman"/>
        </w:rPr>
        <w:t>., 2023), an observation that was attributed to E-waste and illegal miming</w:t>
      </w:r>
      <w:r w:rsidR="00A20245" w:rsidRPr="006A3C42">
        <w:rPr>
          <w:rFonts w:ascii="Times New Roman" w:hAnsi="Times New Roman"/>
        </w:rPr>
        <w:t xml:space="preserve"> in the area the study was conducted.</w:t>
      </w:r>
    </w:p>
    <w:p w:rsidR="005A7EC6" w:rsidRPr="006A3C42" w:rsidRDefault="00DE40B3" w:rsidP="00377679">
      <w:pPr>
        <w:spacing w:line="240" w:lineRule="auto"/>
        <w:jc w:val="both"/>
        <w:rPr>
          <w:rFonts w:ascii="Times New Roman" w:eastAsia="Times New Roman" w:hAnsi="Times New Roman" w:cs="Times New Roman"/>
          <w:color w:val="000000" w:themeColor="text1"/>
          <w:sz w:val="20"/>
          <w:szCs w:val="20"/>
        </w:rPr>
      </w:pPr>
      <w:r w:rsidRPr="006A3C42">
        <w:rPr>
          <w:rFonts w:ascii="Times New Roman" w:hAnsi="Times New Roman" w:cs="Times New Roman"/>
          <w:sz w:val="20"/>
          <w:szCs w:val="20"/>
        </w:rPr>
        <w:t>The mean concentrations of the heavy metal Pb</w:t>
      </w:r>
      <w:r w:rsidR="005A7EC6" w:rsidRPr="006A3C42">
        <w:rPr>
          <w:rFonts w:ascii="Times New Roman" w:hAnsi="Times New Roman" w:cs="Times New Roman"/>
          <w:sz w:val="20"/>
          <w:szCs w:val="20"/>
        </w:rPr>
        <w:t xml:space="preserve"> (Figu</w:t>
      </w:r>
      <w:r w:rsidRPr="006A3C42">
        <w:rPr>
          <w:rFonts w:ascii="Times New Roman" w:hAnsi="Times New Roman" w:cs="Times New Roman"/>
          <w:sz w:val="20"/>
          <w:szCs w:val="20"/>
        </w:rPr>
        <w:t>re 1), were observed</w:t>
      </w:r>
      <w:r w:rsidR="005A7EC6" w:rsidRPr="006A3C42">
        <w:rPr>
          <w:rFonts w:ascii="Times New Roman" w:hAnsi="Times New Roman" w:cs="Times New Roman"/>
          <w:sz w:val="20"/>
          <w:szCs w:val="20"/>
        </w:rPr>
        <w:t xml:space="preserve"> to be higher than</w:t>
      </w:r>
      <w:r w:rsidRPr="006A3C42">
        <w:rPr>
          <w:rFonts w:ascii="Times New Roman" w:hAnsi="Times New Roman" w:cs="Times New Roman"/>
          <w:sz w:val="20"/>
          <w:szCs w:val="20"/>
        </w:rPr>
        <w:t xml:space="preserve"> the</w:t>
      </w:r>
      <w:r w:rsidR="005A7EC6" w:rsidRPr="006A3C42">
        <w:rPr>
          <w:rFonts w:ascii="Times New Roman" w:hAnsi="Times New Roman" w:cs="Times New Roman"/>
          <w:sz w:val="20"/>
          <w:szCs w:val="20"/>
        </w:rPr>
        <w:t xml:space="preserve"> 0.01 mg/kg which is the maximum permissible limit set by WHO/FAO and also the maximum allowable concentration of 0.02 mg/kg by EU and 0.05 mg/kg limit set by USEPA (Landrigan </w:t>
      </w:r>
      <w:r w:rsidR="005A7EC6" w:rsidRPr="006A3C42">
        <w:rPr>
          <w:rFonts w:ascii="Times New Roman" w:hAnsi="Times New Roman" w:cs="Times New Roman"/>
          <w:i/>
          <w:sz w:val="20"/>
          <w:szCs w:val="20"/>
        </w:rPr>
        <w:t>et al.,</w:t>
      </w:r>
      <w:r w:rsidR="005A7EC6" w:rsidRPr="006A3C42">
        <w:rPr>
          <w:rFonts w:ascii="Times New Roman" w:hAnsi="Times New Roman" w:cs="Times New Roman"/>
          <w:sz w:val="20"/>
          <w:szCs w:val="20"/>
        </w:rPr>
        <w:t xml:space="preserve">2017). The high percentage of samples which were in violation of the maximum permissible limits of Pb set by the WHO, EU, and US EPA is a cause for public health concern.  </w:t>
      </w:r>
    </w:p>
    <w:p w:rsidR="005A7EC6" w:rsidRPr="00C641B8" w:rsidRDefault="00785AD6" w:rsidP="00377679">
      <w:pPr>
        <w:spacing w:line="240" w:lineRule="auto"/>
        <w:jc w:val="both"/>
        <w:rPr>
          <w:rFonts w:ascii="Times New Roman" w:hAnsi="Times New Roman" w:cs="Times New Roman"/>
          <w:sz w:val="24"/>
          <w:szCs w:val="24"/>
        </w:rPr>
      </w:pPr>
      <w:r w:rsidRPr="006A3C42">
        <w:rPr>
          <w:rFonts w:ascii="Times New Roman" w:hAnsi="Times New Roman" w:cs="Times New Roman"/>
          <w:sz w:val="20"/>
          <w:szCs w:val="20"/>
        </w:rPr>
        <w:t>Within permissible mean concentrations were observed for the heavy metals Zn, Fe, Cr and Cd</w:t>
      </w:r>
      <w:r w:rsidR="00A20245" w:rsidRPr="006A3C42">
        <w:rPr>
          <w:rFonts w:ascii="Times New Roman" w:hAnsi="Times New Roman" w:cs="Times New Roman"/>
          <w:sz w:val="20"/>
          <w:szCs w:val="20"/>
        </w:rPr>
        <w:t xml:space="preserve"> in the present study</w:t>
      </w:r>
      <w:r w:rsidRPr="006A3C42">
        <w:rPr>
          <w:rFonts w:ascii="Times New Roman" w:hAnsi="Times New Roman" w:cs="Times New Roman"/>
          <w:sz w:val="20"/>
          <w:szCs w:val="20"/>
        </w:rPr>
        <w:t xml:space="preserve">. </w:t>
      </w:r>
      <w:r w:rsidR="005A7EC6" w:rsidRPr="006A3C42">
        <w:rPr>
          <w:rFonts w:ascii="Times New Roman" w:hAnsi="Times New Roman" w:cs="Times New Roman"/>
          <w:sz w:val="20"/>
          <w:szCs w:val="20"/>
        </w:rPr>
        <w:t>The possible explanation for the observed values of within permissible limit of the heavy m</w:t>
      </w:r>
      <w:r w:rsidRPr="006A3C42">
        <w:rPr>
          <w:rFonts w:ascii="Times New Roman" w:hAnsi="Times New Roman" w:cs="Times New Roman"/>
          <w:sz w:val="20"/>
          <w:szCs w:val="20"/>
        </w:rPr>
        <w:t>etals</w:t>
      </w:r>
      <w:r w:rsidR="005A7EC6" w:rsidRPr="006A3C42">
        <w:rPr>
          <w:rFonts w:ascii="Times New Roman" w:hAnsi="Times New Roman" w:cs="Times New Roman"/>
          <w:sz w:val="20"/>
          <w:szCs w:val="20"/>
        </w:rPr>
        <w:t xml:space="preserve"> may be </w:t>
      </w:r>
      <w:r w:rsidR="005A7EC6" w:rsidRPr="006A3C42">
        <w:rPr>
          <w:rFonts w:ascii="Times New Roman" w:hAnsi="Times New Roman" w:cs="Times New Roman"/>
          <w:sz w:val="20"/>
          <w:szCs w:val="20"/>
        </w:rPr>
        <w:lastRenderedPageBreak/>
        <w:t xml:space="preserve">due to their low values and lower pollution indices in the agricultural sites where the vegetables were cultivated (Yaradua </w:t>
      </w:r>
      <w:r w:rsidR="005A7EC6" w:rsidRPr="006A3C42">
        <w:rPr>
          <w:rFonts w:ascii="Times New Roman" w:hAnsi="Times New Roman" w:cs="Times New Roman"/>
          <w:i/>
          <w:sz w:val="20"/>
          <w:szCs w:val="20"/>
        </w:rPr>
        <w:t>et al.,</w:t>
      </w:r>
      <w:r w:rsidR="005A7EC6" w:rsidRPr="006A3C42">
        <w:rPr>
          <w:rFonts w:ascii="Times New Roman" w:hAnsi="Times New Roman" w:cs="Times New Roman"/>
          <w:sz w:val="20"/>
          <w:szCs w:val="20"/>
        </w:rPr>
        <w:t xml:space="preserve"> 2020</w:t>
      </w:r>
      <w:r w:rsidR="00A20245" w:rsidRPr="006A3C42">
        <w:rPr>
          <w:rFonts w:ascii="Times New Roman" w:hAnsi="Times New Roman" w:cs="Times New Roman"/>
          <w:sz w:val="20"/>
          <w:szCs w:val="20"/>
        </w:rPr>
        <w:t xml:space="preserve">; Yaradua </w:t>
      </w:r>
      <w:r w:rsidR="00A20245" w:rsidRPr="006A3C42">
        <w:rPr>
          <w:rFonts w:ascii="Times New Roman" w:hAnsi="Times New Roman" w:cs="Times New Roman"/>
          <w:i/>
          <w:sz w:val="20"/>
          <w:szCs w:val="20"/>
        </w:rPr>
        <w:t>et al.,</w:t>
      </w:r>
      <w:r w:rsidR="00A20245" w:rsidRPr="006A3C42">
        <w:rPr>
          <w:rFonts w:ascii="Times New Roman" w:hAnsi="Times New Roman" w:cs="Times New Roman"/>
          <w:sz w:val="20"/>
          <w:szCs w:val="20"/>
        </w:rPr>
        <w:t xml:space="preserve"> 2022</w:t>
      </w:r>
      <w:r w:rsidR="005A7EC6" w:rsidRPr="006A3C42">
        <w:rPr>
          <w:rFonts w:ascii="Times New Roman" w:hAnsi="Times New Roman" w:cs="Times New Roman"/>
          <w:sz w:val="20"/>
          <w:szCs w:val="20"/>
        </w:rPr>
        <w:t>).</w:t>
      </w:r>
    </w:p>
    <w:p w:rsidR="005A7EC6" w:rsidRPr="00C641B8" w:rsidRDefault="005A7EC6" w:rsidP="00377679">
      <w:pPr>
        <w:pStyle w:val="Body"/>
        <w:rPr>
          <w:rFonts w:ascii="Times New Roman" w:hAnsi="Times New Roman"/>
          <w:sz w:val="24"/>
          <w:szCs w:val="24"/>
        </w:rPr>
      </w:pPr>
    </w:p>
    <w:p w:rsidR="004966EF" w:rsidRPr="00C641B8" w:rsidRDefault="004966EF" w:rsidP="00377679">
      <w:pPr>
        <w:pStyle w:val="Body"/>
        <w:rPr>
          <w:rFonts w:ascii="Times New Roman" w:hAnsi="Times New Roman"/>
          <w:sz w:val="24"/>
          <w:szCs w:val="24"/>
        </w:rPr>
      </w:pPr>
      <w:r w:rsidRPr="00C641B8">
        <w:rPr>
          <w:rFonts w:ascii="Times New Roman" w:hAnsi="Times New Roman"/>
          <w:noProof/>
          <w:sz w:val="24"/>
          <w:szCs w:val="24"/>
        </w:rPr>
        <w:drawing>
          <wp:inline distT="0" distB="0" distL="0" distR="0">
            <wp:extent cx="5753100" cy="5676900"/>
            <wp:effectExtent l="19050" t="0" r="19050" b="0"/>
            <wp:docPr id="1"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66EF" w:rsidRPr="00BB3771" w:rsidRDefault="004966EF" w:rsidP="00377679">
      <w:pPr>
        <w:pStyle w:val="Body"/>
        <w:rPr>
          <w:rFonts w:ascii="Times New Roman" w:hAnsi="Times New Roman"/>
        </w:rPr>
      </w:pPr>
      <w:r w:rsidRPr="00C641B8">
        <w:rPr>
          <w:rFonts w:ascii="Times New Roman" w:hAnsi="Times New Roman"/>
          <w:sz w:val="24"/>
          <w:szCs w:val="24"/>
        </w:rPr>
        <w:t xml:space="preserve"> </w:t>
      </w:r>
      <w:r w:rsidRPr="00BB3771">
        <w:rPr>
          <w:rFonts w:ascii="Times New Roman" w:hAnsi="Times New Roman"/>
        </w:rPr>
        <w:t>The results for the estimated daily intake (EDI) of the heavy metals on consumption of the</w:t>
      </w:r>
      <w:r w:rsidR="000C7BAA" w:rsidRPr="00BB3771">
        <w:rPr>
          <w:rFonts w:ascii="Times New Roman" w:hAnsi="Times New Roman"/>
        </w:rPr>
        <w:t xml:space="preserve"> samples were given in Tables 1 and 2</w:t>
      </w:r>
      <w:r w:rsidRPr="00BB3771">
        <w:rPr>
          <w:rFonts w:ascii="Times New Roman" w:hAnsi="Times New Roman"/>
        </w:rPr>
        <w:t>. From the Tables the estimated daily intake of the heavy metals (Pb, Zn, Cd, Cr and Fe) were lower than the tolerable daily intake limit set by the USEPA (2013) in all samples. The order of sequence of daily metal intake in both adult and children from consumption of the Drumstick leaf samples in the various sampling sites were as follows: Birchi (Zn&gt;Pb&gt;Fe&gt;Cd); Dabai (Zn&gt;Fe&gt;Pb&gt;Cr&gt;Cd); Daura (Fe&gt;Zn&gt;Pb&gt;Cd); Dutsinma (Zn&gt;Fe&gt;Pb&gt;Cr&gt;Cd); Funtua (Zn&gt;Fe&gt;Pb&gt;Cr&gt;Cd); Ingawa (Fe&gt;Zn&gt;Pb&gt;Cr&gt;Cd); Kafur (Zn&gt;Fe&gt;Pb&gt;Cd); Katsina (Fe&gt;Zn&gt;Pb&gt;Cr&gt;Cd); Malunfashi (Zn&gt;Pb&gt;Fe&gt;Cr&gt;Cd); Matazu (Fe&gt;Zn&gt;Pb&gt;Cr&gt;Cd); Zango (Pb&gt;Fe&gt;Zn&gt;Cr&gt;Cd).</w:t>
      </w:r>
    </w:p>
    <w:p w:rsidR="008B597A" w:rsidRPr="00BB3771" w:rsidRDefault="008B597A" w:rsidP="00377679">
      <w:pPr>
        <w:autoSpaceDE w:val="0"/>
        <w:autoSpaceDN w:val="0"/>
        <w:adjustRightInd w:val="0"/>
        <w:spacing w:after="0" w:line="240" w:lineRule="auto"/>
        <w:jc w:val="both"/>
        <w:rPr>
          <w:rFonts w:ascii="Times New Roman" w:hAnsi="Times New Roman" w:cs="Times New Roman"/>
          <w:b/>
          <w:sz w:val="20"/>
          <w:szCs w:val="20"/>
        </w:rPr>
      </w:pPr>
    </w:p>
    <w:p w:rsidR="00F146F4" w:rsidRPr="00C641B8" w:rsidRDefault="00F146F4" w:rsidP="00377679">
      <w:pPr>
        <w:autoSpaceDE w:val="0"/>
        <w:autoSpaceDN w:val="0"/>
        <w:adjustRightInd w:val="0"/>
        <w:spacing w:after="0" w:line="240" w:lineRule="auto"/>
        <w:jc w:val="both"/>
        <w:rPr>
          <w:rFonts w:ascii="Times New Roman" w:hAnsi="Times New Roman" w:cs="Times New Roman"/>
          <w:b/>
          <w:sz w:val="24"/>
          <w:szCs w:val="24"/>
        </w:rPr>
      </w:pPr>
    </w:p>
    <w:p w:rsidR="00F146F4" w:rsidRPr="00C641B8" w:rsidRDefault="00F146F4" w:rsidP="00377679">
      <w:pPr>
        <w:autoSpaceDE w:val="0"/>
        <w:autoSpaceDN w:val="0"/>
        <w:adjustRightInd w:val="0"/>
        <w:spacing w:after="0" w:line="240" w:lineRule="auto"/>
        <w:jc w:val="both"/>
        <w:rPr>
          <w:rFonts w:ascii="Times New Roman" w:hAnsi="Times New Roman" w:cs="Times New Roman"/>
          <w:b/>
          <w:sz w:val="24"/>
          <w:szCs w:val="24"/>
        </w:rPr>
      </w:pPr>
    </w:p>
    <w:p w:rsidR="00F146F4" w:rsidRPr="00C641B8" w:rsidRDefault="00F146F4" w:rsidP="00377679">
      <w:pPr>
        <w:autoSpaceDE w:val="0"/>
        <w:autoSpaceDN w:val="0"/>
        <w:adjustRightInd w:val="0"/>
        <w:spacing w:after="0" w:line="240" w:lineRule="auto"/>
        <w:jc w:val="both"/>
        <w:rPr>
          <w:rFonts w:ascii="Times New Roman" w:hAnsi="Times New Roman" w:cs="Times New Roman"/>
          <w:b/>
          <w:sz w:val="24"/>
          <w:szCs w:val="24"/>
        </w:rPr>
      </w:pPr>
    </w:p>
    <w:p w:rsidR="00F146F4" w:rsidRPr="00C641B8" w:rsidRDefault="00F146F4" w:rsidP="00377679">
      <w:pPr>
        <w:autoSpaceDE w:val="0"/>
        <w:autoSpaceDN w:val="0"/>
        <w:adjustRightInd w:val="0"/>
        <w:spacing w:after="0" w:line="240" w:lineRule="auto"/>
        <w:jc w:val="both"/>
        <w:rPr>
          <w:rFonts w:ascii="Times New Roman" w:hAnsi="Times New Roman" w:cs="Times New Roman"/>
          <w:b/>
          <w:sz w:val="24"/>
          <w:szCs w:val="24"/>
        </w:rPr>
      </w:pPr>
    </w:p>
    <w:p w:rsidR="00F146F4" w:rsidRPr="00C641B8" w:rsidRDefault="00F146F4" w:rsidP="00377679">
      <w:pPr>
        <w:autoSpaceDE w:val="0"/>
        <w:autoSpaceDN w:val="0"/>
        <w:adjustRightInd w:val="0"/>
        <w:spacing w:after="0" w:line="240" w:lineRule="auto"/>
        <w:jc w:val="both"/>
        <w:rPr>
          <w:rFonts w:ascii="Times New Roman" w:hAnsi="Times New Roman" w:cs="Times New Roman"/>
          <w:b/>
          <w:sz w:val="24"/>
          <w:szCs w:val="24"/>
        </w:rPr>
      </w:pPr>
    </w:p>
    <w:p w:rsidR="004966EF" w:rsidRPr="00BB3771" w:rsidRDefault="00E33860" w:rsidP="00377679">
      <w:pPr>
        <w:autoSpaceDE w:val="0"/>
        <w:autoSpaceDN w:val="0"/>
        <w:adjustRightInd w:val="0"/>
        <w:spacing w:after="0" w:line="240" w:lineRule="auto"/>
        <w:jc w:val="both"/>
        <w:rPr>
          <w:rFonts w:ascii="Times New Roman" w:hAnsi="Times New Roman" w:cs="Times New Roman"/>
          <w:sz w:val="20"/>
          <w:szCs w:val="20"/>
        </w:rPr>
      </w:pPr>
      <w:r w:rsidRPr="00BB3771">
        <w:rPr>
          <w:rFonts w:ascii="Times New Roman" w:hAnsi="Times New Roman" w:cs="Times New Roman"/>
          <w:b/>
          <w:sz w:val="20"/>
          <w:szCs w:val="20"/>
        </w:rPr>
        <w:t>Table 1</w:t>
      </w:r>
      <w:r w:rsidR="004966EF" w:rsidRPr="00BB3771">
        <w:rPr>
          <w:rFonts w:ascii="Times New Roman" w:hAnsi="Times New Roman" w:cs="Times New Roman"/>
          <w:b/>
          <w:sz w:val="20"/>
          <w:szCs w:val="20"/>
        </w:rPr>
        <w:t xml:space="preserve"> Daily Intake of Heavy Metal in Adults from Consumption of Cultivated Drum Stick Leaf Samples from Katsina State</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317"/>
        <w:gridCol w:w="1387"/>
        <w:gridCol w:w="1387"/>
        <w:gridCol w:w="1499"/>
        <w:gridCol w:w="1387"/>
        <w:gridCol w:w="1499"/>
      </w:tblGrid>
      <w:tr w:rsidR="004966EF" w:rsidRPr="00BB3771" w:rsidTr="004966EF">
        <w:tc>
          <w:tcPr>
            <w:tcW w:w="1317"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Location</w:t>
            </w:r>
          </w:p>
        </w:tc>
        <w:tc>
          <w:tcPr>
            <w:tcW w:w="1387"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87"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Heavy metal</w:t>
            </w:r>
          </w:p>
        </w:tc>
        <w:tc>
          <w:tcPr>
            <w:tcW w:w="1499"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87"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499"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r>
      <w:tr w:rsidR="004966EF" w:rsidRPr="00BB3771" w:rsidTr="004966EF">
        <w:tc>
          <w:tcPr>
            <w:tcW w:w="1317" w:type="dxa"/>
            <w:tcBorders>
              <w:top w:val="single" w:sz="4" w:space="0" w:color="auto"/>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87"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Zn</w:t>
            </w:r>
          </w:p>
        </w:tc>
        <w:tc>
          <w:tcPr>
            <w:tcW w:w="1387"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Pb</w:t>
            </w:r>
          </w:p>
        </w:tc>
        <w:tc>
          <w:tcPr>
            <w:tcW w:w="1499"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Cd</w:t>
            </w:r>
          </w:p>
        </w:tc>
        <w:tc>
          <w:tcPr>
            <w:tcW w:w="1387"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Fe</w:t>
            </w:r>
          </w:p>
        </w:tc>
        <w:tc>
          <w:tcPr>
            <w:tcW w:w="1499"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Cr</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Birchi</w:t>
            </w:r>
          </w:p>
        </w:tc>
        <w:tc>
          <w:tcPr>
            <w:tcW w:w="1387"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0.001066</w:t>
            </w:r>
          </w:p>
        </w:tc>
        <w:tc>
          <w:tcPr>
            <w:tcW w:w="1387"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0.000715</w:t>
            </w:r>
          </w:p>
        </w:tc>
        <w:tc>
          <w:tcPr>
            <w:tcW w:w="1499"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0.000055</w:t>
            </w:r>
          </w:p>
        </w:tc>
        <w:tc>
          <w:tcPr>
            <w:tcW w:w="1387"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0.000445</w:t>
            </w:r>
          </w:p>
        </w:tc>
        <w:tc>
          <w:tcPr>
            <w:tcW w:w="1499"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BDL</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Dabai</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0.001007</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0.000389</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0.000046</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0.000815</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0.000115</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Daura</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0.000691</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0.000514</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0.000040</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0.000698</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BDL</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Dutsinma</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0.000827</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0.000636</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0.000035</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0.000639</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0.000221</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Funtua</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0.000924</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0.000396</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0.000031</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0.000681</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0.000100</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Ingawa</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0.000617</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0.000498</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0.000035</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0.000708</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0.000231</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Kafur</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0.000930</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0.000631</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0.000034</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0.000839</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BDL</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Katsina</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0.001001</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0.000715</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0.000038</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0.001022</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Malunfashi</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0.000939</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0.000705</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0.000029</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0.000640</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0.000210</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Matazu</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0.000868</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0.000691</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0.000038</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0.000991</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0.000146</w:t>
            </w:r>
          </w:p>
        </w:tc>
      </w:tr>
      <w:tr w:rsidR="004966EF" w:rsidRPr="00BB3771" w:rsidTr="004966EF">
        <w:tc>
          <w:tcPr>
            <w:tcW w:w="1317"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Zango</w:t>
            </w:r>
          </w:p>
        </w:tc>
        <w:tc>
          <w:tcPr>
            <w:tcW w:w="1387"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0.000690</w:t>
            </w:r>
          </w:p>
        </w:tc>
        <w:tc>
          <w:tcPr>
            <w:tcW w:w="1387"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0.000934</w:t>
            </w:r>
          </w:p>
        </w:tc>
        <w:tc>
          <w:tcPr>
            <w:tcW w:w="1499"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0.000036</w:t>
            </w:r>
          </w:p>
        </w:tc>
        <w:tc>
          <w:tcPr>
            <w:tcW w:w="1387"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0.000860</w:t>
            </w:r>
          </w:p>
        </w:tc>
        <w:tc>
          <w:tcPr>
            <w:tcW w:w="1499"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0.000191</w:t>
            </w:r>
          </w:p>
        </w:tc>
      </w:tr>
    </w:tbl>
    <w:p w:rsidR="004966EF" w:rsidRPr="00BB3771" w:rsidRDefault="004966EF" w:rsidP="00377679">
      <w:pPr>
        <w:spacing w:line="240" w:lineRule="auto"/>
        <w:jc w:val="both"/>
        <w:rPr>
          <w:rFonts w:ascii="Times New Roman" w:hAnsi="Times New Roman" w:cs="Times New Roman"/>
          <w:sz w:val="20"/>
          <w:szCs w:val="20"/>
        </w:rPr>
      </w:pPr>
    </w:p>
    <w:p w:rsidR="004966EF" w:rsidRPr="00BB3771" w:rsidRDefault="00E33860" w:rsidP="00377679">
      <w:pPr>
        <w:spacing w:line="240" w:lineRule="auto"/>
        <w:jc w:val="both"/>
        <w:rPr>
          <w:rFonts w:ascii="Times New Roman" w:hAnsi="Times New Roman" w:cs="Times New Roman"/>
          <w:b/>
          <w:sz w:val="20"/>
          <w:szCs w:val="20"/>
        </w:rPr>
      </w:pPr>
      <w:r w:rsidRPr="00BB3771">
        <w:rPr>
          <w:rFonts w:ascii="Times New Roman" w:hAnsi="Times New Roman" w:cs="Times New Roman"/>
          <w:b/>
          <w:sz w:val="20"/>
          <w:szCs w:val="20"/>
        </w:rPr>
        <w:t>Table 2</w:t>
      </w:r>
      <w:r w:rsidR="004966EF" w:rsidRPr="00BB3771">
        <w:rPr>
          <w:rFonts w:ascii="Times New Roman" w:hAnsi="Times New Roman" w:cs="Times New Roman"/>
          <w:b/>
          <w:sz w:val="20"/>
          <w:szCs w:val="20"/>
        </w:rPr>
        <w:t xml:space="preserve"> Daily Intake of Heavy Metal in Children from Consumption of Cultivated Drum Stick Leaf Samples from Katsina State</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317"/>
        <w:gridCol w:w="1387"/>
        <w:gridCol w:w="1387"/>
        <w:gridCol w:w="1499"/>
        <w:gridCol w:w="1387"/>
        <w:gridCol w:w="1499"/>
      </w:tblGrid>
      <w:tr w:rsidR="004966EF" w:rsidRPr="00BB3771" w:rsidTr="004966EF">
        <w:tc>
          <w:tcPr>
            <w:tcW w:w="1317"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Location</w:t>
            </w:r>
          </w:p>
        </w:tc>
        <w:tc>
          <w:tcPr>
            <w:tcW w:w="1387"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87"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Heavy metal</w:t>
            </w:r>
          </w:p>
        </w:tc>
        <w:tc>
          <w:tcPr>
            <w:tcW w:w="1499"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87"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499"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r>
      <w:tr w:rsidR="004966EF" w:rsidRPr="00BB3771" w:rsidTr="004966EF">
        <w:tc>
          <w:tcPr>
            <w:tcW w:w="1317" w:type="dxa"/>
            <w:tcBorders>
              <w:top w:val="single" w:sz="4" w:space="0" w:color="auto"/>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87"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Zn</w:t>
            </w:r>
          </w:p>
        </w:tc>
        <w:tc>
          <w:tcPr>
            <w:tcW w:w="1387"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Pb</w:t>
            </w:r>
          </w:p>
        </w:tc>
        <w:tc>
          <w:tcPr>
            <w:tcW w:w="1499"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Cd</w:t>
            </w:r>
          </w:p>
        </w:tc>
        <w:tc>
          <w:tcPr>
            <w:tcW w:w="1387"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Fe</w:t>
            </w:r>
          </w:p>
        </w:tc>
        <w:tc>
          <w:tcPr>
            <w:tcW w:w="1499"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Cr</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Birchi</w:t>
            </w:r>
          </w:p>
        </w:tc>
        <w:tc>
          <w:tcPr>
            <w:tcW w:w="1387"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0.002665</w:t>
            </w:r>
          </w:p>
        </w:tc>
        <w:tc>
          <w:tcPr>
            <w:tcW w:w="1387"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0.001786</w:t>
            </w:r>
          </w:p>
        </w:tc>
        <w:tc>
          <w:tcPr>
            <w:tcW w:w="1499"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0.000136</w:t>
            </w:r>
          </w:p>
        </w:tc>
        <w:tc>
          <w:tcPr>
            <w:tcW w:w="1387"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0.001112</w:t>
            </w:r>
          </w:p>
        </w:tc>
        <w:tc>
          <w:tcPr>
            <w:tcW w:w="1499"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0.000623</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Dabai</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0.002518</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0.000972</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0.000114</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0.002038</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0.000287</w:t>
            </w:r>
          </w:p>
        </w:tc>
      </w:tr>
      <w:tr w:rsidR="004966EF" w:rsidRPr="00BB3771" w:rsidTr="004966EF">
        <w:trPr>
          <w:trHeight w:val="279"/>
        </w:trPr>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Daura</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0.001728</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0.001286</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0.000101</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0.001600</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BDL</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Dutsinma</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0.002068</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0.001590</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0.000090</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0.001600</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0.000553</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Funtua</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0.002309</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0.000991</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0.000026</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0.001702</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0.000258</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Ingawa</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0.001542</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0.001245</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0.000088</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0.001863</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0.000579</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Kafur</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0.002324</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0.001577</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0.000086</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0.003218</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BDL</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Katsina</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0.002522</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0.001788</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0.000095</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0.002551</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0.000284</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Malunfashi</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0.002348</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0.001769</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0.000073</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0.001600</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0.000525</w:t>
            </w:r>
          </w:p>
        </w:tc>
      </w:tr>
      <w:tr w:rsidR="004966EF" w:rsidRPr="00BB3771" w:rsidTr="004966EF">
        <w:tc>
          <w:tcPr>
            <w:tcW w:w="131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Matazu</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0.002169</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0.001728</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0.000095</w:t>
            </w:r>
          </w:p>
        </w:tc>
        <w:tc>
          <w:tcPr>
            <w:tcW w:w="1387"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0.002408</w:t>
            </w:r>
          </w:p>
        </w:tc>
        <w:tc>
          <w:tcPr>
            <w:tcW w:w="149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0.000366</w:t>
            </w:r>
          </w:p>
        </w:tc>
      </w:tr>
      <w:tr w:rsidR="004966EF" w:rsidRPr="00BB3771" w:rsidTr="004966EF">
        <w:tc>
          <w:tcPr>
            <w:tcW w:w="1317"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Zango</w:t>
            </w:r>
          </w:p>
        </w:tc>
        <w:tc>
          <w:tcPr>
            <w:tcW w:w="1387"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0.002335</w:t>
            </w:r>
          </w:p>
        </w:tc>
        <w:tc>
          <w:tcPr>
            <w:tcW w:w="1387"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0.002335</w:t>
            </w:r>
          </w:p>
        </w:tc>
        <w:tc>
          <w:tcPr>
            <w:tcW w:w="1499"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0.000090</w:t>
            </w:r>
          </w:p>
        </w:tc>
        <w:tc>
          <w:tcPr>
            <w:tcW w:w="1387"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0.002150</w:t>
            </w:r>
          </w:p>
        </w:tc>
        <w:tc>
          <w:tcPr>
            <w:tcW w:w="1499"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0.000478</w:t>
            </w:r>
          </w:p>
        </w:tc>
      </w:tr>
    </w:tbl>
    <w:p w:rsidR="004966EF" w:rsidRPr="00BB3771" w:rsidRDefault="004966EF" w:rsidP="00377679">
      <w:pPr>
        <w:spacing w:after="0" w:line="240" w:lineRule="auto"/>
        <w:jc w:val="both"/>
        <w:rPr>
          <w:rFonts w:ascii="Times New Roman" w:eastAsia="Times New Roman" w:hAnsi="Times New Roman" w:cs="Times New Roman"/>
          <w:sz w:val="20"/>
          <w:szCs w:val="20"/>
        </w:rPr>
      </w:pPr>
    </w:p>
    <w:p w:rsidR="008B597A" w:rsidRPr="00BB3771" w:rsidRDefault="005A7EC6" w:rsidP="00377679">
      <w:pPr>
        <w:autoSpaceDE w:val="0"/>
        <w:autoSpaceDN w:val="0"/>
        <w:adjustRightInd w:val="0"/>
        <w:spacing w:after="0" w:line="240" w:lineRule="auto"/>
        <w:jc w:val="both"/>
        <w:rPr>
          <w:rFonts w:ascii="Times New Roman" w:hAnsi="Times New Roman" w:cs="Times New Roman"/>
          <w:b/>
          <w:sz w:val="20"/>
          <w:szCs w:val="20"/>
        </w:rPr>
      </w:pPr>
      <w:r w:rsidRPr="00BB3771">
        <w:rPr>
          <w:rStyle w:val="math"/>
          <w:rFonts w:ascii="Times New Roman" w:eastAsiaTheme="majorEastAsia" w:hAnsi="Times New Roman" w:cs="Times New Roman"/>
          <w:sz w:val="20"/>
          <w:szCs w:val="20"/>
        </w:rPr>
        <w:t xml:space="preserve">The </w:t>
      </w:r>
      <w:r w:rsidR="000C7BAA" w:rsidRPr="00BB3771">
        <w:rPr>
          <w:rStyle w:val="math"/>
          <w:rFonts w:ascii="Times New Roman" w:eastAsiaTheme="majorEastAsia" w:hAnsi="Times New Roman" w:cs="Times New Roman"/>
          <w:sz w:val="20"/>
          <w:szCs w:val="20"/>
        </w:rPr>
        <w:t>non-cancer risks (THQ) of the in</w:t>
      </w:r>
      <w:r w:rsidRPr="00BB3771">
        <w:rPr>
          <w:rStyle w:val="math"/>
          <w:rFonts w:ascii="Times New Roman" w:eastAsiaTheme="majorEastAsia" w:hAnsi="Times New Roman" w:cs="Times New Roman"/>
          <w:sz w:val="20"/>
          <w:szCs w:val="20"/>
        </w:rPr>
        <w:t>vestigated heavy metals through the consumption of the Drumstick leaf samples for both adults and children inhabitants of the study area were deter</w:t>
      </w:r>
      <w:r w:rsidR="000C7BAA" w:rsidRPr="00BB3771">
        <w:rPr>
          <w:rStyle w:val="math"/>
          <w:rFonts w:ascii="Times New Roman" w:eastAsiaTheme="majorEastAsia" w:hAnsi="Times New Roman" w:cs="Times New Roman"/>
          <w:sz w:val="20"/>
          <w:szCs w:val="20"/>
        </w:rPr>
        <w:t>mined and presented in Tables 3</w:t>
      </w:r>
      <w:r w:rsidRPr="00BB3771">
        <w:rPr>
          <w:rStyle w:val="math"/>
          <w:rFonts w:ascii="Times New Roman" w:eastAsiaTheme="majorEastAsia" w:hAnsi="Times New Roman" w:cs="Times New Roman"/>
          <w:sz w:val="20"/>
          <w:szCs w:val="20"/>
        </w:rPr>
        <w:t xml:space="preserve"> and </w:t>
      </w:r>
      <w:r w:rsidR="000C7BAA" w:rsidRPr="00BB3771">
        <w:rPr>
          <w:rStyle w:val="math"/>
          <w:rFonts w:ascii="Times New Roman" w:eastAsiaTheme="majorEastAsia" w:hAnsi="Times New Roman" w:cs="Times New Roman"/>
          <w:sz w:val="20"/>
          <w:szCs w:val="20"/>
        </w:rPr>
        <w:t>4</w:t>
      </w:r>
      <w:r w:rsidRPr="00BB3771">
        <w:rPr>
          <w:rFonts w:ascii="Times New Roman" w:hAnsi="Times New Roman" w:cs="Times New Roman"/>
          <w:sz w:val="20"/>
          <w:szCs w:val="20"/>
        </w:rPr>
        <w:t xml:space="preserve">. Risk level of Target Hazard Quotient (THQ &lt; 1) was observed for all the evaluated heavy metals for both adults and children. It indicates that intake of these heavy metals through consumption of the samples does not pose a considerable non-cancer risk. The THQ for the samples was in the decreasing order Mn&gt;Zn&gt;Fe&gt;Pb&gt;Cd, for all the samples respectively. The sequence of risk was the same for both adults and children although the children had higher THQ values in all cases. Yaradua </w:t>
      </w:r>
      <w:r w:rsidRPr="00BB3771">
        <w:rPr>
          <w:rFonts w:ascii="Times New Roman" w:hAnsi="Times New Roman" w:cs="Times New Roman"/>
          <w:i/>
          <w:sz w:val="20"/>
          <w:szCs w:val="20"/>
        </w:rPr>
        <w:t>et al.</w:t>
      </w:r>
      <w:r w:rsidRPr="00BB3771">
        <w:rPr>
          <w:rFonts w:ascii="Times New Roman" w:hAnsi="Times New Roman" w:cs="Times New Roman"/>
          <w:sz w:val="20"/>
          <w:szCs w:val="20"/>
        </w:rPr>
        <w:t xml:space="preserve"> (2019), Mahfuza </w:t>
      </w:r>
      <w:r w:rsidRPr="00BB3771">
        <w:rPr>
          <w:rFonts w:ascii="Times New Roman" w:hAnsi="Times New Roman" w:cs="Times New Roman"/>
          <w:i/>
          <w:sz w:val="20"/>
          <w:szCs w:val="20"/>
        </w:rPr>
        <w:t>et al.</w:t>
      </w:r>
      <w:r w:rsidRPr="00BB3771">
        <w:rPr>
          <w:rFonts w:ascii="Times New Roman" w:hAnsi="Times New Roman" w:cs="Times New Roman"/>
          <w:sz w:val="20"/>
          <w:szCs w:val="20"/>
        </w:rPr>
        <w:t xml:space="preserve"> (2017), Micheal </w:t>
      </w:r>
      <w:r w:rsidRPr="00BB3771">
        <w:rPr>
          <w:rFonts w:ascii="Times New Roman" w:hAnsi="Times New Roman" w:cs="Times New Roman"/>
          <w:i/>
          <w:sz w:val="20"/>
          <w:szCs w:val="20"/>
        </w:rPr>
        <w:t>et al</w:t>
      </w:r>
      <w:r w:rsidRPr="00BB3771">
        <w:rPr>
          <w:rFonts w:ascii="Times New Roman" w:hAnsi="Times New Roman" w:cs="Times New Roman"/>
          <w:sz w:val="20"/>
          <w:szCs w:val="20"/>
        </w:rPr>
        <w:t>. (</w:t>
      </w:r>
      <w:hyperlink r:id="rId9" w:anchor="reference-CIT0018" w:history="1">
        <w:r w:rsidRPr="00BB3771">
          <w:rPr>
            <w:rStyle w:val="Hyperlink"/>
            <w:rFonts w:ascii="Times New Roman" w:eastAsiaTheme="majorEastAsia" w:hAnsi="Times New Roman" w:cs="Times New Roman"/>
            <w:color w:val="000000" w:themeColor="text1"/>
            <w:sz w:val="20"/>
            <w:szCs w:val="20"/>
            <w:u w:val="none"/>
          </w:rPr>
          <w:t>2015</w:t>
        </w:r>
      </w:hyperlink>
      <w:r w:rsidRPr="00BB3771">
        <w:rPr>
          <w:rFonts w:ascii="Times New Roman" w:hAnsi="Times New Roman" w:cs="Times New Roman"/>
          <w:sz w:val="20"/>
          <w:szCs w:val="20"/>
        </w:rPr>
        <w:t xml:space="preserve">) and Liu </w:t>
      </w:r>
      <w:r w:rsidRPr="00BB3771">
        <w:rPr>
          <w:rFonts w:ascii="Times New Roman" w:hAnsi="Times New Roman" w:cs="Times New Roman"/>
          <w:i/>
          <w:sz w:val="20"/>
          <w:szCs w:val="20"/>
        </w:rPr>
        <w:t>et al.</w:t>
      </w:r>
      <w:r w:rsidRPr="00BB3771">
        <w:rPr>
          <w:rFonts w:ascii="Times New Roman" w:hAnsi="Times New Roman" w:cs="Times New Roman"/>
          <w:sz w:val="20"/>
          <w:szCs w:val="20"/>
        </w:rPr>
        <w:t xml:space="preserve"> (</w:t>
      </w:r>
      <w:hyperlink r:id="rId10" w:anchor="reference-CIT0015" w:history="1">
        <w:r w:rsidRPr="00BB3771">
          <w:rPr>
            <w:rStyle w:val="Hyperlink"/>
            <w:rFonts w:ascii="Times New Roman" w:eastAsiaTheme="majorEastAsia" w:hAnsi="Times New Roman" w:cs="Times New Roman"/>
            <w:color w:val="000000" w:themeColor="text1"/>
            <w:sz w:val="20"/>
            <w:szCs w:val="20"/>
            <w:u w:val="none"/>
          </w:rPr>
          <w:t>2013</w:t>
        </w:r>
      </w:hyperlink>
      <w:r w:rsidRPr="00BB3771">
        <w:rPr>
          <w:rFonts w:ascii="Times New Roman" w:hAnsi="Times New Roman" w:cs="Times New Roman"/>
          <w:sz w:val="20"/>
          <w:szCs w:val="20"/>
        </w:rPr>
        <w:t>)</w:t>
      </w:r>
      <w:r w:rsidR="000C7BAA" w:rsidRPr="00BB3771">
        <w:rPr>
          <w:rFonts w:ascii="Times New Roman" w:hAnsi="Times New Roman" w:cs="Times New Roman"/>
          <w:sz w:val="20"/>
          <w:szCs w:val="20"/>
        </w:rPr>
        <w:t xml:space="preserve"> have reported similar observations previously.</w:t>
      </w:r>
    </w:p>
    <w:p w:rsidR="008B597A" w:rsidRPr="00BB3771" w:rsidRDefault="008B597A" w:rsidP="00377679">
      <w:pPr>
        <w:autoSpaceDE w:val="0"/>
        <w:autoSpaceDN w:val="0"/>
        <w:adjustRightInd w:val="0"/>
        <w:spacing w:after="0" w:line="240" w:lineRule="auto"/>
        <w:jc w:val="both"/>
        <w:rPr>
          <w:rFonts w:ascii="Times New Roman" w:hAnsi="Times New Roman" w:cs="Times New Roman"/>
          <w:b/>
          <w:sz w:val="20"/>
          <w:szCs w:val="20"/>
        </w:rPr>
      </w:pPr>
    </w:p>
    <w:p w:rsidR="00F146F4" w:rsidRPr="00BB3771" w:rsidRDefault="00F146F4" w:rsidP="00377679">
      <w:pPr>
        <w:autoSpaceDE w:val="0"/>
        <w:autoSpaceDN w:val="0"/>
        <w:adjustRightInd w:val="0"/>
        <w:spacing w:after="0" w:line="240" w:lineRule="auto"/>
        <w:jc w:val="both"/>
        <w:rPr>
          <w:rFonts w:ascii="Times New Roman" w:hAnsi="Times New Roman" w:cs="Times New Roman"/>
          <w:b/>
          <w:sz w:val="20"/>
          <w:szCs w:val="20"/>
        </w:rPr>
      </w:pPr>
    </w:p>
    <w:p w:rsidR="00F146F4" w:rsidRPr="00BB3771" w:rsidRDefault="00F146F4" w:rsidP="00377679">
      <w:pPr>
        <w:autoSpaceDE w:val="0"/>
        <w:autoSpaceDN w:val="0"/>
        <w:adjustRightInd w:val="0"/>
        <w:spacing w:after="0" w:line="240" w:lineRule="auto"/>
        <w:jc w:val="both"/>
        <w:rPr>
          <w:rFonts w:ascii="Times New Roman" w:hAnsi="Times New Roman" w:cs="Times New Roman"/>
          <w:b/>
          <w:sz w:val="20"/>
          <w:szCs w:val="20"/>
        </w:rPr>
      </w:pPr>
    </w:p>
    <w:p w:rsidR="004966EF" w:rsidRPr="00BB3771" w:rsidRDefault="00E33860" w:rsidP="00377679">
      <w:pPr>
        <w:autoSpaceDE w:val="0"/>
        <w:autoSpaceDN w:val="0"/>
        <w:adjustRightInd w:val="0"/>
        <w:spacing w:after="0" w:line="240" w:lineRule="auto"/>
        <w:jc w:val="both"/>
        <w:rPr>
          <w:rFonts w:ascii="Times New Roman" w:eastAsia="Times New Roman" w:hAnsi="Times New Roman" w:cs="Times New Roman"/>
          <w:sz w:val="20"/>
          <w:szCs w:val="20"/>
        </w:rPr>
      </w:pPr>
      <w:r w:rsidRPr="00BB3771">
        <w:rPr>
          <w:rFonts w:ascii="Times New Roman" w:hAnsi="Times New Roman" w:cs="Times New Roman"/>
          <w:b/>
          <w:sz w:val="20"/>
          <w:szCs w:val="20"/>
        </w:rPr>
        <w:t>Table 3</w:t>
      </w:r>
      <w:r w:rsidR="004966EF" w:rsidRPr="00BB3771">
        <w:rPr>
          <w:rFonts w:ascii="Times New Roman" w:hAnsi="Times New Roman" w:cs="Times New Roman"/>
          <w:b/>
          <w:sz w:val="20"/>
          <w:szCs w:val="20"/>
        </w:rPr>
        <w:t xml:space="preserve"> Heavy Metal Target Hazard Quotient and Health Risk Index in Adults from Consumption of Cultivated Drum Stick from Katsina State</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463"/>
        <w:gridCol w:w="1289"/>
        <w:gridCol w:w="1352"/>
        <w:gridCol w:w="1292"/>
        <w:gridCol w:w="1288"/>
        <w:gridCol w:w="1285"/>
        <w:gridCol w:w="1273"/>
      </w:tblGrid>
      <w:tr w:rsidR="004966EF" w:rsidRPr="00BB3771" w:rsidTr="004966EF">
        <w:tc>
          <w:tcPr>
            <w:tcW w:w="1511"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6"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408"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9"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Target Hazard Quotient</w:t>
            </w:r>
          </w:p>
        </w:tc>
        <w:tc>
          <w:tcPr>
            <w:tcW w:w="1334"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1"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17"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Health Risk Index (HRIs)</w:t>
            </w:r>
          </w:p>
        </w:tc>
      </w:tr>
      <w:tr w:rsidR="004966EF" w:rsidRPr="00BB3771" w:rsidTr="004966EF">
        <w:tc>
          <w:tcPr>
            <w:tcW w:w="1511"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Location</w:t>
            </w:r>
          </w:p>
        </w:tc>
        <w:tc>
          <w:tcPr>
            <w:tcW w:w="1336" w:type="dxa"/>
            <w:tcBorders>
              <w:top w:val="single" w:sz="4" w:space="0" w:color="auto"/>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408"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Heavy Metal</w:t>
            </w:r>
          </w:p>
        </w:tc>
        <w:tc>
          <w:tcPr>
            <w:tcW w:w="1339" w:type="dxa"/>
            <w:tcBorders>
              <w:top w:val="single" w:sz="4" w:space="0" w:color="auto"/>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4" w:type="dxa"/>
            <w:tcBorders>
              <w:top w:val="single" w:sz="4" w:space="0" w:color="auto"/>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1" w:type="dxa"/>
            <w:tcBorders>
              <w:top w:val="single" w:sz="4" w:space="0" w:color="auto"/>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17" w:type="dxa"/>
            <w:tcBorders>
              <w:top w:val="single" w:sz="4" w:space="0" w:color="auto"/>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r>
      <w:tr w:rsidR="004966EF" w:rsidRPr="00BB3771" w:rsidTr="004966EF">
        <w:trPr>
          <w:trHeight w:val="287"/>
        </w:trPr>
        <w:tc>
          <w:tcPr>
            <w:tcW w:w="1511" w:type="dxa"/>
            <w:tcBorders>
              <w:top w:val="single" w:sz="4" w:space="0" w:color="auto"/>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6"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Zn</w:t>
            </w:r>
          </w:p>
        </w:tc>
        <w:tc>
          <w:tcPr>
            <w:tcW w:w="1408"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Pb</w:t>
            </w:r>
          </w:p>
        </w:tc>
        <w:tc>
          <w:tcPr>
            <w:tcW w:w="1339"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Cd</w:t>
            </w:r>
          </w:p>
        </w:tc>
        <w:tc>
          <w:tcPr>
            <w:tcW w:w="1334"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Fe</w:t>
            </w:r>
          </w:p>
        </w:tc>
        <w:tc>
          <w:tcPr>
            <w:tcW w:w="1331"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Cr</w:t>
            </w:r>
          </w:p>
        </w:tc>
        <w:tc>
          <w:tcPr>
            <w:tcW w:w="1317" w:type="dxa"/>
            <w:tcBorders>
              <w:top w:val="nil"/>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Birchi</w:t>
            </w:r>
          </w:p>
        </w:tc>
        <w:tc>
          <w:tcPr>
            <w:tcW w:w="1336"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0.003554</w:t>
            </w:r>
          </w:p>
        </w:tc>
        <w:tc>
          <w:tcPr>
            <w:tcW w:w="1408"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0.001191</w:t>
            </w:r>
          </w:p>
        </w:tc>
        <w:tc>
          <w:tcPr>
            <w:tcW w:w="1339"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0.000109</w:t>
            </w:r>
          </w:p>
        </w:tc>
        <w:tc>
          <w:tcPr>
            <w:tcW w:w="1334"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0.000636</w:t>
            </w:r>
          </w:p>
        </w:tc>
        <w:tc>
          <w:tcPr>
            <w:tcW w:w="1331"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BDL</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0.002280</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Dabai</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0.003357</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0.000648</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0.000091</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0.001165</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0.000383</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0.002372</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Daura</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0.002302</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0.000857</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0.000081</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0.000997</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BDL</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0.001944</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Dutsinma</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0.002757</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0.001060</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0.000072</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0.000914</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0.000737</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0.002581</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Funtua</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0.003078</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0.000660</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0.000061</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0.000673</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0.000343</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0.001835</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Ingawa</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0.002256</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0.000830</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0.000070</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0.001611</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0.000772</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0.002889</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lastRenderedPageBreak/>
              <w:t>Kafur</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0.003098</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0.001051</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0.000069</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0.001199</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BDL</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0.002434</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Katsina</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0.003362</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0.001592</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0.000076</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0.001460</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0.000378</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0.001990</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Malunfashi</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0.003131</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0.001172</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0.000058</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0.000914</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0.000699</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0.002521</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Matazu</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0.002892</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0.001152</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0.000076</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0.001416</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0.000488</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0.002735</w:t>
            </w:r>
          </w:p>
        </w:tc>
      </w:tr>
      <w:tr w:rsidR="004966EF" w:rsidRPr="00BB3771" w:rsidTr="004966EF">
        <w:tc>
          <w:tcPr>
            <w:tcW w:w="1511"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Zango</w:t>
            </w:r>
          </w:p>
        </w:tc>
        <w:tc>
          <w:tcPr>
            <w:tcW w:w="1336"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0.002302</w:t>
            </w:r>
          </w:p>
        </w:tc>
        <w:tc>
          <w:tcPr>
            <w:tcW w:w="1408"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0.001557</w:t>
            </w:r>
          </w:p>
        </w:tc>
        <w:tc>
          <w:tcPr>
            <w:tcW w:w="1339"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0.000072</w:t>
            </w:r>
          </w:p>
        </w:tc>
        <w:tc>
          <w:tcPr>
            <w:tcW w:w="1334"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0.001229</w:t>
            </w:r>
          </w:p>
        </w:tc>
        <w:tc>
          <w:tcPr>
            <w:tcW w:w="1331"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0.000637</w:t>
            </w:r>
          </w:p>
        </w:tc>
        <w:tc>
          <w:tcPr>
            <w:tcW w:w="1317" w:type="dxa"/>
            <w:tcBorders>
              <w:top w:val="nil"/>
              <w:left w:val="nil"/>
              <w:bottom w:val="single" w:sz="4" w:space="0" w:color="000000" w:themeColor="text1"/>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0.002712</w:t>
            </w:r>
          </w:p>
        </w:tc>
      </w:tr>
    </w:tbl>
    <w:p w:rsidR="004966EF" w:rsidRPr="00BB3771" w:rsidRDefault="004966EF" w:rsidP="00377679">
      <w:pPr>
        <w:spacing w:line="240" w:lineRule="auto"/>
        <w:jc w:val="both"/>
        <w:rPr>
          <w:rFonts w:ascii="Times New Roman" w:hAnsi="Times New Roman" w:cs="Times New Roman"/>
          <w:b/>
          <w:sz w:val="20"/>
          <w:szCs w:val="20"/>
        </w:rPr>
      </w:pPr>
    </w:p>
    <w:p w:rsidR="004966EF" w:rsidRPr="00BB3771" w:rsidRDefault="004966EF" w:rsidP="00377679">
      <w:pPr>
        <w:spacing w:line="240" w:lineRule="auto"/>
        <w:jc w:val="both"/>
        <w:rPr>
          <w:rFonts w:ascii="Times New Roman" w:hAnsi="Times New Roman" w:cs="Times New Roman"/>
          <w:b/>
          <w:sz w:val="20"/>
          <w:szCs w:val="20"/>
        </w:rPr>
      </w:pPr>
    </w:p>
    <w:p w:rsidR="004966EF" w:rsidRPr="00BB3771" w:rsidRDefault="00E33860" w:rsidP="00377679">
      <w:pPr>
        <w:spacing w:line="240" w:lineRule="auto"/>
        <w:jc w:val="both"/>
        <w:rPr>
          <w:rFonts w:ascii="Times New Roman" w:hAnsi="Times New Roman" w:cs="Times New Roman"/>
          <w:b/>
          <w:sz w:val="20"/>
          <w:szCs w:val="20"/>
        </w:rPr>
      </w:pPr>
      <w:r w:rsidRPr="00BB3771">
        <w:rPr>
          <w:rFonts w:ascii="Times New Roman" w:hAnsi="Times New Roman" w:cs="Times New Roman"/>
          <w:b/>
          <w:sz w:val="20"/>
          <w:szCs w:val="20"/>
        </w:rPr>
        <w:t>Table 4</w:t>
      </w:r>
      <w:r w:rsidR="004966EF" w:rsidRPr="00BB3771">
        <w:rPr>
          <w:rFonts w:ascii="Times New Roman" w:hAnsi="Times New Roman" w:cs="Times New Roman"/>
          <w:b/>
          <w:sz w:val="20"/>
          <w:szCs w:val="20"/>
        </w:rPr>
        <w:t xml:space="preserve"> Heavy Metal Target Hazard Quotient and Health Risk Index in Children from Consumption of Cultivated Drum Stick from Katsina State</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463"/>
        <w:gridCol w:w="1289"/>
        <w:gridCol w:w="1352"/>
        <w:gridCol w:w="1292"/>
        <w:gridCol w:w="1288"/>
        <w:gridCol w:w="1285"/>
        <w:gridCol w:w="1273"/>
      </w:tblGrid>
      <w:tr w:rsidR="004966EF" w:rsidRPr="00BB3771" w:rsidTr="004966EF">
        <w:tc>
          <w:tcPr>
            <w:tcW w:w="1511"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6"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408"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9"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Target Hazard Quotient</w:t>
            </w:r>
          </w:p>
        </w:tc>
        <w:tc>
          <w:tcPr>
            <w:tcW w:w="1334"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1"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17"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Health Risk Index (HRIs)</w:t>
            </w:r>
          </w:p>
        </w:tc>
      </w:tr>
      <w:tr w:rsidR="004966EF" w:rsidRPr="00BB3771" w:rsidTr="004966EF">
        <w:tc>
          <w:tcPr>
            <w:tcW w:w="1511"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Location</w:t>
            </w:r>
          </w:p>
        </w:tc>
        <w:tc>
          <w:tcPr>
            <w:tcW w:w="1336" w:type="dxa"/>
            <w:tcBorders>
              <w:top w:val="single" w:sz="4" w:space="0" w:color="auto"/>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408"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Heavy Metal</w:t>
            </w:r>
          </w:p>
        </w:tc>
        <w:tc>
          <w:tcPr>
            <w:tcW w:w="1339" w:type="dxa"/>
            <w:tcBorders>
              <w:top w:val="single" w:sz="4" w:space="0" w:color="auto"/>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4" w:type="dxa"/>
            <w:tcBorders>
              <w:top w:val="single" w:sz="4" w:space="0" w:color="auto"/>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1" w:type="dxa"/>
            <w:tcBorders>
              <w:top w:val="single" w:sz="4" w:space="0" w:color="auto"/>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17" w:type="dxa"/>
            <w:tcBorders>
              <w:top w:val="single" w:sz="4" w:space="0" w:color="auto"/>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r>
      <w:tr w:rsidR="004966EF" w:rsidRPr="00BB3771" w:rsidTr="004966EF">
        <w:trPr>
          <w:trHeight w:val="287"/>
        </w:trPr>
        <w:tc>
          <w:tcPr>
            <w:tcW w:w="1511" w:type="dxa"/>
            <w:tcBorders>
              <w:top w:val="single" w:sz="4" w:space="0" w:color="auto"/>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c>
          <w:tcPr>
            <w:tcW w:w="1336"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Zn</w:t>
            </w:r>
          </w:p>
        </w:tc>
        <w:tc>
          <w:tcPr>
            <w:tcW w:w="1408"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Pb</w:t>
            </w:r>
          </w:p>
        </w:tc>
        <w:tc>
          <w:tcPr>
            <w:tcW w:w="1339"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Cd</w:t>
            </w:r>
          </w:p>
        </w:tc>
        <w:tc>
          <w:tcPr>
            <w:tcW w:w="1334"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Fe</w:t>
            </w:r>
          </w:p>
        </w:tc>
        <w:tc>
          <w:tcPr>
            <w:tcW w:w="1331"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Cr</w:t>
            </w:r>
          </w:p>
        </w:tc>
        <w:tc>
          <w:tcPr>
            <w:tcW w:w="1317" w:type="dxa"/>
            <w:tcBorders>
              <w:top w:val="nil"/>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Birchi</w:t>
            </w:r>
          </w:p>
        </w:tc>
        <w:tc>
          <w:tcPr>
            <w:tcW w:w="1336"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0.008884</w:t>
            </w:r>
          </w:p>
        </w:tc>
        <w:tc>
          <w:tcPr>
            <w:tcW w:w="1408"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0.002977</w:t>
            </w:r>
          </w:p>
        </w:tc>
        <w:tc>
          <w:tcPr>
            <w:tcW w:w="1339"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0.000273</w:t>
            </w:r>
          </w:p>
        </w:tc>
        <w:tc>
          <w:tcPr>
            <w:tcW w:w="1334"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0.001589</w:t>
            </w:r>
          </w:p>
        </w:tc>
        <w:tc>
          <w:tcPr>
            <w:tcW w:w="1331"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0.002078</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0.015760</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Dabai</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0.008343</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0.001621</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0.000227</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0.002912</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0.000958</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0.014116</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Daura</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0.009095</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0.002143</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0.000202</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0.002285</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BDL</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0.013724</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Dutsinma</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0.006894</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0.002650</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0.000179</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0.002285</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0.001842</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0.013850</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Funtua</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0.007696</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0.001652</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0.000523</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0.002432</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0.000859</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0.012690</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Ingawa</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0.005139</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0.002075</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0.000176</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0.002661</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0.001929</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0.019790</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Kafur</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0.007746</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0.002629</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0.000172</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0.004597</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BDL</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0.015143</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Katsina</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0.008405</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0.002980</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0.000190</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0.003650</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0.000946</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0.016172</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Malunfashi</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0.007827</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0.002949</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0.000146</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0.002285</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0.001748</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0.014955</w:t>
            </w:r>
          </w:p>
        </w:tc>
      </w:tr>
      <w:tr w:rsidR="004966EF" w:rsidRPr="00BB3771" w:rsidTr="004966EF">
        <w:tc>
          <w:tcPr>
            <w:tcW w:w="151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Matazu</w:t>
            </w:r>
          </w:p>
        </w:tc>
        <w:tc>
          <w:tcPr>
            <w:tcW w:w="1336"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0.007229</w:t>
            </w:r>
          </w:p>
        </w:tc>
        <w:tc>
          <w:tcPr>
            <w:tcW w:w="140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0.002881</w:t>
            </w:r>
          </w:p>
        </w:tc>
        <w:tc>
          <w:tcPr>
            <w:tcW w:w="1339"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0.000190</w:t>
            </w:r>
          </w:p>
        </w:tc>
        <w:tc>
          <w:tcPr>
            <w:tcW w:w="1334"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0.003541</w:t>
            </w:r>
          </w:p>
        </w:tc>
        <w:tc>
          <w:tcPr>
            <w:tcW w:w="1331"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0.001219</w:t>
            </w:r>
          </w:p>
        </w:tc>
        <w:tc>
          <w:tcPr>
            <w:tcW w:w="1317" w:type="dxa"/>
            <w:tcBorders>
              <w:top w:val="nil"/>
              <w:left w:val="nil"/>
              <w:bottom w:val="nil"/>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0.015060</w:t>
            </w:r>
          </w:p>
        </w:tc>
      </w:tr>
      <w:tr w:rsidR="004966EF" w:rsidRPr="00BB3771" w:rsidTr="004966EF">
        <w:tc>
          <w:tcPr>
            <w:tcW w:w="1511"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Zango</w:t>
            </w:r>
          </w:p>
        </w:tc>
        <w:tc>
          <w:tcPr>
            <w:tcW w:w="1336"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0.005755</w:t>
            </w:r>
          </w:p>
        </w:tc>
        <w:tc>
          <w:tcPr>
            <w:tcW w:w="1408"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0.003892</w:t>
            </w:r>
          </w:p>
        </w:tc>
        <w:tc>
          <w:tcPr>
            <w:tcW w:w="1339"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0.000179</w:t>
            </w:r>
          </w:p>
        </w:tc>
        <w:tc>
          <w:tcPr>
            <w:tcW w:w="1334"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0.003072</w:t>
            </w:r>
          </w:p>
        </w:tc>
        <w:tc>
          <w:tcPr>
            <w:tcW w:w="1331"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0.001593</w:t>
            </w:r>
          </w:p>
        </w:tc>
        <w:tc>
          <w:tcPr>
            <w:tcW w:w="1317" w:type="dxa"/>
            <w:tcBorders>
              <w:top w:val="nil"/>
              <w:left w:val="nil"/>
              <w:bottom w:val="single" w:sz="4" w:space="0" w:color="000000" w:themeColor="text1"/>
              <w:right w:val="nil"/>
            </w:tcBorders>
            <w:hideMark/>
          </w:tcPr>
          <w:p w:rsidR="004966EF" w:rsidRPr="00BB3771" w:rsidRDefault="004966EF" w:rsidP="00377679">
            <w:pPr>
              <w:pBdr>
                <w:between w:val="single" w:sz="4" w:space="1" w:color="auto"/>
              </w:pBdr>
              <w:spacing w:after="0" w:line="240" w:lineRule="auto"/>
              <w:jc w:val="both"/>
              <w:rPr>
                <w:rFonts w:ascii="Times New Roman" w:hAnsi="Times New Roman"/>
                <w:sz w:val="20"/>
                <w:szCs w:val="20"/>
              </w:rPr>
            </w:pPr>
            <w:r w:rsidRPr="00BB3771">
              <w:rPr>
                <w:rFonts w:ascii="Times New Roman" w:hAnsi="Times New Roman"/>
                <w:sz w:val="20"/>
                <w:szCs w:val="20"/>
              </w:rPr>
              <w:t>0.016103</w:t>
            </w:r>
          </w:p>
        </w:tc>
      </w:tr>
    </w:tbl>
    <w:p w:rsidR="004966EF" w:rsidRPr="00BB3771" w:rsidRDefault="004966EF" w:rsidP="00377679">
      <w:pPr>
        <w:autoSpaceDE w:val="0"/>
        <w:autoSpaceDN w:val="0"/>
        <w:adjustRightInd w:val="0"/>
        <w:spacing w:after="0" w:line="240" w:lineRule="auto"/>
        <w:jc w:val="both"/>
        <w:rPr>
          <w:rFonts w:ascii="Times New Roman" w:hAnsi="Times New Roman" w:cs="Times New Roman"/>
          <w:b/>
          <w:sz w:val="20"/>
          <w:szCs w:val="20"/>
        </w:rPr>
      </w:pPr>
    </w:p>
    <w:p w:rsidR="00377679" w:rsidRPr="00BB3771" w:rsidRDefault="004966EF" w:rsidP="00377679">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The computed ILCR and cumulative incremental lifetime cancer risk (∑ILCR) for Cd, and Pb through the vegetable samples in both adult and chi</w:t>
      </w:r>
      <w:r w:rsidR="005A7EC6" w:rsidRPr="00BB3771">
        <w:rPr>
          <w:rFonts w:ascii="Times New Roman" w:hAnsi="Times New Roman" w:cs="Times New Roman"/>
          <w:sz w:val="20"/>
          <w:szCs w:val="20"/>
        </w:rPr>
        <w:t>ldren are presented in Tables 5 and 6</w:t>
      </w:r>
      <w:r w:rsidRPr="00BB3771">
        <w:rPr>
          <w:rFonts w:ascii="Times New Roman" w:hAnsi="Times New Roman" w:cs="Times New Roman"/>
          <w:sz w:val="20"/>
          <w:szCs w:val="20"/>
        </w:rPr>
        <w:t xml:space="preserve">. From the results, the ILCR for Pb in the studied Drumstick leaf has reached the moderate risk </w:t>
      </w:r>
      <w:r w:rsidR="008B597A" w:rsidRPr="00BB3771">
        <w:rPr>
          <w:rFonts w:ascii="Times New Roman" w:hAnsi="Times New Roman" w:cs="Times New Roman"/>
          <w:sz w:val="20"/>
          <w:szCs w:val="20"/>
        </w:rPr>
        <w:t>limit (</w:t>
      </w:r>
      <w:r w:rsidRPr="00BB3771">
        <w:rPr>
          <w:rFonts w:ascii="Times New Roman" w:hAnsi="Times New Roman" w:cs="Times New Roman"/>
          <w:sz w:val="20"/>
          <w:szCs w:val="20"/>
        </w:rPr>
        <w:t>&gt;10</w:t>
      </w:r>
      <w:r w:rsidRPr="00BB3771">
        <w:rPr>
          <w:rFonts w:ascii="Times New Roman" w:hAnsi="Times New Roman" w:cs="Times New Roman"/>
          <w:sz w:val="20"/>
          <w:szCs w:val="20"/>
          <w:vertAlign w:val="superscript"/>
        </w:rPr>
        <w:t>−3</w:t>
      </w:r>
      <w:r w:rsidRPr="00BB3771">
        <w:rPr>
          <w:rFonts w:ascii="Times New Roman" w:hAnsi="Times New Roman" w:cs="Times New Roman"/>
          <w:sz w:val="20"/>
          <w:szCs w:val="20"/>
        </w:rPr>
        <w:t>) in adults while in children it was above the moderate risk limit (&gt;10</w:t>
      </w:r>
      <w:r w:rsidRPr="00BB3771">
        <w:rPr>
          <w:rFonts w:ascii="Times New Roman" w:hAnsi="Times New Roman" w:cs="Times New Roman"/>
          <w:sz w:val="20"/>
          <w:szCs w:val="20"/>
          <w:vertAlign w:val="superscript"/>
        </w:rPr>
        <w:t>−2</w:t>
      </w:r>
      <w:r w:rsidRPr="00BB3771">
        <w:rPr>
          <w:rFonts w:ascii="Times New Roman" w:hAnsi="Times New Roman" w:cs="Times New Roman"/>
          <w:sz w:val="20"/>
          <w:szCs w:val="20"/>
        </w:rPr>
        <w:t>). The ILCR for Cd in children has reached the moderate risk limit (&gt;10</w:t>
      </w:r>
      <w:r w:rsidRPr="00BB3771">
        <w:rPr>
          <w:rFonts w:ascii="Times New Roman" w:hAnsi="Times New Roman" w:cs="Times New Roman"/>
          <w:sz w:val="20"/>
          <w:szCs w:val="20"/>
          <w:vertAlign w:val="superscript"/>
        </w:rPr>
        <w:t>−3</w:t>
      </w:r>
      <w:r w:rsidRPr="00BB3771">
        <w:rPr>
          <w:rFonts w:ascii="Times New Roman" w:hAnsi="Times New Roman" w:cs="Times New Roman"/>
          <w:sz w:val="20"/>
          <w:szCs w:val="20"/>
        </w:rPr>
        <w:t>) while in adults it was below the threshold limit (&gt;10</w:t>
      </w:r>
      <w:r w:rsidRPr="00BB3771">
        <w:rPr>
          <w:rFonts w:ascii="Times New Roman" w:hAnsi="Times New Roman" w:cs="Times New Roman"/>
          <w:sz w:val="20"/>
          <w:szCs w:val="20"/>
          <w:vertAlign w:val="superscript"/>
        </w:rPr>
        <w:t>−5</w:t>
      </w:r>
      <w:r w:rsidRPr="00BB3771">
        <w:rPr>
          <w:rFonts w:ascii="Times New Roman" w:hAnsi="Times New Roman" w:cs="Times New Roman"/>
          <w:sz w:val="20"/>
          <w:szCs w:val="20"/>
        </w:rPr>
        <w:t>). The trend of risk for developing cancer as a result of consuming the studied samples showed: Zango&gt; Birchi &gt; Katsina &gt; Matazu &gt; Malunfashi &gt; Dutsinma &gt; Kafur &gt; Daura &gt; Ingawa &gt; Dabai &gt; Funtua.</w:t>
      </w:r>
      <w:r w:rsidR="00377679" w:rsidRPr="00BB3771">
        <w:rPr>
          <w:rFonts w:ascii="Times New Roman" w:hAnsi="Times New Roman" w:cs="Times New Roman"/>
          <w:sz w:val="20"/>
          <w:szCs w:val="20"/>
        </w:rPr>
        <w:t xml:space="preserve"> </w:t>
      </w:r>
      <w:r w:rsidRPr="00BB3771">
        <w:rPr>
          <w:rFonts w:ascii="Times New Roman" w:hAnsi="Times New Roman" w:cs="Times New Roman"/>
          <w:sz w:val="20"/>
          <w:szCs w:val="20"/>
        </w:rPr>
        <w:t>The calculated cumulative cancer risk (∑ILCR) of all the studied samples was at the moderate risk limit (&gt;10</w:t>
      </w:r>
      <w:r w:rsidRPr="00BB3771">
        <w:rPr>
          <w:rFonts w:ascii="Times New Roman" w:hAnsi="Times New Roman" w:cs="Times New Roman"/>
          <w:sz w:val="20"/>
          <w:szCs w:val="20"/>
          <w:vertAlign w:val="superscript"/>
        </w:rPr>
        <w:t>−3</w:t>
      </w:r>
      <w:r w:rsidRPr="00BB3771">
        <w:rPr>
          <w:rFonts w:ascii="Times New Roman" w:hAnsi="Times New Roman" w:cs="Times New Roman"/>
          <w:sz w:val="20"/>
          <w:szCs w:val="20"/>
        </w:rPr>
        <w:t>) in adults while in children it was above the limit (&gt;10</w:t>
      </w:r>
      <w:r w:rsidRPr="00BB3771">
        <w:rPr>
          <w:rFonts w:ascii="Times New Roman" w:hAnsi="Times New Roman" w:cs="Times New Roman"/>
          <w:sz w:val="20"/>
          <w:szCs w:val="20"/>
          <w:vertAlign w:val="superscript"/>
        </w:rPr>
        <w:t>−2</w:t>
      </w:r>
      <w:r w:rsidRPr="00BB3771">
        <w:rPr>
          <w:rFonts w:ascii="Times New Roman" w:hAnsi="Times New Roman" w:cs="Times New Roman"/>
          <w:sz w:val="20"/>
          <w:szCs w:val="20"/>
        </w:rPr>
        <w:t xml:space="preserve">). </w:t>
      </w:r>
    </w:p>
    <w:p w:rsidR="004966EF" w:rsidRPr="00BB3771" w:rsidRDefault="005A7EC6" w:rsidP="00377679">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The range of ILCR and ∑ILCR from consumption of all the evaluated samples as highlighted above, which raises the level of health concern for the consumer population as they may contribute to the population cancer burden was similar to what was reported by </w:t>
      </w:r>
      <w:r w:rsidRPr="00BB3771">
        <w:rPr>
          <w:rFonts w:ascii="Times New Roman" w:eastAsia="Times New Roman" w:hAnsi="Times New Roman" w:cs="Times New Roman"/>
          <w:sz w:val="20"/>
          <w:szCs w:val="20"/>
        </w:rPr>
        <w:t xml:space="preserve">Gebeyehu and Bayissa (2020), in vegetables from Mojo Ethiopia. It was also similar to the </w:t>
      </w:r>
      <w:r w:rsidRPr="00BB3771">
        <w:rPr>
          <w:rFonts w:ascii="Times New Roman" w:hAnsi="Times New Roman" w:cs="Times New Roman"/>
          <w:sz w:val="20"/>
          <w:szCs w:val="20"/>
        </w:rPr>
        <w:t xml:space="preserve">ILCR and ∑ILCR </w:t>
      </w:r>
      <w:r w:rsidR="008D11FA" w:rsidRPr="00BB3771">
        <w:rPr>
          <w:rFonts w:ascii="Times New Roman" w:hAnsi="Times New Roman" w:cs="Times New Roman"/>
          <w:sz w:val="20"/>
          <w:szCs w:val="20"/>
        </w:rPr>
        <w:t>reported from</w:t>
      </w:r>
      <w:r w:rsidRPr="00BB3771">
        <w:rPr>
          <w:rFonts w:ascii="Times New Roman" w:hAnsi="Times New Roman" w:cs="Times New Roman"/>
          <w:sz w:val="20"/>
          <w:szCs w:val="20"/>
        </w:rPr>
        <w:t xml:space="preserve"> consumption </w:t>
      </w:r>
      <w:r w:rsidR="008D11FA" w:rsidRPr="00BB3771">
        <w:rPr>
          <w:rFonts w:ascii="Times New Roman" w:eastAsia="Times New Roman" w:hAnsi="Times New Roman" w:cs="Times New Roman"/>
          <w:sz w:val="20"/>
          <w:szCs w:val="20"/>
        </w:rPr>
        <w:t>of food samples from</w:t>
      </w:r>
      <w:r w:rsidRPr="00BB3771">
        <w:rPr>
          <w:rFonts w:ascii="Times New Roman" w:eastAsia="Times New Roman" w:hAnsi="Times New Roman" w:cs="Times New Roman"/>
          <w:sz w:val="20"/>
          <w:szCs w:val="20"/>
        </w:rPr>
        <w:t xml:space="preserve"> China</w:t>
      </w:r>
      <w:r w:rsidR="008D11FA" w:rsidRPr="00BB3771">
        <w:rPr>
          <w:rFonts w:ascii="Times New Roman" w:eastAsia="Times New Roman" w:hAnsi="Times New Roman" w:cs="Times New Roman"/>
          <w:sz w:val="20"/>
          <w:szCs w:val="20"/>
        </w:rPr>
        <w:t>, Jamaica and Bangladesh</w:t>
      </w:r>
      <w:r w:rsidRPr="00BB3771">
        <w:rPr>
          <w:rFonts w:ascii="Times New Roman" w:eastAsia="Times New Roman" w:hAnsi="Times New Roman" w:cs="Times New Roman"/>
          <w:sz w:val="20"/>
          <w:szCs w:val="20"/>
        </w:rPr>
        <w:t xml:space="preserve"> (Chen </w:t>
      </w:r>
      <w:r w:rsidRPr="00BB3771">
        <w:rPr>
          <w:rFonts w:ascii="Times New Roman" w:eastAsia="Times New Roman" w:hAnsi="Times New Roman" w:cs="Times New Roman"/>
          <w:i/>
          <w:sz w:val="20"/>
          <w:szCs w:val="20"/>
        </w:rPr>
        <w:t>et al.,</w:t>
      </w:r>
      <w:r w:rsidRPr="00BB3771">
        <w:rPr>
          <w:rFonts w:ascii="Times New Roman" w:eastAsia="Times New Roman" w:hAnsi="Times New Roman" w:cs="Times New Roman"/>
          <w:sz w:val="20"/>
          <w:szCs w:val="20"/>
        </w:rPr>
        <w:t xml:space="preserve"> 2011</w:t>
      </w:r>
      <w:r w:rsidR="008D11FA" w:rsidRPr="00BB3771">
        <w:rPr>
          <w:rFonts w:ascii="Times New Roman" w:eastAsia="Times New Roman" w:hAnsi="Times New Roman" w:cs="Times New Roman"/>
          <w:sz w:val="20"/>
          <w:szCs w:val="20"/>
        </w:rPr>
        <w:t xml:space="preserve">; Chang </w:t>
      </w:r>
      <w:r w:rsidR="008D11FA" w:rsidRPr="00BB3771">
        <w:rPr>
          <w:rFonts w:ascii="Times New Roman" w:eastAsia="Times New Roman" w:hAnsi="Times New Roman" w:cs="Times New Roman"/>
          <w:i/>
          <w:sz w:val="20"/>
          <w:szCs w:val="20"/>
        </w:rPr>
        <w:t>et al.,</w:t>
      </w:r>
      <w:r w:rsidR="008D11FA" w:rsidRPr="00BB3771">
        <w:rPr>
          <w:rFonts w:ascii="Times New Roman" w:eastAsia="Times New Roman" w:hAnsi="Times New Roman" w:cs="Times New Roman"/>
          <w:sz w:val="20"/>
          <w:szCs w:val="20"/>
        </w:rPr>
        <w:t xml:space="preserve"> 2014; Antoine </w:t>
      </w:r>
      <w:r w:rsidR="008D11FA" w:rsidRPr="00BB3771">
        <w:rPr>
          <w:rFonts w:ascii="Times New Roman" w:eastAsia="Times New Roman" w:hAnsi="Times New Roman" w:cs="Times New Roman"/>
          <w:i/>
          <w:sz w:val="20"/>
          <w:szCs w:val="20"/>
        </w:rPr>
        <w:t>et al</w:t>
      </w:r>
      <w:r w:rsidR="008B597A" w:rsidRPr="00BB3771">
        <w:rPr>
          <w:rFonts w:ascii="Times New Roman" w:eastAsia="Times New Roman" w:hAnsi="Times New Roman" w:cs="Times New Roman"/>
          <w:sz w:val="20"/>
          <w:szCs w:val="20"/>
        </w:rPr>
        <w:t>.,</w:t>
      </w:r>
      <w:r w:rsidR="008D11FA" w:rsidRPr="00BB3771">
        <w:rPr>
          <w:rFonts w:ascii="Times New Roman" w:eastAsia="Times New Roman" w:hAnsi="Times New Roman" w:cs="Times New Roman"/>
          <w:sz w:val="20"/>
          <w:szCs w:val="20"/>
        </w:rPr>
        <w:t xml:space="preserve"> 2017; Mahfuza </w:t>
      </w:r>
      <w:r w:rsidR="008D11FA" w:rsidRPr="00BB3771">
        <w:rPr>
          <w:rFonts w:ascii="Times New Roman" w:eastAsia="Times New Roman" w:hAnsi="Times New Roman" w:cs="Times New Roman"/>
          <w:i/>
          <w:sz w:val="20"/>
          <w:szCs w:val="20"/>
        </w:rPr>
        <w:t>et al.,</w:t>
      </w:r>
      <w:r w:rsidR="008D11FA" w:rsidRPr="00BB3771">
        <w:rPr>
          <w:rFonts w:ascii="Times New Roman" w:eastAsia="Times New Roman" w:hAnsi="Times New Roman" w:cs="Times New Roman"/>
          <w:sz w:val="20"/>
          <w:szCs w:val="20"/>
        </w:rPr>
        <w:t xml:space="preserve">2017; Li </w:t>
      </w:r>
      <w:r w:rsidR="008D11FA" w:rsidRPr="00BB3771">
        <w:rPr>
          <w:rFonts w:ascii="Times New Roman" w:eastAsia="Times New Roman" w:hAnsi="Times New Roman" w:cs="Times New Roman"/>
          <w:i/>
          <w:sz w:val="20"/>
          <w:szCs w:val="20"/>
        </w:rPr>
        <w:t>et al.,</w:t>
      </w:r>
      <w:r w:rsidR="008D11FA" w:rsidRPr="00BB3771">
        <w:rPr>
          <w:rFonts w:ascii="Times New Roman" w:eastAsia="Times New Roman" w:hAnsi="Times New Roman" w:cs="Times New Roman"/>
          <w:sz w:val="20"/>
          <w:szCs w:val="20"/>
        </w:rPr>
        <w:t xml:space="preserve"> 2018; Islam </w:t>
      </w:r>
      <w:r w:rsidR="008D11FA" w:rsidRPr="00BB3771">
        <w:rPr>
          <w:rFonts w:ascii="Times New Roman" w:eastAsia="Times New Roman" w:hAnsi="Times New Roman" w:cs="Times New Roman"/>
          <w:i/>
          <w:sz w:val="20"/>
          <w:szCs w:val="20"/>
        </w:rPr>
        <w:t>et al.,</w:t>
      </w:r>
      <w:r w:rsidR="008D11FA" w:rsidRPr="00BB3771">
        <w:rPr>
          <w:rFonts w:ascii="Times New Roman" w:eastAsia="Times New Roman" w:hAnsi="Times New Roman" w:cs="Times New Roman"/>
          <w:sz w:val="20"/>
          <w:szCs w:val="20"/>
        </w:rPr>
        <w:t xml:space="preserve"> 2018). However</w:t>
      </w:r>
      <w:r w:rsidRPr="00BB3771">
        <w:rPr>
          <w:rFonts w:ascii="Times New Roman" w:eastAsia="Times New Roman" w:hAnsi="Times New Roman" w:cs="Times New Roman"/>
          <w:sz w:val="20"/>
          <w:szCs w:val="20"/>
        </w:rPr>
        <w:t>, the results differ from the results for vegetables from some selected commu</w:t>
      </w:r>
      <w:r w:rsidR="008D11FA" w:rsidRPr="00BB3771">
        <w:rPr>
          <w:rFonts w:ascii="Times New Roman" w:eastAsia="Times New Roman" w:hAnsi="Times New Roman" w:cs="Times New Roman"/>
          <w:sz w:val="20"/>
          <w:szCs w:val="20"/>
        </w:rPr>
        <w:t>nities from ONELGA Rivers State</w:t>
      </w:r>
      <w:r w:rsidRPr="00BB3771">
        <w:rPr>
          <w:rFonts w:ascii="Times New Roman" w:eastAsia="Times New Roman" w:hAnsi="Times New Roman" w:cs="Times New Roman"/>
          <w:sz w:val="20"/>
          <w:szCs w:val="20"/>
        </w:rPr>
        <w:t xml:space="preserve"> Nigeria</w:t>
      </w:r>
      <w:r w:rsidR="008D11FA" w:rsidRPr="00BB3771">
        <w:rPr>
          <w:rFonts w:ascii="Times New Roman" w:eastAsia="Times New Roman" w:hAnsi="Times New Roman" w:cs="Times New Roman"/>
          <w:sz w:val="20"/>
          <w:szCs w:val="20"/>
        </w:rPr>
        <w:t>. A study</w:t>
      </w:r>
      <w:r w:rsidRPr="00BB3771">
        <w:rPr>
          <w:rFonts w:ascii="Times New Roman" w:eastAsia="Times New Roman" w:hAnsi="Times New Roman" w:cs="Times New Roman"/>
          <w:sz w:val="20"/>
          <w:szCs w:val="20"/>
        </w:rPr>
        <w:t xml:space="preserve"> that reported </w:t>
      </w:r>
      <w:r w:rsidR="008D11FA" w:rsidRPr="00BB3771">
        <w:rPr>
          <w:rFonts w:ascii="Times New Roman" w:eastAsia="Times New Roman" w:hAnsi="Times New Roman" w:cs="Times New Roman"/>
          <w:sz w:val="20"/>
          <w:szCs w:val="20"/>
        </w:rPr>
        <w:t>non-carcinogenic</w:t>
      </w:r>
      <w:r w:rsidRPr="00BB3771">
        <w:rPr>
          <w:rFonts w:ascii="Times New Roman" w:eastAsia="Times New Roman" w:hAnsi="Times New Roman" w:cs="Times New Roman"/>
          <w:sz w:val="20"/>
          <w:szCs w:val="20"/>
        </w:rPr>
        <w:t xml:space="preserve"> cancer risks from the vegetable samples</w:t>
      </w:r>
      <w:r w:rsidR="00F77876" w:rsidRPr="00BB3771">
        <w:rPr>
          <w:rFonts w:ascii="Times New Roman" w:eastAsia="Times New Roman" w:hAnsi="Times New Roman" w:cs="Times New Roman"/>
          <w:sz w:val="20"/>
          <w:szCs w:val="20"/>
        </w:rPr>
        <w:t xml:space="preserve"> in the study (Ogbo and Patrick-Iwuanyanwu</w:t>
      </w:r>
      <w:r w:rsidRPr="00BB3771">
        <w:rPr>
          <w:rFonts w:ascii="Times New Roman" w:eastAsia="Times New Roman" w:hAnsi="Times New Roman" w:cs="Times New Roman"/>
          <w:sz w:val="20"/>
          <w:szCs w:val="20"/>
        </w:rPr>
        <w:t>, 2019).</w:t>
      </w:r>
      <w:r w:rsidR="004966EF" w:rsidRPr="00BB3771">
        <w:rPr>
          <w:rFonts w:ascii="Times New Roman" w:hAnsi="Times New Roman" w:cs="Times New Roman"/>
          <w:sz w:val="20"/>
          <w:szCs w:val="20"/>
        </w:rPr>
        <w:t xml:space="preserve"> </w:t>
      </w:r>
    </w:p>
    <w:p w:rsidR="00BB3771" w:rsidRDefault="00BB3771" w:rsidP="00377679">
      <w:pPr>
        <w:spacing w:line="240" w:lineRule="auto"/>
        <w:jc w:val="both"/>
        <w:rPr>
          <w:rFonts w:ascii="Times New Roman" w:hAnsi="Times New Roman" w:cs="Times New Roman"/>
          <w:b/>
          <w:sz w:val="20"/>
          <w:szCs w:val="20"/>
        </w:rPr>
      </w:pPr>
    </w:p>
    <w:p w:rsidR="00BB3771" w:rsidRDefault="00BB3771" w:rsidP="00377679">
      <w:pPr>
        <w:spacing w:line="240" w:lineRule="auto"/>
        <w:jc w:val="both"/>
        <w:rPr>
          <w:rFonts w:ascii="Times New Roman" w:hAnsi="Times New Roman" w:cs="Times New Roman"/>
          <w:b/>
          <w:sz w:val="20"/>
          <w:szCs w:val="20"/>
        </w:rPr>
      </w:pPr>
    </w:p>
    <w:p w:rsidR="00BB3771" w:rsidRDefault="00BB3771" w:rsidP="00377679">
      <w:pPr>
        <w:spacing w:line="240" w:lineRule="auto"/>
        <w:jc w:val="both"/>
        <w:rPr>
          <w:rFonts w:ascii="Times New Roman" w:hAnsi="Times New Roman" w:cs="Times New Roman"/>
          <w:b/>
          <w:sz w:val="20"/>
          <w:szCs w:val="20"/>
        </w:rPr>
      </w:pPr>
    </w:p>
    <w:p w:rsidR="00BB3771" w:rsidRDefault="00BB3771" w:rsidP="00377679">
      <w:pPr>
        <w:spacing w:line="240" w:lineRule="auto"/>
        <w:jc w:val="both"/>
        <w:rPr>
          <w:rFonts w:ascii="Times New Roman" w:hAnsi="Times New Roman" w:cs="Times New Roman"/>
          <w:b/>
          <w:sz w:val="20"/>
          <w:szCs w:val="20"/>
        </w:rPr>
      </w:pPr>
    </w:p>
    <w:p w:rsidR="00BB3771" w:rsidRDefault="00BB3771" w:rsidP="00377679">
      <w:pPr>
        <w:spacing w:line="240" w:lineRule="auto"/>
        <w:jc w:val="both"/>
        <w:rPr>
          <w:rFonts w:ascii="Times New Roman" w:hAnsi="Times New Roman" w:cs="Times New Roman"/>
          <w:b/>
          <w:sz w:val="20"/>
          <w:szCs w:val="20"/>
        </w:rPr>
      </w:pPr>
    </w:p>
    <w:p w:rsidR="00BB3771" w:rsidRDefault="00BB3771" w:rsidP="00377679">
      <w:pPr>
        <w:spacing w:line="240" w:lineRule="auto"/>
        <w:jc w:val="both"/>
        <w:rPr>
          <w:rFonts w:ascii="Times New Roman" w:hAnsi="Times New Roman" w:cs="Times New Roman"/>
          <w:b/>
          <w:sz w:val="20"/>
          <w:szCs w:val="20"/>
        </w:rPr>
      </w:pPr>
    </w:p>
    <w:p w:rsidR="00BB3771" w:rsidRDefault="00BB3771" w:rsidP="00377679">
      <w:pPr>
        <w:spacing w:line="240" w:lineRule="auto"/>
        <w:jc w:val="both"/>
        <w:rPr>
          <w:rFonts w:ascii="Times New Roman" w:hAnsi="Times New Roman" w:cs="Times New Roman"/>
          <w:b/>
          <w:sz w:val="20"/>
          <w:szCs w:val="20"/>
        </w:rPr>
      </w:pPr>
    </w:p>
    <w:p w:rsidR="004966EF" w:rsidRPr="00BB3771" w:rsidRDefault="00E33860" w:rsidP="00377679">
      <w:pPr>
        <w:spacing w:line="240" w:lineRule="auto"/>
        <w:jc w:val="both"/>
        <w:rPr>
          <w:rFonts w:ascii="Times New Roman" w:hAnsi="Times New Roman" w:cs="Times New Roman"/>
          <w:sz w:val="20"/>
          <w:szCs w:val="20"/>
        </w:rPr>
      </w:pPr>
      <w:r w:rsidRPr="00BB3771">
        <w:rPr>
          <w:rFonts w:ascii="Times New Roman" w:hAnsi="Times New Roman" w:cs="Times New Roman"/>
          <w:b/>
          <w:sz w:val="20"/>
          <w:szCs w:val="20"/>
        </w:rPr>
        <w:lastRenderedPageBreak/>
        <w:t xml:space="preserve">Table 5 </w:t>
      </w:r>
      <w:r w:rsidR="004966EF" w:rsidRPr="00BB3771">
        <w:rPr>
          <w:rFonts w:ascii="Times New Roman" w:hAnsi="Times New Roman" w:cs="Times New Roman"/>
          <w:b/>
          <w:sz w:val="20"/>
          <w:szCs w:val="20"/>
        </w:rPr>
        <w:t>Incremental Life Time Cancer Risk in Adults from Consumption of Cultivated Drumstick Leaves from Katsina State</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362"/>
        <w:gridCol w:w="2443"/>
        <w:gridCol w:w="2443"/>
        <w:gridCol w:w="1994"/>
      </w:tblGrid>
      <w:tr w:rsidR="004966EF" w:rsidRPr="00BB3771" w:rsidTr="004966EF">
        <w:tc>
          <w:tcPr>
            <w:tcW w:w="2440"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Location</w:t>
            </w:r>
          </w:p>
        </w:tc>
        <w:tc>
          <w:tcPr>
            <w:tcW w:w="2538"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ILCR</w:t>
            </w:r>
          </w:p>
        </w:tc>
        <w:tc>
          <w:tcPr>
            <w:tcW w:w="2538"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2060"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∑ILCR</w:t>
            </w:r>
          </w:p>
        </w:tc>
      </w:tr>
      <w:tr w:rsidR="004966EF" w:rsidRPr="00BB3771" w:rsidTr="004966EF">
        <w:tc>
          <w:tcPr>
            <w:tcW w:w="2440" w:type="dxa"/>
            <w:tcBorders>
              <w:top w:val="single" w:sz="4" w:space="0" w:color="auto"/>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c>
          <w:tcPr>
            <w:tcW w:w="2538"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Pb</w:t>
            </w:r>
          </w:p>
        </w:tc>
        <w:tc>
          <w:tcPr>
            <w:tcW w:w="2538"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Cd</w:t>
            </w:r>
          </w:p>
        </w:tc>
        <w:tc>
          <w:tcPr>
            <w:tcW w:w="2060" w:type="dxa"/>
            <w:tcBorders>
              <w:top w:val="single" w:sz="4" w:space="0" w:color="auto"/>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Birchi</w:t>
            </w:r>
          </w:p>
        </w:tc>
        <w:tc>
          <w:tcPr>
            <w:tcW w:w="2538"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4.5010E-03 </w:t>
            </w:r>
          </w:p>
        </w:tc>
        <w:tc>
          <w:tcPr>
            <w:tcW w:w="2538"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9.3000E-05 </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4.5940E-03 </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Dabai</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2.4510E-03 </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7.8000E-05 </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2.4280E-03 </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Daura</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3.2410E-03 </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6.9000E-05 </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3.3090E-03 </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Dutsinma</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4.0070E-03 </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6.1000E-05 </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4.0680E-03</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Funtua</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2.3580E-03 </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5.2000E-05 </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2.4100E-03 </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Ingawa</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3.1370E-03</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6.0000E-05 </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3.1970E-03 </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Kafur</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3.9740E-03 </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5.8000E-05 </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4.0330E-03 </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Katsina</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4.5060E-03 </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6.5000E-05 </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4.5710E-03 </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Malunfashi</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4.4310E-03 </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5.0000E-05</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4.4800E-03 </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Matazu</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4.3550E-03 </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6.5000E-05 </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4.4200E-03 </w:t>
            </w:r>
          </w:p>
        </w:tc>
      </w:tr>
      <w:tr w:rsidR="004966EF" w:rsidRPr="00BB3771" w:rsidTr="004966EF">
        <w:tc>
          <w:tcPr>
            <w:tcW w:w="2440"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Zango</w:t>
            </w:r>
          </w:p>
        </w:tc>
        <w:tc>
          <w:tcPr>
            <w:tcW w:w="2538"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5.8840E-03 </w:t>
            </w:r>
          </w:p>
        </w:tc>
        <w:tc>
          <w:tcPr>
            <w:tcW w:w="2538"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6.1000E-05  </w:t>
            </w:r>
          </w:p>
        </w:tc>
        <w:tc>
          <w:tcPr>
            <w:tcW w:w="2060"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 xml:space="preserve">5.9450E-03 </w:t>
            </w:r>
          </w:p>
        </w:tc>
      </w:tr>
    </w:tbl>
    <w:p w:rsidR="00F146F4" w:rsidRPr="00BB3771" w:rsidRDefault="00F146F4" w:rsidP="00377679">
      <w:pPr>
        <w:spacing w:line="240" w:lineRule="auto"/>
        <w:jc w:val="both"/>
        <w:rPr>
          <w:rFonts w:ascii="Times New Roman" w:hAnsi="Times New Roman" w:cs="Times New Roman"/>
          <w:b/>
          <w:sz w:val="20"/>
          <w:szCs w:val="20"/>
        </w:rPr>
      </w:pPr>
    </w:p>
    <w:p w:rsidR="004966EF" w:rsidRPr="00BB3771" w:rsidRDefault="00E33860" w:rsidP="00377679">
      <w:pPr>
        <w:spacing w:line="240" w:lineRule="auto"/>
        <w:jc w:val="both"/>
        <w:rPr>
          <w:rFonts w:ascii="Times New Roman" w:hAnsi="Times New Roman" w:cs="Times New Roman"/>
          <w:sz w:val="20"/>
          <w:szCs w:val="20"/>
        </w:rPr>
      </w:pPr>
      <w:r w:rsidRPr="00BB3771">
        <w:rPr>
          <w:rFonts w:ascii="Times New Roman" w:hAnsi="Times New Roman" w:cs="Times New Roman"/>
          <w:b/>
          <w:sz w:val="20"/>
          <w:szCs w:val="20"/>
        </w:rPr>
        <w:t xml:space="preserve">Table 6 </w:t>
      </w:r>
      <w:r w:rsidR="004966EF" w:rsidRPr="00BB3771">
        <w:rPr>
          <w:rFonts w:ascii="Times New Roman" w:hAnsi="Times New Roman" w:cs="Times New Roman"/>
          <w:b/>
          <w:sz w:val="20"/>
          <w:szCs w:val="20"/>
        </w:rPr>
        <w:t xml:space="preserve">Incremental Life Time Cancer Risk </w:t>
      </w:r>
      <w:r w:rsidR="004966EF" w:rsidRPr="00BB3771">
        <w:rPr>
          <w:rFonts w:ascii="Times New Roman" w:hAnsi="Times New Roman" w:cs="Times New Roman"/>
          <w:sz w:val="20"/>
          <w:szCs w:val="20"/>
        </w:rPr>
        <w:t>in Children</w:t>
      </w:r>
      <w:r w:rsidR="004966EF" w:rsidRPr="00BB3771">
        <w:rPr>
          <w:rFonts w:ascii="Times New Roman" w:hAnsi="Times New Roman" w:cs="Times New Roman"/>
          <w:b/>
          <w:sz w:val="20"/>
          <w:szCs w:val="20"/>
        </w:rPr>
        <w:t xml:space="preserve"> from Consumption of Cultivated Drumstick Leaves from Katsina State</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362"/>
        <w:gridCol w:w="2443"/>
        <w:gridCol w:w="2443"/>
        <w:gridCol w:w="1994"/>
      </w:tblGrid>
      <w:tr w:rsidR="004966EF" w:rsidRPr="00BB3771" w:rsidTr="004966EF">
        <w:tc>
          <w:tcPr>
            <w:tcW w:w="2440"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Location</w:t>
            </w:r>
          </w:p>
        </w:tc>
        <w:tc>
          <w:tcPr>
            <w:tcW w:w="2538"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ILCR</w:t>
            </w:r>
          </w:p>
        </w:tc>
        <w:tc>
          <w:tcPr>
            <w:tcW w:w="2538" w:type="dxa"/>
            <w:tcBorders>
              <w:top w:val="single" w:sz="4" w:space="0" w:color="000000" w:themeColor="text1"/>
              <w:left w:val="nil"/>
              <w:bottom w:val="single" w:sz="4" w:space="0" w:color="auto"/>
              <w:right w:val="nil"/>
            </w:tcBorders>
          </w:tcPr>
          <w:p w:rsidR="004966EF" w:rsidRPr="00BB3771" w:rsidRDefault="004966EF" w:rsidP="00377679">
            <w:pPr>
              <w:spacing w:after="0" w:line="240" w:lineRule="auto"/>
              <w:jc w:val="both"/>
              <w:rPr>
                <w:rFonts w:ascii="Times New Roman" w:hAnsi="Times New Roman"/>
                <w:sz w:val="20"/>
                <w:szCs w:val="20"/>
              </w:rPr>
            </w:pPr>
          </w:p>
        </w:tc>
        <w:tc>
          <w:tcPr>
            <w:tcW w:w="2060" w:type="dxa"/>
            <w:tcBorders>
              <w:top w:val="single" w:sz="4" w:space="0" w:color="000000" w:themeColor="text1"/>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∑ILCR</w:t>
            </w:r>
          </w:p>
        </w:tc>
      </w:tr>
      <w:tr w:rsidR="004966EF" w:rsidRPr="00BB3771" w:rsidTr="004966EF">
        <w:tc>
          <w:tcPr>
            <w:tcW w:w="2440" w:type="dxa"/>
            <w:tcBorders>
              <w:top w:val="single" w:sz="4" w:space="0" w:color="auto"/>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c>
          <w:tcPr>
            <w:tcW w:w="2538"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Pb</w:t>
            </w:r>
          </w:p>
        </w:tc>
        <w:tc>
          <w:tcPr>
            <w:tcW w:w="2538" w:type="dxa"/>
            <w:tcBorders>
              <w:top w:val="single" w:sz="4" w:space="0" w:color="auto"/>
              <w:left w:val="nil"/>
              <w:bottom w:val="single" w:sz="4" w:space="0" w:color="auto"/>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Cd</w:t>
            </w:r>
          </w:p>
        </w:tc>
        <w:tc>
          <w:tcPr>
            <w:tcW w:w="2060" w:type="dxa"/>
            <w:tcBorders>
              <w:top w:val="single" w:sz="4" w:space="0" w:color="auto"/>
              <w:left w:val="nil"/>
              <w:bottom w:val="nil"/>
              <w:right w:val="nil"/>
            </w:tcBorders>
          </w:tcPr>
          <w:p w:rsidR="004966EF" w:rsidRPr="00BB3771" w:rsidRDefault="004966EF" w:rsidP="00377679">
            <w:pPr>
              <w:spacing w:after="0" w:line="240" w:lineRule="auto"/>
              <w:jc w:val="both"/>
              <w:rPr>
                <w:rFonts w:ascii="Times New Roman" w:hAnsi="Times New Roman"/>
                <w:sz w:val="20"/>
                <w:szCs w:val="20"/>
              </w:rPr>
            </w:pP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Birchi</w:t>
            </w:r>
          </w:p>
        </w:tc>
        <w:tc>
          <w:tcPr>
            <w:tcW w:w="2538"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1.8755E-02</w:t>
            </w:r>
          </w:p>
        </w:tc>
        <w:tc>
          <w:tcPr>
            <w:tcW w:w="2538" w:type="dxa"/>
            <w:tcBorders>
              <w:top w:val="single" w:sz="4" w:space="0" w:color="auto"/>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4.0875E-03</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2.2843E-02</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Dabai</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1.0211E-02</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3.4059E-03</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1.3616E-02</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Daura</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1.3724E-02</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3.0236E-03</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1.6747E-02</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Dutsinma</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1.6697E-02</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2.6877E-03</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1.9385E-02</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Funtua</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1.0406E-02</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7.8390E-04</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1.1190E-02</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Ingawa</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1.3072E-02</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2.6319E-03</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1.5703E-02</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Kafur</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1.6885E-02</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2.5757E-03</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1.7142E-02</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Katsina</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1.8775E-02</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2.8556E-03</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2.1630E-02</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Malunfashi</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1.8579E-02</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2.1837E-03</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2.0762E-02</w:t>
            </w:r>
          </w:p>
        </w:tc>
      </w:tr>
      <w:tr w:rsidR="004966EF" w:rsidRPr="00BB3771" w:rsidTr="004966EF">
        <w:tc>
          <w:tcPr>
            <w:tcW w:w="244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Matazu</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1.8148E-02</w:t>
            </w:r>
          </w:p>
        </w:tc>
        <w:tc>
          <w:tcPr>
            <w:tcW w:w="2538"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2.8557E-03</w:t>
            </w:r>
          </w:p>
        </w:tc>
        <w:tc>
          <w:tcPr>
            <w:tcW w:w="2060" w:type="dxa"/>
            <w:tcBorders>
              <w:top w:val="nil"/>
              <w:left w:val="nil"/>
              <w:bottom w:val="nil"/>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2.1003E-02</w:t>
            </w:r>
          </w:p>
        </w:tc>
      </w:tr>
      <w:tr w:rsidR="004966EF" w:rsidRPr="00BB3771" w:rsidTr="004966EF">
        <w:tc>
          <w:tcPr>
            <w:tcW w:w="2440"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Zango</w:t>
            </w:r>
          </w:p>
        </w:tc>
        <w:tc>
          <w:tcPr>
            <w:tcW w:w="2538"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2.4517E-02</w:t>
            </w:r>
          </w:p>
        </w:tc>
        <w:tc>
          <w:tcPr>
            <w:tcW w:w="2538"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2.6877E-03</w:t>
            </w:r>
          </w:p>
        </w:tc>
        <w:tc>
          <w:tcPr>
            <w:tcW w:w="2060" w:type="dxa"/>
            <w:tcBorders>
              <w:top w:val="nil"/>
              <w:left w:val="nil"/>
              <w:bottom w:val="single" w:sz="4" w:space="0" w:color="000000" w:themeColor="text1"/>
              <w:right w:val="nil"/>
            </w:tcBorders>
            <w:hideMark/>
          </w:tcPr>
          <w:p w:rsidR="004966EF" w:rsidRPr="00BB3771" w:rsidRDefault="004966EF" w:rsidP="00377679">
            <w:pPr>
              <w:spacing w:after="0" w:line="240" w:lineRule="auto"/>
              <w:jc w:val="both"/>
              <w:rPr>
                <w:rFonts w:ascii="Times New Roman" w:hAnsi="Times New Roman"/>
                <w:sz w:val="20"/>
                <w:szCs w:val="20"/>
              </w:rPr>
            </w:pPr>
            <w:r w:rsidRPr="00BB3771">
              <w:rPr>
                <w:rFonts w:ascii="Times New Roman" w:hAnsi="Times New Roman"/>
                <w:sz w:val="20"/>
                <w:szCs w:val="20"/>
              </w:rPr>
              <w:t>2.7204E-02</w:t>
            </w:r>
          </w:p>
        </w:tc>
      </w:tr>
    </w:tbl>
    <w:p w:rsidR="00F35F63" w:rsidRPr="00BB3771" w:rsidRDefault="00F35F63" w:rsidP="00377679">
      <w:pPr>
        <w:spacing w:line="240" w:lineRule="auto"/>
        <w:rPr>
          <w:rFonts w:ascii="Times New Roman" w:hAnsi="Times New Roman" w:cs="Times New Roman"/>
          <w:sz w:val="20"/>
          <w:szCs w:val="20"/>
        </w:rPr>
      </w:pPr>
    </w:p>
    <w:p w:rsidR="00785AD6" w:rsidRPr="00BB3771" w:rsidRDefault="00785AD6" w:rsidP="00BB3771">
      <w:pPr>
        <w:pStyle w:val="ListParagraph"/>
        <w:numPr>
          <w:ilvl w:val="0"/>
          <w:numId w:val="3"/>
        </w:numPr>
        <w:ind w:left="0" w:firstLine="0"/>
        <w:rPr>
          <w:b/>
          <w:sz w:val="20"/>
          <w:szCs w:val="20"/>
        </w:rPr>
      </w:pPr>
      <w:r w:rsidRPr="00BB3771">
        <w:rPr>
          <w:b/>
          <w:sz w:val="20"/>
          <w:szCs w:val="20"/>
        </w:rPr>
        <w:t>CONCLUSION</w:t>
      </w:r>
    </w:p>
    <w:p w:rsidR="00F146F4" w:rsidRPr="00BB3771" w:rsidRDefault="00F146F4" w:rsidP="002E3111">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This study explores the possible health risks to the population from consumption of Drumstick leaf samples. The results have revealed that the mean concentration for the heavy metal Pb in all the samples evaluated were above the permissible regulatory level. The heavy metals Mn and Ni were below the detection level. While the heavy metals Zn, Fe, Cr and Cd have mean concentration values that were within the permissible regulatory values. The target hazard quotient and health risks indices to the population from the evaluated metals indicated a non</w:t>
      </w:r>
      <w:r w:rsidR="002E3111" w:rsidRPr="00BB3771">
        <w:rPr>
          <w:rFonts w:ascii="Times New Roman" w:hAnsi="Times New Roman" w:cs="Times New Roman"/>
          <w:sz w:val="20"/>
          <w:szCs w:val="20"/>
        </w:rPr>
        <w:t>-cancer risk. While the cancer risks evaluation indicated a possible cancer risk to the population from consumption of the samples.</w:t>
      </w:r>
      <w:r w:rsidRPr="00BB3771">
        <w:rPr>
          <w:rFonts w:ascii="Times New Roman" w:hAnsi="Times New Roman" w:cs="Times New Roman"/>
          <w:sz w:val="20"/>
          <w:szCs w:val="20"/>
        </w:rPr>
        <w:t xml:space="preserve">  </w:t>
      </w:r>
    </w:p>
    <w:p w:rsidR="00785AD6" w:rsidRPr="00BB3771" w:rsidRDefault="00785AD6" w:rsidP="00377679">
      <w:pPr>
        <w:spacing w:line="240" w:lineRule="auto"/>
        <w:rPr>
          <w:rFonts w:ascii="Times New Roman" w:hAnsi="Times New Roman" w:cs="Times New Roman"/>
          <w:sz w:val="20"/>
          <w:szCs w:val="20"/>
        </w:rPr>
      </w:pPr>
    </w:p>
    <w:p w:rsidR="00666D27" w:rsidRPr="00BB3771" w:rsidRDefault="00785AD6" w:rsidP="00BB3771">
      <w:pPr>
        <w:pStyle w:val="ListParagraph"/>
        <w:numPr>
          <w:ilvl w:val="0"/>
          <w:numId w:val="3"/>
        </w:numPr>
        <w:ind w:left="0" w:firstLine="0"/>
        <w:rPr>
          <w:b/>
          <w:sz w:val="20"/>
          <w:szCs w:val="20"/>
        </w:rPr>
      </w:pPr>
      <w:r w:rsidRPr="00BB3771">
        <w:rPr>
          <w:b/>
          <w:sz w:val="20"/>
          <w:szCs w:val="20"/>
        </w:rPr>
        <w:t>REFERENCES</w:t>
      </w:r>
    </w:p>
    <w:p w:rsidR="00666D27" w:rsidRPr="00BB3771" w:rsidRDefault="00666D27"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Rayhan Khan MA, Hosna Ara M. A Review on Heavy Metals in Vegetables Available in Bangladesh. </w:t>
      </w:r>
      <w:r w:rsidRPr="00BB3771">
        <w:rPr>
          <w:rFonts w:ascii="Times New Roman" w:hAnsi="Times New Roman" w:cs="Times New Roman"/>
          <w:i/>
          <w:sz w:val="20"/>
          <w:szCs w:val="20"/>
        </w:rPr>
        <w:t>J Hum Environ Health Promot</w:t>
      </w:r>
      <w:r w:rsidRPr="00BB3771">
        <w:rPr>
          <w:rFonts w:ascii="Times New Roman" w:hAnsi="Times New Roman" w:cs="Times New Roman"/>
          <w:sz w:val="20"/>
          <w:szCs w:val="20"/>
        </w:rPr>
        <w:t>. 2021; 7(3): 108-19.</w:t>
      </w:r>
    </w:p>
    <w:p w:rsidR="002E3111" w:rsidRPr="00BB3771" w:rsidRDefault="002E3111"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FAO/WHO (2011) Codex Alimentarius Commission Food additives and contaminants:  Joint FAO/WHO Food Standards Program; ALINORM 01/12A:1-289</w:t>
      </w:r>
    </w:p>
    <w:p w:rsidR="00236919" w:rsidRPr="00BB3771" w:rsidRDefault="00236919" w:rsidP="00236919">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Katsina State investor’s handbook, Yaliam Press Ltd. 2016;12-15</w:t>
      </w:r>
    </w:p>
    <w:p w:rsidR="00F77876" w:rsidRPr="00BB3771" w:rsidRDefault="00F77876" w:rsidP="00236919">
      <w:pPr>
        <w:spacing w:line="240" w:lineRule="auto"/>
        <w:jc w:val="both"/>
        <w:rPr>
          <w:rFonts w:ascii="Times New Roman" w:hAnsi="Times New Roman" w:cs="Times New Roman"/>
          <w:sz w:val="20"/>
          <w:szCs w:val="20"/>
        </w:rPr>
      </w:pPr>
      <w:r w:rsidRPr="00BB3771">
        <w:rPr>
          <w:rFonts w:ascii="Times New Roman" w:hAnsi="Times New Roman" w:cs="Times New Roman"/>
          <w:color w:val="222222"/>
          <w:sz w:val="20"/>
          <w:szCs w:val="20"/>
          <w:shd w:val="clear" w:color="auto" w:fill="FFFFFF"/>
        </w:rPr>
        <w:t>Landrigan PJ, Fuller R, Acosta NJR, Adeyi O, Arnold R, Basu N, Zhong, M. (2017) The Lancet Commission on pollution and health. </w:t>
      </w:r>
      <w:r w:rsidRPr="00BB3771">
        <w:rPr>
          <w:rStyle w:val="Emphasis"/>
          <w:rFonts w:ascii="Times New Roman" w:hAnsi="Times New Roman" w:cs="Times New Roman"/>
          <w:color w:val="222222"/>
          <w:sz w:val="20"/>
          <w:szCs w:val="20"/>
          <w:shd w:val="clear" w:color="auto" w:fill="FFFFFF"/>
        </w:rPr>
        <w:t>The Lancet</w:t>
      </w:r>
      <w:r w:rsidRPr="00BB3771">
        <w:rPr>
          <w:rFonts w:ascii="Times New Roman" w:hAnsi="Times New Roman" w:cs="Times New Roman"/>
          <w:color w:val="222222"/>
          <w:sz w:val="20"/>
          <w:szCs w:val="20"/>
          <w:shd w:val="clear" w:color="auto" w:fill="FFFFFF"/>
        </w:rPr>
        <w:t>. </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Awofolu OR. A survey of trace metals in vegetation, soil and lower animals along some selected major roads in metropolitan city, Lagos. </w:t>
      </w:r>
      <w:r w:rsidRPr="00BB3771">
        <w:rPr>
          <w:rFonts w:ascii="Times New Roman" w:hAnsi="Times New Roman" w:cs="Times New Roman"/>
          <w:i/>
          <w:sz w:val="20"/>
          <w:szCs w:val="20"/>
        </w:rPr>
        <w:t>Environmental monitoring and assessment</w:t>
      </w:r>
      <w:r w:rsidRPr="00BB3771">
        <w:rPr>
          <w:rFonts w:ascii="Times New Roman" w:hAnsi="Times New Roman" w:cs="Times New Roman"/>
          <w:sz w:val="20"/>
          <w:szCs w:val="20"/>
        </w:rPr>
        <w:t xml:space="preserve"> 2005; 105:431-449.</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lastRenderedPageBreak/>
        <w:t>Audu AA, Lawal AO. Variation in metal contents of plants in vegetable Garden sites in Kano</w:t>
      </w:r>
      <w:bookmarkStart w:id="0" w:name="_GoBack"/>
      <w:bookmarkEnd w:id="0"/>
      <w:r w:rsidRPr="00BB3771">
        <w:rPr>
          <w:rFonts w:ascii="Times New Roman" w:hAnsi="Times New Roman" w:cs="Times New Roman"/>
          <w:sz w:val="20"/>
          <w:szCs w:val="20"/>
        </w:rPr>
        <w:t xml:space="preserve"> metropolis. </w:t>
      </w:r>
      <w:r w:rsidRPr="00BB3771">
        <w:rPr>
          <w:rFonts w:ascii="Times New Roman" w:hAnsi="Times New Roman" w:cs="Times New Roman"/>
          <w:i/>
          <w:sz w:val="20"/>
          <w:szCs w:val="20"/>
        </w:rPr>
        <w:t>Appl. Sci. Environmental Mgt</w:t>
      </w:r>
      <w:r w:rsidRPr="00BB3771">
        <w:rPr>
          <w:rFonts w:ascii="Times New Roman" w:hAnsi="Times New Roman" w:cs="Times New Roman"/>
          <w:sz w:val="20"/>
          <w:szCs w:val="20"/>
        </w:rPr>
        <w:t>. 2006; 10 (2):105-109.</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Jan FA, Ishaq M, Khan S, Ihsanullah I, Ahmad I, Shakirullah M. A comparative study of human health risks via consumption of food crops grown on wastewater irrigated soil (Peshawar) and relatively clean water irrigated soil (lower Dir). </w:t>
      </w:r>
      <w:r w:rsidRPr="00BB3771">
        <w:rPr>
          <w:rFonts w:ascii="Times New Roman" w:hAnsi="Times New Roman" w:cs="Times New Roman"/>
          <w:i/>
          <w:sz w:val="20"/>
          <w:szCs w:val="20"/>
        </w:rPr>
        <w:t>J. Hazard. Mater</w:t>
      </w:r>
      <w:r w:rsidRPr="00BB3771">
        <w:rPr>
          <w:rFonts w:ascii="Times New Roman" w:hAnsi="Times New Roman" w:cs="Times New Roman"/>
          <w:sz w:val="20"/>
          <w:szCs w:val="20"/>
        </w:rPr>
        <w:t xml:space="preserve"> 2010; 179: 612–621</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Balkhaira, KS, Ashraf, MA. Field accumulation risks of heavy metals in soil and vegetable crop irrigated with sewage water in western region of Saudi Arabia. Saudi Journal of Biological Sciences 2015; 23 (1): S32-S44.</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 Orisakwe OE, Mbagwu HOC, Ajaezi GC, Edet UW, Patrick U, Uwana PU. Heavy metals in sea food and farm produce from Uyo, Nigeria Levels and health implications. </w:t>
      </w:r>
      <w:r w:rsidRPr="00BB3771">
        <w:rPr>
          <w:rFonts w:ascii="Times New Roman" w:hAnsi="Times New Roman" w:cs="Times New Roman"/>
          <w:i/>
          <w:sz w:val="20"/>
          <w:szCs w:val="20"/>
        </w:rPr>
        <w:t>Sultan Qaboos Univ Med J.</w:t>
      </w:r>
      <w:r w:rsidRPr="00BB3771">
        <w:rPr>
          <w:rFonts w:ascii="Times New Roman" w:hAnsi="Times New Roman" w:cs="Times New Roman"/>
          <w:sz w:val="20"/>
          <w:szCs w:val="20"/>
        </w:rPr>
        <w:t xml:space="preserve"> 2015; 15(2): e275–e282.</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Ekhator OC, Udowelle NA, Igbiri S, Asomugha RN, Igweze ZN, Orisakwe OE. Safety Evaluation of Potential Toxic Metals Exposure from Street Foods Consumed in Mid-West Nigeria. </w:t>
      </w:r>
      <w:r w:rsidRPr="00BB3771">
        <w:rPr>
          <w:rFonts w:ascii="Times New Roman" w:hAnsi="Times New Roman" w:cs="Times New Roman"/>
          <w:i/>
          <w:sz w:val="20"/>
          <w:szCs w:val="20"/>
        </w:rPr>
        <w:t>Journal of Environmental and Public Health</w:t>
      </w:r>
      <w:r w:rsidR="00F77876" w:rsidRPr="00BB3771">
        <w:rPr>
          <w:rFonts w:ascii="Times New Roman" w:hAnsi="Times New Roman" w:cs="Times New Roman"/>
          <w:sz w:val="20"/>
          <w:szCs w:val="20"/>
        </w:rPr>
        <w:t>,</w:t>
      </w:r>
      <w:r w:rsidRPr="00BB3771">
        <w:rPr>
          <w:rFonts w:ascii="Times New Roman" w:hAnsi="Times New Roman" w:cs="Times New Roman"/>
          <w:sz w:val="20"/>
          <w:szCs w:val="20"/>
        </w:rPr>
        <w:t xml:space="preserve"> 2017; 4: 1-8. Article ID 8458057.</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Micheal B, Patrick O, Vivian T. Cancer and non-cancer risks associated with heavy metal exposures from street foods: Evaluation of roasted meats in an urban setting. Journal of Environment Pollution and Human Health 2015; 3, 24–30.</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Li S, Zhang Q. Risk assessment and seasonal variations of dissolved trace elements and heavy metals in the Upper Han River, China. </w:t>
      </w:r>
      <w:r w:rsidRPr="00BB3771">
        <w:rPr>
          <w:rFonts w:ascii="Times New Roman" w:hAnsi="Times New Roman" w:cs="Times New Roman"/>
          <w:i/>
          <w:sz w:val="20"/>
          <w:szCs w:val="20"/>
        </w:rPr>
        <w:t>Journal of Hazardous Materials</w:t>
      </w:r>
      <w:r w:rsidRPr="00BB3771">
        <w:rPr>
          <w:rFonts w:ascii="Times New Roman" w:hAnsi="Times New Roman" w:cs="Times New Roman"/>
          <w:sz w:val="20"/>
          <w:szCs w:val="20"/>
        </w:rPr>
        <w:t xml:space="preserve"> 2010; 181:1051–1058.</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 Li PH, Kong SF, Geng CM, Han B, Sun RF, Zhao RJ, et al., Assessing the hazardous risks of vehicle inspection workers’ exposure to particulate heavy metals in their work places. </w:t>
      </w:r>
      <w:r w:rsidRPr="00BB3771">
        <w:rPr>
          <w:rFonts w:ascii="Times New Roman" w:hAnsi="Times New Roman" w:cs="Times New Roman"/>
          <w:i/>
          <w:sz w:val="20"/>
          <w:szCs w:val="20"/>
        </w:rPr>
        <w:t>Aerosol and Air Quality Research</w:t>
      </w:r>
      <w:r w:rsidRPr="00BB3771">
        <w:rPr>
          <w:rFonts w:ascii="Times New Roman" w:hAnsi="Times New Roman" w:cs="Times New Roman"/>
          <w:sz w:val="20"/>
          <w:szCs w:val="20"/>
        </w:rPr>
        <w:t xml:space="preserve"> 2013; 13, 255–265.</w:t>
      </w:r>
    </w:p>
    <w:p w:rsidR="00F77876" w:rsidRPr="00BB3771" w:rsidRDefault="00F77876" w:rsidP="00F77876">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Ogbo AB, Patrick-Iwuanyanwu KC (2019) Heavy Metals Contamination and Potential Human Health Risk via Consumption of Vegetables from Selected Communities in ONELGA, Rivers State, Nigeria. </w:t>
      </w:r>
      <w:r w:rsidRPr="00BB3771">
        <w:rPr>
          <w:rFonts w:ascii="Times New Roman" w:hAnsi="Times New Roman" w:cs="Times New Roman"/>
          <w:i/>
          <w:sz w:val="20"/>
          <w:szCs w:val="20"/>
        </w:rPr>
        <w:t>European Journal of Nutrition and Food Safety;</w:t>
      </w:r>
      <w:r w:rsidRPr="00BB3771">
        <w:rPr>
          <w:rFonts w:ascii="Times New Roman" w:hAnsi="Times New Roman" w:cs="Times New Roman"/>
          <w:sz w:val="20"/>
          <w:szCs w:val="20"/>
        </w:rPr>
        <w:t xml:space="preserve"> 9(2): 134-151</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United States Environmental Protection Agency. EPA Human Health Related Guidance, OSWER, 9355, 2002 (pp. 4–24). Washington, DC: United States Environmental Protection Agency.</w:t>
      </w:r>
    </w:p>
    <w:p w:rsidR="00A5094F"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NFPCSP Nutrition Fact Sheet. Joint report of Food Planning and Nutrition Unit (FMPU) of the ministry of Food of Government of Bangladesh and Food and Agricultural Organization of the United Nation (FAO) September 14th 2011, 1–2, National Food Policy Plan of Action and Country Investment Plan, Government of the </w:t>
      </w:r>
      <w:r w:rsidR="00A5094F" w:rsidRPr="00BB3771">
        <w:rPr>
          <w:rFonts w:ascii="Times New Roman" w:hAnsi="Times New Roman" w:cs="Times New Roman"/>
          <w:sz w:val="20"/>
          <w:szCs w:val="20"/>
        </w:rPr>
        <w:t>People’s Republic of Bangladesh</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RAIS. The Risk Informat</w:t>
      </w:r>
      <w:r w:rsidR="00A5094F" w:rsidRPr="00BB3771">
        <w:rPr>
          <w:rFonts w:ascii="Times New Roman" w:hAnsi="Times New Roman" w:cs="Times New Roman"/>
          <w:sz w:val="20"/>
          <w:szCs w:val="20"/>
        </w:rPr>
        <w:t xml:space="preserve">ion System 2007. Retrieved from </w:t>
      </w:r>
      <w:r w:rsidRPr="00BB3771">
        <w:rPr>
          <w:rFonts w:ascii="Times New Roman" w:hAnsi="Times New Roman" w:cs="Times New Roman"/>
          <w:sz w:val="20"/>
          <w:szCs w:val="20"/>
        </w:rPr>
        <w:t xml:space="preserve">http://rais.oml.govt/tox/rap_toxp.shtml </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Guerra F, Trevizam AR, Muraoka T, Marcante NC, Canniatti-Brazaca SG. Heavy metals in vegetables and potential risk for human health. </w:t>
      </w:r>
      <w:r w:rsidRPr="00BB3771">
        <w:rPr>
          <w:rFonts w:ascii="Times New Roman" w:hAnsi="Times New Roman" w:cs="Times New Roman"/>
          <w:i/>
          <w:sz w:val="20"/>
          <w:szCs w:val="20"/>
        </w:rPr>
        <w:t>Scientia Agricola</w:t>
      </w:r>
      <w:r w:rsidRPr="00BB3771">
        <w:rPr>
          <w:rFonts w:ascii="Times New Roman" w:hAnsi="Times New Roman" w:cs="Times New Roman"/>
          <w:sz w:val="20"/>
          <w:szCs w:val="20"/>
        </w:rPr>
        <w:t xml:space="preserve"> 2012; 69: 54–60.10.1590/S0103-90162012000100008</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Liu X, Song Q, Tang Y, Li W, Xu J, Wu J, et al., Human health risk assessment of heavy metals in soil–vegetable system: A multi-medium analysis. </w:t>
      </w:r>
      <w:r w:rsidRPr="00BB3771">
        <w:rPr>
          <w:rFonts w:ascii="Times New Roman" w:hAnsi="Times New Roman" w:cs="Times New Roman"/>
          <w:i/>
          <w:sz w:val="20"/>
          <w:szCs w:val="20"/>
        </w:rPr>
        <w:t>Science of the Total Environment</w:t>
      </w:r>
      <w:r w:rsidRPr="00BB3771">
        <w:rPr>
          <w:rFonts w:ascii="Times New Roman" w:hAnsi="Times New Roman" w:cs="Times New Roman"/>
          <w:sz w:val="20"/>
          <w:szCs w:val="20"/>
        </w:rPr>
        <w:t xml:space="preserve"> 2013; 463–464, 530–540</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Kamunda C, Mathuthu M, Madhuku M. Health risk assessment of heavy metals in soils from Witwatersrand gold mining basin, South Africa. </w:t>
      </w:r>
      <w:r w:rsidRPr="00BB3771">
        <w:rPr>
          <w:rFonts w:ascii="Times New Roman" w:hAnsi="Times New Roman" w:cs="Times New Roman"/>
          <w:i/>
          <w:sz w:val="20"/>
          <w:szCs w:val="20"/>
        </w:rPr>
        <w:t>Int. J. Environ. Res. Public Health</w:t>
      </w:r>
      <w:r w:rsidRPr="00BB3771">
        <w:rPr>
          <w:rFonts w:ascii="Times New Roman" w:hAnsi="Times New Roman" w:cs="Times New Roman"/>
          <w:sz w:val="20"/>
          <w:szCs w:val="20"/>
        </w:rPr>
        <w:t xml:space="preserve"> 2016; 13: 663. https://doi.org/ 10.3390/ijerph13070663 PMID: 27376316.</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Yang J, Ma S, Zhou J, Song Y, Li F. Heavy metal contamination in soils and vegetables and health risk assessment of inhabitants in Daye China; </w:t>
      </w:r>
      <w:r w:rsidRPr="00BB3771">
        <w:rPr>
          <w:rFonts w:ascii="Times New Roman" w:hAnsi="Times New Roman" w:cs="Times New Roman"/>
          <w:i/>
          <w:sz w:val="20"/>
          <w:szCs w:val="20"/>
        </w:rPr>
        <w:t>J. Int. Med. Res.</w:t>
      </w:r>
      <w:r w:rsidRPr="00BB3771">
        <w:rPr>
          <w:rFonts w:ascii="Times New Roman" w:hAnsi="Times New Roman" w:cs="Times New Roman"/>
          <w:sz w:val="20"/>
          <w:szCs w:val="20"/>
        </w:rPr>
        <w:t xml:space="preserve"> 2018; 46: 3374–3387. https://doi.org/10. 1177/0300060518758585 PMID: 29557292.</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 Javed M, Usmani N. Accumulation of heavy metals and human health risk assessment via the consumption of freshwater fish Mastacembelus armatus inhabiting, thermal power plant effluent loaded canal. </w:t>
      </w:r>
      <w:r w:rsidRPr="00BB3771">
        <w:rPr>
          <w:rFonts w:ascii="Times New Roman" w:hAnsi="Times New Roman" w:cs="Times New Roman"/>
          <w:i/>
          <w:sz w:val="20"/>
          <w:szCs w:val="20"/>
        </w:rPr>
        <w:t>Springer plus</w:t>
      </w:r>
      <w:r w:rsidRPr="00BB3771">
        <w:rPr>
          <w:rFonts w:ascii="Times New Roman" w:hAnsi="Times New Roman" w:cs="Times New Roman"/>
          <w:sz w:val="20"/>
          <w:szCs w:val="20"/>
        </w:rPr>
        <w:t xml:space="preserve"> 2016; 5: 776</w:t>
      </w:r>
    </w:p>
    <w:p w:rsidR="004D685D" w:rsidRPr="00BB3771" w:rsidRDefault="004D685D"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 Pepper IL, Gerba CP, Brusseau ML. Environmental and pollution Science: Pollution Science Series 2012. 212–232. Academic Press</w:t>
      </w:r>
    </w:p>
    <w:p w:rsidR="00F77876" w:rsidRPr="00BB3771" w:rsidRDefault="00F77876" w:rsidP="00F77876">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lastRenderedPageBreak/>
        <w:t xml:space="preserve">Yaradua AI, Alhassan, Nasir A, Matazu KI, Usman A, Idi A, et al., Concentrations and Risk Evaluation of Selected Heavy Metals in </w:t>
      </w:r>
      <w:r w:rsidRPr="00BB3771">
        <w:rPr>
          <w:rFonts w:ascii="Times New Roman" w:hAnsi="Times New Roman" w:cs="Times New Roman"/>
          <w:i/>
          <w:sz w:val="20"/>
          <w:szCs w:val="20"/>
        </w:rPr>
        <w:t>Amaranthus</w:t>
      </w:r>
      <w:r w:rsidRPr="00BB3771">
        <w:rPr>
          <w:rFonts w:ascii="Times New Roman" w:hAnsi="Times New Roman" w:cs="Times New Roman"/>
          <w:sz w:val="20"/>
          <w:szCs w:val="20"/>
        </w:rPr>
        <w:t xml:space="preserve"> (L.) Leaf Cultivated in Katsina State, North West Nigeria. </w:t>
      </w:r>
      <w:r w:rsidRPr="00BB3771">
        <w:rPr>
          <w:rFonts w:ascii="Times New Roman" w:hAnsi="Times New Roman" w:cs="Times New Roman"/>
          <w:i/>
          <w:sz w:val="20"/>
          <w:szCs w:val="20"/>
        </w:rPr>
        <w:t>Journal of Applied Life Sciences International</w:t>
      </w:r>
      <w:r w:rsidRPr="00BB3771">
        <w:rPr>
          <w:rFonts w:ascii="Times New Roman" w:hAnsi="Times New Roman" w:cs="Times New Roman"/>
          <w:sz w:val="20"/>
          <w:szCs w:val="20"/>
        </w:rPr>
        <w:t xml:space="preserve"> 2019; 20(4): 1-12.</w:t>
      </w:r>
    </w:p>
    <w:p w:rsidR="003C2223" w:rsidRPr="00BB3771" w:rsidRDefault="003C2223"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Yaradua AI, Alhassan AJ, Nasir A, Matazu KI, Usman A, Idi A, et al. Evaluation of Heavy Metals in Agricultural Soils from Katsina state, Nigeria. </w:t>
      </w:r>
      <w:r w:rsidRPr="00BB3771">
        <w:rPr>
          <w:rFonts w:ascii="Times New Roman" w:hAnsi="Times New Roman" w:cs="Times New Roman"/>
          <w:i/>
          <w:sz w:val="20"/>
          <w:szCs w:val="20"/>
        </w:rPr>
        <w:t>Sustainability, Agri, Food and Environmental Research</w:t>
      </w:r>
      <w:r w:rsidRPr="00BB3771">
        <w:rPr>
          <w:rFonts w:ascii="Times New Roman" w:hAnsi="Times New Roman" w:cs="Times New Roman"/>
          <w:sz w:val="20"/>
          <w:szCs w:val="20"/>
        </w:rPr>
        <w:t xml:space="preserve"> 2020; (ISSN: 0719-3726); 8 (2): 101-117</w:t>
      </w:r>
    </w:p>
    <w:p w:rsidR="003C2223" w:rsidRPr="00BB3771" w:rsidRDefault="003C2223" w:rsidP="00A5094F">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Yaradua AI, Shuaibu L, Alhassan AJ, Bungudu JI, Usman A, Nasir A, et al. Health Risk Assessment of Some Selected Heavy Metals in Agricultural Soils from Katsina State, North-Western Nigeria. </w:t>
      </w:r>
      <w:r w:rsidRPr="00BB3771">
        <w:rPr>
          <w:rFonts w:ascii="Times New Roman" w:hAnsi="Times New Roman" w:cs="Times New Roman"/>
          <w:i/>
          <w:sz w:val="20"/>
          <w:szCs w:val="20"/>
        </w:rPr>
        <w:t>Asian Journal of Applied Chemistry Research</w:t>
      </w:r>
      <w:r w:rsidRPr="00BB3771">
        <w:rPr>
          <w:rFonts w:ascii="Times New Roman" w:hAnsi="Times New Roman" w:cs="Times New Roman"/>
          <w:sz w:val="20"/>
          <w:szCs w:val="20"/>
        </w:rPr>
        <w:t xml:space="preserve"> 2022; 11 (4): 47-58.</w:t>
      </w:r>
    </w:p>
    <w:p w:rsidR="003C2223" w:rsidRPr="00BB3771" w:rsidRDefault="003C2223" w:rsidP="003C2223">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G</w:t>
      </w:r>
      <w:r w:rsidR="001B09BD" w:rsidRPr="00BB3771">
        <w:rPr>
          <w:rFonts w:ascii="Times New Roman" w:hAnsi="Times New Roman" w:cs="Times New Roman"/>
          <w:sz w:val="20"/>
          <w:szCs w:val="20"/>
        </w:rPr>
        <w:t xml:space="preserve">ottipolu RR, Flora SJ, Riyaz B. </w:t>
      </w:r>
      <w:r w:rsidRPr="00BB3771">
        <w:rPr>
          <w:rFonts w:ascii="Times New Roman" w:hAnsi="Times New Roman" w:cs="Times New Roman"/>
          <w:sz w:val="20"/>
          <w:szCs w:val="20"/>
        </w:rPr>
        <w:t>Envi</w:t>
      </w:r>
      <w:r w:rsidR="001B09BD" w:rsidRPr="00BB3771">
        <w:rPr>
          <w:rFonts w:ascii="Times New Roman" w:hAnsi="Times New Roman" w:cs="Times New Roman"/>
          <w:sz w:val="20"/>
          <w:szCs w:val="20"/>
        </w:rPr>
        <w:t xml:space="preserve">ronmental pollution-ecology and </w:t>
      </w:r>
      <w:r w:rsidRPr="00BB3771">
        <w:rPr>
          <w:rFonts w:ascii="Times New Roman" w:hAnsi="Times New Roman" w:cs="Times New Roman"/>
          <w:sz w:val="20"/>
          <w:szCs w:val="20"/>
        </w:rPr>
        <w:t>hum</w:t>
      </w:r>
      <w:r w:rsidR="001B09BD" w:rsidRPr="00BB3771">
        <w:rPr>
          <w:rFonts w:ascii="Times New Roman" w:hAnsi="Times New Roman" w:cs="Times New Roman"/>
          <w:sz w:val="20"/>
          <w:szCs w:val="20"/>
        </w:rPr>
        <w:t xml:space="preserve">an health: P. Narosa publishing </w:t>
      </w:r>
      <w:r w:rsidRPr="00BB3771">
        <w:rPr>
          <w:rFonts w:ascii="Times New Roman" w:hAnsi="Times New Roman" w:cs="Times New Roman"/>
          <w:sz w:val="20"/>
          <w:szCs w:val="20"/>
        </w:rPr>
        <w:t>house, New Delhi I</w:t>
      </w:r>
      <w:r w:rsidR="001B09BD" w:rsidRPr="00BB3771">
        <w:rPr>
          <w:rFonts w:ascii="Times New Roman" w:hAnsi="Times New Roman" w:cs="Times New Roman"/>
          <w:sz w:val="20"/>
          <w:szCs w:val="20"/>
        </w:rPr>
        <w:t xml:space="preserve">ndia. 110 002. </w:t>
      </w:r>
      <w:r w:rsidRPr="00BB3771">
        <w:rPr>
          <w:rFonts w:ascii="Times New Roman" w:hAnsi="Times New Roman" w:cs="Times New Roman"/>
          <w:sz w:val="20"/>
          <w:szCs w:val="20"/>
        </w:rPr>
        <w:t>2012;166-223.</w:t>
      </w:r>
    </w:p>
    <w:p w:rsidR="001B09BD" w:rsidRPr="00BB3771" w:rsidRDefault="001B09BD" w:rsidP="003C2223">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Nautiyal BP, Venkataraman KG. (1987) Moringa (drumstick) - an ideal tree for social forestry:</w:t>
      </w:r>
      <w:r w:rsidR="00236919" w:rsidRPr="00BB3771">
        <w:rPr>
          <w:rFonts w:ascii="Times New Roman" w:hAnsi="Times New Roman" w:cs="Times New Roman"/>
          <w:sz w:val="20"/>
          <w:szCs w:val="20"/>
        </w:rPr>
        <w:t xml:space="preserve"> </w:t>
      </w:r>
      <w:r w:rsidRPr="00BB3771">
        <w:rPr>
          <w:rFonts w:ascii="Times New Roman" w:hAnsi="Times New Roman" w:cs="Times New Roman"/>
          <w:sz w:val="20"/>
          <w:szCs w:val="20"/>
        </w:rPr>
        <w:t>growing conditions and uses - part 1. My forest; 23 (1): 53-8</w:t>
      </w:r>
    </w:p>
    <w:p w:rsidR="00C01207" w:rsidRPr="00BB3771" w:rsidRDefault="00C01207" w:rsidP="00C01207">
      <w:pPr>
        <w:jc w:val="both"/>
        <w:rPr>
          <w:rFonts w:ascii="Times New Roman" w:hAnsi="Times New Roman" w:cs="Times New Roman"/>
          <w:sz w:val="20"/>
          <w:szCs w:val="20"/>
        </w:rPr>
      </w:pPr>
      <w:r w:rsidRPr="00BB3771">
        <w:rPr>
          <w:rFonts w:ascii="Times New Roman" w:hAnsi="Times New Roman" w:cs="Times New Roman"/>
          <w:sz w:val="20"/>
          <w:szCs w:val="20"/>
        </w:rPr>
        <w:t xml:space="preserve">Yaradua AI, Bungudu JI, Shuaibu L, Nasir A, Usman A, Kankia IH, Matazu NU </w:t>
      </w:r>
      <w:r w:rsidRPr="00BB3771">
        <w:rPr>
          <w:rFonts w:ascii="Times New Roman" w:hAnsi="Times New Roman" w:cs="Times New Roman"/>
          <w:i/>
          <w:sz w:val="20"/>
          <w:szCs w:val="20"/>
        </w:rPr>
        <w:t>et al</w:t>
      </w:r>
      <w:r w:rsidRPr="00BB3771">
        <w:rPr>
          <w:rFonts w:ascii="Times New Roman" w:hAnsi="Times New Roman" w:cs="Times New Roman"/>
          <w:sz w:val="20"/>
          <w:szCs w:val="20"/>
        </w:rPr>
        <w:t xml:space="preserve">. (2023) Health Risk Assessment of Heavy Metals in Vegetable: The Contribution of Illegal Mining and Armed Banditry to Heavy Metal Pollution in Katsina State, Nigeria. </w:t>
      </w:r>
      <w:r w:rsidRPr="00BB3771">
        <w:rPr>
          <w:rFonts w:ascii="Times New Roman" w:hAnsi="Times New Roman" w:cs="Times New Roman"/>
          <w:i/>
          <w:sz w:val="20"/>
          <w:szCs w:val="20"/>
        </w:rPr>
        <w:t>Journal of Scientific Research and Reports</w:t>
      </w:r>
      <w:r w:rsidRPr="00BB3771">
        <w:rPr>
          <w:rFonts w:ascii="Times New Roman" w:hAnsi="Times New Roman" w:cs="Times New Roman"/>
          <w:sz w:val="20"/>
          <w:szCs w:val="20"/>
        </w:rPr>
        <w:t>; 29 (5) 19-27, 2023; Article no. JSRR.93334 ISSN: 2320-0227</w:t>
      </w:r>
    </w:p>
    <w:p w:rsidR="00236919" w:rsidRPr="00BB3771" w:rsidRDefault="00236919" w:rsidP="00236919">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Chang CY, Yu HY, Chen JJ, Li FB, Zhang HH, Liu CP (2014) Accumulation of heavy metals in leaf vegetables from agricultural soils and associated potential health risks in the Pearl River Delta, South China. </w:t>
      </w:r>
      <w:r w:rsidRPr="00BB3771">
        <w:rPr>
          <w:rFonts w:ascii="Times New Roman" w:hAnsi="Times New Roman" w:cs="Times New Roman"/>
          <w:i/>
          <w:sz w:val="20"/>
          <w:szCs w:val="20"/>
        </w:rPr>
        <w:t>Environ. Monit Assess;</w:t>
      </w:r>
      <w:r w:rsidRPr="00BB3771">
        <w:rPr>
          <w:rFonts w:ascii="Times New Roman" w:hAnsi="Times New Roman" w:cs="Times New Roman"/>
          <w:sz w:val="20"/>
          <w:szCs w:val="20"/>
        </w:rPr>
        <w:t xml:space="preserve"> 186:1547–1560.</w:t>
      </w:r>
    </w:p>
    <w:p w:rsidR="00236919" w:rsidRPr="00BB3771" w:rsidRDefault="00236919" w:rsidP="00236919">
      <w:pPr>
        <w:spacing w:line="240" w:lineRule="auto"/>
        <w:jc w:val="both"/>
        <w:rPr>
          <w:rFonts w:ascii="Times New Roman" w:hAnsi="Times New Roman" w:cs="Times New Roman"/>
          <w:sz w:val="20"/>
          <w:szCs w:val="20"/>
        </w:rPr>
      </w:pPr>
      <w:r w:rsidRPr="00BB3771">
        <w:rPr>
          <w:rFonts w:ascii="Times New Roman" w:hAnsi="Times New Roman" w:cs="Times New Roman"/>
          <w:sz w:val="20"/>
          <w:szCs w:val="20"/>
        </w:rPr>
        <w:t xml:space="preserve">Chen C, Qian Y, Chen Q, Li C. (2011) Assessment of daily intake of toxic elements due to consumption of vegetables, fruits, meat, and seafood by inhabitants of Xiamen, China. </w:t>
      </w:r>
      <w:r w:rsidRPr="00BB3771">
        <w:rPr>
          <w:rFonts w:ascii="Times New Roman" w:hAnsi="Times New Roman" w:cs="Times New Roman"/>
          <w:i/>
          <w:sz w:val="20"/>
          <w:szCs w:val="20"/>
        </w:rPr>
        <w:t>J. Food Sci.</w:t>
      </w:r>
      <w:r w:rsidRPr="00BB3771">
        <w:rPr>
          <w:rFonts w:ascii="Times New Roman" w:hAnsi="Times New Roman" w:cs="Times New Roman"/>
          <w:sz w:val="20"/>
          <w:szCs w:val="20"/>
        </w:rPr>
        <w:t>; 76: T181–T188.</w:t>
      </w:r>
    </w:p>
    <w:p w:rsidR="00236919" w:rsidRPr="00BB3771" w:rsidRDefault="00236919" w:rsidP="00236919">
      <w:pPr>
        <w:pStyle w:val="NormalWeb"/>
        <w:jc w:val="both"/>
        <w:rPr>
          <w:rStyle w:val="Strong"/>
          <w:b w:val="0"/>
          <w:sz w:val="20"/>
          <w:szCs w:val="20"/>
        </w:rPr>
      </w:pPr>
      <w:r w:rsidRPr="00BB3771">
        <w:rPr>
          <w:rStyle w:val="Strong"/>
          <w:b w:val="0"/>
          <w:sz w:val="20"/>
          <w:szCs w:val="20"/>
        </w:rPr>
        <w:t xml:space="preserve">Antoine JMR, Fung LAH, Grant CN. (2017) Assessment of the potential health risks associated with the aluminium, arsenic, cadmium and lead content in selected fruits and vegetables grown in Jamaica. </w:t>
      </w:r>
      <w:r w:rsidRPr="00BB3771">
        <w:rPr>
          <w:rStyle w:val="Strong"/>
          <w:b w:val="0"/>
          <w:i/>
          <w:sz w:val="20"/>
          <w:szCs w:val="20"/>
        </w:rPr>
        <w:t>Toxicol Reports</w:t>
      </w:r>
      <w:r w:rsidRPr="00BB3771">
        <w:rPr>
          <w:rStyle w:val="Strong"/>
          <w:b w:val="0"/>
          <w:sz w:val="20"/>
          <w:szCs w:val="20"/>
        </w:rPr>
        <w:t>; 4:181–187</w:t>
      </w:r>
    </w:p>
    <w:p w:rsidR="00236919" w:rsidRPr="00BB3771" w:rsidRDefault="00236919" w:rsidP="00236919">
      <w:pPr>
        <w:spacing w:line="240" w:lineRule="auto"/>
        <w:jc w:val="both"/>
        <w:rPr>
          <w:rFonts w:ascii="Times New Roman" w:hAnsi="Times New Roman" w:cs="Times New Roman"/>
          <w:sz w:val="20"/>
          <w:szCs w:val="20"/>
        </w:rPr>
      </w:pPr>
      <w:r w:rsidRPr="00BB3771">
        <w:rPr>
          <w:rFonts w:ascii="Times New Roman" w:eastAsia="Times New Roman" w:hAnsi="Times New Roman" w:cs="Times New Roman"/>
          <w:sz w:val="20"/>
          <w:szCs w:val="20"/>
        </w:rPr>
        <w:t xml:space="preserve">Islam MS, Khanam MS, Sarker NI (2018) Health risk assessment of metals transfer from soil to the edible part of some vegetables grown in Patuakhali province of Bangladesh. </w:t>
      </w:r>
      <w:r w:rsidRPr="00BB3771">
        <w:rPr>
          <w:rFonts w:ascii="Times New Roman" w:eastAsia="Times New Roman" w:hAnsi="Times New Roman" w:cs="Times New Roman"/>
          <w:i/>
          <w:sz w:val="20"/>
          <w:szCs w:val="20"/>
        </w:rPr>
        <w:t>Archives of Agriculture and Environmental Science;</w:t>
      </w:r>
      <w:r w:rsidRPr="00BB3771">
        <w:rPr>
          <w:rFonts w:ascii="Times New Roman" w:eastAsia="Times New Roman" w:hAnsi="Times New Roman" w:cs="Times New Roman"/>
          <w:sz w:val="20"/>
          <w:szCs w:val="20"/>
        </w:rPr>
        <w:t xml:space="preserve"> 3(2): 187-197,</w:t>
      </w:r>
    </w:p>
    <w:p w:rsidR="00C01207" w:rsidRPr="00BB3771" w:rsidRDefault="00C01207" w:rsidP="003C2223">
      <w:pPr>
        <w:spacing w:line="240" w:lineRule="auto"/>
        <w:jc w:val="both"/>
        <w:rPr>
          <w:rFonts w:ascii="Times New Roman" w:hAnsi="Times New Roman" w:cs="Times New Roman"/>
          <w:sz w:val="20"/>
          <w:szCs w:val="20"/>
        </w:rPr>
      </w:pPr>
    </w:p>
    <w:p w:rsidR="001B09BD" w:rsidRPr="00BB3771" w:rsidRDefault="001B09BD">
      <w:pPr>
        <w:spacing w:after="160" w:line="259" w:lineRule="auto"/>
        <w:rPr>
          <w:rFonts w:ascii="Times New Roman" w:hAnsi="Times New Roman" w:cs="Times New Roman"/>
          <w:sz w:val="20"/>
          <w:szCs w:val="20"/>
        </w:rPr>
      </w:pPr>
      <w:r w:rsidRPr="00BB3771">
        <w:rPr>
          <w:rFonts w:ascii="Times New Roman" w:hAnsi="Times New Roman" w:cs="Times New Roman"/>
          <w:sz w:val="20"/>
          <w:szCs w:val="20"/>
        </w:rPr>
        <w:br w:type="page"/>
      </w:r>
    </w:p>
    <w:p w:rsidR="001B09BD" w:rsidRPr="00BB3771" w:rsidRDefault="001B09BD" w:rsidP="003C2223">
      <w:pPr>
        <w:spacing w:line="240" w:lineRule="auto"/>
        <w:jc w:val="both"/>
        <w:rPr>
          <w:rFonts w:ascii="Times New Roman" w:hAnsi="Times New Roman" w:cs="Times New Roman"/>
          <w:sz w:val="20"/>
          <w:szCs w:val="20"/>
        </w:rPr>
      </w:pPr>
    </w:p>
    <w:sectPr w:rsidR="001B09BD" w:rsidRPr="00BB3771" w:rsidSect="00F35F6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C6A" w:rsidRDefault="00E62C6A" w:rsidP="006F6ACF">
      <w:pPr>
        <w:spacing w:after="0" w:line="240" w:lineRule="auto"/>
      </w:pPr>
      <w:r>
        <w:separator/>
      </w:r>
    </w:p>
  </w:endnote>
  <w:endnote w:type="continuationSeparator" w:id="0">
    <w:p w:rsidR="00E62C6A" w:rsidRDefault="00E62C6A" w:rsidP="006F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643524"/>
      <w:docPartObj>
        <w:docPartGallery w:val="Page Numbers (Bottom of Page)"/>
        <w:docPartUnique/>
      </w:docPartObj>
    </w:sdtPr>
    <w:sdtEndPr>
      <w:rPr>
        <w:noProof/>
      </w:rPr>
    </w:sdtEndPr>
    <w:sdtContent>
      <w:p w:rsidR="00C641B8" w:rsidRDefault="00C641B8">
        <w:pPr>
          <w:pStyle w:val="Footer"/>
          <w:jc w:val="right"/>
        </w:pPr>
        <w:r>
          <w:fldChar w:fldCharType="begin"/>
        </w:r>
        <w:r>
          <w:instrText xml:space="preserve"> PAGE   \* MERGEFORMAT </w:instrText>
        </w:r>
        <w:r>
          <w:fldChar w:fldCharType="separate"/>
        </w:r>
        <w:r w:rsidR="00BB3771">
          <w:rPr>
            <w:noProof/>
          </w:rPr>
          <w:t>8</w:t>
        </w:r>
        <w:r>
          <w:rPr>
            <w:noProof/>
          </w:rPr>
          <w:fldChar w:fldCharType="end"/>
        </w:r>
      </w:p>
    </w:sdtContent>
  </w:sdt>
  <w:p w:rsidR="00C641B8" w:rsidRDefault="00C64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C6A" w:rsidRDefault="00E62C6A" w:rsidP="006F6ACF">
      <w:pPr>
        <w:spacing w:after="0" w:line="240" w:lineRule="auto"/>
      </w:pPr>
      <w:r>
        <w:separator/>
      </w:r>
    </w:p>
  </w:footnote>
  <w:footnote w:type="continuationSeparator" w:id="0">
    <w:p w:rsidR="00E62C6A" w:rsidRDefault="00E62C6A" w:rsidP="006F6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061"/>
    <w:multiLevelType w:val="hybridMultilevel"/>
    <w:tmpl w:val="600E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A22FB"/>
    <w:multiLevelType w:val="hybridMultilevel"/>
    <w:tmpl w:val="9F12F814"/>
    <w:lvl w:ilvl="0" w:tplc="E8BAC8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7553D9"/>
    <w:multiLevelType w:val="hybridMultilevel"/>
    <w:tmpl w:val="EC0E73B8"/>
    <w:lvl w:ilvl="0" w:tplc="BF92C12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EF"/>
    <w:rsid w:val="000A5FE8"/>
    <w:rsid w:val="000C7BAA"/>
    <w:rsid w:val="001B09BD"/>
    <w:rsid w:val="00222A52"/>
    <w:rsid w:val="00236919"/>
    <w:rsid w:val="002572CB"/>
    <w:rsid w:val="002A0F6B"/>
    <w:rsid w:val="002E3111"/>
    <w:rsid w:val="00304CDA"/>
    <w:rsid w:val="00377679"/>
    <w:rsid w:val="0039559A"/>
    <w:rsid w:val="003C2223"/>
    <w:rsid w:val="003D1430"/>
    <w:rsid w:val="004966EF"/>
    <w:rsid w:val="004D685D"/>
    <w:rsid w:val="005A7EC6"/>
    <w:rsid w:val="00666D27"/>
    <w:rsid w:val="00697C74"/>
    <w:rsid w:val="006A3C42"/>
    <w:rsid w:val="006F6ACF"/>
    <w:rsid w:val="00760DB9"/>
    <w:rsid w:val="00785AD6"/>
    <w:rsid w:val="008B597A"/>
    <w:rsid w:val="008D11FA"/>
    <w:rsid w:val="009C16D0"/>
    <w:rsid w:val="009F79BA"/>
    <w:rsid w:val="00A20245"/>
    <w:rsid w:val="00A5094F"/>
    <w:rsid w:val="00BB3771"/>
    <w:rsid w:val="00C01207"/>
    <w:rsid w:val="00C641B8"/>
    <w:rsid w:val="00CE5224"/>
    <w:rsid w:val="00DC2A70"/>
    <w:rsid w:val="00DE40B3"/>
    <w:rsid w:val="00E33860"/>
    <w:rsid w:val="00E62C6A"/>
    <w:rsid w:val="00F146F4"/>
    <w:rsid w:val="00F32AD6"/>
    <w:rsid w:val="00F35F63"/>
    <w:rsid w:val="00F7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F91E7-DCE7-405D-984B-46227BD1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6E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6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4966EF"/>
    <w:pPr>
      <w:spacing w:after="240" w:line="240" w:lineRule="auto"/>
      <w:jc w:val="both"/>
    </w:pPr>
    <w:rPr>
      <w:rFonts w:ascii="Helvetica" w:eastAsia="Times New Roman" w:hAnsi="Helvetica" w:cs="Times New Roman"/>
      <w:sz w:val="20"/>
      <w:szCs w:val="20"/>
    </w:rPr>
  </w:style>
  <w:style w:type="character" w:customStyle="1" w:styleId="math">
    <w:name w:val="math"/>
    <w:basedOn w:val="DefaultParagraphFont"/>
    <w:rsid w:val="004966EF"/>
  </w:style>
  <w:style w:type="table" w:styleId="TableGrid">
    <w:name w:val="Table Grid"/>
    <w:basedOn w:val="TableNormal"/>
    <w:uiPriority w:val="59"/>
    <w:rsid w:val="004966EF"/>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EF"/>
    <w:rPr>
      <w:rFonts w:ascii="Tahoma" w:hAnsi="Tahoma" w:cs="Tahoma"/>
      <w:sz w:val="16"/>
      <w:szCs w:val="16"/>
      <w:lang w:val="en-US"/>
    </w:rPr>
  </w:style>
  <w:style w:type="paragraph" w:customStyle="1" w:styleId="mb15">
    <w:name w:val="mb15"/>
    <w:basedOn w:val="Normal"/>
    <w:uiPriority w:val="99"/>
    <w:rsid w:val="005A7EC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5A7EC6"/>
    <w:rPr>
      <w:color w:val="0000FF"/>
      <w:u w:val="single"/>
    </w:rPr>
  </w:style>
  <w:style w:type="paragraph" w:styleId="ListParagraph">
    <w:name w:val="List Paragraph"/>
    <w:basedOn w:val="Normal"/>
    <w:uiPriority w:val="34"/>
    <w:qFormat/>
    <w:rsid w:val="00C01207"/>
    <w:pPr>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uiPriority w:val="22"/>
    <w:qFormat/>
    <w:rsid w:val="00236919"/>
    <w:rPr>
      <w:b/>
      <w:bCs/>
    </w:rPr>
  </w:style>
  <w:style w:type="character" w:styleId="Emphasis">
    <w:name w:val="Emphasis"/>
    <w:basedOn w:val="DefaultParagraphFont"/>
    <w:uiPriority w:val="20"/>
    <w:qFormat/>
    <w:rsid w:val="00F77876"/>
    <w:rPr>
      <w:i/>
      <w:iCs/>
    </w:rPr>
  </w:style>
  <w:style w:type="paragraph" w:styleId="Header">
    <w:name w:val="header"/>
    <w:basedOn w:val="Normal"/>
    <w:link w:val="HeaderChar"/>
    <w:uiPriority w:val="99"/>
    <w:unhideWhenUsed/>
    <w:rsid w:val="006F6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ACF"/>
    <w:rPr>
      <w:lang w:val="en-US"/>
    </w:rPr>
  </w:style>
  <w:style w:type="paragraph" w:styleId="Footer">
    <w:name w:val="footer"/>
    <w:basedOn w:val="Normal"/>
    <w:link w:val="FooterChar"/>
    <w:uiPriority w:val="99"/>
    <w:unhideWhenUsed/>
    <w:rsid w:val="006F6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AC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039">
      <w:bodyDiv w:val="1"/>
      <w:marLeft w:val="0"/>
      <w:marRight w:val="0"/>
      <w:marTop w:val="0"/>
      <w:marBottom w:val="0"/>
      <w:divBdr>
        <w:top w:val="none" w:sz="0" w:space="0" w:color="auto"/>
        <w:left w:val="none" w:sz="0" w:space="0" w:color="auto"/>
        <w:bottom w:val="none" w:sz="0" w:space="0" w:color="auto"/>
        <w:right w:val="none" w:sz="0" w:space="0" w:color="auto"/>
      </w:divBdr>
    </w:div>
    <w:div w:id="254677200">
      <w:bodyDiv w:val="1"/>
      <w:marLeft w:val="0"/>
      <w:marRight w:val="0"/>
      <w:marTop w:val="0"/>
      <w:marBottom w:val="0"/>
      <w:divBdr>
        <w:top w:val="none" w:sz="0" w:space="0" w:color="auto"/>
        <w:left w:val="none" w:sz="0" w:space="0" w:color="auto"/>
        <w:bottom w:val="none" w:sz="0" w:space="0" w:color="auto"/>
        <w:right w:val="none" w:sz="0" w:space="0" w:color="auto"/>
      </w:divBdr>
    </w:div>
    <w:div w:id="440881357">
      <w:bodyDiv w:val="1"/>
      <w:marLeft w:val="0"/>
      <w:marRight w:val="0"/>
      <w:marTop w:val="0"/>
      <w:marBottom w:val="0"/>
      <w:divBdr>
        <w:top w:val="none" w:sz="0" w:space="0" w:color="auto"/>
        <w:left w:val="none" w:sz="0" w:space="0" w:color="auto"/>
        <w:bottom w:val="none" w:sz="0" w:space="0" w:color="auto"/>
        <w:right w:val="none" w:sz="0" w:space="0" w:color="auto"/>
      </w:divBdr>
    </w:div>
    <w:div w:id="462697266">
      <w:bodyDiv w:val="1"/>
      <w:marLeft w:val="0"/>
      <w:marRight w:val="0"/>
      <w:marTop w:val="0"/>
      <w:marBottom w:val="0"/>
      <w:divBdr>
        <w:top w:val="none" w:sz="0" w:space="0" w:color="auto"/>
        <w:left w:val="none" w:sz="0" w:space="0" w:color="auto"/>
        <w:bottom w:val="none" w:sz="0" w:space="0" w:color="auto"/>
        <w:right w:val="none" w:sz="0" w:space="0" w:color="auto"/>
      </w:divBdr>
    </w:div>
    <w:div w:id="495609176">
      <w:bodyDiv w:val="1"/>
      <w:marLeft w:val="0"/>
      <w:marRight w:val="0"/>
      <w:marTop w:val="0"/>
      <w:marBottom w:val="0"/>
      <w:divBdr>
        <w:top w:val="none" w:sz="0" w:space="0" w:color="auto"/>
        <w:left w:val="none" w:sz="0" w:space="0" w:color="auto"/>
        <w:bottom w:val="none" w:sz="0" w:space="0" w:color="auto"/>
        <w:right w:val="none" w:sz="0" w:space="0" w:color="auto"/>
      </w:divBdr>
    </w:div>
    <w:div w:id="500395649">
      <w:bodyDiv w:val="1"/>
      <w:marLeft w:val="0"/>
      <w:marRight w:val="0"/>
      <w:marTop w:val="0"/>
      <w:marBottom w:val="0"/>
      <w:divBdr>
        <w:top w:val="none" w:sz="0" w:space="0" w:color="auto"/>
        <w:left w:val="none" w:sz="0" w:space="0" w:color="auto"/>
        <w:bottom w:val="none" w:sz="0" w:space="0" w:color="auto"/>
        <w:right w:val="none" w:sz="0" w:space="0" w:color="auto"/>
      </w:divBdr>
    </w:div>
    <w:div w:id="850798660">
      <w:bodyDiv w:val="1"/>
      <w:marLeft w:val="0"/>
      <w:marRight w:val="0"/>
      <w:marTop w:val="0"/>
      <w:marBottom w:val="0"/>
      <w:divBdr>
        <w:top w:val="none" w:sz="0" w:space="0" w:color="auto"/>
        <w:left w:val="none" w:sz="0" w:space="0" w:color="auto"/>
        <w:bottom w:val="none" w:sz="0" w:space="0" w:color="auto"/>
        <w:right w:val="none" w:sz="0" w:space="0" w:color="auto"/>
      </w:divBdr>
    </w:div>
    <w:div w:id="939949095">
      <w:bodyDiv w:val="1"/>
      <w:marLeft w:val="0"/>
      <w:marRight w:val="0"/>
      <w:marTop w:val="0"/>
      <w:marBottom w:val="0"/>
      <w:divBdr>
        <w:top w:val="none" w:sz="0" w:space="0" w:color="auto"/>
        <w:left w:val="none" w:sz="0" w:space="0" w:color="auto"/>
        <w:bottom w:val="none" w:sz="0" w:space="0" w:color="auto"/>
        <w:right w:val="none" w:sz="0" w:space="0" w:color="auto"/>
      </w:divBdr>
    </w:div>
    <w:div w:id="1170415054">
      <w:bodyDiv w:val="1"/>
      <w:marLeft w:val="0"/>
      <w:marRight w:val="0"/>
      <w:marTop w:val="0"/>
      <w:marBottom w:val="0"/>
      <w:divBdr>
        <w:top w:val="none" w:sz="0" w:space="0" w:color="auto"/>
        <w:left w:val="none" w:sz="0" w:space="0" w:color="auto"/>
        <w:bottom w:val="none" w:sz="0" w:space="0" w:color="auto"/>
        <w:right w:val="none" w:sz="0" w:space="0" w:color="auto"/>
      </w:divBdr>
    </w:div>
    <w:div w:id="1497265252">
      <w:bodyDiv w:val="1"/>
      <w:marLeft w:val="0"/>
      <w:marRight w:val="0"/>
      <w:marTop w:val="0"/>
      <w:marBottom w:val="0"/>
      <w:divBdr>
        <w:top w:val="none" w:sz="0" w:space="0" w:color="auto"/>
        <w:left w:val="none" w:sz="0" w:space="0" w:color="auto"/>
        <w:bottom w:val="none" w:sz="0" w:space="0" w:color="auto"/>
        <w:right w:val="none" w:sz="0" w:space="0" w:color="auto"/>
      </w:divBdr>
    </w:div>
    <w:div w:id="1780222734">
      <w:bodyDiv w:val="1"/>
      <w:marLeft w:val="0"/>
      <w:marRight w:val="0"/>
      <w:marTop w:val="0"/>
      <w:marBottom w:val="0"/>
      <w:divBdr>
        <w:top w:val="none" w:sz="0" w:space="0" w:color="auto"/>
        <w:left w:val="none" w:sz="0" w:space="0" w:color="auto"/>
        <w:bottom w:val="none" w:sz="0" w:space="0" w:color="auto"/>
        <w:right w:val="none" w:sz="0" w:space="0" w:color="auto"/>
      </w:divBdr>
    </w:div>
    <w:div w:id="1953442085">
      <w:bodyDiv w:val="1"/>
      <w:marLeft w:val="0"/>
      <w:marRight w:val="0"/>
      <w:marTop w:val="0"/>
      <w:marBottom w:val="0"/>
      <w:divBdr>
        <w:top w:val="none" w:sz="0" w:space="0" w:color="auto"/>
        <w:left w:val="none" w:sz="0" w:space="0" w:color="auto"/>
        <w:bottom w:val="none" w:sz="0" w:space="0" w:color="auto"/>
        <w:right w:val="none" w:sz="0" w:space="0" w:color="auto"/>
      </w:divBdr>
    </w:div>
    <w:div w:id="197992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gentoa.com/article/10.1080/23311843.2017.1291107" TargetMode="External"/><Relationship Id="rId4" Type="http://schemas.openxmlformats.org/officeDocument/2006/relationships/settings" Target="settings.xml"/><Relationship Id="rId9" Type="http://schemas.openxmlformats.org/officeDocument/2006/relationships/hyperlink" Target="https://www.cogentoa.com/article/10.1080/23311843.2017.129110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000">
                <a:latin typeface="Times New Roman" pitchFamily="18" charset="0"/>
                <a:cs typeface="Times New Roman" pitchFamily="18" charset="0"/>
              </a:rPr>
              <a:t>Figure 1: </a:t>
            </a:r>
            <a:r>
              <a:rPr lang="en-CA" sz="1000">
                <a:latin typeface="Times New Roman" pitchFamily="18" charset="0"/>
                <a:cs typeface="Times New Roman" pitchFamily="18" charset="0"/>
              </a:rPr>
              <a:t>Heavy Metals Concentration (mg/kg) in Cultivated Drumstick Leaf Samples from Katsina State</a:t>
            </a:r>
            <a:endParaRPr lang="en-US" sz="1000">
              <a:latin typeface="Times New Roman" pitchFamily="18" charset="0"/>
              <a:cs typeface="Times New Roman" pitchFamily="18" charset="0"/>
            </a:endParaRPr>
          </a:p>
        </c:rich>
      </c:tx>
      <c:layout>
        <c:manualLayout>
          <c:xMode val="edge"/>
          <c:yMode val="edge"/>
          <c:x val="0.16602649006622519"/>
          <c:y val="0.93998115168489871"/>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959343658201667"/>
          <c:y val="9.9601431970050558E-2"/>
          <c:w val="0.78491091759225451"/>
          <c:h val="0.70209382406055409"/>
        </c:manualLayout>
      </c:layout>
      <c:bar3DChart>
        <c:barDir val="col"/>
        <c:grouping val="clustered"/>
        <c:varyColors val="0"/>
        <c:ser>
          <c:idx val="0"/>
          <c:order val="0"/>
          <c:tx>
            <c:strRef>
              <c:f>Sheet1!$B$155</c:f>
              <c:strCache>
                <c:ptCount val="1"/>
                <c:pt idx="0">
                  <c:v>Mn</c:v>
                </c:pt>
              </c:strCache>
            </c:strRef>
          </c:tx>
          <c:invertIfNegative val="0"/>
          <c:cat>
            <c:strRef>
              <c:f>Sheet1!$A$156:$A$166</c:f>
              <c:strCache>
                <c:ptCount val="11"/>
                <c:pt idx="0">
                  <c:v>Birchi</c:v>
                </c:pt>
                <c:pt idx="1">
                  <c:v>Dabai</c:v>
                </c:pt>
                <c:pt idx="2">
                  <c:v>Daura</c:v>
                </c:pt>
                <c:pt idx="3">
                  <c:v>Dutsinma</c:v>
                </c:pt>
                <c:pt idx="4">
                  <c:v>Funtua</c:v>
                </c:pt>
                <c:pt idx="5">
                  <c:v>Ingawa</c:v>
                </c:pt>
                <c:pt idx="6">
                  <c:v>Kafur</c:v>
                </c:pt>
                <c:pt idx="7">
                  <c:v>Katsina</c:v>
                </c:pt>
                <c:pt idx="8">
                  <c:v>Malunfashi</c:v>
                </c:pt>
                <c:pt idx="9">
                  <c:v>Matazu</c:v>
                </c:pt>
                <c:pt idx="10">
                  <c:v>Zango</c:v>
                </c:pt>
              </c:strCache>
            </c:strRef>
          </c:cat>
          <c:val>
            <c:numRef>
              <c:f>Sheet1!$B$156:$B$166</c:f>
              <c:numCache>
                <c:formatCode>General</c:formatCode>
                <c:ptCount val="11"/>
              </c:numCache>
            </c:numRef>
          </c:val>
          <c:extLst xmlns:c16r2="http://schemas.microsoft.com/office/drawing/2015/06/chart">
            <c:ext xmlns:c16="http://schemas.microsoft.com/office/drawing/2014/chart" uri="{C3380CC4-5D6E-409C-BE32-E72D297353CC}">
              <c16:uniqueId val="{00000000-7AE5-4E33-9B56-F950DD704F80}"/>
            </c:ext>
          </c:extLst>
        </c:ser>
        <c:ser>
          <c:idx val="1"/>
          <c:order val="1"/>
          <c:tx>
            <c:strRef>
              <c:f>Sheet1!$C$155</c:f>
              <c:strCache>
                <c:ptCount val="1"/>
                <c:pt idx="0">
                  <c:v>Zn</c:v>
                </c:pt>
              </c:strCache>
            </c:strRef>
          </c:tx>
          <c:invertIfNegative val="0"/>
          <c:cat>
            <c:strRef>
              <c:f>Sheet1!$A$156:$A$166</c:f>
              <c:strCache>
                <c:ptCount val="11"/>
                <c:pt idx="0">
                  <c:v>Birchi</c:v>
                </c:pt>
                <c:pt idx="1">
                  <c:v>Dabai</c:v>
                </c:pt>
                <c:pt idx="2">
                  <c:v>Daura</c:v>
                </c:pt>
                <c:pt idx="3">
                  <c:v>Dutsinma</c:v>
                </c:pt>
                <c:pt idx="4">
                  <c:v>Funtua</c:v>
                </c:pt>
                <c:pt idx="5">
                  <c:v>Ingawa</c:v>
                </c:pt>
                <c:pt idx="6">
                  <c:v>Kafur</c:v>
                </c:pt>
                <c:pt idx="7">
                  <c:v>Katsina</c:v>
                </c:pt>
                <c:pt idx="8">
                  <c:v>Malunfashi</c:v>
                </c:pt>
                <c:pt idx="9">
                  <c:v>Matazu</c:v>
                </c:pt>
                <c:pt idx="10">
                  <c:v>Zango</c:v>
                </c:pt>
              </c:strCache>
            </c:strRef>
          </c:cat>
          <c:val>
            <c:numRef>
              <c:f>Sheet1!$C$156:$C$166</c:f>
              <c:numCache>
                <c:formatCode>General</c:formatCode>
                <c:ptCount val="11"/>
                <c:pt idx="0">
                  <c:v>1.4279999999999482</c:v>
                </c:pt>
                <c:pt idx="1">
                  <c:v>1.349</c:v>
                </c:pt>
                <c:pt idx="2">
                  <c:v>0.92600000000000005</c:v>
                </c:pt>
                <c:pt idx="3">
                  <c:v>1.1080000000000001</c:v>
                </c:pt>
                <c:pt idx="4">
                  <c:v>1.2369999999999697</c:v>
                </c:pt>
                <c:pt idx="5">
                  <c:v>0.82600000000000062</c:v>
                </c:pt>
                <c:pt idx="6">
                  <c:v>1.2449999999999708</c:v>
                </c:pt>
                <c:pt idx="7">
                  <c:v>1.351</c:v>
                </c:pt>
                <c:pt idx="8">
                  <c:v>1.258</c:v>
                </c:pt>
                <c:pt idx="9">
                  <c:v>1.1619999999999731</c:v>
                </c:pt>
                <c:pt idx="10">
                  <c:v>0.92500000000000004</c:v>
                </c:pt>
              </c:numCache>
            </c:numRef>
          </c:val>
          <c:extLst xmlns:c16r2="http://schemas.microsoft.com/office/drawing/2015/06/chart">
            <c:ext xmlns:c16="http://schemas.microsoft.com/office/drawing/2014/chart" uri="{C3380CC4-5D6E-409C-BE32-E72D297353CC}">
              <c16:uniqueId val="{00000001-7AE5-4E33-9B56-F950DD704F80}"/>
            </c:ext>
          </c:extLst>
        </c:ser>
        <c:ser>
          <c:idx val="2"/>
          <c:order val="2"/>
          <c:tx>
            <c:strRef>
              <c:f>Sheet1!$D$155</c:f>
              <c:strCache>
                <c:ptCount val="1"/>
                <c:pt idx="0">
                  <c:v>Pb</c:v>
                </c:pt>
              </c:strCache>
            </c:strRef>
          </c:tx>
          <c:invertIfNegative val="0"/>
          <c:cat>
            <c:strRef>
              <c:f>Sheet1!$A$156:$A$166</c:f>
              <c:strCache>
                <c:ptCount val="11"/>
                <c:pt idx="0">
                  <c:v>Birchi</c:v>
                </c:pt>
                <c:pt idx="1">
                  <c:v>Dabai</c:v>
                </c:pt>
                <c:pt idx="2">
                  <c:v>Daura</c:v>
                </c:pt>
                <c:pt idx="3">
                  <c:v>Dutsinma</c:v>
                </c:pt>
                <c:pt idx="4">
                  <c:v>Funtua</c:v>
                </c:pt>
                <c:pt idx="5">
                  <c:v>Ingawa</c:v>
                </c:pt>
                <c:pt idx="6">
                  <c:v>Kafur</c:v>
                </c:pt>
                <c:pt idx="7">
                  <c:v>Katsina</c:v>
                </c:pt>
                <c:pt idx="8">
                  <c:v>Malunfashi</c:v>
                </c:pt>
                <c:pt idx="9">
                  <c:v>Matazu</c:v>
                </c:pt>
                <c:pt idx="10">
                  <c:v>Zango</c:v>
                </c:pt>
              </c:strCache>
            </c:strRef>
          </c:cat>
          <c:val>
            <c:numRef>
              <c:f>Sheet1!$D$156:$D$166</c:f>
              <c:numCache>
                <c:formatCode>General</c:formatCode>
                <c:ptCount val="11"/>
                <c:pt idx="0">
                  <c:v>0.95700000000000063</c:v>
                </c:pt>
                <c:pt idx="1">
                  <c:v>0.52100000000000002</c:v>
                </c:pt>
                <c:pt idx="2">
                  <c:v>0.68900000000000017</c:v>
                </c:pt>
                <c:pt idx="3">
                  <c:v>0.85200000000000065</c:v>
                </c:pt>
                <c:pt idx="4">
                  <c:v>0.53100000000000003</c:v>
                </c:pt>
                <c:pt idx="5">
                  <c:v>0.66700000000001691</c:v>
                </c:pt>
                <c:pt idx="6">
                  <c:v>0.84500000000000064</c:v>
                </c:pt>
                <c:pt idx="7">
                  <c:v>0.95800000000000063</c:v>
                </c:pt>
                <c:pt idx="8">
                  <c:v>0.94799999999999995</c:v>
                </c:pt>
                <c:pt idx="9">
                  <c:v>0.92600000000000005</c:v>
                </c:pt>
                <c:pt idx="10">
                  <c:v>1.2509999999999706</c:v>
                </c:pt>
              </c:numCache>
            </c:numRef>
          </c:val>
          <c:extLst xmlns:c16r2="http://schemas.microsoft.com/office/drawing/2015/06/chart">
            <c:ext xmlns:c16="http://schemas.microsoft.com/office/drawing/2014/chart" uri="{C3380CC4-5D6E-409C-BE32-E72D297353CC}">
              <c16:uniqueId val="{00000002-7AE5-4E33-9B56-F950DD704F80}"/>
            </c:ext>
          </c:extLst>
        </c:ser>
        <c:ser>
          <c:idx val="3"/>
          <c:order val="3"/>
          <c:tx>
            <c:strRef>
              <c:f>Sheet1!$E$155</c:f>
              <c:strCache>
                <c:ptCount val="1"/>
                <c:pt idx="0">
                  <c:v>Cd</c:v>
                </c:pt>
              </c:strCache>
            </c:strRef>
          </c:tx>
          <c:invertIfNegative val="0"/>
          <c:cat>
            <c:strRef>
              <c:f>Sheet1!$A$156:$A$166</c:f>
              <c:strCache>
                <c:ptCount val="11"/>
                <c:pt idx="0">
                  <c:v>Birchi</c:v>
                </c:pt>
                <c:pt idx="1">
                  <c:v>Dabai</c:v>
                </c:pt>
                <c:pt idx="2">
                  <c:v>Daura</c:v>
                </c:pt>
                <c:pt idx="3">
                  <c:v>Dutsinma</c:v>
                </c:pt>
                <c:pt idx="4">
                  <c:v>Funtua</c:v>
                </c:pt>
                <c:pt idx="5">
                  <c:v>Ingawa</c:v>
                </c:pt>
                <c:pt idx="6">
                  <c:v>Kafur</c:v>
                </c:pt>
                <c:pt idx="7">
                  <c:v>Katsina</c:v>
                </c:pt>
                <c:pt idx="8">
                  <c:v>Malunfashi</c:v>
                </c:pt>
                <c:pt idx="9">
                  <c:v>Matazu</c:v>
                </c:pt>
                <c:pt idx="10">
                  <c:v>Zango</c:v>
                </c:pt>
              </c:strCache>
            </c:strRef>
          </c:cat>
          <c:val>
            <c:numRef>
              <c:f>Sheet1!$E$156:$E$166</c:f>
              <c:numCache>
                <c:formatCode>General</c:formatCode>
                <c:ptCount val="11"/>
                <c:pt idx="0">
                  <c:v>7.3000000000000023E-2</c:v>
                </c:pt>
                <c:pt idx="1">
                  <c:v>6.1000000000000019E-2</c:v>
                </c:pt>
                <c:pt idx="2">
                  <c:v>5.400000000000002E-2</c:v>
                </c:pt>
                <c:pt idx="3">
                  <c:v>4.8000000000000015E-2</c:v>
                </c:pt>
                <c:pt idx="4">
                  <c:v>4.1000000000000002E-2</c:v>
                </c:pt>
                <c:pt idx="5">
                  <c:v>4.7000000000000028E-2</c:v>
                </c:pt>
                <c:pt idx="6">
                  <c:v>4.6000000000000013E-2</c:v>
                </c:pt>
                <c:pt idx="7">
                  <c:v>5.1000000000000004E-2</c:v>
                </c:pt>
                <c:pt idx="8">
                  <c:v>3.9000000000000028E-2</c:v>
                </c:pt>
                <c:pt idx="9">
                  <c:v>5.1000000000000004E-2</c:v>
                </c:pt>
                <c:pt idx="10">
                  <c:v>4.8000000000000015E-2</c:v>
                </c:pt>
              </c:numCache>
            </c:numRef>
          </c:val>
          <c:extLst xmlns:c16r2="http://schemas.microsoft.com/office/drawing/2015/06/chart">
            <c:ext xmlns:c16="http://schemas.microsoft.com/office/drawing/2014/chart" uri="{C3380CC4-5D6E-409C-BE32-E72D297353CC}">
              <c16:uniqueId val="{00000003-7AE5-4E33-9B56-F950DD704F80}"/>
            </c:ext>
          </c:extLst>
        </c:ser>
        <c:ser>
          <c:idx val="4"/>
          <c:order val="4"/>
          <c:tx>
            <c:strRef>
              <c:f>Sheet1!$F$155</c:f>
              <c:strCache>
                <c:ptCount val="1"/>
                <c:pt idx="0">
                  <c:v>Ni</c:v>
                </c:pt>
              </c:strCache>
            </c:strRef>
          </c:tx>
          <c:invertIfNegative val="0"/>
          <c:cat>
            <c:strRef>
              <c:f>Sheet1!$A$156:$A$166</c:f>
              <c:strCache>
                <c:ptCount val="11"/>
                <c:pt idx="0">
                  <c:v>Birchi</c:v>
                </c:pt>
                <c:pt idx="1">
                  <c:v>Dabai</c:v>
                </c:pt>
                <c:pt idx="2">
                  <c:v>Daura</c:v>
                </c:pt>
                <c:pt idx="3">
                  <c:v>Dutsinma</c:v>
                </c:pt>
                <c:pt idx="4">
                  <c:v>Funtua</c:v>
                </c:pt>
                <c:pt idx="5">
                  <c:v>Ingawa</c:v>
                </c:pt>
                <c:pt idx="6">
                  <c:v>Kafur</c:v>
                </c:pt>
                <c:pt idx="7">
                  <c:v>Katsina</c:v>
                </c:pt>
                <c:pt idx="8">
                  <c:v>Malunfashi</c:v>
                </c:pt>
                <c:pt idx="9">
                  <c:v>Matazu</c:v>
                </c:pt>
                <c:pt idx="10">
                  <c:v>Zango</c:v>
                </c:pt>
              </c:strCache>
            </c:strRef>
          </c:cat>
          <c:val>
            <c:numRef>
              <c:f>Sheet1!$F$156:$F$166</c:f>
              <c:numCache>
                <c:formatCode>General</c:formatCode>
                <c:ptCount val="11"/>
              </c:numCache>
            </c:numRef>
          </c:val>
          <c:extLst xmlns:c16r2="http://schemas.microsoft.com/office/drawing/2015/06/chart">
            <c:ext xmlns:c16="http://schemas.microsoft.com/office/drawing/2014/chart" uri="{C3380CC4-5D6E-409C-BE32-E72D297353CC}">
              <c16:uniqueId val="{00000004-7AE5-4E33-9B56-F950DD704F80}"/>
            </c:ext>
          </c:extLst>
        </c:ser>
        <c:ser>
          <c:idx val="5"/>
          <c:order val="5"/>
          <c:tx>
            <c:strRef>
              <c:f>Sheet1!$G$155</c:f>
              <c:strCache>
                <c:ptCount val="1"/>
                <c:pt idx="0">
                  <c:v>Fe</c:v>
                </c:pt>
              </c:strCache>
            </c:strRef>
          </c:tx>
          <c:invertIfNegative val="0"/>
          <c:cat>
            <c:strRef>
              <c:f>Sheet1!$A$156:$A$166</c:f>
              <c:strCache>
                <c:ptCount val="11"/>
                <c:pt idx="0">
                  <c:v>Birchi</c:v>
                </c:pt>
                <c:pt idx="1">
                  <c:v>Dabai</c:v>
                </c:pt>
                <c:pt idx="2">
                  <c:v>Daura</c:v>
                </c:pt>
                <c:pt idx="3">
                  <c:v>Dutsinma</c:v>
                </c:pt>
                <c:pt idx="4">
                  <c:v>Funtua</c:v>
                </c:pt>
                <c:pt idx="5">
                  <c:v>Ingawa</c:v>
                </c:pt>
                <c:pt idx="6">
                  <c:v>Kafur</c:v>
                </c:pt>
                <c:pt idx="7">
                  <c:v>Katsina</c:v>
                </c:pt>
                <c:pt idx="8">
                  <c:v>Malunfashi</c:v>
                </c:pt>
                <c:pt idx="9">
                  <c:v>Matazu</c:v>
                </c:pt>
                <c:pt idx="10">
                  <c:v>Zango</c:v>
                </c:pt>
              </c:strCache>
            </c:strRef>
          </c:cat>
          <c:val>
            <c:numRef>
              <c:f>Sheet1!$G$156:$G$166</c:f>
              <c:numCache>
                <c:formatCode>General</c:formatCode>
                <c:ptCount val="11"/>
                <c:pt idx="0">
                  <c:v>0.59600000000000009</c:v>
                </c:pt>
                <c:pt idx="1">
                  <c:v>1.0920000000000001</c:v>
                </c:pt>
                <c:pt idx="2">
                  <c:v>0.93500000000000005</c:v>
                </c:pt>
                <c:pt idx="3">
                  <c:v>0.85700000000000065</c:v>
                </c:pt>
                <c:pt idx="4">
                  <c:v>0.91200000000000003</c:v>
                </c:pt>
                <c:pt idx="5">
                  <c:v>0.94799999999999995</c:v>
                </c:pt>
                <c:pt idx="6">
                  <c:v>1.1240000000000001</c:v>
                </c:pt>
                <c:pt idx="7">
                  <c:v>1.369</c:v>
                </c:pt>
                <c:pt idx="8">
                  <c:v>0.85700000000000065</c:v>
                </c:pt>
                <c:pt idx="9">
                  <c:v>1.3280000000000001</c:v>
                </c:pt>
                <c:pt idx="10">
                  <c:v>1.1519999999999717</c:v>
                </c:pt>
              </c:numCache>
            </c:numRef>
          </c:val>
          <c:extLst xmlns:c16r2="http://schemas.microsoft.com/office/drawing/2015/06/chart">
            <c:ext xmlns:c16="http://schemas.microsoft.com/office/drawing/2014/chart" uri="{C3380CC4-5D6E-409C-BE32-E72D297353CC}">
              <c16:uniqueId val="{00000005-7AE5-4E33-9B56-F950DD704F80}"/>
            </c:ext>
          </c:extLst>
        </c:ser>
        <c:ser>
          <c:idx val="6"/>
          <c:order val="6"/>
          <c:tx>
            <c:strRef>
              <c:f>Sheet1!$H$155</c:f>
              <c:strCache>
                <c:ptCount val="1"/>
                <c:pt idx="0">
                  <c:v>Cr</c:v>
                </c:pt>
              </c:strCache>
            </c:strRef>
          </c:tx>
          <c:invertIfNegative val="0"/>
          <c:cat>
            <c:strRef>
              <c:f>Sheet1!$A$156:$A$166</c:f>
              <c:strCache>
                <c:ptCount val="11"/>
                <c:pt idx="0">
                  <c:v>Birchi</c:v>
                </c:pt>
                <c:pt idx="1">
                  <c:v>Dabai</c:v>
                </c:pt>
                <c:pt idx="2">
                  <c:v>Daura</c:v>
                </c:pt>
                <c:pt idx="3">
                  <c:v>Dutsinma</c:v>
                </c:pt>
                <c:pt idx="4">
                  <c:v>Funtua</c:v>
                </c:pt>
                <c:pt idx="5">
                  <c:v>Ingawa</c:v>
                </c:pt>
                <c:pt idx="6">
                  <c:v>Kafur</c:v>
                </c:pt>
                <c:pt idx="7">
                  <c:v>Katsina</c:v>
                </c:pt>
                <c:pt idx="8">
                  <c:v>Malunfashi</c:v>
                </c:pt>
                <c:pt idx="9">
                  <c:v>Matazu</c:v>
                </c:pt>
                <c:pt idx="10">
                  <c:v>Zango</c:v>
                </c:pt>
              </c:strCache>
            </c:strRef>
          </c:cat>
          <c:val>
            <c:numRef>
              <c:f>Sheet1!$H$156:$H$166</c:f>
              <c:numCache>
                <c:formatCode>General</c:formatCode>
                <c:ptCount val="11"/>
                <c:pt idx="1">
                  <c:v>0.15400000000000041</c:v>
                </c:pt>
                <c:pt idx="3">
                  <c:v>0.29600000000000032</c:v>
                </c:pt>
                <c:pt idx="4">
                  <c:v>0.13800000000000001</c:v>
                </c:pt>
                <c:pt idx="5">
                  <c:v>0.31000000000000238</c:v>
                </c:pt>
                <c:pt idx="7">
                  <c:v>0.15200000000000041</c:v>
                </c:pt>
                <c:pt idx="8">
                  <c:v>0.28100000000000008</c:v>
                </c:pt>
                <c:pt idx="9">
                  <c:v>0.19600000000000004</c:v>
                </c:pt>
                <c:pt idx="10">
                  <c:v>0.25600000000000001</c:v>
                </c:pt>
              </c:numCache>
            </c:numRef>
          </c:val>
          <c:extLst xmlns:c16r2="http://schemas.microsoft.com/office/drawing/2015/06/chart">
            <c:ext xmlns:c16="http://schemas.microsoft.com/office/drawing/2014/chart" uri="{C3380CC4-5D6E-409C-BE32-E72D297353CC}">
              <c16:uniqueId val="{00000006-7AE5-4E33-9B56-F950DD704F80}"/>
            </c:ext>
          </c:extLst>
        </c:ser>
        <c:dLbls>
          <c:showLegendKey val="0"/>
          <c:showVal val="0"/>
          <c:showCatName val="0"/>
          <c:showSerName val="0"/>
          <c:showPercent val="0"/>
          <c:showBubbleSize val="0"/>
        </c:dLbls>
        <c:gapWidth val="150"/>
        <c:shape val="box"/>
        <c:axId val="364326848"/>
        <c:axId val="364325280"/>
        <c:axId val="0"/>
      </c:bar3DChart>
      <c:catAx>
        <c:axId val="364326848"/>
        <c:scaling>
          <c:orientation val="minMax"/>
        </c:scaling>
        <c:delete val="0"/>
        <c:axPos val="b"/>
        <c:title>
          <c:tx>
            <c:rich>
              <a:bodyPr/>
              <a:lstStyle/>
              <a:p>
                <a:pPr>
                  <a:defRPr/>
                </a:pPr>
                <a:r>
                  <a:rPr lang="en-US"/>
                  <a:t>Location</a:t>
                </a:r>
              </a:p>
            </c:rich>
          </c:tx>
          <c:overlay val="0"/>
        </c:title>
        <c:numFmt formatCode="General" sourceLinked="0"/>
        <c:majorTickMark val="out"/>
        <c:minorTickMark val="none"/>
        <c:tickLblPos val="nextTo"/>
        <c:crossAx val="364325280"/>
        <c:crosses val="autoZero"/>
        <c:auto val="1"/>
        <c:lblAlgn val="ctr"/>
        <c:lblOffset val="100"/>
        <c:noMultiLvlLbl val="0"/>
      </c:catAx>
      <c:valAx>
        <c:axId val="364325280"/>
        <c:scaling>
          <c:orientation val="minMax"/>
        </c:scaling>
        <c:delete val="0"/>
        <c:axPos val="l"/>
        <c:majorGridlines/>
        <c:title>
          <c:tx>
            <c:rich>
              <a:bodyPr rot="-5400000" vert="horz"/>
              <a:lstStyle/>
              <a:p>
                <a:pPr>
                  <a:defRPr/>
                </a:pPr>
                <a:r>
                  <a:rPr lang="en-US"/>
                  <a:t>mg/kg</a:t>
                </a:r>
              </a:p>
            </c:rich>
          </c:tx>
          <c:overlay val="0"/>
        </c:title>
        <c:numFmt formatCode="General" sourceLinked="1"/>
        <c:majorTickMark val="out"/>
        <c:minorTickMark val="none"/>
        <c:tickLblPos val="nextTo"/>
        <c:crossAx val="3643268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A4323-8CED-4292-8B81-FFA13A6C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2024-08-10T14:08:00Z</dcterms:created>
  <dcterms:modified xsi:type="dcterms:W3CDTF">2024-08-10T14:08:00Z</dcterms:modified>
</cp:coreProperties>
</file>