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63A58" w14:textId="679DF0C0" w:rsidR="00410655" w:rsidRDefault="00C8459E" w:rsidP="00D409CA">
      <w:pPr>
        <w:pStyle w:val="NormalWeb"/>
        <w:spacing w:before="0" w:beforeAutospacing="0" w:after="0" w:afterAutospacing="0" w:line="276" w:lineRule="auto"/>
        <w:jc w:val="both"/>
        <w:rPr>
          <w:b/>
          <w:color w:val="1F1F1F"/>
          <w:sz w:val="28"/>
          <w:szCs w:val="28"/>
        </w:rPr>
      </w:pPr>
      <w:r w:rsidRPr="00E64BC3">
        <w:rPr>
          <w:b/>
          <w:color w:val="1F1F1F"/>
          <w:sz w:val="28"/>
          <w:szCs w:val="28"/>
        </w:rPr>
        <w:t>Advanced Monitoring of B-Cell Acute Lymphoblastic Leukaemia in Western India</w:t>
      </w:r>
      <w:r w:rsidR="0024474B">
        <w:rPr>
          <w:b/>
          <w:color w:val="1F1F1F"/>
          <w:sz w:val="28"/>
          <w:szCs w:val="28"/>
        </w:rPr>
        <w:t xml:space="preserve">: </w:t>
      </w:r>
      <w:r w:rsidR="00410655" w:rsidRPr="00E64BC3">
        <w:rPr>
          <w:b/>
          <w:color w:val="1F1F1F"/>
          <w:sz w:val="28"/>
          <w:szCs w:val="28"/>
        </w:rPr>
        <w:t>Correlation of minor BCR-ABL1 fusion gene with H</w:t>
      </w:r>
      <w:r w:rsidRPr="00E64BC3">
        <w:rPr>
          <w:b/>
          <w:color w:val="1F1F1F"/>
          <w:sz w:val="28"/>
          <w:szCs w:val="28"/>
        </w:rPr>
        <w:t>aematological Parameters and Lactate Dehydrogenase</w:t>
      </w:r>
      <w:r w:rsidR="00D409CA">
        <w:rPr>
          <w:b/>
          <w:color w:val="1F1F1F"/>
          <w:sz w:val="28"/>
          <w:szCs w:val="28"/>
        </w:rPr>
        <w:t xml:space="preserve"> Activity</w:t>
      </w:r>
    </w:p>
    <w:p w14:paraId="6D11A37E" w14:textId="77777777" w:rsidR="00E64BC3" w:rsidRDefault="00E64BC3" w:rsidP="00067059">
      <w:pPr>
        <w:pStyle w:val="Default"/>
        <w:jc w:val="both"/>
        <w:rPr>
          <w:b/>
          <w:bCs/>
        </w:rPr>
      </w:pPr>
    </w:p>
    <w:p w14:paraId="3DB6AD94" w14:textId="462E7A0A" w:rsidR="00067059" w:rsidRDefault="00E64BC3" w:rsidP="00067059">
      <w:pPr>
        <w:pStyle w:val="Default"/>
        <w:jc w:val="center"/>
        <w:rPr>
          <w:b/>
          <w:bCs/>
          <w:vertAlign w:val="superscript"/>
        </w:rPr>
      </w:pPr>
      <w:r>
        <w:rPr>
          <w:b/>
          <w:bCs/>
        </w:rPr>
        <w:t>Jethva Disha</w:t>
      </w:r>
      <w:r w:rsidRPr="0036210E">
        <w:rPr>
          <w:b/>
          <w:bCs/>
          <w:vertAlign w:val="superscript"/>
        </w:rPr>
        <w:t>1</w:t>
      </w:r>
      <w:r>
        <w:rPr>
          <w:b/>
          <w:bCs/>
        </w:rPr>
        <w:t>, Laliwala Hasan</w:t>
      </w:r>
      <w:r w:rsidRPr="0036210E">
        <w:rPr>
          <w:b/>
          <w:bCs/>
          <w:vertAlign w:val="superscript"/>
        </w:rPr>
        <w:t>2</w:t>
      </w:r>
      <w:r>
        <w:rPr>
          <w:b/>
          <w:bCs/>
        </w:rPr>
        <w:t>, Shah Rutu</w:t>
      </w:r>
      <w:r w:rsidR="0022329C" w:rsidRPr="0022329C">
        <w:rPr>
          <w:b/>
          <w:bCs/>
          <w:vertAlign w:val="superscript"/>
        </w:rPr>
        <w:t>1</w:t>
      </w:r>
      <w:r>
        <w:rPr>
          <w:b/>
          <w:bCs/>
        </w:rPr>
        <w:t>, Gajjar Kinjal</w:t>
      </w:r>
      <w:r w:rsidR="0022329C">
        <w:rPr>
          <w:b/>
          <w:bCs/>
          <w:vertAlign w:val="superscript"/>
        </w:rPr>
        <w:t>3</w:t>
      </w:r>
      <w:r>
        <w:rPr>
          <w:b/>
          <w:bCs/>
        </w:rPr>
        <w:t>, Mandalia Toral</w:t>
      </w:r>
      <w:r w:rsidR="0022329C">
        <w:rPr>
          <w:b/>
          <w:bCs/>
          <w:vertAlign w:val="superscript"/>
        </w:rPr>
        <w:t>3</w:t>
      </w:r>
      <w:r w:rsidR="00067059">
        <w:rPr>
          <w:b/>
          <w:bCs/>
        </w:rPr>
        <w:t>,</w:t>
      </w:r>
      <w:r w:rsidR="00067059">
        <w:rPr>
          <w:b/>
          <w:bCs/>
          <w:vertAlign w:val="superscript"/>
        </w:rPr>
        <w:t xml:space="preserve">  </w:t>
      </w:r>
    </w:p>
    <w:p w14:paraId="3C4DD4EE" w14:textId="242DE7F3" w:rsidR="00E64BC3" w:rsidRDefault="00E64BC3" w:rsidP="00067059">
      <w:pPr>
        <w:pStyle w:val="Default"/>
        <w:jc w:val="center"/>
        <w:rPr>
          <w:b/>
          <w:bCs/>
          <w:vertAlign w:val="superscript"/>
        </w:rPr>
      </w:pPr>
      <w:r>
        <w:rPr>
          <w:b/>
          <w:bCs/>
        </w:rPr>
        <w:t>Patel Jayendrakumar</w:t>
      </w:r>
      <w:r>
        <w:rPr>
          <w:b/>
          <w:bCs/>
          <w:vertAlign w:val="superscript"/>
        </w:rPr>
        <w:t>4</w:t>
      </w:r>
    </w:p>
    <w:p w14:paraId="2BCA6EBE" w14:textId="77777777" w:rsidR="00F86AFE" w:rsidRPr="00F86AFE" w:rsidRDefault="00F86AFE" w:rsidP="00067059">
      <w:pPr>
        <w:pStyle w:val="Default"/>
        <w:jc w:val="center"/>
        <w:rPr>
          <w:b/>
          <w:bCs/>
          <w:sz w:val="10"/>
          <w:szCs w:val="10"/>
        </w:rPr>
      </w:pPr>
    </w:p>
    <w:p w14:paraId="526591F9" w14:textId="301A3B8C" w:rsidR="00E64BC3" w:rsidRPr="00B81003" w:rsidRDefault="0022329C" w:rsidP="00067059">
      <w:pPr>
        <w:pStyle w:val="Default"/>
        <w:jc w:val="center"/>
        <w:rPr>
          <w:sz w:val="22"/>
          <w:szCs w:val="22"/>
        </w:rPr>
      </w:pPr>
      <w:r w:rsidRPr="0022329C">
        <w:rPr>
          <w:sz w:val="22"/>
          <w:szCs w:val="22"/>
          <w:vertAlign w:val="superscript"/>
        </w:rPr>
        <w:t>1</w:t>
      </w:r>
      <w:bookmarkStart w:id="0" w:name="_GoBack"/>
      <w:bookmarkEnd w:id="0"/>
      <w:r w:rsidRPr="00B81003">
        <w:rPr>
          <w:sz w:val="22"/>
          <w:szCs w:val="22"/>
        </w:rPr>
        <w:t>Research Fellow</w:t>
      </w:r>
      <w:r>
        <w:rPr>
          <w:sz w:val="22"/>
          <w:szCs w:val="22"/>
        </w:rPr>
        <w:t xml:space="preserve">, </w:t>
      </w:r>
      <w:r w:rsidRPr="00B81003">
        <w:rPr>
          <w:sz w:val="22"/>
          <w:szCs w:val="22"/>
          <w:vertAlign w:val="superscript"/>
        </w:rPr>
        <w:t>2</w:t>
      </w:r>
      <w:r w:rsidRPr="00B81003">
        <w:rPr>
          <w:sz w:val="22"/>
          <w:szCs w:val="22"/>
        </w:rPr>
        <w:t xml:space="preserve">MSc Student, </w:t>
      </w:r>
      <w:r w:rsidRPr="0022329C">
        <w:rPr>
          <w:sz w:val="22"/>
          <w:szCs w:val="22"/>
          <w:vertAlign w:val="superscript"/>
        </w:rPr>
        <w:t>3</w:t>
      </w:r>
      <w:r w:rsidR="00E64BC3" w:rsidRPr="00B81003">
        <w:rPr>
          <w:sz w:val="22"/>
          <w:szCs w:val="22"/>
        </w:rPr>
        <w:t xml:space="preserve">Research Assistant, </w:t>
      </w:r>
      <w:r w:rsidR="00E64BC3" w:rsidRPr="00B81003">
        <w:rPr>
          <w:sz w:val="22"/>
          <w:szCs w:val="22"/>
          <w:vertAlign w:val="superscript"/>
        </w:rPr>
        <w:t>4</w:t>
      </w:r>
      <w:r w:rsidR="00E64BC3" w:rsidRPr="00B81003">
        <w:rPr>
          <w:sz w:val="22"/>
          <w:szCs w:val="22"/>
        </w:rPr>
        <w:t>Senior Scientific Officer and Head</w:t>
      </w:r>
    </w:p>
    <w:p w14:paraId="1D9DCCBC" w14:textId="730A8029" w:rsidR="00E64BC3" w:rsidRPr="00B81003" w:rsidRDefault="00E64BC3" w:rsidP="00067059">
      <w:pPr>
        <w:pStyle w:val="Default"/>
        <w:jc w:val="center"/>
        <w:rPr>
          <w:sz w:val="22"/>
          <w:szCs w:val="22"/>
        </w:rPr>
      </w:pPr>
      <w:r w:rsidRPr="00B81003">
        <w:rPr>
          <w:sz w:val="22"/>
          <w:szCs w:val="22"/>
        </w:rPr>
        <w:t>Molecular Diagnostics &amp; Research Lab-II, Cancer Biology Department</w:t>
      </w:r>
    </w:p>
    <w:p w14:paraId="49C40284" w14:textId="14ECBE0D" w:rsidR="00E64BC3" w:rsidRDefault="00E64BC3" w:rsidP="00067059">
      <w:pPr>
        <w:pStyle w:val="Default"/>
        <w:jc w:val="center"/>
        <w:rPr>
          <w:sz w:val="22"/>
          <w:szCs w:val="22"/>
        </w:rPr>
      </w:pPr>
      <w:r w:rsidRPr="00B81003">
        <w:rPr>
          <w:sz w:val="22"/>
          <w:szCs w:val="22"/>
        </w:rPr>
        <w:t>The Gujarat Cancer &amp; Research Institute (GCRI), Ahmedabad, Gujarat, India</w:t>
      </w:r>
    </w:p>
    <w:p w14:paraId="285E55F9" w14:textId="5C3EBC97" w:rsidR="0063586B" w:rsidRPr="00B81003" w:rsidRDefault="0063586B" w:rsidP="00067059">
      <w:pPr>
        <w:pStyle w:val="Default"/>
        <w:jc w:val="both"/>
        <w:rPr>
          <w:sz w:val="22"/>
          <w:szCs w:val="22"/>
        </w:rPr>
      </w:pPr>
      <w:r>
        <w:rPr>
          <w:noProof/>
          <w:sz w:val="22"/>
          <w:szCs w:val="22"/>
          <w:vertAlign w:val="superscript"/>
          <w:lang w:eastAsia="en-IN"/>
        </w:rPr>
        <mc:AlternateContent>
          <mc:Choice Requires="wps">
            <w:drawing>
              <wp:anchor distT="0" distB="0" distL="114300" distR="114300" simplePos="0" relativeHeight="251707392" behindDoc="0" locked="0" layoutInCell="1" allowOverlap="1" wp14:anchorId="631019E7" wp14:editId="4161BC3A">
                <wp:simplePos x="0" y="0"/>
                <wp:positionH relativeFrom="margin">
                  <wp:align>right</wp:align>
                </wp:positionH>
                <wp:positionV relativeFrom="paragraph">
                  <wp:posOffset>260985</wp:posOffset>
                </wp:positionV>
                <wp:extent cx="5715000" cy="9525"/>
                <wp:effectExtent l="0" t="0" r="19050" b="28575"/>
                <wp:wrapTopAndBottom/>
                <wp:docPr id="3" name="Straight Connector 3"/>
                <wp:cNvGraphicFramePr/>
                <a:graphic xmlns:a="http://schemas.openxmlformats.org/drawingml/2006/main">
                  <a:graphicData uri="http://schemas.microsoft.com/office/word/2010/wordprocessingShape">
                    <wps:wsp>
                      <wps:cNvCnPr/>
                      <wps:spPr>
                        <a:xfrm>
                          <a:off x="0" y="0"/>
                          <a:ext cx="571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A5B9826" id="Straight Connector 3" o:spid="_x0000_s1026" style="position:absolute;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20.55pt" to="848.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" strokecolor="black [3200]" strokeweight=".5pt">
                <v:stroke joinstyle="miter"/>
                <w10:wrap type="topAndBottom" anchorx="margin"/>
              </v:line>
            </w:pict>
          </mc:Fallback>
        </mc:AlternateContent>
      </w:r>
    </w:p>
    <w:p w14:paraId="084F7012" w14:textId="2DE5D69A" w:rsidR="00D82367" w:rsidRPr="002A6CCD" w:rsidRDefault="002A6CCD" w:rsidP="00560B30">
      <w:pPr>
        <w:pStyle w:val="NormalWeb"/>
        <w:spacing w:before="0" w:beforeAutospacing="0" w:after="0" w:afterAutospacing="0" w:line="276" w:lineRule="auto"/>
        <w:jc w:val="both"/>
        <w:rPr>
          <w:b/>
          <w:color w:val="1F1F1F"/>
        </w:rPr>
      </w:pPr>
      <w:r w:rsidRPr="002A6CCD">
        <w:rPr>
          <w:b/>
          <w:color w:val="1F1F1F"/>
        </w:rPr>
        <w:t>ABSTRACT</w:t>
      </w:r>
    </w:p>
    <w:p w14:paraId="4FB3F728" w14:textId="6E45DEDB" w:rsidR="00FF53F3" w:rsidRDefault="00C8459E" w:rsidP="00AB2F1A">
      <w:pPr>
        <w:pStyle w:val="NormalWeb"/>
        <w:spacing w:before="0" w:beforeAutospacing="0" w:after="0" w:afterAutospacing="0" w:line="276" w:lineRule="auto"/>
        <w:jc w:val="both"/>
        <w:rPr>
          <w:sz w:val="20"/>
          <w:szCs w:val="20"/>
        </w:rPr>
      </w:pPr>
      <w:r w:rsidRPr="000845B0">
        <w:rPr>
          <w:bCs/>
          <w:sz w:val="20"/>
          <w:szCs w:val="20"/>
        </w:rPr>
        <w:t xml:space="preserve">B-Cell Acute Lymphoblastic Leukaemia </w:t>
      </w:r>
      <w:r w:rsidR="00AB2F1A" w:rsidRPr="000845B0">
        <w:rPr>
          <w:bCs/>
          <w:sz w:val="20"/>
          <w:szCs w:val="20"/>
        </w:rPr>
        <w:t xml:space="preserve">is </w:t>
      </w:r>
      <w:r w:rsidR="00410655" w:rsidRPr="000845B0">
        <w:rPr>
          <w:bCs/>
          <w:sz w:val="20"/>
          <w:szCs w:val="20"/>
        </w:rPr>
        <w:t xml:space="preserve">generally characterized by presence of </w:t>
      </w:r>
      <w:r w:rsidR="00067059" w:rsidRPr="000845B0">
        <w:rPr>
          <w:bCs/>
          <w:sz w:val="20"/>
          <w:szCs w:val="20"/>
        </w:rPr>
        <w:t>Philadelphia</w:t>
      </w:r>
      <w:r w:rsidR="00410655" w:rsidRPr="000845B0">
        <w:rPr>
          <w:bCs/>
          <w:sz w:val="20"/>
          <w:szCs w:val="20"/>
        </w:rPr>
        <w:t xml:space="preserve"> chromosome and minor BCR-ABL1</w:t>
      </w:r>
      <w:r w:rsidR="00AB2F1A" w:rsidRPr="000845B0">
        <w:rPr>
          <w:bCs/>
          <w:sz w:val="20"/>
          <w:szCs w:val="20"/>
        </w:rPr>
        <w:t xml:space="preserve"> (mBCR-ABL1) fusion</w:t>
      </w:r>
      <w:r w:rsidR="00410655" w:rsidRPr="000845B0">
        <w:rPr>
          <w:bCs/>
          <w:sz w:val="20"/>
          <w:szCs w:val="20"/>
        </w:rPr>
        <w:t xml:space="preserve"> gene is a molecular aberration in these patients that influences treatment management and prognosis. Hence, </w:t>
      </w:r>
      <w:r w:rsidR="00AB2F1A" w:rsidRPr="000845B0">
        <w:rPr>
          <w:bCs/>
          <w:sz w:val="20"/>
          <w:szCs w:val="20"/>
        </w:rPr>
        <w:t>it was aimed</w:t>
      </w:r>
      <w:r w:rsidR="00CA0A97" w:rsidRPr="000845B0">
        <w:rPr>
          <w:bCs/>
          <w:sz w:val="20"/>
          <w:szCs w:val="20"/>
        </w:rPr>
        <w:t xml:space="preserve"> to explore clinical relevance of </w:t>
      </w:r>
      <w:r w:rsidR="00AB2F1A" w:rsidRPr="000845B0">
        <w:rPr>
          <w:bCs/>
          <w:sz w:val="20"/>
          <w:szCs w:val="20"/>
        </w:rPr>
        <w:t>m</w:t>
      </w:r>
      <w:r w:rsidR="00CA0A97" w:rsidRPr="000845B0">
        <w:rPr>
          <w:bCs/>
          <w:sz w:val="20"/>
          <w:szCs w:val="20"/>
        </w:rPr>
        <w:t xml:space="preserve">BCR-ABL1 fusion gene </w:t>
      </w:r>
      <w:r w:rsidR="00AB2F1A" w:rsidRPr="000845B0">
        <w:rPr>
          <w:bCs/>
          <w:sz w:val="20"/>
          <w:szCs w:val="20"/>
        </w:rPr>
        <w:t xml:space="preserve">expression </w:t>
      </w:r>
      <w:r w:rsidR="00CA0A97" w:rsidRPr="000845B0">
        <w:rPr>
          <w:bCs/>
          <w:sz w:val="20"/>
          <w:szCs w:val="20"/>
        </w:rPr>
        <w:t>in B-ALL patients</w:t>
      </w:r>
      <w:r w:rsidRPr="000845B0">
        <w:rPr>
          <w:bCs/>
          <w:sz w:val="20"/>
          <w:szCs w:val="20"/>
        </w:rPr>
        <w:t xml:space="preserve"> from western India</w:t>
      </w:r>
      <w:r w:rsidR="00410655" w:rsidRPr="000845B0">
        <w:rPr>
          <w:bCs/>
          <w:sz w:val="20"/>
          <w:szCs w:val="20"/>
        </w:rPr>
        <w:t>.</w:t>
      </w:r>
      <w:r w:rsidR="00CA0A97" w:rsidRPr="000845B0">
        <w:rPr>
          <w:bCs/>
          <w:sz w:val="20"/>
          <w:szCs w:val="20"/>
        </w:rPr>
        <w:t xml:space="preserve"> Fifty B-ALL patients were enrolled</w:t>
      </w:r>
      <w:r w:rsidR="00847EDE" w:rsidRPr="000845B0">
        <w:rPr>
          <w:bCs/>
          <w:sz w:val="20"/>
          <w:szCs w:val="20"/>
        </w:rPr>
        <w:t xml:space="preserve">: </w:t>
      </w:r>
      <w:r w:rsidR="00410655" w:rsidRPr="000845B0">
        <w:rPr>
          <w:bCs/>
          <w:sz w:val="20"/>
          <w:szCs w:val="20"/>
        </w:rPr>
        <w:t>14</w:t>
      </w:r>
      <w:r w:rsidR="00847EDE" w:rsidRPr="000845B0">
        <w:rPr>
          <w:bCs/>
          <w:sz w:val="20"/>
          <w:szCs w:val="20"/>
        </w:rPr>
        <w:t xml:space="preserve"> Pre-</w:t>
      </w:r>
      <w:r w:rsidR="00410655" w:rsidRPr="000845B0">
        <w:rPr>
          <w:bCs/>
          <w:sz w:val="20"/>
          <w:szCs w:val="20"/>
        </w:rPr>
        <w:t>treated (PT) patients</w:t>
      </w:r>
      <w:r w:rsidR="00847EDE" w:rsidRPr="000845B0">
        <w:rPr>
          <w:bCs/>
          <w:sz w:val="20"/>
          <w:szCs w:val="20"/>
        </w:rPr>
        <w:t>, 11</w:t>
      </w:r>
      <w:r w:rsidR="00410655" w:rsidRPr="000845B0">
        <w:rPr>
          <w:bCs/>
          <w:sz w:val="20"/>
          <w:szCs w:val="20"/>
        </w:rPr>
        <w:t xml:space="preserve"> </w:t>
      </w:r>
      <w:r w:rsidR="00847EDE" w:rsidRPr="000845B0">
        <w:rPr>
          <w:bCs/>
          <w:sz w:val="20"/>
          <w:szCs w:val="20"/>
        </w:rPr>
        <w:t xml:space="preserve">treatment non responders (TNR) </w:t>
      </w:r>
      <w:r w:rsidR="00410655" w:rsidRPr="000845B0">
        <w:rPr>
          <w:bCs/>
          <w:sz w:val="20"/>
          <w:szCs w:val="20"/>
        </w:rPr>
        <w:t>and</w:t>
      </w:r>
      <w:r w:rsidR="00847EDE" w:rsidRPr="000845B0">
        <w:rPr>
          <w:bCs/>
          <w:sz w:val="20"/>
          <w:szCs w:val="20"/>
        </w:rPr>
        <w:t xml:space="preserve"> 25</w:t>
      </w:r>
      <w:r w:rsidR="00410655" w:rsidRPr="000845B0">
        <w:rPr>
          <w:bCs/>
          <w:sz w:val="20"/>
          <w:szCs w:val="20"/>
        </w:rPr>
        <w:t xml:space="preserve"> treatment responders (TR)</w:t>
      </w:r>
      <w:r w:rsidR="00CA0A97" w:rsidRPr="000845B0">
        <w:rPr>
          <w:bCs/>
          <w:sz w:val="20"/>
          <w:szCs w:val="20"/>
        </w:rPr>
        <w:t xml:space="preserve">.  Amongst three subgroups of B-ALL patients, mBCR-ABL1 fusion gene copies and %NCN were significantly lower in </w:t>
      </w:r>
      <w:r w:rsidR="00410655" w:rsidRPr="000845B0">
        <w:rPr>
          <w:bCs/>
          <w:sz w:val="20"/>
          <w:szCs w:val="20"/>
        </w:rPr>
        <w:t xml:space="preserve">TR as compared to PT and </w:t>
      </w:r>
      <w:r w:rsidR="00847EDE" w:rsidRPr="000845B0">
        <w:rPr>
          <w:bCs/>
          <w:sz w:val="20"/>
          <w:szCs w:val="20"/>
        </w:rPr>
        <w:t>TNR</w:t>
      </w:r>
      <w:r w:rsidR="00410655" w:rsidRPr="000845B0">
        <w:rPr>
          <w:bCs/>
          <w:sz w:val="20"/>
          <w:szCs w:val="20"/>
        </w:rPr>
        <w:t>.</w:t>
      </w:r>
      <w:r w:rsidR="00847EDE" w:rsidRPr="000845B0">
        <w:rPr>
          <w:bCs/>
          <w:sz w:val="20"/>
          <w:szCs w:val="20"/>
        </w:rPr>
        <w:t xml:space="preserve"> </w:t>
      </w:r>
      <w:r w:rsidR="00847EDE" w:rsidRPr="000845B0">
        <w:rPr>
          <w:sz w:val="20"/>
          <w:szCs w:val="20"/>
        </w:rPr>
        <w:t>Among</w:t>
      </w:r>
      <w:r w:rsidR="00CA0A97" w:rsidRPr="000845B0">
        <w:rPr>
          <w:sz w:val="20"/>
          <w:szCs w:val="20"/>
        </w:rPr>
        <w:t xml:space="preserve"> </w:t>
      </w:r>
      <w:r w:rsidR="00AF31D9" w:rsidRPr="000845B0">
        <w:rPr>
          <w:sz w:val="20"/>
          <w:szCs w:val="20"/>
        </w:rPr>
        <w:t>haematological</w:t>
      </w:r>
      <w:r w:rsidR="00CA0A97" w:rsidRPr="000845B0">
        <w:rPr>
          <w:sz w:val="20"/>
          <w:szCs w:val="20"/>
        </w:rPr>
        <w:t xml:space="preserve"> parameters, PT had significantly higher WBC counts (p&lt;0.001) and lower platelet counts (p&lt;0.001) than TNR and TR groups. Moreover, TR with abnormal WBC counts and platelet counts had lower levels for mBCR-ABL1 fusion copies and %NCN as compared to other g</w:t>
      </w:r>
      <w:r w:rsidRPr="000845B0">
        <w:rPr>
          <w:sz w:val="20"/>
          <w:szCs w:val="20"/>
        </w:rPr>
        <w:t>roups. Further, Lactate Dehydrogenase</w:t>
      </w:r>
      <w:r w:rsidR="00CA0A97" w:rsidRPr="000845B0">
        <w:rPr>
          <w:sz w:val="20"/>
          <w:szCs w:val="20"/>
        </w:rPr>
        <w:t xml:space="preserve"> activity was found to be significantly higher in PT group in comparison with TR and TNR</w:t>
      </w:r>
      <w:r w:rsidR="00663052" w:rsidRPr="000845B0">
        <w:rPr>
          <w:sz w:val="20"/>
          <w:szCs w:val="20"/>
        </w:rPr>
        <w:t xml:space="preserve"> groups</w:t>
      </w:r>
      <w:r w:rsidR="00CA0A97" w:rsidRPr="000845B0">
        <w:rPr>
          <w:sz w:val="20"/>
          <w:szCs w:val="20"/>
        </w:rPr>
        <w:t xml:space="preserve">. Moreover, TNR patients having abnormal LDH levels had higher expression of mBCR-ABL1 fusion copies </w:t>
      </w:r>
      <w:r w:rsidR="00AB2F1A" w:rsidRPr="000845B0">
        <w:rPr>
          <w:sz w:val="20"/>
          <w:szCs w:val="20"/>
        </w:rPr>
        <w:t>and</w:t>
      </w:r>
      <w:r w:rsidR="00CA0A97" w:rsidRPr="000845B0">
        <w:rPr>
          <w:sz w:val="20"/>
          <w:szCs w:val="20"/>
        </w:rPr>
        <w:t xml:space="preserve"> %NCN as compared to PT and TR </w:t>
      </w:r>
      <w:r w:rsidR="00847EDE" w:rsidRPr="000845B0">
        <w:rPr>
          <w:sz w:val="20"/>
          <w:szCs w:val="20"/>
        </w:rPr>
        <w:t>subgroups</w:t>
      </w:r>
      <w:r w:rsidR="00CA0A97" w:rsidRPr="000845B0">
        <w:rPr>
          <w:sz w:val="20"/>
          <w:szCs w:val="20"/>
        </w:rPr>
        <w:t xml:space="preserve">. Therefore, </w:t>
      </w:r>
      <w:r w:rsidR="009234A7" w:rsidRPr="000845B0">
        <w:rPr>
          <w:sz w:val="20"/>
          <w:szCs w:val="20"/>
        </w:rPr>
        <w:t>correlation</w:t>
      </w:r>
      <w:r w:rsidR="00CA0A97" w:rsidRPr="000845B0">
        <w:rPr>
          <w:sz w:val="20"/>
          <w:szCs w:val="20"/>
        </w:rPr>
        <w:t xml:space="preserve"> of mBCR-ABL1 fusion gene </w:t>
      </w:r>
      <w:r w:rsidR="00AB2F1A" w:rsidRPr="000845B0">
        <w:rPr>
          <w:sz w:val="20"/>
          <w:szCs w:val="20"/>
        </w:rPr>
        <w:t>expression</w:t>
      </w:r>
      <w:r w:rsidR="00CA0A97" w:rsidRPr="000845B0">
        <w:rPr>
          <w:sz w:val="20"/>
          <w:szCs w:val="20"/>
        </w:rPr>
        <w:t xml:space="preserve"> with haematological parameters and LDH activity would be </w:t>
      </w:r>
      <w:r w:rsidR="009234A7" w:rsidRPr="000845B0">
        <w:rPr>
          <w:sz w:val="20"/>
          <w:szCs w:val="20"/>
        </w:rPr>
        <w:t>beneficial</w:t>
      </w:r>
      <w:r w:rsidR="00CA0A97" w:rsidRPr="000845B0">
        <w:rPr>
          <w:sz w:val="20"/>
          <w:szCs w:val="20"/>
        </w:rPr>
        <w:t xml:space="preserve"> in treatment monitoring of B-ALL patients.</w:t>
      </w:r>
    </w:p>
    <w:p w14:paraId="36B0AB50" w14:textId="2A9129C4" w:rsidR="000845B0" w:rsidRPr="000845B0" w:rsidRDefault="000845B0" w:rsidP="00AB2F1A">
      <w:pPr>
        <w:pStyle w:val="NormalWeb"/>
        <w:spacing w:before="0" w:beforeAutospacing="0" w:after="0" w:afterAutospacing="0" w:line="276" w:lineRule="auto"/>
        <w:jc w:val="both"/>
        <w:rPr>
          <w:sz w:val="10"/>
          <w:szCs w:val="10"/>
        </w:rPr>
      </w:pPr>
    </w:p>
    <w:p w14:paraId="45337E9D" w14:textId="036E9003" w:rsidR="0063586B" w:rsidRPr="004C332A" w:rsidRDefault="0063586B" w:rsidP="004C332A">
      <w:pPr>
        <w:pStyle w:val="NormalWeb"/>
        <w:spacing w:before="0" w:beforeAutospacing="0" w:after="0" w:afterAutospacing="0" w:line="276" w:lineRule="auto"/>
        <w:jc w:val="both"/>
        <w:rPr>
          <w:bCs/>
          <w:color w:val="212121"/>
          <w:sz w:val="20"/>
          <w:szCs w:val="20"/>
          <w:shd w:val="clear" w:color="auto" w:fill="FFFFFF"/>
        </w:rPr>
      </w:pPr>
      <w:r>
        <w:rPr>
          <w:noProof/>
          <w:sz w:val="22"/>
          <w:szCs w:val="22"/>
          <w:vertAlign w:val="superscript"/>
        </w:rPr>
        <mc:AlternateContent>
          <mc:Choice Requires="wps">
            <w:drawing>
              <wp:anchor distT="0" distB="0" distL="114300" distR="114300" simplePos="0" relativeHeight="251709440" behindDoc="0" locked="0" layoutInCell="1" allowOverlap="1" wp14:anchorId="106938AC" wp14:editId="61F8074A">
                <wp:simplePos x="0" y="0"/>
                <wp:positionH relativeFrom="margin">
                  <wp:align>right</wp:align>
                </wp:positionH>
                <wp:positionV relativeFrom="paragraph">
                  <wp:posOffset>207645</wp:posOffset>
                </wp:positionV>
                <wp:extent cx="5715000" cy="9525"/>
                <wp:effectExtent l="0" t="0" r="19050" b="28575"/>
                <wp:wrapTopAndBottom/>
                <wp:docPr id="4" name="Straight Connector 4"/>
                <wp:cNvGraphicFramePr/>
                <a:graphic xmlns:a="http://schemas.openxmlformats.org/drawingml/2006/main">
                  <a:graphicData uri="http://schemas.microsoft.com/office/word/2010/wordprocessingShape">
                    <wps:wsp>
                      <wps:cNvCnPr/>
                      <wps:spPr>
                        <a:xfrm>
                          <a:off x="0" y="0"/>
                          <a:ext cx="5715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E4ED8E3" id="Straight Connector 4" o:spid="_x0000_s1026" style="position:absolute;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16.35pt" to="848.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" strokecolor="black [3200]" strokeweight=".5pt">
                <v:stroke joinstyle="miter"/>
                <w10:wrap type="topAndBottom" anchorx="margin"/>
              </v:line>
            </w:pict>
          </mc:Fallback>
        </mc:AlternateContent>
      </w:r>
      <w:r w:rsidR="00710959" w:rsidRPr="000845B0">
        <w:rPr>
          <w:b/>
          <w:color w:val="212121"/>
          <w:sz w:val="20"/>
          <w:szCs w:val="20"/>
          <w:shd w:val="clear" w:color="auto" w:fill="FFFFFF"/>
        </w:rPr>
        <w:t xml:space="preserve">Keywords: </w:t>
      </w:r>
      <w:r w:rsidR="00710959" w:rsidRPr="000845B0">
        <w:rPr>
          <w:bCs/>
          <w:color w:val="212121"/>
          <w:sz w:val="20"/>
          <w:szCs w:val="20"/>
          <w:shd w:val="clear" w:color="auto" w:fill="FFFFFF"/>
        </w:rPr>
        <w:t>minor BCR-ABL1 fusion, %NCN, haematological parameters, LDH activity, B-ALL</w:t>
      </w:r>
    </w:p>
    <w:p w14:paraId="4A8E6D9B" w14:textId="62FE4F6D" w:rsidR="003902EC" w:rsidRPr="004C332A" w:rsidRDefault="004C332A" w:rsidP="00560B30">
      <w:pPr>
        <w:spacing w:after="0" w:line="276" w:lineRule="auto"/>
        <w:jc w:val="both"/>
        <w:rPr>
          <w:rFonts w:ascii="Times New Roman" w:hAnsi="Times New Roman" w:cs="Times New Roman"/>
          <w:b/>
          <w:color w:val="212121"/>
          <w:sz w:val="24"/>
          <w:szCs w:val="24"/>
          <w:shd w:val="clear" w:color="auto" w:fill="FFFFFF"/>
        </w:rPr>
      </w:pPr>
      <w:r w:rsidRPr="004C332A">
        <w:rPr>
          <w:rFonts w:ascii="Times New Roman" w:hAnsi="Times New Roman" w:cs="Times New Roman"/>
          <w:b/>
          <w:color w:val="212121"/>
          <w:sz w:val="24"/>
          <w:szCs w:val="24"/>
          <w:shd w:val="clear" w:color="auto" w:fill="FFFFFF"/>
        </w:rPr>
        <w:t xml:space="preserve">1. </w:t>
      </w:r>
      <w:r w:rsidR="001D558B" w:rsidRPr="004C332A">
        <w:rPr>
          <w:rFonts w:ascii="Times New Roman" w:hAnsi="Times New Roman" w:cs="Times New Roman"/>
          <w:b/>
          <w:color w:val="212121"/>
          <w:sz w:val="24"/>
          <w:szCs w:val="24"/>
          <w:shd w:val="clear" w:color="auto" w:fill="FFFFFF"/>
        </w:rPr>
        <w:t>INTRODUCTION</w:t>
      </w:r>
    </w:p>
    <w:p w14:paraId="55419844" w14:textId="5251F090" w:rsidR="00FF53F3" w:rsidRPr="005E3653" w:rsidRDefault="00FF53F3" w:rsidP="00710959">
      <w:pPr>
        <w:jc w:val="both"/>
        <w:rPr>
          <w:rFonts w:ascii="Times New Roman" w:eastAsia="Times New Roman" w:hAnsi="Times New Roman" w:cs="Times New Roman"/>
          <w:kern w:val="0"/>
          <w:sz w:val="20"/>
          <w:szCs w:val="20"/>
          <w:lang w:eastAsia="en-IN" w:bidi="gu-IN"/>
          <w14:ligatures w14:val="none"/>
        </w:rPr>
      </w:pPr>
      <w:r w:rsidRPr="005E3653">
        <w:rPr>
          <w:rFonts w:ascii="Times New Roman" w:hAnsi="Times New Roman" w:cs="Times New Roman"/>
          <w:color w:val="212121"/>
          <w:sz w:val="20"/>
          <w:szCs w:val="20"/>
          <w:shd w:val="clear" w:color="auto" w:fill="FFFFFF"/>
        </w:rPr>
        <w:t xml:space="preserve">Leukemias constitute the most common diagnostic group of childhood and adult cancers worldwide as well as in India </w:t>
      </w:r>
      <w:r w:rsidR="00187609" w:rsidRPr="005E3653">
        <w:rPr>
          <w:rFonts w:ascii="Times New Roman" w:hAnsi="Times New Roman" w:cs="Times New Roman"/>
          <w:color w:val="000000" w:themeColor="text1"/>
          <w:sz w:val="20"/>
          <w:szCs w:val="20"/>
        </w:rPr>
        <w:t>(1).</w:t>
      </w:r>
      <w:r w:rsidR="00295D36" w:rsidRPr="005E3653">
        <w:rPr>
          <w:rFonts w:ascii="Times New Roman" w:hAnsi="Times New Roman" w:cs="Times New Roman"/>
          <w:color w:val="000000" w:themeColor="text1"/>
          <w:sz w:val="20"/>
          <w:szCs w:val="20"/>
        </w:rPr>
        <w:t xml:space="preserve"> In India, leukemias ranks 8</w:t>
      </w:r>
      <w:r w:rsidR="00295D36" w:rsidRPr="005E3653">
        <w:rPr>
          <w:rFonts w:ascii="Times New Roman" w:hAnsi="Times New Roman" w:cs="Times New Roman"/>
          <w:color w:val="000000" w:themeColor="text1"/>
          <w:sz w:val="20"/>
          <w:szCs w:val="20"/>
          <w:vertAlign w:val="superscript"/>
        </w:rPr>
        <w:t>th</w:t>
      </w:r>
      <w:r w:rsidR="00295D36" w:rsidRPr="005E3653">
        <w:rPr>
          <w:rFonts w:ascii="Times New Roman" w:hAnsi="Times New Roman" w:cs="Times New Roman"/>
          <w:color w:val="000000" w:themeColor="text1"/>
          <w:sz w:val="20"/>
          <w:szCs w:val="20"/>
        </w:rPr>
        <w:t xml:space="preserve"> among all malignancy with estimated </w:t>
      </w:r>
      <w:r w:rsidR="0063766D" w:rsidRPr="005E3653">
        <w:rPr>
          <w:rFonts w:ascii="Times New Roman" w:hAnsi="Times New Roman" w:cs="Times New Roman"/>
          <w:color w:val="000000" w:themeColor="text1"/>
          <w:sz w:val="20"/>
          <w:szCs w:val="20"/>
        </w:rPr>
        <w:t xml:space="preserve">48,419 </w:t>
      </w:r>
      <w:r w:rsidR="00295D36" w:rsidRPr="005E3653">
        <w:rPr>
          <w:rFonts w:ascii="Times New Roman" w:hAnsi="Times New Roman" w:cs="Times New Roman"/>
          <w:color w:val="000000" w:themeColor="text1"/>
          <w:sz w:val="20"/>
          <w:szCs w:val="20"/>
        </w:rPr>
        <w:t>new cases per year, according to Globocan 202</w:t>
      </w:r>
      <w:r w:rsidR="0063766D" w:rsidRPr="005E3653">
        <w:rPr>
          <w:rFonts w:ascii="Times New Roman" w:hAnsi="Times New Roman" w:cs="Times New Roman"/>
          <w:color w:val="000000" w:themeColor="text1"/>
          <w:sz w:val="20"/>
          <w:szCs w:val="20"/>
        </w:rPr>
        <w:t>0</w:t>
      </w:r>
      <w:r w:rsidR="00A15540" w:rsidRPr="005E3653">
        <w:rPr>
          <w:rFonts w:ascii="Times New Roman" w:hAnsi="Times New Roman" w:cs="Times New Roman"/>
          <w:color w:val="000000" w:themeColor="text1"/>
          <w:sz w:val="20"/>
          <w:szCs w:val="20"/>
        </w:rPr>
        <w:t xml:space="preserve"> (2)</w:t>
      </w:r>
      <w:r w:rsidR="00295D36" w:rsidRPr="005E3653">
        <w:rPr>
          <w:rFonts w:ascii="Times New Roman" w:hAnsi="Times New Roman" w:cs="Times New Roman"/>
          <w:color w:val="000000" w:themeColor="text1"/>
          <w:sz w:val="20"/>
          <w:szCs w:val="20"/>
        </w:rPr>
        <w:t xml:space="preserve">. </w:t>
      </w:r>
      <w:r w:rsidRPr="005E3653">
        <w:rPr>
          <w:rFonts w:ascii="Times New Roman" w:hAnsi="Times New Roman" w:cs="Times New Roman"/>
          <w:color w:val="000000" w:themeColor="text1"/>
          <w:sz w:val="20"/>
          <w:szCs w:val="20"/>
        </w:rPr>
        <w:t xml:space="preserve">Acute Lymphoblastic Leukemia (ALL) is a malignancy of B or T lymphoblast characterized by uncontrolled proliferation of abnormal, immature lymphocytes and their progenitors </w:t>
      </w:r>
      <w:r w:rsidR="00A15540" w:rsidRPr="005E3653">
        <w:rPr>
          <w:rFonts w:ascii="Times New Roman" w:hAnsi="Times New Roman" w:cs="Times New Roman"/>
          <w:color w:val="000000" w:themeColor="text1"/>
          <w:sz w:val="20"/>
          <w:szCs w:val="20"/>
        </w:rPr>
        <w:t>(3</w:t>
      </w:r>
      <w:r w:rsidR="00295D36" w:rsidRPr="005E3653">
        <w:rPr>
          <w:rFonts w:ascii="Times New Roman" w:hAnsi="Times New Roman" w:cs="Times New Roman"/>
          <w:color w:val="000000" w:themeColor="text1"/>
          <w:sz w:val="20"/>
          <w:szCs w:val="20"/>
        </w:rPr>
        <w:t>).</w:t>
      </w:r>
      <w:r w:rsidR="00710959" w:rsidRPr="005E3653">
        <w:rPr>
          <w:rFonts w:ascii="Times New Roman" w:eastAsia="Times New Roman" w:hAnsi="Times New Roman" w:cs="Times New Roman"/>
          <w:kern w:val="0"/>
          <w:sz w:val="20"/>
          <w:szCs w:val="20"/>
          <w:lang w:eastAsia="en-IN" w:bidi="gu-IN"/>
          <w14:ligatures w14:val="none"/>
        </w:rPr>
        <w:t xml:space="preserve"> </w:t>
      </w:r>
      <w:r w:rsidRPr="005E3653">
        <w:rPr>
          <w:rFonts w:ascii="Times New Roman" w:hAnsi="Times New Roman" w:cs="Times New Roman"/>
          <w:color w:val="000000" w:themeColor="text1"/>
          <w:sz w:val="20"/>
          <w:szCs w:val="20"/>
          <w:shd w:val="clear" w:color="auto" w:fill="FFFFFF"/>
        </w:rPr>
        <w:t xml:space="preserve">B-ALL is a malignant transformation and differentiation of a clonal population of B-lineage precursor cells within the bone marrow, </w:t>
      </w:r>
      <w:r w:rsidR="00295D36" w:rsidRPr="005E3653">
        <w:rPr>
          <w:rFonts w:ascii="Times New Roman" w:hAnsi="Times New Roman" w:cs="Times New Roman"/>
          <w:color w:val="000000" w:themeColor="text1"/>
          <w:sz w:val="20"/>
          <w:szCs w:val="20"/>
          <w:shd w:val="clear" w:color="auto" w:fill="FFFFFF"/>
        </w:rPr>
        <w:t xml:space="preserve">blood, and </w:t>
      </w:r>
      <w:r w:rsidR="00F81F0D" w:rsidRPr="005E3653">
        <w:rPr>
          <w:rFonts w:ascii="Times New Roman" w:hAnsi="Times New Roman" w:cs="Times New Roman"/>
          <w:color w:val="000000" w:themeColor="text1"/>
          <w:sz w:val="20"/>
          <w:szCs w:val="20"/>
          <w:shd w:val="clear" w:color="auto" w:fill="FFFFFF"/>
        </w:rPr>
        <w:t>extra medullary</w:t>
      </w:r>
      <w:r w:rsidR="00295D36" w:rsidRPr="005E3653">
        <w:rPr>
          <w:rFonts w:ascii="Times New Roman" w:hAnsi="Times New Roman" w:cs="Times New Roman"/>
          <w:color w:val="000000" w:themeColor="text1"/>
          <w:sz w:val="20"/>
          <w:szCs w:val="20"/>
          <w:shd w:val="clear" w:color="auto" w:fill="FFFFFF"/>
        </w:rPr>
        <w:t xml:space="preserve"> sites (</w:t>
      </w:r>
      <w:r w:rsidR="00A15540" w:rsidRPr="005E3653">
        <w:rPr>
          <w:rFonts w:ascii="Times New Roman" w:hAnsi="Times New Roman" w:cs="Times New Roman"/>
          <w:color w:val="000000" w:themeColor="text1"/>
          <w:sz w:val="20"/>
          <w:szCs w:val="20"/>
          <w:shd w:val="clear" w:color="auto" w:fill="FFFFFF"/>
        </w:rPr>
        <w:t>4</w:t>
      </w:r>
      <w:r w:rsidR="00295D36" w:rsidRPr="005E3653">
        <w:rPr>
          <w:rFonts w:ascii="Times New Roman" w:hAnsi="Times New Roman" w:cs="Times New Roman"/>
          <w:color w:val="000000" w:themeColor="text1"/>
          <w:sz w:val="20"/>
          <w:szCs w:val="20"/>
          <w:shd w:val="clear" w:color="auto" w:fill="FFFFFF"/>
        </w:rPr>
        <w:t xml:space="preserve">). </w:t>
      </w:r>
      <w:r w:rsidRPr="005E3653">
        <w:rPr>
          <w:rFonts w:ascii="Times New Roman" w:hAnsi="Times New Roman" w:cs="Times New Roman"/>
          <w:color w:val="000000" w:themeColor="text1"/>
          <w:sz w:val="20"/>
          <w:szCs w:val="20"/>
        </w:rPr>
        <w:t>B-cell precursor ALL is a heterogeneous disease in which risk assessment is based on clinical information at diagnosis, response to therapy and cytogenetic aberrations (</w:t>
      </w:r>
      <w:r w:rsidR="00A15540" w:rsidRPr="005E3653">
        <w:rPr>
          <w:rFonts w:ascii="Times New Roman" w:hAnsi="Times New Roman" w:cs="Times New Roman"/>
          <w:color w:val="000000" w:themeColor="text1"/>
          <w:sz w:val="20"/>
          <w:szCs w:val="20"/>
        </w:rPr>
        <w:t>5</w:t>
      </w:r>
      <w:r w:rsidR="00295D36" w:rsidRPr="005E3653">
        <w:rPr>
          <w:rFonts w:ascii="Times New Roman" w:hAnsi="Times New Roman" w:cs="Times New Roman"/>
          <w:color w:val="000000" w:themeColor="text1"/>
          <w:sz w:val="20"/>
          <w:szCs w:val="20"/>
        </w:rPr>
        <w:t>).</w:t>
      </w:r>
      <w:r w:rsidR="00295D36" w:rsidRPr="005E3653">
        <w:rPr>
          <w:rFonts w:ascii="Times New Roman" w:hAnsi="Times New Roman" w:cs="Times New Roman"/>
          <w:b/>
          <w:bCs/>
          <w:color w:val="000000" w:themeColor="text1"/>
          <w:sz w:val="20"/>
          <w:szCs w:val="20"/>
        </w:rPr>
        <w:t xml:space="preserve"> </w:t>
      </w:r>
      <w:r w:rsidRPr="005E3653">
        <w:rPr>
          <w:rFonts w:ascii="Times New Roman" w:hAnsi="Times New Roman" w:cs="Times New Roman"/>
          <w:color w:val="000000" w:themeColor="text1"/>
          <w:sz w:val="20"/>
          <w:szCs w:val="20"/>
          <w:shd w:val="clear" w:color="auto" w:fill="FFFFFF"/>
        </w:rPr>
        <w:t>Philadelphia</w:t>
      </w:r>
      <w:r w:rsidRPr="005E3653">
        <w:rPr>
          <w:rFonts w:ascii="Times New Roman" w:hAnsi="Times New Roman" w:cs="Times New Roman"/>
          <w:color w:val="000000" w:themeColor="text1"/>
          <w:sz w:val="20"/>
          <w:szCs w:val="20"/>
        </w:rPr>
        <w:t xml:space="preserve"> chromosome-positive (Ph</w:t>
      </w:r>
      <w:r w:rsidRPr="005E3653">
        <w:rPr>
          <w:rFonts w:ascii="Times New Roman" w:hAnsi="Times New Roman" w:cs="Times New Roman"/>
          <w:color w:val="000000" w:themeColor="text1"/>
          <w:sz w:val="20"/>
          <w:szCs w:val="20"/>
          <w:bdr w:val="none" w:sz="0" w:space="0" w:color="auto" w:frame="1"/>
          <w:vertAlign w:val="superscript"/>
        </w:rPr>
        <w:t>+</w:t>
      </w:r>
      <w:r w:rsidRPr="005E3653">
        <w:rPr>
          <w:rFonts w:ascii="Times New Roman" w:hAnsi="Times New Roman" w:cs="Times New Roman"/>
          <w:color w:val="000000" w:themeColor="text1"/>
          <w:sz w:val="20"/>
          <w:szCs w:val="20"/>
        </w:rPr>
        <w:t xml:space="preserve">) ALL is defined by the t (9; 22) (q34; q11) that </w:t>
      </w:r>
      <w:r w:rsidR="00E0704C" w:rsidRPr="005E3653">
        <w:rPr>
          <w:rFonts w:ascii="Times New Roman" w:hAnsi="Times New Roman" w:cs="Times New Roman"/>
          <w:color w:val="000000" w:themeColor="text1"/>
          <w:sz w:val="20"/>
          <w:szCs w:val="20"/>
        </w:rPr>
        <w:t xml:space="preserve">produces BCR-ABL1, and </w:t>
      </w:r>
      <w:r w:rsidR="00F81F0D" w:rsidRPr="005E3653">
        <w:rPr>
          <w:rFonts w:ascii="Times New Roman" w:hAnsi="Times New Roman" w:cs="Times New Roman"/>
          <w:color w:val="000000" w:themeColor="text1"/>
          <w:sz w:val="20"/>
          <w:szCs w:val="20"/>
        </w:rPr>
        <w:t>causing BCR</w:t>
      </w:r>
      <w:r w:rsidRPr="005E3653">
        <w:rPr>
          <w:rFonts w:ascii="Times New Roman" w:hAnsi="Times New Roman" w:cs="Times New Roman"/>
          <w:color w:val="000000" w:themeColor="text1"/>
          <w:sz w:val="20"/>
          <w:szCs w:val="20"/>
        </w:rPr>
        <w:t xml:space="preserve">-ABL1 chimeric attaching gene (fraction point e1a2) which is commonly known as minor BCR-ABL1 fusion gene </w:t>
      </w:r>
      <w:r w:rsidR="00A15540" w:rsidRPr="005E3653">
        <w:rPr>
          <w:rFonts w:ascii="Times New Roman" w:hAnsi="Times New Roman" w:cs="Times New Roman"/>
          <w:color w:val="000000" w:themeColor="text1"/>
          <w:sz w:val="20"/>
          <w:szCs w:val="20"/>
        </w:rPr>
        <w:t>(6</w:t>
      </w:r>
      <w:r w:rsidR="00295D36" w:rsidRPr="005E3653">
        <w:rPr>
          <w:rFonts w:ascii="Times New Roman" w:hAnsi="Times New Roman" w:cs="Times New Roman"/>
          <w:color w:val="000000" w:themeColor="text1"/>
          <w:sz w:val="20"/>
          <w:szCs w:val="20"/>
        </w:rPr>
        <w:t xml:space="preserve">) </w:t>
      </w:r>
      <w:r w:rsidRPr="005E3653">
        <w:rPr>
          <w:rFonts w:ascii="Times New Roman" w:hAnsi="Times New Roman" w:cs="Times New Roman"/>
          <w:color w:val="000000" w:themeColor="text1"/>
          <w:sz w:val="20"/>
          <w:szCs w:val="20"/>
        </w:rPr>
        <w:t xml:space="preserve">and </w:t>
      </w:r>
      <w:r w:rsidR="00295D36" w:rsidRPr="005E3653">
        <w:rPr>
          <w:rFonts w:ascii="Times New Roman" w:hAnsi="Times New Roman" w:cs="Times New Roman"/>
          <w:color w:val="000000" w:themeColor="text1"/>
          <w:sz w:val="20"/>
          <w:szCs w:val="20"/>
        </w:rPr>
        <w:t xml:space="preserve">it </w:t>
      </w:r>
      <w:r w:rsidR="00295D36" w:rsidRPr="005E3653">
        <w:rPr>
          <w:rFonts w:ascii="Times New Roman" w:hAnsi="Times New Roman" w:cs="Times New Roman"/>
          <w:bCs/>
          <w:color w:val="000000" w:themeColor="text1"/>
          <w:sz w:val="20"/>
          <w:szCs w:val="20"/>
          <w:shd w:val="clear" w:color="auto" w:fill="FFFFFF"/>
        </w:rPr>
        <w:t>creates</w:t>
      </w:r>
      <w:r w:rsidRPr="005E3653">
        <w:rPr>
          <w:rFonts w:ascii="Times New Roman" w:hAnsi="Times New Roman" w:cs="Times New Roman"/>
          <w:bCs/>
          <w:color w:val="000000" w:themeColor="text1"/>
          <w:sz w:val="20"/>
          <w:szCs w:val="20"/>
        </w:rPr>
        <w:t xml:space="preserve"> </w:t>
      </w:r>
      <w:r w:rsidRPr="005E3653">
        <w:rPr>
          <w:rFonts w:ascii="Times New Roman" w:hAnsi="Times New Roman" w:cs="Times New Roman"/>
          <w:color w:val="000000" w:themeColor="text1"/>
          <w:sz w:val="20"/>
          <w:szCs w:val="20"/>
        </w:rPr>
        <w:t xml:space="preserve">a 190kD </w:t>
      </w:r>
      <w:r w:rsidRPr="005E3653">
        <w:rPr>
          <w:rFonts w:ascii="Times New Roman" w:hAnsi="Times New Roman" w:cs="Times New Roman"/>
          <w:bCs/>
          <w:color w:val="000000" w:themeColor="text1"/>
          <w:sz w:val="20"/>
          <w:szCs w:val="20"/>
        </w:rPr>
        <w:t>protein</w:t>
      </w:r>
      <w:r w:rsidRPr="005E3653">
        <w:rPr>
          <w:rFonts w:ascii="Times New Roman" w:hAnsi="Times New Roman" w:cs="Times New Roman"/>
          <w:b/>
          <w:color w:val="000000" w:themeColor="text1"/>
          <w:sz w:val="20"/>
          <w:szCs w:val="20"/>
        </w:rPr>
        <w:t xml:space="preserve"> </w:t>
      </w:r>
      <w:r w:rsidRPr="005E3653">
        <w:rPr>
          <w:rFonts w:ascii="Times New Roman" w:hAnsi="Times New Roman" w:cs="Times New Roman"/>
          <w:color w:val="000000" w:themeColor="text1"/>
          <w:sz w:val="20"/>
          <w:szCs w:val="20"/>
        </w:rPr>
        <w:t>with tyrosine kinase activation that is able to change the various signalling pathways with contribution in tumor growth and proliferation (</w:t>
      </w:r>
      <w:r w:rsidR="00A15540" w:rsidRPr="005E3653">
        <w:rPr>
          <w:rFonts w:ascii="Times New Roman" w:hAnsi="Times New Roman" w:cs="Times New Roman"/>
          <w:color w:val="000000" w:themeColor="text1"/>
          <w:sz w:val="20"/>
          <w:szCs w:val="20"/>
        </w:rPr>
        <w:t>7</w:t>
      </w:r>
      <w:r w:rsidR="00295D36" w:rsidRPr="005E3653">
        <w:rPr>
          <w:rFonts w:ascii="Times New Roman" w:hAnsi="Times New Roman" w:cs="Times New Roman"/>
          <w:color w:val="000000" w:themeColor="text1"/>
          <w:sz w:val="20"/>
          <w:szCs w:val="20"/>
        </w:rPr>
        <w:t>).</w:t>
      </w:r>
      <w:r w:rsidRPr="005E3653">
        <w:rPr>
          <w:rFonts w:ascii="Times New Roman" w:hAnsi="Times New Roman" w:cs="Times New Roman"/>
          <w:color w:val="000000" w:themeColor="text1"/>
          <w:sz w:val="20"/>
          <w:szCs w:val="20"/>
        </w:rPr>
        <w:t xml:space="preserve"> </w:t>
      </w:r>
    </w:p>
    <w:p w14:paraId="241C1B84" w14:textId="093B4D98" w:rsidR="00FF53F3" w:rsidRPr="005E3653" w:rsidRDefault="00FF53F3" w:rsidP="00FF53F3">
      <w:pPr>
        <w:spacing w:after="0" w:line="276" w:lineRule="auto"/>
        <w:jc w:val="both"/>
        <w:rPr>
          <w:rFonts w:ascii="Times New Roman" w:hAnsi="Times New Roman" w:cs="Times New Roman"/>
          <w:color w:val="000000" w:themeColor="text1"/>
          <w:sz w:val="20"/>
          <w:szCs w:val="20"/>
          <w:shd w:val="clear" w:color="auto" w:fill="FFFFFF"/>
        </w:rPr>
      </w:pPr>
      <w:r w:rsidRPr="005E3653">
        <w:rPr>
          <w:rFonts w:ascii="Times New Roman" w:hAnsi="Times New Roman" w:cs="Times New Roman"/>
          <w:color w:val="000000" w:themeColor="text1"/>
          <w:sz w:val="20"/>
          <w:szCs w:val="20"/>
        </w:rPr>
        <w:t>The Ph</w:t>
      </w:r>
      <w:r w:rsidRPr="005E3653">
        <w:rPr>
          <w:rFonts w:ascii="Times New Roman" w:hAnsi="Times New Roman" w:cs="Times New Roman"/>
          <w:color w:val="000000" w:themeColor="text1"/>
          <w:sz w:val="20"/>
          <w:szCs w:val="20"/>
          <w:vertAlign w:val="superscript"/>
        </w:rPr>
        <w:t>+</w:t>
      </w:r>
      <w:hyperlink r:id="rId8" w:anchor="bib1" w:history="1"/>
      <w:r w:rsidRPr="005E3653">
        <w:rPr>
          <w:rFonts w:ascii="Times New Roman" w:hAnsi="Times New Roman" w:cs="Times New Roman"/>
          <w:color w:val="000000" w:themeColor="text1"/>
          <w:sz w:val="20"/>
          <w:szCs w:val="20"/>
          <w:vertAlign w:val="superscript"/>
        </w:rPr>
        <w:t xml:space="preserve"> </w:t>
      </w:r>
      <w:r w:rsidRPr="005E3653">
        <w:rPr>
          <w:rFonts w:ascii="Times New Roman" w:hAnsi="Times New Roman" w:cs="Times New Roman"/>
          <w:color w:val="000000" w:themeColor="text1"/>
          <w:sz w:val="20"/>
          <w:szCs w:val="20"/>
        </w:rPr>
        <w:t>chromosome, or its molecular counterpart, the BCR-ABL1 fusion gene</w:t>
      </w:r>
      <w:r w:rsidRPr="005E3653">
        <w:rPr>
          <w:rFonts w:ascii="Times New Roman" w:hAnsi="Times New Roman" w:cs="Times New Roman"/>
          <w:color w:val="000000" w:themeColor="text1"/>
          <w:sz w:val="20"/>
          <w:szCs w:val="20"/>
          <w:shd w:val="clear" w:color="auto" w:fill="FFFFFF"/>
        </w:rPr>
        <w:t xml:space="preserve">, a common molecular defect in </w:t>
      </w:r>
      <w:r w:rsidRPr="005E3653">
        <w:rPr>
          <w:rFonts w:ascii="Times New Roman" w:hAnsi="Times New Roman" w:cs="Times New Roman"/>
          <w:color w:val="000000" w:themeColor="text1"/>
          <w:sz w:val="20"/>
          <w:szCs w:val="20"/>
        </w:rPr>
        <w:t>childhood</w:t>
      </w:r>
      <w:r w:rsidRPr="005E3653">
        <w:rPr>
          <w:rFonts w:ascii="Times New Roman" w:hAnsi="Times New Roman" w:cs="Times New Roman"/>
          <w:color w:val="000000" w:themeColor="text1"/>
          <w:sz w:val="20"/>
          <w:szCs w:val="20"/>
          <w:shd w:val="clear" w:color="auto" w:fill="FFFFFF"/>
        </w:rPr>
        <w:t xml:space="preserve"> and adult ALL, is a valuable tumor marker whose detection influences prognosis and clinical management decisions (</w:t>
      </w:r>
      <w:r w:rsidR="00A15540" w:rsidRPr="005E3653">
        <w:rPr>
          <w:rFonts w:ascii="Times New Roman" w:hAnsi="Times New Roman" w:cs="Times New Roman"/>
          <w:color w:val="000000" w:themeColor="text1"/>
          <w:sz w:val="20"/>
          <w:szCs w:val="20"/>
          <w:shd w:val="clear" w:color="auto" w:fill="FFFFFF"/>
        </w:rPr>
        <w:t>8</w:t>
      </w:r>
      <w:r w:rsidR="00295D36" w:rsidRPr="005E3653">
        <w:rPr>
          <w:rFonts w:ascii="Times New Roman" w:hAnsi="Times New Roman" w:cs="Times New Roman"/>
          <w:color w:val="000000" w:themeColor="text1"/>
          <w:sz w:val="20"/>
          <w:szCs w:val="20"/>
          <w:shd w:val="clear" w:color="auto" w:fill="FFFFFF"/>
        </w:rPr>
        <w:t xml:space="preserve">). </w:t>
      </w:r>
      <w:r w:rsidRPr="005E3653">
        <w:rPr>
          <w:rFonts w:ascii="Times New Roman" w:hAnsi="Times New Roman" w:cs="Times New Roman"/>
          <w:color w:val="000000" w:themeColor="text1"/>
          <w:sz w:val="20"/>
          <w:szCs w:val="20"/>
          <w:shd w:val="clear" w:color="auto" w:fill="FFFFFF"/>
        </w:rPr>
        <w:t>The incidence of</w:t>
      </w:r>
      <w:r w:rsidR="005E3653">
        <w:rPr>
          <w:rFonts w:ascii="Times New Roman" w:hAnsi="Times New Roman" w:cs="Times New Roman"/>
          <w:color w:val="000000" w:themeColor="text1"/>
          <w:sz w:val="20"/>
          <w:szCs w:val="20"/>
          <w:shd w:val="clear" w:color="auto" w:fill="FFFFFF"/>
        </w:rPr>
        <w:t xml:space="preserve"> </w:t>
      </w:r>
      <w:r w:rsidRPr="005E3653">
        <w:rPr>
          <w:rFonts w:ascii="Times New Roman" w:hAnsi="Times New Roman" w:cs="Times New Roman"/>
          <w:color w:val="000000" w:themeColor="text1"/>
          <w:sz w:val="20"/>
          <w:szCs w:val="20"/>
          <w:shd w:val="clear" w:color="auto" w:fill="FFFFFF"/>
        </w:rPr>
        <w:t> </w:t>
      </w:r>
      <w:r w:rsidRPr="0062578F">
        <w:rPr>
          <w:rStyle w:val="Emphasis"/>
          <w:rFonts w:ascii="Times New Roman" w:hAnsi="Times New Roman" w:cs="Times New Roman"/>
          <w:i w:val="0"/>
          <w:iCs w:val="0"/>
          <w:color w:val="000000" w:themeColor="text1"/>
          <w:sz w:val="20"/>
          <w:szCs w:val="20"/>
          <w:bdr w:val="none" w:sz="0" w:space="0" w:color="auto" w:frame="1"/>
          <w:shd w:val="clear" w:color="auto" w:fill="FFFFFF"/>
        </w:rPr>
        <w:t>BCR/ABL1</w:t>
      </w:r>
      <w:r w:rsidRPr="0062578F">
        <w:rPr>
          <w:rFonts w:ascii="Times New Roman" w:hAnsi="Times New Roman" w:cs="Times New Roman"/>
          <w:i/>
          <w:iCs/>
          <w:color w:val="000000" w:themeColor="text1"/>
          <w:sz w:val="20"/>
          <w:szCs w:val="20"/>
          <w:shd w:val="clear" w:color="auto" w:fill="FFFFFF"/>
        </w:rPr>
        <w:t>-</w:t>
      </w:r>
      <w:r w:rsidRPr="0062578F">
        <w:rPr>
          <w:rFonts w:ascii="Times New Roman" w:hAnsi="Times New Roman" w:cs="Times New Roman"/>
          <w:color w:val="000000" w:themeColor="text1"/>
          <w:sz w:val="20"/>
          <w:szCs w:val="20"/>
          <w:shd w:val="clear" w:color="auto" w:fill="FFFFFF"/>
        </w:rPr>
        <w:t xml:space="preserve">like </w:t>
      </w:r>
      <w:r w:rsidRPr="005E3653">
        <w:rPr>
          <w:rFonts w:ascii="Times New Roman" w:hAnsi="Times New Roman" w:cs="Times New Roman"/>
          <w:color w:val="000000" w:themeColor="text1"/>
          <w:sz w:val="20"/>
          <w:szCs w:val="20"/>
          <w:shd w:val="clear" w:color="auto" w:fill="FFFFFF"/>
        </w:rPr>
        <w:t xml:space="preserve">ALL increases with age, accounting for 10.0–15.0% in children, 21.0% in adolescents, 27.0–27.9% in young adults (21–39 years), 20.4% in adults (40–59 years), and 24.0% in older adults (&gt;60 years) </w:t>
      </w:r>
      <w:r w:rsidR="00A15540" w:rsidRPr="005E3653">
        <w:rPr>
          <w:rFonts w:ascii="Times New Roman" w:hAnsi="Times New Roman" w:cs="Times New Roman"/>
          <w:color w:val="000000" w:themeColor="text1"/>
          <w:sz w:val="20"/>
          <w:szCs w:val="20"/>
          <w:shd w:val="clear" w:color="auto" w:fill="FFFFFF"/>
        </w:rPr>
        <w:t>(9</w:t>
      </w:r>
      <w:r w:rsidR="00295D36" w:rsidRPr="005E3653">
        <w:rPr>
          <w:rFonts w:ascii="Times New Roman" w:hAnsi="Times New Roman" w:cs="Times New Roman"/>
          <w:color w:val="000000" w:themeColor="text1"/>
          <w:sz w:val="20"/>
          <w:szCs w:val="20"/>
          <w:shd w:val="clear" w:color="auto" w:fill="FFFFFF"/>
        </w:rPr>
        <w:t xml:space="preserve">). </w:t>
      </w:r>
      <w:r w:rsidRPr="005E3653">
        <w:rPr>
          <w:rFonts w:ascii="Times New Roman" w:hAnsi="Times New Roman" w:cs="Times New Roman"/>
          <w:color w:val="000000" w:themeColor="text1"/>
          <w:sz w:val="20"/>
          <w:szCs w:val="20"/>
          <w:shd w:val="clear" w:color="auto" w:fill="FFFFFF"/>
        </w:rPr>
        <w:t xml:space="preserve">In B- ALL, </w:t>
      </w:r>
      <w:r w:rsidRPr="005E3653">
        <w:rPr>
          <w:rFonts w:ascii="Times New Roman" w:hAnsi="Times New Roman" w:cs="Times New Roman"/>
          <w:color w:val="212121"/>
          <w:sz w:val="20"/>
          <w:szCs w:val="20"/>
          <w:shd w:val="clear" w:color="auto" w:fill="FFFFFF"/>
        </w:rPr>
        <w:t xml:space="preserve">risk stratification has been based on clinical factors such as age, White Blood Cell (WBC) count and response to chemotherapy; however, the identification of recurrent genetic alterations has helped refine individual prognosis and guide management </w:t>
      </w:r>
      <w:r w:rsidR="00A15540" w:rsidRPr="005E3653">
        <w:rPr>
          <w:rFonts w:ascii="Times New Roman" w:hAnsi="Times New Roman" w:cs="Times New Roman"/>
          <w:color w:val="212121"/>
          <w:sz w:val="20"/>
          <w:szCs w:val="20"/>
          <w:shd w:val="clear" w:color="auto" w:fill="FFFFFF"/>
        </w:rPr>
        <w:t>(10</w:t>
      </w:r>
      <w:r w:rsidR="00295D36" w:rsidRPr="005E3653">
        <w:rPr>
          <w:rFonts w:ascii="Times New Roman" w:hAnsi="Times New Roman" w:cs="Times New Roman"/>
          <w:color w:val="212121"/>
          <w:sz w:val="20"/>
          <w:szCs w:val="20"/>
          <w:shd w:val="clear" w:color="auto" w:fill="FFFFFF"/>
        </w:rPr>
        <w:t>).</w:t>
      </w:r>
      <w:r w:rsidRPr="005E3653">
        <w:rPr>
          <w:rFonts w:ascii="Times New Roman" w:hAnsi="Times New Roman" w:cs="Times New Roman"/>
          <w:b/>
          <w:color w:val="000000" w:themeColor="text1"/>
          <w:sz w:val="20"/>
          <w:szCs w:val="20"/>
        </w:rPr>
        <w:t xml:space="preserve"> </w:t>
      </w:r>
      <w:r w:rsidRPr="005E3653">
        <w:rPr>
          <w:rFonts w:ascii="Times New Roman" w:hAnsi="Times New Roman" w:cs="Times New Roman"/>
          <w:color w:val="000000" w:themeColor="text1"/>
          <w:sz w:val="20"/>
          <w:szCs w:val="20"/>
          <w:shd w:val="clear" w:color="auto" w:fill="FFFFFF"/>
        </w:rPr>
        <w:t>Establishing </w:t>
      </w:r>
      <w:r w:rsidRPr="002B7402">
        <w:rPr>
          <w:rStyle w:val="Emphasis"/>
          <w:rFonts w:ascii="Times New Roman" w:hAnsi="Times New Roman" w:cs="Times New Roman"/>
          <w:i w:val="0"/>
          <w:iCs w:val="0"/>
          <w:color w:val="000000" w:themeColor="text1"/>
          <w:sz w:val="20"/>
          <w:szCs w:val="20"/>
          <w:bdr w:val="none" w:sz="0" w:space="0" w:color="auto" w:frame="1"/>
          <w:shd w:val="clear" w:color="auto" w:fill="FFFFFF"/>
        </w:rPr>
        <w:t>BCR/ABL1</w:t>
      </w:r>
      <w:r w:rsidRPr="005E3653">
        <w:rPr>
          <w:rFonts w:ascii="Times New Roman" w:hAnsi="Times New Roman" w:cs="Times New Roman"/>
          <w:color w:val="000000" w:themeColor="text1"/>
          <w:sz w:val="20"/>
          <w:szCs w:val="20"/>
          <w:shd w:val="clear" w:color="auto" w:fill="FFFFFF"/>
        </w:rPr>
        <w:t>-like diagnostic algorithm remains of clinical significance in view of prognostic relevance and the advent of clini</w:t>
      </w:r>
      <w:r w:rsidR="00295D36" w:rsidRPr="005E3653">
        <w:rPr>
          <w:rFonts w:ascii="Times New Roman" w:hAnsi="Times New Roman" w:cs="Times New Roman"/>
          <w:color w:val="000000" w:themeColor="text1"/>
          <w:sz w:val="20"/>
          <w:szCs w:val="20"/>
          <w:shd w:val="clear" w:color="auto" w:fill="FFFFFF"/>
        </w:rPr>
        <w:t xml:space="preserve">cal trials of targeted therapy </w:t>
      </w:r>
      <w:r w:rsidR="00501AFF" w:rsidRPr="005E3653">
        <w:rPr>
          <w:rFonts w:ascii="Times New Roman" w:hAnsi="Times New Roman" w:cs="Times New Roman"/>
          <w:color w:val="000000" w:themeColor="text1"/>
          <w:sz w:val="20"/>
          <w:szCs w:val="20"/>
          <w:shd w:val="clear" w:color="auto" w:fill="FFFFFF"/>
        </w:rPr>
        <w:t>(</w:t>
      </w:r>
      <w:r w:rsidR="00A15540" w:rsidRPr="005E3653">
        <w:rPr>
          <w:rFonts w:ascii="Times New Roman" w:hAnsi="Times New Roman" w:cs="Times New Roman"/>
          <w:color w:val="000000" w:themeColor="text1"/>
          <w:sz w:val="20"/>
          <w:szCs w:val="20"/>
          <w:shd w:val="clear" w:color="auto" w:fill="FFFFFF"/>
        </w:rPr>
        <w:t>9</w:t>
      </w:r>
      <w:r w:rsidR="00295D36" w:rsidRPr="005E3653">
        <w:rPr>
          <w:rFonts w:ascii="Times New Roman" w:hAnsi="Times New Roman" w:cs="Times New Roman"/>
          <w:color w:val="000000" w:themeColor="text1"/>
          <w:sz w:val="20"/>
          <w:szCs w:val="20"/>
          <w:shd w:val="clear" w:color="auto" w:fill="FFFFFF"/>
        </w:rPr>
        <w:t xml:space="preserve">). </w:t>
      </w:r>
      <w:r w:rsidRPr="005E3653">
        <w:rPr>
          <w:rFonts w:ascii="Times New Roman" w:hAnsi="Times New Roman" w:cs="Times New Roman"/>
          <w:color w:val="000000" w:themeColor="text1"/>
          <w:sz w:val="20"/>
          <w:szCs w:val="20"/>
          <w:shd w:val="clear" w:color="auto" w:fill="FFFFFF"/>
        </w:rPr>
        <w:t xml:space="preserve">Present study aimed to investigate the expression of </w:t>
      </w:r>
      <w:r w:rsidR="00B91B8C" w:rsidRPr="005E3653">
        <w:rPr>
          <w:rFonts w:ascii="Times New Roman" w:hAnsi="Times New Roman" w:cs="Times New Roman"/>
          <w:color w:val="000000" w:themeColor="text1"/>
          <w:sz w:val="20"/>
          <w:szCs w:val="20"/>
          <w:shd w:val="clear" w:color="auto" w:fill="FFFFFF"/>
        </w:rPr>
        <w:t>m</w:t>
      </w:r>
      <w:r w:rsidRPr="005E3653">
        <w:rPr>
          <w:rFonts w:ascii="Times New Roman" w:hAnsi="Times New Roman" w:cs="Times New Roman"/>
          <w:color w:val="000000" w:themeColor="text1"/>
          <w:sz w:val="20"/>
          <w:szCs w:val="20"/>
          <w:shd w:val="clear" w:color="auto" w:fill="FFFFFF"/>
        </w:rPr>
        <w:t>BCR-ABL</w:t>
      </w:r>
      <w:r w:rsidR="00B91B8C" w:rsidRPr="005E3653">
        <w:rPr>
          <w:rFonts w:ascii="Times New Roman" w:hAnsi="Times New Roman" w:cs="Times New Roman"/>
          <w:color w:val="000000" w:themeColor="text1"/>
          <w:sz w:val="20"/>
          <w:szCs w:val="20"/>
          <w:shd w:val="clear" w:color="auto" w:fill="FFFFFF"/>
        </w:rPr>
        <w:t>1</w:t>
      </w:r>
      <w:r w:rsidR="00710959" w:rsidRPr="005E3653">
        <w:rPr>
          <w:rFonts w:ascii="Times New Roman" w:hAnsi="Times New Roman" w:cs="Times New Roman"/>
          <w:color w:val="000000" w:themeColor="text1"/>
          <w:sz w:val="20"/>
          <w:szCs w:val="20"/>
          <w:shd w:val="clear" w:color="auto" w:fill="FFFFFF"/>
        </w:rPr>
        <w:t xml:space="preserve"> fusion gene expression</w:t>
      </w:r>
      <w:r w:rsidRPr="005E3653">
        <w:rPr>
          <w:rFonts w:ascii="Times New Roman" w:hAnsi="Times New Roman" w:cs="Times New Roman"/>
          <w:color w:val="000000" w:themeColor="text1"/>
          <w:sz w:val="20"/>
          <w:szCs w:val="20"/>
          <w:shd w:val="clear" w:color="auto" w:fill="FFFFFF"/>
        </w:rPr>
        <w:t xml:space="preserve"> in the peripheral blood of B-ALL</w:t>
      </w:r>
      <w:r w:rsidR="00B91B8C" w:rsidRPr="005E3653">
        <w:rPr>
          <w:rFonts w:ascii="Times New Roman" w:hAnsi="Times New Roman" w:cs="Times New Roman"/>
          <w:color w:val="000000" w:themeColor="text1"/>
          <w:sz w:val="20"/>
          <w:szCs w:val="20"/>
          <w:shd w:val="clear" w:color="auto" w:fill="FFFFFF"/>
        </w:rPr>
        <w:t xml:space="preserve"> patients</w:t>
      </w:r>
      <w:r w:rsidR="00710959" w:rsidRPr="005E3653">
        <w:rPr>
          <w:rFonts w:ascii="Times New Roman" w:hAnsi="Times New Roman" w:cs="Times New Roman"/>
          <w:color w:val="000000" w:themeColor="text1"/>
          <w:sz w:val="20"/>
          <w:szCs w:val="20"/>
          <w:shd w:val="clear" w:color="auto" w:fill="FFFFFF"/>
        </w:rPr>
        <w:t xml:space="preserve"> from western India</w:t>
      </w:r>
      <w:r w:rsidR="00B91B8C" w:rsidRPr="005E3653">
        <w:rPr>
          <w:rFonts w:ascii="Times New Roman" w:hAnsi="Times New Roman" w:cs="Times New Roman"/>
          <w:color w:val="000000" w:themeColor="text1"/>
          <w:sz w:val="20"/>
          <w:szCs w:val="20"/>
          <w:shd w:val="clear" w:color="auto" w:fill="FFFFFF"/>
        </w:rPr>
        <w:t xml:space="preserve"> and correlate</w:t>
      </w:r>
      <w:r w:rsidRPr="005E3653">
        <w:rPr>
          <w:rFonts w:ascii="Times New Roman" w:hAnsi="Times New Roman" w:cs="Times New Roman"/>
          <w:color w:val="000000" w:themeColor="text1"/>
          <w:sz w:val="20"/>
          <w:szCs w:val="20"/>
          <w:shd w:val="clear" w:color="auto" w:fill="FFFFFF"/>
        </w:rPr>
        <w:t xml:space="preserve"> with various haematological parameters as well as LDH activity.</w:t>
      </w:r>
    </w:p>
    <w:p w14:paraId="65584F13" w14:textId="77777777" w:rsidR="00FF53F3" w:rsidRPr="00560B30" w:rsidRDefault="00FF53F3" w:rsidP="00FF53F3">
      <w:pPr>
        <w:spacing w:after="0" w:line="276" w:lineRule="auto"/>
        <w:jc w:val="both"/>
        <w:rPr>
          <w:rFonts w:ascii="Times New Roman" w:hAnsi="Times New Roman" w:cs="Times New Roman"/>
          <w:color w:val="000000" w:themeColor="text1"/>
          <w:sz w:val="28"/>
          <w:shd w:val="clear" w:color="auto" w:fill="FFFFFF"/>
        </w:rPr>
      </w:pPr>
    </w:p>
    <w:p w14:paraId="25693F59" w14:textId="4976B1EE" w:rsidR="00B659BA" w:rsidRPr="005E3653" w:rsidRDefault="005E3653" w:rsidP="00560B30">
      <w:pPr>
        <w:spacing w:after="0" w:line="276" w:lineRule="auto"/>
        <w:jc w:val="both"/>
        <w:rPr>
          <w:rFonts w:ascii="Times New Roman" w:hAnsi="Times New Roman" w:cs="Times New Roman"/>
          <w:b/>
          <w:color w:val="000000" w:themeColor="text1"/>
          <w:sz w:val="24"/>
          <w:szCs w:val="24"/>
          <w:shd w:val="clear" w:color="auto" w:fill="FFFFFF"/>
        </w:rPr>
      </w:pPr>
      <w:r w:rsidRPr="005E3653">
        <w:rPr>
          <w:rFonts w:ascii="Times New Roman" w:hAnsi="Times New Roman" w:cs="Times New Roman"/>
          <w:b/>
          <w:color w:val="000000" w:themeColor="text1"/>
          <w:sz w:val="24"/>
          <w:szCs w:val="24"/>
          <w:shd w:val="clear" w:color="auto" w:fill="FFFFFF"/>
        </w:rPr>
        <w:t>2. MATERIALS AND METHODS</w:t>
      </w:r>
    </w:p>
    <w:p w14:paraId="51B0042F" w14:textId="0F255204" w:rsidR="001072C8" w:rsidRPr="005E3653" w:rsidRDefault="005E3653" w:rsidP="00560B30">
      <w:pPr>
        <w:spacing w:after="0" w:line="276" w:lineRule="auto"/>
        <w:jc w:val="both"/>
        <w:rPr>
          <w:rFonts w:ascii="Times New Roman" w:hAnsi="Times New Roman" w:cs="Times New Roman"/>
          <w:b/>
          <w:color w:val="000000" w:themeColor="text1"/>
          <w:sz w:val="20"/>
          <w:szCs w:val="20"/>
          <w:shd w:val="clear" w:color="auto" w:fill="FFFFFF"/>
        </w:rPr>
      </w:pPr>
      <w:r w:rsidRPr="005E3653">
        <w:rPr>
          <w:rFonts w:ascii="Times New Roman" w:hAnsi="Times New Roman" w:cs="Times New Roman"/>
          <w:b/>
          <w:sz w:val="20"/>
          <w:szCs w:val="20"/>
        </w:rPr>
        <w:t xml:space="preserve">2.1 </w:t>
      </w:r>
      <w:r w:rsidR="001072C8" w:rsidRPr="005E3653">
        <w:rPr>
          <w:rFonts w:ascii="Times New Roman" w:hAnsi="Times New Roman" w:cs="Times New Roman"/>
          <w:b/>
          <w:sz w:val="20"/>
          <w:szCs w:val="20"/>
        </w:rPr>
        <w:t>Sample collection</w:t>
      </w:r>
    </w:p>
    <w:p w14:paraId="1E5CBD0A" w14:textId="23CF4DB2" w:rsidR="00932340" w:rsidRDefault="00B659BA" w:rsidP="00560B30">
      <w:pPr>
        <w:spacing w:after="0" w:line="276" w:lineRule="auto"/>
        <w:jc w:val="both"/>
        <w:rPr>
          <w:rFonts w:ascii="Times New Roman" w:hAnsi="Times New Roman" w:cs="Times New Roman"/>
          <w:b/>
          <w:sz w:val="20"/>
          <w:szCs w:val="20"/>
        </w:rPr>
      </w:pPr>
      <w:r w:rsidRPr="005E3653">
        <w:rPr>
          <w:rFonts w:ascii="Times New Roman" w:hAnsi="Times New Roman" w:cs="Times New Roman"/>
          <w:bCs/>
          <w:sz w:val="20"/>
          <w:szCs w:val="20"/>
        </w:rPr>
        <w:t xml:space="preserve">Fifty </w:t>
      </w:r>
      <w:r w:rsidR="003902EC" w:rsidRPr="005E3653">
        <w:rPr>
          <w:rFonts w:ascii="Times New Roman" w:hAnsi="Times New Roman" w:cs="Times New Roman"/>
          <w:bCs/>
          <w:sz w:val="20"/>
          <w:szCs w:val="20"/>
        </w:rPr>
        <w:t xml:space="preserve">haematologically and cytogenetically confirmed </w:t>
      </w:r>
      <w:r w:rsidR="003902EC" w:rsidRPr="005E3653">
        <w:rPr>
          <w:rFonts w:ascii="Times New Roman" w:hAnsi="Times New Roman" w:cs="Times New Roman"/>
          <w:sz w:val="20"/>
          <w:szCs w:val="20"/>
        </w:rPr>
        <w:t xml:space="preserve">B-ALL </w:t>
      </w:r>
      <w:r w:rsidR="00B91B8C" w:rsidRPr="005E3653">
        <w:rPr>
          <w:rFonts w:ascii="Times New Roman" w:hAnsi="Times New Roman" w:cs="Times New Roman"/>
          <w:bCs/>
          <w:sz w:val="20"/>
          <w:szCs w:val="20"/>
        </w:rPr>
        <w:t xml:space="preserve">patients </w:t>
      </w:r>
      <w:r w:rsidR="003902EC" w:rsidRPr="005E3653">
        <w:rPr>
          <w:rFonts w:ascii="Times New Roman" w:hAnsi="Times New Roman" w:cs="Times New Roman"/>
          <w:bCs/>
          <w:sz w:val="20"/>
          <w:szCs w:val="20"/>
        </w:rPr>
        <w:t>were enrolled in this study</w:t>
      </w:r>
      <w:r w:rsidRPr="005E3653">
        <w:rPr>
          <w:rFonts w:ascii="Times New Roman" w:hAnsi="Times New Roman" w:cs="Times New Roman"/>
          <w:bCs/>
          <w:sz w:val="20"/>
          <w:szCs w:val="20"/>
        </w:rPr>
        <w:t xml:space="preserve"> and blood samples were collected</w:t>
      </w:r>
      <w:r w:rsidR="003902EC" w:rsidRPr="005E3653">
        <w:rPr>
          <w:rFonts w:ascii="Times New Roman" w:hAnsi="Times New Roman" w:cs="Times New Roman"/>
          <w:bCs/>
          <w:sz w:val="20"/>
          <w:szCs w:val="20"/>
        </w:rPr>
        <w:t>. The study was approved by the Instit</w:t>
      </w:r>
      <w:r w:rsidR="00B91B8C" w:rsidRPr="005E3653">
        <w:rPr>
          <w:rFonts w:ascii="Times New Roman" w:hAnsi="Times New Roman" w:cs="Times New Roman"/>
          <w:bCs/>
          <w:sz w:val="20"/>
          <w:szCs w:val="20"/>
        </w:rPr>
        <w:t xml:space="preserve">utional Review Committee of </w:t>
      </w:r>
      <w:r w:rsidR="005E5665">
        <w:rPr>
          <w:rFonts w:ascii="Times New Roman" w:hAnsi="Times New Roman" w:cs="Times New Roman"/>
          <w:bCs/>
          <w:sz w:val="20"/>
          <w:szCs w:val="20"/>
        </w:rPr>
        <w:t>T</w:t>
      </w:r>
      <w:r w:rsidR="00B91B8C" w:rsidRPr="005E3653">
        <w:rPr>
          <w:rFonts w:ascii="Times New Roman" w:hAnsi="Times New Roman" w:cs="Times New Roman"/>
          <w:bCs/>
          <w:sz w:val="20"/>
          <w:szCs w:val="20"/>
        </w:rPr>
        <w:t>he Gujarat Cancer &amp; Research Institute</w:t>
      </w:r>
      <w:r w:rsidR="003902EC" w:rsidRPr="005E3653">
        <w:rPr>
          <w:rFonts w:ascii="Times New Roman" w:hAnsi="Times New Roman" w:cs="Times New Roman"/>
          <w:bCs/>
          <w:sz w:val="20"/>
          <w:szCs w:val="20"/>
        </w:rPr>
        <w:t>. General consent was taken from all these patients. While sera positive patients (HIV/ HBsAg/ HCV) were excluded from the study.</w:t>
      </w:r>
    </w:p>
    <w:p w14:paraId="5FFEE37C" w14:textId="77777777" w:rsidR="00932340" w:rsidRPr="00932340" w:rsidRDefault="00932340" w:rsidP="00560B30">
      <w:pPr>
        <w:spacing w:after="0" w:line="276" w:lineRule="auto"/>
        <w:jc w:val="both"/>
        <w:rPr>
          <w:rFonts w:ascii="Times New Roman" w:hAnsi="Times New Roman" w:cs="Times New Roman"/>
          <w:b/>
          <w:sz w:val="10"/>
          <w:szCs w:val="10"/>
        </w:rPr>
      </w:pPr>
    </w:p>
    <w:p w14:paraId="473D52E8" w14:textId="66CCF5CF" w:rsidR="001072C8" w:rsidRPr="00932340" w:rsidRDefault="005E3653" w:rsidP="00560B30">
      <w:pPr>
        <w:spacing w:after="0" w:line="276" w:lineRule="auto"/>
        <w:jc w:val="both"/>
        <w:rPr>
          <w:rStyle w:val="fontstyle01"/>
          <w:rFonts w:ascii="Times New Roman" w:hAnsi="Times New Roman" w:cs="Times New Roman"/>
          <w:b/>
          <w:color w:val="auto"/>
          <w:sz w:val="20"/>
          <w:szCs w:val="20"/>
        </w:rPr>
      </w:pPr>
      <w:r>
        <w:rPr>
          <w:rFonts w:ascii="Times New Roman" w:hAnsi="Times New Roman" w:cs="Times New Roman"/>
          <w:b/>
          <w:sz w:val="20"/>
          <w:szCs w:val="20"/>
        </w:rPr>
        <w:t xml:space="preserve">2.2 </w:t>
      </w:r>
      <w:r w:rsidR="003902EC" w:rsidRPr="005E3653">
        <w:rPr>
          <w:rFonts w:ascii="Times New Roman" w:hAnsi="Times New Roman" w:cs="Times New Roman"/>
          <w:b/>
          <w:sz w:val="20"/>
          <w:szCs w:val="20"/>
        </w:rPr>
        <w:t>RNA isolation</w:t>
      </w:r>
      <w:r w:rsidR="00B91B8C" w:rsidRPr="005E3653">
        <w:rPr>
          <w:rFonts w:ascii="Times New Roman" w:hAnsi="Times New Roman" w:cs="Times New Roman"/>
          <w:b/>
          <w:sz w:val="20"/>
          <w:szCs w:val="20"/>
        </w:rPr>
        <w:t xml:space="preserve"> and quantification</w:t>
      </w:r>
    </w:p>
    <w:p w14:paraId="0A76DDB3" w14:textId="77777777" w:rsidR="00932340" w:rsidRDefault="003902EC" w:rsidP="00560B30">
      <w:pPr>
        <w:spacing w:after="0" w:line="276" w:lineRule="auto"/>
        <w:jc w:val="both"/>
        <w:rPr>
          <w:rFonts w:ascii="Times New Roman" w:hAnsi="Times New Roman" w:cs="Times New Roman"/>
          <w:sz w:val="20"/>
          <w:szCs w:val="20"/>
        </w:rPr>
      </w:pPr>
      <w:r w:rsidRPr="005E3653">
        <w:rPr>
          <w:rStyle w:val="fontstyle01"/>
          <w:rFonts w:ascii="Times New Roman" w:hAnsi="Times New Roman" w:cs="Times New Roman"/>
          <w:sz w:val="20"/>
          <w:szCs w:val="20"/>
        </w:rPr>
        <w:t xml:space="preserve">Total RNA was extracted from blood samples using </w:t>
      </w:r>
      <w:r w:rsidR="00A876C9" w:rsidRPr="005E3653">
        <w:rPr>
          <w:rStyle w:val="fontstyle01"/>
          <w:rFonts w:ascii="Times New Roman" w:hAnsi="Times New Roman" w:cs="Times New Roman"/>
          <w:sz w:val="20"/>
          <w:szCs w:val="20"/>
        </w:rPr>
        <w:t xml:space="preserve">QIAamp </w:t>
      </w:r>
      <w:r w:rsidRPr="005E3653">
        <w:rPr>
          <w:rStyle w:val="fontstyle01"/>
          <w:rFonts w:ascii="Times New Roman" w:hAnsi="Times New Roman" w:cs="Times New Roman"/>
          <w:sz w:val="20"/>
          <w:szCs w:val="20"/>
        </w:rPr>
        <w:t>RNA Blood Mini kit</w:t>
      </w:r>
      <w:r w:rsidR="0031772A" w:rsidRPr="005E3653">
        <w:rPr>
          <w:rStyle w:val="fontstyle01"/>
          <w:rFonts w:ascii="Times New Roman" w:hAnsi="Times New Roman" w:cs="Times New Roman"/>
          <w:sz w:val="20"/>
          <w:szCs w:val="20"/>
        </w:rPr>
        <w:t xml:space="preserve"> (Qaigen)</w:t>
      </w:r>
      <w:r w:rsidR="00B659BA" w:rsidRPr="005E3653">
        <w:rPr>
          <w:rStyle w:val="fontstyle01"/>
          <w:rFonts w:ascii="Times New Roman" w:hAnsi="Times New Roman" w:cs="Times New Roman"/>
          <w:sz w:val="20"/>
          <w:szCs w:val="20"/>
        </w:rPr>
        <w:t xml:space="preserve"> and </w:t>
      </w:r>
      <w:r w:rsidR="00683541" w:rsidRPr="005E3653">
        <w:rPr>
          <w:rFonts w:ascii="Times New Roman" w:hAnsi="Times New Roman" w:cs="Times New Roman"/>
          <w:sz w:val="20"/>
          <w:szCs w:val="20"/>
        </w:rPr>
        <w:t xml:space="preserve">RNA </w:t>
      </w:r>
      <w:r w:rsidR="00B659BA" w:rsidRPr="005E3653">
        <w:rPr>
          <w:rFonts w:ascii="Times New Roman" w:hAnsi="Times New Roman" w:cs="Times New Roman"/>
          <w:sz w:val="20"/>
          <w:szCs w:val="20"/>
        </w:rPr>
        <w:t xml:space="preserve">quantification was performed </w:t>
      </w:r>
      <w:r w:rsidR="00683541" w:rsidRPr="005E3653">
        <w:rPr>
          <w:rFonts w:ascii="Times New Roman" w:hAnsi="Times New Roman" w:cs="Times New Roman"/>
          <w:sz w:val="20"/>
          <w:szCs w:val="20"/>
        </w:rPr>
        <w:t>by using Qubit fluorimeter 3.0 (Invitrogen).</w:t>
      </w:r>
    </w:p>
    <w:p w14:paraId="32B3EFD6" w14:textId="77777777" w:rsidR="00932340" w:rsidRPr="00932340" w:rsidRDefault="00932340" w:rsidP="00560B30">
      <w:pPr>
        <w:spacing w:after="0" w:line="276" w:lineRule="auto"/>
        <w:jc w:val="both"/>
        <w:rPr>
          <w:rFonts w:ascii="Times New Roman" w:hAnsi="Times New Roman" w:cs="Times New Roman"/>
          <w:sz w:val="10"/>
          <w:szCs w:val="10"/>
        </w:rPr>
      </w:pPr>
    </w:p>
    <w:p w14:paraId="6F75BF73" w14:textId="0D23D520" w:rsidR="003902EC" w:rsidRPr="00932340" w:rsidRDefault="00932340" w:rsidP="00560B30">
      <w:pPr>
        <w:spacing w:after="0" w:line="276" w:lineRule="auto"/>
        <w:jc w:val="both"/>
        <w:rPr>
          <w:rFonts w:ascii="Times New Roman" w:hAnsi="Times New Roman" w:cs="Times New Roman"/>
          <w:sz w:val="20"/>
          <w:szCs w:val="20"/>
        </w:rPr>
      </w:pPr>
      <w:r w:rsidRPr="00932340">
        <w:rPr>
          <w:rFonts w:ascii="Times New Roman" w:hAnsi="Times New Roman" w:cs="Times New Roman"/>
          <w:b/>
          <w:bCs/>
          <w:sz w:val="20"/>
          <w:szCs w:val="20"/>
        </w:rPr>
        <w:t xml:space="preserve">2.3 </w:t>
      </w:r>
      <w:r w:rsidR="00905C73" w:rsidRPr="00932340">
        <w:rPr>
          <w:rFonts w:ascii="Times New Roman" w:hAnsi="Times New Roman" w:cs="Times New Roman"/>
          <w:b/>
          <w:bCs/>
          <w:sz w:val="20"/>
          <w:szCs w:val="20"/>
        </w:rPr>
        <w:t xml:space="preserve">Reverse transcription (RT) and </w:t>
      </w:r>
      <w:r w:rsidR="00B91B8C" w:rsidRPr="00932340">
        <w:rPr>
          <w:rFonts w:ascii="Times New Roman" w:hAnsi="Times New Roman" w:cs="Times New Roman"/>
          <w:b/>
          <w:bCs/>
          <w:sz w:val="20"/>
          <w:szCs w:val="20"/>
        </w:rPr>
        <w:t>q</w:t>
      </w:r>
      <w:r w:rsidR="00905C73" w:rsidRPr="00932340">
        <w:rPr>
          <w:rFonts w:ascii="Times New Roman" w:hAnsi="Times New Roman" w:cs="Times New Roman"/>
          <w:b/>
          <w:bCs/>
          <w:sz w:val="20"/>
          <w:szCs w:val="20"/>
        </w:rPr>
        <w:t xml:space="preserve">PCR for </w:t>
      </w:r>
      <w:r w:rsidR="00B91B8C" w:rsidRPr="00932340">
        <w:rPr>
          <w:rFonts w:ascii="Times New Roman" w:hAnsi="Times New Roman" w:cs="Times New Roman"/>
          <w:b/>
          <w:bCs/>
          <w:sz w:val="20"/>
          <w:szCs w:val="20"/>
        </w:rPr>
        <w:t>m</w:t>
      </w:r>
      <w:r w:rsidR="00905C73" w:rsidRPr="00932340">
        <w:rPr>
          <w:rFonts w:ascii="Times New Roman" w:hAnsi="Times New Roman" w:cs="Times New Roman"/>
          <w:b/>
          <w:bCs/>
          <w:sz w:val="20"/>
          <w:szCs w:val="20"/>
        </w:rPr>
        <w:t>BCR-ABL</w:t>
      </w:r>
      <w:r w:rsidR="00B91B8C" w:rsidRPr="00932340">
        <w:rPr>
          <w:rFonts w:ascii="Times New Roman" w:hAnsi="Times New Roman" w:cs="Times New Roman"/>
          <w:b/>
          <w:bCs/>
          <w:sz w:val="20"/>
          <w:szCs w:val="20"/>
        </w:rPr>
        <w:t>1</w:t>
      </w:r>
      <w:r w:rsidR="00905C73" w:rsidRPr="00932340">
        <w:rPr>
          <w:rFonts w:ascii="Times New Roman" w:hAnsi="Times New Roman" w:cs="Times New Roman"/>
          <w:b/>
          <w:bCs/>
          <w:sz w:val="20"/>
          <w:szCs w:val="20"/>
        </w:rPr>
        <w:t xml:space="preserve"> </w:t>
      </w:r>
      <w:r w:rsidR="008206D9" w:rsidRPr="00932340">
        <w:rPr>
          <w:rFonts w:ascii="Times New Roman" w:hAnsi="Times New Roman" w:cs="Times New Roman"/>
          <w:b/>
          <w:bCs/>
          <w:sz w:val="20"/>
          <w:szCs w:val="20"/>
        </w:rPr>
        <w:t>fusion gene</w:t>
      </w:r>
    </w:p>
    <w:p w14:paraId="133E88A7" w14:textId="2D050B3E" w:rsidR="00D57ABF" w:rsidRPr="00932340" w:rsidRDefault="00710959" w:rsidP="00560B30">
      <w:pPr>
        <w:spacing w:after="0" w:line="276" w:lineRule="auto"/>
        <w:jc w:val="both"/>
        <w:rPr>
          <w:rFonts w:ascii="Times New Roman" w:hAnsi="Times New Roman" w:cs="Times New Roman"/>
          <w:bCs/>
          <w:sz w:val="20"/>
          <w:szCs w:val="20"/>
        </w:rPr>
      </w:pPr>
      <w:r w:rsidRPr="00932340">
        <w:rPr>
          <w:rFonts w:ascii="Times New Roman" w:hAnsi="Times New Roman" w:cs="Times New Roman"/>
          <w:bCs/>
          <w:sz w:val="20"/>
          <w:szCs w:val="20"/>
        </w:rPr>
        <w:t xml:space="preserve">Minor </w:t>
      </w:r>
      <w:r w:rsidR="00B91B8C" w:rsidRPr="00932340">
        <w:rPr>
          <w:rFonts w:ascii="Times New Roman" w:hAnsi="Times New Roman" w:cs="Times New Roman"/>
          <w:bCs/>
          <w:sz w:val="20"/>
          <w:szCs w:val="20"/>
        </w:rPr>
        <w:t xml:space="preserve">BCR-ABL1 expression was detected by </w:t>
      </w:r>
      <w:r w:rsidRPr="00932340">
        <w:rPr>
          <w:rFonts w:ascii="Times New Roman" w:hAnsi="Times New Roman" w:cs="Times New Roman"/>
          <w:bCs/>
          <w:sz w:val="20"/>
          <w:szCs w:val="20"/>
        </w:rPr>
        <w:t xml:space="preserve">commercially available </w:t>
      </w:r>
      <w:r w:rsidR="00B91B8C" w:rsidRPr="00932340">
        <w:rPr>
          <w:rFonts w:ascii="Times New Roman" w:hAnsi="Times New Roman" w:cs="Times New Roman"/>
          <w:bCs/>
          <w:sz w:val="20"/>
          <w:szCs w:val="20"/>
        </w:rPr>
        <w:t xml:space="preserve">minor </w:t>
      </w:r>
      <w:r w:rsidRPr="00932340">
        <w:rPr>
          <w:rFonts w:ascii="Times New Roman" w:hAnsi="Times New Roman" w:cs="Times New Roman"/>
          <w:bCs/>
          <w:sz w:val="20"/>
          <w:szCs w:val="20"/>
        </w:rPr>
        <w:t xml:space="preserve">BCR-ABL1 </w:t>
      </w:r>
      <w:r w:rsidR="00B91B8C" w:rsidRPr="00932340">
        <w:rPr>
          <w:rFonts w:ascii="Times New Roman" w:hAnsi="Times New Roman" w:cs="Times New Roman"/>
          <w:bCs/>
          <w:sz w:val="20"/>
          <w:szCs w:val="20"/>
        </w:rPr>
        <w:t>quantitative kit</w:t>
      </w:r>
      <w:r w:rsidR="00A56F27">
        <w:rPr>
          <w:rFonts w:ascii="Times New Roman" w:hAnsi="Times New Roman" w:cs="Times New Roman"/>
          <w:bCs/>
          <w:sz w:val="20"/>
          <w:szCs w:val="20"/>
        </w:rPr>
        <w:t xml:space="preserve"> in a QuantS</w:t>
      </w:r>
      <w:r w:rsidR="00905C73" w:rsidRPr="00932340">
        <w:rPr>
          <w:rFonts w:ascii="Times New Roman" w:hAnsi="Times New Roman" w:cs="Times New Roman"/>
          <w:bCs/>
          <w:sz w:val="20"/>
          <w:szCs w:val="20"/>
        </w:rPr>
        <w:t xml:space="preserve">tudio5 detection system, according to the manufacture’s instruction. </w:t>
      </w:r>
      <w:r w:rsidR="003902EC" w:rsidRPr="00932340">
        <w:rPr>
          <w:rFonts w:ascii="Times New Roman" w:hAnsi="Times New Roman" w:cs="Times New Roman"/>
          <w:bCs/>
          <w:sz w:val="20"/>
          <w:szCs w:val="20"/>
        </w:rPr>
        <w:t>Thermal cycler condition</w:t>
      </w:r>
      <w:r w:rsidR="00D57ABF" w:rsidRPr="00932340">
        <w:rPr>
          <w:rFonts w:ascii="Times New Roman" w:hAnsi="Times New Roman" w:cs="Times New Roman"/>
          <w:bCs/>
          <w:sz w:val="20"/>
          <w:szCs w:val="20"/>
        </w:rPr>
        <w:t xml:space="preserve">s were </w:t>
      </w:r>
      <w:r w:rsidR="003902EC" w:rsidRPr="00932340">
        <w:rPr>
          <w:rFonts w:ascii="Times New Roman" w:hAnsi="Times New Roman" w:cs="Times New Roman"/>
          <w:bCs/>
          <w:sz w:val="20"/>
          <w:szCs w:val="20"/>
        </w:rPr>
        <w:t>94</w:t>
      </w:r>
      <w:r w:rsidR="00B91B8C" w:rsidRPr="00932340">
        <w:rPr>
          <w:rFonts w:ascii="Times New Roman" w:hAnsi="Times New Roman" w:cs="Times New Roman"/>
          <w:bCs/>
          <w:sz w:val="20"/>
          <w:szCs w:val="20"/>
        </w:rPr>
        <w:t xml:space="preserve">°C </w:t>
      </w:r>
      <w:r w:rsidR="003902EC" w:rsidRPr="00932340">
        <w:rPr>
          <w:rFonts w:ascii="Times New Roman" w:hAnsi="Times New Roman" w:cs="Times New Roman"/>
          <w:bCs/>
          <w:sz w:val="20"/>
          <w:szCs w:val="20"/>
        </w:rPr>
        <w:t>for 10 minutes (1 cycle) followed by 45 cycles of amplification</w:t>
      </w:r>
      <w:r w:rsidR="00B659BA" w:rsidRPr="00932340">
        <w:rPr>
          <w:rFonts w:ascii="Times New Roman" w:hAnsi="Times New Roman" w:cs="Times New Roman"/>
          <w:bCs/>
          <w:sz w:val="20"/>
          <w:szCs w:val="20"/>
        </w:rPr>
        <w:t xml:space="preserve"> (</w:t>
      </w:r>
      <w:r w:rsidR="00B91B8C" w:rsidRPr="00932340">
        <w:rPr>
          <w:rFonts w:ascii="Times New Roman" w:hAnsi="Times New Roman" w:cs="Times New Roman"/>
          <w:bCs/>
          <w:sz w:val="20"/>
          <w:szCs w:val="20"/>
        </w:rPr>
        <w:t>94°C for 15 seconds and 60°C</w:t>
      </w:r>
      <w:r w:rsidR="003902EC" w:rsidRPr="00932340">
        <w:rPr>
          <w:rFonts w:ascii="Times New Roman" w:hAnsi="Times New Roman" w:cs="Times New Roman"/>
          <w:bCs/>
          <w:sz w:val="20"/>
          <w:szCs w:val="20"/>
        </w:rPr>
        <w:t xml:space="preserve"> for 1 minute</w:t>
      </w:r>
      <w:r w:rsidR="00A665DB" w:rsidRPr="00932340">
        <w:rPr>
          <w:rFonts w:ascii="Times New Roman" w:hAnsi="Times New Roman" w:cs="Times New Roman"/>
          <w:bCs/>
          <w:sz w:val="20"/>
          <w:szCs w:val="20"/>
        </w:rPr>
        <w:t xml:space="preserve">). </w:t>
      </w:r>
      <w:r w:rsidRPr="00932340">
        <w:rPr>
          <w:rFonts w:ascii="Times New Roman" w:hAnsi="Times New Roman" w:cs="Times New Roman"/>
          <w:sz w:val="20"/>
          <w:szCs w:val="20"/>
        </w:rPr>
        <w:t>Standard curves for ABL1 and</w:t>
      </w:r>
      <w:r w:rsidR="00A665DB" w:rsidRPr="00932340">
        <w:rPr>
          <w:rFonts w:ascii="Times New Roman" w:hAnsi="Times New Roman" w:cs="Times New Roman"/>
          <w:sz w:val="20"/>
          <w:szCs w:val="20"/>
        </w:rPr>
        <w:t xml:space="preserve"> BCR-ABL1 mbcr were established and utilized to convert raw CT values of unknown sam</w:t>
      </w:r>
      <w:r w:rsidRPr="00932340">
        <w:rPr>
          <w:rFonts w:ascii="Times New Roman" w:hAnsi="Times New Roman" w:cs="Times New Roman"/>
          <w:sz w:val="20"/>
          <w:szCs w:val="20"/>
        </w:rPr>
        <w:t>ples into ABL1CN and</w:t>
      </w:r>
      <w:r w:rsidR="00A665DB" w:rsidRPr="00932340">
        <w:rPr>
          <w:rFonts w:ascii="Times New Roman" w:hAnsi="Times New Roman" w:cs="Times New Roman"/>
          <w:sz w:val="20"/>
          <w:szCs w:val="20"/>
        </w:rPr>
        <w:t xml:space="preserve"> BCR-ABL1 mbcr</w:t>
      </w:r>
      <w:r w:rsidRPr="00932340">
        <w:rPr>
          <w:rFonts w:ascii="Times New Roman" w:hAnsi="Times New Roman" w:cs="Times New Roman"/>
          <w:sz w:val="20"/>
          <w:szCs w:val="20"/>
        </w:rPr>
        <w:t xml:space="preserve"> </w:t>
      </w:r>
      <w:r w:rsidR="00A665DB" w:rsidRPr="00932340">
        <w:rPr>
          <w:rFonts w:ascii="Times New Roman" w:hAnsi="Times New Roman" w:cs="Times New Roman"/>
          <w:sz w:val="20"/>
          <w:szCs w:val="20"/>
        </w:rPr>
        <w:t>CN copy numbers. The ratio of these copy number values yields the NCN.</w:t>
      </w:r>
      <w:r w:rsidR="00A665DB" w:rsidRPr="00932340">
        <w:rPr>
          <w:rFonts w:ascii="Times New Roman" w:hAnsi="Times New Roman" w:cs="Times New Roman"/>
          <w:bCs/>
          <w:sz w:val="20"/>
          <w:szCs w:val="20"/>
        </w:rPr>
        <w:t xml:space="preserve"> C</w:t>
      </w:r>
      <w:r w:rsidR="00B659BA" w:rsidRPr="00932340">
        <w:rPr>
          <w:rFonts w:ascii="Times New Roman" w:hAnsi="Times New Roman" w:cs="Times New Roman"/>
          <w:bCs/>
          <w:sz w:val="20"/>
          <w:szCs w:val="20"/>
        </w:rPr>
        <w:t xml:space="preserve">opy number of fusion gene (BCR-ABL1) and control gene (ABL1) were recorded and </w:t>
      </w:r>
      <w:r w:rsidRPr="00932340">
        <w:rPr>
          <w:rFonts w:ascii="Times New Roman" w:hAnsi="Times New Roman" w:cs="Times New Roman"/>
          <w:bCs/>
          <w:sz w:val="20"/>
          <w:szCs w:val="20"/>
        </w:rPr>
        <w:t>Normalized Copy Number (</w:t>
      </w:r>
      <w:r w:rsidR="00B659BA" w:rsidRPr="00932340">
        <w:rPr>
          <w:rFonts w:ascii="Times New Roman" w:hAnsi="Times New Roman" w:cs="Times New Roman"/>
          <w:bCs/>
          <w:sz w:val="20"/>
          <w:szCs w:val="20"/>
        </w:rPr>
        <w:t>%NCN</w:t>
      </w:r>
      <w:r w:rsidRPr="00932340">
        <w:rPr>
          <w:rFonts w:ascii="Times New Roman" w:hAnsi="Times New Roman" w:cs="Times New Roman"/>
          <w:bCs/>
          <w:sz w:val="20"/>
          <w:szCs w:val="20"/>
        </w:rPr>
        <w:t>)</w:t>
      </w:r>
      <w:r w:rsidR="00B659BA" w:rsidRPr="00932340">
        <w:rPr>
          <w:rFonts w:ascii="Times New Roman" w:hAnsi="Times New Roman" w:cs="Times New Roman"/>
          <w:bCs/>
          <w:sz w:val="20"/>
          <w:szCs w:val="20"/>
        </w:rPr>
        <w:t xml:space="preserve"> was calculated according to the following formula. </w:t>
      </w:r>
      <w:r w:rsidR="003902EC" w:rsidRPr="00932340">
        <w:rPr>
          <w:rFonts w:ascii="Times New Roman" w:hAnsi="Times New Roman" w:cs="Times New Roman"/>
          <w:bCs/>
          <w:sz w:val="20"/>
          <w:szCs w:val="20"/>
        </w:rPr>
        <w:t xml:space="preserve"> </w:t>
      </w:r>
    </w:p>
    <w:p w14:paraId="610D3B78" w14:textId="77777777" w:rsidR="003902EC" w:rsidRPr="00932340" w:rsidRDefault="003902EC" w:rsidP="00560B30">
      <w:pPr>
        <w:spacing w:after="0" w:line="276" w:lineRule="auto"/>
        <w:jc w:val="both"/>
        <w:rPr>
          <w:rFonts w:ascii="Times New Roman" w:hAnsi="Times New Roman" w:cs="Times New Roman"/>
          <w:sz w:val="20"/>
          <w:szCs w:val="20"/>
        </w:rPr>
      </w:pPr>
      <w:r w:rsidRPr="00932340">
        <w:rPr>
          <w:rFonts w:ascii="Times New Roman" w:hAnsi="Times New Roman" w:cs="Times New Roman"/>
          <w:sz w:val="20"/>
          <w:szCs w:val="20"/>
        </w:rPr>
        <w:t xml:space="preserve">%NCN = Fusion CN / Control CN x 100 </w:t>
      </w:r>
    </w:p>
    <w:p w14:paraId="53AF4B66" w14:textId="77777777" w:rsidR="00CC275A" w:rsidRPr="00932340" w:rsidRDefault="00CC275A" w:rsidP="00560B30">
      <w:pPr>
        <w:autoSpaceDE w:val="0"/>
        <w:autoSpaceDN w:val="0"/>
        <w:adjustRightInd w:val="0"/>
        <w:spacing w:after="0" w:line="276" w:lineRule="auto"/>
        <w:jc w:val="both"/>
        <w:rPr>
          <w:rFonts w:ascii="Times New Roman" w:eastAsia="MyriadPro-Regular" w:hAnsi="Times New Roman" w:cs="Times New Roman"/>
          <w:kern w:val="0"/>
          <w:sz w:val="10"/>
          <w:szCs w:val="10"/>
          <w:lang w:bidi="ar-SA"/>
          <w14:ligatures w14:val="none"/>
        </w:rPr>
      </w:pPr>
    </w:p>
    <w:p w14:paraId="06EC7BF9" w14:textId="3C04BBF6" w:rsidR="003B3D52" w:rsidRPr="00932340" w:rsidRDefault="00932340" w:rsidP="00560B30">
      <w:pPr>
        <w:spacing w:after="0" w:line="276" w:lineRule="auto"/>
        <w:jc w:val="both"/>
        <w:rPr>
          <w:rFonts w:ascii="Times New Roman" w:hAnsi="Times New Roman" w:cs="Times New Roman"/>
          <w:b/>
          <w:bCs/>
          <w:sz w:val="20"/>
          <w:szCs w:val="20"/>
        </w:rPr>
      </w:pPr>
      <w:r w:rsidRPr="00932340">
        <w:rPr>
          <w:rFonts w:ascii="Times New Roman" w:hAnsi="Times New Roman" w:cs="Times New Roman"/>
          <w:b/>
          <w:bCs/>
          <w:sz w:val="20"/>
          <w:szCs w:val="20"/>
        </w:rPr>
        <w:t xml:space="preserve">2.4 </w:t>
      </w:r>
      <w:r w:rsidR="003902EC" w:rsidRPr="00932340">
        <w:rPr>
          <w:rFonts w:ascii="Times New Roman" w:hAnsi="Times New Roman" w:cs="Times New Roman"/>
          <w:b/>
          <w:bCs/>
          <w:sz w:val="20"/>
          <w:szCs w:val="20"/>
        </w:rPr>
        <w:t>Statistical Analysis</w:t>
      </w:r>
    </w:p>
    <w:p w14:paraId="395CB2DC" w14:textId="075558F8" w:rsidR="003B3D52" w:rsidRPr="00932340" w:rsidRDefault="003902EC" w:rsidP="00560B30">
      <w:pPr>
        <w:spacing w:after="0" w:line="276" w:lineRule="auto"/>
        <w:jc w:val="both"/>
        <w:rPr>
          <w:rFonts w:ascii="Times New Roman" w:hAnsi="Times New Roman" w:cs="Times New Roman"/>
          <w:b/>
          <w:bCs/>
          <w:sz w:val="20"/>
          <w:szCs w:val="20"/>
        </w:rPr>
      </w:pPr>
      <w:r w:rsidRPr="00932340">
        <w:rPr>
          <w:rFonts w:ascii="Times New Roman" w:hAnsi="Times New Roman" w:cs="Times New Roman"/>
          <w:sz w:val="20"/>
          <w:szCs w:val="20"/>
        </w:rPr>
        <w:t xml:space="preserve">Statistical analysis was carried out using SPSS statistical software version 20 (SPSS </w:t>
      </w:r>
      <w:r w:rsidR="002B7402" w:rsidRPr="00932340">
        <w:rPr>
          <w:rFonts w:ascii="Times New Roman" w:hAnsi="Times New Roman" w:cs="Times New Roman"/>
          <w:sz w:val="20"/>
          <w:szCs w:val="20"/>
        </w:rPr>
        <w:t>Inc.</w:t>
      </w:r>
      <w:r w:rsidRPr="00932340">
        <w:rPr>
          <w:rFonts w:ascii="Times New Roman" w:hAnsi="Times New Roman" w:cs="Times New Roman"/>
          <w:sz w:val="20"/>
          <w:szCs w:val="20"/>
        </w:rPr>
        <w:t xml:space="preserve">, </w:t>
      </w:r>
      <w:r w:rsidR="00B659BA" w:rsidRPr="00932340">
        <w:rPr>
          <w:rFonts w:ascii="Times New Roman" w:hAnsi="Times New Roman" w:cs="Times New Roman"/>
          <w:sz w:val="20"/>
          <w:szCs w:val="20"/>
        </w:rPr>
        <w:t>USA). Student’s t-</w:t>
      </w:r>
      <w:r w:rsidR="00F115E9" w:rsidRPr="00932340">
        <w:rPr>
          <w:rFonts w:ascii="Times New Roman" w:hAnsi="Times New Roman" w:cs="Times New Roman"/>
          <w:sz w:val="20"/>
          <w:szCs w:val="20"/>
        </w:rPr>
        <w:t xml:space="preserve">test was performed to </w:t>
      </w:r>
      <w:r w:rsidR="00A665DB" w:rsidRPr="00932340">
        <w:rPr>
          <w:rFonts w:ascii="Times New Roman" w:hAnsi="Times New Roman" w:cs="Times New Roman"/>
          <w:sz w:val="20"/>
          <w:szCs w:val="20"/>
        </w:rPr>
        <w:t>correlate compare</w:t>
      </w:r>
      <w:r w:rsidRPr="00932340">
        <w:rPr>
          <w:rFonts w:ascii="Times New Roman" w:hAnsi="Times New Roman" w:cs="Times New Roman"/>
          <w:sz w:val="20"/>
          <w:szCs w:val="20"/>
        </w:rPr>
        <w:t xml:space="preserve"> the m</w:t>
      </w:r>
      <w:r w:rsidR="00812A64" w:rsidRPr="00932340">
        <w:rPr>
          <w:rFonts w:ascii="Times New Roman" w:hAnsi="Times New Roman" w:cs="Times New Roman"/>
          <w:sz w:val="20"/>
          <w:szCs w:val="20"/>
        </w:rPr>
        <w:t xml:space="preserve">eans of two different groups. </w:t>
      </w:r>
      <w:r w:rsidRPr="00932340">
        <w:rPr>
          <w:rFonts w:ascii="Times New Roman" w:hAnsi="Times New Roman" w:cs="Times New Roman"/>
          <w:sz w:val="20"/>
          <w:szCs w:val="20"/>
        </w:rPr>
        <w:t>P values ≤ 0.05 were considered to be statistically significant.</w:t>
      </w:r>
    </w:p>
    <w:p w14:paraId="0E9B8F75" w14:textId="77777777" w:rsidR="006A59BA" w:rsidRPr="00932340" w:rsidRDefault="006A59BA" w:rsidP="00560B30">
      <w:pPr>
        <w:spacing w:after="0" w:line="276" w:lineRule="auto"/>
        <w:jc w:val="both"/>
        <w:rPr>
          <w:rFonts w:ascii="Times New Roman" w:hAnsi="Times New Roman" w:cs="Times New Roman"/>
          <w:b/>
          <w:bCs/>
          <w:sz w:val="12"/>
          <w:szCs w:val="12"/>
        </w:rPr>
      </w:pPr>
    </w:p>
    <w:p w14:paraId="6C28F176" w14:textId="34C4ECC8" w:rsidR="00DB62E2" w:rsidRPr="00F601E2" w:rsidRDefault="00932340" w:rsidP="00560B30">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3.</w:t>
      </w:r>
      <w:r w:rsidRPr="00560B30">
        <w:rPr>
          <w:rFonts w:ascii="Times New Roman" w:hAnsi="Times New Roman" w:cs="Times New Roman"/>
          <w:b/>
          <w:bCs/>
          <w:sz w:val="24"/>
          <w:szCs w:val="24"/>
        </w:rPr>
        <w:t xml:space="preserve"> RESULTS</w:t>
      </w:r>
      <w:r w:rsidRPr="00560B30">
        <w:rPr>
          <w:rFonts w:ascii="Times New Roman" w:hAnsi="Times New Roman" w:cs="Times New Roman"/>
          <w:sz w:val="24"/>
          <w:szCs w:val="24"/>
        </w:rPr>
        <w:t xml:space="preserve"> </w:t>
      </w:r>
    </w:p>
    <w:p w14:paraId="1D35CEF6" w14:textId="2C0CA6F6" w:rsidR="002F0FC0" w:rsidRPr="00932340" w:rsidRDefault="00695098" w:rsidP="00560B30">
      <w:pPr>
        <w:pStyle w:val="NormalWeb"/>
        <w:spacing w:before="0" w:beforeAutospacing="0" w:after="0" w:afterAutospacing="0" w:line="276" w:lineRule="auto"/>
        <w:jc w:val="both"/>
        <w:rPr>
          <w:color w:val="1F1F1F"/>
          <w:sz w:val="20"/>
          <w:szCs w:val="20"/>
        </w:rPr>
      </w:pPr>
      <w:r w:rsidRPr="00932340">
        <w:rPr>
          <w:color w:val="1F1F1F"/>
          <w:sz w:val="20"/>
          <w:szCs w:val="20"/>
        </w:rPr>
        <w:t>Fifty</w:t>
      </w:r>
      <w:r w:rsidR="002B6613" w:rsidRPr="00932340">
        <w:rPr>
          <w:color w:val="1F1F1F"/>
          <w:sz w:val="20"/>
          <w:szCs w:val="20"/>
        </w:rPr>
        <w:t xml:space="preserve"> patients </w:t>
      </w:r>
      <w:r w:rsidR="002B6613" w:rsidRPr="00932340">
        <w:rPr>
          <w:sz w:val="20"/>
          <w:szCs w:val="20"/>
        </w:rPr>
        <w:t>diagnosed with B- ALL</w:t>
      </w:r>
      <w:r w:rsidR="002B6613" w:rsidRPr="00932340">
        <w:rPr>
          <w:color w:val="1F1F1F"/>
          <w:sz w:val="20"/>
          <w:szCs w:val="20"/>
        </w:rPr>
        <w:t xml:space="preserve"> enrolled in the stu</w:t>
      </w:r>
      <w:r w:rsidR="00B91B8C" w:rsidRPr="00932340">
        <w:rPr>
          <w:color w:val="1F1F1F"/>
          <w:sz w:val="20"/>
          <w:szCs w:val="20"/>
        </w:rPr>
        <w:t>dy were divided into two groups</w:t>
      </w:r>
      <w:r w:rsidR="002B6613" w:rsidRPr="00932340">
        <w:rPr>
          <w:sz w:val="20"/>
          <w:szCs w:val="20"/>
        </w:rPr>
        <w:t>:</w:t>
      </w:r>
      <w:r w:rsidR="002B6613" w:rsidRPr="00932340">
        <w:rPr>
          <w:color w:val="1F1F1F"/>
          <w:sz w:val="20"/>
          <w:szCs w:val="20"/>
        </w:rPr>
        <w:t xml:space="preserve"> 1</w:t>
      </w:r>
      <w:r w:rsidR="00CA0B87" w:rsidRPr="00932340">
        <w:rPr>
          <w:color w:val="1F1F1F"/>
          <w:sz w:val="20"/>
          <w:szCs w:val="20"/>
        </w:rPr>
        <w:t>4</w:t>
      </w:r>
      <w:r w:rsidR="002B6613" w:rsidRPr="00932340">
        <w:rPr>
          <w:color w:val="1F1F1F"/>
          <w:sz w:val="20"/>
          <w:szCs w:val="20"/>
        </w:rPr>
        <w:t xml:space="preserve"> Pre-treated (PT) patients and 36 treated patients. Further, </w:t>
      </w:r>
      <w:r w:rsidR="002B6613" w:rsidRPr="00932340">
        <w:rPr>
          <w:sz w:val="20"/>
          <w:szCs w:val="20"/>
        </w:rPr>
        <w:t>B- ALL</w:t>
      </w:r>
      <w:r w:rsidR="002B6613" w:rsidRPr="00932340">
        <w:rPr>
          <w:color w:val="1F1F1F"/>
          <w:sz w:val="20"/>
          <w:szCs w:val="20"/>
        </w:rPr>
        <w:t xml:space="preserve"> patients in treated group were subdivided as treatment non responders (TNR) (11 patients) and treatment responders (TR) (25 patients)</w:t>
      </w:r>
      <w:r w:rsidRPr="00932340">
        <w:rPr>
          <w:color w:val="1F1F1F"/>
          <w:sz w:val="20"/>
          <w:szCs w:val="20"/>
        </w:rPr>
        <w:t xml:space="preserve"> (Figure 1).</w:t>
      </w:r>
    </w:p>
    <w:p w14:paraId="32F48909" w14:textId="77777777" w:rsidR="009A71E8" w:rsidRPr="00FC0C00" w:rsidRDefault="009A71E8" w:rsidP="00560B30">
      <w:pPr>
        <w:pStyle w:val="NormalWeb"/>
        <w:spacing w:before="0" w:beforeAutospacing="0" w:after="0" w:afterAutospacing="0" w:line="276" w:lineRule="auto"/>
        <w:jc w:val="both"/>
        <w:rPr>
          <w:color w:val="1F1F1F"/>
          <w:sz w:val="10"/>
          <w:szCs w:val="10"/>
        </w:rPr>
      </w:pPr>
    </w:p>
    <w:p w14:paraId="480F0E2D" w14:textId="0F0D2928" w:rsidR="00DB62E2" w:rsidRPr="00FC0C00" w:rsidRDefault="00FC0C00" w:rsidP="00FC0C00">
      <w:pPr>
        <w:spacing w:line="276" w:lineRule="auto"/>
        <w:jc w:val="both"/>
        <w:rPr>
          <w:rFonts w:ascii="Times New Roman" w:hAnsi="Times New Roman" w:cs="Times New Roman"/>
          <w:sz w:val="20"/>
          <w:szCs w:val="20"/>
        </w:rPr>
      </w:pPr>
      <w:r w:rsidRPr="00560B30">
        <w:rPr>
          <w:noProof/>
          <w:lang w:eastAsia="en-IN" w:bidi="gu-IN"/>
        </w:rPr>
        <w:drawing>
          <wp:anchor distT="0" distB="0" distL="114300" distR="114300" simplePos="0" relativeHeight="251710464" behindDoc="0" locked="0" layoutInCell="1" allowOverlap="1" wp14:anchorId="7F864110" wp14:editId="58D760A5">
            <wp:simplePos x="0" y="0"/>
            <wp:positionH relativeFrom="margin">
              <wp:posOffset>742950</wp:posOffset>
            </wp:positionH>
            <wp:positionV relativeFrom="paragraph">
              <wp:posOffset>1123950</wp:posOffset>
            </wp:positionV>
            <wp:extent cx="4305300" cy="2276475"/>
            <wp:effectExtent l="0" t="0" r="0"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DB62E2" w:rsidRPr="00932340">
        <w:rPr>
          <w:rFonts w:ascii="Times New Roman" w:hAnsi="Times New Roman" w:cs="Times New Roman"/>
          <w:sz w:val="20"/>
          <w:szCs w:val="20"/>
        </w:rPr>
        <w:t>The clinical and haematological characteristics of the enrolled B-ALL patients are summarized in Table 1. Among them, 62% were male</w:t>
      </w:r>
      <w:r w:rsidR="0050682A" w:rsidRPr="00932340">
        <w:rPr>
          <w:rFonts w:ascii="Times New Roman" w:hAnsi="Times New Roman" w:cs="Times New Roman"/>
          <w:sz w:val="20"/>
          <w:szCs w:val="20"/>
        </w:rPr>
        <w:t>s</w:t>
      </w:r>
      <w:r w:rsidR="00DB62E2" w:rsidRPr="00932340">
        <w:rPr>
          <w:rFonts w:ascii="Times New Roman" w:hAnsi="Times New Roman" w:cs="Times New Roman"/>
          <w:sz w:val="20"/>
          <w:szCs w:val="20"/>
        </w:rPr>
        <w:t xml:space="preserve"> and 38% female</w:t>
      </w:r>
      <w:r w:rsidR="0050682A" w:rsidRPr="00932340">
        <w:rPr>
          <w:rFonts w:ascii="Times New Roman" w:hAnsi="Times New Roman" w:cs="Times New Roman"/>
          <w:sz w:val="20"/>
          <w:szCs w:val="20"/>
        </w:rPr>
        <w:t>s</w:t>
      </w:r>
      <w:r w:rsidR="00DB62E2" w:rsidRPr="00932340">
        <w:rPr>
          <w:rFonts w:ascii="Times New Roman" w:hAnsi="Times New Roman" w:cs="Times New Roman"/>
          <w:sz w:val="20"/>
          <w:szCs w:val="20"/>
        </w:rPr>
        <w:t xml:space="preserve">. Median age was 24 years, dividing patients into ≤24 years with younger age group (52%) and with elder age group &gt;24 years age (48%). Additionally, majority of the </w:t>
      </w:r>
      <w:r w:rsidR="000E0167" w:rsidRPr="00932340">
        <w:rPr>
          <w:rFonts w:ascii="Times New Roman" w:hAnsi="Times New Roman" w:cs="Times New Roman"/>
          <w:sz w:val="20"/>
          <w:szCs w:val="20"/>
        </w:rPr>
        <w:t>B-</w:t>
      </w:r>
      <w:r w:rsidR="00DB62E2" w:rsidRPr="00932340">
        <w:rPr>
          <w:rFonts w:ascii="Times New Roman" w:hAnsi="Times New Roman" w:cs="Times New Roman"/>
          <w:sz w:val="20"/>
          <w:szCs w:val="20"/>
        </w:rPr>
        <w:t xml:space="preserve">ALL patients showed abnormal RBC counts (46/50, 92%), WBC counts (36/50, 72%), platelets (35/50, 70%), haemoglobin (43/50, 86%) and </w:t>
      </w:r>
      <w:r w:rsidR="004447E3" w:rsidRPr="000F5AB9">
        <w:rPr>
          <w:rFonts w:ascii="Times New Roman" w:hAnsi="Times New Roman" w:cs="Times New Roman"/>
          <w:color w:val="202124"/>
          <w:sz w:val="20"/>
          <w:szCs w:val="20"/>
          <w:shd w:val="clear" w:color="auto" w:fill="FFFFFF"/>
        </w:rPr>
        <w:t>Haematocrit</w:t>
      </w:r>
      <w:r w:rsidR="000F5AB9">
        <w:rPr>
          <w:rFonts w:ascii="Times New Roman" w:hAnsi="Times New Roman" w:cs="Times New Roman"/>
          <w:color w:val="202124"/>
          <w:sz w:val="20"/>
          <w:szCs w:val="20"/>
          <w:shd w:val="clear" w:color="auto" w:fill="FFFFFF"/>
        </w:rPr>
        <w:t xml:space="preserve"> (</w:t>
      </w:r>
      <w:r w:rsidR="000F5AB9">
        <w:rPr>
          <w:rFonts w:ascii="Times New Roman" w:hAnsi="Times New Roman" w:cs="Times New Roman"/>
          <w:sz w:val="20"/>
          <w:szCs w:val="20"/>
        </w:rPr>
        <w:t xml:space="preserve">HCT) </w:t>
      </w:r>
      <w:r w:rsidR="00DB62E2" w:rsidRPr="00932340">
        <w:rPr>
          <w:rFonts w:ascii="Times New Roman" w:hAnsi="Times New Roman" w:cs="Times New Roman"/>
          <w:sz w:val="20"/>
          <w:szCs w:val="20"/>
        </w:rPr>
        <w:t>(45/50, 90%). Majority of the patients</w:t>
      </w:r>
      <w:r w:rsidR="0050682A" w:rsidRPr="00932340">
        <w:rPr>
          <w:rFonts w:ascii="Times New Roman" w:hAnsi="Times New Roman" w:cs="Times New Roman"/>
          <w:sz w:val="20"/>
          <w:szCs w:val="20"/>
        </w:rPr>
        <w:t xml:space="preserve"> (34/50, 68%)</w:t>
      </w:r>
      <w:r w:rsidR="00DB62E2" w:rsidRPr="00932340">
        <w:rPr>
          <w:rFonts w:ascii="Times New Roman" w:hAnsi="Times New Roman" w:cs="Times New Roman"/>
          <w:sz w:val="20"/>
          <w:szCs w:val="20"/>
        </w:rPr>
        <w:t xml:space="preserve"> showed presence of the Philadelphia chromosome showing FISH t (9; 22) positivity in 13 PT, 10 TNR and 11 TR patients.</w:t>
      </w:r>
    </w:p>
    <w:p w14:paraId="3769661C" w14:textId="77777777" w:rsidR="00FC0C00" w:rsidRDefault="00FC0C00" w:rsidP="00FC0C00">
      <w:pPr>
        <w:spacing w:after="0" w:line="276" w:lineRule="auto"/>
        <w:jc w:val="center"/>
        <w:rPr>
          <w:rFonts w:ascii="Times New Roman" w:hAnsi="Times New Roman" w:cs="Times New Roman"/>
          <w:b/>
          <w:color w:val="000000" w:themeColor="text1"/>
          <w:sz w:val="20"/>
          <w:szCs w:val="20"/>
        </w:rPr>
      </w:pPr>
    </w:p>
    <w:p w14:paraId="7D024720" w14:textId="3996B074" w:rsidR="00BF7D48" w:rsidRPr="00C141F9" w:rsidRDefault="00FC0C00" w:rsidP="00C141F9">
      <w:pPr>
        <w:spacing w:after="0" w:line="276" w:lineRule="auto"/>
        <w:jc w:val="center"/>
        <w:rPr>
          <w:rFonts w:ascii="Times New Roman" w:hAnsi="Times New Roman" w:cs="Times New Roman"/>
          <w:b/>
          <w:color w:val="000000" w:themeColor="text1"/>
          <w:sz w:val="20"/>
          <w:szCs w:val="20"/>
        </w:rPr>
      </w:pPr>
      <w:r w:rsidRPr="00FC0C00">
        <w:rPr>
          <w:rFonts w:ascii="Times New Roman" w:hAnsi="Times New Roman" w:cs="Times New Roman"/>
          <w:b/>
          <w:color w:val="000000" w:themeColor="text1"/>
          <w:sz w:val="20"/>
          <w:szCs w:val="20"/>
        </w:rPr>
        <w:t xml:space="preserve">Figure 1: Classification of ALL patients </w:t>
      </w:r>
    </w:p>
    <w:p w14:paraId="64A1B415" w14:textId="63642437" w:rsidR="00BF7D48" w:rsidRPr="00C141F9" w:rsidRDefault="00BF7D48" w:rsidP="00924723">
      <w:pPr>
        <w:spacing w:after="0" w:line="276" w:lineRule="auto"/>
        <w:jc w:val="center"/>
        <w:rPr>
          <w:rFonts w:ascii="Times New Roman" w:hAnsi="Times New Roman" w:cs="Times New Roman"/>
          <w:b/>
          <w:sz w:val="20"/>
          <w:szCs w:val="20"/>
        </w:rPr>
      </w:pPr>
      <w:r w:rsidRPr="00C141F9">
        <w:rPr>
          <w:rFonts w:ascii="Times New Roman" w:hAnsi="Times New Roman" w:cs="Times New Roman"/>
          <w:b/>
          <w:sz w:val="20"/>
          <w:szCs w:val="20"/>
        </w:rPr>
        <w:lastRenderedPageBreak/>
        <w:t xml:space="preserve">Table 1: Clinical </w:t>
      </w:r>
      <w:r w:rsidR="00DB62E2" w:rsidRPr="00C141F9">
        <w:rPr>
          <w:rFonts w:ascii="Times New Roman" w:hAnsi="Times New Roman" w:cs="Times New Roman"/>
          <w:b/>
          <w:sz w:val="20"/>
          <w:szCs w:val="20"/>
        </w:rPr>
        <w:t xml:space="preserve">and </w:t>
      </w:r>
      <w:r w:rsidR="00812A64" w:rsidRPr="00C141F9">
        <w:rPr>
          <w:rFonts w:ascii="Times New Roman" w:hAnsi="Times New Roman" w:cs="Times New Roman"/>
          <w:b/>
          <w:sz w:val="20"/>
          <w:szCs w:val="20"/>
        </w:rPr>
        <w:t>Haematological</w:t>
      </w:r>
      <w:r w:rsidR="00DB62E2" w:rsidRPr="00C141F9">
        <w:rPr>
          <w:rFonts w:ascii="Times New Roman" w:hAnsi="Times New Roman" w:cs="Times New Roman"/>
          <w:b/>
          <w:sz w:val="20"/>
          <w:szCs w:val="20"/>
        </w:rPr>
        <w:t xml:space="preserve"> </w:t>
      </w:r>
      <w:r w:rsidRPr="00C141F9">
        <w:rPr>
          <w:rFonts w:ascii="Times New Roman" w:hAnsi="Times New Roman" w:cs="Times New Roman"/>
          <w:b/>
          <w:sz w:val="20"/>
          <w:szCs w:val="20"/>
        </w:rPr>
        <w:t>Characteristics of B-ALL Patients</w:t>
      </w:r>
    </w:p>
    <w:tbl>
      <w:tblPr>
        <w:tblStyle w:val="TableGridLight"/>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273"/>
        <w:gridCol w:w="1326"/>
        <w:gridCol w:w="1459"/>
        <w:gridCol w:w="1326"/>
      </w:tblGrid>
      <w:tr w:rsidR="00681E70" w:rsidRPr="00C141F9" w14:paraId="32ED8498" w14:textId="77777777" w:rsidTr="0050682A">
        <w:trPr>
          <w:trHeight w:val="304"/>
        </w:trPr>
        <w:tc>
          <w:tcPr>
            <w:tcW w:w="3404" w:type="dxa"/>
            <w:vMerge w:val="restart"/>
            <w:noWrap/>
            <w:hideMark/>
          </w:tcPr>
          <w:p w14:paraId="57D70A3A" w14:textId="77777777" w:rsidR="00681E70" w:rsidRPr="00C141F9" w:rsidRDefault="00681E70" w:rsidP="00560B30">
            <w:pPr>
              <w:spacing w:line="276" w:lineRule="auto"/>
              <w:ind w:left="284"/>
              <w:jc w:val="both"/>
              <w:rPr>
                <w:rFonts w:ascii="Times New Roman" w:hAnsi="Times New Roman" w:cs="Times New Roman"/>
                <w:bCs/>
                <w:color w:val="FFFFFF"/>
                <w:sz w:val="20"/>
                <w:szCs w:val="20"/>
              </w:rPr>
            </w:pPr>
          </w:p>
        </w:tc>
        <w:tc>
          <w:tcPr>
            <w:tcW w:w="1273" w:type="dxa"/>
            <w:vMerge w:val="restart"/>
            <w:noWrap/>
            <w:hideMark/>
          </w:tcPr>
          <w:p w14:paraId="6FB02E7B" w14:textId="77777777" w:rsidR="00681E70" w:rsidRPr="00C141F9" w:rsidRDefault="00681E70" w:rsidP="00560B30">
            <w:pPr>
              <w:spacing w:line="276" w:lineRule="auto"/>
              <w:ind w:left="284"/>
              <w:jc w:val="both"/>
              <w:rPr>
                <w:rFonts w:ascii="Times New Roman" w:hAnsi="Times New Roman" w:cs="Times New Roman"/>
                <w:b/>
                <w:sz w:val="20"/>
                <w:szCs w:val="20"/>
              </w:rPr>
            </w:pPr>
            <w:r w:rsidRPr="00C141F9">
              <w:rPr>
                <w:rFonts w:ascii="Times New Roman" w:hAnsi="Times New Roman" w:cs="Times New Roman"/>
                <w:b/>
                <w:sz w:val="20"/>
                <w:szCs w:val="20"/>
              </w:rPr>
              <w:t>N (%)</w:t>
            </w:r>
          </w:p>
        </w:tc>
        <w:tc>
          <w:tcPr>
            <w:tcW w:w="4111" w:type="dxa"/>
            <w:gridSpan w:val="3"/>
            <w:noWrap/>
            <w:hideMark/>
          </w:tcPr>
          <w:p w14:paraId="54F41599" w14:textId="77777777" w:rsidR="00681E70" w:rsidRPr="00C141F9" w:rsidRDefault="00681E70" w:rsidP="00560B30">
            <w:pPr>
              <w:spacing w:line="276" w:lineRule="auto"/>
              <w:ind w:left="284"/>
              <w:jc w:val="both"/>
              <w:rPr>
                <w:rFonts w:ascii="Times New Roman" w:hAnsi="Times New Roman" w:cs="Times New Roman"/>
                <w:b/>
                <w:sz w:val="20"/>
                <w:szCs w:val="20"/>
              </w:rPr>
            </w:pPr>
            <w:r w:rsidRPr="00C141F9">
              <w:rPr>
                <w:rFonts w:ascii="Times New Roman" w:hAnsi="Times New Roman" w:cs="Times New Roman"/>
                <w:b/>
                <w:sz w:val="20"/>
                <w:szCs w:val="20"/>
              </w:rPr>
              <w:t>Patients with B-ALL</w:t>
            </w:r>
          </w:p>
        </w:tc>
      </w:tr>
      <w:tr w:rsidR="00681E70" w:rsidRPr="00C141F9" w14:paraId="207034DF" w14:textId="77777777" w:rsidTr="0050682A">
        <w:trPr>
          <w:trHeight w:val="304"/>
        </w:trPr>
        <w:tc>
          <w:tcPr>
            <w:tcW w:w="3404" w:type="dxa"/>
            <w:vMerge/>
            <w:noWrap/>
            <w:hideMark/>
          </w:tcPr>
          <w:p w14:paraId="5D049847" w14:textId="77777777" w:rsidR="00681E70" w:rsidRPr="00C141F9" w:rsidRDefault="00681E70" w:rsidP="00560B30">
            <w:pPr>
              <w:spacing w:line="276" w:lineRule="auto"/>
              <w:ind w:left="284"/>
              <w:jc w:val="both"/>
              <w:rPr>
                <w:rFonts w:ascii="Times New Roman" w:hAnsi="Times New Roman" w:cs="Times New Roman"/>
                <w:sz w:val="20"/>
                <w:szCs w:val="20"/>
              </w:rPr>
            </w:pPr>
          </w:p>
        </w:tc>
        <w:tc>
          <w:tcPr>
            <w:tcW w:w="1273" w:type="dxa"/>
            <w:vMerge/>
            <w:noWrap/>
            <w:hideMark/>
          </w:tcPr>
          <w:p w14:paraId="1452CC90" w14:textId="77777777" w:rsidR="00681E70" w:rsidRPr="00C141F9" w:rsidRDefault="00681E70" w:rsidP="00560B30">
            <w:pPr>
              <w:spacing w:line="276" w:lineRule="auto"/>
              <w:ind w:left="284"/>
              <w:jc w:val="both"/>
              <w:rPr>
                <w:rFonts w:ascii="Times New Roman" w:hAnsi="Times New Roman" w:cs="Times New Roman"/>
                <w:b/>
                <w:sz w:val="20"/>
                <w:szCs w:val="20"/>
              </w:rPr>
            </w:pPr>
          </w:p>
        </w:tc>
        <w:tc>
          <w:tcPr>
            <w:tcW w:w="1326" w:type="dxa"/>
            <w:noWrap/>
            <w:hideMark/>
          </w:tcPr>
          <w:p w14:paraId="477E71F3" w14:textId="6C9DDA53" w:rsidR="00681E70" w:rsidRPr="00C141F9" w:rsidRDefault="00681E70" w:rsidP="00560B30">
            <w:pPr>
              <w:spacing w:line="276" w:lineRule="auto"/>
              <w:ind w:left="284"/>
              <w:jc w:val="both"/>
              <w:rPr>
                <w:rFonts w:ascii="Times New Roman" w:hAnsi="Times New Roman" w:cs="Times New Roman"/>
                <w:b/>
                <w:sz w:val="20"/>
                <w:szCs w:val="20"/>
              </w:rPr>
            </w:pPr>
            <w:r w:rsidRPr="00C141F9">
              <w:rPr>
                <w:rFonts w:ascii="Times New Roman" w:hAnsi="Times New Roman" w:cs="Times New Roman"/>
                <w:b/>
                <w:sz w:val="20"/>
                <w:szCs w:val="20"/>
              </w:rPr>
              <w:t>PT</w:t>
            </w:r>
            <w:r w:rsidR="00543521" w:rsidRPr="00C141F9">
              <w:rPr>
                <w:rFonts w:ascii="Times New Roman" w:hAnsi="Times New Roman" w:cs="Times New Roman"/>
                <w:b/>
                <w:sz w:val="20"/>
                <w:szCs w:val="20"/>
              </w:rPr>
              <w:t xml:space="preserve"> </w:t>
            </w:r>
            <w:r w:rsidRPr="00C141F9">
              <w:rPr>
                <w:rFonts w:ascii="Times New Roman" w:hAnsi="Times New Roman" w:cs="Times New Roman"/>
                <w:b/>
                <w:sz w:val="20"/>
                <w:szCs w:val="20"/>
              </w:rPr>
              <w:t>(%)</w:t>
            </w:r>
          </w:p>
        </w:tc>
        <w:tc>
          <w:tcPr>
            <w:tcW w:w="1459" w:type="dxa"/>
            <w:noWrap/>
            <w:hideMark/>
          </w:tcPr>
          <w:p w14:paraId="58E6559C" w14:textId="7ECD868E" w:rsidR="00681E70" w:rsidRPr="00C141F9" w:rsidRDefault="00681E70" w:rsidP="00560B30">
            <w:pPr>
              <w:spacing w:line="276" w:lineRule="auto"/>
              <w:ind w:left="284"/>
              <w:jc w:val="both"/>
              <w:rPr>
                <w:rFonts w:ascii="Times New Roman" w:hAnsi="Times New Roman" w:cs="Times New Roman"/>
                <w:b/>
                <w:sz w:val="20"/>
                <w:szCs w:val="20"/>
              </w:rPr>
            </w:pPr>
            <w:r w:rsidRPr="00C141F9">
              <w:rPr>
                <w:rFonts w:ascii="Times New Roman" w:hAnsi="Times New Roman" w:cs="Times New Roman"/>
                <w:b/>
                <w:sz w:val="20"/>
                <w:szCs w:val="20"/>
              </w:rPr>
              <w:t>TNR</w:t>
            </w:r>
            <w:r w:rsidR="00543521" w:rsidRPr="00C141F9">
              <w:rPr>
                <w:rFonts w:ascii="Times New Roman" w:hAnsi="Times New Roman" w:cs="Times New Roman"/>
                <w:b/>
                <w:sz w:val="20"/>
                <w:szCs w:val="20"/>
              </w:rPr>
              <w:t xml:space="preserve"> </w:t>
            </w:r>
            <w:r w:rsidRPr="00C141F9">
              <w:rPr>
                <w:rFonts w:ascii="Times New Roman" w:hAnsi="Times New Roman" w:cs="Times New Roman"/>
                <w:b/>
                <w:sz w:val="20"/>
                <w:szCs w:val="20"/>
              </w:rPr>
              <w:t>(%)</w:t>
            </w:r>
          </w:p>
        </w:tc>
        <w:tc>
          <w:tcPr>
            <w:tcW w:w="1326" w:type="dxa"/>
            <w:noWrap/>
            <w:hideMark/>
          </w:tcPr>
          <w:p w14:paraId="176F35D0" w14:textId="2DAFDEB6" w:rsidR="00681E70" w:rsidRPr="00C141F9" w:rsidRDefault="00681E70" w:rsidP="00560B30">
            <w:pPr>
              <w:spacing w:line="276" w:lineRule="auto"/>
              <w:ind w:left="284"/>
              <w:jc w:val="both"/>
              <w:rPr>
                <w:rFonts w:ascii="Times New Roman" w:hAnsi="Times New Roman" w:cs="Times New Roman"/>
                <w:b/>
                <w:sz w:val="20"/>
                <w:szCs w:val="20"/>
              </w:rPr>
            </w:pPr>
            <w:r w:rsidRPr="00C141F9">
              <w:rPr>
                <w:rFonts w:ascii="Times New Roman" w:hAnsi="Times New Roman" w:cs="Times New Roman"/>
                <w:b/>
                <w:sz w:val="20"/>
                <w:szCs w:val="20"/>
              </w:rPr>
              <w:t>TR</w:t>
            </w:r>
            <w:r w:rsidR="00543521" w:rsidRPr="00C141F9">
              <w:rPr>
                <w:rFonts w:ascii="Times New Roman" w:hAnsi="Times New Roman" w:cs="Times New Roman"/>
                <w:b/>
                <w:sz w:val="20"/>
                <w:szCs w:val="20"/>
              </w:rPr>
              <w:t xml:space="preserve"> </w:t>
            </w:r>
            <w:r w:rsidRPr="00C141F9">
              <w:rPr>
                <w:rFonts w:ascii="Times New Roman" w:hAnsi="Times New Roman" w:cs="Times New Roman"/>
                <w:b/>
                <w:sz w:val="20"/>
                <w:szCs w:val="20"/>
              </w:rPr>
              <w:t>(%)</w:t>
            </w:r>
          </w:p>
        </w:tc>
      </w:tr>
      <w:tr w:rsidR="00681E70" w:rsidRPr="00C141F9" w14:paraId="1315C7F2" w14:textId="77777777" w:rsidTr="0050682A">
        <w:trPr>
          <w:trHeight w:val="304"/>
        </w:trPr>
        <w:tc>
          <w:tcPr>
            <w:tcW w:w="3404" w:type="dxa"/>
            <w:noWrap/>
            <w:hideMark/>
          </w:tcPr>
          <w:p w14:paraId="0BA90D5B" w14:textId="77777777"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Total</w:t>
            </w:r>
          </w:p>
        </w:tc>
        <w:tc>
          <w:tcPr>
            <w:tcW w:w="1273" w:type="dxa"/>
            <w:noWrap/>
            <w:hideMark/>
          </w:tcPr>
          <w:p w14:paraId="6F721454"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50(100)</w:t>
            </w:r>
          </w:p>
        </w:tc>
        <w:tc>
          <w:tcPr>
            <w:tcW w:w="1326" w:type="dxa"/>
            <w:noWrap/>
            <w:hideMark/>
          </w:tcPr>
          <w:p w14:paraId="0682C42B"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14(28)</w:t>
            </w:r>
          </w:p>
        </w:tc>
        <w:tc>
          <w:tcPr>
            <w:tcW w:w="1459" w:type="dxa"/>
            <w:noWrap/>
            <w:hideMark/>
          </w:tcPr>
          <w:p w14:paraId="61AC5D97"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11(22)</w:t>
            </w:r>
          </w:p>
        </w:tc>
        <w:tc>
          <w:tcPr>
            <w:tcW w:w="1326" w:type="dxa"/>
            <w:noWrap/>
            <w:hideMark/>
          </w:tcPr>
          <w:p w14:paraId="2C8F5DFF"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25(50)</w:t>
            </w:r>
          </w:p>
        </w:tc>
      </w:tr>
      <w:tr w:rsidR="00681E70" w:rsidRPr="00C141F9" w14:paraId="4B34953F" w14:textId="77777777" w:rsidTr="00A876C9">
        <w:trPr>
          <w:trHeight w:val="304"/>
        </w:trPr>
        <w:tc>
          <w:tcPr>
            <w:tcW w:w="8788" w:type="dxa"/>
            <w:gridSpan w:val="5"/>
            <w:noWrap/>
            <w:hideMark/>
          </w:tcPr>
          <w:p w14:paraId="45A44D41" w14:textId="77777777" w:rsidR="00681E70" w:rsidRPr="00C141F9" w:rsidRDefault="00681E70" w:rsidP="00560B30">
            <w:pPr>
              <w:spacing w:line="276" w:lineRule="auto"/>
              <w:jc w:val="both"/>
              <w:rPr>
                <w:rFonts w:ascii="Times New Roman" w:hAnsi="Times New Roman" w:cs="Times New Roman"/>
                <w:b/>
                <w:bCs/>
                <w:sz w:val="20"/>
                <w:szCs w:val="20"/>
              </w:rPr>
            </w:pPr>
            <w:r w:rsidRPr="00C141F9">
              <w:rPr>
                <w:rFonts w:ascii="Times New Roman" w:hAnsi="Times New Roman" w:cs="Times New Roman"/>
                <w:b/>
                <w:bCs/>
                <w:sz w:val="20"/>
                <w:szCs w:val="20"/>
              </w:rPr>
              <w:t>Gender</w:t>
            </w:r>
          </w:p>
        </w:tc>
      </w:tr>
      <w:tr w:rsidR="00681E70" w:rsidRPr="00C141F9" w14:paraId="7AC76D9B" w14:textId="77777777" w:rsidTr="0050682A">
        <w:trPr>
          <w:trHeight w:val="304"/>
        </w:trPr>
        <w:tc>
          <w:tcPr>
            <w:tcW w:w="3404" w:type="dxa"/>
            <w:noWrap/>
            <w:hideMark/>
          </w:tcPr>
          <w:p w14:paraId="3B4E7B89" w14:textId="77777777"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Male</w:t>
            </w:r>
          </w:p>
        </w:tc>
        <w:tc>
          <w:tcPr>
            <w:tcW w:w="1273" w:type="dxa"/>
            <w:noWrap/>
            <w:hideMark/>
          </w:tcPr>
          <w:p w14:paraId="4CE614F4"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31(62)</w:t>
            </w:r>
          </w:p>
        </w:tc>
        <w:tc>
          <w:tcPr>
            <w:tcW w:w="1326" w:type="dxa"/>
            <w:noWrap/>
            <w:hideMark/>
          </w:tcPr>
          <w:p w14:paraId="31BEBAD8"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10(20)</w:t>
            </w:r>
          </w:p>
        </w:tc>
        <w:tc>
          <w:tcPr>
            <w:tcW w:w="1459" w:type="dxa"/>
            <w:noWrap/>
            <w:hideMark/>
          </w:tcPr>
          <w:p w14:paraId="7D12C103"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09(18)</w:t>
            </w:r>
          </w:p>
        </w:tc>
        <w:tc>
          <w:tcPr>
            <w:tcW w:w="1326" w:type="dxa"/>
            <w:noWrap/>
            <w:hideMark/>
          </w:tcPr>
          <w:p w14:paraId="53839A68"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12(24)</w:t>
            </w:r>
          </w:p>
        </w:tc>
      </w:tr>
      <w:tr w:rsidR="00681E70" w:rsidRPr="00C141F9" w14:paraId="0E74681A" w14:textId="77777777" w:rsidTr="0050682A">
        <w:trPr>
          <w:trHeight w:val="304"/>
        </w:trPr>
        <w:tc>
          <w:tcPr>
            <w:tcW w:w="3404" w:type="dxa"/>
            <w:noWrap/>
            <w:hideMark/>
          </w:tcPr>
          <w:p w14:paraId="4FC4CDBE" w14:textId="77777777"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Female</w:t>
            </w:r>
          </w:p>
        </w:tc>
        <w:tc>
          <w:tcPr>
            <w:tcW w:w="1273" w:type="dxa"/>
            <w:noWrap/>
            <w:hideMark/>
          </w:tcPr>
          <w:p w14:paraId="4C15C45F"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19(38)</w:t>
            </w:r>
          </w:p>
        </w:tc>
        <w:tc>
          <w:tcPr>
            <w:tcW w:w="1326" w:type="dxa"/>
            <w:noWrap/>
            <w:hideMark/>
          </w:tcPr>
          <w:p w14:paraId="7A1B3BE3"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04(08)</w:t>
            </w:r>
          </w:p>
        </w:tc>
        <w:tc>
          <w:tcPr>
            <w:tcW w:w="1459" w:type="dxa"/>
            <w:noWrap/>
            <w:hideMark/>
          </w:tcPr>
          <w:p w14:paraId="01D56955"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02(04)</w:t>
            </w:r>
          </w:p>
        </w:tc>
        <w:tc>
          <w:tcPr>
            <w:tcW w:w="1326" w:type="dxa"/>
            <w:noWrap/>
            <w:hideMark/>
          </w:tcPr>
          <w:p w14:paraId="73368AB6"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13(26)</w:t>
            </w:r>
          </w:p>
        </w:tc>
      </w:tr>
      <w:tr w:rsidR="00681E70" w:rsidRPr="00C141F9" w14:paraId="480F19C1" w14:textId="77777777" w:rsidTr="00A876C9">
        <w:trPr>
          <w:trHeight w:val="304"/>
        </w:trPr>
        <w:tc>
          <w:tcPr>
            <w:tcW w:w="8788" w:type="dxa"/>
            <w:gridSpan w:val="5"/>
            <w:noWrap/>
            <w:hideMark/>
          </w:tcPr>
          <w:p w14:paraId="22CA5AEE" w14:textId="77777777" w:rsidR="00681E70" w:rsidRPr="00C141F9" w:rsidRDefault="00681E70" w:rsidP="00560B30">
            <w:pPr>
              <w:spacing w:line="276" w:lineRule="auto"/>
              <w:jc w:val="both"/>
              <w:rPr>
                <w:rFonts w:ascii="Times New Roman" w:hAnsi="Times New Roman" w:cs="Times New Roman"/>
                <w:b/>
                <w:bCs/>
                <w:sz w:val="20"/>
                <w:szCs w:val="20"/>
              </w:rPr>
            </w:pPr>
            <w:r w:rsidRPr="00C141F9">
              <w:rPr>
                <w:rFonts w:ascii="Times New Roman" w:hAnsi="Times New Roman" w:cs="Times New Roman"/>
                <w:b/>
                <w:bCs/>
                <w:sz w:val="20"/>
                <w:szCs w:val="20"/>
              </w:rPr>
              <w:t>Age</w:t>
            </w:r>
          </w:p>
        </w:tc>
      </w:tr>
      <w:tr w:rsidR="00681E70" w:rsidRPr="00C141F9" w14:paraId="758CEAEA" w14:textId="77777777" w:rsidTr="0050682A">
        <w:trPr>
          <w:trHeight w:val="304"/>
        </w:trPr>
        <w:tc>
          <w:tcPr>
            <w:tcW w:w="3404" w:type="dxa"/>
            <w:noWrap/>
            <w:hideMark/>
          </w:tcPr>
          <w:p w14:paraId="065BCAEC" w14:textId="52897F51"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≤24</w:t>
            </w:r>
            <w:r w:rsidR="004C332A" w:rsidRPr="00C141F9">
              <w:rPr>
                <w:rFonts w:ascii="Times New Roman" w:hAnsi="Times New Roman" w:cs="Times New Roman"/>
                <w:b/>
                <w:bCs/>
                <w:sz w:val="20"/>
                <w:szCs w:val="20"/>
              </w:rPr>
              <w:t xml:space="preserve"> years</w:t>
            </w:r>
          </w:p>
        </w:tc>
        <w:tc>
          <w:tcPr>
            <w:tcW w:w="1273" w:type="dxa"/>
            <w:noWrap/>
            <w:hideMark/>
          </w:tcPr>
          <w:p w14:paraId="0A846FFE"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26(52)</w:t>
            </w:r>
          </w:p>
        </w:tc>
        <w:tc>
          <w:tcPr>
            <w:tcW w:w="1326" w:type="dxa"/>
            <w:noWrap/>
            <w:hideMark/>
          </w:tcPr>
          <w:p w14:paraId="15C915DA"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2(4)</w:t>
            </w:r>
          </w:p>
        </w:tc>
        <w:tc>
          <w:tcPr>
            <w:tcW w:w="1459" w:type="dxa"/>
            <w:noWrap/>
            <w:hideMark/>
          </w:tcPr>
          <w:p w14:paraId="5E5816F9"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7(14)</w:t>
            </w:r>
          </w:p>
        </w:tc>
        <w:tc>
          <w:tcPr>
            <w:tcW w:w="1326" w:type="dxa"/>
            <w:noWrap/>
            <w:hideMark/>
          </w:tcPr>
          <w:p w14:paraId="747632EF"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17(34)</w:t>
            </w:r>
          </w:p>
        </w:tc>
      </w:tr>
      <w:tr w:rsidR="00681E70" w:rsidRPr="00C141F9" w14:paraId="5963B217" w14:textId="77777777" w:rsidTr="0050682A">
        <w:trPr>
          <w:trHeight w:val="304"/>
        </w:trPr>
        <w:tc>
          <w:tcPr>
            <w:tcW w:w="3404" w:type="dxa"/>
            <w:noWrap/>
            <w:hideMark/>
          </w:tcPr>
          <w:p w14:paraId="3A1D0905" w14:textId="7FE61E8A"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&gt;24</w:t>
            </w:r>
            <w:r w:rsidR="004C332A" w:rsidRPr="00C141F9">
              <w:rPr>
                <w:rFonts w:ascii="Times New Roman" w:hAnsi="Times New Roman" w:cs="Times New Roman"/>
                <w:b/>
                <w:bCs/>
                <w:sz w:val="20"/>
                <w:szCs w:val="20"/>
              </w:rPr>
              <w:t xml:space="preserve"> years</w:t>
            </w:r>
          </w:p>
        </w:tc>
        <w:tc>
          <w:tcPr>
            <w:tcW w:w="1273" w:type="dxa"/>
            <w:noWrap/>
            <w:hideMark/>
          </w:tcPr>
          <w:p w14:paraId="06EFE1F5"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24(48)</w:t>
            </w:r>
          </w:p>
        </w:tc>
        <w:tc>
          <w:tcPr>
            <w:tcW w:w="1326" w:type="dxa"/>
            <w:noWrap/>
            <w:hideMark/>
          </w:tcPr>
          <w:p w14:paraId="3BBC1F03"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12(24)</w:t>
            </w:r>
          </w:p>
        </w:tc>
        <w:tc>
          <w:tcPr>
            <w:tcW w:w="1459" w:type="dxa"/>
            <w:noWrap/>
            <w:hideMark/>
          </w:tcPr>
          <w:p w14:paraId="3AFE99F8"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04(08)</w:t>
            </w:r>
          </w:p>
        </w:tc>
        <w:tc>
          <w:tcPr>
            <w:tcW w:w="1326" w:type="dxa"/>
            <w:noWrap/>
            <w:hideMark/>
          </w:tcPr>
          <w:p w14:paraId="54659DCD"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08(16)</w:t>
            </w:r>
          </w:p>
        </w:tc>
      </w:tr>
      <w:tr w:rsidR="00681E70" w:rsidRPr="00C141F9" w14:paraId="73014D72" w14:textId="77777777" w:rsidTr="00A876C9">
        <w:trPr>
          <w:trHeight w:val="304"/>
        </w:trPr>
        <w:tc>
          <w:tcPr>
            <w:tcW w:w="8788" w:type="dxa"/>
            <w:gridSpan w:val="5"/>
            <w:noWrap/>
            <w:hideMark/>
          </w:tcPr>
          <w:p w14:paraId="60B3F66B" w14:textId="77777777" w:rsidR="00681E70" w:rsidRPr="00C141F9" w:rsidRDefault="00681E70" w:rsidP="00560B30">
            <w:pPr>
              <w:spacing w:line="276" w:lineRule="auto"/>
              <w:jc w:val="both"/>
              <w:rPr>
                <w:rFonts w:ascii="Times New Roman" w:hAnsi="Times New Roman" w:cs="Times New Roman"/>
                <w:b/>
                <w:bCs/>
                <w:sz w:val="20"/>
                <w:szCs w:val="20"/>
              </w:rPr>
            </w:pPr>
            <w:r w:rsidRPr="00C141F9">
              <w:rPr>
                <w:rFonts w:ascii="Times New Roman" w:hAnsi="Times New Roman" w:cs="Times New Roman"/>
                <w:b/>
                <w:bCs/>
                <w:sz w:val="20"/>
                <w:szCs w:val="20"/>
              </w:rPr>
              <w:t>RBC</w:t>
            </w:r>
          </w:p>
        </w:tc>
      </w:tr>
      <w:tr w:rsidR="00681E70" w:rsidRPr="00C141F9" w14:paraId="4DDBD447" w14:textId="77777777" w:rsidTr="0050682A">
        <w:trPr>
          <w:trHeight w:val="304"/>
        </w:trPr>
        <w:tc>
          <w:tcPr>
            <w:tcW w:w="3404" w:type="dxa"/>
            <w:noWrap/>
            <w:hideMark/>
          </w:tcPr>
          <w:p w14:paraId="140501CE" w14:textId="3A29E572" w:rsidR="00681E70" w:rsidRPr="00C141F9" w:rsidRDefault="00411F5E"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Within n</w:t>
            </w:r>
            <w:r w:rsidR="00681E70" w:rsidRPr="00C141F9">
              <w:rPr>
                <w:rFonts w:ascii="Times New Roman" w:hAnsi="Times New Roman" w:cs="Times New Roman"/>
                <w:b/>
                <w:bCs/>
                <w:sz w:val="20"/>
                <w:szCs w:val="20"/>
              </w:rPr>
              <w:t>ormal RBC counts</w:t>
            </w:r>
          </w:p>
        </w:tc>
        <w:tc>
          <w:tcPr>
            <w:tcW w:w="1273" w:type="dxa"/>
            <w:noWrap/>
            <w:hideMark/>
          </w:tcPr>
          <w:p w14:paraId="1F230B30"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04(08)</w:t>
            </w:r>
          </w:p>
        </w:tc>
        <w:tc>
          <w:tcPr>
            <w:tcW w:w="1326" w:type="dxa"/>
            <w:noWrap/>
            <w:hideMark/>
          </w:tcPr>
          <w:p w14:paraId="1E70F1A1"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01(02)</w:t>
            </w:r>
          </w:p>
        </w:tc>
        <w:tc>
          <w:tcPr>
            <w:tcW w:w="1459" w:type="dxa"/>
            <w:noWrap/>
            <w:hideMark/>
          </w:tcPr>
          <w:p w14:paraId="6DF26203"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00(00)</w:t>
            </w:r>
          </w:p>
        </w:tc>
        <w:tc>
          <w:tcPr>
            <w:tcW w:w="1326" w:type="dxa"/>
            <w:noWrap/>
            <w:hideMark/>
          </w:tcPr>
          <w:p w14:paraId="06A6F398"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03(06)</w:t>
            </w:r>
          </w:p>
        </w:tc>
      </w:tr>
      <w:tr w:rsidR="00681E70" w:rsidRPr="00C141F9" w14:paraId="093DB8F0" w14:textId="77777777" w:rsidTr="0050682A">
        <w:trPr>
          <w:trHeight w:val="304"/>
        </w:trPr>
        <w:tc>
          <w:tcPr>
            <w:tcW w:w="3404" w:type="dxa"/>
            <w:noWrap/>
            <w:hideMark/>
          </w:tcPr>
          <w:p w14:paraId="056B7B44" w14:textId="77777777"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Abnormal RBC counts</w:t>
            </w:r>
          </w:p>
        </w:tc>
        <w:tc>
          <w:tcPr>
            <w:tcW w:w="1273" w:type="dxa"/>
            <w:noWrap/>
            <w:hideMark/>
          </w:tcPr>
          <w:p w14:paraId="0764A085"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46(92)</w:t>
            </w:r>
          </w:p>
        </w:tc>
        <w:tc>
          <w:tcPr>
            <w:tcW w:w="1326" w:type="dxa"/>
            <w:noWrap/>
            <w:hideMark/>
          </w:tcPr>
          <w:p w14:paraId="3A6EC65D"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13(26)</w:t>
            </w:r>
          </w:p>
        </w:tc>
        <w:tc>
          <w:tcPr>
            <w:tcW w:w="1459" w:type="dxa"/>
            <w:noWrap/>
            <w:hideMark/>
          </w:tcPr>
          <w:p w14:paraId="46BCB287"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11(22)</w:t>
            </w:r>
          </w:p>
        </w:tc>
        <w:tc>
          <w:tcPr>
            <w:tcW w:w="1326" w:type="dxa"/>
            <w:noWrap/>
            <w:hideMark/>
          </w:tcPr>
          <w:p w14:paraId="5019CF97"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22(44)</w:t>
            </w:r>
          </w:p>
        </w:tc>
      </w:tr>
      <w:tr w:rsidR="00681E70" w:rsidRPr="00C141F9" w14:paraId="4F8E633B" w14:textId="77777777" w:rsidTr="00A876C9">
        <w:trPr>
          <w:trHeight w:val="304"/>
        </w:trPr>
        <w:tc>
          <w:tcPr>
            <w:tcW w:w="8788" w:type="dxa"/>
            <w:gridSpan w:val="5"/>
            <w:noWrap/>
            <w:hideMark/>
          </w:tcPr>
          <w:p w14:paraId="1FEC83F0" w14:textId="77777777" w:rsidR="00681E70" w:rsidRPr="00C141F9" w:rsidRDefault="00681E70" w:rsidP="00560B30">
            <w:pPr>
              <w:spacing w:line="276" w:lineRule="auto"/>
              <w:jc w:val="both"/>
              <w:rPr>
                <w:rFonts w:ascii="Times New Roman" w:hAnsi="Times New Roman" w:cs="Times New Roman"/>
                <w:b/>
                <w:bCs/>
                <w:sz w:val="20"/>
                <w:szCs w:val="20"/>
              </w:rPr>
            </w:pPr>
            <w:r w:rsidRPr="00C141F9">
              <w:rPr>
                <w:rFonts w:ascii="Times New Roman" w:hAnsi="Times New Roman" w:cs="Times New Roman"/>
                <w:b/>
                <w:bCs/>
                <w:sz w:val="20"/>
                <w:szCs w:val="20"/>
              </w:rPr>
              <w:t>WBC</w:t>
            </w:r>
          </w:p>
        </w:tc>
      </w:tr>
      <w:tr w:rsidR="00681E70" w:rsidRPr="00C141F9" w14:paraId="7FB3D70A" w14:textId="77777777" w:rsidTr="0050682A">
        <w:trPr>
          <w:trHeight w:val="304"/>
        </w:trPr>
        <w:tc>
          <w:tcPr>
            <w:tcW w:w="3404" w:type="dxa"/>
            <w:noWrap/>
            <w:hideMark/>
          </w:tcPr>
          <w:p w14:paraId="2481AE7E" w14:textId="2567FEC7" w:rsidR="00681E70" w:rsidRPr="00C141F9" w:rsidRDefault="00411F5E"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 xml:space="preserve">Within normal </w:t>
            </w:r>
            <w:r w:rsidR="00681E70" w:rsidRPr="00C141F9">
              <w:rPr>
                <w:rFonts w:ascii="Times New Roman" w:hAnsi="Times New Roman" w:cs="Times New Roman"/>
                <w:b/>
                <w:bCs/>
                <w:sz w:val="20"/>
                <w:szCs w:val="20"/>
              </w:rPr>
              <w:t>WBC counts</w:t>
            </w:r>
          </w:p>
        </w:tc>
        <w:tc>
          <w:tcPr>
            <w:tcW w:w="1273" w:type="dxa"/>
            <w:noWrap/>
            <w:hideMark/>
          </w:tcPr>
          <w:p w14:paraId="1E0FEC5F"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14(28)</w:t>
            </w:r>
          </w:p>
        </w:tc>
        <w:tc>
          <w:tcPr>
            <w:tcW w:w="1326" w:type="dxa"/>
            <w:noWrap/>
            <w:hideMark/>
          </w:tcPr>
          <w:p w14:paraId="63EBAEC2"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02(04)</w:t>
            </w:r>
          </w:p>
        </w:tc>
        <w:tc>
          <w:tcPr>
            <w:tcW w:w="1459" w:type="dxa"/>
            <w:noWrap/>
            <w:hideMark/>
          </w:tcPr>
          <w:p w14:paraId="639C35CC"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01(02)</w:t>
            </w:r>
          </w:p>
        </w:tc>
        <w:tc>
          <w:tcPr>
            <w:tcW w:w="1326" w:type="dxa"/>
            <w:noWrap/>
            <w:hideMark/>
          </w:tcPr>
          <w:p w14:paraId="7AC8AD78"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11(22)</w:t>
            </w:r>
          </w:p>
        </w:tc>
      </w:tr>
      <w:tr w:rsidR="00681E70" w:rsidRPr="00C141F9" w14:paraId="1ABA2F14" w14:textId="77777777" w:rsidTr="0050682A">
        <w:trPr>
          <w:trHeight w:val="304"/>
        </w:trPr>
        <w:tc>
          <w:tcPr>
            <w:tcW w:w="3404" w:type="dxa"/>
            <w:noWrap/>
            <w:hideMark/>
          </w:tcPr>
          <w:p w14:paraId="314DA3FA" w14:textId="77777777"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Abnormal WBC counts</w:t>
            </w:r>
          </w:p>
        </w:tc>
        <w:tc>
          <w:tcPr>
            <w:tcW w:w="1273" w:type="dxa"/>
            <w:noWrap/>
            <w:hideMark/>
          </w:tcPr>
          <w:p w14:paraId="0A9885B7"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36(72)</w:t>
            </w:r>
          </w:p>
        </w:tc>
        <w:tc>
          <w:tcPr>
            <w:tcW w:w="1326" w:type="dxa"/>
            <w:noWrap/>
            <w:hideMark/>
          </w:tcPr>
          <w:p w14:paraId="184E736E"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12(24)</w:t>
            </w:r>
          </w:p>
        </w:tc>
        <w:tc>
          <w:tcPr>
            <w:tcW w:w="1459" w:type="dxa"/>
            <w:noWrap/>
            <w:hideMark/>
          </w:tcPr>
          <w:p w14:paraId="14AF1469"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10(20)</w:t>
            </w:r>
          </w:p>
        </w:tc>
        <w:tc>
          <w:tcPr>
            <w:tcW w:w="1326" w:type="dxa"/>
            <w:noWrap/>
            <w:hideMark/>
          </w:tcPr>
          <w:p w14:paraId="1BAEC4A2"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14(28)</w:t>
            </w:r>
          </w:p>
        </w:tc>
      </w:tr>
      <w:tr w:rsidR="00681E70" w:rsidRPr="00C141F9" w14:paraId="49A313BC" w14:textId="77777777" w:rsidTr="00A876C9">
        <w:trPr>
          <w:trHeight w:val="304"/>
        </w:trPr>
        <w:tc>
          <w:tcPr>
            <w:tcW w:w="8788" w:type="dxa"/>
            <w:gridSpan w:val="5"/>
            <w:noWrap/>
            <w:hideMark/>
          </w:tcPr>
          <w:p w14:paraId="73ACDCE4" w14:textId="77777777" w:rsidR="00681E70" w:rsidRPr="00C141F9" w:rsidRDefault="00681E70" w:rsidP="00560B30">
            <w:pPr>
              <w:spacing w:line="276" w:lineRule="auto"/>
              <w:jc w:val="both"/>
              <w:rPr>
                <w:rFonts w:ascii="Times New Roman" w:hAnsi="Times New Roman" w:cs="Times New Roman"/>
                <w:b/>
                <w:bCs/>
                <w:sz w:val="20"/>
                <w:szCs w:val="20"/>
              </w:rPr>
            </w:pPr>
            <w:r w:rsidRPr="00C141F9">
              <w:rPr>
                <w:rFonts w:ascii="Times New Roman" w:hAnsi="Times New Roman" w:cs="Times New Roman"/>
                <w:b/>
                <w:bCs/>
                <w:sz w:val="20"/>
                <w:szCs w:val="20"/>
              </w:rPr>
              <w:t>Platelet</w:t>
            </w:r>
          </w:p>
        </w:tc>
      </w:tr>
      <w:tr w:rsidR="00681E70" w:rsidRPr="00C141F9" w14:paraId="45BA6E07" w14:textId="77777777" w:rsidTr="0050682A">
        <w:trPr>
          <w:trHeight w:val="304"/>
        </w:trPr>
        <w:tc>
          <w:tcPr>
            <w:tcW w:w="3404" w:type="dxa"/>
            <w:noWrap/>
            <w:hideMark/>
          </w:tcPr>
          <w:p w14:paraId="1038E559" w14:textId="712AEEDD" w:rsidR="00681E70" w:rsidRPr="00C141F9" w:rsidRDefault="00411F5E"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 xml:space="preserve">Within normal </w:t>
            </w:r>
            <w:r w:rsidR="00681E70" w:rsidRPr="00C141F9">
              <w:rPr>
                <w:rFonts w:ascii="Times New Roman" w:hAnsi="Times New Roman" w:cs="Times New Roman"/>
                <w:b/>
                <w:bCs/>
                <w:sz w:val="20"/>
                <w:szCs w:val="20"/>
              </w:rPr>
              <w:t>Platelet counts</w:t>
            </w:r>
          </w:p>
        </w:tc>
        <w:tc>
          <w:tcPr>
            <w:tcW w:w="1273" w:type="dxa"/>
            <w:noWrap/>
            <w:hideMark/>
          </w:tcPr>
          <w:p w14:paraId="71C336D5"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15(30)</w:t>
            </w:r>
          </w:p>
        </w:tc>
        <w:tc>
          <w:tcPr>
            <w:tcW w:w="1326" w:type="dxa"/>
            <w:noWrap/>
            <w:hideMark/>
          </w:tcPr>
          <w:p w14:paraId="691B8FB9"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00(00)</w:t>
            </w:r>
          </w:p>
        </w:tc>
        <w:tc>
          <w:tcPr>
            <w:tcW w:w="1459" w:type="dxa"/>
            <w:noWrap/>
            <w:hideMark/>
          </w:tcPr>
          <w:p w14:paraId="6165A045"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04(08)</w:t>
            </w:r>
          </w:p>
        </w:tc>
        <w:tc>
          <w:tcPr>
            <w:tcW w:w="1326" w:type="dxa"/>
            <w:noWrap/>
            <w:hideMark/>
          </w:tcPr>
          <w:p w14:paraId="12C25EC5"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11(22)</w:t>
            </w:r>
          </w:p>
        </w:tc>
      </w:tr>
      <w:tr w:rsidR="00681E70" w:rsidRPr="00C141F9" w14:paraId="352C5F36" w14:textId="77777777" w:rsidTr="0050682A">
        <w:trPr>
          <w:trHeight w:val="304"/>
        </w:trPr>
        <w:tc>
          <w:tcPr>
            <w:tcW w:w="3404" w:type="dxa"/>
            <w:noWrap/>
            <w:hideMark/>
          </w:tcPr>
          <w:p w14:paraId="1C1BE0CE" w14:textId="0CC255D7"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Abnormal Platelet counts</w:t>
            </w:r>
          </w:p>
        </w:tc>
        <w:tc>
          <w:tcPr>
            <w:tcW w:w="1273" w:type="dxa"/>
            <w:noWrap/>
            <w:hideMark/>
          </w:tcPr>
          <w:p w14:paraId="748C05A4"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35(70)</w:t>
            </w:r>
          </w:p>
        </w:tc>
        <w:tc>
          <w:tcPr>
            <w:tcW w:w="1326" w:type="dxa"/>
            <w:noWrap/>
            <w:hideMark/>
          </w:tcPr>
          <w:p w14:paraId="3AC1575E"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14(28)</w:t>
            </w:r>
          </w:p>
        </w:tc>
        <w:tc>
          <w:tcPr>
            <w:tcW w:w="1459" w:type="dxa"/>
            <w:noWrap/>
            <w:hideMark/>
          </w:tcPr>
          <w:p w14:paraId="2641957B"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07(14)</w:t>
            </w:r>
          </w:p>
        </w:tc>
        <w:tc>
          <w:tcPr>
            <w:tcW w:w="1326" w:type="dxa"/>
            <w:noWrap/>
            <w:hideMark/>
          </w:tcPr>
          <w:p w14:paraId="3D104B7A"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14(28)</w:t>
            </w:r>
          </w:p>
        </w:tc>
      </w:tr>
      <w:tr w:rsidR="00681E70" w:rsidRPr="00C141F9" w14:paraId="70D859E8" w14:textId="77777777" w:rsidTr="00A876C9">
        <w:trPr>
          <w:trHeight w:val="304"/>
        </w:trPr>
        <w:tc>
          <w:tcPr>
            <w:tcW w:w="8788" w:type="dxa"/>
            <w:gridSpan w:val="5"/>
            <w:noWrap/>
            <w:hideMark/>
          </w:tcPr>
          <w:p w14:paraId="024D76EF" w14:textId="77777777" w:rsidR="00681E70" w:rsidRPr="00C141F9" w:rsidRDefault="00681E70" w:rsidP="00560B30">
            <w:pPr>
              <w:spacing w:line="276" w:lineRule="auto"/>
              <w:jc w:val="both"/>
              <w:rPr>
                <w:rFonts w:ascii="Times New Roman" w:hAnsi="Times New Roman" w:cs="Times New Roman"/>
                <w:b/>
                <w:bCs/>
                <w:sz w:val="20"/>
                <w:szCs w:val="20"/>
              </w:rPr>
            </w:pPr>
            <w:r w:rsidRPr="00C141F9">
              <w:rPr>
                <w:rFonts w:ascii="Times New Roman" w:hAnsi="Times New Roman" w:cs="Times New Roman"/>
                <w:b/>
                <w:bCs/>
                <w:sz w:val="20"/>
                <w:szCs w:val="20"/>
              </w:rPr>
              <w:t>Haemoglobin</w:t>
            </w:r>
          </w:p>
        </w:tc>
      </w:tr>
      <w:tr w:rsidR="00681E70" w:rsidRPr="00C141F9" w14:paraId="0F433E1F" w14:textId="77777777" w:rsidTr="0050682A">
        <w:trPr>
          <w:trHeight w:val="304"/>
        </w:trPr>
        <w:tc>
          <w:tcPr>
            <w:tcW w:w="3404" w:type="dxa"/>
            <w:noWrap/>
            <w:hideMark/>
          </w:tcPr>
          <w:p w14:paraId="36FE0422" w14:textId="1AA1A14E" w:rsidR="00681E70" w:rsidRPr="00C141F9" w:rsidRDefault="00622E6E"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 xml:space="preserve">Within </w:t>
            </w:r>
            <w:r w:rsidR="00411F5E" w:rsidRPr="00C141F9">
              <w:rPr>
                <w:rFonts w:ascii="Times New Roman" w:hAnsi="Times New Roman" w:cs="Times New Roman"/>
                <w:b/>
                <w:bCs/>
                <w:sz w:val="20"/>
                <w:szCs w:val="20"/>
              </w:rPr>
              <w:t>n</w:t>
            </w:r>
            <w:r w:rsidR="00681E70" w:rsidRPr="00C141F9">
              <w:rPr>
                <w:rFonts w:ascii="Times New Roman" w:hAnsi="Times New Roman" w:cs="Times New Roman"/>
                <w:b/>
                <w:bCs/>
                <w:sz w:val="20"/>
                <w:szCs w:val="20"/>
              </w:rPr>
              <w:t>ormal H</w:t>
            </w:r>
            <w:r w:rsidRPr="00C141F9">
              <w:rPr>
                <w:rFonts w:ascii="Times New Roman" w:hAnsi="Times New Roman" w:cs="Times New Roman"/>
                <w:b/>
                <w:bCs/>
                <w:sz w:val="20"/>
                <w:szCs w:val="20"/>
              </w:rPr>
              <w:t>b</w:t>
            </w:r>
            <w:r w:rsidR="00681E70" w:rsidRPr="00C141F9">
              <w:rPr>
                <w:rFonts w:ascii="Times New Roman" w:hAnsi="Times New Roman" w:cs="Times New Roman"/>
                <w:b/>
                <w:bCs/>
                <w:sz w:val="20"/>
                <w:szCs w:val="20"/>
              </w:rPr>
              <w:t xml:space="preserve"> </w:t>
            </w:r>
            <w:r w:rsidRPr="00C141F9">
              <w:rPr>
                <w:rFonts w:ascii="Times New Roman" w:hAnsi="Times New Roman" w:cs="Times New Roman"/>
                <w:b/>
                <w:bCs/>
                <w:sz w:val="20"/>
                <w:szCs w:val="20"/>
              </w:rPr>
              <w:t>level</w:t>
            </w:r>
          </w:p>
        </w:tc>
        <w:tc>
          <w:tcPr>
            <w:tcW w:w="1273" w:type="dxa"/>
            <w:noWrap/>
            <w:hideMark/>
          </w:tcPr>
          <w:p w14:paraId="49F157A7"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07(14)</w:t>
            </w:r>
          </w:p>
        </w:tc>
        <w:tc>
          <w:tcPr>
            <w:tcW w:w="1326" w:type="dxa"/>
            <w:noWrap/>
            <w:hideMark/>
          </w:tcPr>
          <w:p w14:paraId="4ABC9090"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02(04)</w:t>
            </w:r>
          </w:p>
        </w:tc>
        <w:tc>
          <w:tcPr>
            <w:tcW w:w="1459" w:type="dxa"/>
            <w:noWrap/>
            <w:hideMark/>
          </w:tcPr>
          <w:p w14:paraId="3F02B78F"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01(02)</w:t>
            </w:r>
          </w:p>
        </w:tc>
        <w:tc>
          <w:tcPr>
            <w:tcW w:w="1326" w:type="dxa"/>
            <w:noWrap/>
            <w:hideMark/>
          </w:tcPr>
          <w:p w14:paraId="6648BB38"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04(08)</w:t>
            </w:r>
          </w:p>
        </w:tc>
      </w:tr>
      <w:tr w:rsidR="00681E70" w:rsidRPr="00C141F9" w14:paraId="53D8249D" w14:textId="77777777" w:rsidTr="0050682A">
        <w:trPr>
          <w:trHeight w:val="304"/>
        </w:trPr>
        <w:tc>
          <w:tcPr>
            <w:tcW w:w="3404" w:type="dxa"/>
            <w:noWrap/>
            <w:hideMark/>
          </w:tcPr>
          <w:p w14:paraId="21B2D885" w14:textId="76677159"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Abnormal H</w:t>
            </w:r>
            <w:r w:rsidR="00622E6E" w:rsidRPr="00C141F9">
              <w:rPr>
                <w:rFonts w:ascii="Times New Roman" w:hAnsi="Times New Roman" w:cs="Times New Roman"/>
                <w:b/>
                <w:bCs/>
                <w:sz w:val="20"/>
                <w:szCs w:val="20"/>
              </w:rPr>
              <w:t>b level</w:t>
            </w:r>
          </w:p>
        </w:tc>
        <w:tc>
          <w:tcPr>
            <w:tcW w:w="1273" w:type="dxa"/>
            <w:noWrap/>
            <w:hideMark/>
          </w:tcPr>
          <w:p w14:paraId="65293510"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43(86)</w:t>
            </w:r>
          </w:p>
        </w:tc>
        <w:tc>
          <w:tcPr>
            <w:tcW w:w="1326" w:type="dxa"/>
            <w:noWrap/>
            <w:hideMark/>
          </w:tcPr>
          <w:p w14:paraId="78E5A357"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12(24)</w:t>
            </w:r>
          </w:p>
        </w:tc>
        <w:tc>
          <w:tcPr>
            <w:tcW w:w="1459" w:type="dxa"/>
            <w:noWrap/>
            <w:hideMark/>
          </w:tcPr>
          <w:p w14:paraId="1CB83C77"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10(20)</w:t>
            </w:r>
          </w:p>
        </w:tc>
        <w:tc>
          <w:tcPr>
            <w:tcW w:w="1326" w:type="dxa"/>
            <w:noWrap/>
            <w:hideMark/>
          </w:tcPr>
          <w:p w14:paraId="62F45E72"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21(42)</w:t>
            </w:r>
          </w:p>
        </w:tc>
      </w:tr>
      <w:tr w:rsidR="00681E70" w:rsidRPr="00C141F9" w14:paraId="2110057F" w14:textId="77777777" w:rsidTr="00A876C9">
        <w:trPr>
          <w:trHeight w:val="304"/>
        </w:trPr>
        <w:tc>
          <w:tcPr>
            <w:tcW w:w="8788" w:type="dxa"/>
            <w:gridSpan w:val="5"/>
            <w:noWrap/>
            <w:hideMark/>
          </w:tcPr>
          <w:p w14:paraId="260175C6" w14:textId="77777777" w:rsidR="00681E70" w:rsidRPr="00C141F9" w:rsidRDefault="00681E70" w:rsidP="00560B30">
            <w:pPr>
              <w:spacing w:line="276" w:lineRule="auto"/>
              <w:jc w:val="both"/>
              <w:rPr>
                <w:rFonts w:ascii="Times New Roman" w:hAnsi="Times New Roman" w:cs="Times New Roman"/>
                <w:b/>
                <w:bCs/>
                <w:sz w:val="20"/>
                <w:szCs w:val="20"/>
              </w:rPr>
            </w:pPr>
            <w:r w:rsidRPr="00C141F9">
              <w:rPr>
                <w:rFonts w:ascii="Times New Roman" w:hAnsi="Times New Roman" w:cs="Times New Roman"/>
                <w:b/>
                <w:bCs/>
                <w:sz w:val="20"/>
                <w:szCs w:val="20"/>
              </w:rPr>
              <w:t>HCT</w:t>
            </w:r>
          </w:p>
        </w:tc>
      </w:tr>
      <w:tr w:rsidR="00681E70" w:rsidRPr="00C141F9" w14:paraId="3FDBFEDC" w14:textId="77777777" w:rsidTr="0050682A">
        <w:trPr>
          <w:trHeight w:val="304"/>
        </w:trPr>
        <w:tc>
          <w:tcPr>
            <w:tcW w:w="3404" w:type="dxa"/>
            <w:noWrap/>
            <w:hideMark/>
          </w:tcPr>
          <w:p w14:paraId="7EAFA76F" w14:textId="5637B2B4" w:rsidR="00681E70" w:rsidRPr="00C141F9" w:rsidRDefault="00411F5E"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Within n</w:t>
            </w:r>
            <w:r w:rsidR="00681E70" w:rsidRPr="00C141F9">
              <w:rPr>
                <w:rFonts w:ascii="Times New Roman" w:hAnsi="Times New Roman" w:cs="Times New Roman"/>
                <w:b/>
                <w:bCs/>
                <w:sz w:val="20"/>
                <w:szCs w:val="20"/>
              </w:rPr>
              <w:t xml:space="preserve">ormal </w:t>
            </w:r>
            <w:r w:rsidR="00622E6E" w:rsidRPr="00C141F9">
              <w:rPr>
                <w:rFonts w:ascii="Times New Roman" w:hAnsi="Times New Roman" w:cs="Times New Roman"/>
                <w:b/>
                <w:bCs/>
                <w:sz w:val="20"/>
                <w:szCs w:val="20"/>
              </w:rPr>
              <w:t>HCT level</w:t>
            </w:r>
          </w:p>
        </w:tc>
        <w:tc>
          <w:tcPr>
            <w:tcW w:w="1273" w:type="dxa"/>
            <w:noWrap/>
            <w:hideMark/>
          </w:tcPr>
          <w:p w14:paraId="33B74669"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05(10)</w:t>
            </w:r>
          </w:p>
        </w:tc>
        <w:tc>
          <w:tcPr>
            <w:tcW w:w="1326" w:type="dxa"/>
            <w:noWrap/>
            <w:hideMark/>
          </w:tcPr>
          <w:p w14:paraId="1914F201"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01(02)</w:t>
            </w:r>
          </w:p>
        </w:tc>
        <w:tc>
          <w:tcPr>
            <w:tcW w:w="1459" w:type="dxa"/>
            <w:noWrap/>
            <w:hideMark/>
          </w:tcPr>
          <w:p w14:paraId="5394CB42"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01(02)</w:t>
            </w:r>
          </w:p>
        </w:tc>
        <w:tc>
          <w:tcPr>
            <w:tcW w:w="1326" w:type="dxa"/>
            <w:noWrap/>
            <w:hideMark/>
          </w:tcPr>
          <w:p w14:paraId="0E4673FA"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03(06)</w:t>
            </w:r>
          </w:p>
        </w:tc>
      </w:tr>
      <w:tr w:rsidR="00681E70" w:rsidRPr="00C141F9" w14:paraId="151BD508" w14:textId="77777777" w:rsidTr="0050682A">
        <w:trPr>
          <w:trHeight w:val="304"/>
        </w:trPr>
        <w:tc>
          <w:tcPr>
            <w:tcW w:w="3404" w:type="dxa"/>
            <w:noWrap/>
            <w:hideMark/>
          </w:tcPr>
          <w:p w14:paraId="75CD0ADF" w14:textId="6ADD9300" w:rsidR="00681E70" w:rsidRPr="00C141F9" w:rsidRDefault="00681E70"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Abnormal HCT</w:t>
            </w:r>
            <w:r w:rsidR="00622E6E" w:rsidRPr="00C141F9">
              <w:rPr>
                <w:rFonts w:ascii="Times New Roman" w:hAnsi="Times New Roman" w:cs="Times New Roman"/>
                <w:b/>
                <w:bCs/>
                <w:sz w:val="20"/>
                <w:szCs w:val="20"/>
              </w:rPr>
              <w:t xml:space="preserve"> level</w:t>
            </w:r>
          </w:p>
        </w:tc>
        <w:tc>
          <w:tcPr>
            <w:tcW w:w="1273" w:type="dxa"/>
            <w:noWrap/>
            <w:hideMark/>
          </w:tcPr>
          <w:p w14:paraId="5626FBC1"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45(90)</w:t>
            </w:r>
          </w:p>
        </w:tc>
        <w:tc>
          <w:tcPr>
            <w:tcW w:w="1326" w:type="dxa"/>
            <w:noWrap/>
            <w:hideMark/>
          </w:tcPr>
          <w:p w14:paraId="309506F0"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13(26)</w:t>
            </w:r>
          </w:p>
        </w:tc>
        <w:tc>
          <w:tcPr>
            <w:tcW w:w="1459" w:type="dxa"/>
            <w:noWrap/>
            <w:hideMark/>
          </w:tcPr>
          <w:p w14:paraId="6037E746"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10(20)</w:t>
            </w:r>
          </w:p>
        </w:tc>
        <w:tc>
          <w:tcPr>
            <w:tcW w:w="1326" w:type="dxa"/>
            <w:noWrap/>
            <w:hideMark/>
          </w:tcPr>
          <w:p w14:paraId="5BB04A36" w14:textId="77777777" w:rsidR="00681E70" w:rsidRPr="00C141F9" w:rsidRDefault="00681E70"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12(44)</w:t>
            </w:r>
          </w:p>
        </w:tc>
      </w:tr>
      <w:tr w:rsidR="00622E6E" w:rsidRPr="00C141F9" w14:paraId="1C01FE41" w14:textId="77777777" w:rsidTr="00A876C9">
        <w:trPr>
          <w:trHeight w:val="304"/>
        </w:trPr>
        <w:tc>
          <w:tcPr>
            <w:tcW w:w="8788" w:type="dxa"/>
            <w:gridSpan w:val="5"/>
            <w:noWrap/>
          </w:tcPr>
          <w:p w14:paraId="26F4E500" w14:textId="1127FA93" w:rsidR="00622E6E" w:rsidRPr="00C141F9" w:rsidRDefault="00622E6E" w:rsidP="00560B30">
            <w:pPr>
              <w:spacing w:line="276" w:lineRule="auto"/>
              <w:jc w:val="both"/>
              <w:rPr>
                <w:rFonts w:ascii="Times New Roman" w:hAnsi="Times New Roman" w:cs="Times New Roman"/>
                <w:b/>
                <w:bCs/>
                <w:sz w:val="20"/>
                <w:szCs w:val="20"/>
              </w:rPr>
            </w:pPr>
            <w:r w:rsidRPr="00C141F9">
              <w:rPr>
                <w:rFonts w:ascii="Times New Roman" w:hAnsi="Times New Roman" w:cs="Times New Roman"/>
                <w:b/>
                <w:bCs/>
                <w:sz w:val="20"/>
                <w:szCs w:val="20"/>
              </w:rPr>
              <w:t>FISH</w:t>
            </w:r>
          </w:p>
        </w:tc>
      </w:tr>
      <w:tr w:rsidR="00622E6E" w:rsidRPr="00C141F9" w14:paraId="6AD1C13D" w14:textId="77777777" w:rsidTr="0050682A">
        <w:trPr>
          <w:trHeight w:val="304"/>
        </w:trPr>
        <w:tc>
          <w:tcPr>
            <w:tcW w:w="3404" w:type="dxa"/>
            <w:noWrap/>
          </w:tcPr>
          <w:p w14:paraId="4FEAF897" w14:textId="5EB41795" w:rsidR="00622E6E" w:rsidRPr="00C141F9" w:rsidRDefault="00E872C6"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Negative</w:t>
            </w:r>
          </w:p>
        </w:tc>
        <w:tc>
          <w:tcPr>
            <w:tcW w:w="1273" w:type="dxa"/>
            <w:noWrap/>
          </w:tcPr>
          <w:p w14:paraId="044F9DF0" w14:textId="5AF788BA" w:rsidR="00622E6E" w:rsidRPr="00C141F9" w:rsidRDefault="00373E67"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16</w:t>
            </w:r>
            <w:r w:rsidR="00FD4DE3" w:rsidRPr="00C141F9">
              <w:rPr>
                <w:rFonts w:ascii="Times New Roman" w:hAnsi="Times New Roman" w:cs="Times New Roman"/>
                <w:sz w:val="20"/>
                <w:szCs w:val="20"/>
              </w:rPr>
              <w:t xml:space="preserve"> (32)</w:t>
            </w:r>
          </w:p>
        </w:tc>
        <w:tc>
          <w:tcPr>
            <w:tcW w:w="1326" w:type="dxa"/>
            <w:noWrap/>
          </w:tcPr>
          <w:p w14:paraId="7D6AB4EF" w14:textId="01103BE9" w:rsidR="00622E6E" w:rsidRPr="00C141F9" w:rsidRDefault="00373E67" w:rsidP="00560B30">
            <w:pPr>
              <w:spacing w:line="276" w:lineRule="auto"/>
              <w:ind w:left="205"/>
              <w:jc w:val="both"/>
              <w:rPr>
                <w:rFonts w:ascii="Times New Roman" w:hAnsi="Times New Roman" w:cs="Times New Roman"/>
                <w:sz w:val="20"/>
                <w:szCs w:val="20"/>
              </w:rPr>
            </w:pPr>
            <w:r w:rsidRPr="00C141F9">
              <w:rPr>
                <w:rFonts w:ascii="Times New Roman" w:hAnsi="Times New Roman" w:cs="Times New Roman"/>
                <w:sz w:val="20"/>
                <w:szCs w:val="20"/>
              </w:rPr>
              <w:t xml:space="preserve"> 01</w:t>
            </w:r>
            <w:r w:rsidR="00FD4DE3" w:rsidRPr="00C141F9">
              <w:rPr>
                <w:rFonts w:ascii="Times New Roman" w:hAnsi="Times New Roman" w:cs="Times New Roman"/>
                <w:sz w:val="20"/>
                <w:szCs w:val="20"/>
              </w:rPr>
              <w:t xml:space="preserve"> (02)</w:t>
            </w:r>
          </w:p>
        </w:tc>
        <w:tc>
          <w:tcPr>
            <w:tcW w:w="1459" w:type="dxa"/>
            <w:noWrap/>
          </w:tcPr>
          <w:p w14:paraId="01AC303C" w14:textId="550FAC67" w:rsidR="00622E6E" w:rsidRPr="00C141F9" w:rsidRDefault="00373E67"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01</w:t>
            </w:r>
            <w:r w:rsidR="00FD4DE3" w:rsidRPr="00C141F9">
              <w:rPr>
                <w:rFonts w:ascii="Times New Roman" w:hAnsi="Times New Roman" w:cs="Times New Roman"/>
                <w:sz w:val="20"/>
                <w:szCs w:val="20"/>
              </w:rPr>
              <w:t xml:space="preserve"> (02)</w:t>
            </w:r>
          </w:p>
        </w:tc>
        <w:tc>
          <w:tcPr>
            <w:tcW w:w="1326" w:type="dxa"/>
            <w:noWrap/>
          </w:tcPr>
          <w:p w14:paraId="45C32791" w14:textId="1E753996" w:rsidR="00622E6E" w:rsidRPr="00C141F9" w:rsidRDefault="00373E67"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14</w:t>
            </w:r>
            <w:r w:rsidR="00FD4DE3" w:rsidRPr="00C141F9">
              <w:rPr>
                <w:rFonts w:ascii="Times New Roman" w:hAnsi="Times New Roman" w:cs="Times New Roman"/>
                <w:sz w:val="20"/>
                <w:szCs w:val="20"/>
              </w:rPr>
              <w:t xml:space="preserve"> (28)</w:t>
            </w:r>
          </w:p>
        </w:tc>
      </w:tr>
      <w:tr w:rsidR="00622E6E" w:rsidRPr="00C141F9" w14:paraId="53FD8C20" w14:textId="77777777" w:rsidTr="0050682A">
        <w:trPr>
          <w:trHeight w:val="304"/>
        </w:trPr>
        <w:tc>
          <w:tcPr>
            <w:tcW w:w="3404" w:type="dxa"/>
            <w:noWrap/>
          </w:tcPr>
          <w:p w14:paraId="40E9AD4B" w14:textId="3C0B421F" w:rsidR="00622E6E" w:rsidRPr="00C141F9" w:rsidRDefault="00E872C6" w:rsidP="00560B30">
            <w:pPr>
              <w:spacing w:line="276" w:lineRule="auto"/>
              <w:ind w:left="284"/>
              <w:jc w:val="both"/>
              <w:rPr>
                <w:rFonts w:ascii="Times New Roman" w:hAnsi="Times New Roman" w:cs="Times New Roman"/>
                <w:b/>
                <w:bCs/>
                <w:sz w:val="20"/>
                <w:szCs w:val="20"/>
              </w:rPr>
            </w:pPr>
            <w:r w:rsidRPr="00C141F9">
              <w:rPr>
                <w:rFonts w:ascii="Times New Roman" w:hAnsi="Times New Roman" w:cs="Times New Roman"/>
                <w:b/>
                <w:bCs/>
                <w:sz w:val="20"/>
                <w:szCs w:val="20"/>
              </w:rPr>
              <w:t>Positive</w:t>
            </w:r>
          </w:p>
        </w:tc>
        <w:tc>
          <w:tcPr>
            <w:tcW w:w="1273" w:type="dxa"/>
            <w:noWrap/>
          </w:tcPr>
          <w:p w14:paraId="5FA9EEF6" w14:textId="69378B22" w:rsidR="00622E6E" w:rsidRPr="00C141F9" w:rsidRDefault="00373E67"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34</w:t>
            </w:r>
            <w:r w:rsidR="00FD4DE3" w:rsidRPr="00C141F9">
              <w:rPr>
                <w:rFonts w:ascii="Times New Roman" w:hAnsi="Times New Roman" w:cs="Times New Roman"/>
                <w:sz w:val="20"/>
                <w:szCs w:val="20"/>
              </w:rPr>
              <w:t xml:space="preserve"> (68)</w:t>
            </w:r>
          </w:p>
        </w:tc>
        <w:tc>
          <w:tcPr>
            <w:tcW w:w="1326" w:type="dxa"/>
            <w:noWrap/>
          </w:tcPr>
          <w:p w14:paraId="15412F9B" w14:textId="150332CF" w:rsidR="00622E6E" w:rsidRPr="00C141F9" w:rsidRDefault="00373E67"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13</w:t>
            </w:r>
            <w:r w:rsidR="00FD4DE3" w:rsidRPr="00C141F9">
              <w:rPr>
                <w:rFonts w:ascii="Times New Roman" w:hAnsi="Times New Roman" w:cs="Times New Roman"/>
                <w:sz w:val="20"/>
                <w:szCs w:val="20"/>
              </w:rPr>
              <w:t xml:space="preserve"> (26)</w:t>
            </w:r>
          </w:p>
        </w:tc>
        <w:tc>
          <w:tcPr>
            <w:tcW w:w="1459" w:type="dxa"/>
            <w:noWrap/>
          </w:tcPr>
          <w:p w14:paraId="00CC17CB" w14:textId="6201E056" w:rsidR="00622E6E" w:rsidRPr="00C141F9" w:rsidRDefault="00373E67"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10</w:t>
            </w:r>
            <w:r w:rsidR="00FD4DE3" w:rsidRPr="00C141F9">
              <w:rPr>
                <w:rFonts w:ascii="Times New Roman" w:hAnsi="Times New Roman" w:cs="Times New Roman"/>
                <w:sz w:val="20"/>
                <w:szCs w:val="20"/>
              </w:rPr>
              <w:t xml:space="preserve"> (20)</w:t>
            </w:r>
          </w:p>
        </w:tc>
        <w:tc>
          <w:tcPr>
            <w:tcW w:w="1326" w:type="dxa"/>
            <w:noWrap/>
          </w:tcPr>
          <w:p w14:paraId="30B968FD" w14:textId="6A5A8070" w:rsidR="00622E6E" w:rsidRPr="00C141F9" w:rsidRDefault="00373E67" w:rsidP="00560B30">
            <w:pPr>
              <w:spacing w:line="276" w:lineRule="auto"/>
              <w:ind w:left="284"/>
              <w:jc w:val="both"/>
              <w:rPr>
                <w:rFonts w:ascii="Times New Roman" w:hAnsi="Times New Roman" w:cs="Times New Roman"/>
                <w:sz w:val="20"/>
                <w:szCs w:val="20"/>
              </w:rPr>
            </w:pPr>
            <w:r w:rsidRPr="00C141F9">
              <w:rPr>
                <w:rFonts w:ascii="Times New Roman" w:hAnsi="Times New Roman" w:cs="Times New Roman"/>
                <w:sz w:val="20"/>
                <w:szCs w:val="20"/>
              </w:rPr>
              <w:t>11</w:t>
            </w:r>
            <w:r w:rsidR="00FD4DE3" w:rsidRPr="00C141F9">
              <w:rPr>
                <w:rFonts w:ascii="Times New Roman" w:hAnsi="Times New Roman" w:cs="Times New Roman"/>
                <w:sz w:val="20"/>
                <w:szCs w:val="20"/>
              </w:rPr>
              <w:t xml:space="preserve"> (22)</w:t>
            </w:r>
          </w:p>
        </w:tc>
      </w:tr>
    </w:tbl>
    <w:p w14:paraId="30D05877" w14:textId="77777777" w:rsidR="00924723" w:rsidRDefault="00924723" w:rsidP="00924723">
      <w:pPr>
        <w:spacing w:line="276" w:lineRule="auto"/>
        <w:rPr>
          <w:rFonts w:ascii="Times New Roman" w:hAnsi="Times New Roman" w:cs="Times New Roman"/>
          <w:sz w:val="18"/>
          <w:szCs w:val="18"/>
        </w:rPr>
      </w:pPr>
      <w:r>
        <w:rPr>
          <w:rFonts w:ascii="Times New Roman" w:hAnsi="Times New Roman" w:cs="Times New Roman"/>
          <w:sz w:val="18"/>
          <w:szCs w:val="18"/>
        </w:rPr>
        <w:t xml:space="preserve">         </w:t>
      </w:r>
      <w:r w:rsidR="00A22078" w:rsidRPr="00F601E2">
        <w:rPr>
          <w:rFonts w:ascii="Times New Roman" w:hAnsi="Times New Roman" w:cs="Times New Roman"/>
          <w:sz w:val="18"/>
          <w:szCs w:val="18"/>
        </w:rPr>
        <w:t xml:space="preserve">PT - Pre-treatment, </w:t>
      </w:r>
      <w:r w:rsidR="00F601E2">
        <w:rPr>
          <w:rFonts w:ascii="Times New Roman" w:hAnsi="Times New Roman" w:cs="Times New Roman"/>
          <w:sz w:val="18"/>
          <w:szCs w:val="18"/>
        </w:rPr>
        <w:t xml:space="preserve">TNR - Treatment Non-responders, </w:t>
      </w:r>
      <w:r w:rsidR="00AE6D0E" w:rsidRPr="00F601E2">
        <w:rPr>
          <w:rFonts w:ascii="Times New Roman" w:hAnsi="Times New Roman" w:cs="Times New Roman"/>
          <w:sz w:val="18"/>
          <w:szCs w:val="18"/>
        </w:rPr>
        <w:t>TR-</w:t>
      </w:r>
      <w:r w:rsidR="00A22078" w:rsidRPr="00F601E2">
        <w:rPr>
          <w:rFonts w:ascii="Times New Roman" w:hAnsi="Times New Roman" w:cs="Times New Roman"/>
          <w:sz w:val="18"/>
          <w:szCs w:val="18"/>
        </w:rPr>
        <w:t xml:space="preserve"> </w:t>
      </w:r>
      <w:r w:rsidR="00AE6D0E" w:rsidRPr="00F601E2">
        <w:rPr>
          <w:rFonts w:ascii="Times New Roman" w:hAnsi="Times New Roman" w:cs="Times New Roman"/>
          <w:sz w:val="18"/>
          <w:szCs w:val="18"/>
        </w:rPr>
        <w:t>Treatment Responders</w:t>
      </w:r>
    </w:p>
    <w:p w14:paraId="7F9CE4D8" w14:textId="43DEA6EB" w:rsidR="00C17F03" w:rsidRPr="00924723" w:rsidRDefault="005A28EA" w:rsidP="007F75A2">
      <w:pPr>
        <w:spacing w:line="276" w:lineRule="auto"/>
        <w:jc w:val="both"/>
        <w:rPr>
          <w:rFonts w:ascii="Times New Roman" w:hAnsi="Times New Roman" w:cs="Times New Roman"/>
          <w:sz w:val="18"/>
          <w:szCs w:val="18"/>
        </w:rPr>
      </w:pPr>
      <w:r>
        <w:rPr>
          <w:rFonts w:ascii="Times New Roman" w:hAnsi="Times New Roman" w:cs="Times New Roman"/>
          <w:b/>
          <w:sz w:val="20"/>
          <w:szCs w:val="20"/>
        </w:rPr>
        <w:t xml:space="preserve">3.1 </w:t>
      </w:r>
      <w:r w:rsidR="00FF3D1F" w:rsidRPr="00C141F9">
        <w:rPr>
          <w:rFonts w:ascii="Times New Roman" w:hAnsi="Times New Roman" w:cs="Times New Roman"/>
          <w:b/>
          <w:sz w:val="20"/>
          <w:szCs w:val="20"/>
        </w:rPr>
        <w:t>Quantitative a</w:t>
      </w:r>
      <w:r w:rsidR="00B93A45" w:rsidRPr="00C141F9">
        <w:rPr>
          <w:rFonts w:ascii="Times New Roman" w:hAnsi="Times New Roman" w:cs="Times New Roman"/>
          <w:b/>
          <w:sz w:val="20"/>
          <w:szCs w:val="20"/>
        </w:rPr>
        <w:t>nalysis of minor BCR-ABL</w:t>
      </w:r>
      <w:r w:rsidR="00AC5F54" w:rsidRPr="00C141F9">
        <w:rPr>
          <w:rFonts w:ascii="Times New Roman" w:hAnsi="Times New Roman" w:cs="Times New Roman"/>
          <w:b/>
          <w:sz w:val="20"/>
          <w:szCs w:val="20"/>
        </w:rPr>
        <w:t>1</w:t>
      </w:r>
      <w:r w:rsidR="00C17F03" w:rsidRPr="00C141F9">
        <w:rPr>
          <w:rFonts w:ascii="Times New Roman" w:hAnsi="Times New Roman" w:cs="Times New Roman"/>
          <w:b/>
          <w:sz w:val="20"/>
          <w:szCs w:val="20"/>
        </w:rPr>
        <w:t xml:space="preserve"> Fusion </w:t>
      </w:r>
      <w:r w:rsidR="00A876C9" w:rsidRPr="00C141F9">
        <w:rPr>
          <w:rFonts w:ascii="Times New Roman" w:hAnsi="Times New Roman" w:cs="Times New Roman"/>
          <w:b/>
          <w:sz w:val="20"/>
          <w:szCs w:val="20"/>
        </w:rPr>
        <w:t>transcript</w:t>
      </w:r>
      <w:r w:rsidR="00C17F03" w:rsidRPr="00C141F9">
        <w:rPr>
          <w:rFonts w:ascii="Times New Roman" w:hAnsi="Times New Roman" w:cs="Times New Roman"/>
          <w:b/>
          <w:sz w:val="20"/>
          <w:szCs w:val="20"/>
        </w:rPr>
        <w:t xml:space="preserve"> by RT-qPCR Method </w:t>
      </w:r>
    </w:p>
    <w:p w14:paraId="2DC2F56A" w14:textId="4E384A5E" w:rsidR="00971A22" w:rsidRPr="00C141F9" w:rsidRDefault="00971A22" w:rsidP="007F75A2">
      <w:pPr>
        <w:spacing w:after="0" w:line="276" w:lineRule="auto"/>
        <w:jc w:val="both"/>
        <w:rPr>
          <w:rFonts w:ascii="Times New Roman" w:hAnsi="Times New Roman" w:cs="Times New Roman"/>
          <w:bCs/>
          <w:sz w:val="20"/>
          <w:szCs w:val="20"/>
        </w:rPr>
      </w:pPr>
      <w:r w:rsidRPr="00C141F9">
        <w:rPr>
          <w:rFonts w:ascii="Times New Roman" w:hAnsi="Times New Roman" w:cs="Times New Roman"/>
          <w:sz w:val="20"/>
          <w:szCs w:val="20"/>
        </w:rPr>
        <w:t xml:space="preserve">In this study, quantitative analysis of </w:t>
      </w:r>
      <w:r w:rsidR="00420A70" w:rsidRPr="00C141F9">
        <w:rPr>
          <w:rFonts w:ascii="Times New Roman" w:hAnsi="Times New Roman" w:cs="Times New Roman"/>
          <w:sz w:val="20"/>
          <w:szCs w:val="20"/>
        </w:rPr>
        <w:t>m</w:t>
      </w:r>
      <w:r w:rsidRPr="00C141F9">
        <w:rPr>
          <w:rFonts w:ascii="Times New Roman" w:hAnsi="Times New Roman" w:cs="Times New Roman"/>
          <w:sz w:val="20"/>
          <w:szCs w:val="20"/>
        </w:rPr>
        <w:t xml:space="preserve">BCR-ABL1 fusion gene by RT-qPCR method showed a significantly lower average </w:t>
      </w:r>
      <w:r w:rsidR="00420A70" w:rsidRPr="00C141F9">
        <w:rPr>
          <w:rFonts w:ascii="Times New Roman" w:hAnsi="Times New Roman" w:cs="Times New Roman"/>
          <w:sz w:val="20"/>
          <w:szCs w:val="20"/>
        </w:rPr>
        <w:t>of m</w:t>
      </w:r>
      <w:r w:rsidRPr="00C141F9">
        <w:rPr>
          <w:rFonts w:ascii="Times New Roman" w:hAnsi="Times New Roman" w:cs="Times New Roman"/>
          <w:sz w:val="20"/>
          <w:szCs w:val="20"/>
        </w:rPr>
        <w:t>BCR-ABL1 fusion copies (P&lt;0.001) in TR group as compared to PT and TNR groups. (</w:t>
      </w:r>
      <w:r w:rsidR="00A340AE" w:rsidRPr="00C141F9">
        <w:rPr>
          <w:rFonts w:ascii="Times New Roman" w:hAnsi="Times New Roman" w:cs="Times New Roman"/>
          <w:bCs/>
          <w:iCs/>
          <w:sz w:val="20"/>
          <w:szCs w:val="20"/>
        </w:rPr>
        <w:t xml:space="preserve">Figure </w:t>
      </w:r>
      <w:r w:rsidR="00420A70" w:rsidRPr="00C141F9">
        <w:rPr>
          <w:rFonts w:ascii="Times New Roman" w:hAnsi="Times New Roman" w:cs="Times New Roman"/>
          <w:bCs/>
          <w:iCs/>
          <w:sz w:val="20"/>
          <w:szCs w:val="20"/>
        </w:rPr>
        <w:t>2</w:t>
      </w:r>
      <w:r w:rsidRPr="00C141F9">
        <w:rPr>
          <w:rFonts w:ascii="Times New Roman" w:hAnsi="Times New Roman" w:cs="Times New Roman"/>
          <w:bCs/>
          <w:iCs/>
          <w:sz w:val="20"/>
          <w:szCs w:val="20"/>
        </w:rPr>
        <w:t>a)</w:t>
      </w:r>
      <w:r w:rsidRPr="00C141F9">
        <w:rPr>
          <w:rFonts w:ascii="Times New Roman" w:hAnsi="Times New Roman" w:cs="Times New Roman"/>
          <w:noProof/>
          <w:sz w:val="20"/>
          <w:szCs w:val="20"/>
          <w:lang w:eastAsia="en-IN" w:bidi="ar-SA"/>
        </w:rPr>
        <w:t>.</w:t>
      </w:r>
      <w:r w:rsidRPr="00C141F9">
        <w:rPr>
          <w:rFonts w:ascii="Times New Roman" w:hAnsi="Times New Roman" w:cs="Times New Roman"/>
          <w:b/>
          <w:sz w:val="20"/>
          <w:szCs w:val="20"/>
        </w:rPr>
        <w:t xml:space="preserve"> </w:t>
      </w:r>
      <w:r w:rsidRPr="00C141F9">
        <w:rPr>
          <w:rFonts w:ascii="Times New Roman" w:hAnsi="Times New Roman" w:cs="Times New Roman"/>
          <w:bCs/>
          <w:sz w:val="20"/>
          <w:szCs w:val="20"/>
        </w:rPr>
        <w:t>Similarly, TR had significantly decreased average %NCN (P&lt;0.001) versus PT</w:t>
      </w:r>
      <w:r w:rsidR="00420A70" w:rsidRPr="00C141F9">
        <w:rPr>
          <w:rFonts w:ascii="Times New Roman" w:hAnsi="Times New Roman" w:cs="Times New Roman"/>
          <w:bCs/>
          <w:sz w:val="20"/>
          <w:szCs w:val="20"/>
        </w:rPr>
        <w:t xml:space="preserve"> patients</w:t>
      </w:r>
      <w:r w:rsidRPr="00C141F9">
        <w:rPr>
          <w:rFonts w:ascii="Times New Roman" w:hAnsi="Times New Roman" w:cs="Times New Roman"/>
          <w:bCs/>
          <w:sz w:val="20"/>
          <w:szCs w:val="20"/>
        </w:rPr>
        <w:t xml:space="preserve"> and TNRs. (Figure b).</w:t>
      </w:r>
    </w:p>
    <w:p w14:paraId="0B839375" w14:textId="68A5D7EF" w:rsidR="00A8625B" w:rsidRDefault="00A8625B" w:rsidP="007F75A2">
      <w:pPr>
        <w:spacing w:after="0" w:line="276" w:lineRule="auto"/>
        <w:jc w:val="both"/>
        <w:rPr>
          <w:rFonts w:ascii="Times New Roman" w:hAnsi="Times New Roman" w:cs="Times New Roman"/>
          <w:bCs/>
          <w:sz w:val="24"/>
          <w:szCs w:val="24"/>
        </w:rPr>
      </w:pPr>
    </w:p>
    <w:tbl>
      <w:tblPr>
        <w:tblStyle w:val="TableGrid"/>
        <w:tblW w:w="10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7"/>
        <w:gridCol w:w="4982"/>
      </w:tblGrid>
      <w:tr w:rsidR="00A8625B" w14:paraId="04F16CD6" w14:textId="77777777" w:rsidTr="005A28EA">
        <w:trPr>
          <w:trHeight w:val="4663"/>
        </w:trPr>
        <w:tc>
          <w:tcPr>
            <w:tcW w:w="5257" w:type="dxa"/>
          </w:tcPr>
          <w:p w14:paraId="648BD146" w14:textId="4900C27E" w:rsidR="00A8625B" w:rsidRDefault="00A8625B" w:rsidP="00FF53F3">
            <w:pPr>
              <w:spacing w:line="276" w:lineRule="auto"/>
              <w:jc w:val="both"/>
              <w:rPr>
                <w:rFonts w:ascii="Times New Roman" w:hAnsi="Times New Roman" w:cs="Times New Roman"/>
                <w:b/>
                <w:sz w:val="24"/>
                <w:szCs w:val="24"/>
              </w:rPr>
            </w:pPr>
            <w:r>
              <w:rPr>
                <w:noProof/>
                <w:lang w:eastAsia="en-IN" w:bidi="gu-IN"/>
                <w14:ligatures w14:val="none"/>
              </w:rPr>
              <w:drawing>
                <wp:anchor distT="0" distB="0" distL="114300" distR="114300" simplePos="0" relativeHeight="251696128" behindDoc="0" locked="0" layoutInCell="1" allowOverlap="1" wp14:anchorId="3D322893" wp14:editId="0965DA33">
                  <wp:simplePos x="0" y="0"/>
                  <wp:positionH relativeFrom="margin">
                    <wp:posOffset>-1905</wp:posOffset>
                  </wp:positionH>
                  <wp:positionV relativeFrom="paragraph">
                    <wp:posOffset>1</wp:posOffset>
                  </wp:positionV>
                  <wp:extent cx="3143250" cy="2952750"/>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c>
        <w:tc>
          <w:tcPr>
            <w:tcW w:w="4982" w:type="dxa"/>
          </w:tcPr>
          <w:p w14:paraId="62E84D7C" w14:textId="397281F2" w:rsidR="00A8625B" w:rsidRDefault="00A8625B" w:rsidP="00FF53F3">
            <w:pPr>
              <w:spacing w:line="276" w:lineRule="auto"/>
              <w:jc w:val="both"/>
              <w:rPr>
                <w:rFonts w:ascii="Times New Roman" w:hAnsi="Times New Roman" w:cs="Times New Roman"/>
                <w:b/>
                <w:sz w:val="24"/>
                <w:szCs w:val="24"/>
              </w:rPr>
            </w:pPr>
            <w:r>
              <w:rPr>
                <w:noProof/>
                <w:lang w:eastAsia="en-IN" w:bidi="gu-IN"/>
                <w14:ligatures w14:val="none"/>
              </w:rPr>
              <w:drawing>
                <wp:inline distT="0" distB="0" distL="0" distR="0" wp14:anchorId="78EFF3C8" wp14:editId="23709BFD">
                  <wp:extent cx="2962275" cy="29527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25FEB85" w14:textId="3F6BFEAB" w:rsidR="00FF53F3" w:rsidRPr="00C141F9" w:rsidRDefault="00D11495" w:rsidP="00D11495">
      <w:pPr>
        <w:spacing w:after="0" w:line="276" w:lineRule="auto"/>
        <w:jc w:val="both"/>
        <w:rPr>
          <w:rFonts w:ascii="Times New Roman" w:hAnsi="Times New Roman" w:cs="Times New Roman"/>
          <w:bCs/>
          <w:sz w:val="20"/>
          <w:szCs w:val="20"/>
        </w:rPr>
      </w:pPr>
      <w:r>
        <w:rPr>
          <w:rFonts w:ascii="Times New Roman" w:hAnsi="Times New Roman" w:cs="Times New Roman"/>
          <w:b/>
          <w:sz w:val="20"/>
          <w:szCs w:val="20"/>
        </w:rPr>
        <w:t xml:space="preserve"> </w:t>
      </w:r>
      <w:r w:rsidR="00AA2674" w:rsidRPr="00C141F9">
        <w:rPr>
          <w:rFonts w:ascii="Times New Roman" w:hAnsi="Times New Roman" w:cs="Times New Roman"/>
          <w:b/>
          <w:sz w:val="20"/>
          <w:szCs w:val="20"/>
        </w:rPr>
        <w:t xml:space="preserve">Figure </w:t>
      </w:r>
      <w:r w:rsidR="00041672" w:rsidRPr="00C141F9">
        <w:rPr>
          <w:rFonts w:ascii="Times New Roman" w:hAnsi="Times New Roman" w:cs="Times New Roman"/>
          <w:b/>
          <w:sz w:val="20"/>
          <w:szCs w:val="20"/>
        </w:rPr>
        <w:t>2</w:t>
      </w:r>
      <w:r w:rsidR="00AA2674" w:rsidRPr="00C141F9">
        <w:rPr>
          <w:rFonts w:ascii="Times New Roman" w:hAnsi="Times New Roman" w:cs="Times New Roman"/>
          <w:b/>
          <w:sz w:val="20"/>
          <w:szCs w:val="20"/>
        </w:rPr>
        <w:t xml:space="preserve">a &amp; </w:t>
      </w:r>
      <w:r w:rsidR="00041672" w:rsidRPr="00C141F9">
        <w:rPr>
          <w:rFonts w:ascii="Times New Roman" w:hAnsi="Times New Roman" w:cs="Times New Roman"/>
          <w:b/>
          <w:sz w:val="20"/>
          <w:szCs w:val="20"/>
        </w:rPr>
        <w:t>2</w:t>
      </w:r>
      <w:r w:rsidR="00FF53F3" w:rsidRPr="00C141F9">
        <w:rPr>
          <w:rFonts w:ascii="Times New Roman" w:hAnsi="Times New Roman" w:cs="Times New Roman"/>
          <w:b/>
          <w:sz w:val="20"/>
          <w:szCs w:val="20"/>
        </w:rPr>
        <w:t>b: (</w:t>
      </w:r>
      <w:r w:rsidR="00041672" w:rsidRPr="00C141F9">
        <w:rPr>
          <w:rFonts w:ascii="Times New Roman" w:hAnsi="Times New Roman" w:cs="Times New Roman"/>
          <w:b/>
          <w:sz w:val="20"/>
          <w:szCs w:val="20"/>
        </w:rPr>
        <w:t>2</w:t>
      </w:r>
      <w:r w:rsidR="00FF53F3" w:rsidRPr="00C141F9">
        <w:rPr>
          <w:rFonts w:ascii="Times New Roman" w:hAnsi="Times New Roman" w:cs="Times New Roman"/>
          <w:b/>
          <w:sz w:val="20"/>
          <w:szCs w:val="20"/>
        </w:rPr>
        <w:t>a) Mean fusion copies (</w:t>
      </w:r>
      <w:r w:rsidR="00041672" w:rsidRPr="00C141F9">
        <w:rPr>
          <w:rFonts w:ascii="Times New Roman" w:hAnsi="Times New Roman" w:cs="Times New Roman"/>
          <w:b/>
          <w:sz w:val="20"/>
          <w:szCs w:val="20"/>
        </w:rPr>
        <w:t>2</w:t>
      </w:r>
      <w:r w:rsidR="00FF53F3" w:rsidRPr="00C141F9">
        <w:rPr>
          <w:rFonts w:ascii="Times New Roman" w:hAnsi="Times New Roman" w:cs="Times New Roman"/>
          <w:b/>
          <w:sz w:val="20"/>
          <w:szCs w:val="20"/>
        </w:rPr>
        <w:t xml:space="preserve">b) </w:t>
      </w:r>
      <w:r w:rsidR="00041672" w:rsidRPr="00C141F9">
        <w:rPr>
          <w:rFonts w:ascii="Times New Roman" w:hAnsi="Times New Roman" w:cs="Times New Roman"/>
          <w:b/>
          <w:sz w:val="20"/>
          <w:szCs w:val="20"/>
        </w:rPr>
        <w:t>mean</w:t>
      </w:r>
      <w:r w:rsidR="00FF53F3" w:rsidRPr="00C141F9">
        <w:rPr>
          <w:rFonts w:ascii="Times New Roman" w:hAnsi="Times New Roman" w:cs="Times New Roman"/>
          <w:b/>
          <w:sz w:val="20"/>
          <w:szCs w:val="20"/>
        </w:rPr>
        <w:t xml:space="preserve"> </w:t>
      </w:r>
      <w:r w:rsidR="00420A70" w:rsidRPr="00C141F9">
        <w:rPr>
          <w:rFonts w:ascii="Times New Roman" w:hAnsi="Times New Roman" w:cs="Times New Roman"/>
          <w:b/>
          <w:sz w:val="20"/>
          <w:szCs w:val="20"/>
        </w:rPr>
        <w:t>%</w:t>
      </w:r>
      <w:r w:rsidR="00FF53F3" w:rsidRPr="00C141F9">
        <w:rPr>
          <w:rFonts w:ascii="Times New Roman" w:hAnsi="Times New Roman" w:cs="Times New Roman"/>
          <w:b/>
          <w:sz w:val="20"/>
          <w:szCs w:val="20"/>
        </w:rPr>
        <w:t xml:space="preserve">NCN levels in PT, TNR and TR </w:t>
      </w:r>
      <w:r w:rsidR="00796D04" w:rsidRPr="00C141F9">
        <w:rPr>
          <w:rFonts w:ascii="Times New Roman" w:hAnsi="Times New Roman" w:cs="Times New Roman"/>
          <w:b/>
          <w:sz w:val="20"/>
          <w:szCs w:val="20"/>
        </w:rPr>
        <w:t>subgroups of</w:t>
      </w:r>
      <w:r w:rsidR="00FF53F3" w:rsidRPr="00C141F9">
        <w:rPr>
          <w:rFonts w:ascii="Times New Roman" w:hAnsi="Times New Roman" w:cs="Times New Roman"/>
          <w:b/>
          <w:sz w:val="20"/>
          <w:szCs w:val="20"/>
        </w:rPr>
        <w:t xml:space="preserve"> B-ALL</w:t>
      </w:r>
    </w:p>
    <w:p w14:paraId="39DF4B64" w14:textId="77777777" w:rsidR="007C72E3" w:rsidRDefault="007C72E3" w:rsidP="00560B30">
      <w:pPr>
        <w:spacing w:after="0" w:line="276" w:lineRule="auto"/>
        <w:jc w:val="both"/>
        <w:rPr>
          <w:rFonts w:ascii="Times New Roman" w:hAnsi="Times New Roman" w:cs="Times New Roman"/>
          <w:bCs/>
          <w:sz w:val="24"/>
          <w:szCs w:val="24"/>
        </w:rPr>
      </w:pPr>
    </w:p>
    <w:p w14:paraId="51304016" w14:textId="0A5B13F3" w:rsidR="00884151" w:rsidRPr="005A28EA" w:rsidRDefault="005A28EA" w:rsidP="00560B30">
      <w:pPr>
        <w:spacing w:after="0" w:line="276" w:lineRule="auto"/>
        <w:jc w:val="both"/>
        <w:rPr>
          <w:rFonts w:ascii="Times New Roman" w:hAnsi="Times New Roman" w:cs="Times New Roman"/>
          <w:b/>
          <w:bCs/>
          <w:sz w:val="20"/>
          <w:szCs w:val="20"/>
        </w:rPr>
      </w:pPr>
      <w:r w:rsidRPr="005A28EA">
        <w:rPr>
          <w:rFonts w:ascii="Times New Roman" w:hAnsi="Times New Roman" w:cs="Times New Roman"/>
          <w:b/>
          <w:bCs/>
          <w:sz w:val="20"/>
          <w:szCs w:val="20"/>
        </w:rPr>
        <w:t xml:space="preserve">3.2 </w:t>
      </w:r>
      <w:r w:rsidR="00884151" w:rsidRPr="005A28EA">
        <w:rPr>
          <w:rFonts w:ascii="Times New Roman" w:hAnsi="Times New Roman" w:cs="Times New Roman"/>
          <w:b/>
          <w:bCs/>
          <w:sz w:val="20"/>
          <w:szCs w:val="20"/>
        </w:rPr>
        <w:t xml:space="preserve">Correlation of </w:t>
      </w:r>
      <w:r w:rsidR="00AA2674" w:rsidRPr="005A28EA">
        <w:rPr>
          <w:rFonts w:ascii="Times New Roman" w:hAnsi="Times New Roman" w:cs="Times New Roman"/>
          <w:b/>
          <w:bCs/>
          <w:sz w:val="20"/>
          <w:szCs w:val="20"/>
        </w:rPr>
        <w:t>haematological</w:t>
      </w:r>
      <w:r w:rsidR="00884151" w:rsidRPr="005A28EA">
        <w:rPr>
          <w:rFonts w:ascii="Times New Roman" w:hAnsi="Times New Roman" w:cs="Times New Roman"/>
          <w:b/>
          <w:bCs/>
          <w:sz w:val="20"/>
          <w:szCs w:val="20"/>
        </w:rPr>
        <w:t xml:space="preserve"> parameters </w:t>
      </w:r>
      <w:r w:rsidR="008C42C4" w:rsidRPr="005A28EA">
        <w:rPr>
          <w:rFonts w:ascii="Times New Roman" w:hAnsi="Times New Roman" w:cs="Times New Roman"/>
          <w:b/>
          <w:bCs/>
          <w:sz w:val="20"/>
          <w:szCs w:val="20"/>
        </w:rPr>
        <w:t xml:space="preserve">and LDH levels </w:t>
      </w:r>
      <w:r w:rsidR="00884151" w:rsidRPr="005A28EA">
        <w:rPr>
          <w:rFonts w:ascii="Times New Roman" w:hAnsi="Times New Roman" w:cs="Times New Roman"/>
          <w:b/>
          <w:bCs/>
          <w:sz w:val="20"/>
          <w:szCs w:val="20"/>
        </w:rPr>
        <w:t xml:space="preserve">among PT, TNR and TR </w:t>
      </w:r>
      <w:r w:rsidR="00796D04" w:rsidRPr="005A28EA">
        <w:rPr>
          <w:rFonts w:ascii="Times New Roman" w:hAnsi="Times New Roman" w:cs="Times New Roman"/>
          <w:b/>
          <w:bCs/>
          <w:sz w:val="20"/>
          <w:szCs w:val="20"/>
        </w:rPr>
        <w:t>sub</w:t>
      </w:r>
      <w:r w:rsidR="00884151" w:rsidRPr="005A28EA">
        <w:rPr>
          <w:rFonts w:ascii="Times New Roman" w:hAnsi="Times New Roman" w:cs="Times New Roman"/>
          <w:b/>
          <w:bCs/>
          <w:sz w:val="20"/>
          <w:szCs w:val="20"/>
        </w:rPr>
        <w:t>groups</w:t>
      </w:r>
    </w:p>
    <w:p w14:paraId="02CC3E43" w14:textId="6089C52C" w:rsidR="00971A22" w:rsidRPr="005A28EA" w:rsidRDefault="00971A22" w:rsidP="00971A22">
      <w:pPr>
        <w:spacing w:after="0" w:line="276" w:lineRule="auto"/>
        <w:jc w:val="both"/>
        <w:rPr>
          <w:rFonts w:ascii="Times New Roman" w:hAnsi="Times New Roman" w:cs="Times New Roman"/>
          <w:sz w:val="20"/>
          <w:szCs w:val="20"/>
        </w:rPr>
      </w:pPr>
      <w:r w:rsidRPr="005A28EA">
        <w:rPr>
          <w:rFonts w:ascii="Times New Roman" w:hAnsi="Times New Roman" w:cs="Times New Roman"/>
          <w:sz w:val="20"/>
          <w:szCs w:val="20"/>
        </w:rPr>
        <w:t xml:space="preserve">When correlated with haematological parameters, PT </w:t>
      </w:r>
      <w:r w:rsidR="00420A70" w:rsidRPr="005A28EA">
        <w:rPr>
          <w:rFonts w:ascii="Times New Roman" w:hAnsi="Times New Roman" w:cs="Times New Roman"/>
          <w:sz w:val="20"/>
          <w:szCs w:val="20"/>
        </w:rPr>
        <w:t xml:space="preserve">patients </w:t>
      </w:r>
      <w:r w:rsidRPr="005A28EA">
        <w:rPr>
          <w:rFonts w:ascii="Times New Roman" w:hAnsi="Times New Roman" w:cs="Times New Roman"/>
          <w:sz w:val="20"/>
          <w:szCs w:val="20"/>
        </w:rPr>
        <w:t xml:space="preserve">had significantly higher WBC counts (p&lt;0.001) and lower platelet counts (p&lt;0.001) than TNR and TR groups. No significant association was observed with RBC count, </w:t>
      </w:r>
      <w:r w:rsidR="00AA2674" w:rsidRPr="005A28EA">
        <w:rPr>
          <w:rFonts w:ascii="Times New Roman" w:hAnsi="Times New Roman" w:cs="Times New Roman"/>
          <w:sz w:val="20"/>
          <w:szCs w:val="20"/>
        </w:rPr>
        <w:t>haemoglobin</w:t>
      </w:r>
      <w:r w:rsidRPr="005A28EA">
        <w:rPr>
          <w:rFonts w:ascii="Times New Roman" w:hAnsi="Times New Roman" w:cs="Times New Roman"/>
          <w:sz w:val="20"/>
          <w:szCs w:val="20"/>
        </w:rPr>
        <w:t xml:space="preserve"> levels and HCT% among the 3 subgroups. Moreover, mean LDH levels were found to be significantly higher in PT group as compared to TR and TNR (P=0.008) (Table 2).</w:t>
      </w:r>
    </w:p>
    <w:p w14:paraId="7FCC81D8" w14:textId="77777777" w:rsidR="00AA2674" w:rsidRPr="005A28EA" w:rsidRDefault="00AA2674" w:rsidP="00560B30">
      <w:pPr>
        <w:spacing w:after="0" w:line="276" w:lineRule="auto"/>
        <w:jc w:val="both"/>
        <w:rPr>
          <w:rFonts w:ascii="Times New Roman" w:hAnsi="Times New Roman" w:cs="Times New Roman"/>
          <w:b/>
          <w:bCs/>
          <w:sz w:val="10"/>
          <w:szCs w:val="10"/>
        </w:rPr>
      </w:pPr>
    </w:p>
    <w:p w14:paraId="4B2E6CD5" w14:textId="321CFB00" w:rsidR="00F86AFE" w:rsidRPr="005A28EA" w:rsidRDefault="00884151" w:rsidP="00560B30">
      <w:pPr>
        <w:spacing w:after="0" w:line="276" w:lineRule="auto"/>
        <w:jc w:val="both"/>
        <w:rPr>
          <w:rFonts w:ascii="Times New Roman" w:hAnsi="Times New Roman" w:cs="Times New Roman"/>
          <w:b/>
          <w:bCs/>
          <w:sz w:val="20"/>
          <w:szCs w:val="20"/>
        </w:rPr>
      </w:pPr>
      <w:r w:rsidRPr="005A28EA">
        <w:rPr>
          <w:rFonts w:ascii="Times New Roman" w:hAnsi="Times New Roman" w:cs="Times New Roman"/>
          <w:b/>
          <w:bCs/>
          <w:sz w:val="20"/>
          <w:szCs w:val="20"/>
        </w:rPr>
        <w:t>Table</w:t>
      </w:r>
      <w:r w:rsidR="002805DB" w:rsidRPr="005A28EA">
        <w:rPr>
          <w:rFonts w:ascii="Times New Roman" w:hAnsi="Times New Roman" w:cs="Times New Roman"/>
          <w:b/>
          <w:bCs/>
          <w:sz w:val="20"/>
          <w:szCs w:val="20"/>
        </w:rPr>
        <w:t xml:space="preserve"> 2</w:t>
      </w:r>
      <w:r w:rsidRPr="005A28EA">
        <w:rPr>
          <w:rFonts w:ascii="Times New Roman" w:hAnsi="Times New Roman" w:cs="Times New Roman"/>
          <w:b/>
          <w:bCs/>
          <w:sz w:val="20"/>
          <w:szCs w:val="20"/>
        </w:rPr>
        <w:t xml:space="preserve">: </w:t>
      </w:r>
      <w:r w:rsidR="002805DB" w:rsidRPr="005A28EA">
        <w:rPr>
          <w:rFonts w:ascii="Times New Roman" w:hAnsi="Times New Roman" w:cs="Times New Roman"/>
          <w:b/>
          <w:bCs/>
          <w:sz w:val="20"/>
          <w:szCs w:val="20"/>
        </w:rPr>
        <w:t xml:space="preserve">Correlation of </w:t>
      </w:r>
      <w:r w:rsidRPr="005A28EA">
        <w:rPr>
          <w:rFonts w:ascii="Times New Roman" w:hAnsi="Times New Roman" w:cs="Times New Roman"/>
          <w:b/>
          <w:bCs/>
          <w:sz w:val="20"/>
          <w:szCs w:val="20"/>
        </w:rPr>
        <w:t>Haematological Parameters</w:t>
      </w:r>
      <w:r w:rsidR="002805DB" w:rsidRPr="005A28EA">
        <w:rPr>
          <w:rFonts w:ascii="Times New Roman" w:hAnsi="Times New Roman" w:cs="Times New Roman"/>
          <w:b/>
          <w:bCs/>
          <w:sz w:val="20"/>
          <w:szCs w:val="20"/>
        </w:rPr>
        <w:t xml:space="preserve"> </w:t>
      </w:r>
      <w:r w:rsidR="00337F89" w:rsidRPr="005A28EA">
        <w:rPr>
          <w:rFonts w:ascii="Times New Roman" w:hAnsi="Times New Roman" w:cs="Times New Roman"/>
          <w:b/>
          <w:bCs/>
          <w:sz w:val="20"/>
          <w:szCs w:val="20"/>
        </w:rPr>
        <w:t>and LDH levels</w:t>
      </w:r>
      <w:r w:rsidRPr="005A28EA">
        <w:rPr>
          <w:rFonts w:ascii="Times New Roman" w:hAnsi="Times New Roman" w:cs="Times New Roman"/>
          <w:b/>
          <w:bCs/>
          <w:sz w:val="20"/>
          <w:szCs w:val="20"/>
        </w:rPr>
        <w:t xml:space="preserve"> </w:t>
      </w:r>
      <w:r w:rsidR="002805DB" w:rsidRPr="005A28EA">
        <w:rPr>
          <w:rFonts w:ascii="Times New Roman" w:hAnsi="Times New Roman" w:cs="Times New Roman"/>
          <w:b/>
          <w:bCs/>
          <w:sz w:val="20"/>
          <w:szCs w:val="20"/>
        </w:rPr>
        <w:t>among</w:t>
      </w:r>
      <w:r w:rsidRPr="005A28EA">
        <w:rPr>
          <w:rFonts w:ascii="Times New Roman" w:hAnsi="Times New Roman" w:cs="Times New Roman"/>
          <w:b/>
          <w:bCs/>
          <w:sz w:val="20"/>
          <w:szCs w:val="20"/>
        </w:rPr>
        <w:t xml:space="preserve"> </w:t>
      </w:r>
      <w:r w:rsidR="002805DB" w:rsidRPr="005A28EA">
        <w:rPr>
          <w:rFonts w:ascii="Times New Roman" w:hAnsi="Times New Roman" w:cs="Times New Roman"/>
          <w:b/>
          <w:bCs/>
          <w:sz w:val="20"/>
          <w:szCs w:val="20"/>
        </w:rPr>
        <w:t xml:space="preserve">PT, TNR and TR </w:t>
      </w:r>
      <w:r w:rsidR="00796D04" w:rsidRPr="005A28EA">
        <w:rPr>
          <w:rFonts w:ascii="Times New Roman" w:hAnsi="Times New Roman" w:cs="Times New Roman"/>
          <w:b/>
          <w:bCs/>
          <w:sz w:val="20"/>
          <w:szCs w:val="20"/>
        </w:rPr>
        <w:t>sub</w:t>
      </w:r>
      <w:r w:rsidR="002805DB" w:rsidRPr="005A28EA">
        <w:rPr>
          <w:rFonts w:ascii="Times New Roman" w:hAnsi="Times New Roman" w:cs="Times New Roman"/>
          <w:b/>
          <w:bCs/>
          <w:sz w:val="20"/>
          <w:szCs w:val="20"/>
        </w:rPr>
        <w:t>group</w:t>
      </w:r>
      <w:r w:rsidR="00796D04" w:rsidRPr="005A28EA">
        <w:rPr>
          <w:rFonts w:ascii="Times New Roman" w:hAnsi="Times New Roman" w:cs="Times New Roman"/>
          <w:b/>
          <w:bCs/>
          <w:sz w:val="20"/>
          <w:szCs w:val="20"/>
        </w:rPr>
        <w:t>s</w:t>
      </w:r>
      <w:r w:rsidR="002805DB" w:rsidRPr="005A28EA">
        <w:rPr>
          <w:rFonts w:ascii="Times New Roman" w:hAnsi="Times New Roman" w:cs="Times New Roman"/>
          <w:b/>
          <w:bCs/>
          <w:sz w:val="20"/>
          <w:szCs w:val="20"/>
        </w:rPr>
        <w:t xml:space="preserve"> of</w:t>
      </w:r>
      <w:r w:rsidRPr="005A28EA">
        <w:rPr>
          <w:rFonts w:ascii="Times New Roman" w:hAnsi="Times New Roman" w:cs="Times New Roman"/>
          <w:b/>
          <w:bCs/>
          <w:sz w:val="20"/>
          <w:szCs w:val="20"/>
        </w:rPr>
        <w:t xml:space="preserve"> </w:t>
      </w:r>
      <w:r w:rsidR="00337F89" w:rsidRPr="005A28EA">
        <w:rPr>
          <w:rFonts w:ascii="Times New Roman" w:hAnsi="Times New Roman" w:cs="Times New Roman"/>
          <w:b/>
          <w:bCs/>
          <w:sz w:val="20"/>
          <w:szCs w:val="20"/>
        </w:rPr>
        <w:t>B-ALL</w:t>
      </w:r>
      <w:r w:rsidRPr="005A28EA">
        <w:rPr>
          <w:rFonts w:ascii="Times New Roman" w:hAnsi="Times New Roman" w:cs="Times New Roman"/>
          <w:b/>
          <w:bCs/>
          <w:sz w:val="20"/>
          <w:szCs w:val="20"/>
        </w:rPr>
        <w:t xml:space="preserve"> Patients</w:t>
      </w:r>
    </w:p>
    <w:tbl>
      <w:tblPr>
        <w:tblStyle w:val="TableGridLight"/>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70"/>
        <w:gridCol w:w="1418"/>
        <w:gridCol w:w="1281"/>
        <w:gridCol w:w="1270"/>
      </w:tblGrid>
      <w:tr w:rsidR="00727697" w:rsidRPr="005A28EA" w14:paraId="6C81E2E6" w14:textId="13999F06" w:rsidTr="00C9131C">
        <w:trPr>
          <w:trHeight w:val="312"/>
          <w:jc w:val="center"/>
        </w:trPr>
        <w:tc>
          <w:tcPr>
            <w:tcW w:w="3261" w:type="dxa"/>
            <w:noWrap/>
            <w:hideMark/>
          </w:tcPr>
          <w:p w14:paraId="716C0EE1" w14:textId="62B907AC" w:rsidR="00727697" w:rsidRPr="005A28EA" w:rsidRDefault="004D30E5" w:rsidP="001C35EC">
            <w:pPr>
              <w:spacing w:line="240" w:lineRule="exact"/>
              <w:jc w:val="both"/>
              <w:rPr>
                <w:rFonts w:ascii="Times New Roman" w:eastAsia="Times New Roman" w:hAnsi="Times New Roman" w:cs="Times New Roman"/>
                <w:b/>
                <w:bCs/>
                <w:sz w:val="20"/>
                <w:szCs w:val="20"/>
                <w:lang w:eastAsia="en-IN"/>
              </w:rPr>
            </w:pPr>
            <w:r w:rsidRPr="005A28EA">
              <w:rPr>
                <w:rFonts w:ascii="Times New Roman" w:eastAsia="Times New Roman" w:hAnsi="Times New Roman" w:cs="Times New Roman"/>
                <w:b/>
                <w:bCs/>
                <w:sz w:val="20"/>
                <w:szCs w:val="20"/>
                <w:lang w:eastAsia="en-IN"/>
              </w:rPr>
              <w:t>Haematological</w:t>
            </w:r>
            <w:r w:rsidR="00727697" w:rsidRPr="005A28EA">
              <w:rPr>
                <w:rFonts w:ascii="Times New Roman" w:eastAsia="Times New Roman" w:hAnsi="Times New Roman" w:cs="Times New Roman"/>
                <w:b/>
                <w:bCs/>
                <w:sz w:val="20"/>
                <w:szCs w:val="20"/>
                <w:lang w:eastAsia="en-IN"/>
              </w:rPr>
              <w:t xml:space="preserve"> parameters</w:t>
            </w:r>
          </w:p>
        </w:tc>
        <w:tc>
          <w:tcPr>
            <w:tcW w:w="1270" w:type="dxa"/>
            <w:noWrap/>
            <w:hideMark/>
          </w:tcPr>
          <w:p w14:paraId="5983B045" w14:textId="76D0BB28" w:rsidR="00727697" w:rsidRPr="005A28EA" w:rsidRDefault="00727697" w:rsidP="001C35EC">
            <w:pPr>
              <w:spacing w:line="240" w:lineRule="exact"/>
              <w:jc w:val="both"/>
              <w:rPr>
                <w:rFonts w:ascii="Times New Roman" w:eastAsia="Times New Roman" w:hAnsi="Times New Roman" w:cs="Times New Roman"/>
                <w:b/>
                <w:bCs/>
                <w:iCs/>
                <w:color w:val="000000"/>
                <w:sz w:val="20"/>
                <w:szCs w:val="20"/>
                <w:lang w:eastAsia="en-IN"/>
              </w:rPr>
            </w:pPr>
            <w:r w:rsidRPr="005A28EA">
              <w:rPr>
                <w:rFonts w:ascii="Times New Roman" w:eastAsia="Times New Roman" w:hAnsi="Times New Roman" w:cs="Times New Roman"/>
                <w:b/>
                <w:iCs/>
                <w:color w:val="000000"/>
                <w:sz w:val="20"/>
                <w:szCs w:val="20"/>
                <w:lang w:eastAsia="en-IN"/>
              </w:rPr>
              <w:t>PT</w:t>
            </w:r>
          </w:p>
        </w:tc>
        <w:tc>
          <w:tcPr>
            <w:tcW w:w="1418" w:type="dxa"/>
            <w:noWrap/>
            <w:hideMark/>
          </w:tcPr>
          <w:p w14:paraId="2C0E1B83" w14:textId="4E1F8B57" w:rsidR="00727697" w:rsidRPr="005A28EA" w:rsidRDefault="00727697" w:rsidP="001C35EC">
            <w:pPr>
              <w:spacing w:line="240" w:lineRule="exact"/>
              <w:jc w:val="both"/>
              <w:rPr>
                <w:rFonts w:ascii="Times New Roman" w:eastAsia="Times New Roman" w:hAnsi="Times New Roman" w:cs="Times New Roman"/>
                <w:b/>
                <w:bCs/>
                <w:iCs/>
                <w:color w:val="000000"/>
                <w:sz w:val="20"/>
                <w:szCs w:val="20"/>
                <w:lang w:eastAsia="en-IN"/>
              </w:rPr>
            </w:pPr>
            <w:r w:rsidRPr="005A28EA">
              <w:rPr>
                <w:rFonts w:ascii="Times New Roman" w:eastAsia="Times New Roman" w:hAnsi="Times New Roman" w:cs="Times New Roman"/>
                <w:b/>
                <w:iCs/>
                <w:color w:val="000000"/>
                <w:sz w:val="20"/>
                <w:szCs w:val="20"/>
                <w:lang w:eastAsia="en-IN"/>
              </w:rPr>
              <w:t>TNR</w:t>
            </w:r>
          </w:p>
        </w:tc>
        <w:tc>
          <w:tcPr>
            <w:tcW w:w="1281" w:type="dxa"/>
            <w:noWrap/>
            <w:hideMark/>
          </w:tcPr>
          <w:p w14:paraId="34423F44" w14:textId="443B2B09" w:rsidR="00727697" w:rsidRPr="005A28EA" w:rsidRDefault="00727697" w:rsidP="001C35EC">
            <w:pPr>
              <w:spacing w:line="240" w:lineRule="exact"/>
              <w:jc w:val="both"/>
              <w:rPr>
                <w:rFonts w:ascii="Times New Roman" w:eastAsia="Times New Roman" w:hAnsi="Times New Roman" w:cs="Times New Roman"/>
                <w:b/>
                <w:bCs/>
                <w:iCs/>
                <w:color w:val="000000"/>
                <w:sz w:val="20"/>
                <w:szCs w:val="20"/>
                <w:lang w:eastAsia="en-IN"/>
              </w:rPr>
            </w:pPr>
            <w:r w:rsidRPr="005A28EA">
              <w:rPr>
                <w:rFonts w:ascii="Times New Roman" w:eastAsia="Times New Roman" w:hAnsi="Times New Roman" w:cs="Times New Roman"/>
                <w:b/>
                <w:iCs/>
                <w:color w:val="000000"/>
                <w:sz w:val="20"/>
                <w:szCs w:val="20"/>
                <w:lang w:eastAsia="en-IN"/>
              </w:rPr>
              <w:t>TR</w:t>
            </w:r>
          </w:p>
        </w:tc>
        <w:tc>
          <w:tcPr>
            <w:tcW w:w="1270" w:type="dxa"/>
          </w:tcPr>
          <w:p w14:paraId="077673D0" w14:textId="3A45AA68" w:rsidR="00727697" w:rsidRPr="005A28EA" w:rsidRDefault="00727697" w:rsidP="001C35EC">
            <w:pPr>
              <w:spacing w:line="240" w:lineRule="exact"/>
              <w:jc w:val="both"/>
              <w:rPr>
                <w:rFonts w:ascii="Times New Roman" w:eastAsia="Times New Roman" w:hAnsi="Times New Roman" w:cs="Times New Roman"/>
                <w:b/>
                <w:iCs/>
                <w:color w:val="000000"/>
                <w:sz w:val="20"/>
                <w:szCs w:val="20"/>
                <w:lang w:eastAsia="en-IN"/>
              </w:rPr>
            </w:pPr>
            <w:r w:rsidRPr="005A28EA">
              <w:rPr>
                <w:rFonts w:ascii="Times New Roman" w:eastAsia="Times New Roman" w:hAnsi="Times New Roman" w:cs="Times New Roman"/>
                <w:b/>
                <w:iCs/>
                <w:color w:val="000000"/>
                <w:sz w:val="20"/>
                <w:szCs w:val="20"/>
                <w:lang w:eastAsia="en-IN"/>
              </w:rPr>
              <w:t>P value</w:t>
            </w:r>
          </w:p>
        </w:tc>
      </w:tr>
      <w:tr w:rsidR="00727697" w:rsidRPr="005A28EA" w14:paraId="52D7D60C" w14:textId="6645A2BD" w:rsidTr="00C9131C">
        <w:trPr>
          <w:trHeight w:val="312"/>
          <w:jc w:val="center"/>
        </w:trPr>
        <w:tc>
          <w:tcPr>
            <w:tcW w:w="3261" w:type="dxa"/>
            <w:noWrap/>
            <w:hideMark/>
          </w:tcPr>
          <w:p w14:paraId="4DEA9188" w14:textId="30AE7585" w:rsidR="00727697" w:rsidRPr="005A28EA" w:rsidRDefault="00697D3E"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 xml:space="preserve">Mean </w:t>
            </w:r>
            <w:r w:rsidR="00727697" w:rsidRPr="005A28EA">
              <w:rPr>
                <w:rFonts w:ascii="Times New Roman" w:eastAsia="Times New Roman" w:hAnsi="Times New Roman" w:cs="Times New Roman"/>
                <w:color w:val="000000"/>
                <w:sz w:val="20"/>
                <w:szCs w:val="20"/>
                <w:lang w:eastAsia="en-IN"/>
              </w:rPr>
              <w:t>RBC (g/dl)</w:t>
            </w:r>
          </w:p>
        </w:tc>
        <w:tc>
          <w:tcPr>
            <w:tcW w:w="1270" w:type="dxa"/>
            <w:noWrap/>
            <w:hideMark/>
          </w:tcPr>
          <w:p w14:paraId="3ADDF189"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2.92</w:t>
            </w:r>
          </w:p>
        </w:tc>
        <w:tc>
          <w:tcPr>
            <w:tcW w:w="1418" w:type="dxa"/>
            <w:noWrap/>
            <w:hideMark/>
          </w:tcPr>
          <w:p w14:paraId="6F87FA85"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3.36</w:t>
            </w:r>
          </w:p>
        </w:tc>
        <w:tc>
          <w:tcPr>
            <w:tcW w:w="1281" w:type="dxa"/>
            <w:noWrap/>
            <w:hideMark/>
          </w:tcPr>
          <w:p w14:paraId="4EA2B3C8"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3.25</w:t>
            </w:r>
          </w:p>
        </w:tc>
        <w:tc>
          <w:tcPr>
            <w:tcW w:w="1270" w:type="dxa"/>
          </w:tcPr>
          <w:p w14:paraId="188124FF" w14:textId="70FF9130" w:rsidR="00727697" w:rsidRPr="005A28EA" w:rsidRDefault="00697D3E"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0.61</w:t>
            </w:r>
          </w:p>
        </w:tc>
      </w:tr>
      <w:tr w:rsidR="00727697" w:rsidRPr="005A28EA" w14:paraId="38DEEE8B" w14:textId="2D75198A" w:rsidTr="00C9131C">
        <w:trPr>
          <w:trHeight w:val="312"/>
          <w:jc w:val="center"/>
        </w:trPr>
        <w:tc>
          <w:tcPr>
            <w:tcW w:w="3261" w:type="dxa"/>
            <w:noWrap/>
            <w:hideMark/>
          </w:tcPr>
          <w:p w14:paraId="2CFB0D9F" w14:textId="42EE372B" w:rsidR="00727697" w:rsidRPr="00067059" w:rsidRDefault="00697D3E" w:rsidP="001C35EC">
            <w:pPr>
              <w:spacing w:line="240" w:lineRule="exact"/>
              <w:jc w:val="both"/>
              <w:rPr>
                <w:rFonts w:ascii="Times New Roman" w:eastAsia="Times New Roman" w:hAnsi="Times New Roman" w:cs="Times New Roman"/>
                <w:b/>
                <w:bCs/>
                <w:color w:val="000000"/>
                <w:sz w:val="20"/>
                <w:szCs w:val="20"/>
                <w:lang w:eastAsia="en-IN"/>
              </w:rPr>
            </w:pPr>
            <w:r w:rsidRPr="00067059">
              <w:rPr>
                <w:rFonts w:ascii="Times New Roman" w:eastAsia="Times New Roman" w:hAnsi="Times New Roman" w:cs="Times New Roman"/>
                <w:b/>
                <w:bCs/>
                <w:color w:val="000000"/>
                <w:sz w:val="20"/>
                <w:szCs w:val="20"/>
                <w:lang w:eastAsia="en-IN"/>
              </w:rPr>
              <w:t xml:space="preserve">Mean </w:t>
            </w:r>
            <w:r w:rsidR="00727697" w:rsidRPr="00067059">
              <w:rPr>
                <w:rFonts w:ascii="Times New Roman" w:eastAsia="Times New Roman" w:hAnsi="Times New Roman" w:cs="Times New Roman"/>
                <w:b/>
                <w:bCs/>
                <w:color w:val="000000"/>
                <w:sz w:val="20"/>
                <w:szCs w:val="20"/>
                <w:lang w:eastAsia="en-IN"/>
              </w:rPr>
              <w:t>WBC (x</w:t>
            </w:r>
            <w:r w:rsidR="00727697" w:rsidRPr="00067059">
              <w:rPr>
                <w:rFonts w:ascii="Times New Roman" w:hAnsi="Times New Roman" w:cs="Times New Roman"/>
                <w:b/>
                <w:bCs/>
                <w:sz w:val="20"/>
                <w:szCs w:val="20"/>
              </w:rPr>
              <w:t>10^3cells/µl)</w:t>
            </w:r>
          </w:p>
        </w:tc>
        <w:tc>
          <w:tcPr>
            <w:tcW w:w="1270" w:type="dxa"/>
            <w:noWrap/>
            <w:hideMark/>
          </w:tcPr>
          <w:p w14:paraId="364649C1"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57.6</w:t>
            </w:r>
          </w:p>
        </w:tc>
        <w:tc>
          <w:tcPr>
            <w:tcW w:w="1418" w:type="dxa"/>
            <w:noWrap/>
            <w:hideMark/>
          </w:tcPr>
          <w:p w14:paraId="41884568"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22.56</w:t>
            </w:r>
          </w:p>
        </w:tc>
        <w:tc>
          <w:tcPr>
            <w:tcW w:w="1281" w:type="dxa"/>
            <w:noWrap/>
            <w:hideMark/>
          </w:tcPr>
          <w:p w14:paraId="23DB8DE2"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4.11</w:t>
            </w:r>
          </w:p>
        </w:tc>
        <w:tc>
          <w:tcPr>
            <w:tcW w:w="1270" w:type="dxa"/>
          </w:tcPr>
          <w:p w14:paraId="006180E1" w14:textId="4AD4412F" w:rsidR="00727697" w:rsidRPr="00067059" w:rsidRDefault="00697D3E" w:rsidP="001C35EC">
            <w:pPr>
              <w:spacing w:line="240" w:lineRule="exact"/>
              <w:jc w:val="both"/>
              <w:rPr>
                <w:rFonts w:ascii="Times New Roman" w:eastAsia="Times New Roman" w:hAnsi="Times New Roman" w:cs="Times New Roman"/>
                <w:b/>
                <w:bCs/>
                <w:color w:val="000000"/>
                <w:sz w:val="20"/>
                <w:szCs w:val="20"/>
                <w:lang w:eastAsia="en-IN"/>
              </w:rPr>
            </w:pPr>
            <w:r w:rsidRPr="00067059">
              <w:rPr>
                <w:rFonts w:ascii="Times New Roman" w:eastAsia="Times New Roman" w:hAnsi="Times New Roman" w:cs="Times New Roman"/>
                <w:b/>
                <w:bCs/>
                <w:color w:val="000000"/>
                <w:sz w:val="20"/>
                <w:szCs w:val="20"/>
                <w:lang w:eastAsia="en-IN"/>
              </w:rPr>
              <w:t>&lt;0.001</w:t>
            </w:r>
          </w:p>
        </w:tc>
      </w:tr>
      <w:tr w:rsidR="00727697" w:rsidRPr="005A28EA" w14:paraId="24B7A31D" w14:textId="3799DEA0" w:rsidTr="00C9131C">
        <w:trPr>
          <w:trHeight w:val="312"/>
          <w:jc w:val="center"/>
        </w:trPr>
        <w:tc>
          <w:tcPr>
            <w:tcW w:w="3261" w:type="dxa"/>
            <w:noWrap/>
            <w:hideMark/>
          </w:tcPr>
          <w:p w14:paraId="5B72235C" w14:textId="4525D4AD" w:rsidR="00727697" w:rsidRPr="00067059" w:rsidRDefault="00697D3E" w:rsidP="001C35EC">
            <w:pPr>
              <w:spacing w:line="240" w:lineRule="exact"/>
              <w:jc w:val="both"/>
              <w:rPr>
                <w:rFonts w:ascii="Times New Roman" w:eastAsia="Times New Roman" w:hAnsi="Times New Roman" w:cs="Times New Roman"/>
                <w:b/>
                <w:bCs/>
                <w:color w:val="000000"/>
                <w:sz w:val="20"/>
                <w:szCs w:val="20"/>
                <w:lang w:eastAsia="en-IN"/>
              </w:rPr>
            </w:pPr>
            <w:r w:rsidRPr="00067059">
              <w:rPr>
                <w:rFonts w:ascii="Times New Roman" w:eastAsia="Times New Roman" w:hAnsi="Times New Roman" w:cs="Times New Roman"/>
                <w:b/>
                <w:bCs/>
                <w:color w:val="000000"/>
                <w:sz w:val="20"/>
                <w:szCs w:val="20"/>
                <w:lang w:eastAsia="en-IN"/>
              </w:rPr>
              <w:t xml:space="preserve">Mean </w:t>
            </w:r>
            <w:r w:rsidR="00727697" w:rsidRPr="00067059">
              <w:rPr>
                <w:rFonts w:ascii="Times New Roman" w:eastAsia="Times New Roman" w:hAnsi="Times New Roman" w:cs="Times New Roman"/>
                <w:b/>
                <w:bCs/>
                <w:color w:val="000000"/>
                <w:sz w:val="20"/>
                <w:szCs w:val="20"/>
                <w:lang w:eastAsia="en-IN"/>
              </w:rPr>
              <w:t>Platelets (x</w:t>
            </w:r>
            <w:r w:rsidR="00727697" w:rsidRPr="00067059">
              <w:rPr>
                <w:rFonts w:ascii="Times New Roman" w:hAnsi="Times New Roman" w:cs="Times New Roman"/>
                <w:b/>
                <w:bCs/>
                <w:sz w:val="20"/>
                <w:szCs w:val="20"/>
              </w:rPr>
              <w:t>10^3cells/µl)</w:t>
            </w:r>
          </w:p>
        </w:tc>
        <w:tc>
          <w:tcPr>
            <w:tcW w:w="1270" w:type="dxa"/>
            <w:noWrap/>
            <w:hideMark/>
          </w:tcPr>
          <w:p w14:paraId="44C36A98"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27.57</w:t>
            </w:r>
          </w:p>
        </w:tc>
        <w:tc>
          <w:tcPr>
            <w:tcW w:w="1418" w:type="dxa"/>
            <w:noWrap/>
            <w:hideMark/>
          </w:tcPr>
          <w:p w14:paraId="17DD31D2"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125.8</w:t>
            </w:r>
          </w:p>
        </w:tc>
        <w:tc>
          <w:tcPr>
            <w:tcW w:w="1281" w:type="dxa"/>
            <w:noWrap/>
            <w:hideMark/>
          </w:tcPr>
          <w:p w14:paraId="1BCD0EA5"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190.04</w:t>
            </w:r>
          </w:p>
        </w:tc>
        <w:tc>
          <w:tcPr>
            <w:tcW w:w="1270" w:type="dxa"/>
          </w:tcPr>
          <w:p w14:paraId="24FE8462" w14:textId="12D4EF88" w:rsidR="00727697" w:rsidRPr="00067059" w:rsidRDefault="00697D3E" w:rsidP="001C35EC">
            <w:pPr>
              <w:spacing w:line="240" w:lineRule="exact"/>
              <w:jc w:val="both"/>
              <w:rPr>
                <w:rFonts w:ascii="Times New Roman" w:eastAsia="Times New Roman" w:hAnsi="Times New Roman" w:cs="Times New Roman"/>
                <w:b/>
                <w:bCs/>
                <w:color w:val="000000"/>
                <w:sz w:val="20"/>
                <w:szCs w:val="20"/>
                <w:lang w:eastAsia="en-IN"/>
              </w:rPr>
            </w:pPr>
            <w:r w:rsidRPr="00067059">
              <w:rPr>
                <w:rFonts w:ascii="Times New Roman" w:eastAsia="Times New Roman" w:hAnsi="Times New Roman" w:cs="Times New Roman"/>
                <w:b/>
                <w:bCs/>
                <w:color w:val="000000"/>
                <w:sz w:val="20"/>
                <w:szCs w:val="20"/>
                <w:lang w:eastAsia="en-IN"/>
              </w:rPr>
              <w:t>&lt;0.001</w:t>
            </w:r>
          </w:p>
        </w:tc>
      </w:tr>
      <w:tr w:rsidR="00727697" w:rsidRPr="005A28EA" w14:paraId="3E75CEE0" w14:textId="532966D0" w:rsidTr="00C9131C">
        <w:trPr>
          <w:trHeight w:val="312"/>
          <w:jc w:val="center"/>
        </w:trPr>
        <w:tc>
          <w:tcPr>
            <w:tcW w:w="3261" w:type="dxa"/>
            <w:noWrap/>
            <w:hideMark/>
          </w:tcPr>
          <w:p w14:paraId="33F95AD7" w14:textId="03529BAB" w:rsidR="00727697" w:rsidRPr="005A28EA" w:rsidRDefault="00697D3E"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 xml:space="preserve">Mean </w:t>
            </w:r>
            <w:r w:rsidR="004D30E5" w:rsidRPr="005A28EA">
              <w:rPr>
                <w:rFonts w:ascii="Times New Roman" w:eastAsia="Times New Roman" w:hAnsi="Times New Roman" w:cs="Times New Roman"/>
                <w:color w:val="000000"/>
                <w:sz w:val="20"/>
                <w:szCs w:val="20"/>
                <w:lang w:eastAsia="en-IN"/>
              </w:rPr>
              <w:t>Haemoglobin</w:t>
            </w:r>
            <w:r w:rsidR="00727697" w:rsidRPr="005A28EA">
              <w:rPr>
                <w:rFonts w:ascii="Times New Roman" w:eastAsia="Times New Roman" w:hAnsi="Times New Roman" w:cs="Times New Roman"/>
                <w:color w:val="000000"/>
                <w:sz w:val="20"/>
                <w:szCs w:val="20"/>
                <w:lang w:eastAsia="en-IN"/>
              </w:rPr>
              <w:t xml:space="preserve"> (g/dl)</w:t>
            </w:r>
          </w:p>
        </w:tc>
        <w:tc>
          <w:tcPr>
            <w:tcW w:w="1270" w:type="dxa"/>
            <w:noWrap/>
            <w:hideMark/>
          </w:tcPr>
          <w:p w14:paraId="001EB2A4"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12.64</w:t>
            </w:r>
          </w:p>
        </w:tc>
        <w:tc>
          <w:tcPr>
            <w:tcW w:w="1418" w:type="dxa"/>
            <w:noWrap/>
            <w:hideMark/>
          </w:tcPr>
          <w:p w14:paraId="34B7EA76" w14:textId="39261091"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9</w:t>
            </w:r>
            <w:r w:rsidR="00697D3E" w:rsidRPr="005A28EA">
              <w:rPr>
                <w:rFonts w:ascii="Times New Roman" w:eastAsia="Times New Roman" w:hAnsi="Times New Roman" w:cs="Times New Roman"/>
                <w:color w:val="000000"/>
                <w:sz w:val="20"/>
                <w:szCs w:val="20"/>
                <w:lang w:eastAsia="en-IN"/>
              </w:rPr>
              <w:t>.0</w:t>
            </w:r>
          </w:p>
        </w:tc>
        <w:tc>
          <w:tcPr>
            <w:tcW w:w="1281" w:type="dxa"/>
            <w:noWrap/>
            <w:hideMark/>
          </w:tcPr>
          <w:p w14:paraId="0EAA8325"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10.86</w:t>
            </w:r>
          </w:p>
        </w:tc>
        <w:tc>
          <w:tcPr>
            <w:tcW w:w="1270" w:type="dxa"/>
          </w:tcPr>
          <w:p w14:paraId="765A10C7" w14:textId="185787C0" w:rsidR="00727697" w:rsidRPr="005A28EA" w:rsidRDefault="00697D3E"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0.11</w:t>
            </w:r>
          </w:p>
        </w:tc>
      </w:tr>
      <w:tr w:rsidR="00727697" w:rsidRPr="005A28EA" w14:paraId="34B9025C" w14:textId="78428C9D" w:rsidTr="00C9131C">
        <w:trPr>
          <w:trHeight w:val="312"/>
          <w:jc w:val="center"/>
        </w:trPr>
        <w:tc>
          <w:tcPr>
            <w:tcW w:w="3261" w:type="dxa"/>
            <w:noWrap/>
            <w:hideMark/>
          </w:tcPr>
          <w:p w14:paraId="488E3633" w14:textId="12AF1D8A" w:rsidR="00727697" w:rsidRPr="005A28EA" w:rsidRDefault="00697D3E"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 xml:space="preserve">Mean </w:t>
            </w:r>
            <w:r w:rsidR="00727697" w:rsidRPr="005A28EA">
              <w:rPr>
                <w:rFonts w:ascii="Times New Roman" w:eastAsia="Times New Roman" w:hAnsi="Times New Roman" w:cs="Times New Roman"/>
                <w:color w:val="000000"/>
                <w:sz w:val="20"/>
                <w:szCs w:val="20"/>
                <w:lang w:eastAsia="en-IN"/>
              </w:rPr>
              <w:t>HCT (%)</w:t>
            </w:r>
          </w:p>
        </w:tc>
        <w:tc>
          <w:tcPr>
            <w:tcW w:w="1270" w:type="dxa"/>
            <w:noWrap/>
            <w:hideMark/>
          </w:tcPr>
          <w:p w14:paraId="12C21FAB"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25.2</w:t>
            </w:r>
          </w:p>
        </w:tc>
        <w:tc>
          <w:tcPr>
            <w:tcW w:w="1418" w:type="dxa"/>
            <w:noWrap/>
            <w:hideMark/>
          </w:tcPr>
          <w:p w14:paraId="3C458E21"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28.1</w:t>
            </w:r>
          </w:p>
        </w:tc>
        <w:tc>
          <w:tcPr>
            <w:tcW w:w="1281" w:type="dxa"/>
            <w:noWrap/>
            <w:hideMark/>
          </w:tcPr>
          <w:p w14:paraId="536A6BDE" w14:textId="77777777" w:rsidR="00727697" w:rsidRPr="005A28EA" w:rsidRDefault="00727697"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26.88</w:t>
            </w:r>
          </w:p>
        </w:tc>
        <w:tc>
          <w:tcPr>
            <w:tcW w:w="1270" w:type="dxa"/>
          </w:tcPr>
          <w:p w14:paraId="2C1959A6" w14:textId="028B28A6" w:rsidR="00727697" w:rsidRPr="005A28EA" w:rsidRDefault="00697D3E"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0.61</w:t>
            </w:r>
          </w:p>
        </w:tc>
      </w:tr>
      <w:tr w:rsidR="00727697" w:rsidRPr="005A28EA" w14:paraId="31AAD181" w14:textId="6390FD75" w:rsidTr="00C9131C">
        <w:trPr>
          <w:trHeight w:val="312"/>
          <w:jc w:val="center"/>
        </w:trPr>
        <w:tc>
          <w:tcPr>
            <w:tcW w:w="3261" w:type="dxa"/>
            <w:noWrap/>
          </w:tcPr>
          <w:p w14:paraId="24EBA277" w14:textId="5501E508" w:rsidR="00727697" w:rsidRPr="00067059" w:rsidRDefault="00697D3E" w:rsidP="001C35EC">
            <w:pPr>
              <w:spacing w:line="240" w:lineRule="exact"/>
              <w:jc w:val="both"/>
              <w:rPr>
                <w:rFonts w:ascii="Times New Roman" w:eastAsia="Times New Roman" w:hAnsi="Times New Roman" w:cs="Times New Roman"/>
                <w:b/>
                <w:bCs/>
                <w:color w:val="000000"/>
                <w:sz w:val="20"/>
                <w:szCs w:val="20"/>
                <w:lang w:eastAsia="en-IN"/>
              </w:rPr>
            </w:pPr>
            <w:r w:rsidRPr="00067059">
              <w:rPr>
                <w:rFonts w:ascii="Times New Roman" w:eastAsia="Times New Roman" w:hAnsi="Times New Roman" w:cs="Times New Roman"/>
                <w:b/>
                <w:bCs/>
                <w:color w:val="000000"/>
                <w:sz w:val="20"/>
                <w:szCs w:val="20"/>
                <w:lang w:eastAsia="en-IN"/>
              </w:rPr>
              <w:t xml:space="preserve">Mean </w:t>
            </w:r>
            <w:r w:rsidR="00727697" w:rsidRPr="00067059">
              <w:rPr>
                <w:rFonts w:ascii="Times New Roman" w:eastAsia="Times New Roman" w:hAnsi="Times New Roman" w:cs="Times New Roman"/>
                <w:b/>
                <w:bCs/>
                <w:color w:val="000000"/>
                <w:sz w:val="20"/>
                <w:szCs w:val="20"/>
                <w:lang w:eastAsia="en-IN"/>
              </w:rPr>
              <w:t xml:space="preserve">LDH </w:t>
            </w:r>
            <w:r w:rsidRPr="00067059">
              <w:rPr>
                <w:rFonts w:ascii="Times New Roman" w:eastAsia="Times New Roman" w:hAnsi="Times New Roman" w:cs="Times New Roman"/>
                <w:b/>
                <w:bCs/>
                <w:color w:val="000000"/>
                <w:sz w:val="20"/>
                <w:szCs w:val="20"/>
                <w:lang w:eastAsia="en-IN"/>
              </w:rPr>
              <w:t xml:space="preserve">levels </w:t>
            </w:r>
            <w:r w:rsidR="00727697" w:rsidRPr="00067059">
              <w:rPr>
                <w:rFonts w:ascii="Times New Roman" w:eastAsia="Times New Roman" w:hAnsi="Times New Roman" w:cs="Times New Roman"/>
                <w:b/>
                <w:bCs/>
                <w:color w:val="000000"/>
                <w:sz w:val="20"/>
                <w:szCs w:val="20"/>
                <w:lang w:eastAsia="en-IN"/>
              </w:rPr>
              <w:t>(U/L)</w:t>
            </w:r>
          </w:p>
        </w:tc>
        <w:tc>
          <w:tcPr>
            <w:tcW w:w="1270" w:type="dxa"/>
            <w:noWrap/>
          </w:tcPr>
          <w:p w14:paraId="7EC48073" w14:textId="6901DC21" w:rsidR="00727697" w:rsidRPr="005A28EA" w:rsidRDefault="00B92B19"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682</w:t>
            </w:r>
          </w:p>
        </w:tc>
        <w:tc>
          <w:tcPr>
            <w:tcW w:w="1418" w:type="dxa"/>
            <w:noWrap/>
          </w:tcPr>
          <w:p w14:paraId="5380B815" w14:textId="1D94B3C6" w:rsidR="00727697" w:rsidRPr="005A28EA" w:rsidRDefault="00D63354"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362.83</w:t>
            </w:r>
          </w:p>
        </w:tc>
        <w:tc>
          <w:tcPr>
            <w:tcW w:w="1281" w:type="dxa"/>
            <w:noWrap/>
          </w:tcPr>
          <w:p w14:paraId="0C22E4A9" w14:textId="363E5297" w:rsidR="00727697" w:rsidRPr="005A28EA" w:rsidRDefault="00D63354" w:rsidP="001C35EC">
            <w:pPr>
              <w:spacing w:line="240" w:lineRule="exact"/>
              <w:jc w:val="both"/>
              <w:rPr>
                <w:rFonts w:ascii="Times New Roman" w:eastAsia="Times New Roman" w:hAnsi="Times New Roman" w:cs="Times New Roman"/>
                <w:color w:val="000000"/>
                <w:sz w:val="20"/>
                <w:szCs w:val="20"/>
                <w:lang w:eastAsia="en-IN"/>
              </w:rPr>
            </w:pPr>
            <w:r w:rsidRPr="005A28EA">
              <w:rPr>
                <w:rFonts w:ascii="Times New Roman" w:eastAsia="Times New Roman" w:hAnsi="Times New Roman" w:cs="Times New Roman"/>
                <w:color w:val="000000"/>
                <w:sz w:val="20"/>
                <w:szCs w:val="20"/>
                <w:lang w:eastAsia="en-IN"/>
              </w:rPr>
              <w:t>306.40</w:t>
            </w:r>
          </w:p>
        </w:tc>
        <w:tc>
          <w:tcPr>
            <w:tcW w:w="1270" w:type="dxa"/>
          </w:tcPr>
          <w:p w14:paraId="4C586EA2" w14:textId="688AAEBA" w:rsidR="00727697" w:rsidRPr="00067059" w:rsidRDefault="00697D3E" w:rsidP="001C35EC">
            <w:pPr>
              <w:spacing w:line="240" w:lineRule="exact"/>
              <w:jc w:val="both"/>
              <w:rPr>
                <w:rFonts w:ascii="Times New Roman" w:eastAsia="Times New Roman" w:hAnsi="Times New Roman" w:cs="Times New Roman"/>
                <w:b/>
                <w:bCs/>
                <w:color w:val="000000"/>
                <w:sz w:val="20"/>
                <w:szCs w:val="20"/>
                <w:lang w:eastAsia="en-IN"/>
              </w:rPr>
            </w:pPr>
            <w:r w:rsidRPr="00067059">
              <w:rPr>
                <w:rFonts w:ascii="Times New Roman" w:eastAsia="Times New Roman" w:hAnsi="Times New Roman" w:cs="Times New Roman"/>
                <w:b/>
                <w:bCs/>
                <w:color w:val="000000"/>
                <w:sz w:val="20"/>
                <w:szCs w:val="20"/>
                <w:lang w:eastAsia="en-IN"/>
              </w:rPr>
              <w:t>0.008</w:t>
            </w:r>
          </w:p>
        </w:tc>
      </w:tr>
    </w:tbl>
    <w:p w14:paraId="594E1DA7" w14:textId="2F50ADDB" w:rsidR="00796D04" w:rsidRPr="005A28EA" w:rsidRDefault="00796D04" w:rsidP="002D0F4E">
      <w:pPr>
        <w:spacing w:after="0" w:line="276" w:lineRule="auto"/>
        <w:jc w:val="both"/>
        <w:rPr>
          <w:rFonts w:ascii="Times New Roman" w:hAnsi="Times New Roman" w:cs="Times New Roman"/>
          <w:b/>
          <w:bCs/>
          <w:sz w:val="20"/>
          <w:szCs w:val="20"/>
        </w:rPr>
      </w:pPr>
    </w:p>
    <w:p w14:paraId="5BD6F055" w14:textId="77777777" w:rsidR="000666BB" w:rsidRPr="000666BB" w:rsidRDefault="000666BB" w:rsidP="005A28EA">
      <w:pPr>
        <w:spacing w:after="0" w:line="276" w:lineRule="auto"/>
        <w:jc w:val="both"/>
        <w:rPr>
          <w:rFonts w:ascii="Times New Roman" w:hAnsi="Times New Roman" w:cs="Times New Roman"/>
          <w:b/>
          <w:bCs/>
          <w:sz w:val="10"/>
          <w:szCs w:val="10"/>
        </w:rPr>
      </w:pPr>
    </w:p>
    <w:p w14:paraId="13115AC0" w14:textId="530B2F87" w:rsidR="005A28EA" w:rsidRDefault="005A28EA" w:rsidP="005A28EA">
      <w:pPr>
        <w:spacing w:after="0" w:line="276" w:lineRule="auto"/>
        <w:jc w:val="both"/>
        <w:rPr>
          <w:rFonts w:ascii="Times New Roman" w:hAnsi="Times New Roman" w:cs="Times New Roman"/>
          <w:b/>
          <w:iCs/>
          <w:sz w:val="20"/>
          <w:szCs w:val="20"/>
        </w:rPr>
      </w:pPr>
      <w:r>
        <w:rPr>
          <w:rFonts w:ascii="Times New Roman" w:hAnsi="Times New Roman" w:cs="Times New Roman"/>
          <w:b/>
          <w:bCs/>
          <w:sz w:val="20"/>
          <w:szCs w:val="20"/>
        </w:rPr>
        <w:t xml:space="preserve">3.3 </w:t>
      </w:r>
      <w:r w:rsidR="000E03E1" w:rsidRPr="005A28EA">
        <w:rPr>
          <w:rFonts w:ascii="Times New Roman" w:hAnsi="Times New Roman" w:cs="Times New Roman"/>
          <w:b/>
          <w:bCs/>
          <w:sz w:val="20"/>
          <w:szCs w:val="20"/>
        </w:rPr>
        <w:t xml:space="preserve">Correlation of </w:t>
      </w:r>
      <w:r w:rsidR="00F34DDB" w:rsidRPr="005A28EA">
        <w:rPr>
          <w:rFonts w:ascii="Times New Roman" w:hAnsi="Times New Roman" w:cs="Times New Roman"/>
          <w:b/>
          <w:bCs/>
          <w:sz w:val="20"/>
          <w:szCs w:val="20"/>
        </w:rPr>
        <w:t xml:space="preserve">minor BCR-ABL1 with </w:t>
      </w:r>
      <w:r w:rsidR="00773E90" w:rsidRPr="005A28EA">
        <w:rPr>
          <w:rFonts w:ascii="Times New Roman" w:hAnsi="Times New Roman" w:cs="Times New Roman"/>
          <w:b/>
          <w:bCs/>
          <w:sz w:val="20"/>
          <w:szCs w:val="20"/>
        </w:rPr>
        <w:t>haematological</w:t>
      </w:r>
      <w:r w:rsidR="000E03E1" w:rsidRPr="005A28EA">
        <w:rPr>
          <w:rFonts w:ascii="Times New Roman" w:hAnsi="Times New Roman" w:cs="Times New Roman"/>
          <w:b/>
          <w:bCs/>
          <w:sz w:val="20"/>
          <w:szCs w:val="20"/>
        </w:rPr>
        <w:t xml:space="preserve"> parameters</w:t>
      </w:r>
      <w:r w:rsidR="000E03E1" w:rsidRPr="005A28EA">
        <w:rPr>
          <w:rFonts w:ascii="Times New Roman" w:hAnsi="Times New Roman" w:cs="Times New Roman"/>
          <w:b/>
          <w:iCs/>
          <w:sz w:val="20"/>
          <w:szCs w:val="20"/>
        </w:rPr>
        <w:t xml:space="preserve"> </w:t>
      </w:r>
      <w:r w:rsidR="00F34DDB" w:rsidRPr="005A28EA">
        <w:rPr>
          <w:rFonts w:ascii="Times New Roman" w:hAnsi="Times New Roman" w:cs="Times New Roman"/>
          <w:b/>
          <w:iCs/>
          <w:sz w:val="20"/>
          <w:szCs w:val="20"/>
        </w:rPr>
        <w:t xml:space="preserve">and LDH levels </w:t>
      </w:r>
      <w:r w:rsidR="000E03E1" w:rsidRPr="005A28EA">
        <w:rPr>
          <w:rFonts w:ascii="Times New Roman" w:hAnsi="Times New Roman" w:cs="Times New Roman"/>
          <w:b/>
          <w:iCs/>
          <w:sz w:val="20"/>
          <w:szCs w:val="20"/>
        </w:rPr>
        <w:t>among PT, TNR and TR</w:t>
      </w:r>
      <w:r w:rsidR="00695098" w:rsidRPr="005A28EA">
        <w:rPr>
          <w:rFonts w:ascii="Times New Roman" w:hAnsi="Times New Roman" w:cs="Times New Roman"/>
          <w:b/>
          <w:iCs/>
          <w:sz w:val="20"/>
          <w:szCs w:val="20"/>
        </w:rPr>
        <w:t xml:space="preserve"> </w:t>
      </w:r>
      <w:r w:rsidR="00522B0D" w:rsidRPr="005A28EA">
        <w:rPr>
          <w:rFonts w:ascii="Times New Roman" w:hAnsi="Times New Roman" w:cs="Times New Roman"/>
          <w:b/>
          <w:iCs/>
          <w:sz w:val="20"/>
          <w:szCs w:val="20"/>
        </w:rPr>
        <w:t>sub</w:t>
      </w:r>
      <w:r w:rsidR="00695098" w:rsidRPr="005A28EA">
        <w:rPr>
          <w:rFonts w:ascii="Times New Roman" w:hAnsi="Times New Roman" w:cs="Times New Roman"/>
          <w:b/>
          <w:iCs/>
          <w:sz w:val="20"/>
          <w:szCs w:val="20"/>
        </w:rPr>
        <w:t>groups</w:t>
      </w:r>
    </w:p>
    <w:p w14:paraId="7AED44CF" w14:textId="77777777" w:rsidR="00102393" w:rsidRDefault="00102393" w:rsidP="00971A22">
      <w:pPr>
        <w:spacing w:after="0" w:line="276" w:lineRule="auto"/>
        <w:jc w:val="both"/>
        <w:rPr>
          <w:rFonts w:ascii="Times New Roman" w:hAnsi="Times New Roman" w:cs="Times New Roman"/>
          <w:sz w:val="20"/>
          <w:szCs w:val="20"/>
        </w:rPr>
      </w:pPr>
    </w:p>
    <w:p w14:paraId="4ECCAC4F" w14:textId="388BCE4D" w:rsidR="00971A22" w:rsidRPr="005A28EA" w:rsidRDefault="00971A22" w:rsidP="00971A22">
      <w:pPr>
        <w:spacing w:after="0" w:line="276" w:lineRule="auto"/>
        <w:jc w:val="both"/>
        <w:rPr>
          <w:noProof/>
          <w:sz w:val="20"/>
          <w:szCs w:val="20"/>
          <w:lang w:eastAsia="en-IN" w:bidi="ar-SA"/>
          <w14:ligatures w14:val="none"/>
        </w:rPr>
      </w:pPr>
      <w:r w:rsidRPr="005A28EA">
        <w:rPr>
          <w:rFonts w:ascii="Times New Roman" w:hAnsi="Times New Roman" w:cs="Times New Roman"/>
          <w:sz w:val="20"/>
          <w:szCs w:val="20"/>
        </w:rPr>
        <w:t>TR with abnormal WBC counts (Figure</w:t>
      </w:r>
      <w:r w:rsidR="00522B0D" w:rsidRPr="005A28EA">
        <w:rPr>
          <w:rFonts w:ascii="Times New Roman" w:hAnsi="Times New Roman" w:cs="Times New Roman"/>
          <w:sz w:val="20"/>
          <w:szCs w:val="20"/>
        </w:rPr>
        <w:t xml:space="preserve"> 3</w:t>
      </w:r>
      <w:r w:rsidRPr="005A28EA">
        <w:rPr>
          <w:rFonts w:ascii="Times New Roman" w:hAnsi="Times New Roman" w:cs="Times New Roman"/>
          <w:sz w:val="20"/>
          <w:szCs w:val="20"/>
        </w:rPr>
        <w:t>) and platelet counts (Figure</w:t>
      </w:r>
      <w:r w:rsidR="00522B0D" w:rsidRPr="005A28EA">
        <w:rPr>
          <w:rFonts w:ascii="Times New Roman" w:hAnsi="Times New Roman" w:cs="Times New Roman"/>
          <w:sz w:val="20"/>
          <w:szCs w:val="20"/>
        </w:rPr>
        <w:t xml:space="preserve"> 4</w:t>
      </w:r>
      <w:r w:rsidRPr="005A28EA">
        <w:rPr>
          <w:rFonts w:ascii="Times New Roman" w:hAnsi="Times New Roman" w:cs="Times New Roman"/>
          <w:sz w:val="20"/>
          <w:szCs w:val="20"/>
        </w:rPr>
        <w:t>) had lower expression levels for average mBCR-ABL1 fusion copies and average %NCN in comparison with PT and TNR</w:t>
      </w:r>
      <w:r w:rsidR="00522B0D" w:rsidRPr="005A28EA">
        <w:rPr>
          <w:rFonts w:ascii="Times New Roman" w:hAnsi="Times New Roman" w:cs="Times New Roman"/>
          <w:sz w:val="20"/>
          <w:szCs w:val="20"/>
        </w:rPr>
        <w:t xml:space="preserve"> subgroups</w:t>
      </w:r>
      <w:r w:rsidRPr="005A28EA">
        <w:rPr>
          <w:rFonts w:ascii="Times New Roman" w:hAnsi="Times New Roman" w:cs="Times New Roman"/>
          <w:sz w:val="20"/>
          <w:szCs w:val="20"/>
        </w:rPr>
        <w:t>. Whereas TNR group with abnormal WBC counts and platelet counts had the highest levels of mBCR-ABL1 fusion copies and %NCN. Furthermore, TNR with abnormal LDH levels had higher average fusion copies as we</w:t>
      </w:r>
      <w:r w:rsidR="00522B0D" w:rsidRPr="005A28EA">
        <w:rPr>
          <w:rFonts w:ascii="Times New Roman" w:hAnsi="Times New Roman" w:cs="Times New Roman"/>
          <w:sz w:val="20"/>
          <w:szCs w:val="20"/>
        </w:rPr>
        <w:t>ll as %NCN (Figure 5</w:t>
      </w:r>
      <w:r w:rsidRPr="005A28EA">
        <w:rPr>
          <w:rFonts w:ascii="Times New Roman" w:hAnsi="Times New Roman" w:cs="Times New Roman"/>
          <w:sz w:val="20"/>
          <w:szCs w:val="20"/>
        </w:rPr>
        <w:t>) as compared to PT and TR patients.</w:t>
      </w:r>
      <w:r w:rsidRPr="005A28EA">
        <w:rPr>
          <w:noProof/>
          <w:sz w:val="20"/>
          <w:szCs w:val="20"/>
          <w:lang w:eastAsia="en-IN" w:bidi="ar-SA"/>
          <w14:ligatures w14:val="none"/>
        </w:rPr>
        <w:t xml:space="preserve"> </w:t>
      </w:r>
    </w:p>
    <w:p w14:paraId="517F8CAD" w14:textId="77777777" w:rsidR="00AD0B5B" w:rsidRDefault="00AD0B5B" w:rsidP="00522B0D">
      <w:pPr>
        <w:spacing w:after="0" w:line="276" w:lineRule="auto"/>
        <w:jc w:val="both"/>
        <w:rPr>
          <w:rFonts w:ascii="Times New Roman" w:hAnsi="Times New Roman" w:cs="Times New Roman"/>
          <w:b/>
          <w:sz w:val="20"/>
          <w:szCs w:val="20"/>
        </w:rPr>
      </w:pPr>
    </w:p>
    <w:p w14:paraId="2E897989" w14:textId="77777777" w:rsidR="003921C7" w:rsidRDefault="003921C7" w:rsidP="00522B0D">
      <w:pPr>
        <w:spacing w:after="0" w:line="276" w:lineRule="auto"/>
        <w:jc w:val="both"/>
        <w:rPr>
          <w:rFonts w:ascii="Times New Roman" w:hAnsi="Times New Roman" w:cs="Times New Roman"/>
          <w:b/>
          <w:sz w:val="20"/>
          <w:szCs w:val="20"/>
        </w:rPr>
      </w:pPr>
    </w:p>
    <w:p w14:paraId="6A83AB81" w14:textId="77777777" w:rsidR="003921C7" w:rsidRDefault="003921C7" w:rsidP="00522B0D">
      <w:pPr>
        <w:spacing w:after="0" w:line="276" w:lineRule="auto"/>
        <w:jc w:val="both"/>
        <w:rPr>
          <w:rFonts w:ascii="Times New Roman" w:hAnsi="Times New Roman" w:cs="Times New Roman"/>
          <w:b/>
          <w:sz w:val="20"/>
          <w:szCs w:val="20"/>
        </w:rPr>
      </w:pPr>
    </w:p>
    <w:p w14:paraId="724F4ACD" w14:textId="4C0E82D5" w:rsidR="00522B0D" w:rsidRDefault="00F86AFE" w:rsidP="00522B0D">
      <w:pPr>
        <w:spacing w:after="0" w:line="276" w:lineRule="auto"/>
        <w:jc w:val="both"/>
        <w:rPr>
          <w:rFonts w:ascii="Times New Roman" w:hAnsi="Times New Roman" w:cs="Times New Roman"/>
          <w:b/>
          <w:sz w:val="20"/>
          <w:szCs w:val="20"/>
        </w:rPr>
      </w:pPr>
      <w:r w:rsidRPr="00F86AFE">
        <w:rPr>
          <w:noProof/>
          <w:sz w:val="20"/>
          <w:szCs w:val="20"/>
          <w:lang w:eastAsia="en-IN" w:bidi="gu-IN"/>
          <w14:ligatures w14:val="none"/>
        </w:rPr>
        <w:drawing>
          <wp:anchor distT="0" distB="0" distL="114300" distR="114300" simplePos="0" relativeHeight="251706368" behindDoc="0" locked="0" layoutInCell="1" allowOverlap="1" wp14:anchorId="42F2F3CC" wp14:editId="4DD81514">
            <wp:simplePos x="0" y="0"/>
            <wp:positionH relativeFrom="margin">
              <wp:posOffset>3301085</wp:posOffset>
            </wp:positionH>
            <wp:positionV relativeFrom="margin">
              <wp:align>top</wp:align>
            </wp:positionV>
            <wp:extent cx="3142800" cy="2818800"/>
            <wp:effectExtent l="0" t="0" r="635" b="63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02393" w:rsidRPr="00F86AFE">
        <w:rPr>
          <w:noProof/>
          <w:sz w:val="20"/>
          <w:szCs w:val="20"/>
          <w:lang w:eastAsia="en-IN" w:bidi="gu-IN"/>
          <w14:ligatures w14:val="none"/>
        </w:rPr>
        <w:drawing>
          <wp:anchor distT="0" distB="0" distL="114300" distR="114300" simplePos="0" relativeHeight="251712512" behindDoc="0" locked="0" layoutInCell="1" allowOverlap="1" wp14:anchorId="630370F5" wp14:editId="3A9F3947">
            <wp:simplePos x="0" y="0"/>
            <wp:positionH relativeFrom="margin">
              <wp:align>left</wp:align>
            </wp:positionH>
            <wp:positionV relativeFrom="margin">
              <wp:align>top</wp:align>
            </wp:positionV>
            <wp:extent cx="3142615" cy="2818765"/>
            <wp:effectExtent l="0" t="0" r="635" b="635"/>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3610229" w14:textId="6352C21C" w:rsidR="003921C7" w:rsidRPr="003921C7" w:rsidRDefault="00C6532B" w:rsidP="00522B0D">
      <w:pPr>
        <w:spacing w:after="0" w:line="276" w:lineRule="auto"/>
        <w:jc w:val="both"/>
      </w:pPr>
      <w:r w:rsidRPr="00F86AFE">
        <w:rPr>
          <w:noProof/>
          <w:sz w:val="20"/>
          <w:szCs w:val="20"/>
          <w:lang w:eastAsia="en-IN" w:bidi="gu-IN"/>
          <w14:ligatures w14:val="none"/>
        </w:rPr>
        <w:drawing>
          <wp:anchor distT="0" distB="0" distL="114300" distR="114300" simplePos="0" relativeHeight="251714560" behindDoc="0" locked="0" layoutInCell="1" allowOverlap="0" wp14:anchorId="02F218F6" wp14:editId="3A96FF97">
            <wp:simplePos x="0" y="0"/>
            <wp:positionH relativeFrom="margin">
              <wp:posOffset>3255645</wp:posOffset>
            </wp:positionH>
            <wp:positionV relativeFrom="margin">
              <wp:posOffset>3432175</wp:posOffset>
            </wp:positionV>
            <wp:extent cx="3142800" cy="2818800"/>
            <wp:effectExtent l="0" t="0" r="635" b="635"/>
            <wp:wrapTopAndBottom/>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F86AFE">
        <w:rPr>
          <w:noProof/>
          <w:sz w:val="20"/>
          <w:szCs w:val="20"/>
          <w:lang w:eastAsia="en-IN" w:bidi="gu-IN"/>
          <w14:ligatures w14:val="none"/>
        </w:rPr>
        <w:drawing>
          <wp:anchor distT="0" distB="0" distL="114300" distR="114300" simplePos="0" relativeHeight="251678720" behindDoc="0" locked="0" layoutInCell="1" allowOverlap="0" wp14:anchorId="5FD96C86" wp14:editId="390D90B1">
            <wp:simplePos x="0" y="0"/>
            <wp:positionH relativeFrom="margin">
              <wp:align>left</wp:align>
            </wp:positionH>
            <wp:positionV relativeFrom="margin">
              <wp:posOffset>3406140</wp:posOffset>
            </wp:positionV>
            <wp:extent cx="3142800" cy="2818800"/>
            <wp:effectExtent l="0" t="0" r="635" b="635"/>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3921C7">
        <w:rPr>
          <w:rFonts w:ascii="Times New Roman" w:hAnsi="Times New Roman" w:cs="Times New Roman"/>
          <w:b/>
          <w:sz w:val="20"/>
          <w:szCs w:val="20"/>
        </w:rPr>
        <w:t>Figure: 3</w:t>
      </w:r>
      <w:r w:rsidR="003921C7">
        <w:t xml:space="preserve"> </w:t>
      </w:r>
      <w:r w:rsidR="003921C7" w:rsidRPr="00F86AFE">
        <w:rPr>
          <w:rFonts w:ascii="Times New Roman" w:hAnsi="Times New Roman" w:cs="Times New Roman"/>
          <w:b/>
          <w:sz w:val="20"/>
          <w:szCs w:val="20"/>
        </w:rPr>
        <w:t>Correlation of WBC with fusion copies and % NCN levels in PT, TNR and TR subgroups of B-</w:t>
      </w:r>
      <w:r w:rsidR="003921C7">
        <w:rPr>
          <w:rFonts w:ascii="Times New Roman" w:hAnsi="Times New Roman" w:cs="Times New Roman"/>
          <w:b/>
          <w:sz w:val="20"/>
          <w:szCs w:val="20"/>
        </w:rPr>
        <w:t xml:space="preserve"> </w:t>
      </w:r>
      <w:r w:rsidR="003921C7" w:rsidRPr="00F86AFE">
        <w:rPr>
          <w:rFonts w:ascii="Times New Roman" w:hAnsi="Times New Roman" w:cs="Times New Roman"/>
          <w:b/>
          <w:sz w:val="20"/>
          <w:szCs w:val="20"/>
        </w:rPr>
        <w:t>ALL Patients</w:t>
      </w:r>
    </w:p>
    <w:p w14:paraId="0AA25B6F" w14:textId="293873FF" w:rsidR="003921C7" w:rsidRDefault="003921C7" w:rsidP="00522B0D">
      <w:pPr>
        <w:spacing w:after="0" w:line="276" w:lineRule="auto"/>
        <w:jc w:val="both"/>
        <w:rPr>
          <w:rFonts w:ascii="Times New Roman" w:hAnsi="Times New Roman" w:cs="Times New Roman"/>
          <w:b/>
          <w:sz w:val="20"/>
          <w:szCs w:val="20"/>
        </w:rPr>
      </w:pPr>
    </w:p>
    <w:p w14:paraId="29DE0AC2" w14:textId="1442D785" w:rsidR="00522B0D" w:rsidRPr="00FB22C8" w:rsidRDefault="00522B0D" w:rsidP="003921C7">
      <w:pPr>
        <w:spacing w:after="0" w:line="276" w:lineRule="auto"/>
        <w:jc w:val="both"/>
        <w:rPr>
          <w:rFonts w:ascii="Times New Roman" w:hAnsi="Times New Roman" w:cs="Times New Roman"/>
          <w:sz w:val="20"/>
          <w:szCs w:val="20"/>
        </w:rPr>
      </w:pPr>
      <w:r w:rsidRPr="00FB22C8">
        <w:rPr>
          <w:rFonts w:ascii="Times New Roman" w:hAnsi="Times New Roman" w:cs="Times New Roman"/>
          <w:b/>
          <w:sz w:val="20"/>
          <w:szCs w:val="20"/>
        </w:rPr>
        <w:t xml:space="preserve">Figure 4: Correlation of Platelets with fusion copies and % NCN levels in PT, TNR and TR subgroups </w:t>
      </w:r>
      <w:r w:rsidR="003921C7" w:rsidRPr="00FB22C8">
        <w:rPr>
          <w:rFonts w:ascii="Times New Roman" w:hAnsi="Times New Roman" w:cs="Times New Roman"/>
          <w:b/>
          <w:sz w:val="20"/>
          <w:szCs w:val="20"/>
        </w:rPr>
        <w:t xml:space="preserve">of </w:t>
      </w:r>
      <w:r w:rsidR="003921C7">
        <w:rPr>
          <w:rFonts w:ascii="Times New Roman" w:hAnsi="Times New Roman" w:cs="Times New Roman"/>
          <w:b/>
          <w:sz w:val="20"/>
          <w:szCs w:val="20"/>
        </w:rPr>
        <w:t xml:space="preserve">    B</w:t>
      </w:r>
      <w:r w:rsidRPr="00FB22C8">
        <w:rPr>
          <w:rFonts w:ascii="Times New Roman" w:hAnsi="Times New Roman" w:cs="Times New Roman"/>
          <w:b/>
          <w:sz w:val="20"/>
          <w:szCs w:val="20"/>
        </w:rPr>
        <w:t>-ALL Patients</w:t>
      </w:r>
    </w:p>
    <w:p w14:paraId="3CAF6F8E" w14:textId="3F36E590" w:rsidR="00522B0D" w:rsidRPr="00FB22C8" w:rsidRDefault="00522B0D" w:rsidP="00971A22">
      <w:pPr>
        <w:spacing w:after="0" w:line="276" w:lineRule="auto"/>
        <w:jc w:val="both"/>
        <w:rPr>
          <w:noProof/>
          <w:sz w:val="20"/>
          <w:szCs w:val="20"/>
          <w:lang w:eastAsia="en-IN" w:bidi="ar-SA"/>
          <w14:ligatures w14:val="none"/>
        </w:rPr>
      </w:pPr>
    </w:p>
    <w:p w14:paraId="4371304E" w14:textId="77777777" w:rsidR="00F86AFE" w:rsidRDefault="00F86AFE" w:rsidP="00522B0D">
      <w:pPr>
        <w:tabs>
          <w:tab w:val="left" w:pos="5685"/>
        </w:tabs>
        <w:spacing w:after="0" w:line="276" w:lineRule="auto"/>
        <w:jc w:val="both"/>
        <w:rPr>
          <w:rFonts w:ascii="Times New Roman" w:hAnsi="Times New Roman" w:cs="Times New Roman"/>
          <w:b/>
          <w:sz w:val="20"/>
          <w:szCs w:val="20"/>
        </w:rPr>
      </w:pPr>
    </w:p>
    <w:p w14:paraId="6856FA2C" w14:textId="77777777" w:rsidR="00F86AFE" w:rsidRDefault="00F86AFE" w:rsidP="00522B0D">
      <w:pPr>
        <w:tabs>
          <w:tab w:val="left" w:pos="5685"/>
        </w:tabs>
        <w:spacing w:after="0" w:line="276" w:lineRule="auto"/>
        <w:jc w:val="both"/>
        <w:rPr>
          <w:rFonts w:ascii="Times New Roman" w:hAnsi="Times New Roman" w:cs="Times New Roman"/>
          <w:b/>
          <w:sz w:val="20"/>
          <w:szCs w:val="20"/>
        </w:rPr>
      </w:pPr>
    </w:p>
    <w:p w14:paraId="2740CCC1" w14:textId="77777777" w:rsidR="00C6532B" w:rsidRDefault="00C6532B" w:rsidP="00F86AFE">
      <w:pPr>
        <w:tabs>
          <w:tab w:val="left" w:pos="5685"/>
        </w:tabs>
        <w:spacing w:after="0" w:line="276" w:lineRule="auto"/>
        <w:jc w:val="both"/>
        <w:rPr>
          <w:rFonts w:ascii="Times New Roman" w:hAnsi="Times New Roman" w:cs="Times New Roman"/>
          <w:b/>
          <w:sz w:val="20"/>
          <w:szCs w:val="20"/>
        </w:rPr>
      </w:pPr>
    </w:p>
    <w:p w14:paraId="1FF14C14" w14:textId="6F25EA02" w:rsidR="00F86AFE" w:rsidRDefault="00F86AFE" w:rsidP="00F86AFE">
      <w:pPr>
        <w:tabs>
          <w:tab w:val="left" w:pos="5685"/>
        </w:tabs>
        <w:spacing w:after="0" w:line="276" w:lineRule="auto"/>
        <w:jc w:val="both"/>
        <w:rPr>
          <w:rFonts w:ascii="Times New Roman" w:hAnsi="Times New Roman" w:cs="Times New Roman"/>
          <w:b/>
          <w:sz w:val="20"/>
          <w:szCs w:val="20"/>
        </w:rPr>
      </w:pPr>
      <w:r w:rsidRPr="00F86AFE">
        <w:rPr>
          <w:noProof/>
          <w:sz w:val="20"/>
          <w:szCs w:val="20"/>
          <w:lang w:eastAsia="en-IN" w:bidi="gu-IN"/>
          <w14:ligatures w14:val="none"/>
        </w:rPr>
        <w:drawing>
          <wp:anchor distT="0" distB="0" distL="114300" distR="114300" simplePos="0" relativeHeight="251680768" behindDoc="0" locked="0" layoutInCell="1" allowOverlap="0" wp14:anchorId="0ABF05E9" wp14:editId="4C592B9F">
            <wp:simplePos x="0" y="0"/>
            <wp:positionH relativeFrom="margin">
              <wp:align>left</wp:align>
            </wp:positionH>
            <wp:positionV relativeFrom="margin">
              <wp:align>top</wp:align>
            </wp:positionV>
            <wp:extent cx="3142800" cy="2818800"/>
            <wp:effectExtent l="0" t="0" r="635" b="635"/>
            <wp:wrapTopAndBottom/>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F86AFE">
        <w:rPr>
          <w:noProof/>
          <w:sz w:val="20"/>
          <w:szCs w:val="20"/>
          <w:lang w:eastAsia="en-IN" w:bidi="gu-IN"/>
          <w14:ligatures w14:val="none"/>
        </w:rPr>
        <w:drawing>
          <wp:anchor distT="0" distB="0" distL="114300" distR="114300" simplePos="0" relativeHeight="251681792" behindDoc="0" locked="0" layoutInCell="1" allowOverlap="1" wp14:anchorId="29AE0214" wp14:editId="1644A1B4">
            <wp:simplePos x="0" y="0"/>
            <wp:positionH relativeFrom="margin">
              <wp:posOffset>3328670</wp:posOffset>
            </wp:positionH>
            <wp:positionV relativeFrom="margin">
              <wp:posOffset>-1034</wp:posOffset>
            </wp:positionV>
            <wp:extent cx="3142800" cy="2818800"/>
            <wp:effectExtent l="0" t="0" r="635" b="635"/>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6A579702" w14:textId="77777777" w:rsidR="00C6532B" w:rsidRPr="00AD0B5B" w:rsidRDefault="00C6532B" w:rsidP="00C6532B">
      <w:pPr>
        <w:tabs>
          <w:tab w:val="left" w:pos="5685"/>
        </w:tabs>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Figure: 5 </w:t>
      </w:r>
      <w:r w:rsidRPr="00F86AFE">
        <w:rPr>
          <w:rFonts w:ascii="Times New Roman" w:hAnsi="Times New Roman" w:cs="Times New Roman"/>
          <w:b/>
          <w:sz w:val="20"/>
          <w:szCs w:val="20"/>
        </w:rPr>
        <w:t>Correlation of LDH with fusion copies and % NCN levels in PT, TNR and TR subgroups of B-ALL patients</w:t>
      </w:r>
    </w:p>
    <w:p w14:paraId="1C8F3EE6" w14:textId="3E6CADE2" w:rsidR="00C6532B" w:rsidRPr="00AD0B5B" w:rsidRDefault="00C6532B" w:rsidP="00F86AFE">
      <w:pPr>
        <w:tabs>
          <w:tab w:val="left" w:pos="5685"/>
        </w:tabs>
        <w:spacing w:after="0" w:line="276" w:lineRule="auto"/>
        <w:jc w:val="both"/>
        <w:rPr>
          <w:rFonts w:ascii="Times New Roman" w:hAnsi="Times New Roman" w:cs="Times New Roman"/>
          <w:b/>
          <w:sz w:val="20"/>
          <w:szCs w:val="20"/>
        </w:rPr>
      </w:pPr>
    </w:p>
    <w:p w14:paraId="257F996C" w14:textId="77777777" w:rsidR="0085228A" w:rsidRDefault="0085228A" w:rsidP="00C33590">
      <w:pPr>
        <w:spacing w:after="0" w:line="276" w:lineRule="auto"/>
        <w:jc w:val="both"/>
        <w:rPr>
          <w:rFonts w:ascii="Times New Roman" w:hAnsi="Times New Roman" w:cs="Times New Roman"/>
          <w:b/>
          <w:bCs/>
          <w:sz w:val="24"/>
          <w:szCs w:val="24"/>
        </w:rPr>
      </w:pPr>
    </w:p>
    <w:p w14:paraId="2086BDAF" w14:textId="4D373601" w:rsidR="00C33590" w:rsidRPr="00AD0B5B" w:rsidRDefault="00AD0B5B" w:rsidP="00C3359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F86AFE" w:rsidRPr="00AD0B5B">
        <w:rPr>
          <w:rFonts w:ascii="Times New Roman" w:hAnsi="Times New Roman" w:cs="Times New Roman"/>
          <w:b/>
          <w:bCs/>
          <w:sz w:val="24"/>
          <w:szCs w:val="24"/>
        </w:rPr>
        <w:t>DISCUSSION</w:t>
      </w:r>
    </w:p>
    <w:p w14:paraId="5BBDD328" w14:textId="710E9669" w:rsidR="00152B28" w:rsidRPr="00F86AFE" w:rsidRDefault="00152B28" w:rsidP="00152B28">
      <w:pPr>
        <w:spacing w:after="0" w:line="276" w:lineRule="auto"/>
        <w:jc w:val="both"/>
        <w:rPr>
          <w:rFonts w:ascii="Times New Roman" w:hAnsi="Times New Roman" w:cs="Times New Roman"/>
          <w:b/>
          <w:bCs/>
          <w:sz w:val="20"/>
          <w:szCs w:val="20"/>
        </w:rPr>
      </w:pPr>
      <w:r w:rsidRPr="00F86AFE">
        <w:rPr>
          <w:rFonts w:ascii="Times New Roman" w:hAnsi="Times New Roman" w:cs="Times New Roman"/>
          <w:sz w:val="20"/>
          <w:szCs w:val="20"/>
        </w:rPr>
        <w:t>ALL is a malignant disease characterized by distinct morphologic, immunophenotypic, cytogenetic, and molecular features, some of which have important clinical implications for diagnosis or prediction of respon</w:t>
      </w:r>
      <w:r w:rsidR="00501AFF" w:rsidRPr="00F86AFE">
        <w:rPr>
          <w:rFonts w:ascii="Times New Roman" w:hAnsi="Times New Roman" w:cs="Times New Roman"/>
          <w:sz w:val="20"/>
          <w:szCs w:val="20"/>
        </w:rPr>
        <w:t xml:space="preserve">se to a particular treatment </w:t>
      </w:r>
      <w:r w:rsidR="00501AFF" w:rsidRPr="00F86AFE">
        <w:rPr>
          <w:rFonts w:ascii="Times New Roman" w:hAnsi="Times New Roman" w:cs="Times New Roman"/>
          <w:bCs/>
          <w:sz w:val="20"/>
          <w:szCs w:val="20"/>
        </w:rPr>
        <w:t>(1</w:t>
      </w:r>
      <w:r w:rsidR="000B0E95" w:rsidRPr="00F86AFE">
        <w:rPr>
          <w:rFonts w:ascii="Times New Roman" w:hAnsi="Times New Roman" w:cs="Times New Roman"/>
          <w:bCs/>
          <w:sz w:val="20"/>
          <w:szCs w:val="20"/>
        </w:rPr>
        <w:t>1</w:t>
      </w:r>
      <w:r w:rsidRPr="00F86AFE">
        <w:rPr>
          <w:rFonts w:ascii="Times New Roman" w:hAnsi="Times New Roman" w:cs="Times New Roman"/>
          <w:bCs/>
          <w:sz w:val="20"/>
          <w:szCs w:val="20"/>
        </w:rPr>
        <w:t>, 1</w:t>
      </w:r>
      <w:r w:rsidR="000B0E95" w:rsidRPr="00F86AFE">
        <w:rPr>
          <w:rFonts w:ascii="Times New Roman" w:hAnsi="Times New Roman" w:cs="Times New Roman"/>
          <w:bCs/>
          <w:sz w:val="20"/>
          <w:szCs w:val="20"/>
        </w:rPr>
        <w:t>2</w:t>
      </w:r>
      <w:r w:rsidRPr="00F86AFE">
        <w:rPr>
          <w:rFonts w:ascii="Times New Roman" w:hAnsi="Times New Roman" w:cs="Times New Roman"/>
          <w:bCs/>
          <w:sz w:val="20"/>
          <w:szCs w:val="20"/>
        </w:rPr>
        <w:t xml:space="preserve">). </w:t>
      </w:r>
      <w:r w:rsidRPr="00F86AFE">
        <w:rPr>
          <w:rFonts w:ascii="Times New Roman" w:hAnsi="Times New Roman" w:cs="Times New Roman"/>
          <w:sz w:val="20"/>
          <w:szCs w:val="20"/>
        </w:rPr>
        <w:t xml:space="preserve">Philadelphia chromosome (Ph) is generated due to reciprocal translocation, t (9; 22) (q34; q11.2), resulting in BCR-ABL1 fusion, a constitutively active tyrosine kinase. BCR-ABL1 fusion is seen essentially in all cases of </w:t>
      </w:r>
      <w:r w:rsidR="00D577C8">
        <w:rPr>
          <w:rFonts w:ascii="Times New Roman" w:hAnsi="Times New Roman" w:cs="Times New Roman"/>
          <w:sz w:val="20"/>
          <w:szCs w:val="20"/>
        </w:rPr>
        <w:t>CML</w:t>
      </w:r>
      <w:r w:rsidR="00F60AD9" w:rsidRPr="00F86AFE">
        <w:rPr>
          <w:rFonts w:ascii="Times New Roman" w:hAnsi="Times New Roman" w:cs="Times New Roman"/>
          <w:sz w:val="20"/>
          <w:szCs w:val="20"/>
        </w:rPr>
        <w:t xml:space="preserve"> </w:t>
      </w:r>
      <w:r w:rsidRPr="00F86AFE">
        <w:rPr>
          <w:rFonts w:ascii="Times New Roman" w:hAnsi="Times New Roman" w:cs="Times New Roman"/>
          <w:sz w:val="20"/>
          <w:szCs w:val="20"/>
        </w:rPr>
        <w:t xml:space="preserve">and among 25% of the adults with ALL, while only in 3-5% of paediatric ALL </w:t>
      </w:r>
      <w:r w:rsidR="00501AFF" w:rsidRPr="00F86AFE">
        <w:rPr>
          <w:rFonts w:ascii="Times New Roman" w:hAnsi="Times New Roman" w:cs="Times New Roman"/>
          <w:bCs/>
          <w:sz w:val="20"/>
          <w:szCs w:val="20"/>
        </w:rPr>
        <w:t>(1</w:t>
      </w:r>
      <w:r w:rsidR="000B0E95" w:rsidRPr="00F86AFE">
        <w:rPr>
          <w:rFonts w:ascii="Times New Roman" w:hAnsi="Times New Roman" w:cs="Times New Roman"/>
          <w:bCs/>
          <w:sz w:val="20"/>
          <w:szCs w:val="20"/>
        </w:rPr>
        <w:t>3</w:t>
      </w:r>
      <w:r w:rsidR="00501AFF"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There are three breakpoint cluster regions (bcrs) within BCR, when the gene is rearranged with ABL1. Out of these, the upstream minor (m)-bcr, which generates the p190 BCR-ABL1 protein, is primarily associated with Ph+ ALL </w:t>
      </w:r>
      <w:r w:rsidR="00501AFF" w:rsidRPr="00F86AFE">
        <w:rPr>
          <w:rFonts w:ascii="Times New Roman" w:hAnsi="Times New Roman" w:cs="Times New Roman"/>
          <w:sz w:val="20"/>
          <w:szCs w:val="20"/>
        </w:rPr>
        <w:t>(</w:t>
      </w:r>
      <w:r w:rsidR="000B0E95" w:rsidRPr="00F86AFE">
        <w:rPr>
          <w:rFonts w:ascii="Times New Roman" w:hAnsi="Times New Roman" w:cs="Times New Roman"/>
          <w:sz w:val="20"/>
          <w:szCs w:val="20"/>
        </w:rPr>
        <w:t>14</w:t>
      </w:r>
      <w:r w:rsidR="00501AFF" w:rsidRPr="00F86AFE">
        <w:rPr>
          <w:rFonts w:ascii="Times New Roman" w:hAnsi="Times New Roman" w:cs="Times New Roman"/>
          <w:sz w:val="20"/>
          <w:szCs w:val="20"/>
        </w:rPr>
        <w:t>)</w:t>
      </w:r>
      <w:r w:rsidRPr="00F86AFE">
        <w:rPr>
          <w:rFonts w:ascii="Times New Roman" w:hAnsi="Times New Roman" w:cs="Times New Roman"/>
          <w:sz w:val="20"/>
          <w:szCs w:val="20"/>
        </w:rPr>
        <w:t xml:space="preserve">. </w:t>
      </w:r>
    </w:p>
    <w:p w14:paraId="1C5A7E79" w14:textId="077A3F85" w:rsidR="00152B28" w:rsidRPr="00F86AFE" w:rsidRDefault="00152B28" w:rsidP="00152B28">
      <w:pPr>
        <w:spacing w:after="0" w:line="276" w:lineRule="auto"/>
        <w:jc w:val="both"/>
        <w:rPr>
          <w:rFonts w:ascii="Times New Roman" w:hAnsi="Times New Roman" w:cs="Times New Roman"/>
          <w:sz w:val="20"/>
          <w:szCs w:val="20"/>
        </w:rPr>
      </w:pPr>
    </w:p>
    <w:p w14:paraId="56B2B2BC" w14:textId="349E289D" w:rsidR="00152B28" w:rsidRPr="00F86AFE" w:rsidRDefault="00152B28" w:rsidP="00152B28">
      <w:pPr>
        <w:spacing w:after="0" w:line="276" w:lineRule="auto"/>
        <w:jc w:val="both"/>
        <w:rPr>
          <w:rFonts w:ascii="Times New Roman" w:hAnsi="Times New Roman" w:cs="Times New Roman"/>
          <w:sz w:val="20"/>
          <w:szCs w:val="20"/>
        </w:rPr>
      </w:pPr>
      <w:r w:rsidRPr="00F86AFE">
        <w:rPr>
          <w:rFonts w:ascii="Times New Roman" w:hAnsi="Times New Roman" w:cs="Times New Roman"/>
          <w:sz w:val="20"/>
          <w:szCs w:val="20"/>
          <w:shd w:val="clear" w:color="auto" w:fill="FFFFFF"/>
        </w:rPr>
        <w:t>B-ALL, a most common subtype of ALL, occurs when the bone marrow produces too many abnormal B-lymphocytes</w:t>
      </w:r>
      <w:r w:rsidR="00501AFF" w:rsidRPr="00F86AFE">
        <w:rPr>
          <w:rFonts w:ascii="Times New Roman" w:hAnsi="Times New Roman" w:cs="Times New Roman"/>
          <w:sz w:val="20"/>
          <w:szCs w:val="20"/>
          <w:shd w:val="clear" w:color="auto" w:fill="FFFFFF"/>
        </w:rPr>
        <w:t xml:space="preserve"> (</w:t>
      </w:r>
      <w:r w:rsidR="000B0E95" w:rsidRPr="00F86AFE">
        <w:rPr>
          <w:rFonts w:ascii="Times New Roman" w:hAnsi="Times New Roman" w:cs="Times New Roman"/>
          <w:sz w:val="20"/>
          <w:szCs w:val="20"/>
          <w:shd w:val="clear" w:color="auto" w:fill="FFFFFF"/>
        </w:rPr>
        <w:t>15</w:t>
      </w:r>
      <w:r w:rsidR="00501AFF" w:rsidRPr="00F86AFE">
        <w:rPr>
          <w:rFonts w:ascii="Times New Roman" w:hAnsi="Times New Roman" w:cs="Times New Roman"/>
          <w:sz w:val="20"/>
          <w:szCs w:val="20"/>
          <w:shd w:val="clear" w:color="auto" w:fill="FFFFFF"/>
        </w:rPr>
        <w:t>)</w:t>
      </w:r>
      <w:r w:rsidRPr="00F86AFE">
        <w:rPr>
          <w:rFonts w:ascii="Times New Roman" w:hAnsi="Times New Roman" w:cs="Times New Roman"/>
          <w:sz w:val="20"/>
          <w:szCs w:val="20"/>
          <w:shd w:val="clear" w:color="auto" w:fill="FFFFFF"/>
        </w:rPr>
        <w:t>. </w:t>
      </w:r>
      <w:r w:rsidRPr="00F86AFE">
        <w:rPr>
          <w:rFonts w:ascii="Times New Roman" w:hAnsi="Times New Roman" w:cs="Times New Roman"/>
          <w:sz w:val="20"/>
          <w:szCs w:val="20"/>
        </w:rPr>
        <w:t xml:space="preserve">Tyrosine Kinase Inhibitor (TKI) therapy is less effective in B-ALL patients due to primary or secondary resistance, resulting in low overall survival </w:t>
      </w:r>
      <w:r w:rsidR="000B0E95" w:rsidRPr="00F86AFE">
        <w:rPr>
          <w:rFonts w:ascii="Times New Roman" w:hAnsi="Times New Roman" w:cs="Times New Roman"/>
          <w:bCs/>
          <w:sz w:val="20"/>
          <w:szCs w:val="20"/>
        </w:rPr>
        <w:t>(16</w:t>
      </w:r>
      <w:r w:rsidR="00501AFF" w:rsidRPr="00F86AFE">
        <w:rPr>
          <w:rFonts w:ascii="Times New Roman" w:hAnsi="Times New Roman" w:cs="Times New Roman"/>
          <w:bCs/>
          <w:sz w:val="20"/>
          <w:szCs w:val="20"/>
        </w:rPr>
        <w:t>)</w:t>
      </w:r>
      <w:r w:rsidRPr="00F86AFE">
        <w:rPr>
          <w:rFonts w:ascii="Times New Roman" w:hAnsi="Times New Roman" w:cs="Times New Roman"/>
          <w:bCs/>
          <w:sz w:val="20"/>
          <w:szCs w:val="20"/>
        </w:rPr>
        <w:t xml:space="preserve">. </w:t>
      </w:r>
      <w:r w:rsidRPr="00F86AFE">
        <w:rPr>
          <w:rFonts w:ascii="Times New Roman" w:hAnsi="Times New Roman" w:cs="Times New Roman"/>
          <w:sz w:val="20"/>
          <w:szCs w:val="20"/>
        </w:rPr>
        <w:t>Moreover, t</w:t>
      </w:r>
      <w:r w:rsidRPr="00F86AFE">
        <w:rPr>
          <w:rFonts w:ascii="Times New Roman" w:hAnsi="Times New Roman" w:cs="Times New Roman"/>
          <w:spacing w:val="8"/>
          <w:sz w:val="20"/>
          <w:szCs w:val="20"/>
          <w:shd w:val="clear" w:color="auto" w:fill="FFFFFF"/>
        </w:rPr>
        <w:t xml:space="preserve">he presence of BCR-ABL1 translocation in ALL is associated with aggressive disease and has been shown to have a poor prognosis </w:t>
      </w:r>
      <w:r w:rsidR="00501AFF" w:rsidRPr="00F86AFE">
        <w:rPr>
          <w:rFonts w:ascii="Times New Roman" w:hAnsi="Times New Roman" w:cs="Times New Roman"/>
          <w:bCs/>
          <w:sz w:val="20"/>
          <w:szCs w:val="20"/>
        </w:rPr>
        <w:t>(1</w:t>
      </w:r>
      <w:r w:rsidR="000B0E95" w:rsidRPr="00F86AFE">
        <w:rPr>
          <w:rFonts w:ascii="Times New Roman" w:hAnsi="Times New Roman" w:cs="Times New Roman"/>
          <w:bCs/>
          <w:sz w:val="20"/>
          <w:szCs w:val="20"/>
        </w:rPr>
        <w:t>7</w:t>
      </w:r>
      <w:r w:rsidR="00501AFF"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pacing w:val="8"/>
          <w:sz w:val="20"/>
          <w:szCs w:val="20"/>
          <w:shd w:val="clear" w:color="auto" w:fill="FFFFFF"/>
        </w:rPr>
        <w:t xml:space="preserve"> Hence, investigating </w:t>
      </w:r>
      <w:r w:rsidRPr="00F86AFE">
        <w:rPr>
          <w:rFonts w:ascii="Times New Roman" w:hAnsi="Times New Roman" w:cs="Times New Roman"/>
          <w:sz w:val="20"/>
          <w:szCs w:val="20"/>
        </w:rPr>
        <w:t xml:space="preserve">mBCR-ABL1 </w:t>
      </w:r>
      <w:r w:rsidRPr="00F86AFE">
        <w:rPr>
          <w:rFonts w:ascii="Times New Roman" w:hAnsi="Times New Roman" w:cs="Times New Roman"/>
          <w:spacing w:val="8"/>
          <w:sz w:val="20"/>
          <w:szCs w:val="20"/>
          <w:shd w:val="clear" w:color="auto" w:fill="FFFFFF"/>
        </w:rPr>
        <w:t xml:space="preserve">fusion might give insights for prognostic evaluation in ALL patients. </w:t>
      </w:r>
      <w:r w:rsidRPr="00F86AFE">
        <w:rPr>
          <w:rFonts w:ascii="Times New Roman" w:hAnsi="Times New Roman" w:cs="Times New Roman"/>
          <w:sz w:val="20"/>
          <w:szCs w:val="20"/>
        </w:rPr>
        <w:t xml:space="preserve">Present study examined mBCR-ABL1 fusion transcripts by RT-qPCR method in B-ALL patients and further its correlation with various </w:t>
      </w:r>
      <w:r w:rsidR="00F06BFB" w:rsidRPr="00F86AFE">
        <w:rPr>
          <w:rFonts w:ascii="Times New Roman" w:hAnsi="Times New Roman" w:cs="Times New Roman"/>
          <w:sz w:val="20"/>
          <w:szCs w:val="20"/>
        </w:rPr>
        <w:t>haematological</w:t>
      </w:r>
      <w:r w:rsidRPr="00F86AFE">
        <w:rPr>
          <w:rFonts w:ascii="Times New Roman" w:hAnsi="Times New Roman" w:cs="Times New Roman"/>
          <w:sz w:val="20"/>
          <w:szCs w:val="20"/>
        </w:rPr>
        <w:t xml:space="preserve"> parameters and LDH activity was evaluated.</w:t>
      </w:r>
    </w:p>
    <w:p w14:paraId="0BD5B7F1" w14:textId="77777777" w:rsidR="00C33590" w:rsidRPr="00F86AFE" w:rsidRDefault="00C33590" w:rsidP="00C33590">
      <w:pPr>
        <w:pStyle w:val="global-para-14"/>
        <w:spacing w:before="0" w:beforeAutospacing="0" w:after="0" w:afterAutospacing="0" w:line="276" w:lineRule="auto"/>
        <w:ind w:firstLine="240"/>
        <w:textAlignment w:val="baseline"/>
        <w:rPr>
          <w:rFonts w:cstheme="minorHAnsi"/>
          <w:sz w:val="20"/>
          <w:szCs w:val="20"/>
        </w:rPr>
      </w:pPr>
    </w:p>
    <w:p w14:paraId="20FE4762" w14:textId="70F5124E" w:rsidR="00C33590" w:rsidRPr="00F86AFE" w:rsidRDefault="00C33590" w:rsidP="00C33590">
      <w:pPr>
        <w:spacing w:after="0" w:line="276" w:lineRule="auto"/>
        <w:jc w:val="both"/>
        <w:rPr>
          <w:rFonts w:ascii="Times New Roman" w:hAnsi="Times New Roman" w:cs="Times New Roman"/>
          <w:color w:val="252525"/>
          <w:sz w:val="20"/>
          <w:szCs w:val="20"/>
          <w:shd w:val="clear" w:color="auto" w:fill="FFFFFF"/>
        </w:rPr>
      </w:pPr>
      <w:r w:rsidRPr="00F86AFE">
        <w:rPr>
          <w:rFonts w:ascii="Times New Roman" w:hAnsi="Times New Roman" w:cs="Times New Roman"/>
          <w:color w:val="252525"/>
          <w:sz w:val="20"/>
          <w:szCs w:val="20"/>
          <w:shd w:val="clear" w:color="auto" w:fill="FFFFFF"/>
        </w:rPr>
        <w:t>Out of 50 enrolled B-ALL patients, the mean age was 24 years, and majority of the patients (N=31) were males. </w:t>
      </w:r>
      <w:r w:rsidRPr="00F86AFE">
        <w:rPr>
          <w:rFonts w:ascii="Times New Roman" w:hAnsi="Times New Roman" w:cs="Times New Roman"/>
          <w:sz w:val="20"/>
          <w:szCs w:val="20"/>
        </w:rPr>
        <w:t xml:space="preserve">Our study is in accordance with several other reports having male predominance </w:t>
      </w:r>
      <w:r w:rsidRPr="00F86AFE">
        <w:rPr>
          <w:rFonts w:ascii="Times New Roman" w:hAnsi="Times New Roman" w:cs="Times New Roman"/>
          <w:bCs/>
          <w:sz w:val="20"/>
          <w:szCs w:val="20"/>
        </w:rPr>
        <w:t>(</w:t>
      </w:r>
      <w:r w:rsidR="000B0E95" w:rsidRPr="00F86AFE">
        <w:rPr>
          <w:rFonts w:ascii="Times New Roman" w:hAnsi="Times New Roman" w:cs="Times New Roman"/>
          <w:bCs/>
          <w:sz w:val="20"/>
          <w:szCs w:val="20"/>
        </w:rPr>
        <w:t>18</w:t>
      </w:r>
      <w:r w:rsidRPr="00F86AFE">
        <w:rPr>
          <w:rFonts w:ascii="Times New Roman" w:hAnsi="Times New Roman" w:cs="Times New Roman"/>
          <w:bCs/>
          <w:sz w:val="20"/>
          <w:szCs w:val="20"/>
        </w:rPr>
        <w:t xml:space="preserve">, </w:t>
      </w:r>
      <w:r w:rsidR="006C6D97" w:rsidRPr="00F86AFE">
        <w:rPr>
          <w:rFonts w:ascii="Times New Roman" w:hAnsi="Times New Roman" w:cs="Times New Roman"/>
          <w:bCs/>
          <w:sz w:val="20"/>
          <w:szCs w:val="20"/>
        </w:rPr>
        <w:t>1</w:t>
      </w:r>
      <w:r w:rsidR="000B0E95" w:rsidRPr="00F86AFE">
        <w:rPr>
          <w:rFonts w:ascii="Times New Roman" w:hAnsi="Times New Roman" w:cs="Times New Roman"/>
          <w:bCs/>
          <w:sz w:val="20"/>
          <w:szCs w:val="20"/>
        </w:rPr>
        <w:t>9</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w:t>
      </w:r>
      <w:r w:rsidR="006D0C5A" w:rsidRPr="00F86AFE">
        <w:rPr>
          <w:rFonts w:ascii="Times New Roman" w:hAnsi="Times New Roman" w:cs="Times New Roman"/>
          <w:sz w:val="20"/>
          <w:szCs w:val="20"/>
        </w:rPr>
        <w:t>Similar to the current study</w:t>
      </w:r>
      <w:r w:rsidRPr="00F86AFE">
        <w:rPr>
          <w:rFonts w:ascii="Times New Roman" w:hAnsi="Times New Roman" w:cs="Times New Roman"/>
          <w:sz w:val="20"/>
          <w:szCs w:val="20"/>
        </w:rPr>
        <w:t>, the median a</w:t>
      </w:r>
      <w:r w:rsidR="006D0C5A" w:rsidRPr="00F86AFE">
        <w:rPr>
          <w:rFonts w:ascii="Times New Roman" w:hAnsi="Times New Roman" w:cs="Times New Roman"/>
          <w:sz w:val="20"/>
          <w:szCs w:val="20"/>
        </w:rPr>
        <w:t xml:space="preserve">ge in ALL patients was 20 years </w:t>
      </w:r>
      <w:r w:rsidR="000B0E95" w:rsidRPr="00F86AFE">
        <w:rPr>
          <w:rFonts w:ascii="Times New Roman" w:hAnsi="Times New Roman" w:cs="Times New Roman"/>
          <w:bCs/>
          <w:sz w:val="20"/>
          <w:szCs w:val="20"/>
        </w:rPr>
        <w:t>(20</w:t>
      </w:r>
      <w:r w:rsidR="009B3090"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However, Tabatabei et al</w:t>
      </w:r>
      <w:r w:rsidR="00F61711">
        <w:rPr>
          <w:rFonts w:ascii="Times New Roman" w:hAnsi="Times New Roman" w:cs="Times New Roman"/>
          <w:sz w:val="20"/>
          <w:szCs w:val="20"/>
        </w:rPr>
        <w:t xml:space="preserve"> (</w:t>
      </w:r>
      <w:r w:rsidRPr="00F86AFE">
        <w:rPr>
          <w:rFonts w:ascii="Times New Roman" w:hAnsi="Times New Roman" w:cs="Times New Roman"/>
          <w:sz w:val="20"/>
          <w:szCs w:val="20"/>
        </w:rPr>
        <w:t>2019</w:t>
      </w:r>
      <w:r w:rsidR="00F61711">
        <w:rPr>
          <w:rFonts w:ascii="Times New Roman" w:hAnsi="Times New Roman" w:cs="Times New Roman"/>
          <w:sz w:val="20"/>
          <w:szCs w:val="20"/>
        </w:rPr>
        <w:t>)</w:t>
      </w:r>
      <w:r w:rsidRPr="00F86AFE">
        <w:rPr>
          <w:rFonts w:ascii="Times New Roman" w:hAnsi="Times New Roman" w:cs="Times New Roman"/>
          <w:sz w:val="20"/>
          <w:szCs w:val="20"/>
        </w:rPr>
        <w:t xml:space="preserve"> showed no significant difference between prevalence of mBCR-ABL1 and age, gender, and ethnicity in children with ALL due to low positive population</w:t>
      </w:r>
      <w:r w:rsidR="006C6D97" w:rsidRPr="00F86AFE">
        <w:rPr>
          <w:rFonts w:ascii="Times New Roman" w:hAnsi="Times New Roman" w:cs="Times New Roman"/>
          <w:sz w:val="20"/>
          <w:szCs w:val="20"/>
        </w:rPr>
        <w:t xml:space="preserve"> </w:t>
      </w:r>
      <w:r w:rsidR="000B0E95" w:rsidRPr="00F86AFE">
        <w:rPr>
          <w:rFonts w:ascii="Times New Roman" w:hAnsi="Times New Roman" w:cs="Times New Roman"/>
          <w:bCs/>
          <w:sz w:val="20"/>
          <w:szCs w:val="20"/>
        </w:rPr>
        <w:t>(21</w:t>
      </w:r>
      <w:r w:rsidR="006C6D97" w:rsidRPr="00F86AFE">
        <w:rPr>
          <w:rFonts w:ascii="Times New Roman" w:hAnsi="Times New Roman" w:cs="Times New Roman"/>
          <w:bCs/>
          <w:sz w:val="20"/>
          <w:szCs w:val="20"/>
        </w:rPr>
        <w:t>)</w:t>
      </w:r>
      <w:r w:rsidRPr="00F86AFE">
        <w:rPr>
          <w:rFonts w:ascii="Times New Roman" w:hAnsi="Times New Roman" w:cs="Times New Roman"/>
          <w:bCs/>
          <w:sz w:val="20"/>
          <w:szCs w:val="20"/>
        </w:rPr>
        <w:t xml:space="preserve">. </w:t>
      </w:r>
      <w:r w:rsidRPr="00F86AFE">
        <w:rPr>
          <w:rFonts w:ascii="Times New Roman" w:hAnsi="Times New Roman" w:cs="Times New Roman"/>
          <w:sz w:val="20"/>
          <w:szCs w:val="20"/>
        </w:rPr>
        <w:t xml:space="preserve">Present results and previous observations suggest increased incidence of </w:t>
      </w:r>
      <w:r w:rsidR="006D0C5A" w:rsidRPr="00F86AFE">
        <w:rPr>
          <w:rFonts w:ascii="Times New Roman" w:hAnsi="Times New Roman" w:cs="Times New Roman"/>
          <w:sz w:val="20"/>
          <w:szCs w:val="20"/>
        </w:rPr>
        <w:t>haematological malignancies in males and younger patients</w:t>
      </w:r>
      <w:r w:rsidRPr="00F86AFE">
        <w:rPr>
          <w:rFonts w:ascii="Times New Roman" w:hAnsi="Times New Roman" w:cs="Times New Roman"/>
          <w:sz w:val="20"/>
          <w:szCs w:val="20"/>
        </w:rPr>
        <w:t xml:space="preserve"> might be influenced by changing life-style factors as well </w:t>
      </w:r>
      <w:r w:rsidR="006C6D97" w:rsidRPr="00F86AFE">
        <w:rPr>
          <w:rFonts w:ascii="Times New Roman" w:hAnsi="Times New Roman" w:cs="Times New Roman"/>
          <w:sz w:val="20"/>
          <w:szCs w:val="20"/>
        </w:rPr>
        <w:t>as deformities at genetic level (2</w:t>
      </w:r>
      <w:r w:rsidR="000B0E95" w:rsidRPr="00F86AFE">
        <w:rPr>
          <w:rFonts w:ascii="Times New Roman" w:hAnsi="Times New Roman" w:cs="Times New Roman"/>
          <w:sz w:val="20"/>
          <w:szCs w:val="20"/>
        </w:rPr>
        <w:t>2</w:t>
      </w:r>
      <w:r w:rsidR="006C6D97" w:rsidRPr="00F86AFE">
        <w:rPr>
          <w:rFonts w:ascii="Times New Roman" w:hAnsi="Times New Roman" w:cs="Times New Roman"/>
          <w:sz w:val="20"/>
          <w:szCs w:val="20"/>
        </w:rPr>
        <w:t>).</w:t>
      </w:r>
      <w:r w:rsidRPr="00F86AFE">
        <w:rPr>
          <w:rFonts w:ascii="Times New Roman" w:hAnsi="Times New Roman" w:cs="Times New Roman"/>
          <w:sz w:val="20"/>
          <w:szCs w:val="20"/>
        </w:rPr>
        <w:t xml:space="preserve"> </w:t>
      </w:r>
    </w:p>
    <w:p w14:paraId="5605423B" w14:textId="77777777" w:rsidR="00C33590" w:rsidRPr="00F86AFE" w:rsidRDefault="00C33590" w:rsidP="00C33590">
      <w:pPr>
        <w:spacing w:after="0" w:line="276" w:lineRule="auto"/>
        <w:jc w:val="both"/>
        <w:rPr>
          <w:rFonts w:ascii="Times New Roman" w:hAnsi="Times New Roman" w:cs="Times New Roman"/>
          <w:b/>
          <w:bCs/>
          <w:sz w:val="20"/>
          <w:szCs w:val="20"/>
        </w:rPr>
      </w:pPr>
    </w:p>
    <w:p w14:paraId="22CAC427" w14:textId="74CDD305" w:rsidR="00C33590" w:rsidRPr="00F86AFE" w:rsidRDefault="00C33590" w:rsidP="00C33590">
      <w:pPr>
        <w:spacing w:after="0" w:line="276" w:lineRule="auto"/>
        <w:jc w:val="both"/>
        <w:rPr>
          <w:rFonts w:ascii="Times New Roman" w:hAnsi="Times New Roman" w:cs="Times New Roman"/>
          <w:sz w:val="20"/>
          <w:szCs w:val="20"/>
        </w:rPr>
      </w:pPr>
      <w:r w:rsidRPr="00F86AFE">
        <w:rPr>
          <w:rFonts w:ascii="Times New Roman" w:hAnsi="Times New Roman" w:cs="Times New Roman"/>
          <w:sz w:val="20"/>
          <w:szCs w:val="20"/>
        </w:rPr>
        <w:t>Present study divided B-ALL patients into 3 subgroups: P</w:t>
      </w:r>
      <w:r w:rsidR="006D0C5A" w:rsidRPr="00F86AFE">
        <w:rPr>
          <w:rFonts w:ascii="Times New Roman" w:hAnsi="Times New Roman" w:cs="Times New Roman"/>
          <w:sz w:val="20"/>
          <w:szCs w:val="20"/>
        </w:rPr>
        <w:t>T, TNR and TR. O</w:t>
      </w:r>
      <w:r w:rsidRPr="00F86AFE">
        <w:rPr>
          <w:rFonts w:ascii="Times New Roman" w:hAnsi="Times New Roman" w:cs="Times New Roman"/>
          <w:sz w:val="20"/>
          <w:szCs w:val="20"/>
        </w:rPr>
        <w:t>n examining the fusion copies and %NCN of mBCR-ABL1 among the three groups, the TNR</w:t>
      </w:r>
      <w:r w:rsidR="006D0C5A" w:rsidRPr="00F86AFE">
        <w:rPr>
          <w:rFonts w:ascii="Times New Roman" w:hAnsi="Times New Roman" w:cs="Times New Roman"/>
          <w:sz w:val="20"/>
          <w:szCs w:val="20"/>
        </w:rPr>
        <w:t xml:space="preserve"> subgroups</w:t>
      </w:r>
      <w:r w:rsidRPr="00F86AFE">
        <w:rPr>
          <w:rFonts w:ascii="Times New Roman" w:hAnsi="Times New Roman" w:cs="Times New Roman"/>
          <w:sz w:val="20"/>
          <w:szCs w:val="20"/>
        </w:rPr>
        <w:t xml:space="preserve"> exhibits the highest levels in both measures with averages of 1195146.09 fusion copies and 35.946 </w:t>
      </w:r>
      <w:r w:rsidR="00E43669" w:rsidRPr="00F86AFE">
        <w:rPr>
          <w:rFonts w:ascii="Times New Roman" w:hAnsi="Times New Roman" w:cs="Times New Roman"/>
          <w:sz w:val="20"/>
          <w:szCs w:val="20"/>
        </w:rPr>
        <w:t>%</w:t>
      </w:r>
      <w:r w:rsidRPr="00F86AFE">
        <w:rPr>
          <w:rFonts w:ascii="Times New Roman" w:hAnsi="Times New Roman" w:cs="Times New Roman"/>
          <w:sz w:val="20"/>
          <w:szCs w:val="20"/>
        </w:rPr>
        <w:t xml:space="preserve">NCN. This was followed by the PT group with averages of 1157422.57 fusion copies and 11.968 %. NCN. The TR group exhibits the lowest levels of both factors with averages of 399.4 fusion copies and 0.053 %NCN, suggesting decrease in mBCR-ABL1 copies due to treatment response. </w:t>
      </w:r>
    </w:p>
    <w:p w14:paraId="57D3C32A" w14:textId="77777777" w:rsidR="00C33590" w:rsidRPr="00F86AFE" w:rsidRDefault="00C33590" w:rsidP="00C33590">
      <w:pPr>
        <w:spacing w:after="0" w:line="276" w:lineRule="auto"/>
        <w:jc w:val="both"/>
        <w:rPr>
          <w:rFonts w:ascii="Times New Roman" w:hAnsi="Times New Roman" w:cs="Times New Roman"/>
          <w:sz w:val="20"/>
          <w:szCs w:val="20"/>
        </w:rPr>
      </w:pPr>
    </w:p>
    <w:p w14:paraId="71F30888" w14:textId="56087AEB" w:rsidR="00C33590" w:rsidRPr="00F86AFE" w:rsidRDefault="00C33590" w:rsidP="00C33590">
      <w:pPr>
        <w:spacing w:after="0" w:line="276" w:lineRule="auto"/>
        <w:jc w:val="both"/>
        <w:rPr>
          <w:rFonts w:ascii="Times New Roman" w:hAnsi="Times New Roman" w:cs="Times New Roman"/>
          <w:sz w:val="20"/>
          <w:szCs w:val="20"/>
        </w:rPr>
      </w:pPr>
      <w:r w:rsidRPr="00F86AFE">
        <w:rPr>
          <w:rFonts w:ascii="Times New Roman" w:hAnsi="Times New Roman" w:cs="Times New Roman"/>
          <w:bCs/>
          <w:sz w:val="20"/>
          <w:szCs w:val="20"/>
        </w:rPr>
        <w:t xml:space="preserve">Further, correlation of various </w:t>
      </w:r>
      <w:r w:rsidR="00F06BFB" w:rsidRPr="00F86AFE">
        <w:rPr>
          <w:rFonts w:ascii="Times New Roman" w:hAnsi="Times New Roman" w:cs="Times New Roman"/>
          <w:bCs/>
          <w:sz w:val="20"/>
          <w:szCs w:val="20"/>
        </w:rPr>
        <w:t>haematological</w:t>
      </w:r>
      <w:r w:rsidRPr="00F86AFE">
        <w:rPr>
          <w:rFonts w:ascii="Times New Roman" w:hAnsi="Times New Roman" w:cs="Times New Roman"/>
          <w:bCs/>
          <w:sz w:val="20"/>
          <w:szCs w:val="20"/>
        </w:rPr>
        <w:t xml:space="preserve"> parameters</w:t>
      </w:r>
      <w:r w:rsidRPr="00F86AFE">
        <w:rPr>
          <w:rFonts w:ascii="Times New Roman" w:hAnsi="Times New Roman" w:cs="Times New Roman"/>
          <w:iCs/>
          <w:sz w:val="20"/>
          <w:szCs w:val="20"/>
        </w:rPr>
        <w:t xml:space="preserve"> among PT, TNR and TR groups was performed. PT had significantly higher WBC counts (p&lt;0.001) and lower platelet counts (p&lt;0.001) than TNR and TR groups. In accordance</w:t>
      </w:r>
      <w:r w:rsidR="00E43669" w:rsidRPr="00F86AFE">
        <w:rPr>
          <w:rFonts w:ascii="Times New Roman" w:hAnsi="Times New Roman" w:cs="Times New Roman"/>
          <w:iCs/>
          <w:sz w:val="20"/>
          <w:szCs w:val="20"/>
        </w:rPr>
        <w:t xml:space="preserve"> to this</w:t>
      </w:r>
      <w:r w:rsidRPr="00F86AFE">
        <w:rPr>
          <w:rFonts w:ascii="Times New Roman" w:hAnsi="Times New Roman" w:cs="Times New Roman"/>
          <w:iCs/>
          <w:sz w:val="20"/>
          <w:szCs w:val="20"/>
        </w:rPr>
        <w:t xml:space="preserve">, </w:t>
      </w:r>
      <w:r w:rsidRPr="00F86AFE">
        <w:rPr>
          <w:rFonts w:ascii="Times New Roman" w:hAnsi="Times New Roman" w:cs="Times New Roman"/>
          <w:sz w:val="20"/>
          <w:szCs w:val="20"/>
        </w:rPr>
        <w:t>high WBC counts and low platelet counts showed a trend towards poor survival in adult ALL patients</w:t>
      </w:r>
      <w:r w:rsidRPr="00F86AFE">
        <w:rPr>
          <w:rFonts w:ascii="Times New Roman" w:hAnsi="Times New Roman" w:cs="Times New Roman"/>
          <w:iCs/>
          <w:sz w:val="20"/>
          <w:szCs w:val="20"/>
        </w:rPr>
        <w:t xml:space="preserve"> </w:t>
      </w:r>
      <w:r w:rsidRPr="00F86AFE">
        <w:rPr>
          <w:rFonts w:ascii="Times New Roman" w:hAnsi="Times New Roman" w:cs="Times New Roman"/>
          <w:bCs/>
          <w:iCs/>
          <w:sz w:val="20"/>
          <w:szCs w:val="20"/>
        </w:rPr>
        <w:t>(</w:t>
      </w:r>
      <w:r w:rsidR="000B0E95" w:rsidRPr="00F86AFE">
        <w:rPr>
          <w:rFonts w:ascii="Times New Roman" w:hAnsi="Times New Roman" w:cs="Times New Roman"/>
          <w:bCs/>
          <w:iCs/>
          <w:sz w:val="20"/>
          <w:szCs w:val="20"/>
        </w:rPr>
        <w:t>23</w:t>
      </w:r>
      <w:r w:rsidRPr="00F86AFE">
        <w:rPr>
          <w:rFonts w:ascii="Times New Roman" w:hAnsi="Times New Roman" w:cs="Times New Roman"/>
          <w:bCs/>
          <w:iCs/>
          <w:sz w:val="20"/>
          <w:szCs w:val="20"/>
        </w:rPr>
        <w:t>).</w:t>
      </w:r>
      <w:r w:rsidRPr="00F86AFE">
        <w:rPr>
          <w:rFonts w:ascii="Times New Roman" w:hAnsi="Times New Roman" w:cs="Times New Roman"/>
          <w:iCs/>
          <w:sz w:val="20"/>
          <w:szCs w:val="20"/>
        </w:rPr>
        <w:t xml:space="preserve"> </w:t>
      </w:r>
      <w:r w:rsidRPr="00F86AFE">
        <w:rPr>
          <w:rFonts w:ascii="Times New Roman" w:hAnsi="Times New Roman" w:cs="Times New Roman"/>
          <w:sz w:val="20"/>
          <w:szCs w:val="20"/>
        </w:rPr>
        <w:t>Seenaa et al (2015) described that leukemic cells associated with lack of normal blood growth results in the lack of normal WBC (increasing the risk of infection), the lack of RBC (resulting in fatigue, weakness, and anemia-low Hb and PCV) and also the lack of normal platelet production (increasing the risk of bleeding)</w:t>
      </w:r>
      <w:r w:rsidR="002E5956" w:rsidRPr="00F86AFE">
        <w:rPr>
          <w:rFonts w:ascii="Times New Roman" w:hAnsi="Times New Roman" w:cs="Times New Roman"/>
          <w:sz w:val="20"/>
          <w:szCs w:val="20"/>
        </w:rPr>
        <w:t xml:space="preserve"> </w:t>
      </w:r>
      <w:r w:rsidR="000B0E95" w:rsidRPr="00F86AFE">
        <w:rPr>
          <w:rFonts w:ascii="Times New Roman" w:hAnsi="Times New Roman" w:cs="Times New Roman"/>
          <w:bCs/>
          <w:sz w:val="20"/>
          <w:szCs w:val="20"/>
        </w:rPr>
        <w:t>(24</w:t>
      </w:r>
      <w:r w:rsidR="002E5956"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Additionally, present results revealed that TR with abnormal WBC counts and platelet counts had lower levels for average mBCR-ABL1 fusion copies and %NCN. Previous study demonstrated significantly higher median WBC counts in</w:t>
      </w:r>
      <w:r w:rsidRPr="00F86AFE">
        <w:rPr>
          <w:rFonts w:ascii="Times New Roman" w:hAnsi="Times New Roman" w:cs="Times New Roman"/>
          <w:iCs/>
          <w:sz w:val="20"/>
          <w:szCs w:val="20"/>
        </w:rPr>
        <w:t xml:space="preserve"> </w:t>
      </w:r>
      <w:r w:rsidR="00D83E28" w:rsidRPr="00F86AFE">
        <w:rPr>
          <w:rFonts w:ascii="Times New Roman" w:hAnsi="Times New Roman" w:cs="Times New Roman"/>
          <w:sz w:val="20"/>
          <w:szCs w:val="20"/>
        </w:rPr>
        <w:t xml:space="preserve">BCR-ABL positive </w:t>
      </w:r>
      <w:r w:rsidRPr="00F86AFE">
        <w:rPr>
          <w:rFonts w:ascii="Times New Roman" w:hAnsi="Times New Roman" w:cs="Times New Roman"/>
          <w:sz w:val="20"/>
          <w:szCs w:val="20"/>
        </w:rPr>
        <w:t>ALL patients as compared to BCR-ABL1</w:t>
      </w:r>
      <w:r w:rsidR="00D83E28" w:rsidRPr="00F86AFE">
        <w:rPr>
          <w:rFonts w:ascii="Times New Roman" w:hAnsi="Times New Roman" w:cs="Times New Roman"/>
          <w:sz w:val="20"/>
          <w:szCs w:val="20"/>
        </w:rPr>
        <w:t>negative</w:t>
      </w:r>
      <w:r w:rsidRPr="00F86AFE">
        <w:rPr>
          <w:rFonts w:ascii="Times New Roman" w:hAnsi="Times New Roman" w:cs="Times New Roman"/>
          <w:sz w:val="20"/>
          <w:szCs w:val="20"/>
        </w:rPr>
        <w:t xml:space="preserve"> patients (96 000/mL </w:t>
      </w:r>
      <w:r w:rsidR="00D14A3B" w:rsidRPr="00F86AFE">
        <w:rPr>
          <w:rFonts w:ascii="Times New Roman" w:hAnsi="Times New Roman" w:cs="Times New Roman"/>
          <w:sz w:val="20"/>
          <w:szCs w:val="20"/>
        </w:rPr>
        <w:t>vs.</w:t>
      </w:r>
      <w:r w:rsidRPr="00F86AFE">
        <w:rPr>
          <w:rFonts w:ascii="Times New Roman" w:hAnsi="Times New Roman" w:cs="Times New Roman"/>
          <w:sz w:val="20"/>
          <w:szCs w:val="20"/>
        </w:rPr>
        <w:t xml:space="preserve"> 23 000//mL, P = 0.002). Additionally, complete remission was reported in 74% BCR-ABL1</w:t>
      </w:r>
      <w:r w:rsidR="00D83E28" w:rsidRPr="00F86AFE">
        <w:rPr>
          <w:rFonts w:ascii="Times New Roman" w:hAnsi="Times New Roman" w:cs="Times New Roman"/>
          <w:sz w:val="20"/>
          <w:szCs w:val="20"/>
        </w:rPr>
        <w:t>negative</w:t>
      </w:r>
      <w:r w:rsidRPr="00F86AFE">
        <w:rPr>
          <w:rFonts w:ascii="Times New Roman" w:hAnsi="Times New Roman" w:cs="Times New Roman"/>
          <w:sz w:val="20"/>
          <w:szCs w:val="20"/>
        </w:rPr>
        <w:t xml:space="preserve"> patients and 35% BCR-ABL1</w:t>
      </w:r>
      <w:r w:rsidR="00D83E28" w:rsidRPr="00F86AFE">
        <w:rPr>
          <w:rFonts w:ascii="Times New Roman" w:hAnsi="Times New Roman" w:cs="Times New Roman"/>
          <w:sz w:val="20"/>
          <w:szCs w:val="20"/>
        </w:rPr>
        <w:t xml:space="preserve"> positive</w:t>
      </w:r>
      <w:r w:rsidRPr="00F86AFE">
        <w:rPr>
          <w:rFonts w:ascii="Times New Roman" w:hAnsi="Times New Roman" w:cs="Times New Roman"/>
          <w:sz w:val="20"/>
          <w:szCs w:val="20"/>
        </w:rPr>
        <w:t xml:space="preserve"> patients (P = 0.001) </w:t>
      </w:r>
      <w:r w:rsidR="00B411FF" w:rsidRPr="00F86AFE">
        <w:rPr>
          <w:rFonts w:ascii="Times New Roman" w:hAnsi="Times New Roman" w:cs="Times New Roman"/>
          <w:sz w:val="20"/>
          <w:szCs w:val="20"/>
        </w:rPr>
        <w:t>(</w:t>
      </w:r>
      <w:r w:rsidR="000B0E95" w:rsidRPr="00F86AFE">
        <w:rPr>
          <w:rFonts w:ascii="Times New Roman" w:hAnsi="Times New Roman" w:cs="Times New Roman"/>
          <w:sz w:val="20"/>
          <w:szCs w:val="20"/>
        </w:rPr>
        <w:t>20</w:t>
      </w:r>
      <w:r w:rsidR="00B411FF" w:rsidRPr="00F86AFE">
        <w:rPr>
          <w:rFonts w:ascii="Times New Roman" w:hAnsi="Times New Roman" w:cs="Times New Roman"/>
          <w:sz w:val="20"/>
          <w:szCs w:val="20"/>
        </w:rPr>
        <w:t>)</w:t>
      </w:r>
      <w:r w:rsidRPr="00F86AFE">
        <w:rPr>
          <w:rFonts w:ascii="Times New Roman" w:hAnsi="Times New Roman" w:cs="Times New Roman"/>
          <w:sz w:val="20"/>
          <w:szCs w:val="20"/>
        </w:rPr>
        <w:t xml:space="preserve">. </w:t>
      </w:r>
      <w:r w:rsidRPr="00F86AFE">
        <w:rPr>
          <w:rFonts w:ascii="Times New Roman" w:hAnsi="Times New Roman" w:cs="Times New Roman"/>
          <w:iCs/>
          <w:sz w:val="20"/>
          <w:szCs w:val="20"/>
        </w:rPr>
        <w:t xml:space="preserve">These results suggest that </w:t>
      </w:r>
      <w:r w:rsidRPr="00F86AFE">
        <w:rPr>
          <w:rFonts w:ascii="Times New Roman" w:hAnsi="Times New Roman" w:cs="Times New Roman"/>
          <w:sz w:val="20"/>
          <w:szCs w:val="20"/>
        </w:rPr>
        <w:t>mBCR-ABL1 transcript can be used as a marker for determining the diagnosis and prognosis of ALL patients. However, further studies with large cohort are required for a definite conclusion.</w:t>
      </w:r>
    </w:p>
    <w:p w14:paraId="139B474A" w14:textId="77777777" w:rsidR="00C33590" w:rsidRPr="00F86AFE" w:rsidRDefault="00C33590" w:rsidP="00C33590">
      <w:pPr>
        <w:spacing w:after="0" w:line="276" w:lineRule="auto"/>
        <w:jc w:val="both"/>
        <w:rPr>
          <w:rFonts w:ascii="Times New Roman" w:hAnsi="Times New Roman" w:cs="Times New Roman"/>
          <w:iCs/>
          <w:sz w:val="20"/>
          <w:szCs w:val="20"/>
        </w:rPr>
      </w:pPr>
    </w:p>
    <w:p w14:paraId="470A9B5A" w14:textId="0E94D664" w:rsidR="00C33590" w:rsidRPr="00F86AFE" w:rsidRDefault="00C33590" w:rsidP="00C33590">
      <w:pPr>
        <w:spacing w:after="0" w:line="276" w:lineRule="auto"/>
        <w:jc w:val="both"/>
        <w:rPr>
          <w:rFonts w:ascii="Times New Roman" w:hAnsi="Times New Roman" w:cs="Times New Roman"/>
          <w:sz w:val="20"/>
          <w:szCs w:val="20"/>
        </w:rPr>
      </w:pPr>
      <w:r w:rsidRPr="00F86AFE">
        <w:rPr>
          <w:rFonts w:ascii="Times New Roman" w:hAnsi="Times New Roman" w:cs="Times New Roman"/>
          <w:sz w:val="20"/>
          <w:szCs w:val="20"/>
        </w:rPr>
        <w:t xml:space="preserve">LDH is </w:t>
      </w:r>
      <w:r w:rsidR="006706B1" w:rsidRPr="00F86AFE">
        <w:rPr>
          <w:rFonts w:ascii="Times New Roman" w:hAnsi="Times New Roman" w:cs="Times New Roman"/>
          <w:sz w:val="20"/>
          <w:szCs w:val="20"/>
        </w:rPr>
        <w:t xml:space="preserve">one of </w:t>
      </w:r>
      <w:r w:rsidRPr="00F86AFE">
        <w:rPr>
          <w:rFonts w:ascii="Times New Roman" w:hAnsi="Times New Roman" w:cs="Times New Roman"/>
          <w:sz w:val="20"/>
          <w:szCs w:val="20"/>
        </w:rPr>
        <w:t xml:space="preserve">the most common </w:t>
      </w:r>
      <w:r w:rsidR="00C51ACC" w:rsidRPr="00F86AFE">
        <w:rPr>
          <w:rFonts w:ascii="Times New Roman" w:hAnsi="Times New Roman" w:cs="Times New Roman"/>
          <w:sz w:val="20"/>
          <w:szCs w:val="20"/>
        </w:rPr>
        <w:t>prognostic indicator</w:t>
      </w:r>
      <w:r w:rsidRPr="00F86AFE">
        <w:rPr>
          <w:rFonts w:ascii="Times New Roman" w:hAnsi="Times New Roman" w:cs="Times New Roman"/>
          <w:sz w:val="20"/>
          <w:szCs w:val="20"/>
        </w:rPr>
        <w:t xml:space="preserve"> in cancer patients</w:t>
      </w:r>
      <w:r w:rsidR="00B77BC0" w:rsidRPr="00F86AFE">
        <w:rPr>
          <w:rFonts w:ascii="Times New Roman" w:hAnsi="Times New Roman" w:cs="Times New Roman"/>
          <w:sz w:val="20"/>
          <w:szCs w:val="20"/>
        </w:rPr>
        <w:t xml:space="preserve">. </w:t>
      </w:r>
      <w:r w:rsidRPr="00F86AFE">
        <w:rPr>
          <w:rFonts w:ascii="Times New Roman" w:hAnsi="Times New Roman" w:cs="Times New Roman"/>
          <w:sz w:val="20"/>
          <w:szCs w:val="20"/>
        </w:rPr>
        <w:t>It has an important role in germ cell tumors and in association with chorionic gonadotropin, can predict response to therapy and the prospects of remission</w:t>
      </w:r>
      <w:r w:rsidR="00B77BC0" w:rsidRPr="00F86AFE">
        <w:rPr>
          <w:rFonts w:ascii="Times New Roman" w:hAnsi="Times New Roman" w:cs="Times New Roman"/>
          <w:sz w:val="20"/>
          <w:szCs w:val="20"/>
        </w:rPr>
        <w:t xml:space="preserve">. </w:t>
      </w:r>
      <w:r w:rsidRPr="00F86AFE">
        <w:rPr>
          <w:rFonts w:ascii="Times New Roman" w:hAnsi="Times New Roman" w:cs="Times New Roman"/>
          <w:sz w:val="20"/>
          <w:szCs w:val="20"/>
        </w:rPr>
        <w:t>It is also a valuable prognostic marker in lymphoma, leukemia, and in colonic cancer</w:t>
      </w:r>
      <w:r w:rsidR="00B77BC0" w:rsidRPr="00F86AFE">
        <w:rPr>
          <w:rFonts w:ascii="Times New Roman" w:hAnsi="Times New Roman" w:cs="Times New Roman"/>
          <w:sz w:val="20"/>
          <w:szCs w:val="20"/>
        </w:rPr>
        <w:t xml:space="preserve"> </w:t>
      </w:r>
      <w:r w:rsidR="00B77BC0" w:rsidRPr="00F86AFE">
        <w:rPr>
          <w:rFonts w:ascii="Times New Roman" w:hAnsi="Times New Roman" w:cs="Times New Roman"/>
          <w:bCs/>
          <w:sz w:val="20"/>
          <w:szCs w:val="20"/>
        </w:rPr>
        <w:t>(2</w:t>
      </w:r>
      <w:r w:rsidR="000B0E95" w:rsidRPr="00F86AFE">
        <w:rPr>
          <w:rFonts w:ascii="Times New Roman" w:hAnsi="Times New Roman" w:cs="Times New Roman"/>
          <w:bCs/>
          <w:sz w:val="20"/>
          <w:szCs w:val="20"/>
        </w:rPr>
        <w:t>5</w:t>
      </w:r>
      <w:r w:rsidR="00B77BC0"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b/>
          <w:sz w:val="20"/>
          <w:szCs w:val="20"/>
        </w:rPr>
        <w:t xml:space="preserve"> </w:t>
      </w:r>
      <w:r w:rsidRPr="00F86AFE">
        <w:rPr>
          <w:rFonts w:ascii="Times New Roman" w:hAnsi="Times New Roman" w:cs="Times New Roman"/>
          <w:sz w:val="20"/>
          <w:szCs w:val="20"/>
        </w:rPr>
        <w:t xml:space="preserve">Hence, present study investigated LDH levels in the 3 subgroups of B-ALL patients. When mean LDH levels were compared, it was found to be significantly higher in PT patients compared to TNR and TR (P=0.008). Higher LDH levels in pre-treated patients demonstrates increased cellular LDH activity in ALL when they are untretaed, which reflects a shift towards anaerobic metabolism and increased glycolysis in the cytoplasm of malignant cells accompanied by high cellular turnover rate </w:t>
      </w:r>
      <w:r w:rsidR="00B77BC0" w:rsidRPr="00F86AFE">
        <w:rPr>
          <w:rFonts w:ascii="Times New Roman" w:hAnsi="Times New Roman" w:cs="Times New Roman"/>
          <w:bCs/>
          <w:sz w:val="20"/>
          <w:szCs w:val="20"/>
        </w:rPr>
        <w:t>(2</w:t>
      </w:r>
      <w:r w:rsidR="000B0E95" w:rsidRPr="00F86AFE">
        <w:rPr>
          <w:rFonts w:ascii="Times New Roman" w:hAnsi="Times New Roman" w:cs="Times New Roman"/>
          <w:bCs/>
          <w:sz w:val="20"/>
          <w:szCs w:val="20"/>
        </w:rPr>
        <w:t>6</w:t>
      </w:r>
      <w:r w:rsidR="00B77BC0"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In accordance with present study, elevated LDH</w:t>
      </w:r>
      <w:r w:rsidRPr="00F86AFE">
        <w:rPr>
          <w:rFonts w:ascii="Times New Roman" w:hAnsi="Times New Roman" w:cs="Times New Roman"/>
          <w:b/>
          <w:bCs/>
          <w:sz w:val="20"/>
          <w:szCs w:val="20"/>
        </w:rPr>
        <w:t xml:space="preserve"> </w:t>
      </w:r>
      <w:r w:rsidRPr="00F86AFE">
        <w:rPr>
          <w:rFonts w:ascii="Times New Roman" w:hAnsi="Times New Roman" w:cs="Times New Roman"/>
          <w:sz w:val="20"/>
          <w:szCs w:val="20"/>
        </w:rPr>
        <w:t xml:space="preserve">was found in patients with ALL and related with increased cell proliferation and turnover. Further, ALL patients had a significant increase (P&lt;0.0001) in level activity of LDH (721.3±329.3 U/L, ALL patients versus 177± 17 U/L controls) compared to healthy </w:t>
      </w:r>
      <w:r w:rsidR="004B7593" w:rsidRPr="00F86AFE">
        <w:rPr>
          <w:rFonts w:ascii="Times New Roman" w:hAnsi="Times New Roman" w:cs="Times New Roman"/>
          <w:sz w:val="20"/>
          <w:szCs w:val="20"/>
        </w:rPr>
        <w:t xml:space="preserve">children </w:t>
      </w:r>
      <w:r w:rsidR="004B7593" w:rsidRPr="00F86AFE">
        <w:rPr>
          <w:rFonts w:ascii="Times New Roman" w:hAnsi="Times New Roman" w:cs="Times New Roman"/>
          <w:bCs/>
          <w:sz w:val="20"/>
          <w:szCs w:val="20"/>
        </w:rPr>
        <w:t>(</w:t>
      </w:r>
      <w:r w:rsidR="000B0E95" w:rsidRPr="00F86AFE">
        <w:rPr>
          <w:rFonts w:ascii="Times New Roman" w:hAnsi="Times New Roman" w:cs="Times New Roman"/>
          <w:bCs/>
          <w:sz w:val="20"/>
          <w:szCs w:val="20"/>
        </w:rPr>
        <w:t>27</w:t>
      </w:r>
      <w:r w:rsidR="00B77BC0"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w:t>
      </w:r>
    </w:p>
    <w:p w14:paraId="7CF6B1BF" w14:textId="77777777" w:rsidR="00C33590" w:rsidRPr="004B7593" w:rsidRDefault="00C33590" w:rsidP="00C33590">
      <w:pPr>
        <w:spacing w:after="0" w:line="276" w:lineRule="auto"/>
        <w:jc w:val="both"/>
        <w:rPr>
          <w:rFonts w:ascii="Times New Roman" w:hAnsi="Times New Roman" w:cs="Times New Roman"/>
          <w:sz w:val="24"/>
          <w:szCs w:val="24"/>
        </w:rPr>
      </w:pPr>
    </w:p>
    <w:p w14:paraId="1F0DD55D" w14:textId="137CD82E" w:rsidR="00C33590" w:rsidRPr="00F86AFE" w:rsidRDefault="00C33590" w:rsidP="00C33590">
      <w:pPr>
        <w:spacing w:after="0" w:line="276" w:lineRule="auto"/>
        <w:jc w:val="both"/>
        <w:rPr>
          <w:rFonts w:ascii="Times New Roman" w:hAnsi="Times New Roman" w:cs="Times New Roman"/>
          <w:sz w:val="20"/>
          <w:szCs w:val="20"/>
        </w:rPr>
      </w:pPr>
      <w:r w:rsidRPr="00F86AFE">
        <w:rPr>
          <w:rFonts w:ascii="Times New Roman" w:hAnsi="Times New Roman" w:cs="Times New Roman"/>
          <w:sz w:val="20"/>
          <w:szCs w:val="20"/>
        </w:rPr>
        <w:t xml:space="preserve">In addition, when LDH levels were associated with mBCR-ABL1 transcript levels among B-ALL subgroups, TNR group having abnormal LDH levels exhibited highest average fusion copies and %NCN followed by PT and TR group. On the other side, </w:t>
      </w:r>
      <w:r w:rsidR="00C51ACC" w:rsidRPr="00F86AFE">
        <w:rPr>
          <w:rFonts w:ascii="Times New Roman" w:hAnsi="Times New Roman" w:cs="Times New Roman"/>
          <w:sz w:val="20"/>
          <w:szCs w:val="20"/>
        </w:rPr>
        <w:t xml:space="preserve">TRs </w:t>
      </w:r>
      <w:r w:rsidRPr="00F86AFE">
        <w:rPr>
          <w:rFonts w:ascii="Times New Roman" w:hAnsi="Times New Roman" w:cs="Times New Roman"/>
          <w:sz w:val="20"/>
          <w:szCs w:val="20"/>
        </w:rPr>
        <w:t xml:space="preserve">had the lowest LDH levels and also had lower mBCR-ABL1 expression as compared to </w:t>
      </w:r>
      <w:r w:rsidR="00C51ACC" w:rsidRPr="00F86AFE">
        <w:rPr>
          <w:rFonts w:ascii="Times New Roman" w:hAnsi="Times New Roman" w:cs="Times New Roman"/>
          <w:sz w:val="20"/>
          <w:szCs w:val="20"/>
        </w:rPr>
        <w:t>TNRs</w:t>
      </w:r>
      <w:r w:rsidRPr="00F86AFE">
        <w:rPr>
          <w:rFonts w:ascii="Times New Roman" w:hAnsi="Times New Roman" w:cs="Times New Roman"/>
          <w:sz w:val="20"/>
          <w:szCs w:val="20"/>
        </w:rPr>
        <w:t xml:space="preserve"> and PT group. Hence, decreased LDH levels in TR </w:t>
      </w:r>
      <w:r w:rsidR="00C51ACC" w:rsidRPr="00F86AFE">
        <w:rPr>
          <w:rFonts w:ascii="Times New Roman" w:hAnsi="Times New Roman" w:cs="Times New Roman"/>
          <w:sz w:val="20"/>
          <w:szCs w:val="20"/>
        </w:rPr>
        <w:t>sub</w:t>
      </w:r>
      <w:r w:rsidRPr="00F86AFE">
        <w:rPr>
          <w:rFonts w:ascii="Times New Roman" w:hAnsi="Times New Roman" w:cs="Times New Roman"/>
          <w:sz w:val="20"/>
          <w:szCs w:val="20"/>
        </w:rPr>
        <w:t xml:space="preserve">group associated with treatment response. </w:t>
      </w:r>
    </w:p>
    <w:p w14:paraId="70BF16B1" w14:textId="77777777" w:rsidR="00C33590" w:rsidRPr="00F86AFE" w:rsidRDefault="00C33590" w:rsidP="00C33590">
      <w:pPr>
        <w:spacing w:after="0" w:line="276" w:lineRule="auto"/>
        <w:jc w:val="both"/>
        <w:rPr>
          <w:rFonts w:ascii="Times New Roman" w:hAnsi="Times New Roman" w:cs="Times New Roman"/>
          <w:sz w:val="20"/>
          <w:szCs w:val="20"/>
        </w:rPr>
      </w:pPr>
    </w:p>
    <w:p w14:paraId="6DD67032" w14:textId="6B93201D" w:rsidR="00C33590" w:rsidRPr="00F86AFE" w:rsidRDefault="00C33590" w:rsidP="00C33590">
      <w:pPr>
        <w:spacing w:after="0" w:line="276" w:lineRule="auto"/>
        <w:jc w:val="both"/>
        <w:rPr>
          <w:rFonts w:ascii="Times New Roman" w:hAnsi="Times New Roman" w:cs="Times New Roman"/>
          <w:sz w:val="20"/>
          <w:szCs w:val="20"/>
        </w:rPr>
      </w:pPr>
      <w:r w:rsidRPr="00F86AFE">
        <w:rPr>
          <w:rFonts w:ascii="Times New Roman" w:hAnsi="Times New Roman" w:cs="Times New Roman"/>
          <w:sz w:val="20"/>
          <w:szCs w:val="20"/>
        </w:rPr>
        <w:t xml:space="preserve">In accordance with present results, previous study described a significantly reduced level of LDH in ALL only after induction of chemotherapy </w:t>
      </w:r>
      <w:r w:rsidR="007E3EE5" w:rsidRPr="00F86AFE">
        <w:rPr>
          <w:rFonts w:ascii="Times New Roman" w:hAnsi="Times New Roman" w:cs="Times New Roman"/>
          <w:bCs/>
          <w:sz w:val="20"/>
          <w:szCs w:val="20"/>
        </w:rPr>
        <w:t>(</w:t>
      </w:r>
      <w:r w:rsidR="000B0E95" w:rsidRPr="00F86AFE">
        <w:rPr>
          <w:rFonts w:ascii="Times New Roman" w:hAnsi="Times New Roman" w:cs="Times New Roman"/>
          <w:bCs/>
          <w:sz w:val="20"/>
          <w:szCs w:val="20"/>
        </w:rPr>
        <w:t>28</w:t>
      </w:r>
      <w:r w:rsidR="005B50AA"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Moreover, recent report in childhood ALL showed that mean value of serum LDH was significantly lower at 29th days of induction of remission compared to the value before chemotherapy (432.40±310.52 U/L vs. 829.10±345.58 U/L, p&lt;0.05)</w:t>
      </w:r>
      <w:r w:rsidR="005B50AA" w:rsidRPr="00F86AFE">
        <w:rPr>
          <w:rFonts w:ascii="Times New Roman" w:hAnsi="Times New Roman" w:cs="Times New Roman"/>
          <w:sz w:val="20"/>
          <w:szCs w:val="20"/>
        </w:rPr>
        <w:t xml:space="preserve"> </w:t>
      </w:r>
      <w:r w:rsidR="005B50AA" w:rsidRPr="00F86AFE">
        <w:rPr>
          <w:rFonts w:ascii="Times New Roman" w:hAnsi="Times New Roman" w:cs="Times New Roman"/>
          <w:bCs/>
          <w:sz w:val="20"/>
          <w:szCs w:val="20"/>
        </w:rPr>
        <w:t>(</w:t>
      </w:r>
      <w:r w:rsidR="000B0E95" w:rsidRPr="00F86AFE">
        <w:rPr>
          <w:rFonts w:ascii="Times New Roman" w:hAnsi="Times New Roman" w:cs="Times New Roman"/>
          <w:bCs/>
          <w:sz w:val="20"/>
          <w:szCs w:val="20"/>
        </w:rPr>
        <w:t>29</w:t>
      </w:r>
      <w:r w:rsidR="005B50AA"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Hafiz et al (2007) reported that the level of serum LDH was significantly high in ALL cases than control (p&lt;0.001) on admission</w:t>
      </w:r>
      <w:r w:rsidR="005B50AA" w:rsidRPr="00F86AFE">
        <w:rPr>
          <w:rFonts w:ascii="Times New Roman" w:hAnsi="Times New Roman" w:cs="Times New Roman"/>
          <w:sz w:val="20"/>
          <w:szCs w:val="20"/>
        </w:rPr>
        <w:t xml:space="preserve"> (</w:t>
      </w:r>
      <w:r w:rsidR="000B0E95" w:rsidRPr="00F86AFE">
        <w:rPr>
          <w:rFonts w:ascii="Times New Roman" w:hAnsi="Times New Roman" w:cs="Times New Roman"/>
          <w:sz w:val="20"/>
          <w:szCs w:val="20"/>
        </w:rPr>
        <w:t>30</w:t>
      </w:r>
      <w:r w:rsidR="007E3EE5" w:rsidRPr="00F86AFE">
        <w:rPr>
          <w:rFonts w:ascii="Times New Roman" w:hAnsi="Times New Roman" w:cs="Times New Roman"/>
          <w:sz w:val="20"/>
          <w:szCs w:val="20"/>
        </w:rPr>
        <w:t>)</w:t>
      </w:r>
      <w:r w:rsidRPr="00F86AFE">
        <w:rPr>
          <w:rFonts w:ascii="Times New Roman" w:hAnsi="Times New Roman" w:cs="Times New Roman"/>
          <w:sz w:val="20"/>
          <w:szCs w:val="20"/>
        </w:rPr>
        <w:t>. Further, total WBC count was significantly decreased along with serum LDH level at day 14 and day 29 of induction (p&lt;0.001) and a significant rise of platelet count was observed at day 29 of induction in relation to significant decrease of serum LDH level (p&lt;0.001)</w:t>
      </w:r>
      <w:r w:rsidR="005B50AA" w:rsidRPr="00F86AFE">
        <w:rPr>
          <w:rFonts w:ascii="Times New Roman" w:hAnsi="Times New Roman" w:cs="Times New Roman"/>
          <w:sz w:val="20"/>
          <w:szCs w:val="20"/>
        </w:rPr>
        <w:t xml:space="preserve"> (3</w:t>
      </w:r>
      <w:r w:rsidR="000B0E95" w:rsidRPr="00F86AFE">
        <w:rPr>
          <w:rFonts w:ascii="Times New Roman" w:hAnsi="Times New Roman" w:cs="Times New Roman"/>
          <w:sz w:val="20"/>
          <w:szCs w:val="20"/>
        </w:rPr>
        <w:t>1</w:t>
      </w:r>
      <w:r w:rsidR="007E3EE5" w:rsidRPr="00F86AFE">
        <w:rPr>
          <w:rFonts w:ascii="Times New Roman" w:hAnsi="Times New Roman" w:cs="Times New Roman"/>
          <w:sz w:val="20"/>
          <w:szCs w:val="20"/>
        </w:rPr>
        <w:t>)</w:t>
      </w:r>
      <w:r w:rsidRPr="00F86AFE">
        <w:rPr>
          <w:rFonts w:ascii="Times New Roman" w:hAnsi="Times New Roman" w:cs="Times New Roman"/>
          <w:sz w:val="20"/>
          <w:szCs w:val="20"/>
        </w:rPr>
        <w:t>. Present study also found higher LDH levels in pre-treated patients. However, treatment responders had significantly lower WBC counts and higher platelet counts as well as decreased mean LDH levels. Thus, patient with highest LDH level (greater than 1000 U/l) is most likely to be non-responsive to treatment, whereas those with lowest level (less than 300 IU/l) have the minimum risk of failure of treatment</w:t>
      </w:r>
      <w:r w:rsidR="005B50AA" w:rsidRPr="00F86AFE">
        <w:rPr>
          <w:rFonts w:ascii="Times New Roman" w:hAnsi="Times New Roman" w:cs="Times New Roman"/>
          <w:sz w:val="20"/>
          <w:szCs w:val="20"/>
        </w:rPr>
        <w:t xml:space="preserve"> </w:t>
      </w:r>
      <w:r w:rsidR="000B0E95" w:rsidRPr="00F86AFE">
        <w:rPr>
          <w:rFonts w:ascii="Times New Roman" w:hAnsi="Times New Roman" w:cs="Times New Roman"/>
          <w:bCs/>
          <w:sz w:val="20"/>
          <w:szCs w:val="20"/>
        </w:rPr>
        <w:t>(32</w:t>
      </w:r>
      <w:r w:rsidR="004C7CCB" w:rsidRPr="00F86AFE">
        <w:rPr>
          <w:rFonts w:ascii="Times New Roman" w:hAnsi="Times New Roman" w:cs="Times New Roman"/>
          <w:bCs/>
          <w:sz w:val="20"/>
          <w:szCs w:val="20"/>
        </w:rPr>
        <w:t>)</w:t>
      </w:r>
      <w:r w:rsidRPr="00F86AFE">
        <w:rPr>
          <w:rFonts w:ascii="Times New Roman" w:hAnsi="Times New Roman" w:cs="Times New Roman"/>
          <w:bCs/>
          <w:sz w:val="20"/>
          <w:szCs w:val="20"/>
        </w:rPr>
        <w:t>.</w:t>
      </w:r>
      <w:r w:rsidRPr="00F86AFE">
        <w:rPr>
          <w:rFonts w:ascii="Times New Roman" w:hAnsi="Times New Roman" w:cs="Times New Roman"/>
          <w:sz w:val="20"/>
          <w:szCs w:val="20"/>
        </w:rPr>
        <w:t xml:space="preserve"> Following induction, serum LDH level decreases and when tumor growth resumes as the patient relapse from therapy serum LDH level rises again. Therefore, estimation of serum LDH may be helpful in evaluating the response to therapy. </w:t>
      </w:r>
      <w:r w:rsidR="00090D2C" w:rsidRPr="00F86AFE">
        <w:rPr>
          <w:rFonts w:ascii="Times New Roman" w:hAnsi="Times New Roman" w:cs="Times New Roman"/>
          <w:bCs/>
          <w:sz w:val="20"/>
          <w:szCs w:val="20"/>
        </w:rPr>
        <w:t>(3</w:t>
      </w:r>
      <w:r w:rsidR="000B0E95" w:rsidRPr="00F86AFE">
        <w:rPr>
          <w:rFonts w:ascii="Times New Roman" w:hAnsi="Times New Roman" w:cs="Times New Roman"/>
          <w:bCs/>
          <w:sz w:val="20"/>
          <w:szCs w:val="20"/>
        </w:rPr>
        <w:t>0</w:t>
      </w:r>
      <w:r w:rsidR="00090D2C" w:rsidRPr="00F86AFE">
        <w:rPr>
          <w:rFonts w:ascii="Times New Roman" w:hAnsi="Times New Roman" w:cs="Times New Roman"/>
          <w:bCs/>
          <w:sz w:val="20"/>
          <w:szCs w:val="20"/>
        </w:rPr>
        <w:t>)</w:t>
      </w:r>
      <w:r w:rsidRPr="00F86AFE">
        <w:rPr>
          <w:rFonts w:ascii="Times New Roman" w:hAnsi="Times New Roman" w:cs="Times New Roman"/>
          <w:bCs/>
          <w:sz w:val="20"/>
          <w:szCs w:val="20"/>
        </w:rPr>
        <w:t>.</w:t>
      </w:r>
    </w:p>
    <w:p w14:paraId="569B1D95" w14:textId="77777777" w:rsidR="00C33590" w:rsidRPr="00F86AFE" w:rsidRDefault="00C33590" w:rsidP="00C33590">
      <w:pPr>
        <w:spacing w:after="0" w:line="276" w:lineRule="auto"/>
        <w:jc w:val="both"/>
        <w:rPr>
          <w:rFonts w:ascii="Times New Roman" w:hAnsi="Times New Roman" w:cs="Times New Roman"/>
          <w:sz w:val="20"/>
          <w:szCs w:val="20"/>
        </w:rPr>
      </w:pPr>
    </w:p>
    <w:p w14:paraId="17CABADE" w14:textId="18068525" w:rsidR="00C33590" w:rsidRPr="00F86AFE" w:rsidRDefault="00C33590" w:rsidP="00C33590">
      <w:pPr>
        <w:spacing w:after="0" w:line="276" w:lineRule="auto"/>
        <w:jc w:val="both"/>
        <w:rPr>
          <w:rFonts w:ascii="Times New Roman" w:hAnsi="Times New Roman" w:cs="Times New Roman"/>
          <w:bCs/>
          <w:sz w:val="20"/>
          <w:szCs w:val="20"/>
        </w:rPr>
      </w:pPr>
      <w:r w:rsidRPr="00F86AFE">
        <w:rPr>
          <w:rFonts w:ascii="Times New Roman" w:hAnsi="Times New Roman" w:cs="Times New Roman"/>
          <w:sz w:val="20"/>
          <w:szCs w:val="20"/>
        </w:rPr>
        <w:t>The classification of B-ALL patients on the basis of treatment, facilitated analysis of mBCR-ABL1 fusion gene expression dynamics with different h</w:t>
      </w:r>
      <w:r w:rsidR="00B51ADC" w:rsidRPr="00F86AFE">
        <w:rPr>
          <w:rFonts w:ascii="Times New Roman" w:hAnsi="Times New Roman" w:cs="Times New Roman"/>
          <w:sz w:val="20"/>
          <w:szCs w:val="20"/>
        </w:rPr>
        <w:t>a</w:t>
      </w:r>
      <w:r w:rsidRPr="00F86AFE">
        <w:rPr>
          <w:rFonts w:ascii="Times New Roman" w:hAnsi="Times New Roman" w:cs="Times New Roman"/>
          <w:sz w:val="20"/>
          <w:szCs w:val="20"/>
        </w:rPr>
        <w:t>ematological parameters and LDH activity, providing valuable insights into the management of ALL.</w:t>
      </w:r>
    </w:p>
    <w:p w14:paraId="576F930A" w14:textId="77777777" w:rsidR="00C33590" w:rsidRPr="00F86AFE" w:rsidRDefault="00C33590" w:rsidP="00C33590">
      <w:pPr>
        <w:spacing w:after="0" w:line="276" w:lineRule="auto"/>
        <w:jc w:val="both"/>
        <w:rPr>
          <w:rFonts w:cstheme="minorHAnsi"/>
          <w:b/>
          <w:bCs/>
          <w:sz w:val="20"/>
          <w:szCs w:val="20"/>
        </w:rPr>
      </w:pPr>
    </w:p>
    <w:p w14:paraId="101D365C" w14:textId="5A1F9DE7" w:rsidR="00C33590" w:rsidRPr="00F86AFE" w:rsidRDefault="00AD0B5B" w:rsidP="00C3359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F86AFE" w:rsidRPr="00F86AFE">
        <w:rPr>
          <w:rFonts w:ascii="Times New Roman" w:hAnsi="Times New Roman" w:cs="Times New Roman"/>
          <w:b/>
          <w:bCs/>
          <w:sz w:val="24"/>
          <w:szCs w:val="24"/>
        </w:rPr>
        <w:t>CONCLUSION:</w:t>
      </w:r>
    </w:p>
    <w:p w14:paraId="4BBB0FBC" w14:textId="7EE9CC5D" w:rsidR="00C33590" w:rsidRPr="00F86AFE" w:rsidRDefault="00B51ADC" w:rsidP="00C33590">
      <w:pPr>
        <w:spacing w:after="0" w:line="276" w:lineRule="auto"/>
        <w:jc w:val="both"/>
        <w:rPr>
          <w:rFonts w:ascii="Times New Roman" w:hAnsi="Times New Roman" w:cs="Times New Roman"/>
          <w:b/>
          <w:bCs/>
          <w:sz w:val="20"/>
          <w:szCs w:val="20"/>
        </w:rPr>
      </w:pPr>
      <w:r w:rsidRPr="00F86AFE">
        <w:rPr>
          <w:rFonts w:ascii="Times New Roman" w:hAnsi="Times New Roman" w:cs="Times New Roman"/>
          <w:sz w:val="20"/>
          <w:szCs w:val="20"/>
        </w:rPr>
        <w:t>In the view of outcomes discussed, the quantitative analysis of minor BCR-ABL</w:t>
      </w:r>
      <w:r w:rsidR="00175A50" w:rsidRPr="00F86AFE">
        <w:rPr>
          <w:rFonts w:ascii="Times New Roman" w:hAnsi="Times New Roman" w:cs="Times New Roman"/>
          <w:sz w:val="20"/>
          <w:szCs w:val="20"/>
        </w:rPr>
        <w:t>1</w:t>
      </w:r>
      <w:r w:rsidRPr="00F86AFE">
        <w:rPr>
          <w:rFonts w:ascii="Times New Roman" w:hAnsi="Times New Roman" w:cs="Times New Roman"/>
          <w:sz w:val="20"/>
          <w:szCs w:val="20"/>
        </w:rPr>
        <w:t xml:space="preserve"> fusion gene copies and %NCN holds significant clinical relevance in understanding and managing B-ALL patients. The correlation between treatment responses among </w:t>
      </w:r>
      <w:r w:rsidR="00175A50" w:rsidRPr="00F86AFE">
        <w:rPr>
          <w:rFonts w:ascii="Times New Roman" w:hAnsi="Times New Roman" w:cs="Times New Roman"/>
          <w:sz w:val="20"/>
          <w:szCs w:val="20"/>
        </w:rPr>
        <w:t>m</w:t>
      </w:r>
      <w:r w:rsidRPr="00F86AFE">
        <w:rPr>
          <w:rFonts w:ascii="Times New Roman" w:hAnsi="Times New Roman" w:cs="Times New Roman"/>
          <w:sz w:val="20"/>
          <w:szCs w:val="20"/>
        </w:rPr>
        <w:t>BCR-ABL</w:t>
      </w:r>
      <w:r w:rsidR="00175A50" w:rsidRPr="00F86AFE">
        <w:rPr>
          <w:rFonts w:ascii="Times New Roman" w:hAnsi="Times New Roman" w:cs="Times New Roman"/>
          <w:sz w:val="20"/>
          <w:szCs w:val="20"/>
        </w:rPr>
        <w:t>1</w:t>
      </w:r>
      <w:r w:rsidRPr="00F86AFE">
        <w:rPr>
          <w:rFonts w:ascii="Times New Roman" w:hAnsi="Times New Roman" w:cs="Times New Roman"/>
          <w:sz w:val="20"/>
          <w:szCs w:val="20"/>
        </w:rPr>
        <w:t xml:space="preserve"> fusion gene copies and %NCN with haematological parameters as well as LDH activity, underscores their potential u</w:t>
      </w:r>
      <w:r w:rsidR="00175A50" w:rsidRPr="00F86AFE">
        <w:rPr>
          <w:rFonts w:ascii="Times New Roman" w:hAnsi="Times New Roman" w:cs="Times New Roman"/>
          <w:sz w:val="20"/>
          <w:szCs w:val="20"/>
        </w:rPr>
        <w:t>tili</w:t>
      </w:r>
      <w:r w:rsidRPr="00F86AFE">
        <w:rPr>
          <w:rFonts w:ascii="Times New Roman" w:hAnsi="Times New Roman" w:cs="Times New Roman"/>
          <w:sz w:val="20"/>
          <w:szCs w:val="20"/>
        </w:rPr>
        <w:t>ty in monitoring disease progression and response to therapy</w:t>
      </w:r>
      <w:r w:rsidR="00175A50" w:rsidRPr="00F86AFE">
        <w:rPr>
          <w:rFonts w:ascii="Times New Roman" w:hAnsi="Times New Roman" w:cs="Times New Roman"/>
          <w:sz w:val="20"/>
          <w:szCs w:val="20"/>
        </w:rPr>
        <w:t xml:space="preserve"> in B-ALL patients</w:t>
      </w:r>
      <w:r w:rsidRPr="00F86AFE">
        <w:rPr>
          <w:rFonts w:ascii="Times New Roman" w:hAnsi="Times New Roman" w:cs="Times New Roman"/>
          <w:sz w:val="20"/>
          <w:szCs w:val="20"/>
        </w:rPr>
        <w:t xml:space="preserve">. </w:t>
      </w:r>
      <w:r w:rsidR="008E01A5" w:rsidRPr="00F86AFE">
        <w:rPr>
          <w:rFonts w:ascii="Times New Roman" w:hAnsi="Times New Roman" w:cs="Times New Roman"/>
          <w:sz w:val="20"/>
          <w:szCs w:val="20"/>
        </w:rPr>
        <w:t>Among treatment non responders, e</w:t>
      </w:r>
      <w:r w:rsidRPr="00F86AFE">
        <w:rPr>
          <w:rFonts w:ascii="Times New Roman" w:hAnsi="Times New Roman" w:cs="Times New Roman"/>
          <w:sz w:val="20"/>
          <w:szCs w:val="20"/>
        </w:rPr>
        <w:t xml:space="preserve">levated levels of </w:t>
      </w:r>
      <w:r w:rsidR="00175A50" w:rsidRPr="00F86AFE">
        <w:rPr>
          <w:rFonts w:ascii="Times New Roman" w:hAnsi="Times New Roman" w:cs="Times New Roman"/>
          <w:sz w:val="20"/>
          <w:szCs w:val="20"/>
        </w:rPr>
        <w:t>m</w:t>
      </w:r>
      <w:r w:rsidRPr="00F86AFE">
        <w:rPr>
          <w:rFonts w:ascii="Times New Roman" w:hAnsi="Times New Roman" w:cs="Times New Roman"/>
          <w:sz w:val="20"/>
          <w:szCs w:val="20"/>
        </w:rPr>
        <w:t>BCR-ABL</w:t>
      </w:r>
      <w:r w:rsidR="00175A50" w:rsidRPr="00F86AFE">
        <w:rPr>
          <w:rFonts w:ascii="Times New Roman" w:hAnsi="Times New Roman" w:cs="Times New Roman"/>
          <w:sz w:val="20"/>
          <w:szCs w:val="20"/>
        </w:rPr>
        <w:t>1</w:t>
      </w:r>
      <w:r w:rsidRPr="00F86AFE">
        <w:rPr>
          <w:rFonts w:ascii="Times New Roman" w:hAnsi="Times New Roman" w:cs="Times New Roman"/>
          <w:sz w:val="20"/>
          <w:szCs w:val="20"/>
        </w:rPr>
        <w:t xml:space="preserve"> fusion gene copies and %NCN are indicative </w:t>
      </w:r>
      <w:r w:rsidR="00837CD5" w:rsidRPr="00F86AFE">
        <w:rPr>
          <w:rFonts w:ascii="Times New Roman" w:hAnsi="Times New Roman" w:cs="Times New Roman"/>
          <w:sz w:val="20"/>
          <w:szCs w:val="20"/>
        </w:rPr>
        <w:t xml:space="preserve">of </w:t>
      </w:r>
      <w:r w:rsidRPr="00F86AFE">
        <w:rPr>
          <w:rFonts w:ascii="Times New Roman" w:hAnsi="Times New Roman" w:cs="Times New Roman"/>
          <w:sz w:val="20"/>
          <w:szCs w:val="20"/>
        </w:rPr>
        <w:t>severe diseased condition</w:t>
      </w:r>
      <w:r w:rsidR="008E01A5" w:rsidRPr="00F86AFE">
        <w:rPr>
          <w:rFonts w:ascii="Times New Roman" w:hAnsi="Times New Roman" w:cs="Times New Roman"/>
          <w:sz w:val="20"/>
          <w:szCs w:val="20"/>
        </w:rPr>
        <w:t>, reflected in significant abnormal WBC counts and platelets counts along with increased LDH activity. Thus, integrating quantitative analysis of minor BCR-ABL</w:t>
      </w:r>
      <w:r w:rsidR="00A53C06">
        <w:rPr>
          <w:rFonts w:ascii="Times New Roman" w:hAnsi="Times New Roman" w:cs="Times New Roman"/>
          <w:sz w:val="20"/>
          <w:szCs w:val="20"/>
        </w:rPr>
        <w:t>1</w:t>
      </w:r>
      <w:r w:rsidR="008E01A5" w:rsidRPr="00F86AFE">
        <w:rPr>
          <w:rFonts w:ascii="Times New Roman" w:hAnsi="Times New Roman" w:cs="Times New Roman"/>
          <w:sz w:val="20"/>
          <w:szCs w:val="20"/>
        </w:rPr>
        <w:t xml:space="preserve"> fusion gene copies and %NCN with traditional haematological parameters can enhance the precision of prognostic evaluations and therapeutic decision-making, ultimately contributing to improved patient outcomes in B-ALL</w:t>
      </w:r>
      <w:r w:rsidR="00750B2A" w:rsidRPr="00F86AFE">
        <w:rPr>
          <w:rFonts w:ascii="Times New Roman" w:hAnsi="Times New Roman" w:cs="Times New Roman"/>
          <w:sz w:val="20"/>
          <w:szCs w:val="20"/>
        </w:rPr>
        <w:t xml:space="preserve"> patients from western India</w:t>
      </w:r>
      <w:r w:rsidR="008E01A5" w:rsidRPr="00F86AFE">
        <w:rPr>
          <w:rFonts w:ascii="Times New Roman" w:hAnsi="Times New Roman" w:cs="Times New Roman"/>
          <w:sz w:val="20"/>
          <w:szCs w:val="20"/>
        </w:rPr>
        <w:t>.</w:t>
      </w:r>
    </w:p>
    <w:p w14:paraId="087C4747" w14:textId="77777777" w:rsidR="00DD5508" w:rsidRDefault="00DD5508" w:rsidP="00DD5508">
      <w:pPr>
        <w:spacing w:after="0" w:line="276" w:lineRule="auto"/>
        <w:jc w:val="both"/>
        <w:rPr>
          <w:rFonts w:cstheme="minorHAnsi"/>
          <w:b/>
          <w:bCs/>
          <w:sz w:val="24"/>
          <w:szCs w:val="24"/>
        </w:rPr>
      </w:pPr>
    </w:p>
    <w:p w14:paraId="34ABAEBA" w14:textId="1E8E8F86" w:rsidR="00501AFF" w:rsidRPr="00AD0B5B" w:rsidRDefault="00AD0B5B" w:rsidP="00DD5508">
      <w:pPr>
        <w:spacing w:after="0" w:line="276" w:lineRule="auto"/>
        <w:jc w:val="both"/>
        <w:rPr>
          <w:rFonts w:ascii="Times New Roman" w:hAnsi="Times New Roman" w:cs="Times New Roman"/>
          <w:b/>
          <w:sz w:val="24"/>
          <w:szCs w:val="24"/>
        </w:rPr>
      </w:pPr>
      <w:r w:rsidRPr="00AD0B5B">
        <w:rPr>
          <w:rFonts w:ascii="Times New Roman" w:hAnsi="Times New Roman" w:cs="Times New Roman"/>
          <w:b/>
          <w:sz w:val="24"/>
          <w:szCs w:val="24"/>
        </w:rPr>
        <w:t>6. REFERENCES</w:t>
      </w:r>
    </w:p>
    <w:p w14:paraId="299C54AD" w14:textId="7A50B23F" w:rsidR="002D248A" w:rsidRPr="00AD0B5B" w:rsidRDefault="00501AFF" w:rsidP="002D248A">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Arora, R. S., &amp; Arora, B. (2016). Acute leukemia in children: A review of the current Indian data. </w:t>
      </w:r>
      <w:r w:rsidRPr="00AD0B5B">
        <w:rPr>
          <w:iCs/>
          <w:color w:val="222222"/>
          <w:sz w:val="20"/>
          <w:szCs w:val="20"/>
          <w:shd w:val="clear" w:color="auto" w:fill="FFFFFF"/>
        </w:rPr>
        <w:t>South Asian journal of cancer</w:t>
      </w:r>
      <w:r w:rsidRPr="00AD0B5B">
        <w:rPr>
          <w:color w:val="222222"/>
          <w:sz w:val="20"/>
          <w:szCs w:val="20"/>
          <w:shd w:val="clear" w:color="auto" w:fill="FFFFFF"/>
        </w:rPr>
        <w:t>, </w:t>
      </w:r>
      <w:r w:rsidRPr="00AD0B5B">
        <w:rPr>
          <w:iCs/>
          <w:color w:val="222222"/>
          <w:sz w:val="20"/>
          <w:szCs w:val="20"/>
          <w:shd w:val="clear" w:color="auto" w:fill="FFFFFF"/>
        </w:rPr>
        <w:t>5</w:t>
      </w:r>
      <w:r w:rsidRPr="00AD0B5B">
        <w:rPr>
          <w:color w:val="222222"/>
          <w:sz w:val="20"/>
          <w:szCs w:val="20"/>
          <w:shd w:val="clear" w:color="auto" w:fill="FFFFFF"/>
        </w:rPr>
        <w:t>(03), 155-</w:t>
      </w:r>
      <w:r w:rsidR="009B3241" w:rsidRPr="00AD0B5B">
        <w:rPr>
          <w:color w:val="222222"/>
          <w:sz w:val="20"/>
          <w:szCs w:val="20"/>
          <w:shd w:val="clear" w:color="auto" w:fill="FFFFFF"/>
        </w:rPr>
        <w:t>160.</w:t>
      </w:r>
    </w:p>
    <w:p w14:paraId="04D308BC" w14:textId="4F66CF88" w:rsidR="006028C2" w:rsidRPr="00AD0B5B" w:rsidRDefault="006028C2" w:rsidP="006028C2">
      <w:pPr>
        <w:pStyle w:val="ListParagraph"/>
        <w:numPr>
          <w:ilvl w:val="0"/>
          <w:numId w:val="5"/>
        </w:numPr>
        <w:jc w:val="both"/>
        <w:rPr>
          <w:sz w:val="20"/>
          <w:szCs w:val="20"/>
          <w:lang w:bidi="gu-IN"/>
        </w:rPr>
      </w:pPr>
      <w:r w:rsidRPr="00AD0B5B">
        <w:rPr>
          <w:sz w:val="20"/>
          <w:szCs w:val="20"/>
          <w:lang w:bidi="gu-IN"/>
        </w:rPr>
        <w:t xml:space="preserve">Bhat AH, Akram M. Patterns of Cancer in India: A Sociological Exploration of Globocan Estimates. </w:t>
      </w:r>
      <w:r w:rsidR="00470C78" w:rsidRPr="00AD0B5B">
        <w:rPr>
          <w:sz w:val="20"/>
          <w:szCs w:val="20"/>
          <w:lang w:bidi="gu-IN"/>
        </w:rPr>
        <w:t>Remilitarise</w:t>
      </w:r>
      <w:r w:rsidRPr="00AD0B5B">
        <w:rPr>
          <w:sz w:val="20"/>
          <w:szCs w:val="20"/>
          <w:lang w:bidi="gu-IN"/>
        </w:rPr>
        <w:t>. 2023 Mar 20</w:t>
      </w:r>
      <w:r w:rsidR="00B352AD" w:rsidRPr="00AD0B5B">
        <w:rPr>
          <w:sz w:val="20"/>
          <w:szCs w:val="20"/>
          <w:lang w:bidi="gu-IN"/>
        </w:rPr>
        <w:t>; 13</w:t>
      </w:r>
      <w:r w:rsidRPr="00AD0B5B">
        <w:rPr>
          <w:sz w:val="20"/>
          <w:szCs w:val="20"/>
          <w:lang w:bidi="gu-IN"/>
        </w:rPr>
        <w:t>(3):653-64.</w:t>
      </w:r>
    </w:p>
    <w:p w14:paraId="7E286F60" w14:textId="77777777" w:rsidR="002D248A" w:rsidRPr="00AD0B5B" w:rsidRDefault="00501AFF" w:rsidP="002D248A">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Vadillo, E., Dorantes-Acosta, E., Pelayo, R., &amp; Schnoor, M. (2018). T cell acute lymphoblastic leukemia (T-ALL): new insights into the cellular origins and infiltration mechanisms common and unique among hematologic malignancies. </w:t>
      </w:r>
      <w:r w:rsidRPr="00AD0B5B">
        <w:rPr>
          <w:iCs/>
          <w:color w:val="222222"/>
          <w:sz w:val="20"/>
          <w:szCs w:val="20"/>
          <w:shd w:val="clear" w:color="auto" w:fill="FFFFFF"/>
        </w:rPr>
        <w:t>Blood reviews</w:t>
      </w:r>
      <w:r w:rsidRPr="00AD0B5B">
        <w:rPr>
          <w:color w:val="222222"/>
          <w:sz w:val="20"/>
          <w:szCs w:val="20"/>
          <w:shd w:val="clear" w:color="auto" w:fill="FFFFFF"/>
        </w:rPr>
        <w:t>, </w:t>
      </w:r>
      <w:r w:rsidRPr="00AD0B5B">
        <w:rPr>
          <w:iCs/>
          <w:color w:val="222222"/>
          <w:sz w:val="20"/>
          <w:szCs w:val="20"/>
          <w:shd w:val="clear" w:color="auto" w:fill="FFFFFF"/>
        </w:rPr>
        <w:t>32</w:t>
      </w:r>
      <w:r w:rsidRPr="00AD0B5B">
        <w:rPr>
          <w:color w:val="222222"/>
          <w:sz w:val="20"/>
          <w:szCs w:val="20"/>
          <w:shd w:val="clear" w:color="auto" w:fill="FFFFFF"/>
        </w:rPr>
        <w:t>(1), 36-51.</w:t>
      </w:r>
    </w:p>
    <w:p w14:paraId="1BBD1EC7" w14:textId="77777777" w:rsidR="002D248A" w:rsidRPr="00AD0B5B" w:rsidRDefault="00501AFF" w:rsidP="002D248A">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Cobaleda, C., &amp; Sánchez‐García, I. (2009). B‐cell acute lymphoblastic leukaemia: towards understanding its cellular origin. </w:t>
      </w:r>
      <w:r w:rsidRPr="00AD0B5B">
        <w:rPr>
          <w:iCs/>
          <w:color w:val="222222"/>
          <w:sz w:val="20"/>
          <w:szCs w:val="20"/>
          <w:shd w:val="clear" w:color="auto" w:fill="FFFFFF"/>
        </w:rPr>
        <w:t>Bioessays</w:t>
      </w:r>
      <w:r w:rsidRPr="00AD0B5B">
        <w:rPr>
          <w:color w:val="222222"/>
          <w:sz w:val="20"/>
          <w:szCs w:val="20"/>
          <w:shd w:val="clear" w:color="auto" w:fill="FFFFFF"/>
        </w:rPr>
        <w:t>, </w:t>
      </w:r>
      <w:r w:rsidRPr="00AD0B5B">
        <w:rPr>
          <w:iCs/>
          <w:color w:val="222222"/>
          <w:sz w:val="20"/>
          <w:szCs w:val="20"/>
          <w:shd w:val="clear" w:color="auto" w:fill="FFFFFF"/>
        </w:rPr>
        <w:t>31</w:t>
      </w:r>
      <w:r w:rsidRPr="00AD0B5B">
        <w:rPr>
          <w:color w:val="222222"/>
          <w:sz w:val="20"/>
          <w:szCs w:val="20"/>
          <w:shd w:val="clear" w:color="auto" w:fill="FFFFFF"/>
        </w:rPr>
        <w:t>(6), 600-609.</w:t>
      </w:r>
    </w:p>
    <w:p w14:paraId="395237D8" w14:textId="77777777" w:rsidR="002D248A" w:rsidRPr="00AD0B5B" w:rsidRDefault="00501AFF" w:rsidP="002D248A">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Boer, J. M., &amp; den Boer, M. L. (2017). BCR-ABL1-like acute lymphoblastic leukaemia: From bench to bedside. </w:t>
      </w:r>
      <w:r w:rsidRPr="00AD0B5B">
        <w:rPr>
          <w:iCs/>
          <w:color w:val="222222"/>
          <w:sz w:val="20"/>
          <w:szCs w:val="20"/>
          <w:shd w:val="clear" w:color="auto" w:fill="FFFFFF"/>
        </w:rPr>
        <w:t>European Journal of Cancer</w:t>
      </w:r>
      <w:r w:rsidRPr="00AD0B5B">
        <w:rPr>
          <w:color w:val="222222"/>
          <w:sz w:val="20"/>
          <w:szCs w:val="20"/>
          <w:shd w:val="clear" w:color="auto" w:fill="FFFFFF"/>
        </w:rPr>
        <w:t>, </w:t>
      </w:r>
      <w:r w:rsidRPr="00AD0B5B">
        <w:rPr>
          <w:iCs/>
          <w:color w:val="222222"/>
          <w:sz w:val="20"/>
          <w:szCs w:val="20"/>
          <w:shd w:val="clear" w:color="auto" w:fill="FFFFFF"/>
        </w:rPr>
        <w:t>82</w:t>
      </w:r>
      <w:r w:rsidRPr="00AD0B5B">
        <w:rPr>
          <w:color w:val="222222"/>
          <w:sz w:val="20"/>
          <w:szCs w:val="20"/>
          <w:shd w:val="clear" w:color="auto" w:fill="FFFFFF"/>
        </w:rPr>
        <w:t>, 203-218.</w:t>
      </w:r>
    </w:p>
    <w:p w14:paraId="70DB0DB6" w14:textId="6487882C" w:rsidR="002D248A" w:rsidRPr="00AD0B5B" w:rsidRDefault="00501AFF" w:rsidP="002D248A">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Kang, Z. J., Liu, Y. F., Xu, L. Z., Long, Z. J., Huang, D., Yang, Y</w:t>
      </w:r>
      <w:r w:rsidR="004F7E2A" w:rsidRPr="00AD0B5B">
        <w:rPr>
          <w:color w:val="222222"/>
          <w:sz w:val="20"/>
          <w:szCs w:val="20"/>
          <w:shd w:val="clear" w:color="auto" w:fill="FFFFFF"/>
        </w:rPr>
        <w:t>.,</w:t>
      </w:r>
      <w:r w:rsidRPr="00AD0B5B">
        <w:rPr>
          <w:color w:val="222222"/>
          <w:sz w:val="20"/>
          <w:szCs w:val="20"/>
          <w:shd w:val="clear" w:color="auto" w:fill="FFFFFF"/>
        </w:rPr>
        <w:t xml:space="preserve"> &amp; Liu, Q. (2016). The Philadelphia chromosome in leukemogenesis. </w:t>
      </w:r>
      <w:r w:rsidRPr="00AD0B5B">
        <w:rPr>
          <w:iCs/>
          <w:color w:val="222222"/>
          <w:sz w:val="20"/>
          <w:szCs w:val="20"/>
          <w:shd w:val="clear" w:color="auto" w:fill="FFFFFF"/>
        </w:rPr>
        <w:t>Chinese journal of cancer</w:t>
      </w:r>
      <w:r w:rsidRPr="00AD0B5B">
        <w:rPr>
          <w:color w:val="222222"/>
          <w:sz w:val="20"/>
          <w:szCs w:val="20"/>
          <w:shd w:val="clear" w:color="auto" w:fill="FFFFFF"/>
        </w:rPr>
        <w:t>, </w:t>
      </w:r>
      <w:r w:rsidRPr="00AD0B5B">
        <w:rPr>
          <w:iCs/>
          <w:color w:val="222222"/>
          <w:sz w:val="20"/>
          <w:szCs w:val="20"/>
          <w:shd w:val="clear" w:color="auto" w:fill="FFFFFF"/>
        </w:rPr>
        <w:t>35</w:t>
      </w:r>
      <w:r w:rsidRPr="00AD0B5B">
        <w:rPr>
          <w:color w:val="222222"/>
          <w:sz w:val="20"/>
          <w:szCs w:val="20"/>
          <w:shd w:val="clear" w:color="auto" w:fill="FFFFFF"/>
        </w:rPr>
        <w:t>, 1-15.</w:t>
      </w:r>
    </w:p>
    <w:p w14:paraId="203B956E" w14:textId="447A3987" w:rsidR="00501AFF" w:rsidRPr="00AD0B5B" w:rsidRDefault="00501AFF" w:rsidP="002D248A">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Reichert, A., Heisterkamp, N., Daley, G. Q., &amp; Groffen, J. (2001). Treatment of Bcr/Abl-positive acute lymphoblastic leukemia in P190 transgenic mice with the farnesyl transferase inhibitor SCH66336. </w:t>
      </w:r>
      <w:r w:rsidRPr="00AD0B5B">
        <w:rPr>
          <w:iCs/>
          <w:color w:val="222222"/>
          <w:sz w:val="20"/>
          <w:szCs w:val="20"/>
          <w:shd w:val="clear" w:color="auto" w:fill="FFFFFF"/>
        </w:rPr>
        <w:t xml:space="preserve">Blood, </w:t>
      </w:r>
      <w:r w:rsidR="004F7E2A" w:rsidRPr="00AD0B5B">
        <w:rPr>
          <w:iCs/>
          <w:color w:val="222222"/>
          <w:sz w:val="20"/>
          <w:szCs w:val="20"/>
          <w:shd w:val="clear" w:color="auto" w:fill="FFFFFF"/>
        </w:rPr>
        <w:t>the</w:t>
      </w:r>
      <w:r w:rsidRPr="00AD0B5B">
        <w:rPr>
          <w:iCs/>
          <w:color w:val="222222"/>
          <w:sz w:val="20"/>
          <w:szCs w:val="20"/>
          <w:shd w:val="clear" w:color="auto" w:fill="FFFFFF"/>
        </w:rPr>
        <w:t xml:space="preserve"> Journal of the American Society of Hematology</w:t>
      </w:r>
      <w:r w:rsidRPr="00AD0B5B">
        <w:rPr>
          <w:color w:val="222222"/>
          <w:sz w:val="20"/>
          <w:szCs w:val="20"/>
          <w:shd w:val="clear" w:color="auto" w:fill="FFFFFF"/>
        </w:rPr>
        <w:t>, </w:t>
      </w:r>
      <w:r w:rsidRPr="00AD0B5B">
        <w:rPr>
          <w:iCs/>
          <w:color w:val="222222"/>
          <w:sz w:val="20"/>
          <w:szCs w:val="20"/>
          <w:shd w:val="clear" w:color="auto" w:fill="FFFFFF"/>
        </w:rPr>
        <w:t>97</w:t>
      </w:r>
      <w:r w:rsidRPr="00AD0B5B">
        <w:rPr>
          <w:color w:val="222222"/>
          <w:sz w:val="20"/>
          <w:szCs w:val="20"/>
          <w:shd w:val="clear" w:color="auto" w:fill="FFFFFF"/>
        </w:rPr>
        <w:t>(5), 1399-1403.</w:t>
      </w:r>
    </w:p>
    <w:p w14:paraId="44B099DD" w14:textId="18B74C6A" w:rsidR="00501AFF" w:rsidRPr="00470C78" w:rsidRDefault="00501AFF" w:rsidP="00501AFF">
      <w:pPr>
        <w:pStyle w:val="ListParagraph"/>
        <w:numPr>
          <w:ilvl w:val="0"/>
          <w:numId w:val="5"/>
        </w:numPr>
        <w:spacing w:line="276" w:lineRule="auto"/>
        <w:jc w:val="both"/>
        <w:rPr>
          <w:color w:val="000000" w:themeColor="text1"/>
          <w:sz w:val="20"/>
          <w:szCs w:val="20"/>
          <w:shd w:val="clear" w:color="auto" w:fill="FFFFFF"/>
        </w:rPr>
      </w:pPr>
      <w:r w:rsidRPr="00AD0B5B">
        <w:rPr>
          <w:color w:val="222222"/>
          <w:sz w:val="20"/>
          <w:szCs w:val="20"/>
          <w:shd w:val="clear" w:color="auto" w:fill="FFFFFF"/>
        </w:rPr>
        <w:t>Nashed, A. L., Rao, K. W., &amp; Gulley, M. L. (2003). Clinical applications of BCR-ABL molecular testing in acute leukemia. </w:t>
      </w:r>
      <w:r w:rsidRPr="00AD0B5B">
        <w:rPr>
          <w:iCs/>
          <w:color w:val="222222"/>
          <w:sz w:val="20"/>
          <w:szCs w:val="20"/>
          <w:shd w:val="clear" w:color="auto" w:fill="FFFFFF"/>
        </w:rPr>
        <w:t>The Journal of molecular diagnostics</w:t>
      </w:r>
      <w:r w:rsidRPr="00AD0B5B">
        <w:rPr>
          <w:color w:val="222222"/>
          <w:sz w:val="20"/>
          <w:szCs w:val="20"/>
          <w:shd w:val="clear" w:color="auto" w:fill="FFFFFF"/>
        </w:rPr>
        <w:t>, </w:t>
      </w:r>
      <w:r w:rsidRPr="00AD0B5B">
        <w:rPr>
          <w:iCs/>
          <w:color w:val="222222"/>
          <w:sz w:val="20"/>
          <w:szCs w:val="20"/>
          <w:shd w:val="clear" w:color="auto" w:fill="FFFFFF"/>
        </w:rPr>
        <w:t>5</w:t>
      </w:r>
      <w:r w:rsidRPr="00AD0B5B">
        <w:rPr>
          <w:color w:val="222222"/>
          <w:sz w:val="20"/>
          <w:szCs w:val="20"/>
          <w:shd w:val="clear" w:color="auto" w:fill="FFFFFF"/>
        </w:rPr>
        <w:t>(2), 63-72.</w:t>
      </w:r>
    </w:p>
    <w:p w14:paraId="24099C0C" w14:textId="59262B58" w:rsidR="00501AFF" w:rsidRPr="00AD0B5B" w:rsidRDefault="00501AFF" w:rsidP="00501AFF">
      <w:pPr>
        <w:pStyle w:val="ListParagraph"/>
        <w:numPr>
          <w:ilvl w:val="0"/>
          <w:numId w:val="5"/>
        </w:numPr>
        <w:spacing w:line="276" w:lineRule="auto"/>
        <w:jc w:val="both"/>
        <w:rPr>
          <w:color w:val="222222"/>
          <w:sz w:val="20"/>
          <w:szCs w:val="20"/>
          <w:shd w:val="clear" w:color="auto" w:fill="FFFFFF"/>
        </w:rPr>
      </w:pPr>
      <w:r w:rsidRPr="00AD0B5B">
        <w:rPr>
          <w:color w:val="222222"/>
          <w:sz w:val="20"/>
          <w:szCs w:val="20"/>
          <w:shd w:val="clear" w:color="auto" w:fill="FFFFFF"/>
        </w:rPr>
        <w:t>Płotka, A., &amp; Lewandowski, K. (2022). BCR/ABL1-like acute lymphoblastic leukemia: from diagnostic approaches to molecularly targeted therapy. </w:t>
      </w:r>
      <w:r w:rsidRPr="00AD0B5B">
        <w:rPr>
          <w:iCs/>
          <w:color w:val="222222"/>
          <w:sz w:val="20"/>
          <w:szCs w:val="20"/>
          <w:shd w:val="clear" w:color="auto" w:fill="FFFFFF"/>
        </w:rPr>
        <w:t>Acta Haematologica</w:t>
      </w:r>
      <w:r w:rsidRPr="00AD0B5B">
        <w:rPr>
          <w:color w:val="222222"/>
          <w:sz w:val="20"/>
          <w:szCs w:val="20"/>
          <w:shd w:val="clear" w:color="auto" w:fill="FFFFFF"/>
        </w:rPr>
        <w:t>, </w:t>
      </w:r>
      <w:r w:rsidRPr="00AD0B5B">
        <w:rPr>
          <w:iCs/>
          <w:color w:val="222222"/>
          <w:sz w:val="20"/>
          <w:szCs w:val="20"/>
          <w:shd w:val="clear" w:color="auto" w:fill="FFFFFF"/>
        </w:rPr>
        <w:t>145</w:t>
      </w:r>
      <w:r w:rsidRPr="00AD0B5B">
        <w:rPr>
          <w:color w:val="222222"/>
          <w:sz w:val="20"/>
          <w:szCs w:val="20"/>
          <w:shd w:val="clear" w:color="auto" w:fill="FFFFFF"/>
        </w:rPr>
        <w:t>(2), 122-131.</w:t>
      </w:r>
    </w:p>
    <w:p w14:paraId="71A8B909" w14:textId="3D4BF7FB" w:rsidR="002D248A" w:rsidRPr="00AD0B5B" w:rsidRDefault="002D248A" w:rsidP="002D248A">
      <w:pPr>
        <w:pStyle w:val="ListParagraph"/>
        <w:numPr>
          <w:ilvl w:val="0"/>
          <w:numId w:val="5"/>
        </w:numPr>
        <w:spacing w:line="276" w:lineRule="auto"/>
        <w:jc w:val="both"/>
        <w:rPr>
          <w:color w:val="222222"/>
          <w:sz w:val="20"/>
          <w:szCs w:val="20"/>
          <w:shd w:val="clear" w:color="auto" w:fill="FFFFFF"/>
        </w:rPr>
      </w:pPr>
      <w:r w:rsidRPr="00AD0B5B">
        <w:rPr>
          <w:color w:val="222222"/>
          <w:sz w:val="20"/>
          <w:szCs w:val="20"/>
          <w:shd w:val="clear" w:color="auto" w:fill="FFFFFF"/>
        </w:rPr>
        <w:t xml:space="preserve">Terwilliger, </w:t>
      </w:r>
      <w:r w:rsidR="00501AFF" w:rsidRPr="00AD0B5B">
        <w:rPr>
          <w:color w:val="222222"/>
          <w:sz w:val="20"/>
          <w:szCs w:val="20"/>
          <w:shd w:val="clear" w:color="auto" w:fill="FFFFFF"/>
        </w:rPr>
        <w:t>T., &amp; Abdul-Hay, M. J. B. C. J. (2017). Acute lymphoblastic leukemia: a comprehensive review and 2017 update. </w:t>
      </w:r>
      <w:r w:rsidR="00501AFF" w:rsidRPr="00AD0B5B">
        <w:rPr>
          <w:iCs/>
          <w:color w:val="222222"/>
          <w:sz w:val="20"/>
          <w:szCs w:val="20"/>
          <w:shd w:val="clear" w:color="auto" w:fill="FFFFFF"/>
        </w:rPr>
        <w:t>Blood cancer journal</w:t>
      </w:r>
      <w:r w:rsidR="00501AFF" w:rsidRPr="00AD0B5B">
        <w:rPr>
          <w:color w:val="222222"/>
          <w:sz w:val="20"/>
          <w:szCs w:val="20"/>
          <w:shd w:val="clear" w:color="auto" w:fill="FFFFFF"/>
        </w:rPr>
        <w:t>, </w:t>
      </w:r>
      <w:r w:rsidR="00501AFF" w:rsidRPr="00AD0B5B">
        <w:rPr>
          <w:iCs/>
          <w:color w:val="222222"/>
          <w:sz w:val="20"/>
          <w:szCs w:val="20"/>
          <w:shd w:val="clear" w:color="auto" w:fill="FFFFFF"/>
        </w:rPr>
        <w:t>7</w:t>
      </w:r>
      <w:r w:rsidR="00501AFF" w:rsidRPr="00AD0B5B">
        <w:rPr>
          <w:color w:val="222222"/>
          <w:sz w:val="20"/>
          <w:szCs w:val="20"/>
          <w:shd w:val="clear" w:color="auto" w:fill="FFFFFF"/>
        </w:rPr>
        <w:t>(6), e577-e577.</w:t>
      </w:r>
    </w:p>
    <w:p w14:paraId="426278C6" w14:textId="560ED448" w:rsidR="002D248A" w:rsidRPr="00AD0B5B" w:rsidRDefault="002D248A" w:rsidP="00CF086D">
      <w:pPr>
        <w:pStyle w:val="ListParagraph"/>
        <w:numPr>
          <w:ilvl w:val="0"/>
          <w:numId w:val="5"/>
        </w:numPr>
        <w:jc w:val="both"/>
        <w:rPr>
          <w:color w:val="000000" w:themeColor="text1"/>
          <w:sz w:val="20"/>
          <w:szCs w:val="20"/>
          <w:shd w:val="clear" w:color="auto" w:fill="FFFFFF"/>
        </w:rPr>
      </w:pPr>
      <w:r w:rsidRPr="00AD0B5B">
        <w:rPr>
          <w:color w:val="000000" w:themeColor="text1"/>
          <w:sz w:val="20"/>
          <w:szCs w:val="20"/>
          <w:shd w:val="clear" w:color="auto" w:fill="FFFFFF"/>
        </w:rPr>
        <w:t>Shukla, S., Chhikara, A, Bundela, T., Sharma, S., &amp; Chandra, J. (2020). Clinical, morphological and immunophenotyping findings in acute leukemia:Astudy from a tertiary care hospital. Iranian Journal of Pediatric Hematology and oncology, 10(3), 136-143</w:t>
      </w:r>
      <w:r w:rsidR="00CF086D" w:rsidRPr="00AD0B5B">
        <w:rPr>
          <w:color w:val="000000" w:themeColor="text1"/>
          <w:sz w:val="20"/>
          <w:szCs w:val="20"/>
          <w:shd w:val="clear" w:color="auto" w:fill="FFFFFF"/>
        </w:rPr>
        <w:t>.</w:t>
      </w:r>
    </w:p>
    <w:p w14:paraId="519934C3" w14:textId="010EFD2B" w:rsidR="002D248A" w:rsidRPr="00AD0B5B" w:rsidRDefault="002D248A" w:rsidP="00CF086D">
      <w:pPr>
        <w:pStyle w:val="ListParagraph"/>
        <w:numPr>
          <w:ilvl w:val="0"/>
          <w:numId w:val="5"/>
        </w:numPr>
        <w:jc w:val="both"/>
        <w:rPr>
          <w:color w:val="000000" w:themeColor="text1"/>
          <w:sz w:val="20"/>
          <w:szCs w:val="20"/>
          <w:shd w:val="clear" w:color="auto" w:fill="FFFFFF"/>
        </w:rPr>
      </w:pPr>
      <w:r w:rsidRPr="00AD0B5B">
        <w:rPr>
          <w:color w:val="222222"/>
          <w:sz w:val="20"/>
          <w:szCs w:val="20"/>
          <w:shd w:val="clear" w:color="auto" w:fill="FFFFFF"/>
        </w:rPr>
        <w:t>Bernt, K. M., &amp; Hunger, S. P. (2014). Current concepts in pediatric Philadelphia chromosome-positive acute lymphoblastic leukemia. </w:t>
      </w:r>
      <w:r w:rsidRPr="00AD0B5B">
        <w:rPr>
          <w:iCs/>
          <w:color w:val="222222"/>
          <w:sz w:val="20"/>
          <w:szCs w:val="20"/>
          <w:shd w:val="clear" w:color="auto" w:fill="FFFFFF"/>
        </w:rPr>
        <w:t>Frontiers in oncology</w:t>
      </w:r>
      <w:r w:rsidRPr="00AD0B5B">
        <w:rPr>
          <w:color w:val="222222"/>
          <w:sz w:val="20"/>
          <w:szCs w:val="20"/>
          <w:shd w:val="clear" w:color="auto" w:fill="FFFFFF"/>
        </w:rPr>
        <w:t>, </w:t>
      </w:r>
      <w:r w:rsidRPr="00AD0B5B">
        <w:rPr>
          <w:iCs/>
          <w:color w:val="222222"/>
          <w:sz w:val="20"/>
          <w:szCs w:val="20"/>
          <w:shd w:val="clear" w:color="auto" w:fill="FFFFFF"/>
        </w:rPr>
        <w:t>4</w:t>
      </w:r>
      <w:r w:rsidRPr="00AD0B5B">
        <w:rPr>
          <w:color w:val="222222"/>
          <w:sz w:val="20"/>
          <w:szCs w:val="20"/>
          <w:shd w:val="clear" w:color="auto" w:fill="FFFFFF"/>
        </w:rPr>
        <w:t>, 54.</w:t>
      </w:r>
    </w:p>
    <w:p w14:paraId="3DAA42D5" w14:textId="77777777" w:rsidR="002D248A" w:rsidRPr="00AD0B5B" w:rsidRDefault="002D248A" w:rsidP="00501AFF">
      <w:pPr>
        <w:pStyle w:val="ListParagraph"/>
        <w:numPr>
          <w:ilvl w:val="0"/>
          <w:numId w:val="5"/>
        </w:numPr>
        <w:jc w:val="both"/>
        <w:rPr>
          <w:color w:val="000000" w:themeColor="text1"/>
          <w:sz w:val="20"/>
          <w:szCs w:val="20"/>
          <w:shd w:val="clear" w:color="auto" w:fill="FFFFFF"/>
        </w:rPr>
      </w:pPr>
      <w:r w:rsidRPr="00AD0B5B">
        <w:rPr>
          <w:color w:val="222222"/>
          <w:sz w:val="20"/>
          <w:szCs w:val="20"/>
          <w:shd w:val="clear" w:color="auto" w:fill="FFFFFF"/>
        </w:rPr>
        <w:t>Cario, G., Leoni, V., Conter, V., Baruchel, A., Schrappe, M., &amp; Biondi, A. (2020). BCR-ABL1-like acute lymphoblastic leukemia in childhood and targeted therapy. </w:t>
      </w:r>
      <w:r w:rsidRPr="00AD0B5B">
        <w:rPr>
          <w:iCs/>
          <w:color w:val="222222"/>
          <w:sz w:val="20"/>
          <w:szCs w:val="20"/>
          <w:shd w:val="clear" w:color="auto" w:fill="FFFFFF"/>
        </w:rPr>
        <w:t>Haematologica</w:t>
      </w:r>
      <w:r w:rsidRPr="00AD0B5B">
        <w:rPr>
          <w:color w:val="222222"/>
          <w:sz w:val="20"/>
          <w:szCs w:val="20"/>
          <w:shd w:val="clear" w:color="auto" w:fill="FFFFFF"/>
        </w:rPr>
        <w:t>, </w:t>
      </w:r>
      <w:r w:rsidRPr="00AD0B5B">
        <w:rPr>
          <w:iCs/>
          <w:color w:val="222222"/>
          <w:sz w:val="20"/>
          <w:szCs w:val="20"/>
          <w:shd w:val="clear" w:color="auto" w:fill="FFFFFF"/>
        </w:rPr>
        <w:t>105</w:t>
      </w:r>
      <w:r w:rsidRPr="00AD0B5B">
        <w:rPr>
          <w:color w:val="222222"/>
          <w:sz w:val="20"/>
          <w:szCs w:val="20"/>
          <w:shd w:val="clear" w:color="auto" w:fill="FFFFFF"/>
        </w:rPr>
        <w:t>(9), 2200.</w:t>
      </w:r>
    </w:p>
    <w:p w14:paraId="1559912D" w14:textId="173C590C" w:rsidR="00501AFF" w:rsidRPr="00AD0B5B" w:rsidRDefault="002D248A" w:rsidP="00501AFF">
      <w:pPr>
        <w:pStyle w:val="ListParagraph"/>
        <w:numPr>
          <w:ilvl w:val="0"/>
          <w:numId w:val="5"/>
        </w:numPr>
        <w:jc w:val="both"/>
        <w:rPr>
          <w:color w:val="000000" w:themeColor="text1"/>
          <w:sz w:val="20"/>
          <w:szCs w:val="20"/>
          <w:shd w:val="clear" w:color="auto" w:fill="FFFFFF"/>
        </w:rPr>
      </w:pPr>
      <w:r w:rsidRPr="00AD0B5B">
        <w:rPr>
          <w:color w:val="222222"/>
          <w:sz w:val="20"/>
          <w:szCs w:val="20"/>
          <w:shd w:val="clear" w:color="auto" w:fill="FFFFFF"/>
        </w:rPr>
        <w:t>Fukutsuka, K., Kuramura, A., Nakagawa, M., Takahashi, R</w:t>
      </w:r>
      <w:r w:rsidR="00143D1B" w:rsidRPr="00AD0B5B">
        <w:rPr>
          <w:color w:val="222222"/>
          <w:sz w:val="20"/>
          <w:szCs w:val="20"/>
          <w:shd w:val="clear" w:color="auto" w:fill="FFFFFF"/>
        </w:rPr>
        <w:t xml:space="preserve">., Chagi, Y., Nakagawa, M., </w:t>
      </w:r>
      <w:r w:rsidRPr="00AD0B5B">
        <w:rPr>
          <w:color w:val="222222"/>
          <w:sz w:val="20"/>
          <w:szCs w:val="20"/>
          <w:shd w:val="clear" w:color="auto" w:fill="FFFFFF"/>
        </w:rPr>
        <w:t>&amp; Ohno, H. (2022). Philadelphia chromosome-positive acute lymphoblastic leukemia carrying the p230 μ-BCR-ABL1 fusion gene. </w:t>
      </w:r>
      <w:r w:rsidRPr="00AD0B5B">
        <w:rPr>
          <w:iCs/>
          <w:color w:val="222222"/>
          <w:sz w:val="20"/>
          <w:szCs w:val="20"/>
          <w:shd w:val="clear" w:color="auto" w:fill="FFFFFF"/>
        </w:rPr>
        <w:t>Tenri Medical Bulletin</w:t>
      </w:r>
      <w:r w:rsidRPr="00AD0B5B">
        <w:rPr>
          <w:color w:val="222222"/>
          <w:sz w:val="20"/>
          <w:szCs w:val="20"/>
          <w:shd w:val="clear" w:color="auto" w:fill="FFFFFF"/>
        </w:rPr>
        <w:t>, </w:t>
      </w:r>
      <w:r w:rsidRPr="00AD0B5B">
        <w:rPr>
          <w:iCs/>
          <w:color w:val="222222"/>
          <w:sz w:val="20"/>
          <w:szCs w:val="20"/>
          <w:shd w:val="clear" w:color="auto" w:fill="FFFFFF"/>
        </w:rPr>
        <w:t>25</w:t>
      </w:r>
      <w:r w:rsidRPr="00AD0B5B">
        <w:rPr>
          <w:color w:val="222222"/>
          <w:sz w:val="20"/>
          <w:szCs w:val="20"/>
          <w:shd w:val="clear" w:color="auto" w:fill="FFFFFF"/>
        </w:rPr>
        <w:t>(1), 29-40.</w:t>
      </w:r>
    </w:p>
    <w:p w14:paraId="4A582CDE" w14:textId="77777777" w:rsidR="00143D1B" w:rsidRPr="00AD0B5B" w:rsidRDefault="00143D1B"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Luca, D. C. (2021). Update on lymphoblastic leukemia/lymphoma. </w:t>
      </w:r>
      <w:r w:rsidRPr="00AD0B5B">
        <w:rPr>
          <w:iCs/>
          <w:color w:val="222222"/>
          <w:sz w:val="20"/>
          <w:szCs w:val="20"/>
          <w:shd w:val="clear" w:color="auto" w:fill="FFFFFF"/>
        </w:rPr>
        <w:t>Clin Lab Med</w:t>
      </w:r>
      <w:r w:rsidRPr="00AD0B5B">
        <w:rPr>
          <w:color w:val="222222"/>
          <w:sz w:val="20"/>
          <w:szCs w:val="20"/>
          <w:shd w:val="clear" w:color="auto" w:fill="FFFFFF"/>
        </w:rPr>
        <w:t>, </w:t>
      </w:r>
      <w:r w:rsidRPr="00AD0B5B">
        <w:rPr>
          <w:iCs/>
          <w:color w:val="222222"/>
          <w:sz w:val="20"/>
          <w:szCs w:val="20"/>
          <w:shd w:val="clear" w:color="auto" w:fill="FFFFFF"/>
        </w:rPr>
        <w:t>41</w:t>
      </w:r>
      <w:r w:rsidRPr="00AD0B5B">
        <w:rPr>
          <w:color w:val="222222"/>
          <w:sz w:val="20"/>
          <w:szCs w:val="20"/>
          <w:shd w:val="clear" w:color="auto" w:fill="FFFFFF"/>
        </w:rPr>
        <w:t>(3), 405-416.</w:t>
      </w:r>
    </w:p>
    <w:p w14:paraId="61481576" w14:textId="203B1E63" w:rsidR="00501AFF" w:rsidRPr="00AD0B5B" w:rsidRDefault="00143D1B"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Komorowski, L., Fidyt, K., Patkowska, E., &amp; Firczuk, M. (2020). Philadelphia chromosome-positive leukemia in the lymphoid lineage—similarities and differences with the myeloid lineage and specific vulnerabilities. </w:t>
      </w:r>
      <w:r w:rsidRPr="00AD0B5B">
        <w:rPr>
          <w:iCs/>
          <w:color w:val="222222"/>
          <w:sz w:val="20"/>
          <w:szCs w:val="20"/>
          <w:shd w:val="clear" w:color="auto" w:fill="FFFFFF"/>
        </w:rPr>
        <w:t>International Journal of Molecular Sciences</w:t>
      </w:r>
      <w:r w:rsidRPr="00AD0B5B">
        <w:rPr>
          <w:color w:val="222222"/>
          <w:sz w:val="20"/>
          <w:szCs w:val="20"/>
          <w:shd w:val="clear" w:color="auto" w:fill="FFFFFF"/>
        </w:rPr>
        <w:t>, </w:t>
      </w:r>
      <w:r w:rsidRPr="00AD0B5B">
        <w:rPr>
          <w:iCs/>
          <w:color w:val="222222"/>
          <w:sz w:val="20"/>
          <w:szCs w:val="20"/>
          <w:shd w:val="clear" w:color="auto" w:fill="FFFFFF"/>
        </w:rPr>
        <w:t>21</w:t>
      </w:r>
      <w:r w:rsidRPr="00AD0B5B">
        <w:rPr>
          <w:color w:val="222222"/>
          <w:sz w:val="20"/>
          <w:szCs w:val="20"/>
          <w:shd w:val="clear" w:color="auto" w:fill="FFFFFF"/>
        </w:rPr>
        <w:t>(16), 5776</w:t>
      </w:r>
      <w:r w:rsidR="00CF086D" w:rsidRPr="00AD0B5B">
        <w:rPr>
          <w:color w:val="222222"/>
          <w:sz w:val="20"/>
          <w:szCs w:val="20"/>
          <w:shd w:val="clear" w:color="auto" w:fill="FFFFFF"/>
        </w:rPr>
        <w:t>.</w:t>
      </w:r>
    </w:p>
    <w:p w14:paraId="71CDE9DB" w14:textId="77777777" w:rsidR="00143D1B" w:rsidRPr="00AD0B5B" w:rsidRDefault="00143D1B"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Qamar, A., Imran, M. Z., Afzal, N., Hussain, S., Andleeb, M., &amp; Shakeel, N. (2022). Frequency of BCR-ABL gene translocation in B-ALL patients associated with clinicopathological parameters. </w:t>
      </w:r>
      <w:r w:rsidRPr="00AD0B5B">
        <w:rPr>
          <w:iCs/>
          <w:color w:val="222222"/>
          <w:sz w:val="20"/>
          <w:szCs w:val="20"/>
          <w:shd w:val="clear" w:color="auto" w:fill="FFFFFF"/>
        </w:rPr>
        <w:t>Pakistan Journal of Medicine and Dentistry</w:t>
      </w:r>
      <w:r w:rsidRPr="00AD0B5B">
        <w:rPr>
          <w:color w:val="222222"/>
          <w:sz w:val="20"/>
          <w:szCs w:val="20"/>
          <w:shd w:val="clear" w:color="auto" w:fill="FFFFFF"/>
        </w:rPr>
        <w:t>, </w:t>
      </w:r>
      <w:r w:rsidRPr="00AD0B5B">
        <w:rPr>
          <w:iCs/>
          <w:color w:val="222222"/>
          <w:sz w:val="20"/>
          <w:szCs w:val="20"/>
          <w:shd w:val="clear" w:color="auto" w:fill="FFFFFF"/>
        </w:rPr>
        <w:t>11</w:t>
      </w:r>
      <w:r w:rsidRPr="00AD0B5B">
        <w:rPr>
          <w:color w:val="222222"/>
          <w:sz w:val="20"/>
          <w:szCs w:val="20"/>
          <w:shd w:val="clear" w:color="auto" w:fill="FFFFFF"/>
        </w:rPr>
        <w:t>(2), 22-28.</w:t>
      </w:r>
    </w:p>
    <w:p w14:paraId="0FF37362" w14:textId="24701342" w:rsidR="00143D1B" w:rsidRPr="00AD0B5B" w:rsidRDefault="00143D1B" w:rsidP="009B3090">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Gabert, J., Beillard, E., Van der Velden, V. H. J., Bi, W., Gr</w:t>
      </w:r>
      <w:r w:rsidR="00191F4A">
        <w:rPr>
          <w:color w:val="222222"/>
          <w:sz w:val="20"/>
          <w:szCs w:val="20"/>
          <w:shd w:val="clear" w:color="auto" w:fill="FFFFFF"/>
        </w:rPr>
        <w:t>imwade, D., Pallisgaard, N.,</w:t>
      </w:r>
      <w:r w:rsidRPr="00AD0B5B">
        <w:rPr>
          <w:color w:val="222222"/>
          <w:sz w:val="20"/>
          <w:szCs w:val="20"/>
          <w:shd w:val="clear" w:color="auto" w:fill="FFFFFF"/>
        </w:rPr>
        <w:t xml:space="preserve"> &amp; Van Dongen, J. J. M. (2003). Standardization and quality control studies of ‘real-time’quantitative reverse transcriptase polymerase chain reaction of fusion gene transcripts for residual disease detection in leukemia–a Europe </w:t>
      </w:r>
      <w:r w:rsidR="004F7E2A" w:rsidRPr="00AD0B5B">
        <w:rPr>
          <w:color w:val="222222"/>
          <w:sz w:val="20"/>
          <w:szCs w:val="20"/>
          <w:shd w:val="clear" w:color="auto" w:fill="FFFFFF"/>
        </w:rPr>
        <w:t>against</w:t>
      </w:r>
      <w:r w:rsidRPr="00AD0B5B">
        <w:rPr>
          <w:color w:val="222222"/>
          <w:sz w:val="20"/>
          <w:szCs w:val="20"/>
          <w:shd w:val="clear" w:color="auto" w:fill="FFFFFF"/>
        </w:rPr>
        <w:t xml:space="preserve"> Cancer program. </w:t>
      </w:r>
      <w:r w:rsidRPr="00AD0B5B">
        <w:rPr>
          <w:iCs/>
          <w:color w:val="222222"/>
          <w:sz w:val="20"/>
          <w:szCs w:val="20"/>
          <w:shd w:val="clear" w:color="auto" w:fill="FFFFFF"/>
        </w:rPr>
        <w:t>Leukemia</w:t>
      </w:r>
      <w:r w:rsidRPr="00AD0B5B">
        <w:rPr>
          <w:color w:val="222222"/>
          <w:sz w:val="20"/>
          <w:szCs w:val="20"/>
          <w:shd w:val="clear" w:color="auto" w:fill="FFFFFF"/>
        </w:rPr>
        <w:t>, </w:t>
      </w:r>
      <w:r w:rsidRPr="00AD0B5B">
        <w:rPr>
          <w:iCs/>
          <w:color w:val="222222"/>
          <w:sz w:val="20"/>
          <w:szCs w:val="20"/>
          <w:shd w:val="clear" w:color="auto" w:fill="FFFFFF"/>
        </w:rPr>
        <w:t>17</w:t>
      </w:r>
      <w:r w:rsidRPr="00AD0B5B">
        <w:rPr>
          <w:color w:val="222222"/>
          <w:sz w:val="20"/>
          <w:szCs w:val="20"/>
          <w:shd w:val="clear" w:color="auto" w:fill="FFFFFF"/>
        </w:rPr>
        <w:t>(12), 2318-2357.</w:t>
      </w:r>
    </w:p>
    <w:p w14:paraId="258BBED3" w14:textId="09429F45" w:rsidR="00143D1B" w:rsidRPr="00AD0B5B" w:rsidRDefault="00143D1B"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Takeuchi, J., Kyo, T., Naito, K., Sao, H., Takahashi, M., Miyawaki, S</w:t>
      </w:r>
      <w:r w:rsidR="004F7E2A" w:rsidRPr="00AD0B5B">
        <w:rPr>
          <w:color w:val="222222"/>
          <w:sz w:val="20"/>
          <w:szCs w:val="20"/>
          <w:shd w:val="clear" w:color="auto" w:fill="FFFFFF"/>
        </w:rPr>
        <w:t>.,</w:t>
      </w:r>
      <w:r w:rsidRPr="00AD0B5B">
        <w:rPr>
          <w:color w:val="222222"/>
          <w:sz w:val="20"/>
          <w:szCs w:val="20"/>
          <w:shd w:val="clear" w:color="auto" w:fill="FFFFFF"/>
        </w:rPr>
        <w:t xml:space="preserve"> &amp; Ohno, R. (2002). Induction therapy by frequent administration of doxorubicin with four other drugs, followed by intensive consolidation and maintenance therapy for adult acute lymphoblastic leukemia: the JALSG-ALL93 study. </w:t>
      </w:r>
      <w:r w:rsidRPr="00AD0B5B">
        <w:rPr>
          <w:iCs/>
          <w:color w:val="222222"/>
          <w:sz w:val="20"/>
          <w:szCs w:val="20"/>
          <w:shd w:val="clear" w:color="auto" w:fill="FFFFFF"/>
        </w:rPr>
        <w:t>Leukemia</w:t>
      </w:r>
      <w:r w:rsidRPr="00AD0B5B">
        <w:rPr>
          <w:color w:val="222222"/>
          <w:sz w:val="20"/>
          <w:szCs w:val="20"/>
          <w:shd w:val="clear" w:color="auto" w:fill="FFFFFF"/>
        </w:rPr>
        <w:t>, </w:t>
      </w:r>
      <w:r w:rsidRPr="00AD0B5B">
        <w:rPr>
          <w:iCs/>
          <w:color w:val="222222"/>
          <w:sz w:val="20"/>
          <w:szCs w:val="20"/>
          <w:shd w:val="clear" w:color="auto" w:fill="FFFFFF"/>
        </w:rPr>
        <w:t>16</w:t>
      </w:r>
      <w:r w:rsidRPr="00AD0B5B">
        <w:rPr>
          <w:color w:val="222222"/>
          <w:sz w:val="20"/>
          <w:szCs w:val="20"/>
          <w:shd w:val="clear" w:color="auto" w:fill="FFFFFF"/>
        </w:rPr>
        <w:t>(7), 1259-1266.</w:t>
      </w:r>
    </w:p>
    <w:p w14:paraId="3DF8D6F6" w14:textId="05FBCF43" w:rsidR="00143D1B" w:rsidRPr="00AD0B5B" w:rsidRDefault="00143D1B"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Faiz, M., Iqbal, Q. J., &amp; Qureshi, A. (2011). High preval</w:t>
      </w:r>
      <w:r w:rsidR="00AD41EC">
        <w:rPr>
          <w:color w:val="222222"/>
          <w:sz w:val="20"/>
          <w:szCs w:val="20"/>
          <w:shd w:val="clear" w:color="auto" w:fill="FFFFFF"/>
        </w:rPr>
        <w:t>ence of BCR-</w:t>
      </w:r>
      <w:r w:rsidRPr="00AD0B5B">
        <w:rPr>
          <w:color w:val="222222"/>
          <w:sz w:val="20"/>
          <w:szCs w:val="20"/>
          <w:shd w:val="clear" w:color="auto" w:fill="FFFFFF"/>
        </w:rPr>
        <w:t>ABL fusion transcripts with poor prognostic impact among adult ALL patients: report from Pakistan. </w:t>
      </w:r>
      <w:r w:rsidRPr="00AD0B5B">
        <w:rPr>
          <w:iCs/>
          <w:color w:val="222222"/>
          <w:sz w:val="20"/>
          <w:szCs w:val="20"/>
          <w:shd w:val="clear" w:color="auto" w:fill="FFFFFF"/>
        </w:rPr>
        <w:t>Asia‐Pacific Journal of Clinical Oncology</w:t>
      </w:r>
      <w:r w:rsidRPr="00AD0B5B">
        <w:rPr>
          <w:color w:val="222222"/>
          <w:sz w:val="20"/>
          <w:szCs w:val="20"/>
          <w:shd w:val="clear" w:color="auto" w:fill="FFFFFF"/>
        </w:rPr>
        <w:t>, </w:t>
      </w:r>
      <w:r w:rsidRPr="00AD0B5B">
        <w:rPr>
          <w:iCs/>
          <w:color w:val="222222"/>
          <w:sz w:val="20"/>
          <w:szCs w:val="20"/>
          <w:shd w:val="clear" w:color="auto" w:fill="FFFFFF"/>
        </w:rPr>
        <w:t>7</w:t>
      </w:r>
      <w:r w:rsidRPr="00AD0B5B">
        <w:rPr>
          <w:color w:val="222222"/>
          <w:sz w:val="20"/>
          <w:szCs w:val="20"/>
          <w:shd w:val="clear" w:color="auto" w:fill="FFFFFF"/>
        </w:rPr>
        <w:t>(1), 47-55.</w:t>
      </w:r>
    </w:p>
    <w:p w14:paraId="50440308" w14:textId="6FAA2EBA" w:rsidR="00501AFF" w:rsidRPr="00AD0B5B" w:rsidRDefault="00143D1B" w:rsidP="00143D1B">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Tabatabaei, S. A., Far, M. A. J., Asnafi, A. A., Tavakoli, F., &amp; Asadi, Z. T. (2019). P190 BCR-ABL1Transcript Prevalence in Iranian Children with Acute Lymphoblastic Leukemia.</w:t>
      </w:r>
    </w:p>
    <w:p w14:paraId="4D5A884A" w14:textId="77777777" w:rsidR="00143D1B" w:rsidRPr="00AD0B5B" w:rsidRDefault="00143D1B" w:rsidP="002D248A">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Devi, S., Sudershan, A., Younis, M., Bala, A., Mahajan, K., Panjayalia, R. K., &amp; Kumar, P. Risk factors of pediatric acute lymphoblastic leukemia: A review.</w:t>
      </w:r>
    </w:p>
    <w:p w14:paraId="205B43A2" w14:textId="76F65F4F" w:rsidR="00143D1B" w:rsidRPr="00AD0B5B" w:rsidRDefault="00143D1B" w:rsidP="00501AFF">
      <w:pPr>
        <w:pStyle w:val="ListParagraph"/>
        <w:numPr>
          <w:ilvl w:val="0"/>
          <w:numId w:val="5"/>
        </w:numPr>
        <w:jc w:val="both"/>
        <w:rPr>
          <w:sz w:val="20"/>
          <w:szCs w:val="20"/>
        </w:rPr>
      </w:pPr>
      <w:r w:rsidRPr="00AD0B5B">
        <w:rPr>
          <w:color w:val="222222"/>
          <w:sz w:val="20"/>
          <w:szCs w:val="20"/>
          <w:shd w:val="clear" w:color="auto" w:fill="FFFFFF"/>
        </w:rPr>
        <w:t>Arunachalam, A. K., Janet, N. B., Korula, A., Lakshmi, K. M., Kulkarni, U. P., Aboobacker, F. N., Abraham A, George B, Balasubramanian P, &amp; Mathews, V. (2020). Prognostic value of MRD monitoring based on BCR-ABL1 copy numbers in Philadelphia chromosome positive acute lymphoblastic leukemia. </w:t>
      </w:r>
      <w:r w:rsidRPr="00AD0B5B">
        <w:rPr>
          <w:iCs/>
          <w:color w:val="222222"/>
          <w:sz w:val="20"/>
          <w:szCs w:val="20"/>
          <w:shd w:val="clear" w:color="auto" w:fill="FFFFFF"/>
        </w:rPr>
        <w:t>Leukemia &amp; lymphoma</w:t>
      </w:r>
      <w:r w:rsidRPr="00AD0B5B">
        <w:rPr>
          <w:color w:val="222222"/>
          <w:sz w:val="20"/>
          <w:szCs w:val="20"/>
          <w:shd w:val="clear" w:color="auto" w:fill="FFFFFF"/>
        </w:rPr>
        <w:t>, </w:t>
      </w:r>
      <w:r w:rsidRPr="00AD0B5B">
        <w:rPr>
          <w:iCs/>
          <w:color w:val="222222"/>
          <w:sz w:val="20"/>
          <w:szCs w:val="20"/>
          <w:shd w:val="clear" w:color="auto" w:fill="FFFFFF"/>
        </w:rPr>
        <w:t>61</w:t>
      </w:r>
      <w:r w:rsidRPr="00AD0B5B">
        <w:rPr>
          <w:color w:val="222222"/>
          <w:sz w:val="20"/>
          <w:szCs w:val="20"/>
          <w:shd w:val="clear" w:color="auto" w:fill="FFFFFF"/>
        </w:rPr>
        <w:t>(14), 3468-3475.</w:t>
      </w:r>
    </w:p>
    <w:p w14:paraId="1559E2C8" w14:textId="0A4CA537" w:rsidR="00143D1B" w:rsidRPr="00AD0B5B" w:rsidRDefault="00B352AD"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Al-Hammami</w:t>
      </w:r>
      <w:r w:rsidR="00143D1B" w:rsidRPr="00AD0B5B">
        <w:rPr>
          <w:color w:val="222222"/>
          <w:sz w:val="20"/>
          <w:szCs w:val="20"/>
          <w:shd w:val="clear" w:color="auto" w:fill="FFFFFF"/>
        </w:rPr>
        <w:t>, S. A. (2015). Study of some biochemical parameters in Iraqi children with acute lymphoblastic leukemia. </w:t>
      </w:r>
      <w:r w:rsidR="00143D1B" w:rsidRPr="00AD0B5B">
        <w:rPr>
          <w:iCs/>
          <w:color w:val="222222"/>
          <w:sz w:val="20"/>
          <w:szCs w:val="20"/>
          <w:shd w:val="clear" w:color="auto" w:fill="FFFFFF"/>
        </w:rPr>
        <w:t>Baghdad Science Journal</w:t>
      </w:r>
      <w:r w:rsidR="00143D1B" w:rsidRPr="00AD0B5B">
        <w:rPr>
          <w:color w:val="222222"/>
          <w:sz w:val="20"/>
          <w:szCs w:val="20"/>
          <w:shd w:val="clear" w:color="auto" w:fill="FFFFFF"/>
        </w:rPr>
        <w:t>, </w:t>
      </w:r>
      <w:r w:rsidR="00143D1B" w:rsidRPr="00AD0B5B">
        <w:rPr>
          <w:iCs/>
          <w:color w:val="222222"/>
          <w:sz w:val="20"/>
          <w:szCs w:val="20"/>
          <w:shd w:val="clear" w:color="auto" w:fill="FFFFFF"/>
        </w:rPr>
        <w:t>12</w:t>
      </w:r>
      <w:r w:rsidR="00143D1B" w:rsidRPr="00AD0B5B">
        <w:rPr>
          <w:color w:val="222222"/>
          <w:sz w:val="20"/>
          <w:szCs w:val="20"/>
          <w:shd w:val="clear" w:color="auto" w:fill="FFFFFF"/>
        </w:rPr>
        <w:t>(2), 371-378.</w:t>
      </w:r>
    </w:p>
    <w:p w14:paraId="2F11CAD6" w14:textId="18F27FC4" w:rsidR="00501AFF" w:rsidRPr="00AD0B5B" w:rsidRDefault="00143D1B" w:rsidP="00143D1B">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Schwartz, M. K. (1992). Enzymes as prognostic markers and therapeutic indicators in patients with cancer. </w:t>
      </w:r>
      <w:r w:rsidRPr="00AD0B5B">
        <w:rPr>
          <w:iCs/>
          <w:color w:val="222222"/>
          <w:sz w:val="20"/>
          <w:szCs w:val="20"/>
          <w:shd w:val="clear" w:color="auto" w:fill="FFFFFF"/>
        </w:rPr>
        <w:t>Clinica chimica acta</w:t>
      </w:r>
      <w:r w:rsidRPr="00AD0B5B">
        <w:rPr>
          <w:color w:val="222222"/>
          <w:sz w:val="20"/>
          <w:szCs w:val="20"/>
          <w:shd w:val="clear" w:color="auto" w:fill="FFFFFF"/>
        </w:rPr>
        <w:t>, </w:t>
      </w:r>
      <w:r w:rsidRPr="00AD0B5B">
        <w:rPr>
          <w:iCs/>
          <w:color w:val="222222"/>
          <w:sz w:val="20"/>
          <w:szCs w:val="20"/>
          <w:shd w:val="clear" w:color="auto" w:fill="FFFFFF"/>
        </w:rPr>
        <w:t>206</w:t>
      </w:r>
      <w:r w:rsidRPr="00AD0B5B">
        <w:rPr>
          <w:color w:val="222222"/>
          <w:sz w:val="20"/>
          <w:szCs w:val="20"/>
          <w:shd w:val="clear" w:color="auto" w:fill="FFFFFF"/>
        </w:rPr>
        <w:t>(1-2), 77-82.</w:t>
      </w:r>
    </w:p>
    <w:p w14:paraId="595B9ED1" w14:textId="77777777" w:rsidR="00143D1B" w:rsidRPr="00AD0B5B" w:rsidRDefault="00143D1B"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Kornberg, A., &amp; Polliack, A. (1980). Serum lactic dehydrogenase (LDH) levels in acute leukemia: marked elevations in lymphoblastic leukemia. </w:t>
      </w:r>
      <w:r w:rsidRPr="00AD0B5B">
        <w:rPr>
          <w:iCs/>
          <w:color w:val="222222"/>
          <w:sz w:val="20"/>
          <w:szCs w:val="20"/>
          <w:shd w:val="clear" w:color="auto" w:fill="FFFFFF"/>
        </w:rPr>
        <w:t>Blood</w:t>
      </w:r>
      <w:r w:rsidRPr="00AD0B5B">
        <w:rPr>
          <w:color w:val="222222"/>
          <w:sz w:val="20"/>
          <w:szCs w:val="20"/>
          <w:shd w:val="clear" w:color="auto" w:fill="FFFFFF"/>
        </w:rPr>
        <w:t>, </w:t>
      </w:r>
      <w:r w:rsidRPr="00AD0B5B">
        <w:rPr>
          <w:iCs/>
          <w:color w:val="222222"/>
          <w:sz w:val="20"/>
          <w:szCs w:val="20"/>
          <w:shd w:val="clear" w:color="auto" w:fill="FFFFFF"/>
        </w:rPr>
        <w:t>56</w:t>
      </w:r>
      <w:r w:rsidRPr="00AD0B5B">
        <w:rPr>
          <w:color w:val="222222"/>
          <w:sz w:val="20"/>
          <w:szCs w:val="20"/>
          <w:shd w:val="clear" w:color="auto" w:fill="FFFFFF"/>
        </w:rPr>
        <w:t>(3), 351-355.</w:t>
      </w:r>
    </w:p>
    <w:p w14:paraId="53EC797B" w14:textId="77777777" w:rsidR="00143D1B" w:rsidRPr="00AD0B5B" w:rsidRDefault="00143D1B"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Hamodat, Z. M. A., AL-Talib, N. A., &amp; Abduljalal, M. H. (2020). Study of some biochemical markers for patients with leukemia. </w:t>
      </w:r>
      <w:r w:rsidRPr="00AD0B5B">
        <w:rPr>
          <w:iCs/>
          <w:color w:val="222222"/>
          <w:sz w:val="20"/>
          <w:szCs w:val="20"/>
          <w:shd w:val="clear" w:color="auto" w:fill="FFFFFF"/>
        </w:rPr>
        <w:t>EurAsian Journal of BioSciences</w:t>
      </w:r>
      <w:r w:rsidRPr="00AD0B5B">
        <w:rPr>
          <w:color w:val="222222"/>
          <w:sz w:val="20"/>
          <w:szCs w:val="20"/>
          <w:shd w:val="clear" w:color="auto" w:fill="FFFFFF"/>
        </w:rPr>
        <w:t>, </w:t>
      </w:r>
      <w:r w:rsidRPr="00AD0B5B">
        <w:rPr>
          <w:iCs/>
          <w:color w:val="222222"/>
          <w:sz w:val="20"/>
          <w:szCs w:val="20"/>
          <w:shd w:val="clear" w:color="auto" w:fill="FFFFFF"/>
        </w:rPr>
        <w:t>14</w:t>
      </w:r>
      <w:r w:rsidRPr="00AD0B5B">
        <w:rPr>
          <w:color w:val="222222"/>
          <w:sz w:val="20"/>
          <w:szCs w:val="20"/>
          <w:shd w:val="clear" w:color="auto" w:fill="FFFFFF"/>
        </w:rPr>
        <w:t>(1).</w:t>
      </w:r>
    </w:p>
    <w:p w14:paraId="499E8CA1" w14:textId="0C05C1E7" w:rsidR="00501AFF" w:rsidRPr="00AD0B5B" w:rsidRDefault="00501AFF"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Al-Saadoon, E. A., Al-Naama, L. M., &amp; Hassan, J. K. (2003). Serum lactate dehydrogenase (LDH) activity in children with malignant diseases. </w:t>
      </w:r>
      <w:r w:rsidRPr="00AD0B5B">
        <w:rPr>
          <w:iCs/>
          <w:color w:val="222222"/>
          <w:sz w:val="20"/>
          <w:szCs w:val="20"/>
          <w:shd w:val="clear" w:color="auto" w:fill="FFFFFF"/>
        </w:rPr>
        <w:t>Bahrain Medical Bulletin</w:t>
      </w:r>
      <w:r w:rsidRPr="00AD0B5B">
        <w:rPr>
          <w:color w:val="222222"/>
          <w:sz w:val="20"/>
          <w:szCs w:val="20"/>
          <w:shd w:val="clear" w:color="auto" w:fill="FFFFFF"/>
        </w:rPr>
        <w:t>, </w:t>
      </w:r>
      <w:r w:rsidRPr="00AD0B5B">
        <w:rPr>
          <w:iCs/>
          <w:color w:val="222222"/>
          <w:sz w:val="20"/>
          <w:szCs w:val="20"/>
          <w:shd w:val="clear" w:color="auto" w:fill="FFFFFF"/>
        </w:rPr>
        <w:t>25</w:t>
      </w:r>
      <w:r w:rsidRPr="00AD0B5B">
        <w:rPr>
          <w:color w:val="222222"/>
          <w:sz w:val="20"/>
          <w:szCs w:val="20"/>
          <w:shd w:val="clear" w:color="auto" w:fill="FFFFFF"/>
        </w:rPr>
        <w:t>(2), 1-7.</w:t>
      </w:r>
    </w:p>
    <w:p w14:paraId="423FF46A" w14:textId="72DF287A" w:rsidR="00501AFF" w:rsidRPr="00AD0B5B" w:rsidRDefault="00501AFF"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 xml:space="preserve">Alam, A. S., Hoshen, M. I., Ahmmad, B. N., Sarke, S., Amin, M. R., Rahman, F., &amp; Uddin, M. B. (2023). Correlation with serum Lactate dehydrogenase level and Hematological parameters before and after induction of remission in childhood </w:t>
      </w:r>
      <w:r w:rsidR="004F7E2A" w:rsidRPr="00AD0B5B">
        <w:rPr>
          <w:color w:val="222222"/>
          <w:sz w:val="20"/>
          <w:szCs w:val="20"/>
          <w:shd w:val="clear" w:color="auto" w:fill="FFFFFF"/>
        </w:rPr>
        <w:t>acute</w:t>
      </w:r>
      <w:r w:rsidRPr="00AD0B5B">
        <w:rPr>
          <w:color w:val="222222"/>
          <w:sz w:val="20"/>
          <w:szCs w:val="20"/>
          <w:shd w:val="clear" w:color="auto" w:fill="FFFFFF"/>
        </w:rPr>
        <w:t xml:space="preserve"> lymphoblastic leukemia-A prospective study. </w:t>
      </w:r>
      <w:r w:rsidRPr="00AD0B5B">
        <w:rPr>
          <w:iCs/>
          <w:color w:val="222222"/>
          <w:sz w:val="20"/>
          <w:szCs w:val="20"/>
          <w:shd w:val="clear" w:color="auto" w:fill="FFFFFF"/>
        </w:rPr>
        <w:t>TAJ: Journal of Teachers Association</w:t>
      </w:r>
      <w:r w:rsidRPr="00AD0B5B">
        <w:rPr>
          <w:color w:val="222222"/>
          <w:sz w:val="20"/>
          <w:szCs w:val="20"/>
          <w:shd w:val="clear" w:color="auto" w:fill="FFFFFF"/>
        </w:rPr>
        <w:t>, </w:t>
      </w:r>
      <w:r w:rsidRPr="00AD0B5B">
        <w:rPr>
          <w:iCs/>
          <w:color w:val="222222"/>
          <w:sz w:val="20"/>
          <w:szCs w:val="20"/>
          <w:shd w:val="clear" w:color="auto" w:fill="FFFFFF"/>
        </w:rPr>
        <w:t>36</w:t>
      </w:r>
      <w:r w:rsidRPr="00AD0B5B">
        <w:rPr>
          <w:color w:val="222222"/>
          <w:sz w:val="20"/>
          <w:szCs w:val="20"/>
          <w:shd w:val="clear" w:color="auto" w:fill="FFFFFF"/>
        </w:rPr>
        <w:t>(2), 83-92.</w:t>
      </w:r>
    </w:p>
    <w:p w14:paraId="7EAD94EF" w14:textId="5199CEEB" w:rsidR="00501AFF" w:rsidRPr="00AD0B5B" w:rsidRDefault="00501AFF"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Hafiz, M. G., &amp; Mannan, M. A. (2007). Serum lactate dehydrogenase level in childhood acute lymphoblastic leukemia. </w:t>
      </w:r>
      <w:r w:rsidRPr="00AD0B5B">
        <w:rPr>
          <w:iCs/>
          <w:color w:val="222222"/>
          <w:sz w:val="20"/>
          <w:szCs w:val="20"/>
          <w:shd w:val="clear" w:color="auto" w:fill="FFFFFF"/>
        </w:rPr>
        <w:t>Bangladesh Medical Research Council Bulletin</w:t>
      </w:r>
      <w:r w:rsidRPr="00AD0B5B">
        <w:rPr>
          <w:color w:val="222222"/>
          <w:sz w:val="20"/>
          <w:szCs w:val="20"/>
          <w:shd w:val="clear" w:color="auto" w:fill="FFFFFF"/>
        </w:rPr>
        <w:t>, </w:t>
      </w:r>
      <w:r w:rsidRPr="00AD0B5B">
        <w:rPr>
          <w:iCs/>
          <w:color w:val="222222"/>
          <w:sz w:val="20"/>
          <w:szCs w:val="20"/>
          <w:shd w:val="clear" w:color="auto" w:fill="FFFFFF"/>
        </w:rPr>
        <w:t>33</w:t>
      </w:r>
      <w:r w:rsidRPr="00AD0B5B">
        <w:rPr>
          <w:color w:val="222222"/>
          <w:sz w:val="20"/>
          <w:szCs w:val="20"/>
          <w:shd w:val="clear" w:color="auto" w:fill="FFFFFF"/>
        </w:rPr>
        <w:t>(3), 88-91.</w:t>
      </w:r>
    </w:p>
    <w:p w14:paraId="41D05123" w14:textId="7D106D3B" w:rsidR="00501AFF" w:rsidRPr="00AD0B5B" w:rsidRDefault="00501AFF" w:rsidP="00501AFF">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Hafiz, M. G., M. M. Rahman, and M. A. Mannan. "Serum lactate dehydrogenase as a prognostic marker of childhood acute lymphoblastic leukemia." </w:t>
      </w:r>
      <w:r w:rsidRPr="00AD0B5B">
        <w:rPr>
          <w:iCs/>
          <w:color w:val="222222"/>
          <w:sz w:val="20"/>
          <w:szCs w:val="20"/>
          <w:shd w:val="clear" w:color="auto" w:fill="FFFFFF"/>
        </w:rPr>
        <w:t>Mymensingh Med J</w:t>
      </w:r>
      <w:r w:rsidRPr="00AD0B5B">
        <w:rPr>
          <w:color w:val="222222"/>
          <w:sz w:val="20"/>
          <w:szCs w:val="20"/>
          <w:shd w:val="clear" w:color="auto" w:fill="FFFFFF"/>
        </w:rPr>
        <w:t> 17, no. 2 (2008): 169-173.</w:t>
      </w:r>
    </w:p>
    <w:p w14:paraId="6FC58554" w14:textId="625448CA" w:rsidR="00501AFF" w:rsidRPr="00AD0B5B" w:rsidRDefault="00501AFF" w:rsidP="002D248A">
      <w:pPr>
        <w:pStyle w:val="ListParagraph"/>
        <w:numPr>
          <w:ilvl w:val="0"/>
          <w:numId w:val="5"/>
        </w:numPr>
        <w:jc w:val="both"/>
        <w:rPr>
          <w:color w:val="222222"/>
          <w:sz w:val="20"/>
          <w:szCs w:val="20"/>
          <w:shd w:val="clear" w:color="auto" w:fill="FFFFFF"/>
        </w:rPr>
      </w:pPr>
      <w:r w:rsidRPr="00AD0B5B">
        <w:rPr>
          <w:color w:val="222222"/>
          <w:sz w:val="20"/>
          <w:szCs w:val="20"/>
          <w:shd w:val="clear" w:color="auto" w:fill="FFFFFF"/>
        </w:rPr>
        <w:t>Liu, R., Cao, J., Gao, X., Zhang, J., Wang, L., Wang, B</w:t>
      </w:r>
      <w:r w:rsidR="004F7E2A" w:rsidRPr="00AD0B5B">
        <w:rPr>
          <w:color w:val="222222"/>
          <w:sz w:val="20"/>
          <w:szCs w:val="20"/>
          <w:shd w:val="clear" w:color="auto" w:fill="FFFFFF"/>
        </w:rPr>
        <w:t>.,</w:t>
      </w:r>
      <w:r w:rsidRPr="00AD0B5B">
        <w:rPr>
          <w:color w:val="222222"/>
          <w:sz w:val="20"/>
          <w:szCs w:val="20"/>
          <w:shd w:val="clear" w:color="auto" w:fill="FFFFFF"/>
        </w:rPr>
        <w:t xml:space="preserve"> &amp; Wang, Z. (2016). Overall survival of cancer patients with serum lactate dehydrogenase greater than 1000 IU/L. </w:t>
      </w:r>
      <w:r w:rsidRPr="00AD0B5B">
        <w:rPr>
          <w:iCs/>
          <w:color w:val="222222"/>
          <w:sz w:val="20"/>
          <w:szCs w:val="20"/>
          <w:shd w:val="clear" w:color="auto" w:fill="FFFFFF"/>
        </w:rPr>
        <w:t>Tumor Biology</w:t>
      </w:r>
      <w:r w:rsidRPr="00AD0B5B">
        <w:rPr>
          <w:color w:val="222222"/>
          <w:sz w:val="20"/>
          <w:szCs w:val="20"/>
          <w:shd w:val="clear" w:color="auto" w:fill="FFFFFF"/>
        </w:rPr>
        <w:t>, </w:t>
      </w:r>
      <w:r w:rsidRPr="00AD0B5B">
        <w:rPr>
          <w:iCs/>
          <w:color w:val="222222"/>
          <w:sz w:val="20"/>
          <w:szCs w:val="20"/>
          <w:shd w:val="clear" w:color="auto" w:fill="FFFFFF"/>
        </w:rPr>
        <w:t>37</w:t>
      </w:r>
      <w:r w:rsidRPr="00AD0B5B">
        <w:rPr>
          <w:color w:val="222222"/>
          <w:sz w:val="20"/>
          <w:szCs w:val="20"/>
          <w:shd w:val="clear" w:color="auto" w:fill="FFFFFF"/>
        </w:rPr>
        <w:t>, 14083-14088.</w:t>
      </w:r>
    </w:p>
    <w:p w14:paraId="40581994" w14:textId="77777777" w:rsidR="00501AFF" w:rsidRPr="00AD0B5B" w:rsidRDefault="00501AFF" w:rsidP="00DD5508">
      <w:pPr>
        <w:spacing w:after="0" w:line="276" w:lineRule="auto"/>
        <w:jc w:val="both"/>
        <w:rPr>
          <w:rFonts w:ascii="Times New Roman" w:hAnsi="Times New Roman" w:cs="Times New Roman"/>
          <w:sz w:val="20"/>
          <w:szCs w:val="20"/>
        </w:rPr>
      </w:pPr>
    </w:p>
    <w:sectPr w:rsidR="00501AFF" w:rsidRPr="00AD0B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39D27" w14:textId="77777777" w:rsidR="00D82998" w:rsidRDefault="00D82998" w:rsidP="00077DAF">
      <w:pPr>
        <w:spacing w:after="0" w:line="240" w:lineRule="auto"/>
      </w:pPr>
      <w:r>
        <w:separator/>
      </w:r>
    </w:p>
  </w:endnote>
  <w:endnote w:type="continuationSeparator" w:id="0">
    <w:p w14:paraId="73E20416" w14:textId="77777777" w:rsidR="00D82998" w:rsidRDefault="00D82998" w:rsidP="0007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Times-Roman">
    <w:altName w:val="Malgun Gothic"/>
    <w:panose1 w:val="00000000000000000000"/>
    <w:charset w:val="00"/>
    <w:family w:val="roman"/>
    <w:notTrueType/>
    <w:pitch w:val="default"/>
  </w:font>
  <w:font w:name="MyriadPro-Regular">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82E18" w14:textId="77777777" w:rsidR="00D82998" w:rsidRDefault="00D82998" w:rsidP="00077DAF">
      <w:pPr>
        <w:spacing w:after="0" w:line="240" w:lineRule="auto"/>
      </w:pPr>
      <w:r>
        <w:separator/>
      </w:r>
    </w:p>
  </w:footnote>
  <w:footnote w:type="continuationSeparator" w:id="0">
    <w:p w14:paraId="7B152611" w14:textId="77777777" w:rsidR="00D82998" w:rsidRDefault="00D82998" w:rsidP="00077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33BEA"/>
    <w:multiLevelType w:val="hybridMultilevel"/>
    <w:tmpl w:val="26E4478C"/>
    <w:lvl w:ilvl="0" w:tplc="B680C4B6">
      <w:start w:val="1"/>
      <w:numFmt w:val="decimal"/>
      <w:lvlText w:val="%1."/>
      <w:lvlJc w:val="left"/>
      <w:pPr>
        <w:ind w:left="420" w:hanging="4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CD6930"/>
    <w:multiLevelType w:val="hybridMultilevel"/>
    <w:tmpl w:val="4A70F8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1D339FD"/>
    <w:multiLevelType w:val="hybridMultilevel"/>
    <w:tmpl w:val="A68CD5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566C31E7"/>
    <w:multiLevelType w:val="hybridMultilevel"/>
    <w:tmpl w:val="9B1C0010"/>
    <w:lvl w:ilvl="0" w:tplc="B680C4B6">
      <w:start w:val="1"/>
      <w:numFmt w:val="decimal"/>
      <w:lvlText w:val="%1."/>
      <w:lvlJc w:val="left"/>
      <w:pPr>
        <w:ind w:left="420" w:hanging="4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95F5128"/>
    <w:multiLevelType w:val="hybridMultilevel"/>
    <w:tmpl w:val="886ACA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DA"/>
    <w:rsid w:val="000041B2"/>
    <w:rsid w:val="0000430D"/>
    <w:rsid w:val="0001546F"/>
    <w:rsid w:val="00016496"/>
    <w:rsid w:val="00030A2B"/>
    <w:rsid w:val="00032A3F"/>
    <w:rsid w:val="00037026"/>
    <w:rsid w:val="000411CC"/>
    <w:rsid w:val="00041672"/>
    <w:rsid w:val="000427F6"/>
    <w:rsid w:val="00061983"/>
    <w:rsid w:val="000666BB"/>
    <w:rsid w:val="00067059"/>
    <w:rsid w:val="00077DAF"/>
    <w:rsid w:val="00081AF2"/>
    <w:rsid w:val="000845B0"/>
    <w:rsid w:val="00084CF9"/>
    <w:rsid w:val="000877B1"/>
    <w:rsid w:val="000900D4"/>
    <w:rsid w:val="00090D2C"/>
    <w:rsid w:val="00092A94"/>
    <w:rsid w:val="000A6439"/>
    <w:rsid w:val="000A70DA"/>
    <w:rsid w:val="000B0E95"/>
    <w:rsid w:val="000C0B38"/>
    <w:rsid w:val="000E0167"/>
    <w:rsid w:val="000E03E1"/>
    <w:rsid w:val="000F5AB9"/>
    <w:rsid w:val="00102393"/>
    <w:rsid w:val="001072C8"/>
    <w:rsid w:val="00120C84"/>
    <w:rsid w:val="0012217C"/>
    <w:rsid w:val="0012744D"/>
    <w:rsid w:val="001275A4"/>
    <w:rsid w:val="00143D1B"/>
    <w:rsid w:val="00150EEC"/>
    <w:rsid w:val="00152B28"/>
    <w:rsid w:val="0015735D"/>
    <w:rsid w:val="00162968"/>
    <w:rsid w:val="00173B9C"/>
    <w:rsid w:val="00175A50"/>
    <w:rsid w:val="001825EE"/>
    <w:rsid w:val="00187609"/>
    <w:rsid w:val="00191F4A"/>
    <w:rsid w:val="00195908"/>
    <w:rsid w:val="001A3863"/>
    <w:rsid w:val="001B2DAE"/>
    <w:rsid w:val="001C1AC6"/>
    <w:rsid w:val="001C35EC"/>
    <w:rsid w:val="001C5045"/>
    <w:rsid w:val="001C5182"/>
    <w:rsid w:val="001D558B"/>
    <w:rsid w:val="001E54EB"/>
    <w:rsid w:val="001E6D68"/>
    <w:rsid w:val="001E71DD"/>
    <w:rsid w:val="001F41CD"/>
    <w:rsid w:val="002159B1"/>
    <w:rsid w:val="00216BD1"/>
    <w:rsid w:val="0022329C"/>
    <w:rsid w:val="00231AA0"/>
    <w:rsid w:val="00231ADD"/>
    <w:rsid w:val="0024474B"/>
    <w:rsid w:val="0025698D"/>
    <w:rsid w:val="00260DE1"/>
    <w:rsid w:val="002805DB"/>
    <w:rsid w:val="00286665"/>
    <w:rsid w:val="00295D36"/>
    <w:rsid w:val="002A6CCD"/>
    <w:rsid w:val="002A770D"/>
    <w:rsid w:val="002B6613"/>
    <w:rsid w:val="002B7402"/>
    <w:rsid w:val="002C060E"/>
    <w:rsid w:val="002C45E3"/>
    <w:rsid w:val="002C6752"/>
    <w:rsid w:val="002C6D2E"/>
    <w:rsid w:val="002D0F4E"/>
    <w:rsid w:val="002D248A"/>
    <w:rsid w:val="002E5956"/>
    <w:rsid w:val="002F0FC0"/>
    <w:rsid w:val="00311770"/>
    <w:rsid w:val="0031772A"/>
    <w:rsid w:val="00321652"/>
    <w:rsid w:val="00337F89"/>
    <w:rsid w:val="003443FF"/>
    <w:rsid w:val="00345237"/>
    <w:rsid w:val="00373E67"/>
    <w:rsid w:val="003766AD"/>
    <w:rsid w:val="003902EC"/>
    <w:rsid w:val="003921C7"/>
    <w:rsid w:val="0039383C"/>
    <w:rsid w:val="003A0D40"/>
    <w:rsid w:val="003B3D52"/>
    <w:rsid w:val="003E2F10"/>
    <w:rsid w:val="003E3385"/>
    <w:rsid w:val="003F1AA2"/>
    <w:rsid w:val="004064CC"/>
    <w:rsid w:val="00410655"/>
    <w:rsid w:val="00411F5E"/>
    <w:rsid w:val="00420A70"/>
    <w:rsid w:val="0043030A"/>
    <w:rsid w:val="00442222"/>
    <w:rsid w:val="004447E3"/>
    <w:rsid w:val="00447BA1"/>
    <w:rsid w:val="00450734"/>
    <w:rsid w:val="0045596F"/>
    <w:rsid w:val="004650F3"/>
    <w:rsid w:val="00465794"/>
    <w:rsid w:val="00466D65"/>
    <w:rsid w:val="00470C78"/>
    <w:rsid w:val="004732DF"/>
    <w:rsid w:val="004865FB"/>
    <w:rsid w:val="004B6FF9"/>
    <w:rsid w:val="004B7593"/>
    <w:rsid w:val="004C332A"/>
    <w:rsid w:val="004C38D9"/>
    <w:rsid w:val="004C7CCB"/>
    <w:rsid w:val="004C7FF7"/>
    <w:rsid w:val="004D0C77"/>
    <w:rsid w:val="004D30E5"/>
    <w:rsid w:val="004D3264"/>
    <w:rsid w:val="004E6C66"/>
    <w:rsid w:val="004F55A7"/>
    <w:rsid w:val="004F7E2A"/>
    <w:rsid w:val="00501AFF"/>
    <w:rsid w:val="00504A84"/>
    <w:rsid w:val="0050682A"/>
    <w:rsid w:val="00515D29"/>
    <w:rsid w:val="00522B0D"/>
    <w:rsid w:val="005352A7"/>
    <w:rsid w:val="00536698"/>
    <w:rsid w:val="00536CB8"/>
    <w:rsid w:val="005402BB"/>
    <w:rsid w:val="00543521"/>
    <w:rsid w:val="005500D5"/>
    <w:rsid w:val="005567F6"/>
    <w:rsid w:val="00560B30"/>
    <w:rsid w:val="00570278"/>
    <w:rsid w:val="0057610D"/>
    <w:rsid w:val="00594921"/>
    <w:rsid w:val="00596E21"/>
    <w:rsid w:val="005A28EA"/>
    <w:rsid w:val="005A4825"/>
    <w:rsid w:val="005A7E49"/>
    <w:rsid w:val="005B50AA"/>
    <w:rsid w:val="005B68A1"/>
    <w:rsid w:val="005C371F"/>
    <w:rsid w:val="005C443D"/>
    <w:rsid w:val="005D57B8"/>
    <w:rsid w:val="005D6022"/>
    <w:rsid w:val="005E3653"/>
    <w:rsid w:val="005E5665"/>
    <w:rsid w:val="006028C2"/>
    <w:rsid w:val="00603389"/>
    <w:rsid w:val="00605B8E"/>
    <w:rsid w:val="00606479"/>
    <w:rsid w:val="00614F0C"/>
    <w:rsid w:val="00622E6E"/>
    <w:rsid w:val="0062578F"/>
    <w:rsid w:val="00632191"/>
    <w:rsid w:val="0063567F"/>
    <w:rsid w:val="0063586B"/>
    <w:rsid w:val="0063766D"/>
    <w:rsid w:val="00651300"/>
    <w:rsid w:val="00660C39"/>
    <w:rsid w:val="00662101"/>
    <w:rsid w:val="00663052"/>
    <w:rsid w:val="0066706F"/>
    <w:rsid w:val="006706B1"/>
    <w:rsid w:val="00681E70"/>
    <w:rsid w:val="00683541"/>
    <w:rsid w:val="00684CA4"/>
    <w:rsid w:val="006872C0"/>
    <w:rsid w:val="00687A53"/>
    <w:rsid w:val="00690AE3"/>
    <w:rsid w:val="00691F66"/>
    <w:rsid w:val="00695098"/>
    <w:rsid w:val="00695D28"/>
    <w:rsid w:val="00697D3E"/>
    <w:rsid w:val="006A59BA"/>
    <w:rsid w:val="006B1201"/>
    <w:rsid w:val="006B1220"/>
    <w:rsid w:val="006B7048"/>
    <w:rsid w:val="006C6D97"/>
    <w:rsid w:val="006D0C5A"/>
    <w:rsid w:val="006D3208"/>
    <w:rsid w:val="006F2E0C"/>
    <w:rsid w:val="0070059B"/>
    <w:rsid w:val="0070580D"/>
    <w:rsid w:val="00710959"/>
    <w:rsid w:val="0071357C"/>
    <w:rsid w:val="00714BA6"/>
    <w:rsid w:val="007164C7"/>
    <w:rsid w:val="0072524B"/>
    <w:rsid w:val="00727697"/>
    <w:rsid w:val="00734F43"/>
    <w:rsid w:val="00743DF8"/>
    <w:rsid w:val="00750B2A"/>
    <w:rsid w:val="00751B7C"/>
    <w:rsid w:val="00773E90"/>
    <w:rsid w:val="00775B67"/>
    <w:rsid w:val="00776B13"/>
    <w:rsid w:val="00796D04"/>
    <w:rsid w:val="007A3E82"/>
    <w:rsid w:val="007B04EB"/>
    <w:rsid w:val="007B38C3"/>
    <w:rsid w:val="007B7EAA"/>
    <w:rsid w:val="007C72E3"/>
    <w:rsid w:val="007E3EE5"/>
    <w:rsid w:val="007E581B"/>
    <w:rsid w:val="007F454C"/>
    <w:rsid w:val="007F75A2"/>
    <w:rsid w:val="0080382C"/>
    <w:rsid w:val="00812A64"/>
    <w:rsid w:val="008206D9"/>
    <w:rsid w:val="008274C1"/>
    <w:rsid w:val="00837A85"/>
    <w:rsid w:val="00837CD5"/>
    <w:rsid w:val="008413AF"/>
    <w:rsid w:val="00847EDE"/>
    <w:rsid w:val="0085228A"/>
    <w:rsid w:val="00853EF9"/>
    <w:rsid w:val="00863A6E"/>
    <w:rsid w:val="00871F8F"/>
    <w:rsid w:val="00877B23"/>
    <w:rsid w:val="00884151"/>
    <w:rsid w:val="00887C6D"/>
    <w:rsid w:val="00890D1E"/>
    <w:rsid w:val="008925E1"/>
    <w:rsid w:val="00894720"/>
    <w:rsid w:val="008C42C4"/>
    <w:rsid w:val="008C6997"/>
    <w:rsid w:val="008E01A5"/>
    <w:rsid w:val="008F2216"/>
    <w:rsid w:val="008F2960"/>
    <w:rsid w:val="00905C73"/>
    <w:rsid w:val="00912719"/>
    <w:rsid w:val="00914081"/>
    <w:rsid w:val="009234A7"/>
    <w:rsid w:val="00924723"/>
    <w:rsid w:val="00932340"/>
    <w:rsid w:val="00933A5B"/>
    <w:rsid w:val="00966A3E"/>
    <w:rsid w:val="00971A22"/>
    <w:rsid w:val="00986F37"/>
    <w:rsid w:val="0099105C"/>
    <w:rsid w:val="009932EA"/>
    <w:rsid w:val="0099476D"/>
    <w:rsid w:val="009A406B"/>
    <w:rsid w:val="009A71E8"/>
    <w:rsid w:val="009B3090"/>
    <w:rsid w:val="009B3241"/>
    <w:rsid w:val="009C1606"/>
    <w:rsid w:val="009C1D00"/>
    <w:rsid w:val="009C4DEB"/>
    <w:rsid w:val="009D7215"/>
    <w:rsid w:val="009F7908"/>
    <w:rsid w:val="009F7CAC"/>
    <w:rsid w:val="00A15540"/>
    <w:rsid w:val="00A1606B"/>
    <w:rsid w:val="00A1620B"/>
    <w:rsid w:val="00A22078"/>
    <w:rsid w:val="00A27E36"/>
    <w:rsid w:val="00A340AE"/>
    <w:rsid w:val="00A3512A"/>
    <w:rsid w:val="00A43DB0"/>
    <w:rsid w:val="00A53C06"/>
    <w:rsid w:val="00A56F27"/>
    <w:rsid w:val="00A570F3"/>
    <w:rsid w:val="00A665DB"/>
    <w:rsid w:val="00A704E1"/>
    <w:rsid w:val="00A77058"/>
    <w:rsid w:val="00A81451"/>
    <w:rsid w:val="00A85252"/>
    <w:rsid w:val="00A8625B"/>
    <w:rsid w:val="00A876C9"/>
    <w:rsid w:val="00A91411"/>
    <w:rsid w:val="00A95523"/>
    <w:rsid w:val="00AA2674"/>
    <w:rsid w:val="00AB0B6F"/>
    <w:rsid w:val="00AB2F1A"/>
    <w:rsid w:val="00AC5F54"/>
    <w:rsid w:val="00AD0B5B"/>
    <w:rsid w:val="00AD41EC"/>
    <w:rsid w:val="00AD49B1"/>
    <w:rsid w:val="00AE6D0E"/>
    <w:rsid w:val="00AF0B6F"/>
    <w:rsid w:val="00AF31D9"/>
    <w:rsid w:val="00B1049A"/>
    <w:rsid w:val="00B30FDA"/>
    <w:rsid w:val="00B352AD"/>
    <w:rsid w:val="00B40200"/>
    <w:rsid w:val="00B411FF"/>
    <w:rsid w:val="00B41744"/>
    <w:rsid w:val="00B42F6F"/>
    <w:rsid w:val="00B4305C"/>
    <w:rsid w:val="00B46B3E"/>
    <w:rsid w:val="00B47377"/>
    <w:rsid w:val="00B4738A"/>
    <w:rsid w:val="00B51ADC"/>
    <w:rsid w:val="00B52D9F"/>
    <w:rsid w:val="00B57745"/>
    <w:rsid w:val="00B634E2"/>
    <w:rsid w:val="00B659BA"/>
    <w:rsid w:val="00B777EB"/>
    <w:rsid w:val="00B77BC0"/>
    <w:rsid w:val="00B80C45"/>
    <w:rsid w:val="00B91B8C"/>
    <w:rsid w:val="00B92B19"/>
    <w:rsid w:val="00B93A45"/>
    <w:rsid w:val="00BB7FC4"/>
    <w:rsid w:val="00BC4C15"/>
    <w:rsid w:val="00BF7D48"/>
    <w:rsid w:val="00BF7DD6"/>
    <w:rsid w:val="00C141F9"/>
    <w:rsid w:val="00C17846"/>
    <w:rsid w:val="00C17F03"/>
    <w:rsid w:val="00C33590"/>
    <w:rsid w:val="00C353ED"/>
    <w:rsid w:val="00C51ACC"/>
    <w:rsid w:val="00C523F1"/>
    <w:rsid w:val="00C52CA9"/>
    <w:rsid w:val="00C5417B"/>
    <w:rsid w:val="00C56F8D"/>
    <w:rsid w:val="00C578D0"/>
    <w:rsid w:val="00C6532B"/>
    <w:rsid w:val="00C8459E"/>
    <w:rsid w:val="00C9131C"/>
    <w:rsid w:val="00C91A16"/>
    <w:rsid w:val="00C9381E"/>
    <w:rsid w:val="00CA0A97"/>
    <w:rsid w:val="00CA0B87"/>
    <w:rsid w:val="00CA72B9"/>
    <w:rsid w:val="00CC275A"/>
    <w:rsid w:val="00CC5D64"/>
    <w:rsid w:val="00CF086D"/>
    <w:rsid w:val="00D11495"/>
    <w:rsid w:val="00D14A3B"/>
    <w:rsid w:val="00D2707C"/>
    <w:rsid w:val="00D30FD9"/>
    <w:rsid w:val="00D409CA"/>
    <w:rsid w:val="00D4525E"/>
    <w:rsid w:val="00D53DA5"/>
    <w:rsid w:val="00D577C8"/>
    <w:rsid w:val="00D57ABF"/>
    <w:rsid w:val="00D63354"/>
    <w:rsid w:val="00D73A2E"/>
    <w:rsid w:val="00D75DDA"/>
    <w:rsid w:val="00D82367"/>
    <w:rsid w:val="00D82998"/>
    <w:rsid w:val="00D83E28"/>
    <w:rsid w:val="00D8541C"/>
    <w:rsid w:val="00D95D92"/>
    <w:rsid w:val="00DA3F4D"/>
    <w:rsid w:val="00DA4DE3"/>
    <w:rsid w:val="00DB048E"/>
    <w:rsid w:val="00DB3554"/>
    <w:rsid w:val="00DB524F"/>
    <w:rsid w:val="00DB62E2"/>
    <w:rsid w:val="00DC01A0"/>
    <w:rsid w:val="00DC344D"/>
    <w:rsid w:val="00DD17E5"/>
    <w:rsid w:val="00DD5508"/>
    <w:rsid w:val="00DD70D7"/>
    <w:rsid w:val="00E0704C"/>
    <w:rsid w:val="00E2265E"/>
    <w:rsid w:val="00E259B2"/>
    <w:rsid w:val="00E37FD8"/>
    <w:rsid w:val="00E43669"/>
    <w:rsid w:val="00E53F7E"/>
    <w:rsid w:val="00E56FF7"/>
    <w:rsid w:val="00E62E34"/>
    <w:rsid w:val="00E6327E"/>
    <w:rsid w:val="00E64BC3"/>
    <w:rsid w:val="00E779DE"/>
    <w:rsid w:val="00E872C6"/>
    <w:rsid w:val="00E9247C"/>
    <w:rsid w:val="00EC4F78"/>
    <w:rsid w:val="00EC5B14"/>
    <w:rsid w:val="00EC7B86"/>
    <w:rsid w:val="00EF1AD9"/>
    <w:rsid w:val="00EF4A58"/>
    <w:rsid w:val="00EF53DA"/>
    <w:rsid w:val="00F06BFB"/>
    <w:rsid w:val="00F115E9"/>
    <w:rsid w:val="00F234E6"/>
    <w:rsid w:val="00F26CED"/>
    <w:rsid w:val="00F32552"/>
    <w:rsid w:val="00F349BE"/>
    <w:rsid w:val="00F34DDB"/>
    <w:rsid w:val="00F376F2"/>
    <w:rsid w:val="00F601E2"/>
    <w:rsid w:val="00F60AD9"/>
    <w:rsid w:val="00F61711"/>
    <w:rsid w:val="00F802A9"/>
    <w:rsid w:val="00F8130A"/>
    <w:rsid w:val="00F81F0D"/>
    <w:rsid w:val="00F84442"/>
    <w:rsid w:val="00F86AFE"/>
    <w:rsid w:val="00F9136E"/>
    <w:rsid w:val="00FA1E66"/>
    <w:rsid w:val="00FB22C8"/>
    <w:rsid w:val="00FB4559"/>
    <w:rsid w:val="00FB45B6"/>
    <w:rsid w:val="00FB78CC"/>
    <w:rsid w:val="00FC0C00"/>
    <w:rsid w:val="00FC6FB6"/>
    <w:rsid w:val="00FD4DE3"/>
    <w:rsid w:val="00FE484D"/>
    <w:rsid w:val="00FF3D1F"/>
    <w:rsid w:val="00FF53F3"/>
    <w:rsid w:val="00FF5A96"/>
    <w:rsid w:val="00FF6F2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8529"/>
  <w15:chartTrackingRefBased/>
  <w15:docId w15:val="{A466263E-F0EA-45BA-AC7F-2F633D9A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64"/>
    <w:rPr>
      <w:kern w:val="2"/>
      <w:szCs w:val="28"/>
      <w:lang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0DA"/>
    <w:rPr>
      <w:color w:val="0563C1" w:themeColor="hyperlink"/>
      <w:u w:val="single"/>
    </w:rPr>
  </w:style>
  <w:style w:type="character" w:styleId="Emphasis">
    <w:name w:val="Emphasis"/>
    <w:basedOn w:val="DefaultParagraphFont"/>
    <w:uiPriority w:val="20"/>
    <w:qFormat/>
    <w:rsid w:val="000A70DA"/>
    <w:rPr>
      <w:i/>
      <w:iCs/>
    </w:rPr>
  </w:style>
  <w:style w:type="paragraph" w:styleId="BalloonText">
    <w:name w:val="Balloon Text"/>
    <w:basedOn w:val="Normal"/>
    <w:link w:val="BalloonTextChar"/>
    <w:uiPriority w:val="99"/>
    <w:semiHidden/>
    <w:unhideWhenUsed/>
    <w:rsid w:val="0065130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51300"/>
    <w:rPr>
      <w:rFonts w:ascii="Segoe UI" w:hAnsi="Segoe UI" w:cs="Angsana New"/>
      <w:kern w:val="2"/>
      <w:sz w:val="18"/>
      <w:lang w:bidi="th-TH"/>
      <w14:ligatures w14:val="standardContextual"/>
    </w:rPr>
  </w:style>
  <w:style w:type="character" w:customStyle="1" w:styleId="fontstyle01">
    <w:name w:val="fontstyle01"/>
    <w:basedOn w:val="DefaultParagraphFont"/>
    <w:rsid w:val="003902EC"/>
    <w:rPr>
      <w:rFonts w:ascii="Times-Roman" w:hAnsi="Times-Roman" w:hint="default"/>
      <w:b w:val="0"/>
      <w:bCs w:val="0"/>
      <w:i w:val="0"/>
      <w:iCs w:val="0"/>
      <w:color w:val="000000"/>
      <w:sz w:val="24"/>
      <w:szCs w:val="24"/>
    </w:rPr>
  </w:style>
  <w:style w:type="table" w:styleId="TableGridLight">
    <w:name w:val="Grid Table Light"/>
    <w:basedOn w:val="TableNormal"/>
    <w:uiPriority w:val="40"/>
    <w:rsid w:val="00AE6D0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DC01A0"/>
    <w:pPr>
      <w:spacing w:after="0" w:line="240" w:lineRule="auto"/>
      <w:ind w:left="720"/>
      <w:contextualSpacing/>
    </w:pPr>
    <w:rPr>
      <w:rFonts w:ascii="Times New Roman" w:eastAsia="Times New Roman" w:hAnsi="Times New Roman" w:cs="Times New Roman"/>
      <w:kern w:val="0"/>
      <w:sz w:val="24"/>
      <w:szCs w:val="24"/>
      <w:lang w:eastAsia="en-IN" w:bidi="ar-SA"/>
      <w14:ligatures w14:val="none"/>
    </w:rPr>
  </w:style>
  <w:style w:type="paragraph" w:customStyle="1" w:styleId="Default">
    <w:name w:val="Default"/>
    <w:rsid w:val="00F234E6"/>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styleId="NormalWeb">
    <w:name w:val="Normal (Web)"/>
    <w:basedOn w:val="Normal"/>
    <w:uiPriority w:val="99"/>
    <w:unhideWhenUsed/>
    <w:rsid w:val="00D82367"/>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paragraph" w:customStyle="1" w:styleId="global-para-14">
    <w:name w:val="global-para-14"/>
    <w:basedOn w:val="Normal"/>
    <w:rsid w:val="00DD5508"/>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styleId="CommentReference">
    <w:name w:val="annotation reference"/>
    <w:basedOn w:val="DefaultParagraphFont"/>
    <w:uiPriority w:val="99"/>
    <w:semiHidden/>
    <w:unhideWhenUsed/>
    <w:rsid w:val="00687A53"/>
    <w:rPr>
      <w:sz w:val="16"/>
      <w:szCs w:val="16"/>
    </w:rPr>
  </w:style>
  <w:style w:type="paragraph" w:styleId="CommentText">
    <w:name w:val="annotation text"/>
    <w:basedOn w:val="Normal"/>
    <w:link w:val="CommentTextChar"/>
    <w:uiPriority w:val="99"/>
    <w:semiHidden/>
    <w:unhideWhenUsed/>
    <w:rsid w:val="00687A53"/>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687A53"/>
    <w:rPr>
      <w:rFonts w:cs="Angsana New"/>
      <w:kern w:val="2"/>
      <w:sz w:val="20"/>
      <w:szCs w:val="25"/>
      <w:lang w:bidi="th-TH"/>
      <w14:ligatures w14:val="standardContextual"/>
    </w:rPr>
  </w:style>
  <w:style w:type="paragraph" w:styleId="CommentSubject">
    <w:name w:val="annotation subject"/>
    <w:basedOn w:val="CommentText"/>
    <w:next w:val="CommentText"/>
    <w:link w:val="CommentSubjectChar"/>
    <w:uiPriority w:val="99"/>
    <w:semiHidden/>
    <w:unhideWhenUsed/>
    <w:rsid w:val="00687A53"/>
    <w:rPr>
      <w:b/>
      <w:bCs/>
    </w:rPr>
  </w:style>
  <w:style w:type="character" w:customStyle="1" w:styleId="CommentSubjectChar">
    <w:name w:val="Comment Subject Char"/>
    <w:basedOn w:val="CommentTextChar"/>
    <w:link w:val="CommentSubject"/>
    <w:uiPriority w:val="99"/>
    <w:semiHidden/>
    <w:rsid w:val="00687A53"/>
    <w:rPr>
      <w:rFonts w:cs="Angsana New"/>
      <w:b/>
      <w:bCs/>
      <w:kern w:val="2"/>
      <w:sz w:val="20"/>
      <w:szCs w:val="25"/>
      <w:lang w:bidi="th-TH"/>
      <w14:ligatures w14:val="standardContextual"/>
    </w:rPr>
  </w:style>
  <w:style w:type="paragraph" w:styleId="Header">
    <w:name w:val="header"/>
    <w:basedOn w:val="Normal"/>
    <w:link w:val="HeaderChar"/>
    <w:uiPriority w:val="99"/>
    <w:unhideWhenUsed/>
    <w:rsid w:val="00077DAF"/>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077DAF"/>
    <w:rPr>
      <w:rFonts w:cs="Angsana New"/>
      <w:kern w:val="2"/>
      <w:szCs w:val="28"/>
      <w:lang w:bidi="th-TH"/>
      <w14:ligatures w14:val="standardContextual"/>
    </w:rPr>
  </w:style>
  <w:style w:type="paragraph" w:styleId="Footer">
    <w:name w:val="footer"/>
    <w:basedOn w:val="Normal"/>
    <w:link w:val="FooterChar"/>
    <w:uiPriority w:val="99"/>
    <w:unhideWhenUsed/>
    <w:rsid w:val="00077DAF"/>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077DAF"/>
    <w:rPr>
      <w:rFonts w:cs="Angsana New"/>
      <w:kern w:val="2"/>
      <w:szCs w:val="28"/>
      <w:lang w:bidi="th-TH"/>
      <w14:ligatures w14:val="standardContextual"/>
    </w:rPr>
  </w:style>
  <w:style w:type="table" w:styleId="TableGrid">
    <w:name w:val="Table Grid"/>
    <w:basedOn w:val="TableNormal"/>
    <w:uiPriority w:val="39"/>
    <w:rsid w:val="00A86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967">
      <w:bodyDiv w:val="1"/>
      <w:marLeft w:val="0"/>
      <w:marRight w:val="0"/>
      <w:marTop w:val="0"/>
      <w:marBottom w:val="0"/>
      <w:divBdr>
        <w:top w:val="none" w:sz="0" w:space="0" w:color="auto"/>
        <w:left w:val="none" w:sz="0" w:space="0" w:color="auto"/>
        <w:bottom w:val="none" w:sz="0" w:space="0" w:color="auto"/>
        <w:right w:val="none" w:sz="0" w:space="0" w:color="auto"/>
      </w:divBdr>
    </w:div>
    <w:div w:id="341514854">
      <w:bodyDiv w:val="1"/>
      <w:marLeft w:val="0"/>
      <w:marRight w:val="0"/>
      <w:marTop w:val="0"/>
      <w:marBottom w:val="0"/>
      <w:divBdr>
        <w:top w:val="none" w:sz="0" w:space="0" w:color="auto"/>
        <w:left w:val="none" w:sz="0" w:space="0" w:color="auto"/>
        <w:bottom w:val="none" w:sz="0" w:space="0" w:color="auto"/>
        <w:right w:val="none" w:sz="0" w:space="0" w:color="auto"/>
      </w:divBdr>
    </w:div>
    <w:div w:id="1452435998">
      <w:bodyDiv w:val="1"/>
      <w:marLeft w:val="0"/>
      <w:marRight w:val="0"/>
      <w:marTop w:val="0"/>
      <w:marBottom w:val="0"/>
      <w:divBdr>
        <w:top w:val="none" w:sz="0" w:space="0" w:color="auto"/>
        <w:left w:val="none" w:sz="0" w:space="0" w:color="auto"/>
        <w:bottom w:val="none" w:sz="0" w:space="0" w:color="auto"/>
        <w:right w:val="none" w:sz="0" w:space="0" w:color="auto"/>
      </w:divBdr>
      <w:divsChild>
        <w:div w:id="1479299732">
          <w:marLeft w:val="0"/>
          <w:marRight w:val="0"/>
          <w:marTop w:val="0"/>
          <w:marBottom w:val="0"/>
          <w:divBdr>
            <w:top w:val="none" w:sz="0" w:space="0" w:color="auto"/>
            <w:left w:val="none" w:sz="0" w:space="0" w:color="auto"/>
            <w:bottom w:val="none" w:sz="0" w:space="0" w:color="auto"/>
            <w:right w:val="none" w:sz="0" w:space="0" w:color="auto"/>
          </w:divBdr>
        </w:div>
      </w:divsChild>
    </w:div>
    <w:div w:id="1664040092">
      <w:bodyDiv w:val="1"/>
      <w:marLeft w:val="0"/>
      <w:marRight w:val="0"/>
      <w:marTop w:val="0"/>
      <w:marBottom w:val="0"/>
      <w:divBdr>
        <w:top w:val="none" w:sz="0" w:space="0" w:color="auto"/>
        <w:left w:val="none" w:sz="0" w:space="0" w:color="auto"/>
        <w:bottom w:val="none" w:sz="0" w:space="0" w:color="auto"/>
        <w:right w:val="none" w:sz="0" w:space="0" w:color="auto"/>
      </w:divBdr>
      <w:divsChild>
        <w:div w:id="2011591344">
          <w:marLeft w:val="0"/>
          <w:marRight w:val="0"/>
          <w:marTop w:val="0"/>
          <w:marBottom w:val="0"/>
          <w:divBdr>
            <w:top w:val="none" w:sz="0" w:space="0" w:color="auto"/>
            <w:left w:val="none" w:sz="0" w:space="0" w:color="auto"/>
            <w:bottom w:val="none" w:sz="0" w:space="0" w:color="auto"/>
            <w:right w:val="none" w:sz="0" w:space="0" w:color="auto"/>
          </w:divBdr>
        </w:div>
      </w:divsChild>
    </w:div>
    <w:div w:id="199683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06497120858972"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10.211.230\gcri_data\RESEARCH%20LABORATORIES\Molecular%20Oncology\Molecular%20Oncology_Common\Rutu\Hasan%20paper\Hasan%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0.10.211.230\gcri_data\RESEARCH%20LABORATORIES\Molecular%20Oncology\Molecular%20Oncology_Common\Rutu\Hasan%20paper\Hasan%20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0.10.211.230\gcri_data\RESEARCH%20LABORATORIES\Molecular%20Oncology\Molecular%20Oncology_Common\Rutu\Hasan%20paper\Hasan%20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0.10.211.230\gcri_data\RESEARCH%20LABORATORIES\Molecular%20Oncology\Molecular%20Oncology_Common\Rutu\Hasan%20paper\Hasan%20Char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0.10.211.230\gcri_data\RESEARCH%20LABORATORIES\Molecular%20Oncology\Molecular%20Oncology_Common\Rutu\Hasan%20paper\Hasan%20Char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0.10.211.230\gcri_data\RESEARCH%20LABORATORIES\Molecular%20Oncology\Molecular%20Oncology_Common\Rutu\Hasan%20paper\Hasan%20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N"/>
              <a:t>Classification of B-ALL patients</a:t>
            </a:r>
          </a:p>
        </c:rich>
      </c:tx>
      <c:layout>
        <c:manualLayout>
          <c:xMode val="edge"/>
          <c:yMode val="edge"/>
          <c:x val="0.16062588330304869"/>
          <c:y val="4.3010752688172046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7838980534672975E-2"/>
          <c:y val="0.2447769028871391"/>
          <c:w val="0.51303795574775946"/>
          <c:h val="0.64505749484897446"/>
        </c:manualLayout>
      </c:layout>
      <c:pieChart>
        <c:varyColors val="1"/>
        <c:ser>
          <c:idx val="0"/>
          <c:order val="0"/>
          <c:tx>
            <c:strRef>
              <c:f>Sheet1!$B$1</c:f>
              <c:strCache>
                <c:ptCount val="1"/>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6069-4C73-BC7A-8285E3A9573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6069-4C73-BC7A-8285E3A9573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6069-4C73-BC7A-8285E3A9573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6069-4C73-BC7A-8285E3A9573B}"/>
              </c:ext>
            </c:extLst>
          </c:dPt>
          <c:dLbls>
            <c:dLbl>
              <c:idx val="0"/>
              <c:layout>
                <c:manualLayout>
                  <c:x val="-0.15925449685761756"/>
                  <c:y val="0.1194764335239854"/>
                </c:manualLayout>
              </c:layout>
              <c:tx>
                <c:rich>
                  <a:bodyPr/>
                  <a:lstStyle/>
                  <a:p>
                    <a:r>
                      <a:rPr lang="en-US" baseline="0"/>
                      <a:t> </a:t>
                    </a:r>
                    <a:fld id="{E49DECC4-F617-4E04-BBB9-15C81D499D6A}" type="PERCENTAGE">
                      <a:rPr lang="en-US" sz="1000" b="1" i="0" u="none" strike="noStrike" kern="1200" baseline="0">
                        <a:solidFill>
                          <a:sysClr val="window" lastClr="FFFFFF"/>
                        </a:solidFill>
                      </a:rPr>
                      <a:pPr/>
                      <a:t>[PERCENTAGE]</a:t>
                    </a:fld>
                    <a:r>
                      <a:rPr lang="en-US" sz="1000" b="1" i="0" u="none" strike="noStrike" kern="1200" baseline="0">
                        <a:solidFill>
                          <a:sysClr val="window" lastClr="FFFFFF"/>
                        </a:solidFill>
                      </a:rPr>
                      <a:t> </a:t>
                    </a:r>
                    <a:r>
                      <a:rPr lang="en-US" sz="1000" baseline="0"/>
                      <a:t>(</a:t>
                    </a:r>
                    <a:fld id="{0D9C3487-E702-439F-BDC3-FDFE8DE4CD52}" type="VALUE">
                      <a:rPr lang="en-US" sz="1000" baseline="0"/>
                      <a:pPr/>
                      <a:t>[VALUE]</a:t>
                    </a:fld>
                    <a:r>
                      <a:rPr lang="en-US" sz="1000" baseline="0"/>
                      <a:t>/50</a:t>
                    </a:r>
                    <a:r>
                      <a:rPr lang="en-US" sz="1100" baseline="0"/>
                      <a:t>)</a:t>
                    </a:r>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6069-4C73-BC7A-8285E3A9573B}"/>
                </c:ext>
                <c:ext xmlns:c15="http://schemas.microsoft.com/office/drawing/2012/chart" uri="{CE6537A1-D6FC-4f65-9D91-7224C49458BB}">
                  <c15:layout/>
                  <c15:dlblFieldTable/>
                  <c15:showDataLabelsRange val="0"/>
                </c:ext>
              </c:extLst>
            </c:dLbl>
            <c:dLbl>
              <c:idx val="1"/>
              <c:layout>
                <c:manualLayout>
                  <c:x val="-0.14058248452888344"/>
                  <c:y val="-0.14520710969760708"/>
                </c:manualLayout>
              </c:layout>
              <c:tx>
                <c:rich>
                  <a:bodyPr/>
                  <a:lstStyle/>
                  <a:p>
                    <a:r>
                      <a:rPr lang="en-US" baseline="0"/>
                      <a:t> </a:t>
                    </a:r>
                    <a:fld id="{3C89BC65-448C-4839-8B0D-CA58078FAE4B}" type="PERCENTAGE">
                      <a:rPr lang="en-US" sz="1000" b="1" i="0" u="none" strike="noStrike" kern="1200" baseline="0">
                        <a:solidFill>
                          <a:sysClr val="window" lastClr="FFFFFF"/>
                        </a:solidFill>
                      </a:rPr>
                      <a:pPr/>
                      <a:t>[PERCENTAGE]</a:t>
                    </a:fld>
                    <a:r>
                      <a:rPr lang="en-US" sz="1000" b="1" i="0" u="none" strike="noStrike" kern="1200" baseline="0">
                        <a:solidFill>
                          <a:sysClr val="window" lastClr="FFFFFF"/>
                        </a:solidFill>
                      </a:rPr>
                      <a:t> </a:t>
                    </a:r>
                    <a:r>
                      <a:rPr lang="en-US" sz="1000" baseline="0"/>
                      <a:t>(</a:t>
                    </a:r>
                    <a:fld id="{2F97F3C6-D7EF-4382-9242-7B0FE0103C55}" type="VALUE">
                      <a:rPr lang="en-US" sz="1000" baseline="0"/>
                      <a:pPr/>
                      <a:t>[VALUE]</a:t>
                    </a:fld>
                    <a:r>
                      <a:rPr lang="en-US" sz="1000" baseline="0"/>
                      <a:t>/50</a:t>
                    </a:r>
                    <a:r>
                      <a:rPr lang="en-US" baseline="0"/>
                      <a:t>)</a:t>
                    </a:r>
                  </a:p>
                </c:rich>
              </c:tx>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6069-4C73-BC7A-8285E3A9573B}"/>
                </c:ext>
                <c:ext xmlns:c15="http://schemas.microsoft.com/office/drawing/2012/chart" uri="{CE6537A1-D6FC-4f65-9D91-7224C49458BB}">
                  <c15:layout/>
                  <c15:dlblFieldTable/>
                  <c15:showDataLabelsRange val="0"/>
                </c:ext>
              </c:extLst>
            </c:dLbl>
            <c:dLbl>
              <c:idx val="2"/>
              <c:layout/>
              <c:tx>
                <c:rich>
                  <a:bodyPr/>
                  <a:lstStyle/>
                  <a:p>
                    <a:r>
                      <a:rPr lang="en-US" baseline="0"/>
                      <a:t> </a:t>
                    </a:r>
                    <a:fld id="{3B7D62C4-D4DE-49B0-9F5B-E939A29E65BF}" type="PERCENTAGE">
                      <a:rPr lang="en-US" sz="1000" b="1" i="0" u="none" strike="noStrike" kern="1200" baseline="0">
                        <a:solidFill>
                          <a:sysClr val="window" lastClr="FFFFFF"/>
                        </a:solidFill>
                      </a:rPr>
                      <a:pPr/>
                      <a:t>[PERCENTAGE]</a:t>
                    </a:fld>
                    <a:r>
                      <a:rPr lang="en-US" sz="1000" b="1" i="0" u="none" strike="noStrike" kern="1200" baseline="0">
                        <a:solidFill>
                          <a:sysClr val="window" lastClr="FFFFFF"/>
                        </a:solidFill>
                      </a:rPr>
                      <a:t> </a:t>
                    </a:r>
                    <a:r>
                      <a:rPr lang="en-US" sz="1000" baseline="0"/>
                      <a:t>(</a:t>
                    </a:r>
                    <a:fld id="{1D05D3B3-EB01-416A-9263-3B64AEA26539}" type="VALUE">
                      <a:rPr lang="en-US" sz="1000" baseline="0"/>
                      <a:pPr/>
                      <a:t>[VALUE]</a:t>
                    </a:fld>
                    <a:r>
                      <a:rPr lang="en-US" sz="1000" baseline="0"/>
                      <a:t>/50)</a:t>
                    </a:r>
                  </a:p>
                </c:rich>
              </c:tx>
              <c:dLblPos val="in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6069-4C73-BC7A-8285E3A9573B}"/>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0">
                <a:spAutoFit/>
              </a:bodyPr>
              <a:lstStyle/>
              <a:p>
                <a:pPr algn="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3"/>
                <c:pt idx="0">
                  <c:v>Pre-treatment patients</c:v>
                </c:pt>
                <c:pt idx="1">
                  <c:v>Treatment non responders</c:v>
                </c:pt>
                <c:pt idx="2">
                  <c:v>Treatment  responders</c:v>
                </c:pt>
              </c:strCache>
            </c:strRef>
          </c:cat>
          <c:val>
            <c:numRef>
              <c:f>Sheet1!$B$2:$B$5</c:f>
              <c:numCache>
                <c:formatCode>General</c:formatCode>
                <c:ptCount val="4"/>
                <c:pt idx="0">
                  <c:v>14</c:v>
                </c:pt>
                <c:pt idx="1">
                  <c:v>11</c:v>
                </c:pt>
                <c:pt idx="2">
                  <c:v>25</c:v>
                </c:pt>
              </c:numCache>
            </c:numRef>
          </c:val>
          <c:extLst xmlns:c16r2="http://schemas.microsoft.com/office/drawing/2015/06/chart">
            <c:ext xmlns:c16="http://schemas.microsoft.com/office/drawing/2014/chart" uri="{C3380CC4-5D6E-409C-BE32-E72D297353CC}">
              <c16:uniqueId val="{00000008-6069-4C73-BC7A-8285E3A9573B}"/>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legendEntry>
        <c:idx val="3"/>
        <c:delete val="1"/>
      </c:legendEntry>
      <c:layout>
        <c:manualLayout>
          <c:xMode val="edge"/>
          <c:yMode val="edge"/>
          <c:x val="0.52654149000605699"/>
          <c:y val="0.40341207349081359"/>
          <c:w val="0.44027600622320401"/>
          <c:h val="0.3121090508847684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N" sz="1100" b="1">
                <a:latin typeface="Times New Roman" panose="02020603050405020304" pitchFamily="18" charset="0"/>
                <a:cs typeface="Times New Roman" panose="02020603050405020304" pitchFamily="18" charset="0"/>
              </a:rPr>
              <a:t>(2a)</a:t>
            </a:r>
          </a:p>
        </c:rich>
      </c:tx>
      <c:layout>
        <c:manualLayout>
          <c:xMode val="edge"/>
          <c:yMode val="edge"/>
          <c:x val="5.2141255070388935E-2"/>
          <c:y val="2.1912115824231648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4242424242424281E-2"/>
                  <c:y val="-4.504504504504504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568-4E92-97DE-C302E9F9917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PT</c:v>
                </c:pt>
                <c:pt idx="1">
                  <c:v>TNR</c:v>
                </c:pt>
                <c:pt idx="2">
                  <c:v>TR</c:v>
                </c:pt>
              </c:strCache>
            </c:strRef>
          </c:cat>
          <c:val>
            <c:numRef>
              <c:f>Sheet1!$B$2:$B$4</c:f>
              <c:numCache>
                <c:formatCode>General</c:formatCode>
                <c:ptCount val="3"/>
                <c:pt idx="0">
                  <c:v>1157422.571</c:v>
                </c:pt>
                <c:pt idx="1">
                  <c:v>1195146.091</c:v>
                </c:pt>
                <c:pt idx="2">
                  <c:v>399.4</c:v>
                </c:pt>
              </c:numCache>
            </c:numRef>
          </c:val>
          <c:extLst xmlns:c16r2="http://schemas.microsoft.com/office/drawing/2015/06/chart">
            <c:ext xmlns:c16="http://schemas.microsoft.com/office/drawing/2014/chart" uri="{C3380CC4-5D6E-409C-BE32-E72D297353CC}">
              <c16:uniqueId val="{00000000-9894-4741-821A-CA44AD019A59}"/>
            </c:ext>
          </c:extLst>
        </c:ser>
        <c:dLbls>
          <c:dLblPos val="outEnd"/>
          <c:showLegendKey val="0"/>
          <c:showVal val="1"/>
          <c:showCatName val="0"/>
          <c:showSerName val="0"/>
          <c:showPercent val="0"/>
          <c:showBubbleSize val="0"/>
        </c:dLbls>
        <c:gapWidth val="219"/>
        <c:overlap val="-27"/>
        <c:axId val="-1182004864"/>
        <c:axId val="-1182001600"/>
      </c:barChart>
      <c:catAx>
        <c:axId val="-1182004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B-ALL</a:t>
                </a:r>
                <a:r>
                  <a:rPr lang="en-IN" baseline="0"/>
                  <a:t> Patients</a:t>
                </a:r>
                <a:endParaRPr lang="en-IN"/>
              </a:p>
            </c:rich>
          </c:tx>
          <c:layout>
            <c:manualLayout>
              <c:xMode val="edge"/>
              <c:yMode val="edge"/>
              <c:x val="0.40947236140936927"/>
              <c:y val="0.895529171570316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001600"/>
        <c:crosses val="autoZero"/>
        <c:auto val="1"/>
        <c:lblAlgn val="ctr"/>
        <c:lblOffset val="100"/>
        <c:noMultiLvlLbl val="0"/>
      </c:catAx>
      <c:valAx>
        <c:axId val="-1182001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Fusion</a:t>
                </a:r>
                <a:r>
                  <a:rPr lang="en-IN" baseline="0"/>
                  <a:t> copies</a:t>
                </a:r>
                <a:endParaRPr lang="en-IN"/>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00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N" sz="1100" b="1" i="0" baseline="0">
                <a:effectLst/>
                <a:latin typeface="Times New Roman" panose="02020603050405020304" pitchFamily="18" charset="0"/>
                <a:cs typeface="Times New Roman" panose="02020603050405020304" pitchFamily="18" charset="0"/>
              </a:rPr>
              <a:t>(2b)</a:t>
            </a:r>
            <a:endParaRPr lang="en-IN" sz="1100" b="1">
              <a:effectLst/>
              <a:latin typeface="Times New Roman" panose="02020603050405020304" pitchFamily="18" charset="0"/>
              <a:cs typeface="Times New Roman" panose="02020603050405020304" pitchFamily="18" charset="0"/>
            </a:endParaRPr>
          </a:p>
        </c:rich>
      </c:tx>
      <c:layout>
        <c:manualLayout>
          <c:xMode val="edge"/>
          <c:yMode val="edge"/>
          <c:x val="6.7568000945219461E-2"/>
          <c:y val="2.9174498348996703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Charts.xlsx]Sheet1'!$A$6:$A$8</c:f>
              <c:strCache>
                <c:ptCount val="3"/>
                <c:pt idx="0">
                  <c:v>PT</c:v>
                </c:pt>
                <c:pt idx="1">
                  <c:v>TNR</c:v>
                </c:pt>
                <c:pt idx="2">
                  <c:v>TR</c:v>
                </c:pt>
              </c:strCache>
            </c:strRef>
          </c:cat>
          <c:val>
            <c:numRef>
              <c:f>'[Hasan Charts.xlsx]Sheet1'!$B$6:$B$8</c:f>
              <c:numCache>
                <c:formatCode>General</c:formatCode>
                <c:ptCount val="3"/>
                <c:pt idx="0">
                  <c:v>11.968450000000001</c:v>
                </c:pt>
                <c:pt idx="1">
                  <c:v>35.946129999999997</c:v>
                </c:pt>
                <c:pt idx="2">
                  <c:v>5.3400000000000003E-2</c:v>
                </c:pt>
              </c:numCache>
            </c:numRef>
          </c:val>
          <c:extLst xmlns:c16r2="http://schemas.microsoft.com/office/drawing/2015/06/chart">
            <c:ext xmlns:c16="http://schemas.microsoft.com/office/drawing/2014/chart" uri="{C3380CC4-5D6E-409C-BE32-E72D297353CC}">
              <c16:uniqueId val="{00000000-B1DE-422F-9930-4B8C132B8C05}"/>
            </c:ext>
          </c:extLst>
        </c:ser>
        <c:dLbls>
          <c:dLblPos val="outEnd"/>
          <c:showLegendKey val="0"/>
          <c:showVal val="1"/>
          <c:showCatName val="0"/>
          <c:showSerName val="0"/>
          <c:showPercent val="0"/>
          <c:showBubbleSize val="0"/>
        </c:dLbls>
        <c:gapWidth val="219"/>
        <c:overlap val="-27"/>
        <c:axId val="-1182002144"/>
        <c:axId val="-1182001056"/>
      </c:barChart>
      <c:catAx>
        <c:axId val="-1182002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B-ALL</a:t>
                </a:r>
                <a:r>
                  <a:rPr lang="en-IN" baseline="0"/>
                  <a:t> patients</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001056"/>
        <c:crosses val="autoZero"/>
        <c:auto val="1"/>
        <c:lblAlgn val="ctr"/>
        <c:lblOffset val="100"/>
        <c:noMultiLvlLbl val="0"/>
      </c:catAx>
      <c:valAx>
        <c:axId val="-1182001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%NCN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002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'[Hasan Charts.xlsx]Sheet1'!$B$32</c:f>
              <c:strCache>
                <c:ptCount val="1"/>
                <c:pt idx="0">
                  <c:v>Within Normal WBC range</c:v>
                </c:pt>
              </c:strCache>
            </c:strRef>
          </c:tx>
          <c:spPr>
            <a:solidFill>
              <a:schemeClr val="accent1"/>
            </a:solidFill>
            <a:ln>
              <a:noFill/>
            </a:ln>
            <a:effectLst/>
          </c:spPr>
          <c:invertIfNegative val="0"/>
          <c:dLbls>
            <c:dLbl>
              <c:idx val="0"/>
              <c:layout>
                <c:manualLayout>
                  <c:x val="-3.6253776435045321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2EE-419D-99E4-80AF0603A4B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Charts.xlsx]Sheet1'!$A$33:$A$35</c:f>
              <c:strCache>
                <c:ptCount val="3"/>
                <c:pt idx="0">
                  <c:v>PT</c:v>
                </c:pt>
                <c:pt idx="1">
                  <c:v>TNR</c:v>
                </c:pt>
                <c:pt idx="2">
                  <c:v>TR</c:v>
                </c:pt>
              </c:strCache>
            </c:strRef>
          </c:cat>
          <c:val>
            <c:numRef>
              <c:f>'[Hasan Charts.xlsx]Sheet1'!$B$33:$B$35</c:f>
              <c:numCache>
                <c:formatCode>General</c:formatCode>
                <c:ptCount val="3"/>
                <c:pt idx="0">
                  <c:v>13.7614</c:v>
                </c:pt>
                <c:pt idx="1">
                  <c:v>0</c:v>
                </c:pt>
                <c:pt idx="2">
                  <c:v>0.08</c:v>
                </c:pt>
              </c:numCache>
            </c:numRef>
          </c:val>
          <c:extLst xmlns:c16r2="http://schemas.microsoft.com/office/drawing/2015/06/chart">
            <c:ext xmlns:c16="http://schemas.microsoft.com/office/drawing/2014/chart" uri="{C3380CC4-5D6E-409C-BE32-E72D297353CC}">
              <c16:uniqueId val="{00000000-82EE-419D-99E4-80AF0603A4BF}"/>
            </c:ext>
          </c:extLst>
        </c:ser>
        <c:ser>
          <c:idx val="1"/>
          <c:order val="1"/>
          <c:tx>
            <c:strRef>
              <c:f>'[Hasan Charts.xlsx]Sheet1'!$C$32</c:f>
              <c:strCache>
                <c:ptCount val="1"/>
                <c:pt idx="0">
                  <c:v>Abnormal WBC Counts</c:v>
                </c:pt>
              </c:strCache>
            </c:strRef>
          </c:tx>
          <c:spPr>
            <a:solidFill>
              <a:schemeClr val="accent2"/>
            </a:solidFill>
            <a:ln>
              <a:noFill/>
            </a:ln>
            <a:effectLst/>
          </c:spPr>
          <c:invertIfNegative val="0"/>
          <c:dLbls>
            <c:dLbl>
              <c:idx val="0"/>
              <c:layout>
                <c:manualLayout>
                  <c:x val="2.4247322691452782E-2"/>
                  <c:y val="-8.260023224847394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B59-4212-9649-9451F7CA954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Charts.xlsx]Sheet1'!$A$33:$A$35</c:f>
              <c:strCache>
                <c:ptCount val="3"/>
                <c:pt idx="0">
                  <c:v>PT</c:v>
                </c:pt>
                <c:pt idx="1">
                  <c:v>TNR</c:v>
                </c:pt>
                <c:pt idx="2">
                  <c:v>TR</c:v>
                </c:pt>
              </c:strCache>
            </c:strRef>
          </c:cat>
          <c:val>
            <c:numRef>
              <c:f>'[Hasan Charts.xlsx]Sheet1'!$C$33:$C$35</c:f>
              <c:numCache>
                <c:formatCode>General</c:formatCode>
                <c:ptCount val="3"/>
                <c:pt idx="0">
                  <c:v>11.66</c:v>
                </c:pt>
                <c:pt idx="1">
                  <c:v>35.94</c:v>
                </c:pt>
                <c:pt idx="2">
                  <c:v>0.01</c:v>
                </c:pt>
              </c:numCache>
            </c:numRef>
          </c:val>
          <c:extLst xmlns:c16r2="http://schemas.microsoft.com/office/drawing/2015/06/chart">
            <c:ext xmlns:c16="http://schemas.microsoft.com/office/drawing/2014/chart" uri="{C3380CC4-5D6E-409C-BE32-E72D297353CC}">
              <c16:uniqueId val="{00000001-82EE-419D-99E4-80AF0603A4BF}"/>
            </c:ext>
          </c:extLst>
        </c:ser>
        <c:dLbls>
          <c:dLblPos val="outEnd"/>
          <c:showLegendKey val="0"/>
          <c:showVal val="1"/>
          <c:showCatName val="0"/>
          <c:showSerName val="0"/>
          <c:showPercent val="0"/>
          <c:showBubbleSize val="0"/>
        </c:dLbls>
        <c:gapWidth val="219"/>
        <c:overlap val="-27"/>
        <c:axId val="-1034835248"/>
        <c:axId val="-1034834704"/>
      </c:barChart>
      <c:catAx>
        <c:axId val="-1034835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B-ALL</a:t>
                </a:r>
                <a:r>
                  <a:rPr lang="en-IN" baseline="0"/>
                  <a:t> patients</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834704"/>
        <c:crosses val="autoZero"/>
        <c:auto val="1"/>
        <c:lblAlgn val="ctr"/>
        <c:lblOffset val="100"/>
        <c:noMultiLvlLbl val="0"/>
      </c:catAx>
      <c:valAx>
        <c:axId val="-1034834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%NCN</a:t>
                </a:r>
              </a:p>
            </c:rich>
          </c:tx>
          <c:layout>
            <c:manualLayout>
              <c:xMode val="edge"/>
              <c:yMode val="edge"/>
              <c:x val="3.3145005484229072E-2"/>
              <c:y val="0.321542132408274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835248"/>
        <c:crosses val="autoZero"/>
        <c:crossBetween val="between"/>
      </c:valAx>
      <c:spPr>
        <a:noFill/>
        <a:ln>
          <a:noFill/>
        </a:ln>
        <a:effectLst/>
      </c:spPr>
    </c:plotArea>
    <c:legend>
      <c:legendPos val="b"/>
      <c:layout>
        <c:manualLayout>
          <c:xMode val="edge"/>
          <c:yMode val="edge"/>
          <c:x val="5.0000079551583636E-2"/>
          <c:y val="0.90594675327670116"/>
          <c:w val="0.89999984089683271"/>
          <c:h val="7.60311696789196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49716398604347"/>
          <c:y val="4.5055192610948411E-2"/>
          <c:w val="0.73613185197677733"/>
          <c:h val="0.64731504754741886"/>
        </c:manualLayout>
      </c:layout>
      <c:barChart>
        <c:barDir val="col"/>
        <c:grouping val="clustered"/>
        <c:varyColors val="0"/>
        <c:ser>
          <c:idx val="0"/>
          <c:order val="0"/>
          <c:tx>
            <c:strRef>
              <c:f>'[Hasan Charts.xlsx]Sheet1'!$B$16</c:f>
              <c:strCache>
                <c:ptCount val="1"/>
                <c:pt idx="0">
                  <c:v>Within Normal WBC range</c:v>
                </c:pt>
              </c:strCache>
            </c:strRef>
          </c:tx>
          <c:spPr>
            <a:solidFill>
              <a:schemeClr val="accent1"/>
            </a:solidFill>
            <a:ln>
              <a:noFill/>
            </a:ln>
            <a:effectLst/>
          </c:spPr>
          <c:invertIfNegative val="0"/>
          <c:dLbls>
            <c:dLbl>
              <c:idx val="0"/>
              <c:layout>
                <c:manualLayout>
                  <c:x val="-2.4539877300613498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9E8-4CA4-B726-691A2E92076B}"/>
                </c:ext>
                <c:ext xmlns:c15="http://schemas.microsoft.com/office/drawing/2012/chart" uri="{CE6537A1-D6FC-4f65-9D91-7224C49458BB}">
                  <c15:layout/>
                </c:ext>
              </c:extLst>
            </c:dLbl>
            <c:dLbl>
              <c:idx val="2"/>
              <c:layout>
                <c:manualLayout>
                  <c:x val="-1.2269938650306749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9E8-4CA4-B726-691A2E92076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Charts.xlsx]Sheet1'!$A$17:$A$19</c:f>
              <c:strCache>
                <c:ptCount val="3"/>
                <c:pt idx="0">
                  <c:v>PT</c:v>
                </c:pt>
                <c:pt idx="1">
                  <c:v>TNR</c:v>
                </c:pt>
                <c:pt idx="2">
                  <c:v>TR</c:v>
                </c:pt>
              </c:strCache>
            </c:strRef>
          </c:cat>
          <c:val>
            <c:numRef>
              <c:f>'[Hasan Charts.xlsx]Sheet1'!$B$17:$B$19</c:f>
              <c:numCache>
                <c:formatCode>General</c:formatCode>
                <c:ptCount val="3"/>
                <c:pt idx="0">
                  <c:v>994.69</c:v>
                </c:pt>
                <c:pt idx="1">
                  <c:v>0</c:v>
                </c:pt>
                <c:pt idx="2">
                  <c:v>0.13</c:v>
                </c:pt>
              </c:numCache>
            </c:numRef>
          </c:val>
          <c:extLst xmlns:c16r2="http://schemas.microsoft.com/office/drawing/2015/06/chart">
            <c:ext xmlns:c16="http://schemas.microsoft.com/office/drawing/2014/chart" uri="{C3380CC4-5D6E-409C-BE32-E72D297353CC}">
              <c16:uniqueId val="{00000000-39E8-4CA4-B726-691A2E92076B}"/>
            </c:ext>
          </c:extLst>
        </c:ser>
        <c:ser>
          <c:idx val="1"/>
          <c:order val="1"/>
          <c:tx>
            <c:strRef>
              <c:f>'[Hasan Charts.xlsx]Sheet1'!$C$16</c:f>
              <c:strCache>
                <c:ptCount val="1"/>
                <c:pt idx="0">
                  <c:v>Abnormal WBC Counts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Charts.xlsx]Sheet1'!$A$17:$A$19</c:f>
              <c:strCache>
                <c:ptCount val="3"/>
                <c:pt idx="0">
                  <c:v>PT</c:v>
                </c:pt>
                <c:pt idx="1">
                  <c:v>TNR</c:v>
                </c:pt>
                <c:pt idx="2">
                  <c:v>TR</c:v>
                </c:pt>
              </c:strCache>
            </c:strRef>
          </c:cat>
          <c:val>
            <c:numRef>
              <c:f>'[Hasan Charts.xlsx]Sheet1'!$C$17:$C$19</c:f>
              <c:numCache>
                <c:formatCode>General</c:formatCode>
                <c:ptCount val="3"/>
                <c:pt idx="0">
                  <c:v>1184.5</c:v>
                </c:pt>
                <c:pt idx="1">
                  <c:v>1195.0999999999999</c:v>
                </c:pt>
                <c:pt idx="2">
                  <c:v>3.5999999999999997E-2</c:v>
                </c:pt>
              </c:numCache>
            </c:numRef>
          </c:val>
          <c:extLst xmlns:c16r2="http://schemas.microsoft.com/office/drawing/2015/06/chart">
            <c:ext xmlns:c16="http://schemas.microsoft.com/office/drawing/2014/chart" uri="{C3380CC4-5D6E-409C-BE32-E72D297353CC}">
              <c16:uniqueId val="{00000001-39E8-4CA4-B726-691A2E92076B}"/>
            </c:ext>
          </c:extLst>
        </c:ser>
        <c:dLbls>
          <c:dLblPos val="outEnd"/>
          <c:showLegendKey val="0"/>
          <c:showVal val="1"/>
          <c:showCatName val="0"/>
          <c:showSerName val="0"/>
          <c:showPercent val="0"/>
          <c:showBubbleSize val="0"/>
        </c:dLbls>
        <c:gapWidth val="219"/>
        <c:overlap val="-27"/>
        <c:axId val="-1034833072"/>
        <c:axId val="-103687508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'[Hasan Charts.xlsx]Sheet1'!$D$16</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'[Hasan Charts.xlsx]Sheet1'!$A$17:$A$19</c15:sqref>
                        </c15:formulaRef>
                      </c:ext>
                    </c:extLst>
                    <c:strCache>
                      <c:ptCount val="3"/>
                      <c:pt idx="0">
                        <c:v>PT</c:v>
                      </c:pt>
                      <c:pt idx="1">
                        <c:v>TNR</c:v>
                      </c:pt>
                      <c:pt idx="2">
                        <c:v>TR</c:v>
                      </c:pt>
                    </c:strCache>
                  </c:strRef>
                </c:cat>
                <c:val>
                  <c:numRef>
                    <c:extLst xmlns:c16r2="http://schemas.microsoft.com/office/drawing/2015/06/chart">
                      <c:ext uri="{02D57815-91ED-43cb-92C2-25804820EDAC}">
                        <c15:formulaRef>
                          <c15:sqref>'[Hasan Charts.xlsx]Sheet1'!$D$17:$D$19</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2-39E8-4CA4-B726-691A2E92076B}"/>
                  </c:ext>
                </c:extLst>
              </c15:ser>
            </c15:filteredBarSeries>
          </c:ext>
        </c:extLst>
      </c:barChart>
      <c:catAx>
        <c:axId val="-1034833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B-ALL</a:t>
                </a:r>
                <a:r>
                  <a:rPr lang="en-IN" baseline="0"/>
                  <a:t> patients</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875088"/>
        <c:crosses val="autoZero"/>
        <c:auto val="1"/>
        <c:lblAlgn val="ctr"/>
        <c:lblOffset val="100"/>
        <c:noMultiLvlLbl val="0"/>
      </c:catAx>
      <c:valAx>
        <c:axId val="-1036875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Fusion</a:t>
                </a:r>
                <a:r>
                  <a:rPr lang="en-IN" baseline="0"/>
                  <a:t> copies</a:t>
                </a:r>
                <a:endParaRPr lang="en-IN"/>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833072"/>
        <c:crosses val="autoZero"/>
        <c:crossBetween val="between"/>
      </c:valAx>
      <c:spPr>
        <a:noFill/>
        <a:ln>
          <a:noFill/>
        </a:ln>
        <a:effectLst/>
      </c:spPr>
    </c:plotArea>
    <c:legend>
      <c:legendPos val="b"/>
      <c:layout>
        <c:manualLayout>
          <c:xMode val="edge"/>
          <c:yMode val="edge"/>
          <c:x val="6.2123740897310042E-2"/>
          <c:y val="0.89693571475451128"/>
          <c:w val="0.89999984089683271"/>
          <c:h val="7.60311696789196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'[Hasan Charts.xlsx]Sheet1'!$B$58</c:f>
              <c:strCache>
                <c:ptCount val="1"/>
                <c:pt idx="0">
                  <c:v>Within Normal Platelet range</c:v>
                </c:pt>
              </c:strCache>
            </c:strRef>
          </c:tx>
          <c:spPr>
            <a:solidFill>
              <a:schemeClr val="accent1"/>
            </a:solidFill>
            <a:ln>
              <a:noFill/>
            </a:ln>
            <a:effectLst/>
          </c:spPr>
          <c:invertIfNegative val="0"/>
          <c:dLbls>
            <c:dLbl>
              <c:idx val="1"/>
              <c:layout>
                <c:manualLayout>
                  <c:x val="-1.6164881794301953E-2"/>
                  <c:y val="0"/>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4B5-46DC-84B0-BA36F5BD0F5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Charts.xlsx]Sheet1'!$A$59:$A$61</c:f>
              <c:strCache>
                <c:ptCount val="3"/>
                <c:pt idx="0">
                  <c:v>PT</c:v>
                </c:pt>
                <c:pt idx="1">
                  <c:v>TNR</c:v>
                </c:pt>
                <c:pt idx="2">
                  <c:v>TR</c:v>
                </c:pt>
              </c:strCache>
            </c:strRef>
          </c:cat>
          <c:val>
            <c:numRef>
              <c:f>'[Hasan Charts.xlsx]Sheet1'!$B$59:$B$61</c:f>
              <c:numCache>
                <c:formatCode>General</c:formatCode>
                <c:ptCount val="3"/>
                <c:pt idx="0">
                  <c:v>0</c:v>
                </c:pt>
                <c:pt idx="1">
                  <c:v>31.81</c:v>
                </c:pt>
                <c:pt idx="2">
                  <c:v>1.2999999999999999E-2</c:v>
                </c:pt>
              </c:numCache>
            </c:numRef>
          </c:val>
          <c:extLst xmlns:c16r2="http://schemas.microsoft.com/office/drawing/2015/06/chart">
            <c:ext xmlns:c16="http://schemas.microsoft.com/office/drawing/2014/chart" uri="{C3380CC4-5D6E-409C-BE32-E72D297353CC}">
              <c16:uniqueId val="{00000000-3C3E-46A1-86C8-C65744B973CA}"/>
            </c:ext>
          </c:extLst>
        </c:ser>
        <c:ser>
          <c:idx val="1"/>
          <c:order val="1"/>
          <c:tx>
            <c:strRef>
              <c:f>'[Hasan Charts.xlsx]Sheet1'!$C$58</c:f>
              <c:strCache>
                <c:ptCount val="1"/>
                <c:pt idx="0">
                  <c:v>Abnormal Platelet counts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Charts.xlsx]Sheet1'!$A$59:$A$61</c:f>
              <c:strCache>
                <c:ptCount val="3"/>
                <c:pt idx="0">
                  <c:v>PT</c:v>
                </c:pt>
                <c:pt idx="1">
                  <c:v>TNR</c:v>
                </c:pt>
                <c:pt idx="2">
                  <c:v>TR</c:v>
                </c:pt>
              </c:strCache>
            </c:strRef>
          </c:cat>
          <c:val>
            <c:numRef>
              <c:f>'[Hasan Charts.xlsx]Sheet1'!$C$59:$C$61</c:f>
              <c:numCache>
                <c:formatCode>General</c:formatCode>
                <c:ptCount val="3"/>
                <c:pt idx="0">
                  <c:v>11.96</c:v>
                </c:pt>
                <c:pt idx="1">
                  <c:v>37.39</c:v>
                </c:pt>
                <c:pt idx="2">
                  <c:v>7.0000000000000001E-3</c:v>
                </c:pt>
              </c:numCache>
            </c:numRef>
          </c:val>
          <c:extLst xmlns:c16r2="http://schemas.microsoft.com/office/drawing/2015/06/chart">
            <c:ext xmlns:c16="http://schemas.microsoft.com/office/drawing/2014/chart" uri="{C3380CC4-5D6E-409C-BE32-E72D297353CC}">
              <c16:uniqueId val="{00000001-3C3E-46A1-86C8-C65744B973CA}"/>
            </c:ext>
          </c:extLst>
        </c:ser>
        <c:dLbls>
          <c:dLblPos val="outEnd"/>
          <c:showLegendKey val="0"/>
          <c:showVal val="1"/>
          <c:showCatName val="0"/>
          <c:showSerName val="0"/>
          <c:showPercent val="0"/>
          <c:showBubbleSize val="0"/>
        </c:dLbls>
        <c:gapWidth val="219"/>
        <c:overlap val="-27"/>
        <c:axId val="-1036869648"/>
        <c:axId val="-1036869104"/>
      </c:barChart>
      <c:catAx>
        <c:axId val="-1036869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B-ALL</a:t>
                </a:r>
                <a:r>
                  <a:rPr lang="en-IN" baseline="0"/>
                  <a:t> patients</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869104"/>
        <c:crosses val="autoZero"/>
        <c:auto val="1"/>
        <c:lblAlgn val="ctr"/>
        <c:lblOffset val="100"/>
        <c:noMultiLvlLbl val="0"/>
      </c:catAx>
      <c:valAx>
        <c:axId val="-1036869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%NCN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6869648"/>
        <c:crosses val="autoZero"/>
        <c:crossBetween val="between"/>
      </c:valAx>
      <c:spPr>
        <a:noFill/>
        <a:ln>
          <a:noFill/>
        </a:ln>
        <a:effectLst/>
      </c:spPr>
    </c:plotArea>
    <c:legend>
      <c:legendPos val="b"/>
      <c:layout>
        <c:manualLayout>
          <c:xMode val="edge"/>
          <c:yMode val="edge"/>
          <c:x val="0"/>
          <c:y val="0.84938233289713228"/>
          <c:w val="1"/>
          <c:h val="8.18187544738726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53838443461894"/>
          <c:y val="4.956071187204325E-2"/>
          <c:w val="0.73613185197677733"/>
          <c:h val="0.64731504754741886"/>
        </c:manualLayout>
      </c:layout>
      <c:barChart>
        <c:barDir val="col"/>
        <c:grouping val="clustered"/>
        <c:varyColors val="0"/>
        <c:ser>
          <c:idx val="0"/>
          <c:order val="0"/>
          <c:tx>
            <c:strRef>
              <c:f>'[Hasan Charts.xlsx]Sheet1'!$B$47</c:f>
              <c:strCache>
                <c:ptCount val="1"/>
                <c:pt idx="0">
                  <c:v>Within Normal Platelet range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Charts.xlsx]Sheet1'!$A$48:$A$50</c:f>
              <c:strCache>
                <c:ptCount val="3"/>
                <c:pt idx="0">
                  <c:v>PT</c:v>
                </c:pt>
                <c:pt idx="1">
                  <c:v>TNR</c:v>
                </c:pt>
                <c:pt idx="2">
                  <c:v>TR</c:v>
                </c:pt>
              </c:strCache>
            </c:strRef>
          </c:cat>
          <c:val>
            <c:numRef>
              <c:f>'[Hasan Charts.xlsx]Sheet1'!$B$48:$B$50</c:f>
              <c:numCache>
                <c:formatCode>General</c:formatCode>
                <c:ptCount val="3"/>
                <c:pt idx="0">
                  <c:v>0</c:v>
                </c:pt>
                <c:pt idx="1">
                  <c:v>397</c:v>
                </c:pt>
                <c:pt idx="2">
                  <c:v>0.11</c:v>
                </c:pt>
              </c:numCache>
            </c:numRef>
          </c:val>
          <c:extLst xmlns:c16r2="http://schemas.microsoft.com/office/drawing/2015/06/chart">
            <c:ext xmlns:c16="http://schemas.microsoft.com/office/drawing/2014/chart" uri="{C3380CC4-5D6E-409C-BE32-E72D297353CC}">
              <c16:uniqueId val="{00000000-1EDA-4B57-ADAF-6F99545CE044}"/>
            </c:ext>
          </c:extLst>
        </c:ser>
        <c:ser>
          <c:idx val="1"/>
          <c:order val="1"/>
          <c:tx>
            <c:strRef>
              <c:f>'[Hasan Charts.xlsx]Sheet1'!$C$47</c:f>
              <c:strCache>
                <c:ptCount val="1"/>
                <c:pt idx="0">
                  <c:v>Abnormal Platelet counts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Charts.xlsx]Sheet1'!$A$48:$A$50</c:f>
              <c:strCache>
                <c:ptCount val="3"/>
                <c:pt idx="0">
                  <c:v>PT</c:v>
                </c:pt>
                <c:pt idx="1">
                  <c:v>TNR</c:v>
                </c:pt>
                <c:pt idx="2">
                  <c:v>TR</c:v>
                </c:pt>
              </c:strCache>
            </c:strRef>
          </c:cat>
          <c:val>
            <c:numRef>
              <c:f>'[Hasan Charts.xlsx]Sheet1'!$C$48:$C$50</c:f>
              <c:numCache>
                <c:formatCode>General</c:formatCode>
                <c:ptCount val="3"/>
                <c:pt idx="0">
                  <c:v>1157.4000000000001</c:v>
                </c:pt>
                <c:pt idx="1">
                  <c:v>1494.4</c:v>
                </c:pt>
                <c:pt idx="2">
                  <c:v>0.37</c:v>
                </c:pt>
              </c:numCache>
            </c:numRef>
          </c:val>
          <c:extLst xmlns:c16r2="http://schemas.microsoft.com/office/drawing/2015/06/chart">
            <c:ext xmlns:c16="http://schemas.microsoft.com/office/drawing/2014/chart" uri="{C3380CC4-5D6E-409C-BE32-E72D297353CC}">
              <c16:uniqueId val="{00000001-1EDA-4B57-ADAF-6F99545CE044}"/>
            </c:ext>
          </c:extLst>
        </c:ser>
        <c:dLbls>
          <c:dLblPos val="outEnd"/>
          <c:showLegendKey val="0"/>
          <c:showVal val="1"/>
          <c:showCatName val="0"/>
          <c:showSerName val="0"/>
          <c:showPercent val="0"/>
          <c:showBubbleSize val="0"/>
        </c:dLbls>
        <c:gapWidth val="219"/>
        <c:overlap val="-27"/>
        <c:axId val="-1256799664"/>
        <c:axId val="-1121306224"/>
      </c:barChart>
      <c:catAx>
        <c:axId val="-1256799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B-ALL</a:t>
                </a:r>
                <a:r>
                  <a:rPr lang="en-IN" baseline="0"/>
                  <a:t> patients</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306224"/>
        <c:crosses val="autoZero"/>
        <c:auto val="1"/>
        <c:lblAlgn val="ctr"/>
        <c:lblOffset val="100"/>
        <c:noMultiLvlLbl val="0"/>
      </c:catAx>
      <c:valAx>
        <c:axId val="-1121306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Fusion</a:t>
                </a:r>
                <a:r>
                  <a:rPr lang="en-IN" baseline="0"/>
                  <a:t> copies</a:t>
                </a:r>
                <a:endParaRPr lang="en-IN"/>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6799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'[Hasan Charts.xlsx]Sheet1'!$B$72</c:f>
              <c:strCache>
                <c:ptCount val="1"/>
                <c:pt idx="0">
                  <c:v>Within Normal LDH range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Charts.xlsx]Sheet1'!$A$73:$A$75</c:f>
              <c:strCache>
                <c:ptCount val="3"/>
                <c:pt idx="0">
                  <c:v>PT</c:v>
                </c:pt>
                <c:pt idx="1">
                  <c:v>TNR</c:v>
                </c:pt>
                <c:pt idx="2">
                  <c:v>TR</c:v>
                </c:pt>
              </c:strCache>
            </c:strRef>
          </c:cat>
          <c:val>
            <c:numRef>
              <c:f>'[Hasan Charts.xlsx]Sheet1'!$B$73:$B$75</c:f>
              <c:numCache>
                <c:formatCode>General</c:formatCode>
                <c:ptCount val="3"/>
                <c:pt idx="0">
                  <c:v>4.8899999999999997</c:v>
                </c:pt>
                <c:pt idx="1">
                  <c:v>187</c:v>
                </c:pt>
                <c:pt idx="2">
                  <c:v>7.0000000000000007E-2</c:v>
                </c:pt>
              </c:numCache>
            </c:numRef>
          </c:val>
          <c:extLst xmlns:c16r2="http://schemas.microsoft.com/office/drawing/2015/06/chart">
            <c:ext xmlns:c16="http://schemas.microsoft.com/office/drawing/2014/chart" uri="{C3380CC4-5D6E-409C-BE32-E72D297353CC}">
              <c16:uniqueId val="{00000000-EFC6-4001-9150-9A40793A7128}"/>
            </c:ext>
          </c:extLst>
        </c:ser>
        <c:ser>
          <c:idx val="1"/>
          <c:order val="1"/>
          <c:tx>
            <c:strRef>
              <c:f>'[Hasan Charts.xlsx]Sheet1'!$C$72</c:f>
              <c:strCache>
                <c:ptCount val="1"/>
                <c:pt idx="0">
                  <c:v>Abnormal LDH level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Charts.xlsx]Sheet1'!$A$73:$A$75</c:f>
              <c:strCache>
                <c:ptCount val="3"/>
                <c:pt idx="0">
                  <c:v>PT</c:v>
                </c:pt>
                <c:pt idx="1">
                  <c:v>TNR</c:v>
                </c:pt>
                <c:pt idx="2">
                  <c:v>TR</c:v>
                </c:pt>
              </c:strCache>
            </c:strRef>
          </c:cat>
          <c:val>
            <c:numRef>
              <c:f>'[Hasan Charts.xlsx]Sheet1'!$C$73:$C$75</c:f>
              <c:numCache>
                <c:formatCode>General</c:formatCode>
                <c:ptCount val="3"/>
                <c:pt idx="0">
                  <c:v>12.46</c:v>
                </c:pt>
                <c:pt idx="1">
                  <c:v>1499</c:v>
                </c:pt>
                <c:pt idx="2">
                  <c:v>0.08</c:v>
                </c:pt>
              </c:numCache>
            </c:numRef>
          </c:val>
          <c:extLst xmlns:c16r2="http://schemas.microsoft.com/office/drawing/2015/06/chart">
            <c:ext xmlns:c16="http://schemas.microsoft.com/office/drawing/2014/chart" uri="{C3380CC4-5D6E-409C-BE32-E72D297353CC}">
              <c16:uniqueId val="{00000001-EFC6-4001-9150-9A40793A7128}"/>
            </c:ext>
          </c:extLst>
        </c:ser>
        <c:dLbls>
          <c:dLblPos val="outEnd"/>
          <c:showLegendKey val="0"/>
          <c:showVal val="1"/>
          <c:showCatName val="0"/>
          <c:showSerName val="0"/>
          <c:showPercent val="0"/>
          <c:showBubbleSize val="0"/>
        </c:dLbls>
        <c:gapWidth val="219"/>
        <c:overlap val="-27"/>
        <c:axId val="-1121305680"/>
        <c:axId val="-1121316560"/>
      </c:barChart>
      <c:catAx>
        <c:axId val="-1121305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B-ALL</a:t>
                </a:r>
                <a:r>
                  <a:rPr lang="en-IN" baseline="0"/>
                  <a:t> patients</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316560"/>
        <c:crosses val="autoZero"/>
        <c:auto val="1"/>
        <c:lblAlgn val="ctr"/>
        <c:lblOffset val="100"/>
        <c:noMultiLvlLbl val="0"/>
      </c:catAx>
      <c:valAx>
        <c:axId val="-1121316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Fusion copies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305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'[Hasan Charts.xlsx]Sheet1'!$B$82</c:f>
              <c:strCache>
                <c:ptCount val="1"/>
                <c:pt idx="0">
                  <c:v>Within Normal LDH range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Charts.xlsx]Sheet1'!$A$83:$A$85</c:f>
              <c:strCache>
                <c:ptCount val="3"/>
                <c:pt idx="0">
                  <c:v>PT</c:v>
                </c:pt>
                <c:pt idx="1">
                  <c:v>TNR</c:v>
                </c:pt>
                <c:pt idx="2">
                  <c:v>TR</c:v>
                </c:pt>
              </c:strCache>
            </c:strRef>
          </c:cat>
          <c:val>
            <c:numRef>
              <c:f>'[Hasan Charts.xlsx]Sheet1'!$B$83:$B$85</c:f>
              <c:numCache>
                <c:formatCode>General</c:formatCode>
                <c:ptCount val="3"/>
                <c:pt idx="0">
                  <c:v>0.22</c:v>
                </c:pt>
                <c:pt idx="1">
                  <c:v>29.89</c:v>
                </c:pt>
                <c:pt idx="2">
                  <c:v>0.17</c:v>
                </c:pt>
              </c:numCache>
            </c:numRef>
          </c:val>
          <c:extLst xmlns:c16r2="http://schemas.microsoft.com/office/drawing/2015/06/chart">
            <c:ext xmlns:c16="http://schemas.microsoft.com/office/drawing/2014/chart" uri="{C3380CC4-5D6E-409C-BE32-E72D297353CC}">
              <c16:uniqueId val="{00000000-0D8C-41A9-B8F0-7213A0958CDE}"/>
            </c:ext>
          </c:extLst>
        </c:ser>
        <c:ser>
          <c:idx val="1"/>
          <c:order val="1"/>
          <c:tx>
            <c:strRef>
              <c:f>'[Hasan Charts.xlsx]Sheet1'!$C$82</c:f>
              <c:strCache>
                <c:ptCount val="1"/>
                <c:pt idx="0">
                  <c:v>Abnormal LDH level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'[Hasan Charts.xlsx]Sheet1'!$A$83:$A$85</c:f>
              <c:strCache>
                <c:ptCount val="3"/>
                <c:pt idx="0">
                  <c:v>PT</c:v>
                </c:pt>
                <c:pt idx="1">
                  <c:v>TNR</c:v>
                </c:pt>
                <c:pt idx="2">
                  <c:v>TR</c:v>
                </c:pt>
              </c:strCache>
            </c:strRef>
          </c:cat>
          <c:val>
            <c:numRef>
              <c:f>'[Hasan Charts.xlsx]Sheet1'!$C$83:$C$85</c:f>
              <c:numCache>
                <c:formatCode>General</c:formatCode>
                <c:ptCount val="3"/>
                <c:pt idx="0">
                  <c:v>12.87</c:v>
                </c:pt>
                <c:pt idx="1">
                  <c:v>40.1</c:v>
                </c:pt>
                <c:pt idx="2">
                  <c:v>7.0000000000000001E-3</c:v>
                </c:pt>
              </c:numCache>
            </c:numRef>
          </c:val>
          <c:extLst xmlns:c16r2="http://schemas.microsoft.com/office/drawing/2015/06/chart">
            <c:ext xmlns:c16="http://schemas.microsoft.com/office/drawing/2014/chart" uri="{C3380CC4-5D6E-409C-BE32-E72D297353CC}">
              <c16:uniqueId val="{00000001-0D8C-41A9-B8F0-7213A0958CDE}"/>
            </c:ext>
          </c:extLst>
        </c:ser>
        <c:dLbls>
          <c:dLblPos val="outEnd"/>
          <c:showLegendKey val="0"/>
          <c:showVal val="1"/>
          <c:showCatName val="0"/>
          <c:showSerName val="0"/>
          <c:showPercent val="0"/>
          <c:showBubbleSize val="0"/>
        </c:dLbls>
        <c:gapWidth val="219"/>
        <c:overlap val="-27"/>
        <c:axId val="-1121308400"/>
        <c:axId val="-1121307856"/>
      </c:barChart>
      <c:catAx>
        <c:axId val="-1121308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B-ALL</a:t>
                </a:r>
                <a:r>
                  <a:rPr lang="en-IN" baseline="0"/>
                  <a:t> patients</a:t>
                </a:r>
                <a:endParaRPr lang="en-IN"/>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307856"/>
        <c:crosses val="autoZero"/>
        <c:auto val="1"/>
        <c:lblAlgn val="ctr"/>
        <c:lblOffset val="100"/>
        <c:noMultiLvlLbl val="0"/>
      </c:catAx>
      <c:valAx>
        <c:axId val="-1121307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%NCN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1308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4688-D0F5-405F-92BB-8DD9E66F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9</Pages>
  <Words>3791</Words>
  <Characters>21611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 Jethva</dc:creator>
  <cp:keywords/>
  <dc:description/>
  <cp:lastModifiedBy>Disha Jethva</cp:lastModifiedBy>
  <cp:revision>30</cp:revision>
  <cp:lastPrinted>2024-07-18T10:57:00Z</cp:lastPrinted>
  <dcterms:created xsi:type="dcterms:W3CDTF">2024-07-12T10:00:00Z</dcterms:created>
  <dcterms:modified xsi:type="dcterms:W3CDTF">2024-07-31T09:20:00Z</dcterms:modified>
</cp:coreProperties>
</file>