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825" w:rsidRPr="008A13EC" w:rsidRDefault="001413EF" w:rsidP="00B37912">
      <w:pPr>
        <w:ind w:left="-180"/>
        <w:jc w:val="center"/>
        <w:rPr>
          <w:rFonts w:ascii="Times New Roman" w:hAnsi="Times New Roman" w:cs="Times New Roman"/>
          <w:b/>
          <w:sz w:val="24"/>
          <w:szCs w:val="24"/>
        </w:rPr>
      </w:pPr>
      <w:r w:rsidRPr="008A13EC">
        <w:rPr>
          <w:rFonts w:ascii="Times New Roman" w:hAnsi="Times New Roman" w:cs="Times New Roman"/>
          <w:b/>
          <w:sz w:val="24"/>
          <w:szCs w:val="24"/>
        </w:rPr>
        <w:t>AN IMPACT OF CASH FLOW ON BUSINESS SUSTAINABILITY WITH SPECIAL</w:t>
      </w:r>
      <w:r w:rsidR="007F49D6" w:rsidRPr="008A13EC">
        <w:rPr>
          <w:rFonts w:ascii="Times New Roman" w:hAnsi="Times New Roman" w:cs="Times New Roman"/>
          <w:b/>
          <w:sz w:val="24"/>
          <w:szCs w:val="24"/>
        </w:rPr>
        <w:t xml:space="preserve"> REFERENCE TO KSM POLY PLASTIC </w:t>
      </w:r>
      <w:r w:rsidRPr="008A13EC">
        <w:rPr>
          <w:rFonts w:ascii="Times New Roman" w:hAnsi="Times New Roman" w:cs="Times New Roman"/>
          <w:b/>
          <w:sz w:val="24"/>
          <w:szCs w:val="24"/>
        </w:rPr>
        <w:t>PVT LTD</w:t>
      </w:r>
      <w:r w:rsidR="00B71FD6">
        <w:rPr>
          <w:rFonts w:ascii="Times New Roman" w:hAnsi="Times New Roman" w:cs="Times New Roman"/>
          <w:b/>
          <w:sz w:val="24"/>
          <w:szCs w:val="24"/>
        </w:rPr>
        <w:t>, HYDERABAD.</w:t>
      </w:r>
    </w:p>
    <w:p w:rsidR="001413EF" w:rsidRPr="008A13EC" w:rsidRDefault="001413EF" w:rsidP="00B37912">
      <w:pPr>
        <w:ind w:left="-180"/>
        <w:jc w:val="center"/>
        <w:rPr>
          <w:rFonts w:ascii="Times New Roman" w:hAnsi="Times New Roman" w:cs="Times New Roman"/>
          <w:b/>
          <w:sz w:val="24"/>
          <w:szCs w:val="24"/>
        </w:rPr>
      </w:pPr>
      <w:r w:rsidRPr="008A13EC">
        <w:rPr>
          <w:rFonts w:ascii="Times New Roman" w:hAnsi="Times New Roman" w:cs="Times New Roman"/>
          <w:b/>
          <w:sz w:val="24"/>
          <w:szCs w:val="24"/>
        </w:rPr>
        <w:t>G.Lavanya</w:t>
      </w:r>
    </w:p>
    <w:p w:rsidR="001413EF" w:rsidRPr="000E79EF" w:rsidRDefault="001413EF" w:rsidP="00B37912">
      <w:pPr>
        <w:ind w:left="-180"/>
        <w:jc w:val="center"/>
        <w:rPr>
          <w:rFonts w:ascii="Times New Roman" w:hAnsi="Times New Roman" w:cs="Times New Roman"/>
          <w:sz w:val="24"/>
          <w:szCs w:val="24"/>
        </w:rPr>
      </w:pPr>
      <w:r w:rsidRPr="000E79EF">
        <w:rPr>
          <w:rFonts w:ascii="Times New Roman" w:hAnsi="Times New Roman" w:cs="Times New Roman"/>
          <w:sz w:val="24"/>
          <w:szCs w:val="24"/>
        </w:rPr>
        <w:t>II MBA,</w:t>
      </w:r>
      <w:r w:rsidR="00173F4D" w:rsidRPr="000E79EF">
        <w:rPr>
          <w:rFonts w:ascii="Times New Roman" w:hAnsi="Times New Roman" w:cs="Times New Roman"/>
          <w:sz w:val="24"/>
          <w:szCs w:val="24"/>
        </w:rPr>
        <w:t xml:space="preserve"> </w:t>
      </w:r>
      <w:r w:rsidRPr="000E79EF">
        <w:rPr>
          <w:rFonts w:ascii="Times New Roman" w:hAnsi="Times New Roman" w:cs="Times New Roman"/>
          <w:sz w:val="24"/>
          <w:szCs w:val="24"/>
        </w:rPr>
        <w:t>Department of MBA</w:t>
      </w:r>
    </w:p>
    <w:p w:rsidR="00173F4D" w:rsidRPr="000E79EF" w:rsidRDefault="00173F4D" w:rsidP="00B37912">
      <w:pPr>
        <w:ind w:left="-180"/>
        <w:jc w:val="center"/>
        <w:rPr>
          <w:rFonts w:ascii="Times New Roman" w:hAnsi="Times New Roman" w:cs="Times New Roman"/>
          <w:sz w:val="24"/>
          <w:szCs w:val="24"/>
        </w:rPr>
      </w:pPr>
      <w:r w:rsidRPr="000E79EF">
        <w:rPr>
          <w:rFonts w:ascii="Times New Roman" w:hAnsi="Times New Roman" w:cs="Times New Roman"/>
          <w:sz w:val="24"/>
          <w:szCs w:val="24"/>
        </w:rPr>
        <w:t>Malla Reddy Engineering College (Autonoums)</w:t>
      </w:r>
    </w:p>
    <w:p w:rsidR="00173F4D" w:rsidRPr="000E79EF" w:rsidRDefault="00173F4D" w:rsidP="00B37912">
      <w:pPr>
        <w:ind w:left="-180"/>
        <w:jc w:val="center"/>
        <w:rPr>
          <w:rFonts w:ascii="Times New Roman" w:hAnsi="Times New Roman" w:cs="Times New Roman"/>
          <w:sz w:val="24"/>
          <w:szCs w:val="24"/>
          <w:u w:val="single"/>
        </w:rPr>
      </w:pPr>
      <w:r w:rsidRPr="000E79EF">
        <w:rPr>
          <w:rFonts w:ascii="Times New Roman" w:hAnsi="Times New Roman" w:cs="Times New Roman"/>
          <w:sz w:val="24"/>
          <w:szCs w:val="24"/>
        </w:rPr>
        <w:t xml:space="preserve">Hyderabad, e-mail: </w:t>
      </w:r>
      <w:r w:rsidRPr="000E79EF">
        <w:rPr>
          <w:rFonts w:ascii="Times New Roman" w:hAnsi="Times New Roman" w:cs="Times New Roman"/>
          <w:color w:val="548DD4" w:themeColor="text2" w:themeTint="99"/>
          <w:sz w:val="24"/>
          <w:szCs w:val="24"/>
          <w:u w:val="single"/>
        </w:rPr>
        <w:t>lavanyagurram64@gmail.com</w:t>
      </w:r>
    </w:p>
    <w:p w:rsidR="00173F4D" w:rsidRPr="008A13EC" w:rsidRDefault="00173F4D" w:rsidP="00B37912">
      <w:pPr>
        <w:ind w:left="-180"/>
        <w:jc w:val="center"/>
        <w:rPr>
          <w:rFonts w:ascii="Times New Roman" w:hAnsi="Times New Roman" w:cs="Times New Roman"/>
          <w:b/>
          <w:sz w:val="24"/>
          <w:szCs w:val="24"/>
        </w:rPr>
      </w:pPr>
      <w:r w:rsidRPr="008A13EC">
        <w:rPr>
          <w:rFonts w:ascii="Times New Roman" w:hAnsi="Times New Roman" w:cs="Times New Roman"/>
          <w:b/>
          <w:sz w:val="24"/>
          <w:szCs w:val="24"/>
        </w:rPr>
        <w:t>Dr.S.Narender</w:t>
      </w:r>
    </w:p>
    <w:p w:rsidR="00173F4D" w:rsidRPr="000E79EF" w:rsidRDefault="00173F4D" w:rsidP="00B37912">
      <w:pPr>
        <w:ind w:left="-180"/>
        <w:jc w:val="center"/>
        <w:rPr>
          <w:rFonts w:ascii="Times New Roman" w:hAnsi="Times New Roman" w:cs="Times New Roman"/>
          <w:sz w:val="24"/>
          <w:szCs w:val="24"/>
        </w:rPr>
      </w:pPr>
      <w:r w:rsidRPr="000E79EF">
        <w:rPr>
          <w:rFonts w:ascii="Times New Roman" w:hAnsi="Times New Roman" w:cs="Times New Roman"/>
          <w:sz w:val="24"/>
          <w:szCs w:val="24"/>
        </w:rPr>
        <w:t>Professor, Department of MBA</w:t>
      </w:r>
    </w:p>
    <w:p w:rsidR="00173F4D" w:rsidRPr="000E79EF" w:rsidRDefault="00173F4D" w:rsidP="00B37912">
      <w:pPr>
        <w:ind w:left="-180"/>
        <w:jc w:val="center"/>
        <w:rPr>
          <w:rFonts w:ascii="Times New Roman" w:hAnsi="Times New Roman" w:cs="Times New Roman"/>
          <w:sz w:val="24"/>
          <w:szCs w:val="24"/>
        </w:rPr>
      </w:pPr>
      <w:r w:rsidRPr="000E79EF">
        <w:rPr>
          <w:rFonts w:ascii="Times New Roman" w:hAnsi="Times New Roman" w:cs="Times New Roman"/>
          <w:sz w:val="24"/>
          <w:szCs w:val="24"/>
        </w:rPr>
        <w:t>Malla Reddy Engineering College (Autonoums)</w:t>
      </w:r>
    </w:p>
    <w:p w:rsidR="00173F4D" w:rsidRPr="000E79EF" w:rsidRDefault="00173F4D" w:rsidP="00B37912">
      <w:pPr>
        <w:ind w:left="-180"/>
        <w:jc w:val="center"/>
        <w:rPr>
          <w:rFonts w:ascii="Times New Roman" w:hAnsi="Times New Roman" w:cs="Times New Roman"/>
          <w:color w:val="548DD4" w:themeColor="text2" w:themeTint="99"/>
          <w:sz w:val="24"/>
          <w:szCs w:val="24"/>
          <w:u w:val="single"/>
        </w:rPr>
      </w:pPr>
      <w:r w:rsidRPr="000E79EF">
        <w:rPr>
          <w:rFonts w:ascii="Times New Roman" w:hAnsi="Times New Roman" w:cs="Times New Roman"/>
          <w:sz w:val="24"/>
          <w:szCs w:val="24"/>
        </w:rPr>
        <w:t xml:space="preserve">Hyderabad, e-mail: </w:t>
      </w:r>
      <w:hyperlink r:id="rId8" w:history="1">
        <w:r w:rsidR="007F49D6" w:rsidRPr="000E79EF">
          <w:rPr>
            <w:rStyle w:val="Hyperlink"/>
            <w:rFonts w:ascii="Times New Roman" w:hAnsi="Times New Roman" w:cs="Times New Roman"/>
            <w:color w:val="6666FF" w:themeColor="hyperlink" w:themeTint="99"/>
            <w:sz w:val="24"/>
            <w:szCs w:val="24"/>
          </w:rPr>
          <w:t>narendercommerce@gmail.com</w:t>
        </w:r>
      </w:hyperlink>
    </w:p>
    <w:p w:rsidR="007F49D6" w:rsidRPr="008A13EC" w:rsidRDefault="007F49D6" w:rsidP="00B37912">
      <w:pPr>
        <w:ind w:left="-180"/>
        <w:jc w:val="center"/>
        <w:rPr>
          <w:rFonts w:ascii="Times New Roman" w:hAnsi="Times New Roman" w:cs="Times New Roman"/>
          <w:color w:val="000000" w:themeColor="text1"/>
          <w:sz w:val="24"/>
          <w:szCs w:val="24"/>
        </w:rPr>
      </w:pPr>
    </w:p>
    <w:p w:rsidR="007F49D6" w:rsidRPr="008A13EC" w:rsidRDefault="007F49D6" w:rsidP="008A13EC">
      <w:pPr>
        <w:ind w:left="-180"/>
        <w:jc w:val="center"/>
        <w:rPr>
          <w:rFonts w:ascii="Times New Roman" w:hAnsi="Times New Roman" w:cs="Times New Roman"/>
          <w:b/>
          <w:color w:val="000000" w:themeColor="text1"/>
          <w:sz w:val="24"/>
          <w:szCs w:val="24"/>
        </w:rPr>
      </w:pPr>
      <w:r w:rsidRPr="008A13EC">
        <w:rPr>
          <w:rFonts w:ascii="Times New Roman" w:hAnsi="Times New Roman" w:cs="Times New Roman"/>
          <w:b/>
          <w:color w:val="000000" w:themeColor="text1"/>
          <w:sz w:val="24"/>
          <w:szCs w:val="24"/>
        </w:rPr>
        <w:t>ABSTRACT</w:t>
      </w:r>
    </w:p>
    <w:p w:rsidR="00173F4D" w:rsidRDefault="007F49D6" w:rsidP="00B37912">
      <w:pPr>
        <w:ind w:left="-180"/>
        <w:jc w:val="both"/>
        <w:rPr>
          <w:rFonts w:ascii="Times New Roman" w:hAnsi="Times New Roman" w:cs="Times New Roman"/>
          <w:i/>
          <w:sz w:val="24"/>
          <w:szCs w:val="24"/>
        </w:rPr>
      </w:pPr>
      <w:r w:rsidRPr="008A13EC">
        <w:rPr>
          <w:rFonts w:ascii="Times New Roman" w:hAnsi="Times New Roman" w:cs="Times New Roman"/>
          <w:i/>
          <w:sz w:val="24"/>
          <w:szCs w:val="24"/>
        </w:rPr>
        <w:t xml:space="preserve">This paper examines the limitations of cash flow impact on business sustainability with a specific focus on KSM Poly Plastic </w:t>
      </w:r>
      <w:proofErr w:type="spellStart"/>
      <w:r w:rsidRPr="008A13EC">
        <w:rPr>
          <w:rFonts w:ascii="Times New Roman" w:hAnsi="Times New Roman" w:cs="Times New Roman"/>
          <w:i/>
          <w:sz w:val="24"/>
          <w:szCs w:val="24"/>
        </w:rPr>
        <w:t>Pvt</w:t>
      </w:r>
      <w:proofErr w:type="spellEnd"/>
      <w:r w:rsidRPr="008A13EC">
        <w:rPr>
          <w:rFonts w:ascii="Times New Roman" w:hAnsi="Times New Roman" w:cs="Times New Roman"/>
          <w:i/>
          <w:sz w:val="24"/>
          <w:szCs w:val="24"/>
        </w:rPr>
        <w:t xml:space="preserve"> </w:t>
      </w:r>
      <w:r w:rsidR="005D538C">
        <w:rPr>
          <w:rFonts w:ascii="Times New Roman" w:hAnsi="Times New Roman" w:cs="Times New Roman"/>
          <w:i/>
          <w:sz w:val="24"/>
          <w:szCs w:val="24"/>
        </w:rPr>
        <w:t xml:space="preserve">  </w:t>
      </w:r>
      <w:r w:rsidRPr="008A13EC">
        <w:rPr>
          <w:rFonts w:ascii="Times New Roman" w:hAnsi="Times New Roman" w:cs="Times New Roman"/>
          <w:i/>
          <w:sz w:val="24"/>
          <w:szCs w:val="24"/>
        </w:rPr>
        <w:t xml:space="preserve">Ltd. While cash flow is integral to operational health and long-term viability, several factors constrain its effectiveness in ensuring sustainability. Market volatility, dependence on key customers, and inefficiencies in receivables management are critical external and internal challenges. Additionally, the necessity for capital expenditure, economic conditions, regulatory compliance, and supply chain disruptions further complicate cash flow management. Furthermore, limited </w:t>
      </w:r>
      <w:r w:rsidR="008A13EC" w:rsidRPr="008A13EC">
        <w:rPr>
          <w:rFonts w:ascii="Times New Roman" w:hAnsi="Times New Roman" w:cs="Times New Roman"/>
          <w:i/>
          <w:sz w:val="24"/>
          <w:szCs w:val="24"/>
        </w:rPr>
        <w:t>access to financing and operational inefficiencies exacerbates</w:t>
      </w:r>
      <w:r w:rsidRPr="008A13EC">
        <w:rPr>
          <w:rFonts w:ascii="Times New Roman" w:hAnsi="Times New Roman" w:cs="Times New Roman"/>
          <w:i/>
          <w:sz w:val="24"/>
          <w:szCs w:val="24"/>
        </w:rPr>
        <w:t xml:space="preserve"> these challenges. Understanding these limitations is crucial for KSM Poly Plastic </w:t>
      </w:r>
      <w:proofErr w:type="spellStart"/>
      <w:r w:rsidRPr="008A13EC">
        <w:rPr>
          <w:rFonts w:ascii="Times New Roman" w:hAnsi="Times New Roman" w:cs="Times New Roman"/>
          <w:i/>
          <w:sz w:val="24"/>
          <w:szCs w:val="24"/>
        </w:rPr>
        <w:t>Pvt</w:t>
      </w:r>
      <w:proofErr w:type="spellEnd"/>
      <w:r w:rsidRPr="008A13EC">
        <w:rPr>
          <w:rFonts w:ascii="Times New Roman" w:hAnsi="Times New Roman" w:cs="Times New Roman"/>
          <w:i/>
          <w:sz w:val="24"/>
          <w:szCs w:val="24"/>
        </w:rPr>
        <w:t xml:space="preserve"> Ltd to develop robust strategies, mitigate risks, and sustain long-term growth through effective cash flow management.</w:t>
      </w:r>
    </w:p>
    <w:p w:rsidR="00452D54" w:rsidRPr="007060D1" w:rsidRDefault="00452D54" w:rsidP="00B37912">
      <w:pPr>
        <w:ind w:left="-180"/>
        <w:jc w:val="both"/>
        <w:rPr>
          <w:rFonts w:ascii="Times New Roman" w:hAnsi="Times New Roman" w:cs="Times New Roman"/>
          <w:i/>
          <w:sz w:val="24"/>
          <w:szCs w:val="24"/>
        </w:rPr>
      </w:pPr>
      <w:r>
        <w:rPr>
          <w:rFonts w:ascii="Times New Roman" w:hAnsi="Times New Roman" w:cs="Times New Roman"/>
          <w:b/>
          <w:i/>
          <w:sz w:val="24"/>
          <w:szCs w:val="24"/>
        </w:rPr>
        <w:t xml:space="preserve">Keywords: </w:t>
      </w:r>
      <w:r w:rsidR="007060D1">
        <w:rPr>
          <w:rFonts w:ascii="Times New Roman" w:hAnsi="Times New Roman" w:cs="Times New Roman"/>
          <w:i/>
          <w:sz w:val="24"/>
          <w:szCs w:val="24"/>
        </w:rPr>
        <w:t xml:space="preserve">Business Sustainability, Receivable Management, Market Volatility and </w:t>
      </w:r>
      <w:r w:rsidR="00EC10F7">
        <w:rPr>
          <w:rFonts w:ascii="Times New Roman" w:hAnsi="Times New Roman" w:cs="Times New Roman"/>
          <w:i/>
          <w:sz w:val="24"/>
          <w:szCs w:val="24"/>
        </w:rPr>
        <w:t>Financial Activities.</w:t>
      </w:r>
    </w:p>
    <w:p w:rsidR="001413EF" w:rsidRPr="008A13EC" w:rsidRDefault="00A0428A" w:rsidP="00B37912">
      <w:pPr>
        <w:pStyle w:val="ListParagraph"/>
        <w:ind w:left="-180"/>
        <w:rPr>
          <w:rFonts w:ascii="Times New Roman" w:hAnsi="Times New Roman" w:cs="Times New Roman"/>
          <w:b/>
          <w:sz w:val="24"/>
          <w:szCs w:val="24"/>
        </w:rPr>
      </w:pPr>
      <w:r w:rsidRPr="008A13EC">
        <w:rPr>
          <w:rFonts w:ascii="Times New Roman" w:hAnsi="Times New Roman" w:cs="Times New Roman"/>
          <w:b/>
          <w:sz w:val="24"/>
          <w:szCs w:val="24"/>
        </w:rPr>
        <w:t>1. INTRODUCTION</w:t>
      </w:r>
    </w:p>
    <w:p w:rsidR="002D0160" w:rsidRPr="008A13EC" w:rsidRDefault="002D0160" w:rsidP="00B37912">
      <w:pPr>
        <w:pStyle w:val="ListParagraph"/>
        <w:ind w:left="-180"/>
        <w:rPr>
          <w:rFonts w:ascii="Times New Roman" w:hAnsi="Times New Roman" w:cs="Times New Roman"/>
          <w:b/>
          <w:sz w:val="24"/>
          <w:szCs w:val="24"/>
        </w:rPr>
      </w:pPr>
    </w:p>
    <w:p w:rsidR="008A13EC" w:rsidRPr="008A13EC" w:rsidRDefault="002D0160" w:rsidP="008A13EC">
      <w:pPr>
        <w:pStyle w:val="ListParagraph"/>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In </w:t>
      </w:r>
      <w:hyperlink r:id="rId9" w:tooltip="Financial accounting" w:history="1">
        <w:r w:rsidRPr="008A13EC">
          <w:rPr>
            <w:rFonts w:ascii="Times New Roman" w:hAnsi="Times New Roman" w:cs="Times New Roman"/>
            <w:sz w:val="24"/>
            <w:szCs w:val="24"/>
          </w:rPr>
          <w:t>financial accounting</w:t>
        </w:r>
      </w:hyperlink>
      <w:r w:rsidRPr="008A13EC">
        <w:rPr>
          <w:rFonts w:ascii="Times New Roman" w:hAnsi="Times New Roman" w:cs="Times New Roman"/>
          <w:sz w:val="24"/>
          <w:szCs w:val="24"/>
        </w:rPr>
        <w:t xml:space="preserve">, a </w:t>
      </w:r>
      <w:r w:rsidRPr="008A13EC">
        <w:rPr>
          <w:rFonts w:ascii="Times New Roman" w:hAnsi="Times New Roman" w:cs="Times New Roman"/>
          <w:bCs/>
          <w:sz w:val="24"/>
          <w:szCs w:val="24"/>
        </w:rPr>
        <w:t>cash flow business</w:t>
      </w:r>
      <w:r w:rsidRPr="008A13EC">
        <w:rPr>
          <w:rFonts w:ascii="Times New Roman" w:hAnsi="Times New Roman" w:cs="Times New Roman"/>
          <w:sz w:val="24"/>
          <w:szCs w:val="24"/>
        </w:rPr>
        <w:t xml:space="preserve">, also known as </w:t>
      </w:r>
      <w:r w:rsidRPr="008A13EC">
        <w:rPr>
          <w:rFonts w:ascii="Times New Roman" w:hAnsi="Times New Roman" w:cs="Times New Roman"/>
          <w:bCs/>
          <w:iCs/>
          <w:sz w:val="24"/>
          <w:szCs w:val="24"/>
        </w:rPr>
        <w:t>business of cash flows</w:t>
      </w:r>
      <w:r w:rsidRPr="008A13EC">
        <w:rPr>
          <w:rFonts w:ascii="Times New Roman" w:hAnsi="Times New Roman" w:cs="Times New Roman"/>
          <w:sz w:val="24"/>
          <w:szCs w:val="24"/>
        </w:rPr>
        <w:t xml:space="preserve"> or </w:t>
      </w:r>
      <w:r w:rsidRPr="008A13EC">
        <w:rPr>
          <w:rFonts w:ascii="Times New Roman" w:hAnsi="Times New Roman" w:cs="Times New Roman"/>
          <w:bCs/>
          <w:iCs/>
          <w:sz w:val="24"/>
          <w:szCs w:val="24"/>
        </w:rPr>
        <w:t>funds flow business</w:t>
      </w:r>
      <w:r w:rsidRPr="008A13EC">
        <w:rPr>
          <w:rFonts w:ascii="Times New Roman" w:hAnsi="Times New Roman" w:cs="Times New Roman"/>
          <w:sz w:val="24"/>
          <w:szCs w:val="24"/>
        </w:rPr>
        <w:t xml:space="preserve">, is a </w:t>
      </w:r>
      <w:hyperlink r:id="rId10" w:tooltip="Financial statements" w:history="1">
        <w:r w:rsidRPr="008A13EC">
          <w:rPr>
            <w:rFonts w:ascii="Times New Roman" w:hAnsi="Times New Roman" w:cs="Times New Roman"/>
            <w:sz w:val="24"/>
            <w:szCs w:val="24"/>
          </w:rPr>
          <w:t>financial business</w:t>
        </w:r>
      </w:hyperlink>
      <w:r w:rsidRPr="008A13EC">
        <w:rPr>
          <w:rFonts w:ascii="Times New Roman" w:hAnsi="Times New Roman" w:cs="Times New Roman"/>
          <w:sz w:val="24"/>
          <w:szCs w:val="24"/>
        </w:rPr>
        <w:t xml:space="preserve"> that shows how changes in </w:t>
      </w:r>
      <w:hyperlink r:id="rId11" w:tooltip="Balance sheet" w:history="1">
        <w:r w:rsidRPr="008A13EC">
          <w:rPr>
            <w:rFonts w:ascii="Times New Roman" w:hAnsi="Times New Roman" w:cs="Times New Roman"/>
            <w:sz w:val="24"/>
            <w:szCs w:val="24"/>
          </w:rPr>
          <w:t>balance sheet</w:t>
        </w:r>
      </w:hyperlink>
      <w:r w:rsidRPr="008A13EC">
        <w:rPr>
          <w:rFonts w:ascii="Times New Roman" w:hAnsi="Times New Roman" w:cs="Times New Roman"/>
          <w:sz w:val="24"/>
          <w:szCs w:val="24"/>
        </w:rPr>
        <w:t xml:space="preserve"> accounts and income affect </w:t>
      </w:r>
      <w:hyperlink r:id="rId12" w:tooltip="Cash and cash equivalents" w:history="1">
        <w:r w:rsidRPr="008A13EC">
          <w:rPr>
            <w:rFonts w:ascii="Times New Roman" w:hAnsi="Times New Roman" w:cs="Times New Roman"/>
            <w:sz w:val="24"/>
            <w:szCs w:val="24"/>
          </w:rPr>
          <w:t>cash and cash equivalents</w:t>
        </w:r>
      </w:hyperlink>
      <w:r w:rsidRPr="008A13EC">
        <w:rPr>
          <w:rFonts w:ascii="Times New Roman" w:hAnsi="Times New Roman" w:cs="Times New Roman"/>
          <w:sz w:val="24"/>
          <w:szCs w:val="24"/>
        </w:rPr>
        <w:t xml:space="preserve">, and breaks the analysis down to operating, investing, and financing activities. Essentially, the </w:t>
      </w:r>
      <w:r w:rsidR="007060D1" w:rsidRPr="008A13EC">
        <w:rPr>
          <w:rFonts w:ascii="Times New Roman" w:hAnsi="Times New Roman" w:cs="Times New Roman"/>
          <w:sz w:val="24"/>
          <w:szCs w:val="24"/>
        </w:rPr>
        <w:t xml:space="preserve">Cash Flow Business </w:t>
      </w:r>
      <w:r w:rsidRPr="008A13EC">
        <w:rPr>
          <w:rFonts w:ascii="Times New Roman" w:hAnsi="Times New Roman" w:cs="Times New Roman"/>
          <w:sz w:val="24"/>
          <w:szCs w:val="24"/>
        </w:rPr>
        <w:t>is concerned with the flow of cash in and cash out of the business.</w:t>
      </w:r>
    </w:p>
    <w:p w:rsidR="002D0160" w:rsidRPr="008A13EC" w:rsidRDefault="002D0160" w:rsidP="00B37912">
      <w:pPr>
        <w:pStyle w:val="ListParagraph"/>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lastRenderedPageBreak/>
        <w:t>The business captures both the current operating results and the accompanying changes in the sheets an analytical tool, the business of cash flows is useful in determining the short-term viability of a company</w:t>
      </w:r>
    </w:p>
    <w:p w:rsidR="002D0160" w:rsidRPr="008A13EC" w:rsidRDefault="002D0160" w:rsidP="00A0428A">
      <w:pPr>
        <w:pStyle w:val="ListParagraph"/>
        <w:numPr>
          <w:ilvl w:val="0"/>
          <w:numId w:val="20"/>
        </w:numPr>
        <w:spacing w:line="360" w:lineRule="auto"/>
        <w:jc w:val="both"/>
        <w:rPr>
          <w:rFonts w:ascii="Times New Roman" w:hAnsi="Times New Roman" w:cs="Times New Roman"/>
          <w:sz w:val="24"/>
          <w:szCs w:val="24"/>
        </w:rPr>
      </w:pPr>
      <w:r w:rsidRPr="008A13EC">
        <w:rPr>
          <w:rFonts w:ascii="Times New Roman" w:hAnsi="Times New Roman" w:cs="Times New Roman"/>
          <w:sz w:val="24"/>
          <w:szCs w:val="24"/>
        </w:rPr>
        <w:t>People and groups interested in cash flow business include:</w:t>
      </w:r>
    </w:p>
    <w:p w:rsidR="002D0160" w:rsidRPr="008A13EC" w:rsidRDefault="002D0160" w:rsidP="00A0428A">
      <w:pPr>
        <w:pStyle w:val="ListParagraph"/>
        <w:numPr>
          <w:ilvl w:val="0"/>
          <w:numId w:val="20"/>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Accounting personnel, who need to know whether the organization will be able to cover payroll and other immediate expenses</w:t>
      </w:r>
    </w:p>
    <w:p w:rsidR="002D0160" w:rsidRPr="008A13EC" w:rsidRDefault="002D0160" w:rsidP="00A0428A">
      <w:pPr>
        <w:pStyle w:val="ListParagraph"/>
        <w:numPr>
          <w:ilvl w:val="0"/>
          <w:numId w:val="20"/>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 xml:space="preserve">Potential </w:t>
      </w:r>
      <w:hyperlink r:id="rId13" w:tooltip="Lender" w:history="1">
        <w:r w:rsidRPr="008A13EC">
          <w:rPr>
            <w:rFonts w:ascii="Times New Roman" w:hAnsi="Times New Roman" w:cs="Times New Roman"/>
            <w:sz w:val="24"/>
            <w:szCs w:val="24"/>
          </w:rPr>
          <w:t>lenders</w:t>
        </w:r>
      </w:hyperlink>
      <w:r w:rsidRPr="008A13EC">
        <w:rPr>
          <w:rFonts w:ascii="Times New Roman" w:hAnsi="Times New Roman" w:cs="Times New Roman"/>
          <w:sz w:val="24"/>
          <w:szCs w:val="24"/>
        </w:rPr>
        <w:t xml:space="preserve"> or </w:t>
      </w:r>
      <w:hyperlink r:id="rId14" w:tooltip="Creditor" w:history="1">
        <w:r w:rsidRPr="008A13EC">
          <w:rPr>
            <w:rFonts w:ascii="Times New Roman" w:hAnsi="Times New Roman" w:cs="Times New Roman"/>
            <w:sz w:val="24"/>
            <w:szCs w:val="24"/>
          </w:rPr>
          <w:t>creditors</w:t>
        </w:r>
      </w:hyperlink>
      <w:r w:rsidRPr="008A13EC">
        <w:rPr>
          <w:rFonts w:ascii="Times New Roman" w:hAnsi="Times New Roman" w:cs="Times New Roman"/>
          <w:sz w:val="24"/>
          <w:szCs w:val="24"/>
        </w:rPr>
        <w:t>, who want a clear picture of a company's ability to repay</w:t>
      </w:r>
    </w:p>
    <w:p w:rsidR="002D0160" w:rsidRPr="008A13EC" w:rsidRDefault="002D0160" w:rsidP="00A0428A">
      <w:pPr>
        <w:pStyle w:val="ListParagraph"/>
        <w:numPr>
          <w:ilvl w:val="0"/>
          <w:numId w:val="20"/>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 xml:space="preserve">Potential </w:t>
      </w:r>
      <w:hyperlink r:id="rId15" w:tooltip="Investor" w:history="1">
        <w:r w:rsidRPr="008A13EC">
          <w:rPr>
            <w:rFonts w:ascii="Times New Roman" w:hAnsi="Times New Roman" w:cs="Times New Roman"/>
            <w:sz w:val="24"/>
            <w:szCs w:val="24"/>
          </w:rPr>
          <w:t>investors</w:t>
        </w:r>
      </w:hyperlink>
      <w:r w:rsidRPr="008A13EC">
        <w:rPr>
          <w:rFonts w:ascii="Times New Roman" w:hAnsi="Times New Roman" w:cs="Times New Roman"/>
          <w:sz w:val="24"/>
          <w:szCs w:val="24"/>
        </w:rPr>
        <w:t>, who need to judge whether the company is financially sound</w:t>
      </w:r>
    </w:p>
    <w:p w:rsidR="002D0160" w:rsidRPr="008A13EC" w:rsidRDefault="002D0160" w:rsidP="00A0428A">
      <w:pPr>
        <w:pStyle w:val="ListParagraph"/>
        <w:numPr>
          <w:ilvl w:val="0"/>
          <w:numId w:val="20"/>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Potential employees or contractors, who need to know whether the company will be able to afford compensation</w:t>
      </w:r>
    </w:p>
    <w:p w:rsidR="00B37912" w:rsidRPr="008A13EC" w:rsidRDefault="007E127A" w:rsidP="00A0428A">
      <w:pPr>
        <w:pStyle w:val="ListParagraph"/>
        <w:numPr>
          <w:ilvl w:val="0"/>
          <w:numId w:val="20"/>
        </w:numPr>
        <w:spacing w:after="0" w:line="360" w:lineRule="auto"/>
        <w:jc w:val="both"/>
        <w:rPr>
          <w:rFonts w:ascii="Times New Roman" w:hAnsi="Times New Roman" w:cs="Times New Roman"/>
          <w:sz w:val="24"/>
          <w:szCs w:val="24"/>
        </w:rPr>
      </w:pPr>
      <w:hyperlink r:id="rId16" w:tooltip="Shareholder" w:history="1">
        <w:r w:rsidR="002D0160" w:rsidRPr="008A13EC">
          <w:rPr>
            <w:rFonts w:ascii="Times New Roman" w:hAnsi="Times New Roman" w:cs="Times New Roman"/>
            <w:sz w:val="24"/>
            <w:szCs w:val="24"/>
          </w:rPr>
          <w:t>Shareholders</w:t>
        </w:r>
      </w:hyperlink>
      <w:r w:rsidR="002D0160" w:rsidRPr="008A13EC">
        <w:rPr>
          <w:rFonts w:ascii="Times New Roman" w:hAnsi="Times New Roman" w:cs="Times New Roman"/>
          <w:sz w:val="24"/>
          <w:szCs w:val="24"/>
        </w:rPr>
        <w:t xml:space="preserve"> of the business.</w:t>
      </w:r>
    </w:p>
    <w:p w:rsidR="00914301" w:rsidRPr="008A13EC" w:rsidRDefault="00B37912" w:rsidP="00B37912">
      <w:pPr>
        <w:spacing w:after="0" w:line="360" w:lineRule="auto"/>
        <w:ind w:left="-540"/>
        <w:jc w:val="both"/>
        <w:rPr>
          <w:rFonts w:ascii="Times New Roman" w:hAnsi="Times New Roman" w:cs="Times New Roman"/>
          <w:b/>
          <w:sz w:val="24"/>
          <w:szCs w:val="24"/>
        </w:rPr>
      </w:pPr>
      <w:r w:rsidRPr="008A13EC">
        <w:rPr>
          <w:rFonts w:ascii="Times New Roman" w:hAnsi="Times New Roman" w:cs="Times New Roman"/>
          <w:b/>
          <w:sz w:val="24"/>
          <w:szCs w:val="24"/>
        </w:rPr>
        <w:t xml:space="preserve">  </w:t>
      </w:r>
      <w:r w:rsidR="00A0428A" w:rsidRPr="008A13EC">
        <w:rPr>
          <w:rFonts w:ascii="Times New Roman" w:hAnsi="Times New Roman" w:cs="Times New Roman"/>
          <w:b/>
          <w:sz w:val="24"/>
          <w:szCs w:val="24"/>
        </w:rPr>
        <w:t>2.</w:t>
      </w:r>
      <w:r w:rsidR="00A0428A">
        <w:rPr>
          <w:rFonts w:ascii="Times New Roman" w:hAnsi="Times New Roman" w:cs="Times New Roman"/>
          <w:b/>
          <w:sz w:val="24"/>
          <w:szCs w:val="24"/>
        </w:rPr>
        <w:t xml:space="preserve"> </w:t>
      </w:r>
      <w:r w:rsidR="00A0428A" w:rsidRPr="008A13EC">
        <w:rPr>
          <w:rFonts w:ascii="Times New Roman" w:hAnsi="Times New Roman" w:cs="Times New Roman"/>
          <w:b/>
          <w:sz w:val="24"/>
          <w:szCs w:val="24"/>
        </w:rPr>
        <w:t>NEED</w:t>
      </w:r>
      <w:r w:rsidR="00914301" w:rsidRPr="008A13EC">
        <w:rPr>
          <w:rFonts w:ascii="Times New Roman" w:hAnsi="Times New Roman" w:cs="Times New Roman"/>
          <w:b/>
          <w:sz w:val="24"/>
          <w:szCs w:val="24"/>
        </w:rPr>
        <w:t xml:space="preserve"> OF THE STUDY:</w:t>
      </w:r>
    </w:p>
    <w:p w:rsidR="00B37912" w:rsidRPr="00C45A49" w:rsidRDefault="00914301" w:rsidP="00C45A49">
      <w:pPr>
        <w:pStyle w:val="ListParagraph"/>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Many business owners disregard the importance of cash flow business because they unwittingly believe that their current financial standing can be construed from other financial reports and projections. Unfortunately, however, a </w:t>
      </w:r>
      <w:r w:rsidR="00C45A49" w:rsidRPr="008A13EC">
        <w:rPr>
          <w:rFonts w:ascii="Times New Roman" w:hAnsi="Times New Roman" w:cs="Times New Roman"/>
          <w:sz w:val="24"/>
          <w:szCs w:val="24"/>
        </w:rPr>
        <w:t xml:space="preserve">Cash Flow Business </w:t>
      </w:r>
      <w:r w:rsidRPr="008A13EC">
        <w:rPr>
          <w:rFonts w:ascii="Times New Roman" w:hAnsi="Times New Roman" w:cs="Times New Roman"/>
          <w:sz w:val="24"/>
          <w:szCs w:val="24"/>
        </w:rPr>
        <w:t>is necessary to adequately assess the incoming and outgoing flow of cash and other resources in a business.</w:t>
      </w:r>
      <w:r w:rsidR="00C45A49">
        <w:rPr>
          <w:rFonts w:ascii="Times New Roman" w:hAnsi="Times New Roman" w:cs="Times New Roman"/>
          <w:sz w:val="24"/>
          <w:szCs w:val="24"/>
        </w:rPr>
        <w:t xml:space="preserve"> </w:t>
      </w:r>
      <w:r w:rsidRPr="00C45A49">
        <w:rPr>
          <w:rFonts w:ascii="Times New Roman" w:hAnsi="Times New Roman" w:cs="Times New Roman"/>
          <w:sz w:val="24"/>
          <w:szCs w:val="24"/>
        </w:rPr>
        <w:t>Not only will a business owner with a cash flow system be more aware of his or her financial standing, but it will also help investors to make educated decisions on future investments. A business with regular and reliable cash flow business shows more economic solvency, and is more attractive to investors.</w:t>
      </w:r>
    </w:p>
    <w:p w:rsidR="00914301" w:rsidRPr="008A13EC" w:rsidRDefault="00B37912" w:rsidP="00B37912">
      <w:pPr>
        <w:pStyle w:val="ListParagraph"/>
        <w:spacing w:line="360" w:lineRule="auto"/>
        <w:ind w:left="-180"/>
        <w:jc w:val="both"/>
        <w:rPr>
          <w:rFonts w:ascii="Times New Roman" w:hAnsi="Times New Roman" w:cs="Times New Roman"/>
          <w:sz w:val="24"/>
          <w:szCs w:val="24"/>
        </w:rPr>
      </w:pPr>
      <w:r w:rsidRPr="008A13EC">
        <w:rPr>
          <w:rFonts w:ascii="Times New Roman" w:hAnsi="Times New Roman" w:cs="Times New Roman"/>
          <w:b/>
          <w:sz w:val="24"/>
          <w:szCs w:val="24"/>
        </w:rPr>
        <w:t>3.</w:t>
      </w:r>
      <w:r w:rsidR="00A74E91">
        <w:rPr>
          <w:rFonts w:ascii="Times New Roman" w:hAnsi="Times New Roman" w:cs="Times New Roman"/>
          <w:b/>
          <w:sz w:val="24"/>
          <w:szCs w:val="24"/>
        </w:rPr>
        <w:t xml:space="preserve"> </w:t>
      </w:r>
      <w:r w:rsidR="00914301" w:rsidRPr="008A13EC">
        <w:rPr>
          <w:rFonts w:ascii="Times New Roman" w:hAnsi="Times New Roman" w:cs="Times New Roman"/>
          <w:b/>
          <w:sz w:val="24"/>
          <w:szCs w:val="24"/>
        </w:rPr>
        <w:t>SCOPE OF THE STUDY:</w:t>
      </w:r>
    </w:p>
    <w:p w:rsidR="00B37912" w:rsidRPr="008A13EC" w:rsidRDefault="00914301"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Since the study of a micro level of all cement industries in Andhra Pradesh does not possible, so the study is restricted to </w:t>
      </w:r>
      <w:r w:rsidRPr="005D538C">
        <w:rPr>
          <w:rFonts w:ascii="Times New Roman" w:hAnsi="Times New Roman" w:cs="Times New Roman"/>
          <w:sz w:val="24"/>
          <w:szCs w:val="24"/>
        </w:rPr>
        <w:t>KSM POLY PLASTIC</w:t>
      </w:r>
      <w:r w:rsidRPr="008A13EC">
        <w:rPr>
          <w:rFonts w:ascii="Times New Roman" w:hAnsi="Times New Roman" w:cs="Times New Roman"/>
          <w:sz w:val="24"/>
          <w:szCs w:val="24"/>
        </w:rPr>
        <w:t xml:space="preserve">. A study that involves an examination of long term as well as short term sources that a company taps in order to meet its requirements of finance .The scope of the study is confined to the sources that </w:t>
      </w:r>
      <w:r w:rsidRPr="005D538C">
        <w:rPr>
          <w:rFonts w:ascii="Times New Roman" w:hAnsi="Times New Roman" w:cs="Times New Roman"/>
          <w:sz w:val="24"/>
          <w:szCs w:val="24"/>
        </w:rPr>
        <w:t>KSM POLY PLASTIC</w:t>
      </w:r>
      <w:r w:rsidRPr="008A13EC">
        <w:rPr>
          <w:rFonts w:ascii="Times New Roman" w:hAnsi="Times New Roman" w:cs="Times New Roman"/>
          <w:b/>
          <w:sz w:val="24"/>
          <w:szCs w:val="24"/>
        </w:rPr>
        <w:t xml:space="preserve"> </w:t>
      </w:r>
      <w:r w:rsidRPr="008A13EC">
        <w:rPr>
          <w:rFonts w:ascii="Times New Roman" w:hAnsi="Times New Roman" w:cs="Times New Roman"/>
          <w:sz w:val="24"/>
          <w:szCs w:val="24"/>
        </w:rPr>
        <w:t>tapped over the years under study i.e. 2019-2023.</w:t>
      </w:r>
    </w:p>
    <w:p w:rsidR="00914301" w:rsidRPr="008A13EC" w:rsidRDefault="00B37912"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b/>
          <w:sz w:val="24"/>
          <w:szCs w:val="24"/>
        </w:rPr>
        <w:t>4</w:t>
      </w:r>
      <w:r w:rsidRPr="008A13EC">
        <w:rPr>
          <w:rFonts w:ascii="Times New Roman" w:hAnsi="Times New Roman" w:cs="Times New Roman"/>
          <w:sz w:val="24"/>
          <w:szCs w:val="24"/>
        </w:rPr>
        <w:t>.</w:t>
      </w:r>
      <w:r w:rsidR="00A74E91">
        <w:rPr>
          <w:rFonts w:ascii="Times New Roman" w:hAnsi="Times New Roman" w:cs="Times New Roman"/>
          <w:sz w:val="24"/>
          <w:szCs w:val="24"/>
        </w:rPr>
        <w:t xml:space="preserve"> </w:t>
      </w:r>
      <w:r w:rsidR="00914301" w:rsidRPr="008A13EC">
        <w:rPr>
          <w:rFonts w:ascii="Times New Roman" w:hAnsi="Times New Roman" w:cs="Times New Roman"/>
          <w:b/>
          <w:sz w:val="24"/>
          <w:szCs w:val="24"/>
        </w:rPr>
        <w:t>OBJECTIVES OF THE STUDY:</w:t>
      </w:r>
    </w:p>
    <w:p w:rsidR="00914301" w:rsidRPr="008A13EC" w:rsidRDefault="00914301" w:rsidP="00BF4881">
      <w:pPr>
        <w:pStyle w:val="ListParagraph"/>
        <w:numPr>
          <w:ilvl w:val="0"/>
          <w:numId w:val="21"/>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To identify the changes in the elements of focus and uses of working capital in between above mentioned years.</w:t>
      </w:r>
    </w:p>
    <w:p w:rsidR="00914301" w:rsidRPr="008A13EC" w:rsidRDefault="00A74E91" w:rsidP="00BF4881">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To examine</w:t>
      </w:r>
      <w:r w:rsidR="00914301" w:rsidRPr="008A13EC">
        <w:rPr>
          <w:rFonts w:ascii="Times New Roman" w:hAnsi="Times New Roman" w:cs="Times New Roman"/>
          <w:sz w:val="24"/>
          <w:szCs w:val="24"/>
        </w:rPr>
        <w:t xml:space="preserve"> the financial performance of the company.</w:t>
      </w:r>
    </w:p>
    <w:p w:rsidR="00914301" w:rsidRPr="008A13EC" w:rsidRDefault="00DA6FD6" w:rsidP="00BF4881">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To</w:t>
      </w:r>
      <w:r w:rsidR="008467BE">
        <w:rPr>
          <w:rFonts w:ascii="Times New Roman" w:hAnsi="Times New Roman" w:cs="Times New Roman"/>
          <w:sz w:val="24"/>
          <w:szCs w:val="24"/>
        </w:rPr>
        <w:t xml:space="preserve"> understand</w:t>
      </w:r>
      <w:r w:rsidR="00914301" w:rsidRPr="008A13EC">
        <w:rPr>
          <w:rFonts w:ascii="Times New Roman" w:hAnsi="Times New Roman" w:cs="Times New Roman"/>
          <w:sz w:val="24"/>
          <w:szCs w:val="24"/>
        </w:rPr>
        <w:t xml:space="preserve"> the </w:t>
      </w:r>
      <w:r w:rsidRPr="008A13EC">
        <w:rPr>
          <w:rFonts w:ascii="Times New Roman" w:hAnsi="Times New Roman" w:cs="Times New Roman"/>
          <w:sz w:val="24"/>
          <w:szCs w:val="24"/>
        </w:rPr>
        <w:t xml:space="preserve">Cash Flow Business </w:t>
      </w:r>
      <w:r w:rsidR="00914301" w:rsidRPr="008A13EC">
        <w:rPr>
          <w:rFonts w:ascii="Times New Roman" w:hAnsi="Times New Roman" w:cs="Times New Roman"/>
          <w:sz w:val="24"/>
          <w:szCs w:val="24"/>
        </w:rPr>
        <w:t>is that the cash flows from operating activities, investing activities and financing activities.</w:t>
      </w:r>
    </w:p>
    <w:p w:rsidR="00914301" w:rsidRPr="008A13EC" w:rsidRDefault="00DA6FD6" w:rsidP="00BF4881">
      <w:pPr>
        <w:pStyle w:val="ListParagraph"/>
        <w:numPr>
          <w:ilvl w:val="0"/>
          <w:numId w:val="2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To examine the </w:t>
      </w:r>
      <w:r w:rsidR="00914301" w:rsidRPr="008A13EC">
        <w:rPr>
          <w:rFonts w:ascii="Times New Roman" w:hAnsi="Times New Roman" w:cs="Times New Roman"/>
          <w:sz w:val="24"/>
          <w:szCs w:val="24"/>
        </w:rPr>
        <w:t>business in balance sheet and income affect cash and cash equivalents.</w:t>
      </w:r>
    </w:p>
    <w:p w:rsidR="00914301" w:rsidRPr="008A13EC" w:rsidRDefault="008A13EC" w:rsidP="00B37912">
      <w:pPr>
        <w:spacing w:after="0"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5.</w:t>
      </w:r>
      <w:r w:rsidR="00BF4881">
        <w:rPr>
          <w:rFonts w:ascii="Times New Roman" w:hAnsi="Times New Roman" w:cs="Times New Roman"/>
          <w:b/>
          <w:sz w:val="24"/>
          <w:szCs w:val="24"/>
        </w:rPr>
        <w:t xml:space="preserve"> </w:t>
      </w:r>
      <w:r w:rsidR="00914301" w:rsidRPr="008A13EC">
        <w:rPr>
          <w:rFonts w:ascii="Times New Roman" w:hAnsi="Times New Roman" w:cs="Times New Roman"/>
          <w:b/>
          <w:sz w:val="24"/>
          <w:szCs w:val="24"/>
        </w:rPr>
        <w:t>REVIEW OF LITERATURE</w:t>
      </w:r>
    </w:p>
    <w:p w:rsidR="00E0754F" w:rsidRPr="008A13EC" w:rsidRDefault="00BF4881" w:rsidP="00B45273">
      <w:pPr>
        <w:spacing w:line="360" w:lineRule="auto"/>
        <w:ind w:left="-180" w:firstLine="900"/>
        <w:jc w:val="both"/>
        <w:rPr>
          <w:rFonts w:ascii="Times New Roman" w:hAnsi="Times New Roman" w:cs="Times New Roman"/>
          <w:sz w:val="24"/>
          <w:szCs w:val="24"/>
        </w:rPr>
      </w:pPr>
      <w:proofErr w:type="spellStart"/>
      <w:r w:rsidRPr="00BF4881">
        <w:rPr>
          <w:rFonts w:ascii="Times New Roman" w:hAnsi="Times New Roman" w:cs="Times New Roman"/>
          <w:b/>
          <w:sz w:val="24"/>
          <w:szCs w:val="24"/>
        </w:rPr>
        <w:t>Leonke</w:t>
      </w:r>
      <w:proofErr w:type="spellEnd"/>
      <w:r w:rsidRPr="00BF4881">
        <w:rPr>
          <w:rFonts w:ascii="Times New Roman" w:hAnsi="Times New Roman" w:cs="Times New Roman"/>
          <w:b/>
          <w:sz w:val="24"/>
          <w:szCs w:val="24"/>
        </w:rPr>
        <w:t xml:space="preserve"> (1970)</w:t>
      </w:r>
      <w:r w:rsidR="00C91610" w:rsidRPr="008A13EC">
        <w:rPr>
          <w:rFonts w:ascii="Times New Roman" w:hAnsi="Times New Roman" w:cs="Times New Roman"/>
          <w:sz w:val="24"/>
          <w:szCs w:val="24"/>
        </w:rPr>
        <w:t xml:space="preserve"> evaluated the current ratio and he proposed a new liquidity index which is defined as the ratio of the projected practical maximum rate of at flow. The projected and retrospective indexes and </w:t>
      </w:r>
      <w:proofErr w:type="gramStart"/>
      <w:r w:rsidR="00C91610" w:rsidRPr="008A13EC">
        <w:rPr>
          <w:rFonts w:ascii="Times New Roman" w:hAnsi="Times New Roman" w:cs="Times New Roman"/>
          <w:sz w:val="24"/>
          <w:szCs w:val="24"/>
        </w:rPr>
        <w:t>this variants</w:t>
      </w:r>
      <w:proofErr w:type="gramEnd"/>
      <w:r w:rsidR="00C91610" w:rsidRPr="008A13EC">
        <w:rPr>
          <w:rFonts w:ascii="Times New Roman" w:hAnsi="Times New Roman" w:cs="Times New Roman"/>
          <w:sz w:val="24"/>
          <w:szCs w:val="24"/>
        </w:rPr>
        <w:t xml:space="preserve"> were presented as a basis for discussion for the purposes of internal financial analysis. </w:t>
      </w:r>
      <w:r w:rsidR="00C91610" w:rsidRPr="00373DCD">
        <w:rPr>
          <w:rFonts w:ascii="Times New Roman" w:hAnsi="Times New Roman" w:cs="Times New Roman"/>
          <w:b/>
          <w:sz w:val="24"/>
          <w:szCs w:val="24"/>
        </w:rPr>
        <w:t>Robert</w:t>
      </w:r>
      <w:r w:rsidRPr="00373DCD">
        <w:rPr>
          <w:rFonts w:ascii="Times New Roman" w:hAnsi="Times New Roman" w:cs="Times New Roman"/>
          <w:b/>
          <w:sz w:val="24"/>
          <w:szCs w:val="24"/>
        </w:rPr>
        <w:t xml:space="preserve"> </w:t>
      </w:r>
      <w:proofErr w:type="spellStart"/>
      <w:r w:rsidRPr="00373DCD">
        <w:rPr>
          <w:rFonts w:ascii="Times New Roman" w:hAnsi="Times New Roman" w:cs="Times New Roman"/>
          <w:b/>
          <w:sz w:val="24"/>
          <w:szCs w:val="24"/>
        </w:rPr>
        <w:t>Edmister's</w:t>
      </w:r>
      <w:proofErr w:type="spellEnd"/>
      <w:r w:rsidRPr="00C67C49">
        <w:rPr>
          <w:rFonts w:ascii="Times New Roman" w:hAnsi="Times New Roman" w:cs="Times New Roman"/>
          <w:b/>
          <w:sz w:val="24"/>
          <w:szCs w:val="24"/>
        </w:rPr>
        <w:t xml:space="preserve"> (1972) </w:t>
      </w:r>
      <w:r w:rsidR="00335D69">
        <w:rPr>
          <w:rFonts w:ascii="Times New Roman" w:hAnsi="Times New Roman" w:cs="Times New Roman"/>
          <w:sz w:val="24"/>
          <w:szCs w:val="24"/>
        </w:rPr>
        <w:t xml:space="preserve"> studied that the</w:t>
      </w:r>
      <w:r w:rsidR="00C91610" w:rsidRPr="008A13EC">
        <w:rPr>
          <w:rFonts w:ascii="Times New Roman" w:hAnsi="Times New Roman" w:cs="Times New Roman"/>
          <w:sz w:val="24"/>
          <w:szCs w:val="24"/>
        </w:rPr>
        <w:t xml:space="preserve"> develops and empirically tests a number of methods of analysis, financials ratio to predict small business failure Using the step-wise multiple discriminate analysis with independent variables a highly accurate test sample, was developed.</w:t>
      </w:r>
      <w:r>
        <w:rPr>
          <w:rFonts w:ascii="Times New Roman" w:hAnsi="Times New Roman" w:cs="Times New Roman"/>
          <w:sz w:val="24"/>
          <w:szCs w:val="24"/>
        </w:rPr>
        <w:t xml:space="preserve"> </w:t>
      </w:r>
      <w:proofErr w:type="spellStart"/>
      <w:r w:rsidRPr="00A5109F">
        <w:rPr>
          <w:rFonts w:ascii="Times New Roman" w:hAnsi="Times New Roman" w:cs="Times New Roman"/>
          <w:b/>
          <w:sz w:val="24"/>
          <w:szCs w:val="24"/>
        </w:rPr>
        <w:t>Braj</w:t>
      </w:r>
      <w:proofErr w:type="spellEnd"/>
      <w:r w:rsidRPr="00A5109F">
        <w:rPr>
          <w:rFonts w:ascii="Times New Roman" w:hAnsi="Times New Roman" w:cs="Times New Roman"/>
          <w:b/>
          <w:sz w:val="24"/>
          <w:szCs w:val="24"/>
        </w:rPr>
        <w:t xml:space="preserve"> </w:t>
      </w:r>
      <w:proofErr w:type="spellStart"/>
      <w:r w:rsidRPr="00A5109F">
        <w:rPr>
          <w:rFonts w:ascii="Times New Roman" w:hAnsi="Times New Roman" w:cs="Times New Roman"/>
          <w:b/>
          <w:sz w:val="24"/>
          <w:szCs w:val="24"/>
        </w:rPr>
        <w:t>kishor</w:t>
      </w:r>
      <w:proofErr w:type="spellEnd"/>
      <w:r w:rsidRPr="00A5109F">
        <w:rPr>
          <w:rFonts w:ascii="Times New Roman" w:hAnsi="Times New Roman" w:cs="Times New Roman"/>
          <w:b/>
          <w:sz w:val="24"/>
          <w:szCs w:val="24"/>
        </w:rPr>
        <w:t xml:space="preserve"> (1978)</w:t>
      </w:r>
      <w:r w:rsidR="00C91610" w:rsidRPr="00A5109F">
        <w:rPr>
          <w:rFonts w:ascii="Times New Roman" w:hAnsi="Times New Roman" w:cs="Times New Roman"/>
          <w:b/>
          <w:sz w:val="24"/>
          <w:szCs w:val="24"/>
        </w:rPr>
        <w:t xml:space="preserve"> </w:t>
      </w:r>
      <w:r w:rsidR="00C91610" w:rsidRPr="008A13EC">
        <w:rPr>
          <w:rFonts w:ascii="Times New Roman" w:hAnsi="Times New Roman" w:cs="Times New Roman"/>
          <w:sz w:val="24"/>
          <w:szCs w:val="24"/>
        </w:rPr>
        <w:t xml:space="preserve">attempted </w:t>
      </w:r>
      <w:r w:rsidR="00C67C49">
        <w:rPr>
          <w:rFonts w:ascii="Times New Roman" w:hAnsi="Times New Roman" w:cs="Times New Roman"/>
          <w:sz w:val="24"/>
          <w:szCs w:val="24"/>
        </w:rPr>
        <w:t xml:space="preserve">that </w:t>
      </w:r>
      <w:r w:rsidR="00C91610" w:rsidRPr="008A13EC">
        <w:rPr>
          <w:rFonts w:ascii="Times New Roman" w:hAnsi="Times New Roman" w:cs="Times New Roman"/>
          <w:sz w:val="24"/>
          <w:szCs w:val="24"/>
        </w:rPr>
        <w:t>to give a general frame work to analyze working capital policy issues both for public enterprises and private business firms. He analyzed the financing of current asset first. The alternatives of long term tests and current liabilities have been evaluated on the basis of cost an</w:t>
      </w:r>
      <w:r>
        <w:rPr>
          <w:rFonts w:ascii="Times New Roman" w:hAnsi="Times New Roman" w:cs="Times New Roman"/>
          <w:sz w:val="24"/>
          <w:szCs w:val="24"/>
        </w:rPr>
        <w:t xml:space="preserve">d risk. </w:t>
      </w:r>
      <w:r w:rsidRPr="00A5109F">
        <w:rPr>
          <w:rFonts w:ascii="Times New Roman" w:hAnsi="Times New Roman" w:cs="Times New Roman"/>
          <w:b/>
          <w:sz w:val="24"/>
          <w:szCs w:val="24"/>
        </w:rPr>
        <w:t>Bartwal and Nair (1979)</w:t>
      </w:r>
      <w:r w:rsidR="00C91610" w:rsidRPr="008A13EC">
        <w:rPr>
          <w:rFonts w:ascii="Times New Roman" w:hAnsi="Times New Roman" w:cs="Times New Roman"/>
          <w:sz w:val="24"/>
          <w:szCs w:val="24"/>
        </w:rPr>
        <w:t xml:space="preserve"> </w:t>
      </w:r>
      <w:r w:rsidR="00C67C49">
        <w:rPr>
          <w:rFonts w:ascii="Times New Roman" w:hAnsi="Times New Roman" w:cs="Times New Roman"/>
          <w:sz w:val="24"/>
          <w:szCs w:val="24"/>
        </w:rPr>
        <w:t xml:space="preserve">examined </w:t>
      </w:r>
      <w:r w:rsidR="00C91610" w:rsidRPr="008A13EC">
        <w:rPr>
          <w:rFonts w:ascii="Times New Roman" w:hAnsi="Times New Roman" w:cs="Times New Roman"/>
          <w:sz w:val="24"/>
          <w:szCs w:val="24"/>
        </w:rPr>
        <w:t xml:space="preserve">the profit and loss data used from stock exchanges directory for the year 1971-72 for 10 industries. The major result of this study was: 8 out of the 10 industries </w:t>
      </w:r>
      <w:proofErr w:type="gramStart"/>
      <w:r w:rsidR="00C91610" w:rsidRPr="008A13EC">
        <w:rPr>
          <w:rFonts w:ascii="Times New Roman" w:hAnsi="Times New Roman" w:cs="Times New Roman"/>
          <w:sz w:val="24"/>
          <w:szCs w:val="24"/>
        </w:rPr>
        <w:t>has</w:t>
      </w:r>
      <w:proofErr w:type="gramEnd"/>
      <w:r w:rsidR="00C91610" w:rsidRPr="008A13EC">
        <w:rPr>
          <w:rFonts w:ascii="Times New Roman" w:hAnsi="Times New Roman" w:cs="Times New Roman"/>
          <w:sz w:val="24"/>
          <w:szCs w:val="24"/>
        </w:rPr>
        <w:t xml:space="preserve"> evidenced increasing or decreasing returns to scale. The L shaped curve reflecting constant returns to scale was found valid only for two industries.</w:t>
      </w:r>
      <w:r>
        <w:rPr>
          <w:rFonts w:ascii="Times New Roman" w:hAnsi="Times New Roman" w:cs="Times New Roman"/>
          <w:sz w:val="24"/>
          <w:szCs w:val="24"/>
        </w:rPr>
        <w:t xml:space="preserve"> </w:t>
      </w:r>
      <w:proofErr w:type="spellStart"/>
      <w:r w:rsidR="00C91610" w:rsidRPr="00A5109F">
        <w:rPr>
          <w:rFonts w:ascii="Times New Roman" w:hAnsi="Times New Roman" w:cs="Times New Roman"/>
          <w:b/>
          <w:sz w:val="24"/>
          <w:szCs w:val="24"/>
        </w:rPr>
        <w:t>Venkatch</w:t>
      </w:r>
      <w:r w:rsidRPr="00A5109F">
        <w:rPr>
          <w:rFonts w:ascii="Times New Roman" w:hAnsi="Times New Roman" w:cs="Times New Roman"/>
          <w:b/>
          <w:sz w:val="24"/>
          <w:szCs w:val="24"/>
        </w:rPr>
        <w:t>alam</w:t>
      </w:r>
      <w:proofErr w:type="spellEnd"/>
      <w:r w:rsidRPr="00A5109F">
        <w:rPr>
          <w:rFonts w:ascii="Times New Roman" w:hAnsi="Times New Roman" w:cs="Times New Roman"/>
          <w:b/>
          <w:sz w:val="24"/>
          <w:szCs w:val="24"/>
        </w:rPr>
        <w:t xml:space="preserve"> and </w:t>
      </w:r>
      <w:proofErr w:type="spellStart"/>
      <w:r w:rsidRPr="00A5109F">
        <w:rPr>
          <w:rFonts w:ascii="Times New Roman" w:hAnsi="Times New Roman" w:cs="Times New Roman"/>
          <w:b/>
          <w:sz w:val="24"/>
          <w:szCs w:val="24"/>
        </w:rPr>
        <w:t>Dakshinamoorthy</w:t>
      </w:r>
      <w:proofErr w:type="spellEnd"/>
      <w:r w:rsidRPr="00A5109F">
        <w:rPr>
          <w:rFonts w:ascii="Times New Roman" w:hAnsi="Times New Roman" w:cs="Times New Roman"/>
          <w:b/>
          <w:sz w:val="24"/>
          <w:szCs w:val="24"/>
        </w:rPr>
        <w:t xml:space="preserve"> (1983)</w:t>
      </w:r>
      <w:r w:rsidR="00C91610" w:rsidRPr="008A13EC">
        <w:rPr>
          <w:rFonts w:ascii="Times New Roman" w:hAnsi="Times New Roman" w:cs="Times New Roman"/>
          <w:sz w:val="24"/>
          <w:szCs w:val="24"/>
        </w:rPr>
        <w:t xml:space="preserve"> </w:t>
      </w:r>
      <w:r w:rsidR="00A5109F">
        <w:rPr>
          <w:rFonts w:ascii="Times New Roman" w:hAnsi="Times New Roman" w:cs="Times New Roman"/>
          <w:sz w:val="24"/>
          <w:szCs w:val="24"/>
        </w:rPr>
        <w:t xml:space="preserve">found that </w:t>
      </w:r>
      <w:r w:rsidR="006329EF">
        <w:rPr>
          <w:rFonts w:ascii="Times New Roman" w:hAnsi="Times New Roman" w:cs="Times New Roman"/>
          <w:sz w:val="24"/>
          <w:szCs w:val="24"/>
        </w:rPr>
        <w:t xml:space="preserve">the </w:t>
      </w:r>
      <w:r w:rsidR="00C91610" w:rsidRPr="008A13EC">
        <w:rPr>
          <w:rFonts w:ascii="Times New Roman" w:hAnsi="Times New Roman" w:cs="Times New Roman"/>
          <w:sz w:val="24"/>
          <w:szCs w:val="24"/>
        </w:rPr>
        <w:t>capital trends in Indian private corporate sector analyzed the working capital trends in the medium and large public limited companies in India over a decade 1973-1974 to 1982-83. This study was based on the RBI data. In this study in the context of the quantum of current assets is investment. It was observed that current liabilities and equally long term loan had been the major forms of financing current assets, investment in the public limited companies accounting for a minimum of 87 percent to a maximum of 99.5 percent.</w:t>
      </w:r>
      <w:r>
        <w:rPr>
          <w:rFonts w:ascii="Times New Roman" w:hAnsi="Times New Roman" w:cs="Times New Roman"/>
          <w:sz w:val="24"/>
          <w:szCs w:val="24"/>
        </w:rPr>
        <w:t xml:space="preserve"> </w:t>
      </w:r>
      <w:r w:rsidR="00C91610" w:rsidRPr="00A814C6">
        <w:rPr>
          <w:rFonts w:ascii="Times New Roman" w:hAnsi="Times New Roman" w:cs="Times New Roman"/>
          <w:b/>
          <w:sz w:val="24"/>
          <w:szCs w:val="24"/>
        </w:rPr>
        <w:t>S</w:t>
      </w:r>
      <w:r w:rsidRPr="00A814C6">
        <w:rPr>
          <w:rFonts w:ascii="Times New Roman" w:hAnsi="Times New Roman" w:cs="Times New Roman"/>
          <w:b/>
          <w:sz w:val="24"/>
          <w:szCs w:val="24"/>
        </w:rPr>
        <w:t xml:space="preserve">yed </w:t>
      </w:r>
      <w:proofErr w:type="spellStart"/>
      <w:r w:rsidRPr="00A814C6">
        <w:rPr>
          <w:rFonts w:ascii="Times New Roman" w:hAnsi="Times New Roman" w:cs="Times New Roman"/>
          <w:b/>
          <w:sz w:val="24"/>
          <w:szCs w:val="24"/>
        </w:rPr>
        <w:t>Zabid</w:t>
      </w:r>
      <w:proofErr w:type="spellEnd"/>
      <w:r w:rsidRPr="00A814C6">
        <w:rPr>
          <w:rFonts w:ascii="Times New Roman" w:hAnsi="Times New Roman" w:cs="Times New Roman"/>
          <w:b/>
          <w:sz w:val="24"/>
          <w:szCs w:val="24"/>
        </w:rPr>
        <w:t xml:space="preserve"> </w:t>
      </w:r>
      <w:proofErr w:type="spellStart"/>
      <w:r w:rsidRPr="00A814C6">
        <w:rPr>
          <w:rFonts w:ascii="Times New Roman" w:hAnsi="Times New Roman" w:cs="Times New Roman"/>
          <w:b/>
          <w:sz w:val="24"/>
          <w:szCs w:val="24"/>
        </w:rPr>
        <w:t>Hossion</w:t>
      </w:r>
      <w:proofErr w:type="spellEnd"/>
      <w:r w:rsidRPr="00A814C6">
        <w:rPr>
          <w:rFonts w:ascii="Times New Roman" w:hAnsi="Times New Roman" w:cs="Times New Roman"/>
          <w:b/>
          <w:sz w:val="24"/>
          <w:szCs w:val="24"/>
        </w:rPr>
        <w:t xml:space="preserve"> (1997)</w:t>
      </w:r>
      <w:r w:rsidR="00A814C6">
        <w:rPr>
          <w:rFonts w:ascii="Times New Roman" w:hAnsi="Times New Roman" w:cs="Times New Roman"/>
          <w:sz w:val="24"/>
          <w:szCs w:val="24"/>
        </w:rPr>
        <w:t xml:space="preserve"> concluded that </w:t>
      </w:r>
      <w:r w:rsidR="00196AE1">
        <w:rPr>
          <w:rFonts w:ascii="Times New Roman" w:hAnsi="Times New Roman" w:cs="Times New Roman"/>
          <w:sz w:val="24"/>
          <w:szCs w:val="24"/>
        </w:rPr>
        <w:t xml:space="preserve">the </w:t>
      </w:r>
      <w:r w:rsidR="00C91610" w:rsidRPr="008A13EC">
        <w:rPr>
          <w:rFonts w:ascii="Times New Roman" w:hAnsi="Times New Roman" w:cs="Times New Roman"/>
          <w:sz w:val="24"/>
          <w:szCs w:val="24"/>
        </w:rPr>
        <w:t xml:space="preserve">competitiveness of Indian Textiles in the European Economic Community: 1974-85", had made an empirical comprehensive analysis of India's export performance in the EEC Market in textiles and clothing during 1974-85. </w:t>
      </w:r>
      <w:r w:rsidR="00C91610" w:rsidRPr="00B317C2">
        <w:rPr>
          <w:rFonts w:ascii="Times New Roman" w:hAnsi="Times New Roman" w:cs="Times New Roman"/>
          <w:b/>
          <w:sz w:val="24"/>
          <w:szCs w:val="24"/>
        </w:rPr>
        <w:t>Hyun-</w:t>
      </w:r>
      <w:r w:rsidRPr="00B317C2">
        <w:rPr>
          <w:rFonts w:ascii="Times New Roman" w:hAnsi="Times New Roman" w:cs="Times New Roman"/>
          <w:b/>
          <w:sz w:val="24"/>
          <w:szCs w:val="24"/>
        </w:rPr>
        <w:t xml:space="preserve">Han Shin and Luc </w:t>
      </w:r>
      <w:proofErr w:type="spellStart"/>
      <w:r w:rsidRPr="00B317C2">
        <w:rPr>
          <w:rFonts w:ascii="Times New Roman" w:hAnsi="Times New Roman" w:cs="Times New Roman"/>
          <w:b/>
          <w:sz w:val="24"/>
          <w:szCs w:val="24"/>
        </w:rPr>
        <w:t>Soenen</w:t>
      </w:r>
      <w:proofErr w:type="spellEnd"/>
      <w:r w:rsidRPr="00B317C2">
        <w:rPr>
          <w:rFonts w:ascii="Times New Roman" w:hAnsi="Times New Roman" w:cs="Times New Roman"/>
          <w:b/>
          <w:sz w:val="24"/>
          <w:szCs w:val="24"/>
        </w:rPr>
        <w:t xml:space="preserve"> (1998)</w:t>
      </w:r>
      <w:r w:rsidR="00C91610" w:rsidRPr="00B317C2">
        <w:rPr>
          <w:rFonts w:ascii="Times New Roman" w:hAnsi="Times New Roman" w:cs="Times New Roman"/>
          <w:b/>
          <w:sz w:val="24"/>
          <w:szCs w:val="24"/>
        </w:rPr>
        <w:t xml:space="preserve"> </w:t>
      </w:r>
      <w:r w:rsidR="00C91610" w:rsidRPr="008A13EC">
        <w:rPr>
          <w:rFonts w:ascii="Times New Roman" w:hAnsi="Times New Roman" w:cs="Times New Roman"/>
          <w:sz w:val="24"/>
          <w:szCs w:val="24"/>
        </w:rPr>
        <w:t xml:space="preserve">focused their study on efficiency in working capital management and corporate profitability of 58,985 firms covering a period from 1975-1994. The study found that there </w:t>
      </w:r>
      <w:proofErr w:type="gramStart"/>
      <w:r w:rsidR="00C91610" w:rsidRPr="008A13EC">
        <w:rPr>
          <w:rFonts w:ascii="Times New Roman" w:hAnsi="Times New Roman" w:cs="Times New Roman"/>
          <w:sz w:val="24"/>
          <w:szCs w:val="24"/>
        </w:rPr>
        <w:t>exists</w:t>
      </w:r>
      <w:proofErr w:type="gramEnd"/>
      <w:r w:rsidR="00C91610" w:rsidRPr="008A13EC">
        <w:rPr>
          <w:rFonts w:ascii="Times New Roman" w:hAnsi="Times New Roman" w:cs="Times New Roman"/>
          <w:sz w:val="24"/>
          <w:szCs w:val="24"/>
        </w:rPr>
        <w:t xml:space="preserve"> a strong negative relationship between the length of the firms Net Trade Cycle (NTC) and its profitability. </w:t>
      </w:r>
      <w:proofErr w:type="spellStart"/>
      <w:r w:rsidR="00C91610" w:rsidRPr="0019065D">
        <w:rPr>
          <w:rFonts w:ascii="Times New Roman" w:hAnsi="Times New Roman" w:cs="Times New Roman"/>
          <w:b/>
          <w:sz w:val="24"/>
          <w:szCs w:val="24"/>
        </w:rPr>
        <w:t>Amit</w:t>
      </w:r>
      <w:proofErr w:type="spellEnd"/>
      <w:r w:rsidR="00C91610" w:rsidRPr="0019065D">
        <w:rPr>
          <w:rFonts w:ascii="Times New Roman" w:hAnsi="Times New Roman" w:cs="Times New Roman"/>
          <w:b/>
          <w:sz w:val="24"/>
          <w:szCs w:val="24"/>
        </w:rPr>
        <w:t xml:space="preserve"> </w:t>
      </w:r>
      <w:proofErr w:type="spellStart"/>
      <w:r w:rsidR="00C91610" w:rsidRPr="0019065D">
        <w:rPr>
          <w:rFonts w:ascii="Times New Roman" w:hAnsi="Times New Roman" w:cs="Times New Roman"/>
          <w:b/>
          <w:sz w:val="24"/>
          <w:szCs w:val="24"/>
        </w:rPr>
        <w:t>M</w:t>
      </w:r>
      <w:r w:rsidRPr="0019065D">
        <w:rPr>
          <w:rFonts w:ascii="Times New Roman" w:hAnsi="Times New Roman" w:cs="Times New Roman"/>
          <w:b/>
          <w:sz w:val="24"/>
          <w:szCs w:val="24"/>
        </w:rPr>
        <w:t>allick</w:t>
      </w:r>
      <w:proofErr w:type="spellEnd"/>
      <w:r w:rsidRPr="0019065D">
        <w:rPr>
          <w:rFonts w:ascii="Times New Roman" w:hAnsi="Times New Roman" w:cs="Times New Roman"/>
          <w:b/>
          <w:sz w:val="24"/>
          <w:szCs w:val="24"/>
        </w:rPr>
        <w:t xml:space="preserve"> and </w:t>
      </w:r>
      <w:proofErr w:type="spellStart"/>
      <w:r w:rsidRPr="0019065D">
        <w:rPr>
          <w:rFonts w:ascii="Times New Roman" w:hAnsi="Times New Roman" w:cs="Times New Roman"/>
          <w:b/>
          <w:sz w:val="24"/>
          <w:szCs w:val="24"/>
        </w:rPr>
        <w:t>Debasish</w:t>
      </w:r>
      <w:proofErr w:type="spellEnd"/>
      <w:r w:rsidRPr="0019065D">
        <w:rPr>
          <w:rFonts w:ascii="Times New Roman" w:hAnsi="Times New Roman" w:cs="Times New Roman"/>
          <w:b/>
          <w:sz w:val="24"/>
          <w:szCs w:val="24"/>
        </w:rPr>
        <w:t xml:space="preserve"> Sur (1998)</w:t>
      </w:r>
      <w:r w:rsidR="00C91610" w:rsidRPr="0019065D">
        <w:rPr>
          <w:rFonts w:ascii="Times New Roman" w:hAnsi="Times New Roman" w:cs="Times New Roman"/>
          <w:b/>
          <w:sz w:val="24"/>
          <w:szCs w:val="24"/>
        </w:rPr>
        <w:t xml:space="preserve"> </w:t>
      </w:r>
      <w:r w:rsidR="00C91610" w:rsidRPr="008A13EC">
        <w:rPr>
          <w:rFonts w:ascii="Times New Roman" w:hAnsi="Times New Roman" w:cs="Times New Roman"/>
          <w:sz w:val="24"/>
          <w:szCs w:val="24"/>
        </w:rPr>
        <w:t xml:space="preserve">examined the relationship between return on investment and working capital management in tea industry. Simple </w:t>
      </w:r>
      <w:r w:rsidR="00C91610" w:rsidRPr="008A13EC">
        <w:rPr>
          <w:rFonts w:ascii="Times New Roman" w:hAnsi="Times New Roman" w:cs="Times New Roman"/>
          <w:sz w:val="24"/>
          <w:szCs w:val="24"/>
        </w:rPr>
        <w:lastRenderedPageBreak/>
        <w:t xml:space="preserve">correlation and multiple regression analysis have been applied to find out the relationship between return on investment and each of the working capital </w:t>
      </w:r>
      <w:r w:rsidR="00B45273" w:rsidRPr="008A13EC">
        <w:rPr>
          <w:rFonts w:ascii="Times New Roman" w:hAnsi="Times New Roman" w:cs="Times New Roman"/>
          <w:sz w:val="24"/>
          <w:szCs w:val="24"/>
        </w:rPr>
        <w:t>ratios</w:t>
      </w:r>
      <w:r w:rsidR="00C91610" w:rsidRPr="008A13EC">
        <w:rPr>
          <w:rFonts w:ascii="Times New Roman" w:hAnsi="Times New Roman" w:cs="Times New Roman"/>
          <w:sz w:val="24"/>
          <w:szCs w:val="24"/>
        </w:rPr>
        <w:t xml:space="preserve"> to assess the joint effect of those upon the profitability and to test the significance of cause and effect.</w:t>
      </w:r>
    </w:p>
    <w:p w:rsidR="00E0754F" w:rsidRPr="008A13EC" w:rsidRDefault="008A13EC"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6.</w:t>
      </w:r>
      <w:r w:rsidR="00C90464">
        <w:rPr>
          <w:rFonts w:ascii="Times New Roman" w:hAnsi="Times New Roman" w:cs="Times New Roman"/>
          <w:b/>
          <w:bCs/>
          <w:sz w:val="24"/>
          <w:szCs w:val="24"/>
        </w:rPr>
        <w:t xml:space="preserve"> </w:t>
      </w:r>
      <w:r w:rsidR="00E0754F" w:rsidRPr="008A13EC">
        <w:rPr>
          <w:rFonts w:ascii="Times New Roman" w:hAnsi="Times New Roman" w:cs="Times New Roman"/>
          <w:b/>
          <w:bCs/>
          <w:sz w:val="24"/>
          <w:szCs w:val="24"/>
        </w:rPr>
        <w:t>RESEARCH METHODOLOGY:</w:t>
      </w:r>
    </w:p>
    <w:p w:rsidR="00E0754F" w:rsidRPr="008A13EC" w:rsidRDefault="00E0754F" w:rsidP="008A13EC">
      <w:pPr>
        <w:pStyle w:val="ListParagraph"/>
        <w:spacing w:after="0"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Secondary data:</w:t>
      </w:r>
    </w:p>
    <w:p w:rsidR="00C90464" w:rsidRDefault="00E0754F" w:rsidP="00C90464">
      <w:pPr>
        <w:pStyle w:val="ListParagraph"/>
        <w:spacing w:after="0"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The secondary data was collected from the literate available in libraries and </w:t>
      </w:r>
      <w:r w:rsidRPr="00C90464">
        <w:rPr>
          <w:rFonts w:ascii="Times New Roman" w:hAnsi="Times New Roman" w:cs="Times New Roman"/>
          <w:sz w:val="24"/>
          <w:szCs w:val="24"/>
        </w:rPr>
        <w:t>Research studies and annual reports are related to the present study. It includes published and unpublished literature like books, reports and generally articles of the KSM POLY PLASTIC.</w:t>
      </w:r>
      <w:r w:rsidR="00C90464">
        <w:rPr>
          <w:rFonts w:ascii="Times New Roman" w:hAnsi="Times New Roman" w:cs="Times New Roman"/>
          <w:sz w:val="24"/>
          <w:szCs w:val="24"/>
        </w:rPr>
        <w:t xml:space="preserve"> </w:t>
      </w:r>
      <w:r w:rsidRPr="008A13EC">
        <w:rPr>
          <w:rFonts w:ascii="Times New Roman" w:hAnsi="Times New Roman" w:cs="Times New Roman"/>
          <w:sz w:val="24"/>
          <w:szCs w:val="24"/>
        </w:rPr>
        <w:t xml:space="preserve">The study of Trading A/C, Profit and Loss A/C and Balance sheet of </w:t>
      </w:r>
      <w:r w:rsidRPr="00B45273">
        <w:rPr>
          <w:rFonts w:ascii="Times New Roman" w:hAnsi="Times New Roman" w:cs="Times New Roman"/>
          <w:sz w:val="24"/>
          <w:szCs w:val="24"/>
        </w:rPr>
        <w:t>KSM POLY PLASTIC</w:t>
      </w:r>
      <w:r w:rsidRPr="008A13EC">
        <w:rPr>
          <w:rFonts w:ascii="Times New Roman" w:hAnsi="Times New Roman" w:cs="Times New Roman"/>
          <w:b/>
          <w:sz w:val="24"/>
          <w:szCs w:val="24"/>
        </w:rPr>
        <w:t xml:space="preserve"> </w:t>
      </w:r>
      <w:r w:rsidR="00E04D91">
        <w:rPr>
          <w:rFonts w:ascii="Times New Roman" w:hAnsi="Times New Roman" w:cs="Times New Roman"/>
          <w:sz w:val="24"/>
          <w:szCs w:val="24"/>
        </w:rPr>
        <w:t>(2019-2023).</w:t>
      </w:r>
    </w:p>
    <w:p w:rsidR="00E0754F" w:rsidRPr="008A13EC" w:rsidRDefault="008A13EC" w:rsidP="008A13EC">
      <w:pPr>
        <w:spacing w:line="360" w:lineRule="auto"/>
        <w:ind w:left="-180"/>
        <w:jc w:val="both"/>
        <w:rPr>
          <w:rFonts w:ascii="Times New Roman" w:hAnsi="Times New Roman" w:cs="Times New Roman"/>
          <w:sz w:val="24"/>
          <w:szCs w:val="24"/>
        </w:rPr>
      </w:pPr>
      <w:r w:rsidRPr="008A13EC">
        <w:rPr>
          <w:rFonts w:ascii="Times New Roman" w:hAnsi="Times New Roman" w:cs="Times New Roman"/>
          <w:b/>
          <w:sz w:val="24"/>
          <w:szCs w:val="24"/>
        </w:rPr>
        <w:t>7</w:t>
      </w:r>
      <w:r w:rsidRPr="008A13EC">
        <w:rPr>
          <w:rFonts w:ascii="Times New Roman" w:hAnsi="Times New Roman" w:cs="Times New Roman"/>
          <w:sz w:val="24"/>
          <w:szCs w:val="24"/>
        </w:rPr>
        <w:t>.</w:t>
      </w:r>
      <w:r w:rsidR="008B33EC">
        <w:rPr>
          <w:rFonts w:ascii="Times New Roman" w:hAnsi="Times New Roman" w:cs="Times New Roman"/>
          <w:sz w:val="24"/>
          <w:szCs w:val="24"/>
        </w:rPr>
        <w:t xml:space="preserve"> </w:t>
      </w:r>
      <w:r w:rsidR="00E0754F" w:rsidRPr="008A13EC">
        <w:rPr>
          <w:rFonts w:ascii="Times New Roman" w:hAnsi="Times New Roman" w:cs="Times New Roman"/>
          <w:b/>
          <w:sz w:val="24"/>
          <w:szCs w:val="24"/>
        </w:rPr>
        <w:t>LIMITATIONS OF THE STUDY</w:t>
      </w:r>
    </w:p>
    <w:p w:rsidR="00E0754F" w:rsidRPr="008A13EC" w:rsidRDefault="00E0754F" w:rsidP="008B33EC">
      <w:pPr>
        <w:pStyle w:val="ListParagraph"/>
        <w:numPr>
          <w:ilvl w:val="0"/>
          <w:numId w:val="22"/>
        </w:numPr>
        <w:spacing w:line="360" w:lineRule="auto"/>
        <w:jc w:val="both"/>
        <w:rPr>
          <w:rFonts w:ascii="Times New Roman" w:eastAsia="Calibri" w:hAnsi="Times New Roman" w:cs="Times New Roman"/>
          <w:sz w:val="24"/>
          <w:szCs w:val="24"/>
        </w:rPr>
      </w:pPr>
      <w:r w:rsidRPr="008A13EC">
        <w:rPr>
          <w:rFonts w:ascii="Times New Roman" w:eastAsia="Times New Roman" w:hAnsi="Times New Roman" w:cs="Times New Roman"/>
          <w:sz w:val="24"/>
          <w:szCs w:val="24"/>
        </w:rPr>
        <w:t>If one or more key customers reduce orders or face financial difficulties, it can lead to sudden cash flow shortages, affecting the company's ability to sustain operations.</w:t>
      </w:r>
    </w:p>
    <w:p w:rsidR="00E0754F" w:rsidRPr="008A13EC" w:rsidRDefault="00E0754F" w:rsidP="008B33EC">
      <w:pPr>
        <w:pStyle w:val="ListParagraph"/>
        <w:numPr>
          <w:ilvl w:val="0"/>
          <w:numId w:val="22"/>
        </w:numPr>
        <w:spacing w:line="360" w:lineRule="auto"/>
        <w:jc w:val="both"/>
        <w:rPr>
          <w:rFonts w:ascii="Times New Roman" w:hAnsi="Times New Roman" w:cs="Times New Roman"/>
          <w:sz w:val="24"/>
          <w:szCs w:val="24"/>
        </w:rPr>
      </w:pPr>
      <w:r w:rsidRPr="008A13EC">
        <w:rPr>
          <w:rFonts w:ascii="Times New Roman" w:hAnsi="Times New Roman" w:cs="Times New Roman"/>
          <w:sz w:val="24"/>
          <w:szCs w:val="24"/>
        </w:rPr>
        <w:t>If KSM Poly Plastic extends long credit terms or experiences delays in collecting payments, it can strain cash flow, limiting the company's ability to pay its own suppliers and employees on time.</w:t>
      </w:r>
    </w:p>
    <w:p w:rsidR="00E0754F" w:rsidRPr="008A13EC" w:rsidRDefault="00E0754F" w:rsidP="008B33EC">
      <w:pPr>
        <w:pStyle w:val="ListParagraph"/>
        <w:numPr>
          <w:ilvl w:val="0"/>
          <w:numId w:val="22"/>
        </w:numPr>
        <w:spacing w:line="360" w:lineRule="auto"/>
        <w:jc w:val="both"/>
        <w:rPr>
          <w:rFonts w:ascii="Times New Roman" w:hAnsi="Times New Roman" w:cs="Times New Roman"/>
          <w:sz w:val="24"/>
          <w:szCs w:val="24"/>
        </w:rPr>
      </w:pPr>
      <w:r w:rsidRPr="008A13EC">
        <w:rPr>
          <w:rFonts w:ascii="Times New Roman" w:hAnsi="Times New Roman" w:cs="Times New Roman"/>
          <w:sz w:val="24"/>
          <w:szCs w:val="24"/>
        </w:rPr>
        <w:t>Large capital expenditures can deplete cash reserves and increase financial risk, especially if they do not generate immediate returns. This can compromise short-term cash flow and, consequently, sustainability.</w:t>
      </w:r>
    </w:p>
    <w:p w:rsidR="00E0754F" w:rsidRPr="008A13EC" w:rsidRDefault="00E0754F" w:rsidP="008B33EC">
      <w:pPr>
        <w:pStyle w:val="ListParagraph"/>
        <w:numPr>
          <w:ilvl w:val="0"/>
          <w:numId w:val="22"/>
        </w:numPr>
        <w:spacing w:before="100" w:beforeAutospacing="1" w:after="100" w:afterAutospacing="1" w:line="480" w:lineRule="auto"/>
        <w:jc w:val="both"/>
        <w:rPr>
          <w:rFonts w:ascii="Times New Roman" w:eastAsia="Times New Roman" w:hAnsi="Times New Roman" w:cs="Times New Roman"/>
          <w:sz w:val="24"/>
          <w:szCs w:val="24"/>
        </w:rPr>
      </w:pPr>
      <w:r w:rsidRPr="008A13EC">
        <w:rPr>
          <w:rFonts w:ascii="Times New Roman" w:eastAsia="Times New Roman" w:hAnsi="Times New Roman" w:cs="Times New Roman"/>
          <w:sz w:val="24"/>
          <w:szCs w:val="24"/>
        </w:rPr>
        <w:t>Delays or shortages in raw materials can halt production, leading to lost sales and increased operational costs, affecting the company's financial stability.</w:t>
      </w:r>
    </w:p>
    <w:p w:rsidR="00E0754F" w:rsidRPr="008A13EC" w:rsidRDefault="008A13EC" w:rsidP="00B37912">
      <w:pPr>
        <w:pStyle w:val="Heading1"/>
        <w:tabs>
          <w:tab w:val="left" w:pos="0"/>
        </w:tabs>
        <w:spacing w:before="40" w:line="360" w:lineRule="auto"/>
        <w:ind w:left="-180" w:right="567"/>
        <w:rPr>
          <w:rFonts w:ascii="Times New Roman" w:hAnsi="Times New Roman" w:cs="Times New Roman"/>
          <w:color w:val="auto"/>
          <w:sz w:val="24"/>
          <w:szCs w:val="24"/>
        </w:rPr>
      </w:pPr>
      <w:r w:rsidRPr="008A13EC">
        <w:rPr>
          <w:rFonts w:ascii="Times New Roman" w:hAnsi="Times New Roman" w:cs="Times New Roman"/>
          <w:color w:val="auto"/>
          <w:sz w:val="24"/>
          <w:szCs w:val="24"/>
        </w:rPr>
        <w:t>8.</w:t>
      </w:r>
      <w:r w:rsidR="008B33EC">
        <w:rPr>
          <w:rFonts w:ascii="Times New Roman" w:hAnsi="Times New Roman" w:cs="Times New Roman"/>
          <w:color w:val="auto"/>
          <w:sz w:val="24"/>
          <w:szCs w:val="24"/>
        </w:rPr>
        <w:t xml:space="preserve"> </w:t>
      </w:r>
      <w:r w:rsidR="00E0754F" w:rsidRPr="008A13EC">
        <w:rPr>
          <w:rFonts w:ascii="Times New Roman" w:hAnsi="Times New Roman" w:cs="Times New Roman"/>
          <w:color w:val="auto"/>
          <w:sz w:val="24"/>
          <w:szCs w:val="24"/>
        </w:rPr>
        <w:t>DATAANALYSIS AND INTERPRETATION</w:t>
      </w:r>
    </w:p>
    <w:p w:rsidR="00BF4FC4" w:rsidRPr="008A13EC" w:rsidRDefault="00BF4FC4"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 xml:space="preserve">Cash flow business of KSM poly plastic from the year </w:t>
      </w:r>
      <w:r w:rsidRPr="008A13EC">
        <w:rPr>
          <w:rFonts w:ascii="Times New Roman" w:hAnsi="Times New Roman" w:cs="Times New Roman"/>
          <w:sz w:val="24"/>
          <w:szCs w:val="24"/>
        </w:rPr>
        <w:t>2019</w:t>
      </w:r>
      <w:r w:rsidRPr="008A13EC">
        <w:rPr>
          <w:rFonts w:ascii="Times New Roman" w:hAnsi="Times New Roman" w:cs="Times New Roman"/>
          <w:b/>
          <w:sz w:val="24"/>
          <w:szCs w:val="24"/>
        </w:rPr>
        <w:t>-2023</w:t>
      </w:r>
    </w:p>
    <w:tbl>
      <w:tblPr>
        <w:tblStyle w:val="TableGrid"/>
        <w:tblW w:w="9450" w:type="dxa"/>
        <w:jc w:val="center"/>
        <w:tblLook w:val="04A0" w:firstRow="1" w:lastRow="0" w:firstColumn="1" w:lastColumn="0" w:noHBand="0" w:noVBand="1"/>
      </w:tblPr>
      <w:tblGrid>
        <w:gridCol w:w="5085"/>
        <w:gridCol w:w="2475"/>
        <w:gridCol w:w="1890"/>
      </w:tblGrid>
      <w:tr w:rsidR="00BF4FC4" w:rsidRPr="008A13EC" w:rsidTr="00D60920">
        <w:trPr>
          <w:trHeight w:val="375"/>
          <w:jc w:val="center"/>
        </w:trPr>
        <w:tc>
          <w:tcPr>
            <w:tcW w:w="9450" w:type="dxa"/>
            <w:gridSpan w:val="3"/>
            <w:noWrap/>
            <w:hideMark/>
          </w:tcPr>
          <w:p w:rsidR="00BF4FC4" w:rsidRPr="008A13EC" w:rsidRDefault="008A13EC" w:rsidP="00B37912">
            <w:pPr>
              <w:spacing w:line="360" w:lineRule="auto"/>
              <w:ind w:left="-180"/>
              <w:jc w:val="both"/>
              <w:rPr>
                <w:b/>
                <w:bCs/>
                <w:sz w:val="24"/>
                <w:szCs w:val="24"/>
              </w:rPr>
            </w:pPr>
            <w:r>
              <w:rPr>
                <w:b/>
                <w:sz w:val="24"/>
                <w:szCs w:val="24"/>
              </w:rPr>
              <w:t xml:space="preserve">               </w:t>
            </w:r>
            <w:r w:rsidR="00BF4FC4" w:rsidRPr="008A13EC">
              <w:rPr>
                <w:b/>
                <w:bCs/>
                <w:sz w:val="24"/>
                <w:szCs w:val="24"/>
              </w:rPr>
              <w:t xml:space="preserve">CASH FLOW BUSINESS for the year ended 31st March 2023 (in </w:t>
            </w:r>
            <w:proofErr w:type="spellStart"/>
            <w:r w:rsidR="00BF4FC4" w:rsidRPr="008A13EC">
              <w:rPr>
                <w:b/>
                <w:bCs/>
                <w:sz w:val="24"/>
                <w:szCs w:val="24"/>
              </w:rPr>
              <w:t>Rs</w:t>
            </w:r>
            <w:proofErr w:type="spellEnd"/>
            <w:r w:rsidR="00BF4FC4" w:rsidRPr="008A13EC">
              <w:rPr>
                <w:b/>
                <w:bCs/>
                <w:sz w:val="24"/>
                <w:szCs w:val="24"/>
              </w:rPr>
              <w:t xml:space="preserve"> lakhs)</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c>
          <w:tcPr>
            <w:tcW w:w="2475"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31st March 2023</w:t>
            </w:r>
          </w:p>
        </w:tc>
        <w:tc>
          <w:tcPr>
            <w:tcW w:w="1890"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31st March 2022</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Cash flow from operating activities: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Net profit before taxation</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38,096.92</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44,139.55</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lastRenderedPageBreak/>
              <w:t>Add adjustments for:</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Depreciation/ amortization</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1,956.90</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1,355.60</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Depreciation on investment property</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45.3</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Interest and other finance charges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2,214.37</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3,035.65</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Interest income</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-18,734.50</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-19,506.35</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Discount received on debentures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-271.04</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Dividend income</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-120.88</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-95.92</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provision for doubtful debts/write back</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-656.45</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200.04</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provision for contingencies (net)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(profit)/loss on sale of fixed assets (net)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-39.43</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-26.71</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(profit)/loss on sale of investments (net)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-615.47</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-371.07</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(Profit)/loss on non current investments(net)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-103.09</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-82.65</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(profit)/loss on buyback of debentures(net)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Provision for diminution in value of investment/ (write back)</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126.29</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-22.2</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operating profit before working capital changes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21,898.92</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-28,625.94</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Adjustments for changes in working capital :</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Other long term liabilities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-13.60</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-1,153.13</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Trade and other payables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-18,225.68</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47,301.42</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Provisions long term and short term</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-0.21</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178.98</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Other current liabilities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-9,652.89</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7,439.53</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Loans and advances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11,083.95</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-9,635.38</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Other </w:t>
            </w:r>
            <w:r w:rsidR="00E04D91" w:rsidRPr="008A13EC">
              <w:rPr>
                <w:sz w:val="24"/>
                <w:szCs w:val="24"/>
              </w:rPr>
              <w:t>non-current</w:t>
            </w:r>
            <w:r w:rsidRPr="008A13EC">
              <w:rPr>
                <w:sz w:val="24"/>
                <w:szCs w:val="24"/>
              </w:rPr>
              <w:t xml:space="preserve"> assets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Trade and other receivables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11,568.01</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-64,837.28</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Stock in trade</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28,150.74</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-18,763.57</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Other current assets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xml:space="preserve">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cash generated from operations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44,809.24</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-10,843.49</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Taxes paid including fringe benefits tax(net of refunds)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-12,463.79</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-14,684.08</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Net cash (used in)/ from operating activities(A)</w:t>
            </w:r>
          </w:p>
        </w:tc>
        <w:tc>
          <w:tcPr>
            <w:tcW w:w="2475"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32,345.45</w:t>
            </w:r>
          </w:p>
        </w:tc>
        <w:tc>
          <w:tcPr>
            <w:tcW w:w="1890"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-25,527.57</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lastRenderedPageBreak/>
              <w:t>Cash flow from investing activities: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Purchase of fixed assets (including capital advances)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-3,068.17</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-1,866.37</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Proceeds from sale of fixed assets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93.49</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130.44</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Sale of investments non current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374.33</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491.75</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Purchase of investments-non current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-19751.41</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sale of investments current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797,265.47</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760,221.07</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purchase of investments- current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-805,770.80</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-758,850.00</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proceeds from fixed deposits redeemed/amount place in F.D(net)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18,119.43</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-35,443.40</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Interest received</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18,647.78</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18,992.58</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Dividend on investments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127.93</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99.46</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Net cash (used in)/ from investing activities(B)</w:t>
            </w:r>
          </w:p>
        </w:tc>
        <w:tc>
          <w:tcPr>
            <w:tcW w:w="2475"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6,038.05</w:t>
            </w:r>
          </w:p>
        </w:tc>
        <w:tc>
          <w:tcPr>
            <w:tcW w:w="1890"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-16,224.47</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Cash flow from financing activities:</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 </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proceeds/(repayment)from of borrowings(net)</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2,086.13</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-384.08</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proceeds  from commercial paper</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120,864.08</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238,862.30</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Repayments of commercial paper</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-162,500.00</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-195,000.00</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Interest and other finance charges paid</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-37.72</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-3,035.65</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Net cash (used in)/ from financing activities©</w:t>
            </w:r>
          </w:p>
        </w:tc>
        <w:tc>
          <w:tcPr>
            <w:tcW w:w="2475"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-39,587.51</w:t>
            </w:r>
          </w:p>
        </w:tc>
        <w:tc>
          <w:tcPr>
            <w:tcW w:w="1890"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43,435.24</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Net (decrease)/Increase in cash and cash equivalents(A)+(B)+©</w:t>
            </w:r>
          </w:p>
        </w:tc>
        <w:tc>
          <w:tcPr>
            <w:tcW w:w="2475"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-1,204.01</w:t>
            </w:r>
          </w:p>
        </w:tc>
        <w:tc>
          <w:tcPr>
            <w:tcW w:w="1890" w:type="dxa"/>
            <w:noWrap/>
            <w:hideMark/>
          </w:tcPr>
          <w:p w:rsidR="00BF4FC4" w:rsidRPr="008A13EC" w:rsidRDefault="00BF4FC4" w:rsidP="00B37912">
            <w:pPr>
              <w:spacing w:line="360" w:lineRule="auto"/>
              <w:ind w:left="-180"/>
              <w:jc w:val="both"/>
              <w:rPr>
                <w:b/>
                <w:bCs/>
                <w:sz w:val="24"/>
                <w:szCs w:val="24"/>
              </w:rPr>
            </w:pPr>
            <w:r w:rsidRPr="008A13EC">
              <w:rPr>
                <w:b/>
                <w:bCs/>
                <w:sz w:val="24"/>
                <w:szCs w:val="24"/>
              </w:rPr>
              <w:t>1,683.20</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Cash and cash equivalents at the beginning of the year</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1,855.70</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172.5</w:t>
            </w:r>
          </w:p>
        </w:tc>
      </w:tr>
      <w:tr w:rsidR="00BF4FC4" w:rsidRPr="008A13EC" w:rsidTr="00D22B9F">
        <w:trPr>
          <w:trHeight w:val="315"/>
          <w:jc w:val="center"/>
        </w:trPr>
        <w:tc>
          <w:tcPr>
            <w:tcW w:w="5085" w:type="dxa"/>
            <w:noWrap/>
            <w:hideMark/>
          </w:tcPr>
          <w:p w:rsidR="00BF4FC4" w:rsidRPr="008A13EC" w:rsidRDefault="00BF4FC4" w:rsidP="00B37912">
            <w:pPr>
              <w:spacing w:line="360" w:lineRule="auto"/>
              <w:ind w:left="-180"/>
              <w:jc w:val="both"/>
              <w:rPr>
                <w:sz w:val="24"/>
                <w:szCs w:val="24"/>
              </w:rPr>
            </w:pPr>
            <w:r w:rsidRPr="008A13EC">
              <w:rPr>
                <w:sz w:val="24"/>
                <w:szCs w:val="24"/>
              </w:rPr>
              <w:t>Cash and cash equivalents at the end of the year</w:t>
            </w:r>
          </w:p>
        </w:tc>
        <w:tc>
          <w:tcPr>
            <w:tcW w:w="2475" w:type="dxa"/>
            <w:noWrap/>
            <w:hideMark/>
          </w:tcPr>
          <w:p w:rsidR="00BF4FC4" w:rsidRPr="008A13EC" w:rsidRDefault="00BF4FC4" w:rsidP="00B37912">
            <w:pPr>
              <w:spacing w:line="360" w:lineRule="auto"/>
              <w:ind w:left="-180"/>
              <w:jc w:val="both"/>
              <w:rPr>
                <w:sz w:val="24"/>
                <w:szCs w:val="24"/>
              </w:rPr>
            </w:pPr>
            <w:r w:rsidRPr="008A13EC">
              <w:rPr>
                <w:sz w:val="24"/>
                <w:szCs w:val="24"/>
              </w:rPr>
              <w:t>651.69</w:t>
            </w:r>
          </w:p>
        </w:tc>
        <w:tc>
          <w:tcPr>
            <w:tcW w:w="1890" w:type="dxa"/>
            <w:noWrap/>
            <w:hideMark/>
          </w:tcPr>
          <w:p w:rsidR="00BF4FC4" w:rsidRPr="008A13EC" w:rsidRDefault="00BF4FC4" w:rsidP="00B37912">
            <w:pPr>
              <w:spacing w:line="360" w:lineRule="auto"/>
              <w:ind w:left="-180"/>
              <w:jc w:val="both"/>
              <w:rPr>
                <w:sz w:val="24"/>
                <w:szCs w:val="24"/>
              </w:rPr>
            </w:pPr>
            <w:r w:rsidRPr="008A13EC">
              <w:rPr>
                <w:sz w:val="24"/>
                <w:szCs w:val="24"/>
              </w:rPr>
              <w:t>1,855.70</w:t>
            </w:r>
          </w:p>
        </w:tc>
      </w:tr>
    </w:tbl>
    <w:p w:rsidR="00BF4FC4" w:rsidRPr="008A13EC" w:rsidRDefault="00BF4FC4" w:rsidP="008A13EC">
      <w:pPr>
        <w:spacing w:line="360" w:lineRule="auto"/>
        <w:jc w:val="both"/>
        <w:rPr>
          <w:rFonts w:ascii="Times New Roman" w:hAnsi="Times New Roman" w:cs="Times New Roman"/>
          <w:b/>
          <w:noProof/>
          <w:sz w:val="24"/>
          <w:szCs w:val="24"/>
        </w:rPr>
      </w:pPr>
    </w:p>
    <w:tbl>
      <w:tblPr>
        <w:tblW w:w="9450" w:type="dxa"/>
        <w:tblInd w:w="18" w:type="dxa"/>
        <w:tblLook w:val="04A0" w:firstRow="1" w:lastRow="0" w:firstColumn="1" w:lastColumn="0" w:noHBand="0" w:noVBand="1"/>
      </w:tblPr>
      <w:tblGrid>
        <w:gridCol w:w="5670"/>
        <w:gridCol w:w="1890"/>
        <w:gridCol w:w="1890"/>
      </w:tblGrid>
      <w:tr w:rsidR="00BF4FC4" w:rsidRPr="008A13EC" w:rsidTr="00E04D91">
        <w:trPr>
          <w:trHeight w:val="503"/>
        </w:trPr>
        <w:tc>
          <w:tcPr>
            <w:tcW w:w="945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COMPARISION OF TWO YEARS CASH FLOW BUSINESS</w:t>
            </w:r>
          </w:p>
        </w:tc>
      </w:tr>
      <w:tr w:rsidR="00BF4FC4" w:rsidRPr="008A13EC" w:rsidTr="00E04D91">
        <w:trPr>
          <w:trHeight w:val="315"/>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YEAR 2022(In lakhs)</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YEAR 2023(in lakhs)</w:t>
            </w:r>
          </w:p>
        </w:tc>
      </w:tr>
      <w:tr w:rsidR="00BF4FC4" w:rsidRPr="008A13EC" w:rsidTr="00E04D91">
        <w:trPr>
          <w:trHeight w:val="503"/>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lastRenderedPageBreak/>
              <w:t>Cash from Operating activities</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-25527.57</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32345.45</w:t>
            </w:r>
          </w:p>
        </w:tc>
      </w:tr>
      <w:tr w:rsidR="00BF4FC4" w:rsidRPr="008A13EC" w:rsidTr="00E04D91">
        <w:trPr>
          <w:trHeight w:val="70"/>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Cash from Investing activities</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-16224.47</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6038.05</w:t>
            </w:r>
          </w:p>
        </w:tc>
      </w:tr>
      <w:tr w:rsidR="00BF4FC4" w:rsidRPr="008A13EC" w:rsidTr="00E04D91">
        <w:trPr>
          <w:trHeight w:val="557"/>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Cash from financing activities</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43435.24</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-39587.51</w:t>
            </w:r>
          </w:p>
        </w:tc>
      </w:tr>
      <w:tr w:rsidR="00BF4FC4" w:rsidRPr="008A13EC" w:rsidTr="00E04D91">
        <w:trPr>
          <w:trHeight w:val="485"/>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Net Increase/(Decrease) in cash and cash equivalents</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1683.2</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-1204.01</w:t>
            </w:r>
          </w:p>
        </w:tc>
      </w:tr>
      <w:tr w:rsidR="00BF4FC4" w:rsidRPr="008A13EC" w:rsidTr="00E04D91">
        <w:trPr>
          <w:trHeight w:val="512"/>
        </w:trPr>
        <w:tc>
          <w:tcPr>
            <w:tcW w:w="5670"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Cash and cash equivalents at the end of the year</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1885.7</w:t>
            </w:r>
          </w:p>
        </w:tc>
        <w:tc>
          <w:tcPr>
            <w:tcW w:w="189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651.69</w:t>
            </w:r>
          </w:p>
        </w:tc>
      </w:tr>
    </w:tbl>
    <w:p w:rsidR="00BF4FC4" w:rsidRPr="008A13EC" w:rsidRDefault="00BF4FC4" w:rsidP="00B37912">
      <w:pPr>
        <w:spacing w:line="360" w:lineRule="auto"/>
        <w:ind w:left="-180"/>
        <w:jc w:val="both"/>
        <w:rPr>
          <w:rFonts w:ascii="Times New Roman" w:hAnsi="Times New Roman" w:cs="Times New Roman"/>
          <w:b/>
          <w:sz w:val="24"/>
          <w:szCs w:val="24"/>
        </w:rPr>
      </w:pPr>
    </w:p>
    <w:p w:rsidR="00BF4FC4" w:rsidRPr="008A13EC" w:rsidRDefault="002833BA"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GRAPH NO:</w:t>
      </w:r>
      <w:r w:rsidR="00D22B9F">
        <w:rPr>
          <w:rFonts w:ascii="Times New Roman" w:hAnsi="Times New Roman" w:cs="Times New Roman"/>
          <w:b/>
          <w:sz w:val="24"/>
          <w:szCs w:val="24"/>
        </w:rPr>
        <w:t xml:space="preserve"> </w:t>
      </w:r>
      <w:r w:rsidRPr="008A13EC">
        <w:rPr>
          <w:rFonts w:ascii="Times New Roman" w:hAnsi="Times New Roman" w:cs="Times New Roman"/>
          <w:b/>
          <w:sz w:val="24"/>
          <w:szCs w:val="24"/>
        </w:rPr>
        <w:t>4.1</w:t>
      </w:r>
    </w:p>
    <w:p w:rsidR="00BF4FC4" w:rsidRPr="008A13EC" w:rsidRDefault="00BF4FC4"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noProof/>
          <w:sz w:val="24"/>
          <w:szCs w:val="24"/>
        </w:rPr>
        <w:drawing>
          <wp:inline distT="0" distB="0" distL="0" distR="0" wp14:anchorId="53246823" wp14:editId="36BBE9EC">
            <wp:extent cx="4565700" cy="2748988"/>
            <wp:effectExtent l="18258" t="12228" r="12172" b="6114"/>
            <wp:docPr id="615"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BF4FC4" w:rsidRPr="008A13EC" w:rsidRDefault="00BF4FC4" w:rsidP="00B37912">
      <w:pPr>
        <w:spacing w:line="360" w:lineRule="auto"/>
        <w:ind w:left="-180" w:hanging="180"/>
        <w:jc w:val="both"/>
        <w:rPr>
          <w:rFonts w:ascii="Times New Roman" w:hAnsi="Times New Roman" w:cs="Times New Roman"/>
          <w:b/>
          <w:sz w:val="24"/>
          <w:szCs w:val="24"/>
        </w:rPr>
      </w:pPr>
      <w:r w:rsidRPr="008A13EC">
        <w:rPr>
          <w:rFonts w:ascii="Times New Roman" w:hAnsi="Times New Roman" w:cs="Times New Roman"/>
          <w:b/>
          <w:sz w:val="24"/>
          <w:szCs w:val="24"/>
        </w:rPr>
        <w:t>Interpretation:</w:t>
      </w:r>
    </w:p>
    <w:p w:rsidR="00BF4FC4" w:rsidRDefault="00BF4FC4" w:rsidP="008B33EC">
      <w:pPr>
        <w:spacing w:line="360" w:lineRule="auto"/>
        <w:ind w:left="-180"/>
        <w:jc w:val="both"/>
        <w:rPr>
          <w:rFonts w:ascii="Times New Roman" w:hAnsi="Times New Roman" w:cs="Times New Roman"/>
          <w:noProof/>
          <w:sz w:val="24"/>
          <w:szCs w:val="24"/>
        </w:rPr>
      </w:pPr>
      <w:r w:rsidRPr="008A13EC">
        <w:rPr>
          <w:rFonts w:ascii="Times New Roman" w:hAnsi="Times New Roman" w:cs="Times New Roman"/>
          <w:sz w:val="24"/>
          <w:szCs w:val="24"/>
        </w:rPr>
        <w:t xml:space="preserve">The above CASH FLOW BUSINESS has been prepared under the “Indirect Method” as set  </w:t>
      </w:r>
      <w:r w:rsidR="00D22B9F">
        <w:rPr>
          <w:rFonts w:ascii="Times New Roman" w:hAnsi="Times New Roman" w:cs="Times New Roman"/>
          <w:sz w:val="24"/>
          <w:szCs w:val="24"/>
        </w:rPr>
        <w:t xml:space="preserve"> </w:t>
      </w:r>
      <w:bookmarkStart w:id="0" w:name="_GoBack"/>
      <w:bookmarkEnd w:id="0"/>
      <w:proofErr w:type="gramStart"/>
      <w:r w:rsidRPr="008A13EC">
        <w:rPr>
          <w:rFonts w:ascii="Times New Roman" w:hAnsi="Times New Roman" w:cs="Times New Roman"/>
          <w:sz w:val="24"/>
          <w:szCs w:val="24"/>
        </w:rPr>
        <w:t>out  in</w:t>
      </w:r>
      <w:proofErr w:type="gramEnd"/>
      <w:r w:rsidRPr="008A13EC">
        <w:rPr>
          <w:rFonts w:ascii="Times New Roman" w:hAnsi="Times New Roman" w:cs="Times New Roman"/>
          <w:sz w:val="24"/>
          <w:szCs w:val="24"/>
        </w:rPr>
        <w:t xml:space="preserve"> Accounting standard-3 cash flow business.</w:t>
      </w:r>
      <w:r w:rsidRPr="008A13EC">
        <w:rPr>
          <w:rFonts w:ascii="Times New Roman" w:hAnsi="Times New Roman" w:cs="Times New Roman"/>
          <w:noProof/>
          <w:sz w:val="24"/>
          <w:szCs w:val="24"/>
        </w:rPr>
        <w:t xml:space="preserve"> The Net cash and cash equivalents from the year 2022 to 2023 were decreased. Cash available at the end of the year 2022 was 1,683.20, after considering the beginning cash balance it was 1,855.70. The net cash availabe at the end of the year 2023 before considering the beginnings was (1,204.01), after</w:t>
      </w:r>
      <w:r w:rsidR="008B33EC">
        <w:rPr>
          <w:rFonts w:ascii="Times New Roman" w:hAnsi="Times New Roman" w:cs="Times New Roman"/>
          <w:noProof/>
          <w:sz w:val="24"/>
          <w:szCs w:val="24"/>
        </w:rPr>
        <w:t xml:space="preserve"> </w:t>
      </w:r>
      <w:r w:rsidRPr="008A13EC">
        <w:rPr>
          <w:rFonts w:ascii="Times New Roman" w:hAnsi="Times New Roman" w:cs="Times New Roman"/>
          <w:noProof/>
          <w:sz w:val="24"/>
          <w:szCs w:val="24"/>
        </w:rPr>
        <w:t>considering beginnings it was increased to 651.69, but the increase is less than the year 2023.</w:t>
      </w:r>
    </w:p>
    <w:p w:rsidR="006663D4" w:rsidRPr="008B33EC" w:rsidRDefault="006663D4" w:rsidP="008B33EC">
      <w:pPr>
        <w:spacing w:line="360" w:lineRule="auto"/>
        <w:ind w:left="-180"/>
        <w:jc w:val="both"/>
        <w:rPr>
          <w:rFonts w:ascii="Times New Roman" w:hAnsi="Times New Roman" w:cs="Times New Roman"/>
          <w:noProof/>
          <w:sz w:val="24"/>
          <w:szCs w:val="24"/>
        </w:rPr>
      </w:pPr>
    </w:p>
    <w:tbl>
      <w:tblPr>
        <w:tblW w:w="9180" w:type="dxa"/>
        <w:tblInd w:w="-252" w:type="dxa"/>
        <w:tblLook w:val="04A0" w:firstRow="1" w:lastRow="0" w:firstColumn="1" w:lastColumn="0" w:noHBand="0" w:noVBand="1"/>
      </w:tblPr>
      <w:tblGrid>
        <w:gridCol w:w="5374"/>
        <w:gridCol w:w="2006"/>
        <w:gridCol w:w="1800"/>
      </w:tblGrid>
      <w:tr w:rsidR="00BF4FC4" w:rsidRPr="008A13EC" w:rsidTr="007E127A">
        <w:trPr>
          <w:trHeight w:val="512"/>
        </w:trPr>
        <w:tc>
          <w:tcPr>
            <w:tcW w:w="918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lastRenderedPageBreak/>
              <w:t>COMPARISON OF TWO YEARS CASH FLOW BUSINESS</w:t>
            </w:r>
          </w:p>
        </w:tc>
      </w:tr>
      <w:tr w:rsidR="00BF4FC4" w:rsidRPr="008A13EC" w:rsidTr="007E127A">
        <w:trPr>
          <w:trHeight w:val="315"/>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006"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YEAR 2021(In lakhs)</w:t>
            </w:r>
          </w:p>
        </w:tc>
        <w:tc>
          <w:tcPr>
            <w:tcW w:w="180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YEAR 2022(in lakhs)</w:t>
            </w:r>
          </w:p>
        </w:tc>
      </w:tr>
      <w:tr w:rsidR="00BF4FC4" w:rsidRPr="008A13EC" w:rsidTr="007E127A">
        <w:trPr>
          <w:trHeight w:val="512"/>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Cash from Operating activities</w:t>
            </w:r>
          </w:p>
        </w:tc>
        <w:tc>
          <w:tcPr>
            <w:tcW w:w="2006"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1951.02</w:t>
            </w:r>
          </w:p>
        </w:tc>
        <w:tc>
          <w:tcPr>
            <w:tcW w:w="180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-25527.57</w:t>
            </w:r>
          </w:p>
        </w:tc>
      </w:tr>
      <w:tr w:rsidR="00BF4FC4" w:rsidRPr="008A13EC" w:rsidTr="007E127A">
        <w:trPr>
          <w:trHeight w:val="548"/>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Cash from Investing activities</w:t>
            </w:r>
          </w:p>
        </w:tc>
        <w:tc>
          <w:tcPr>
            <w:tcW w:w="2006"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-541.91</w:t>
            </w:r>
          </w:p>
        </w:tc>
        <w:tc>
          <w:tcPr>
            <w:tcW w:w="180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-16224.47</w:t>
            </w:r>
          </w:p>
        </w:tc>
      </w:tr>
      <w:tr w:rsidR="00BF4FC4" w:rsidRPr="008A13EC" w:rsidTr="007E127A">
        <w:trPr>
          <w:trHeight w:val="485"/>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Cash from financing activities</w:t>
            </w:r>
          </w:p>
        </w:tc>
        <w:tc>
          <w:tcPr>
            <w:tcW w:w="2006"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-1769.54</w:t>
            </w:r>
          </w:p>
        </w:tc>
        <w:tc>
          <w:tcPr>
            <w:tcW w:w="180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43435.24</w:t>
            </w:r>
          </w:p>
        </w:tc>
      </w:tr>
      <w:tr w:rsidR="00BF4FC4" w:rsidRPr="008A13EC" w:rsidTr="007E127A">
        <w:trPr>
          <w:trHeight w:val="503"/>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Net Increase/(Decrease) in cash and cash equivalents</w:t>
            </w:r>
          </w:p>
        </w:tc>
        <w:tc>
          <w:tcPr>
            <w:tcW w:w="2006"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-360.43</w:t>
            </w:r>
          </w:p>
        </w:tc>
        <w:tc>
          <w:tcPr>
            <w:tcW w:w="180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1683.2</w:t>
            </w:r>
          </w:p>
        </w:tc>
      </w:tr>
      <w:tr w:rsidR="00BF4FC4" w:rsidRPr="008A13EC" w:rsidTr="007E127A">
        <w:trPr>
          <w:trHeight w:val="530"/>
        </w:trPr>
        <w:tc>
          <w:tcPr>
            <w:tcW w:w="5374" w:type="dxa"/>
            <w:tcBorders>
              <w:top w:val="nil"/>
              <w:left w:val="single" w:sz="4" w:space="0" w:color="auto"/>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Cash and cash equivalents at the end of the year</w:t>
            </w:r>
          </w:p>
        </w:tc>
        <w:tc>
          <w:tcPr>
            <w:tcW w:w="2006"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172.5</w:t>
            </w:r>
          </w:p>
        </w:tc>
        <w:tc>
          <w:tcPr>
            <w:tcW w:w="1800" w:type="dxa"/>
            <w:tcBorders>
              <w:top w:val="nil"/>
              <w:left w:val="nil"/>
              <w:bottom w:val="single" w:sz="4" w:space="0" w:color="auto"/>
              <w:right w:val="single" w:sz="4" w:space="0" w:color="auto"/>
            </w:tcBorders>
            <w:shd w:val="clear" w:color="auto" w:fill="auto"/>
            <w:noWrap/>
            <w:vAlign w:val="bottom"/>
            <w:hideMark/>
          </w:tcPr>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1885.7</w:t>
            </w:r>
          </w:p>
        </w:tc>
      </w:tr>
    </w:tbl>
    <w:p w:rsidR="00BF4FC4" w:rsidRPr="008A13EC" w:rsidRDefault="00BF4FC4" w:rsidP="007E127A">
      <w:pPr>
        <w:spacing w:line="360" w:lineRule="auto"/>
        <w:jc w:val="both"/>
        <w:rPr>
          <w:rFonts w:ascii="Times New Roman" w:hAnsi="Times New Roman" w:cs="Times New Roman"/>
          <w:b/>
          <w:sz w:val="24"/>
          <w:szCs w:val="24"/>
        </w:rPr>
      </w:pPr>
    </w:p>
    <w:p w:rsidR="00BF4FC4" w:rsidRPr="008A13EC" w:rsidRDefault="00E0632F" w:rsidP="007E127A">
      <w:pPr>
        <w:spacing w:line="360" w:lineRule="auto"/>
        <w:ind w:left="-180"/>
        <w:jc w:val="both"/>
        <w:rPr>
          <w:rFonts w:ascii="Times New Roman" w:hAnsi="Times New Roman" w:cs="Times New Roman"/>
          <w:b/>
          <w:sz w:val="24"/>
          <w:szCs w:val="24"/>
        </w:rPr>
      </w:pPr>
      <w:r>
        <w:rPr>
          <w:rFonts w:ascii="Times New Roman" w:hAnsi="Times New Roman" w:cs="Times New Roman"/>
          <w:b/>
          <w:sz w:val="24"/>
          <w:szCs w:val="24"/>
        </w:rPr>
        <w:t xml:space="preserve">GRAPH </w:t>
      </w:r>
    </w:p>
    <w:p w:rsidR="00BF4FC4" w:rsidRPr="008A13EC" w:rsidRDefault="00BF4FC4" w:rsidP="007E127A">
      <w:pPr>
        <w:spacing w:line="360" w:lineRule="auto"/>
        <w:ind w:left="-180" w:hanging="180"/>
        <w:jc w:val="both"/>
        <w:rPr>
          <w:rFonts w:ascii="Times New Roman" w:hAnsi="Times New Roman" w:cs="Times New Roman"/>
          <w:b/>
          <w:sz w:val="24"/>
          <w:szCs w:val="24"/>
        </w:rPr>
      </w:pPr>
      <w:r w:rsidRPr="008A13EC">
        <w:rPr>
          <w:rFonts w:ascii="Times New Roman" w:hAnsi="Times New Roman" w:cs="Times New Roman"/>
          <w:b/>
          <w:noProof/>
          <w:sz w:val="24"/>
          <w:szCs w:val="24"/>
        </w:rPr>
        <w:drawing>
          <wp:inline distT="0" distB="0" distL="0" distR="0" wp14:anchorId="387A3D9A" wp14:editId="449A168F">
            <wp:extent cx="4565700" cy="2748988"/>
            <wp:effectExtent l="18258" t="12228" r="12172" b="6114"/>
            <wp:docPr id="61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F4FC4" w:rsidRPr="008A13EC" w:rsidRDefault="00BF4FC4"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Interpretation:</w:t>
      </w:r>
    </w:p>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The above CASH FLOW BUSINESS has been prepared under the “Indirect Method” as </w:t>
      </w:r>
      <w:proofErr w:type="gramStart"/>
      <w:r w:rsidRPr="008A13EC">
        <w:rPr>
          <w:rFonts w:ascii="Times New Roman" w:hAnsi="Times New Roman" w:cs="Times New Roman"/>
          <w:sz w:val="24"/>
          <w:szCs w:val="24"/>
        </w:rPr>
        <w:t>set  out</w:t>
      </w:r>
      <w:proofErr w:type="gramEnd"/>
      <w:r w:rsidRPr="008A13EC">
        <w:rPr>
          <w:rFonts w:ascii="Times New Roman" w:hAnsi="Times New Roman" w:cs="Times New Roman"/>
          <w:sz w:val="24"/>
          <w:szCs w:val="24"/>
        </w:rPr>
        <w:t xml:space="preserve">  in Accounting standard-3 cash flow business.</w:t>
      </w:r>
    </w:p>
    <w:p w:rsidR="00BF4FC4" w:rsidRPr="008A13EC" w:rsidRDefault="00BF4FC4"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lastRenderedPageBreak/>
        <w:t>The Net cash and cash equivalents from the year 2021 to 2022 were increased. The Net cash available at the end of the year 2021 was (360.43), after considering the cash at the beginning of the year it was 172.5  and cash available at the end of the year 2022 was 1,683.20, after considering the beginning cash equivalents it was 1,855.70</w:t>
      </w:r>
    </w:p>
    <w:tbl>
      <w:tblPr>
        <w:tblW w:w="8015" w:type="dxa"/>
        <w:tblInd w:w="103" w:type="dxa"/>
        <w:tblLook w:val="04A0" w:firstRow="1" w:lastRow="0" w:firstColumn="1" w:lastColumn="0" w:noHBand="0" w:noVBand="1"/>
      </w:tblPr>
      <w:tblGrid>
        <w:gridCol w:w="3155"/>
        <w:gridCol w:w="4860"/>
      </w:tblGrid>
      <w:tr w:rsidR="00FC6107" w:rsidRPr="008A13EC" w:rsidTr="007E127A">
        <w:trPr>
          <w:trHeight w:val="375"/>
        </w:trPr>
        <w:tc>
          <w:tcPr>
            <w:tcW w:w="801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Net Increase/(decrease) in cash and cash equivalents from the year 2019-2023</w:t>
            </w:r>
          </w:p>
        </w:tc>
      </w:tr>
      <w:tr w:rsidR="00FC6107" w:rsidRPr="008A13EC" w:rsidTr="007E127A">
        <w:trPr>
          <w:trHeight w:val="638"/>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Year</w:t>
            </w:r>
          </w:p>
        </w:tc>
        <w:tc>
          <w:tcPr>
            <w:tcW w:w="486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Amount (lakhs)</w:t>
            </w:r>
          </w:p>
        </w:tc>
      </w:tr>
      <w:tr w:rsidR="00FC6107" w:rsidRPr="008A13EC" w:rsidTr="007E127A">
        <w:trPr>
          <w:trHeight w:val="485"/>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2019</w:t>
            </w:r>
          </w:p>
        </w:tc>
        <w:tc>
          <w:tcPr>
            <w:tcW w:w="486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-125.49</w:t>
            </w:r>
          </w:p>
        </w:tc>
      </w:tr>
      <w:tr w:rsidR="00FC6107" w:rsidRPr="008A13EC" w:rsidTr="007E127A">
        <w:trPr>
          <w:trHeight w:val="575"/>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2020</w:t>
            </w:r>
          </w:p>
        </w:tc>
        <w:tc>
          <w:tcPr>
            <w:tcW w:w="486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266.3</w:t>
            </w:r>
          </w:p>
        </w:tc>
      </w:tr>
      <w:tr w:rsidR="00FC6107" w:rsidRPr="008A13EC" w:rsidTr="007E127A">
        <w:trPr>
          <w:trHeight w:val="62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2021</w:t>
            </w:r>
          </w:p>
        </w:tc>
        <w:tc>
          <w:tcPr>
            <w:tcW w:w="486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-360.43</w:t>
            </w:r>
          </w:p>
        </w:tc>
      </w:tr>
      <w:tr w:rsidR="00FC6107" w:rsidRPr="008A13EC" w:rsidTr="007E127A">
        <w:trPr>
          <w:trHeight w:val="620"/>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2022</w:t>
            </w:r>
          </w:p>
        </w:tc>
        <w:tc>
          <w:tcPr>
            <w:tcW w:w="486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1683.2</w:t>
            </w:r>
          </w:p>
        </w:tc>
      </w:tr>
      <w:tr w:rsidR="00FC6107" w:rsidRPr="008A13EC" w:rsidTr="007E127A">
        <w:trPr>
          <w:trHeight w:val="503"/>
        </w:trPr>
        <w:tc>
          <w:tcPr>
            <w:tcW w:w="315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2023</w:t>
            </w:r>
          </w:p>
        </w:tc>
        <w:tc>
          <w:tcPr>
            <w:tcW w:w="486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-1204.01</w:t>
            </w:r>
          </w:p>
        </w:tc>
      </w:tr>
    </w:tbl>
    <w:p w:rsidR="00FC6107" w:rsidRPr="008A13EC" w:rsidRDefault="00FC6107" w:rsidP="00B37912">
      <w:pPr>
        <w:spacing w:line="360" w:lineRule="auto"/>
        <w:ind w:left="-180"/>
        <w:jc w:val="both"/>
        <w:rPr>
          <w:rFonts w:ascii="Times New Roman" w:hAnsi="Times New Roman" w:cs="Times New Roman"/>
          <w:b/>
          <w:sz w:val="24"/>
          <w:szCs w:val="24"/>
        </w:rPr>
      </w:pPr>
    </w:p>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Chart representing the changes in Net increase</w:t>
      </w:r>
      <w:proofErr w:type="gramStart"/>
      <w:r w:rsidRPr="008A13EC">
        <w:rPr>
          <w:rFonts w:ascii="Times New Roman" w:hAnsi="Times New Roman" w:cs="Times New Roman"/>
          <w:b/>
          <w:sz w:val="24"/>
          <w:szCs w:val="24"/>
        </w:rPr>
        <w:t>/(</w:t>
      </w:r>
      <w:proofErr w:type="gramEnd"/>
      <w:r w:rsidRPr="008A13EC">
        <w:rPr>
          <w:rFonts w:ascii="Times New Roman" w:hAnsi="Times New Roman" w:cs="Times New Roman"/>
          <w:b/>
          <w:sz w:val="24"/>
          <w:szCs w:val="24"/>
        </w:rPr>
        <w:t>decrease) in cash flows from the year 2019-2023.</w:t>
      </w:r>
    </w:p>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 xml:space="preserve">              </w:t>
      </w:r>
      <w:r w:rsidR="00E0632F">
        <w:rPr>
          <w:rFonts w:ascii="Times New Roman" w:hAnsi="Times New Roman" w:cs="Times New Roman"/>
          <w:b/>
          <w:sz w:val="24"/>
          <w:szCs w:val="24"/>
        </w:rPr>
        <w:t xml:space="preserve">                       GRAPH</w:t>
      </w:r>
    </w:p>
    <w:p w:rsidR="00FC6107" w:rsidRPr="008A13EC" w:rsidRDefault="00FC6107" w:rsidP="00E0632F">
      <w:pPr>
        <w:spacing w:line="360" w:lineRule="auto"/>
        <w:ind w:left="-180"/>
        <w:jc w:val="both"/>
        <w:rPr>
          <w:rFonts w:ascii="Times New Roman" w:hAnsi="Times New Roman" w:cs="Times New Roman"/>
          <w:b/>
          <w:sz w:val="24"/>
          <w:szCs w:val="24"/>
        </w:rPr>
      </w:pPr>
      <w:r w:rsidRPr="008A13EC">
        <w:rPr>
          <w:rFonts w:ascii="Times New Roman" w:hAnsi="Times New Roman" w:cs="Times New Roman"/>
          <w:b/>
          <w:noProof/>
          <w:sz w:val="24"/>
          <w:szCs w:val="24"/>
        </w:rPr>
        <w:drawing>
          <wp:inline distT="0" distB="0" distL="0" distR="0" wp14:anchorId="43969A62" wp14:editId="03AD6D22">
            <wp:extent cx="4565700" cy="2748988"/>
            <wp:effectExtent l="18258" t="12228" r="12172" b="6114"/>
            <wp:docPr id="61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lastRenderedPageBreak/>
        <w:t>Interpretation:</w:t>
      </w:r>
    </w:p>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The above chart </w:t>
      </w:r>
      <w:proofErr w:type="gramStart"/>
      <w:r w:rsidRPr="008A13EC">
        <w:rPr>
          <w:rFonts w:ascii="Times New Roman" w:hAnsi="Times New Roman" w:cs="Times New Roman"/>
          <w:sz w:val="24"/>
          <w:szCs w:val="24"/>
        </w:rPr>
        <w:t>representing  the</w:t>
      </w:r>
      <w:proofErr w:type="gramEnd"/>
      <w:r w:rsidRPr="008A13EC">
        <w:rPr>
          <w:rFonts w:ascii="Times New Roman" w:hAnsi="Times New Roman" w:cs="Times New Roman"/>
          <w:sz w:val="24"/>
          <w:szCs w:val="24"/>
        </w:rPr>
        <w:t xml:space="preserve"> Net increase/ (decrease) in cash flows  of KSM poly </w:t>
      </w:r>
      <w:proofErr w:type="spellStart"/>
      <w:r w:rsidRPr="008A13EC">
        <w:rPr>
          <w:rFonts w:ascii="Times New Roman" w:hAnsi="Times New Roman" w:cs="Times New Roman"/>
          <w:sz w:val="24"/>
          <w:szCs w:val="24"/>
        </w:rPr>
        <w:t>plasticare</w:t>
      </w:r>
      <w:proofErr w:type="spellEnd"/>
      <w:r w:rsidRPr="008A13EC">
        <w:rPr>
          <w:rFonts w:ascii="Times New Roman" w:hAnsi="Times New Roman" w:cs="Times New Roman"/>
          <w:sz w:val="24"/>
          <w:szCs w:val="24"/>
        </w:rPr>
        <w:t xml:space="preserve"> fluctuating from year 2019-2023. But in the year 2022 Net cash </w:t>
      </w:r>
      <w:proofErr w:type="gramStart"/>
      <w:r w:rsidRPr="008A13EC">
        <w:rPr>
          <w:rFonts w:ascii="Times New Roman" w:hAnsi="Times New Roman" w:cs="Times New Roman"/>
          <w:sz w:val="24"/>
          <w:szCs w:val="24"/>
        </w:rPr>
        <w:t>flows  are</w:t>
      </w:r>
      <w:proofErr w:type="gramEnd"/>
      <w:r w:rsidRPr="008A13EC">
        <w:rPr>
          <w:rFonts w:ascii="Times New Roman" w:hAnsi="Times New Roman" w:cs="Times New Roman"/>
          <w:sz w:val="24"/>
          <w:szCs w:val="24"/>
        </w:rPr>
        <w:t xml:space="preserve"> very high, in the year 2023 it is very less compare to other years.</w:t>
      </w:r>
    </w:p>
    <w:tbl>
      <w:tblPr>
        <w:tblW w:w="8195" w:type="dxa"/>
        <w:tblInd w:w="103" w:type="dxa"/>
        <w:tblLook w:val="04A0" w:firstRow="1" w:lastRow="0" w:firstColumn="1" w:lastColumn="0" w:noHBand="0" w:noVBand="1"/>
      </w:tblPr>
      <w:tblGrid>
        <w:gridCol w:w="3605"/>
        <w:gridCol w:w="4590"/>
      </w:tblGrid>
      <w:tr w:rsidR="00FC6107" w:rsidRPr="008A13EC" w:rsidTr="007E127A">
        <w:trPr>
          <w:trHeight w:val="375"/>
        </w:trPr>
        <w:tc>
          <w:tcPr>
            <w:tcW w:w="819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Cash flows from Operating activities from the year 2019-2023</w:t>
            </w:r>
          </w:p>
        </w:tc>
      </w:tr>
      <w:tr w:rsidR="00FC6107" w:rsidRPr="008A13EC" w:rsidTr="007E127A">
        <w:trPr>
          <w:trHeight w:val="503"/>
        </w:trPr>
        <w:tc>
          <w:tcPr>
            <w:tcW w:w="360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Year</w:t>
            </w:r>
          </w:p>
        </w:tc>
        <w:tc>
          <w:tcPr>
            <w:tcW w:w="459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Amount (lakhs)</w:t>
            </w:r>
          </w:p>
        </w:tc>
      </w:tr>
      <w:tr w:rsidR="00FC6107" w:rsidRPr="008A13EC" w:rsidTr="007E127A">
        <w:trPr>
          <w:trHeight w:val="548"/>
        </w:trPr>
        <w:tc>
          <w:tcPr>
            <w:tcW w:w="360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2019</w:t>
            </w:r>
          </w:p>
        </w:tc>
        <w:tc>
          <w:tcPr>
            <w:tcW w:w="459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-33767.86</w:t>
            </w:r>
          </w:p>
        </w:tc>
      </w:tr>
      <w:tr w:rsidR="00FC6107" w:rsidRPr="008A13EC" w:rsidTr="007E127A">
        <w:trPr>
          <w:trHeight w:val="512"/>
        </w:trPr>
        <w:tc>
          <w:tcPr>
            <w:tcW w:w="360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2020</w:t>
            </w:r>
          </w:p>
        </w:tc>
        <w:tc>
          <w:tcPr>
            <w:tcW w:w="459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11283.86</w:t>
            </w:r>
          </w:p>
        </w:tc>
      </w:tr>
      <w:tr w:rsidR="00FC6107" w:rsidRPr="008A13EC" w:rsidTr="007E127A">
        <w:trPr>
          <w:trHeight w:val="458"/>
        </w:trPr>
        <w:tc>
          <w:tcPr>
            <w:tcW w:w="360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2021</w:t>
            </w:r>
          </w:p>
        </w:tc>
        <w:tc>
          <w:tcPr>
            <w:tcW w:w="459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1951.02</w:t>
            </w:r>
          </w:p>
        </w:tc>
      </w:tr>
      <w:tr w:rsidR="00FC6107" w:rsidRPr="008A13EC" w:rsidTr="007E127A">
        <w:trPr>
          <w:trHeight w:val="602"/>
        </w:trPr>
        <w:tc>
          <w:tcPr>
            <w:tcW w:w="360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2022</w:t>
            </w:r>
          </w:p>
        </w:tc>
        <w:tc>
          <w:tcPr>
            <w:tcW w:w="459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-25,527.57</w:t>
            </w:r>
          </w:p>
        </w:tc>
      </w:tr>
      <w:tr w:rsidR="00FC6107" w:rsidRPr="008A13EC" w:rsidTr="007E127A">
        <w:trPr>
          <w:trHeight w:val="530"/>
        </w:trPr>
        <w:tc>
          <w:tcPr>
            <w:tcW w:w="3605"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2023</w:t>
            </w:r>
          </w:p>
        </w:tc>
        <w:tc>
          <w:tcPr>
            <w:tcW w:w="459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32345.45</w:t>
            </w:r>
          </w:p>
        </w:tc>
      </w:tr>
    </w:tbl>
    <w:p w:rsidR="00FC6107" w:rsidRPr="008A13EC" w:rsidRDefault="00FC6107" w:rsidP="00E0632F">
      <w:pPr>
        <w:spacing w:line="360" w:lineRule="auto"/>
        <w:jc w:val="both"/>
        <w:rPr>
          <w:rFonts w:ascii="Times New Roman" w:hAnsi="Times New Roman" w:cs="Times New Roman"/>
          <w:b/>
          <w:sz w:val="24"/>
          <w:szCs w:val="24"/>
        </w:rPr>
      </w:pPr>
    </w:p>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Chart representing the changes in Operating activities from the year 2019-2023</w:t>
      </w:r>
    </w:p>
    <w:p w:rsidR="00FC6107" w:rsidRPr="008A13EC" w:rsidRDefault="00E0632F" w:rsidP="00B37912">
      <w:pPr>
        <w:spacing w:line="360" w:lineRule="auto"/>
        <w:ind w:left="-180"/>
        <w:jc w:val="both"/>
        <w:rPr>
          <w:rFonts w:ascii="Times New Roman" w:hAnsi="Times New Roman" w:cs="Times New Roman"/>
          <w:b/>
          <w:sz w:val="24"/>
          <w:szCs w:val="24"/>
        </w:rPr>
      </w:pPr>
      <w:r>
        <w:rPr>
          <w:rFonts w:ascii="Times New Roman" w:hAnsi="Times New Roman" w:cs="Times New Roman"/>
          <w:b/>
          <w:sz w:val="24"/>
          <w:szCs w:val="24"/>
        </w:rPr>
        <w:t xml:space="preserve"> GRAPH </w:t>
      </w:r>
    </w:p>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noProof/>
          <w:sz w:val="24"/>
          <w:szCs w:val="24"/>
        </w:rPr>
        <w:drawing>
          <wp:inline distT="0" distB="0" distL="0" distR="0" wp14:anchorId="0AA5CBC6" wp14:editId="1587296C">
            <wp:extent cx="4565700" cy="2748988"/>
            <wp:effectExtent l="18258" t="12228" r="12172" b="6114"/>
            <wp:docPr id="620"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lastRenderedPageBreak/>
        <w:t>Interpretation:</w:t>
      </w:r>
    </w:p>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The above chart representing that the cash flows from operating activities of KSM poly plastic</w:t>
      </w:r>
      <w:r w:rsidR="00060ECF">
        <w:rPr>
          <w:rFonts w:ascii="Times New Roman" w:hAnsi="Times New Roman" w:cs="Times New Roman"/>
          <w:sz w:val="24"/>
          <w:szCs w:val="24"/>
        </w:rPr>
        <w:t xml:space="preserve"> </w:t>
      </w:r>
      <w:r w:rsidRPr="008A13EC">
        <w:rPr>
          <w:rFonts w:ascii="Times New Roman" w:hAnsi="Times New Roman" w:cs="Times New Roman"/>
          <w:sz w:val="24"/>
          <w:szCs w:val="24"/>
        </w:rPr>
        <w:t xml:space="preserve">from year 2019-2023 are fluctuating. In the 2023 cash from operating activities is </w:t>
      </w:r>
      <w:r w:rsidR="00060ECF" w:rsidRPr="008A13EC">
        <w:rPr>
          <w:rFonts w:ascii="Times New Roman" w:hAnsi="Times New Roman" w:cs="Times New Roman"/>
          <w:sz w:val="24"/>
          <w:szCs w:val="24"/>
        </w:rPr>
        <w:t>high;</w:t>
      </w:r>
      <w:r w:rsidRPr="008A13EC">
        <w:rPr>
          <w:rFonts w:ascii="Times New Roman" w:hAnsi="Times New Roman" w:cs="Times New Roman"/>
          <w:sz w:val="24"/>
          <w:szCs w:val="24"/>
        </w:rPr>
        <w:t xml:space="preserve"> where as in 2023 it is very low compare to other years. </w:t>
      </w:r>
    </w:p>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BALANCE SHEETS OF KSM POLY PLASTIC FROM THE YEAR 2022-2023</w:t>
      </w:r>
    </w:p>
    <w:tbl>
      <w:tblPr>
        <w:tblW w:w="9360" w:type="dxa"/>
        <w:tblInd w:w="-432" w:type="dxa"/>
        <w:tblLook w:val="04A0" w:firstRow="1" w:lastRow="0" w:firstColumn="1" w:lastColumn="0" w:noHBand="0" w:noVBand="1"/>
      </w:tblPr>
      <w:tblGrid>
        <w:gridCol w:w="5040"/>
        <w:gridCol w:w="1620"/>
        <w:gridCol w:w="2700"/>
      </w:tblGrid>
      <w:tr w:rsidR="00FC6107" w:rsidRPr="008A13EC" w:rsidTr="007E127A">
        <w:trPr>
          <w:trHeight w:val="70"/>
        </w:trPr>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BALANCE SHEET AS ON 31ST MARCH 2023(in lakhs)</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Particulars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31st March 2023</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31st March 2022</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I. EQUITY AND LIABILITIES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 shareholders’ Funds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(a) Capital</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160</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160</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(b) Reserves and surplus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263308.23</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238242.21</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 Non-current liabilities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(a) Other Long-term liabilities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1642.13</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1655.73</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(b) Long-Term provisions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1222.33</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1135.52</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 Current Liabilities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(a) Short-Term Borrowings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9481.83</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46854.97</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(b) Trade payables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 Total Outstanding dues of micro enterprises and small enterprises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(d) Total Outstanding dues of creditors other than micro enterprises and small enterprises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112569.6</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130795.28</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lastRenderedPageBreak/>
              <w:t>(e) Other Current Liabilities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5603.77</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15256.66</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(f) Short-Term Provisions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2697.9</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2572.91</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396685.79</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436673.28</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II. ASSETS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 Non-current assets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(a) Fixed Assets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       Tangible Assets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5703.29</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7106.83</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       Intangible Assets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410.36</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226.83</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(b) Non - Current Investments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101819.92</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82966.09</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 Deferred Tax Asset (Net)</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286.98</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738.28</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(d) Long Term Loans and Advances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4737.82</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4588.45</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(e) Other </w:t>
            </w:r>
            <w:proofErr w:type="spellStart"/>
            <w:r w:rsidRPr="008A13EC">
              <w:rPr>
                <w:rFonts w:ascii="Times New Roman" w:hAnsi="Times New Roman" w:cs="Times New Roman"/>
                <w:sz w:val="24"/>
                <w:szCs w:val="24"/>
              </w:rPr>
              <w:t>Non Current</w:t>
            </w:r>
            <w:proofErr w:type="spellEnd"/>
            <w:r w:rsidRPr="008A13EC">
              <w:rPr>
                <w:rFonts w:ascii="Times New Roman" w:hAnsi="Times New Roman" w:cs="Times New Roman"/>
                <w:sz w:val="24"/>
                <w:szCs w:val="24"/>
              </w:rPr>
              <w:t xml:space="preserve"> Assets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8380.65</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8073.56</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 Current Assets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(a) Current Investments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12215.64</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                   -</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(b) Stock in Trade (Securities)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9470.36</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37621.1</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 Trade Receivables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97489.16</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108400.72</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(d) Cash and Bank Balances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141055.87</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160686.4</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(e) Short-Term Loans and Advances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12055.96</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23284.91</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(f) Other Current Assets</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3059.78</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2980.11</w:t>
            </w:r>
          </w:p>
        </w:tc>
      </w:tr>
      <w:tr w:rsidR="00FC6107" w:rsidRPr="008A13EC" w:rsidTr="00913BEC">
        <w:trPr>
          <w:trHeight w:val="315"/>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TOTAL</w:t>
            </w:r>
          </w:p>
        </w:tc>
        <w:tc>
          <w:tcPr>
            <w:tcW w:w="16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396685.79</w:t>
            </w:r>
          </w:p>
        </w:tc>
        <w:tc>
          <w:tcPr>
            <w:tcW w:w="270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436673.28</w:t>
            </w:r>
          </w:p>
        </w:tc>
      </w:tr>
    </w:tbl>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TABLE NO</w:t>
      </w:r>
      <w:proofErr w:type="gramStart"/>
      <w:r w:rsidRPr="008A13EC">
        <w:rPr>
          <w:rFonts w:ascii="Times New Roman" w:hAnsi="Times New Roman" w:cs="Times New Roman"/>
          <w:sz w:val="24"/>
          <w:szCs w:val="24"/>
        </w:rPr>
        <w:t>:4.14</w:t>
      </w:r>
      <w:proofErr w:type="gramEnd"/>
    </w:p>
    <w:tbl>
      <w:tblPr>
        <w:tblW w:w="9360" w:type="dxa"/>
        <w:tblInd w:w="-432" w:type="dxa"/>
        <w:tblLook w:val="04A0" w:firstRow="1" w:lastRow="0" w:firstColumn="1" w:lastColumn="0" w:noHBand="0" w:noVBand="1"/>
      </w:tblPr>
      <w:tblGrid>
        <w:gridCol w:w="3960"/>
        <w:gridCol w:w="1980"/>
        <w:gridCol w:w="3420"/>
      </w:tblGrid>
      <w:tr w:rsidR="00FC6107" w:rsidRPr="008A13EC" w:rsidTr="007E127A">
        <w:trPr>
          <w:trHeight w:val="375"/>
        </w:trPr>
        <w:tc>
          <w:tcPr>
            <w:tcW w:w="936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lastRenderedPageBreak/>
              <w:t>PROFIT AND LOSS ACCOUNT FOR THE YEAR END 31ST MARCH 2023 (in lakhs)</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Particulars</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For the Year ended 31st March 2023</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For the Year ended 31st March 2022</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I. INCOME</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(a) Revenue from Operations</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75253.59</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74174.2</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(b) Other Income</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22203.79</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21809.56</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Total Income</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97457.38</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95983.76</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II. Expenses:</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(a) Employee Benefit Expenses</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25626.16</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23609.33</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(b) Interest and Other Financial Costs</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2637.22</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3384.41</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(c) Depreciation and </w:t>
            </w:r>
            <w:proofErr w:type="spellStart"/>
            <w:r w:rsidRPr="008A13EC">
              <w:rPr>
                <w:rFonts w:ascii="Times New Roman" w:hAnsi="Times New Roman" w:cs="Times New Roman"/>
                <w:sz w:val="24"/>
                <w:szCs w:val="24"/>
              </w:rPr>
              <w:t>Amortisation</w:t>
            </w:r>
            <w:proofErr w:type="spellEnd"/>
            <w:r w:rsidRPr="008A13EC">
              <w:rPr>
                <w:rFonts w:ascii="Times New Roman" w:hAnsi="Times New Roman" w:cs="Times New Roman"/>
                <w:sz w:val="24"/>
                <w:szCs w:val="24"/>
              </w:rPr>
              <w:t xml:space="preserve"> Expense on Fixed Assets</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1956.9</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1355.6</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(d) Depreciation on Investment Property</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45.3</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                          -</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(e) Other Expenses</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29094.88</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23494.87</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Total expenses</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59360.46</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51844.21</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III. Profit Before Tax</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38096.92</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44139.55</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IV. Tax expense:</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(a) Current Tax</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12823.59</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15056.3</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(b) Deferred Tax</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451.3</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48.45</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(c) Tax for earlier years (net)</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-243.99</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76.85</w:t>
            </w:r>
          </w:p>
        </w:tc>
      </w:tr>
      <w:tr w:rsidR="00FC6107" w:rsidRPr="008A13EC" w:rsidTr="00913BEC">
        <w:trPr>
          <w:trHeight w:val="315"/>
        </w:trPr>
        <w:tc>
          <w:tcPr>
            <w:tcW w:w="3960" w:type="dxa"/>
            <w:tcBorders>
              <w:top w:val="nil"/>
              <w:left w:val="single" w:sz="4" w:space="0" w:color="auto"/>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lastRenderedPageBreak/>
              <w:t>V. PROFIT/(LOSS) FOR THE YEAR</w:t>
            </w:r>
          </w:p>
        </w:tc>
        <w:tc>
          <w:tcPr>
            <w:tcW w:w="198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25066.02</w:t>
            </w:r>
          </w:p>
        </w:tc>
        <w:tc>
          <w:tcPr>
            <w:tcW w:w="3420" w:type="dxa"/>
            <w:tcBorders>
              <w:top w:val="nil"/>
              <w:left w:val="nil"/>
              <w:bottom w:val="single" w:sz="4" w:space="0" w:color="auto"/>
              <w:right w:val="single" w:sz="4" w:space="0" w:color="auto"/>
            </w:tcBorders>
            <w:shd w:val="clear" w:color="auto" w:fill="auto"/>
            <w:noWrap/>
            <w:vAlign w:val="bottom"/>
            <w:hideMark/>
          </w:tcPr>
          <w:p w:rsidR="00FC6107" w:rsidRPr="008A13EC" w:rsidRDefault="00FC6107" w:rsidP="00B37912">
            <w:pPr>
              <w:spacing w:line="360" w:lineRule="auto"/>
              <w:ind w:left="-180"/>
              <w:jc w:val="both"/>
              <w:rPr>
                <w:rFonts w:ascii="Times New Roman" w:hAnsi="Times New Roman" w:cs="Times New Roman"/>
                <w:b/>
                <w:bCs/>
                <w:sz w:val="24"/>
                <w:szCs w:val="24"/>
              </w:rPr>
            </w:pPr>
            <w:r w:rsidRPr="008A13EC">
              <w:rPr>
                <w:rFonts w:ascii="Times New Roman" w:hAnsi="Times New Roman" w:cs="Times New Roman"/>
                <w:b/>
                <w:bCs/>
                <w:sz w:val="24"/>
                <w:szCs w:val="24"/>
              </w:rPr>
              <w:t>28957.95</w:t>
            </w:r>
          </w:p>
        </w:tc>
      </w:tr>
    </w:tbl>
    <w:p w:rsidR="00FC6107" w:rsidRPr="008A13EC" w:rsidRDefault="00FC6107" w:rsidP="008A13EC">
      <w:pPr>
        <w:spacing w:line="360" w:lineRule="auto"/>
        <w:jc w:val="both"/>
        <w:rPr>
          <w:rFonts w:ascii="Times New Roman" w:hAnsi="Times New Roman" w:cs="Times New Roman"/>
          <w:b/>
          <w:sz w:val="24"/>
          <w:szCs w:val="24"/>
        </w:rPr>
      </w:pPr>
    </w:p>
    <w:p w:rsidR="00DD2AF1" w:rsidRPr="008A13EC" w:rsidRDefault="00DD2AF1"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w w:val="95"/>
          <w:sz w:val="24"/>
          <w:szCs w:val="24"/>
        </w:rPr>
        <w:t xml:space="preserve">9. </w:t>
      </w:r>
      <w:r w:rsidRPr="008A13EC">
        <w:rPr>
          <w:rFonts w:ascii="Times New Roman" w:hAnsi="Times New Roman" w:cs="Times New Roman"/>
          <w:b/>
          <w:sz w:val="24"/>
          <w:szCs w:val="24"/>
        </w:rPr>
        <w:t>FINDINGS</w:t>
      </w:r>
    </w:p>
    <w:p w:rsidR="00DD2AF1" w:rsidRPr="008A13EC" w:rsidRDefault="00DD2AF1" w:rsidP="00913BEC">
      <w:pPr>
        <w:pStyle w:val="ListParagraph"/>
        <w:numPr>
          <w:ilvl w:val="0"/>
          <w:numId w:val="23"/>
        </w:numPr>
        <w:tabs>
          <w:tab w:val="left" w:pos="360"/>
          <w:tab w:val="left" w:pos="450"/>
        </w:tabs>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During the period from 2019-2023 KSM poly plastic cash and cash equivalents are fluctuating from one year to year. There is no stability in cash flows.</w:t>
      </w:r>
    </w:p>
    <w:p w:rsidR="00DD2AF1" w:rsidRPr="008A13EC" w:rsidRDefault="00DD2AF1" w:rsidP="00913BEC">
      <w:pPr>
        <w:pStyle w:val="ListParagraph"/>
        <w:numPr>
          <w:ilvl w:val="0"/>
          <w:numId w:val="23"/>
        </w:numPr>
        <w:tabs>
          <w:tab w:val="left" w:pos="360"/>
          <w:tab w:val="left" w:pos="450"/>
        </w:tabs>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During the period from 2019- 2023 the net cash flows of KSM poly plastic are fluctuating but from year 2019-2023 all the cash flows at the end of the year are positive.</w:t>
      </w:r>
    </w:p>
    <w:p w:rsidR="00DD2AF1" w:rsidRPr="008A13EC" w:rsidRDefault="00DD2AF1" w:rsidP="00913BEC">
      <w:pPr>
        <w:pStyle w:val="ListParagraph"/>
        <w:numPr>
          <w:ilvl w:val="0"/>
          <w:numId w:val="23"/>
        </w:numPr>
        <w:tabs>
          <w:tab w:val="left" w:pos="360"/>
          <w:tab w:val="left" w:pos="450"/>
        </w:tabs>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During the period from 2019-2023 there is a lot of difference occurred in cash flows.</w:t>
      </w:r>
    </w:p>
    <w:p w:rsidR="00DD2AF1" w:rsidRPr="008A13EC" w:rsidRDefault="00DD2AF1" w:rsidP="00913BEC">
      <w:pPr>
        <w:pStyle w:val="ListParagraph"/>
        <w:numPr>
          <w:ilvl w:val="0"/>
          <w:numId w:val="23"/>
        </w:numPr>
        <w:tabs>
          <w:tab w:val="left" w:pos="360"/>
          <w:tab w:val="left" w:pos="450"/>
        </w:tabs>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During the period from 2021-2023 the net profit before tax is increasing from year to year, but in the year 2023 net profit before the tax is reduced when compared to 2022.</w:t>
      </w:r>
    </w:p>
    <w:p w:rsidR="00DD2AF1" w:rsidRPr="008A13EC" w:rsidRDefault="00DD2AF1"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10. SUGGESTIONS</w:t>
      </w:r>
    </w:p>
    <w:p w:rsidR="00DD2AF1" w:rsidRPr="008A13EC" w:rsidRDefault="00DD2AF1" w:rsidP="00913BEC">
      <w:pPr>
        <w:pStyle w:val="ListParagraph"/>
        <w:numPr>
          <w:ilvl w:val="0"/>
          <w:numId w:val="24"/>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In order to reduce the outside borrowings the company can acquire the capital from equity sources. Keeping in view the debt equity the proportion as normal.</w:t>
      </w:r>
    </w:p>
    <w:p w:rsidR="00DD2AF1" w:rsidRPr="008A13EC" w:rsidRDefault="00DD2AF1" w:rsidP="00913BEC">
      <w:pPr>
        <w:pStyle w:val="ListParagraph"/>
        <w:numPr>
          <w:ilvl w:val="0"/>
          <w:numId w:val="24"/>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The liquidity of the company should be improved by maintaining the optimum current assets and liquid assets according to standard norms.</w:t>
      </w:r>
    </w:p>
    <w:p w:rsidR="00DD2AF1" w:rsidRPr="008A13EC" w:rsidRDefault="00DD2AF1" w:rsidP="00913BEC">
      <w:pPr>
        <w:pStyle w:val="ListParagraph"/>
        <w:numPr>
          <w:ilvl w:val="0"/>
          <w:numId w:val="24"/>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I</w:t>
      </w:r>
      <w:r w:rsidRPr="008A13EC">
        <w:rPr>
          <w:rFonts w:ascii="Times New Roman" w:hAnsi="Times New Roman" w:cs="Times New Roman"/>
          <w:sz w:val="24"/>
          <w:szCs w:val="24"/>
          <w:lang w:val="en-GB"/>
        </w:rPr>
        <w:t>implementing new policies such as offering discounts to customers who pay early, forming a buying cooperative with other businesses, and using electronic payments for bill paying.</w:t>
      </w:r>
    </w:p>
    <w:p w:rsidR="00DD2AF1" w:rsidRPr="008A13EC" w:rsidRDefault="00DD2AF1" w:rsidP="00913BEC">
      <w:pPr>
        <w:pStyle w:val="ListParagraph"/>
        <w:numPr>
          <w:ilvl w:val="0"/>
          <w:numId w:val="24"/>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 xml:space="preserve">Healthy cash flow is the result of operations that run efficiently and smoothly. </w:t>
      </w:r>
    </w:p>
    <w:p w:rsidR="00DD2AF1" w:rsidRPr="008A13EC" w:rsidRDefault="00DD2AF1" w:rsidP="00913BEC">
      <w:pPr>
        <w:pStyle w:val="ListParagraph"/>
        <w:numPr>
          <w:ilvl w:val="0"/>
          <w:numId w:val="24"/>
        </w:numPr>
        <w:spacing w:after="0" w:line="360" w:lineRule="auto"/>
        <w:jc w:val="both"/>
        <w:rPr>
          <w:rFonts w:ascii="Times New Roman" w:hAnsi="Times New Roman" w:cs="Times New Roman"/>
          <w:sz w:val="24"/>
          <w:szCs w:val="24"/>
        </w:rPr>
      </w:pPr>
      <w:r w:rsidRPr="008A13EC">
        <w:rPr>
          <w:rFonts w:ascii="Times New Roman" w:hAnsi="Times New Roman" w:cs="Times New Roman"/>
          <w:sz w:val="24"/>
          <w:szCs w:val="24"/>
        </w:rPr>
        <w:t>To make sure that, the right decisions are to be taken regarding marketing, customer service, product or service development and new customer acquisition. </w:t>
      </w:r>
    </w:p>
    <w:p w:rsidR="00DD2AF1" w:rsidRPr="008A13EC" w:rsidRDefault="00DD2AF1" w:rsidP="00B37912">
      <w:pPr>
        <w:spacing w:line="360" w:lineRule="auto"/>
        <w:ind w:left="-180"/>
        <w:jc w:val="both"/>
        <w:rPr>
          <w:rFonts w:ascii="Times New Roman" w:hAnsi="Times New Roman" w:cs="Times New Roman"/>
          <w:b/>
          <w:sz w:val="24"/>
          <w:szCs w:val="24"/>
        </w:rPr>
      </w:pPr>
      <w:r w:rsidRPr="008A13EC">
        <w:rPr>
          <w:rFonts w:ascii="Times New Roman" w:hAnsi="Times New Roman" w:cs="Times New Roman"/>
          <w:b/>
          <w:sz w:val="24"/>
          <w:szCs w:val="24"/>
        </w:rPr>
        <w:t>11.</w:t>
      </w:r>
      <w:r w:rsidR="00913BEC">
        <w:rPr>
          <w:rFonts w:ascii="Times New Roman" w:hAnsi="Times New Roman" w:cs="Times New Roman"/>
          <w:b/>
          <w:sz w:val="24"/>
          <w:szCs w:val="24"/>
        </w:rPr>
        <w:t xml:space="preserve"> </w:t>
      </w:r>
      <w:r w:rsidRPr="008A13EC">
        <w:rPr>
          <w:rFonts w:ascii="Times New Roman" w:hAnsi="Times New Roman" w:cs="Times New Roman"/>
          <w:b/>
          <w:sz w:val="24"/>
          <w:szCs w:val="24"/>
        </w:rPr>
        <w:t>CONCLUSION</w:t>
      </w:r>
    </w:p>
    <w:p w:rsidR="00DD2AF1" w:rsidRPr="008A13EC" w:rsidRDefault="00DD2AF1" w:rsidP="00B37912">
      <w:pPr>
        <w:spacing w:line="360" w:lineRule="auto"/>
        <w:ind w:left="-180"/>
        <w:jc w:val="both"/>
        <w:rPr>
          <w:rFonts w:ascii="Times New Roman" w:hAnsi="Times New Roman" w:cs="Times New Roman"/>
          <w:sz w:val="24"/>
          <w:szCs w:val="24"/>
        </w:rPr>
      </w:pPr>
      <w:r w:rsidRPr="008A13EC">
        <w:rPr>
          <w:rFonts w:ascii="Times New Roman" w:hAnsi="Times New Roman" w:cs="Times New Roman"/>
          <w:sz w:val="24"/>
          <w:szCs w:val="24"/>
        </w:rPr>
        <w:t xml:space="preserve">KSM Poly Plastic </w:t>
      </w:r>
      <w:proofErr w:type="spellStart"/>
      <w:r w:rsidRPr="008A13EC">
        <w:rPr>
          <w:rFonts w:ascii="Times New Roman" w:hAnsi="Times New Roman" w:cs="Times New Roman"/>
          <w:sz w:val="24"/>
          <w:szCs w:val="24"/>
        </w:rPr>
        <w:t>Pvt</w:t>
      </w:r>
      <w:proofErr w:type="spellEnd"/>
      <w:r w:rsidRPr="008A13EC">
        <w:rPr>
          <w:rFonts w:ascii="Times New Roman" w:hAnsi="Times New Roman" w:cs="Times New Roman"/>
          <w:sz w:val="24"/>
          <w:szCs w:val="24"/>
        </w:rPr>
        <w:t xml:space="preserve"> Ltd demonstrates that effective cash flow management not only ensures short-term financial stability but also cultivates a foundation for long-term sustainability and growth. By implementing proactive cash flow strategies, businesses can enhance their resilience, optimize financial performance, and position themselves for enduring success in competitive markets.</w:t>
      </w:r>
    </w:p>
    <w:p w:rsidR="00B37912" w:rsidRPr="008A13EC" w:rsidRDefault="00B37912" w:rsidP="00B37912">
      <w:pPr>
        <w:ind w:left="-180"/>
        <w:rPr>
          <w:rFonts w:ascii="Times New Roman" w:hAnsi="Times New Roman" w:cs="Times New Roman"/>
          <w:sz w:val="24"/>
          <w:szCs w:val="24"/>
        </w:rPr>
      </w:pPr>
    </w:p>
    <w:p w:rsidR="00B37912" w:rsidRDefault="00913BEC" w:rsidP="00B37912">
      <w:pPr>
        <w:spacing w:line="360" w:lineRule="auto"/>
        <w:ind w:left="-180"/>
        <w:jc w:val="both"/>
        <w:rPr>
          <w:rFonts w:ascii="Times New Roman" w:hAnsi="Times New Roman" w:cs="Times New Roman"/>
          <w:b/>
          <w:i/>
          <w:sz w:val="24"/>
          <w:szCs w:val="24"/>
        </w:rPr>
      </w:pPr>
      <w:r w:rsidRPr="00913BEC">
        <w:rPr>
          <w:rFonts w:ascii="Times New Roman" w:hAnsi="Times New Roman" w:cs="Times New Roman"/>
          <w:b/>
          <w:i/>
          <w:sz w:val="24"/>
          <w:szCs w:val="24"/>
        </w:rPr>
        <w:lastRenderedPageBreak/>
        <w:t>References</w:t>
      </w:r>
    </w:p>
    <w:p w:rsidR="00913BEC" w:rsidRDefault="00913BEC" w:rsidP="00B37912">
      <w:pPr>
        <w:spacing w:line="360" w:lineRule="auto"/>
        <w:ind w:left="-180"/>
        <w:jc w:val="both"/>
        <w:rPr>
          <w:rFonts w:ascii="Times New Roman" w:hAnsi="Times New Roman" w:cs="Times New Roman"/>
          <w:b/>
          <w:sz w:val="24"/>
          <w:szCs w:val="24"/>
        </w:rPr>
      </w:pPr>
      <w:r>
        <w:rPr>
          <w:rFonts w:ascii="Times New Roman" w:hAnsi="Times New Roman" w:cs="Times New Roman"/>
          <w:b/>
          <w:sz w:val="24"/>
          <w:szCs w:val="24"/>
        </w:rPr>
        <w:t>RESEARCH ARTICLES</w:t>
      </w:r>
    </w:p>
    <w:p w:rsidR="00162F90" w:rsidRPr="00B27E06" w:rsidRDefault="00E026C3" w:rsidP="00B27E06">
      <w:pPr>
        <w:pStyle w:val="ListParagraph"/>
        <w:numPr>
          <w:ilvl w:val="0"/>
          <w:numId w:val="25"/>
        </w:numPr>
        <w:spacing w:line="360" w:lineRule="auto"/>
        <w:jc w:val="both"/>
        <w:rPr>
          <w:rFonts w:ascii="Times New Roman" w:hAnsi="Times New Roman" w:cs="Times New Roman"/>
          <w:sz w:val="24"/>
          <w:szCs w:val="24"/>
        </w:rPr>
      </w:pPr>
      <w:proofErr w:type="spellStart"/>
      <w:r w:rsidRPr="00B27E06">
        <w:rPr>
          <w:rFonts w:ascii="Times New Roman" w:hAnsi="Times New Roman" w:cs="Times New Roman"/>
          <w:sz w:val="24"/>
          <w:szCs w:val="24"/>
        </w:rPr>
        <w:t>Leonke</w:t>
      </w:r>
      <w:proofErr w:type="spellEnd"/>
      <w:r w:rsidRPr="00B27E06">
        <w:rPr>
          <w:rFonts w:ascii="Times New Roman" w:hAnsi="Times New Roman" w:cs="Times New Roman"/>
          <w:sz w:val="24"/>
          <w:szCs w:val="24"/>
        </w:rPr>
        <w:t xml:space="preserve"> (1970)</w:t>
      </w:r>
      <w:r w:rsidR="00EA798E" w:rsidRPr="00B27E06">
        <w:rPr>
          <w:rFonts w:ascii="Times New Roman" w:hAnsi="Times New Roman" w:cs="Times New Roman"/>
          <w:sz w:val="24"/>
          <w:szCs w:val="24"/>
        </w:rPr>
        <w:t>)</w:t>
      </w:r>
      <w:r w:rsidR="00162F90" w:rsidRPr="00B27E06">
        <w:rPr>
          <w:rFonts w:ascii="Times New Roman" w:hAnsi="Times New Roman" w:cs="Times New Roman"/>
          <w:sz w:val="24"/>
          <w:szCs w:val="24"/>
        </w:rPr>
        <w:t xml:space="preserve"> Evaluating the ability of operating cash flow predictive indexes. Interdisciplinary Journal of Con</w:t>
      </w:r>
      <w:r w:rsidR="00EA70A3">
        <w:rPr>
          <w:rFonts w:ascii="Times New Roman" w:hAnsi="Times New Roman" w:cs="Times New Roman"/>
          <w:sz w:val="24"/>
          <w:szCs w:val="24"/>
        </w:rPr>
        <w:t>temporary Research in Business,</w:t>
      </w:r>
      <w:r w:rsidR="00EA798E" w:rsidRPr="00B27E06">
        <w:rPr>
          <w:rFonts w:ascii="Times New Roman" w:hAnsi="Times New Roman" w:cs="Times New Roman"/>
          <w:sz w:val="24"/>
          <w:szCs w:val="24"/>
        </w:rPr>
        <w:t xml:space="preserve"> </w:t>
      </w:r>
      <w:r w:rsidR="00162F90" w:rsidRPr="00B27E06">
        <w:rPr>
          <w:rFonts w:ascii="Times New Roman" w:hAnsi="Times New Roman" w:cs="Times New Roman"/>
          <w:sz w:val="24"/>
          <w:szCs w:val="24"/>
        </w:rPr>
        <w:t xml:space="preserve">4(7). </w:t>
      </w:r>
    </w:p>
    <w:p w:rsidR="00162F90" w:rsidRPr="00B27E06" w:rsidRDefault="00373DCD" w:rsidP="00B27E06">
      <w:pPr>
        <w:pStyle w:val="ListParagraph"/>
        <w:numPr>
          <w:ilvl w:val="0"/>
          <w:numId w:val="25"/>
        </w:numPr>
        <w:spacing w:line="360" w:lineRule="auto"/>
        <w:jc w:val="both"/>
        <w:rPr>
          <w:rFonts w:ascii="Times New Roman" w:hAnsi="Times New Roman" w:cs="Times New Roman"/>
          <w:sz w:val="24"/>
          <w:szCs w:val="24"/>
        </w:rPr>
      </w:pPr>
      <w:r w:rsidRPr="00B27E06">
        <w:rPr>
          <w:rFonts w:ascii="Times New Roman" w:hAnsi="Times New Roman" w:cs="Times New Roman"/>
          <w:sz w:val="24"/>
          <w:szCs w:val="24"/>
        </w:rPr>
        <w:t xml:space="preserve">Robert </w:t>
      </w:r>
      <w:proofErr w:type="spellStart"/>
      <w:r w:rsidRPr="00B27E06">
        <w:rPr>
          <w:rFonts w:ascii="Times New Roman" w:hAnsi="Times New Roman" w:cs="Times New Roman"/>
          <w:sz w:val="24"/>
          <w:szCs w:val="24"/>
        </w:rPr>
        <w:t>Edmister's</w:t>
      </w:r>
      <w:proofErr w:type="spellEnd"/>
      <w:r w:rsidRPr="00B27E06">
        <w:rPr>
          <w:rFonts w:ascii="Times New Roman" w:hAnsi="Times New Roman" w:cs="Times New Roman"/>
          <w:sz w:val="24"/>
          <w:szCs w:val="24"/>
        </w:rPr>
        <w:t xml:space="preserve"> (1972)  </w:t>
      </w:r>
      <w:r w:rsidR="00162F90" w:rsidRPr="00B27E06">
        <w:rPr>
          <w:rFonts w:ascii="Times New Roman" w:hAnsi="Times New Roman" w:cs="Times New Roman"/>
          <w:sz w:val="24"/>
          <w:szCs w:val="24"/>
        </w:rPr>
        <w:t xml:space="preserve"> Evaluating </w:t>
      </w:r>
      <w:proofErr w:type="gramStart"/>
      <w:r w:rsidR="00162F90" w:rsidRPr="00B27E06">
        <w:rPr>
          <w:rFonts w:ascii="Times New Roman" w:hAnsi="Times New Roman" w:cs="Times New Roman"/>
          <w:sz w:val="24"/>
          <w:szCs w:val="24"/>
        </w:rPr>
        <w:t>the  effects</w:t>
      </w:r>
      <w:proofErr w:type="gramEnd"/>
      <w:r w:rsidR="00162F90" w:rsidRPr="00B27E06">
        <w:rPr>
          <w:rFonts w:ascii="Times New Roman" w:hAnsi="Times New Roman" w:cs="Times New Roman"/>
          <w:sz w:val="24"/>
          <w:szCs w:val="24"/>
        </w:rPr>
        <w:t xml:space="preserve"> of  firm size on predictive  value of future cash flows. Journal of Basic and Applied Scientific Research, 3(5), 343-346.</w:t>
      </w:r>
    </w:p>
    <w:p w:rsidR="00162F90" w:rsidRPr="00B27E06" w:rsidRDefault="003C47A4" w:rsidP="00B27E06">
      <w:pPr>
        <w:pStyle w:val="ListParagraph"/>
        <w:numPr>
          <w:ilvl w:val="0"/>
          <w:numId w:val="25"/>
        </w:numPr>
        <w:spacing w:line="360" w:lineRule="auto"/>
        <w:jc w:val="both"/>
        <w:rPr>
          <w:rFonts w:ascii="Times New Roman" w:hAnsi="Times New Roman" w:cs="Times New Roman"/>
          <w:sz w:val="24"/>
          <w:szCs w:val="24"/>
        </w:rPr>
      </w:pPr>
      <w:proofErr w:type="spellStart"/>
      <w:r w:rsidRPr="00B27E06">
        <w:rPr>
          <w:rFonts w:ascii="Times New Roman" w:hAnsi="Times New Roman" w:cs="Times New Roman"/>
          <w:sz w:val="24"/>
          <w:szCs w:val="24"/>
        </w:rPr>
        <w:t>Braj</w:t>
      </w:r>
      <w:proofErr w:type="spellEnd"/>
      <w:r w:rsidRPr="00B27E06">
        <w:rPr>
          <w:rFonts w:ascii="Times New Roman" w:hAnsi="Times New Roman" w:cs="Times New Roman"/>
          <w:sz w:val="24"/>
          <w:szCs w:val="24"/>
        </w:rPr>
        <w:t xml:space="preserve"> </w:t>
      </w:r>
      <w:proofErr w:type="spellStart"/>
      <w:r w:rsidRPr="00B27E06">
        <w:rPr>
          <w:rFonts w:ascii="Times New Roman" w:hAnsi="Times New Roman" w:cs="Times New Roman"/>
          <w:sz w:val="24"/>
          <w:szCs w:val="24"/>
        </w:rPr>
        <w:t>kishor</w:t>
      </w:r>
      <w:proofErr w:type="spellEnd"/>
      <w:r w:rsidRPr="00B27E06">
        <w:rPr>
          <w:rFonts w:ascii="Times New Roman" w:hAnsi="Times New Roman" w:cs="Times New Roman"/>
          <w:sz w:val="24"/>
          <w:szCs w:val="24"/>
        </w:rPr>
        <w:t xml:space="preserve"> (1978)</w:t>
      </w:r>
      <w:r w:rsidR="00162F90" w:rsidRPr="00B27E06">
        <w:rPr>
          <w:rFonts w:ascii="Times New Roman" w:hAnsi="Times New Roman" w:cs="Times New Roman"/>
          <w:sz w:val="24"/>
          <w:szCs w:val="24"/>
        </w:rPr>
        <w:t xml:space="preserve"> The role  of  accrual  accounting basis  in  the  prediction of  future  cash  flows: The  Nigerian evidence. Research Journal of Finance and Accounting, 6(4).</w:t>
      </w:r>
    </w:p>
    <w:p w:rsidR="008028AE" w:rsidRPr="00B27E06" w:rsidRDefault="009F2D68" w:rsidP="00B27E06">
      <w:pPr>
        <w:pStyle w:val="ListParagraph"/>
        <w:numPr>
          <w:ilvl w:val="0"/>
          <w:numId w:val="25"/>
        </w:numPr>
        <w:spacing w:line="360" w:lineRule="auto"/>
        <w:jc w:val="both"/>
        <w:rPr>
          <w:rFonts w:ascii="Times New Roman" w:hAnsi="Times New Roman" w:cs="Times New Roman"/>
          <w:sz w:val="24"/>
          <w:szCs w:val="24"/>
        </w:rPr>
      </w:pPr>
      <w:proofErr w:type="spellStart"/>
      <w:r w:rsidRPr="00B27E06">
        <w:rPr>
          <w:rFonts w:ascii="Times New Roman" w:hAnsi="Times New Roman" w:cs="Times New Roman"/>
          <w:sz w:val="24"/>
          <w:szCs w:val="24"/>
        </w:rPr>
        <w:t>Bartwal</w:t>
      </w:r>
      <w:proofErr w:type="spellEnd"/>
      <w:r w:rsidRPr="00B27E06">
        <w:rPr>
          <w:rFonts w:ascii="Times New Roman" w:hAnsi="Times New Roman" w:cs="Times New Roman"/>
          <w:sz w:val="24"/>
          <w:szCs w:val="24"/>
        </w:rPr>
        <w:t xml:space="preserve"> and Nair (1979) </w:t>
      </w:r>
      <w:proofErr w:type="gramStart"/>
      <w:r w:rsidR="00CB14B1" w:rsidRPr="00B27E06">
        <w:rPr>
          <w:rFonts w:ascii="Times New Roman" w:hAnsi="Times New Roman" w:cs="Times New Roman"/>
          <w:sz w:val="24"/>
          <w:szCs w:val="24"/>
        </w:rPr>
        <w:t>Voluntary  Disclosure</w:t>
      </w:r>
      <w:proofErr w:type="gramEnd"/>
      <w:r w:rsidR="00CB14B1" w:rsidRPr="00B27E06">
        <w:rPr>
          <w:rFonts w:ascii="Times New Roman" w:hAnsi="Times New Roman" w:cs="Times New Roman"/>
          <w:sz w:val="24"/>
          <w:szCs w:val="24"/>
        </w:rPr>
        <w:t xml:space="preserve">  of  Financial  Ratios  in  India.  </w:t>
      </w:r>
      <w:proofErr w:type="gramStart"/>
      <w:r w:rsidR="00CB14B1" w:rsidRPr="00B27E06">
        <w:rPr>
          <w:rFonts w:ascii="Times New Roman" w:hAnsi="Times New Roman" w:cs="Times New Roman"/>
          <w:sz w:val="24"/>
          <w:szCs w:val="24"/>
        </w:rPr>
        <w:t>South  Asian</w:t>
      </w:r>
      <w:proofErr w:type="gramEnd"/>
      <w:r w:rsidR="00CB14B1" w:rsidRPr="00B27E06">
        <w:rPr>
          <w:rFonts w:ascii="Times New Roman" w:hAnsi="Times New Roman" w:cs="Times New Roman"/>
          <w:sz w:val="24"/>
          <w:szCs w:val="24"/>
        </w:rPr>
        <w:t xml:space="preserve">  Journal  of Management, 22(1), 29-51.</w:t>
      </w:r>
    </w:p>
    <w:p w:rsidR="00CB14B1" w:rsidRPr="00B27E06" w:rsidRDefault="00DF27E6" w:rsidP="00B27E06">
      <w:pPr>
        <w:pStyle w:val="ListParagraph"/>
        <w:numPr>
          <w:ilvl w:val="0"/>
          <w:numId w:val="25"/>
        </w:numPr>
        <w:spacing w:line="360" w:lineRule="auto"/>
        <w:jc w:val="both"/>
        <w:rPr>
          <w:rFonts w:ascii="Times New Roman" w:hAnsi="Times New Roman" w:cs="Times New Roman"/>
          <w:sz w:val="24"/>
          <w:szCs w:val="24"/>
        </w:rPr>
      </w:pPr>
      <w:proofErr w:type="spellStart"/>
      <w:r w:rsidRPr="00B27E06">
        <w:rPr>
          <w:rFonts w:ascii="Times New Roman" w:hAnsi="Times New Roman" w:cs="Times New Roman"/>
          <w:sz w:val="24"/>
          <w:szCs w:val="24"/>
        </w:rPr>
        <w:t>Venkatchalam</w:t>
      </w:r>
      <w:proofErr w:type="spellEnd"/>
      <w:r w:rsidRPr="00B27E06">
        <w:rPr>
          <w:rFonts w:ascii="Times New Roman" w:hAnsi="Times New Roman" w:cs="Times New Roman"/>
          <w:sz w:val="24"/>
          <w:szCs w:val="24"/>
        </w:rPr>
        <w:t xml:space="preserve"> and </w:t>
      </w:r>
      <w:proofErr w:type="spellStart"/>
      <w:r w:rsidRPr="00B27E06">
        <w:rPr>
          <w:rFonts w:ascii="Times New Roman" w:hAnsi="Times New Roman" w:cs="Times New Roman"/>
          <w:sz w:val="24"/>
          <w:szCs w:val="24"/>
        </w:rPr>
        <w:t>Dakshinamoorthy</w:t>
      </w:r>
      <w:proofErr w:type="spellEnd"/>
      <w:r w:rsidRPr="00B27E06">
        <w:rPr>
          <w:rFonts w:ascii="Times New Roman" w:hAnsi="Times New Roman" w:cs="Times New Roman"/>
          <w:sz w:val="24"/>
          <w:szCs w:val="24"/>
        </w:rPr>
        <w:t xml:space="preserve"> (1983) </w:t>
      </w:r>
      <w:proofErr w:type="gramStart"/>
      <w:r w:rsidR="00CB14B1" w:rsidRPr="00B27E06">
        <w:rPr>
          <w:rFonts w:ascii="Times New Roman" w:hAnsi="Times New Roman" w:cs="Times New Roman"/>
          <w:sz w:val="24"/>
          <w:szCs w:val="24"/>
        </w:rPr>
        <w:t>The  relation</w:t>
      </w:r>
      <w:proofErr w:type="gramEnd"/>
      <w:r w:rsidR="00CB14B1" w:rsidRPr="00B27E06">
        <w:rPr>
          <w:rFonts w:ascii="Times New Roman" w:hAnsi="Times New Roman" w:cs="Times New Roman"/>
          <w:sz w:val="24"/>
          <w:szCs w:val="24"/>
        </w:rPr>
        <w:t xml:space="preserve">  between earnings  and  cash  flows.  </w:t>
      </w:r>
      <w:proofErr w:type="gramStart"/>
      <w:r w:rsidR="00CB14B1" w:rsidRPr="00B27E06">
        <w:rPr>
          <w:rFonts w:ascii="Times New Roman" w:hAnsi="Times New Roman" w:cs="Times New Roman"/>
          <w:sz w:val="24"/>
          <w:szCs w:val="24"/>
        </w:rPr>
        <w:t>Journal  of</w:t>
      </w:r>
      <w:proofErr w:type="gramEnd"/>
      <w:r w:rsidR="00CB14B1" w:rsidRPr="00B27E06">
        <w:rPr>
          <w:rFonts w:ascii="Times New Roman" w:hAnsi="Times New Roman" w:cs="Times New Roman"/>
          <w:sz w:val="24"/>
          <w:szCs w:val="24"/>
        </w:rPr>
        <w:t xml:space="preserve"> Accounting and Economics, 25(2), 13-68.</w:t>
      </w:r>
    </w:p>
    <w:p w:rsidR="00CB14B1" w:rsidRPr="00B27E06" w:rsidRDefault="00DF27E6" w:rsidP="00B27E06">
      <w:pPr>
        <w:pStyle w:val="ListParagraph"/>
        <w:numPr>
          <w:ilvl w:val="0"/>
          <w:numId w:val="25"/>
        </w:numPr>
        <w:spacing w:line="360" w:lineRule="auto"/>
        <w:jc w:val="both"/>
        <w:rPr>
          <w:rFonts w:ascii="Times New Roman" w:hAnsi="Times New Roman" w:cs="Times New Roman"/>
          <w:sz w:val="24"/>
          <w:szCs w:val="24"/>
        </w:rPr>
      </w:pPr>
      <w:r w:rsidRPr="00B27E06">
        <w:rPr>
          <w:rFonts w:ascii="Times New Roman" w:hAnsi="Times New Roman" w:cs="Times New Roman"/>
          <w:sz w:val="24"/>
          <w:szCs w:val="24"/>
        </w:rPr>
        <w:t xml:space="preserve">Syed </w:t>
      </w:r>
      <w:proofErr w:type="spellStart"/>
      <w:r w:rsidRPr="00B27E06">
        <w:rPr>
          <w:rFonts w:ascii="Times New Roman" w:hAnsi="Times New Roman" w:cs="Times New Roman"/>
          <w:sz w:val="24"/>
          <w:szCs w:val="24"/>
        </w:rPr>
        <w:t>Zabid</w:t>
      </w:r>
      <w:proofErr w:type="spellEnd"/>
      <w:r w:rsidRPr="00B27E06">
        <w:rPr>
          <w:rFonts w:ascii="Times New Roman" w:hAnsi="Times New Roman" w:cs="Times New Roman"/>
          <w:sz w:val="24"/>
          <w:szCs w:val="24"/>
        </w:rPr>
        <w:t xml:space="preserve"> </w:t>
      </w:r>
      <w:proofErr w:type="spellStart"/>
      <w:r w:rsidRPr="00B27E06">
        <w:rPr>
          <w:rFonts w:ascii="Times New Roman" w:hAnsi="Times New Roman" w:cs="Times New Roman"/>
          <w:sz w:val="24"/>
          <w:szCs w:val="24"/>
        </w:rPr>
        <w:t>Hossion</w:t>
      </w:r>
      <w:proofErr w:type="spellEnd"/>
      <w:r w:rsidRPr="00B27E06">
        <w:rPr>
          <w:rFonts w:ascii="Times New Roman" w:hAnsi="Times New Roman" w:cs="Times New Roman"/>
          <w:sz w:val="24"/>
          <w:szCs w:val="24"/>
        </w:rPr>
        <w:t xml:space="preserve"> (1997</w:t>
      </w:r>
      <w:proofErr w:type="gramStart"/>
      <w:r w:rsidRPr="00B27E06">
        <w:rPr>
          <w:rFonts w:ascii="Times New Roman" w:hAnsi="Times New Roman" w:cs="Times New Roman"/>
          <w:sz w:val="24"/>
          <w:szCs w:val="24"/>
        </w:rPr>
        <w:t>)</w:t>
      </w:r>
      <w:r w:rsidR="00CB14B1" w:rsidRPr="00B27E06">
        <w:rPr>
          <w:rFonts w:ascii="Times New Roman" w:hAnsi="Times New Roman" w:cs="Times New Roman"/>
          <w:sz w:val="24"/>
          <w:szCs w:val="24"/>
        </w:rPr>
        <w:t>Prediction</w:t>
      </w:r>
      <w:proofErr w:type="gramEnd"/>
      <w:r w:rsidR="00CB14B1" w:rsidRPr="00B27E06">
        <w:rPr>
          <w:rFonts w:ascii="Times New Roman" w:hAnsi="Times New Roman" w:cs="Times New Roman"/>
          <w:sz w:val="24"/>
          <w:szCs w:val="24"/>
        </w:rPr>
        <w:t xml:space="preserve">  of  operating  cash  flows:  Further  evidence  from  Australia.  </w:t>
      </w:r>
      <w:proofErr w:type="gramStart"/>
      <w:r w:rsidR="00CB14B1" w:rsidRPr="00B27E06">
        <w:rPr>
          <w:rFonts w:ascii="Times New Roman" w:hAnsi="Times New Roman" w:cs="Times New Roman"/>
          <w:sz w:val="24"/>
          <w:szCs w:val="24"/>
        </w:rPr>
        <w:t>Australian  Accounting</w:t>
      </w:r>
      <w:proofErr w:type="gramEnd"/>
      <w:r w:rsidR="00CB14B1" w:rsidRPr="00B27E06">
        <w:rPr>
          <w:rFonts w:ascii="Times New Roman" w:hAnsi="Times New Roman" w:cs="Times New Roman"/>
          <w:sz w:val="24"/>
          <w:szCs w:val="24"/>
        </w:rPr>
        <w:t xml:space="preserve"> Review, 2 (2), 134-143.</w:t>
      </w:r>
    </w:p>
    <w:p w:rsidR="00CB14B1" w:rsidRPr="00B27E06" w:rsidRDefault="00A0429E" w:rsidP="00B27E06">
      <w:pPr>
        <w:pStyle w:val="ListParagraph"/>
        <w:numPr>
          <w:ilvl w:val="0"/>
          <w:numId w:val="25"/>
        </w:numPr>
        <w:spacing w:line="360" w:lineRule="auto"/>
        <w:jc w:val="both"/>
        <w:rPr>
          <w:rFonts w:ascii="Times New Roman" w:hAnsi="Times New Roman" w:cs="Times New Roman"/>
          <w:sz w:val="24"/>
          <w:szCs w:val="24"/>
        </w:rPr>
      </w:pPr>
      <w:r w:rsidRPr="00B27E06">
        <w:rPr>
          <w:rFonts w:ascii="Times New Roman" w:hAnsi="Times New Roman" w:cs="Times New Roman"/>
          <w:sz w:val="24"/>
          <w:szCs w:val="24"/>
        </w:rPr>
        <w:t xml:space="preserve">Hyun-Han Shin and Luc </w:t>
      </w:r>
      <w:proofErr w:type="spellStart"/>
      <w:r w:rsidRPr="00B27E06">
        <w:rPr>
          <w:rFonts w:ascii="Times New Roman" w:hAnsi="Times New Roman" w:cs="Times New Roman"/>
          <w:sz w:val="24"/>
          <w:szCs w:val="24"/>
        </w:rPr>
        <w:t>Soenen</w:t>
      </w:r>
      <w:proofErr w:type="spellEnd"/>
      <w:r w:rsidRPr="00B27E06">
        <w:rPr>
          <w:rFonts w:ascii="Times New Roman" w:hAnsi="Times New Roman" w:cs="Times New Roman"/>
          <w:sz w:val="24"/>
          <w:szCs w:val="24"/>
        </w:rPr>
        <w:t xml:space="preserve"> (1998)</w:t>
      </w:r>
      <w:r w:rsidR="002E58C2" w:rsidRPr="00B27E06">
        <w:rPr>
          <w:rFonts w:ascii="Times New Roman" w:hAnsi="Times New Roman" w:cs="Times New Roman"/>
          <w:sz w:val="24"/>
          <w:szCs w:val="24"/>
        </w:rPr>
        <w:t xml:space="preserve"> </w:t>
      </w:r>
      <w:r w:rsidR="00E026C3" w:rsidRPr="00B27E06">
        <w:rPr>
          <w:rFonts w:ascii="Times New Roman" w:hAnsi="Times New Roman" w:cs="Times New Roman"/>
          <w:sz w:val="24"/>
          <w:szCs w:val="24"/>
        </w:rPr>
        <w:t xml:space="preserve">The </w:t>
      </w:r>
      <w:proofErr w:type="gramStart"/>
      <w:r w:rsidR="00E026C3" w:rsidRPr="00B27E06">
        <w:rPr>
          <w:rFonts w:ascii="Times New Roman" w:hAnsi="Times New Roman" w:cs="Times New Roman"/>
          <w:sz w:val="24"/>
          <w:szCs w:val="24"/>
        </w:rPr>
        <w:t>usefulness  of</w:t>
      </w:r>
      <w:proofErr w:type="gramEnd"/>
      <w:r w:rsidR="00E026C3" w:rsidRPr="00B27E06">
        <w:rPr>
          <w:rFonts w:ascii="Times New Roman" w:hAnsi="Times New Roman" w:cs="Times New Roman"/>
          <w:sz w:val="24"/>
          <w:szCs w:val="24"/>
        </w:rPr>
        <w:t xml:space="preserve"> accounting  estimates  for  predicting  cash flows  and earnings. Review of Accounting Studies, 15, 779-807.</w:t>
      </w:r>
    </w:p>
    <w:p w:rsidR="00CB14B1" w:rsidRPr="00B27E06" w:rsidRDefault="002E58C2" w:rsidP="00B27E06">
      <w:pPr>
        <w:pStyle w:val="ListParagraph"/>
        <w:numPr>
          <w:ilvl w:val="0"/>
          <w:numId w:val="25"/>
        </w:numPr>
        <w:spacing w:line="360" w:lineRule="auto"/>
        <w:jc w:val="both"/>
        <w:rPr>
          <w:rFonts w:ascii="Times New Roman" w:hAnsi="Times New Roman" w:cs="Times New Roman"/>
          <w:sz w:val="24"/>
          <w:szCs w:val="24"/>
        </w:rPr>
      </w:pPr>
      <w:proofErr w:type="spellStart"/>
      <w:r w:rsidRPr="00B27E06">
        <w:rPr>
          <w:rFonts w:ascii="Times New Roman" w:hAnsi="Times New Roman" w:cs="Times New Roman"/>
          <w:sz w:val="24"/>
          <w:szCs w:val="24"/>
        </w:rPr>
        <w:t>Amit</w:t>
      </w:r>
      <w:proofErr w:type="spellEnd"/>
      <w:r w:rsidRPr="00B27E06">
        <w:rPr>
          <w:rFonts w:ascii="Times New Roman" w:hAnsi="Times New Roman" w:cs="Times New Roman"/>
          <w:sz w:val="24"/>
          <w:szCs w:val="24"/>
        </w:rPr>
        <w:t xml:space="preserve"> </w:t>
      </w:r>
      <w:proofErr w:type="spellStart"/>
      <w:r w:rsidRPr="00B27E06">
        <w:rPr>
          <w:rFonts w:ascii="Times New Roman" w:hAnsi="Times New Roman" w:cs="Times New Roman"/>
          <w:sz w:val="24"/>
          <w:szCs w:val="24"/>
        </w:rPr>
        <w:t>Mallick</w:t>
      </w:r>
      <w:proofErr w:type="spellEnd"/>
      <w:r w:rsidRPr="00B27E06">
        <w:rPr>
          <w:rFonts w:ascii="Times New Roman" w:hAnsi="Times New Roman" w:cs="Times New Roman"/>
          <w:sz w:val="24"/>
          <w:szCs w:val="24"/>
        </w:rPr>
        <w:t xml:space="preserve"> and </w:t>
      </w:r>
      <w:proofErr w:type="spellStart"/>
      <w:r w:rsidRPr="00B27E06">
        <w:rPr>
          <w:rFonts w:ascii="Times New Roman" w:hAnsi="Times New Roman" w:cs="Times New Roman"/>
          <w:sz w:val="24"/>
          <w:szCs w:val="24"/>
        </w:rPr>
        <w:t>Debasish</w:t>
      </w:r>
      <w:proofErr w:type="spellEnd"/>
      <w:r w:rsidRPr="00B27E06">
        <w:rPr>
          <w:rFonts w:ascii="Times New Roman" w:hAnsi="Times New Roman" w:cs="Times New Roman"/>
          <w:sz w:val="24"/>
          <w:szCs w:val="24"/>
        </w:rPr>
        <w:t xml:space="preserve"> Sur (1998)</w:t>
      </w:r>
      <w:r w:rsidRPr="00B27E06">
        <w:rPr>
          <w:rFonts w:ascii="Times New Roman" w:hAnsi="Times New Roman" w:cs="Times New Roman"/>
          <w:sz w:val="24"/>
          <w:szCs w:val="24"/>
        </w:rPr>
        <w:t xml:space="preserve"> </w:t>
      </w:r>
      <w:proofErr w:type="gramStart"/>
      <w:r w:rsidR="00E026C3" w:rsidRPr="00B27E06">
        <w:rPr>
          <w:rFonts w:ascii="Times New Roman" w:hAnsi="Times New Roman" w:cs="Times New Roman"/>
          <w:sz w:val="24"/>
          <w:szCs w:val="24"/>
        </w:rPr>
        <w:t>Predicting  business</w:t>
      </w:r>
      <w:proofErr w:type="gramEnd"/>
      <w:r w:rsidR="00E026C3" w:rsidRPr="00B27E06">
        <w:rPr>
          <w:rFonts w:ascii="Times New Roman" w:hAnsi="Times New Roman" w:cs="Times New Roman"/>
          <w:sz w:val="24"/>
          <w:szCs w:val="24"/>
        </w:rPr>
        <w:t xml:space="preserve">  failure  using  cash  flow  statement  based me</w:t>
      </w:r>
      <w:r w:rsidR="00C6047A">
        <w:rPr>
          <w:rFonts w:ascii="Times New Roman" w:hAnsi="Times New Roman" w:cs="Times New Roman"/>
          <w:sz w:val="24"/>
          <w:szCs w:val="24"/>
        </w:rPr>
        <w:t>asures.</w:t>
      </w:r>
      <w:r w:rsidR="006247DE">
        <w:rPr>
          <w:rFonts w:ascii="Times New Roman" w:hAnsi="Times New Roman" w:cs="Times New Roman"/>
          <w:sz w:val="24"/>
          <w:szCs w:val="24"/>
        </w:rPr>
        <w:t xml:space="preserve"> </w:t>
      </w:r>
      <w:r w:rsidR="00C6047A">
        <w:rPr>
          <w:rFonts w:ascii="Times New Roman" w:hAnsi="Times New Roman" w:cs="Times New Roman"/>
          <w:sz w:val="24"/>
          <w:szCs w:val="24"/>
        </w:rPr>
        <w:t>Managerial</w:t>
      </w:r>
      <w:r w:rsidR="006247DE">
        <w:rPr>
          <w:rFonts w:ascii="Times New Roman" w:hAnsi="Times New Roman" w:cs="Times New Roman"/>
          <w:sz w:val="24"/>
          <w:szCs w:val="24"/>
        </w:rPr>
        <w:t xml:space="preserve"> </w:t>
      </w:r>
      <w:r w:rsidR="00C6047A">
        <w:rPr>
          <w:rFonts w:ascii="Times New Roman" w:hAnsi="Times New Roman" w:cs="Times New Roman"/>
          <w:sz w:val="24"/>
          <w:szCs w:val="24"/>
        </w:rPr>
        <w:t>Finance, 39(7).</w:t>
      </w:r>
    </w:p>
    <w:p w:rsidR="00913BEC" w:rsidRPr="00913BEC" w:rsidRDefault="00913BEC" w:rsidP="00B37912">
      <w:pPr>
        <w:spacing w:line="360" w:lineRule="auto"/>
        <w:ind w:left="-180"/>
        <w:jc w:val="both"/>
        <w:rPr>
          <w:rFonts w:ascii="Times New Roman" w:hAnsi="Times New Roman" w:cs="Times New Roman"/>
          <w:b/>
          <w:sz w:val="24"/>
          <w:szCs w:val="24"/>
        </w:rPr>
      </w:pPr>
    </w:p>
    <w:p w:rsidR="00DD2AF1" w:rsidRPr="00913BEC" w:rsidRDefault="00DD2AF1" w:rsidP="00913BEC">
      <w:pPr>
        <w:pStyle w:val="ListParagraph"/>
        <w:spacing w:line="360" w:lineRule="auto"/>
        <w:ind w:left="2160"/>
        <w:jc w:val="both"/>
        <w:rPr>
          <w:rFonts w:ascii="Times New Roman" w:hAnsi="Times New Roman" w:cs="Times New Roman"/>
          <w:b/>
          <w:sz w:val="24"/>
          <w:szCs w:val="24"/>
        </w:rPr>
      </w:pPr>
    </w:p>
    <w:p w:rsidR="00DD2AF1" w:rsidRDefault="00DD2AF1" w:rsidP="00B37912">
      <w:pPr>
        <w:pStyle w:val="Heading1"/>
        <w:tabs>
          <w:tab w:val="left" w:pos="0"/>
        </w:tabs>
        <w:spacing w:before="0" w:line="360" w:lineRule="auto"/>
        <w:ind w:left="-180" w:right="69" w:hanging="34"/>
        <w:rPr>
          <w:rFonts w:ascii="Times New Roman" w:hAnsi="Times New Roman" w:cs="Times New Roman"/>
          <w:color w:val="auto"/>
          <w:w w:val="95"/>
          <w:sz w:val="24"/>
          <w:szCs w:val="24"/>
        </w:rPr>
      </w:pPr>
    </w:p>
    <w:p w:rsidR="00CB14B1" w:rsidRPr="00CB14B1" w:rsidRDefault="00CB14B1" w:rsidP="00CB14B1"/>
    <w:p w:rsidR="00DD2AF1" w:rsidRPr="008A13EC" w:rsidRDefault="00DD2AF1" w:rsidP="00B37912">
      <w:pPr>
        <w:ind w:left="-180"/>
        <w:rPr>
          <w:rFonts w:ascii="Times New Roman" w:hAnsi="Times New Roman" w:cs="Times New Roman"/>
          <w:sz w:val="24"/>
          <w:szCs w:val="24"/>
        </w:rPr>
      </w:pPr>
    </w:p>
    <w:p w:rsidR="00DD2AF1" w:rsidRPr="008A13EC" w:rsidRDefault="00DD2AF1" w:rsidP="00B37912">
      <w:pPr>
        <w:spacing w:line="360" w:lineRule="auto"/>
        <w:ind w:left="-180"/>
        <w:jc w:val="both"/>
        <w:rPr>
          <w:rFonts w:ascii="Times New Roman" w:hAnsi="Times New Roman" w:cs="Times New Roman"/>
          <w:b/>
          <w:sz w:val="24"/>
          <w:szCs w:val="24"/>
        </w:rPr>
      </w:pPr>
    </w:p>
    <w:p w:rsidR="00FC6107" w:rsidRPr="008A13EC" w:rsidRDefault="00FC6107" w:rsidP="00B37912">
      <w:pPr>
        <w:spacing w:line="360" w:lineRule="auto"/>
        <w:ind w:left="-180"/>
        <w:jc w:val="both"/>
        <w:rPr>
          <w:rFonts w:ascii="Times New Roman" w:hAnsi="Times New Roman" w:cs="Times New Roman"/>
          <w:sz w:val="24"/>
          <w:szCs w:val="24"/>
        </w:rPr>
      </w:pPr>
    </w:p>
    <w:p w:rsidR="00FC6107" w:rsidRPr="008A13EC" w:rsidRDefault="00FC6107" w:rsidP="00B37912">
      <w:pPr>
        <w:spacing w:line="360" w:lineRule="auto"/>
        <w:ind w:left="-180"/>
        <w:jc w:val="both"/>
        <w:rPr>
          <w:rFonts w:ascii="Times New Roman" w:hAnsi="Times New Roman" w:cs="Times New Roman"/>
          <w:sz w:val="24"/>
          <w:szCs w:val="24"/>
        </w:rPr>
      </w:pPr>
    </w:p>
    <w:p w:rsidR="00FC6107" w:rsidRPr="008A13EC" w:rsidRDefault="00FC6107" w:rsidP="00B37912">
      <w:pPr>
        <w:spacing w:line="360" w:lineRule="auto"/>
        <w:ind w:left="-180" w:hanging="180"/>
        <w:jc w:val="both"/>
        <w:rPr>
          <w:rFonts w:ascii="Times New Roman" w:hAnsi="Times New Roman" w:cs="Times New Roman"/>
          <w:sz w:val="24"/>
          <w:szCs w:val="24"/>
        </w:rPr>
      </w:pPr>
    </w:p>
    <w:sectPr w:rsidR="00FC6107" w:rsidRPr="008A13EC">
      <w:head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5D5" w:rsidRDefault="006D45D5" w:rsidP="00E0632F">
      <w:pPr>
        <w:spacing w:after="0" w:line="240" w:lineRule="auto"/>
      </w:pPr>
      <w:r>
        <w:separator/>
      </w:r>
    </w:p>
  </w:endnote>
  <w:endnote w:type="continuationSeparator" w:id="0">
    <w:p w:rsidR="006D45D5" w:rsidRDefault="006D45D5" w:rsidP="00E06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5D5" w:rsidRDefault="006D45D5" w:rsidP="00E0632F">
      <w:pPr>
        <w:spacing w:after="0" w:line="240" w:lineRule="auto"/>
      </w:pPr>
      <w:r>
        <w:separator/>
      </w:r>
    </w:p>
  </w:footnote>
  <w:footnote w:type="continuationSeparator" w:id="0">
    <w:p w:rsidR="006D45D5" w:rsidRDefault="006D45D5" w:rsidP="00E06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127A" w:rsidRDefault="007E12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1"/>
    <w:multiLevelType w:val="hybridMultilevel"/>
    <w:tmpl w:val="ED349FE0"/>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nsid w:val="00000032"/>
    <w:multiLevelType w:val="hybridMultilevel"/>
    <w:tmpl w:val="3DAC830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nsid w:val="00000035"/>
    <w:multiLevelType w:val="hybridMultilevel"/>
    <w:tmpl w:val="DAFEEC8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0000039"/>
    <w:multiLevelType w:val="hybridMultilevel"/>
    <w:tmpl w:val="20E65F5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9802551"/>
    <w:multiLevelType w:val="multilevel"/>
    <w:tmpl w:val="B212F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196CFE"/>
    <w:multiLevelType w:val="hybridMultilevel"/>
    <w:tmpl w:val="1C006E9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nsid w:val="0BD46878"/>
    <w:multiLevelType w:val="multilevel"/>
    <w:tmpl w:val="020A7FE4"/>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B3984"/>
    <w:multiLevelType w:val="hybridMultilevel"/>
    <w:tmpl w:val="627EF09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nsid w:val="266A7A07"/>
    <w:multiLevelType w:val="hybridMultilevel"/>
    <w:tmpl w:val="49C452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F033E53"/>
    <w:multiLevelType w:val="multilevel"/>
    <w:tmpl w:val="4132A9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1A37F8C"/>
    <w:multiLevelType w:val="multilevel"/>
    <w:tmpl w:val="B212F4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E32DCC"/>
    <w:multiLevelType w:val="hybridMultilevel"/>
    <w:tmpl w:val="60CE34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nsid w:val="3A9645D4"/>
    <w:multiLevelType w:val="multilevel"/>
    <w:tmpl w:val="26A032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FA2692E"/>
    <w:multiLevelType w:val="hybridMultilevel"/>
    <w:tmpl w:val="9E1882D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4">
    <w:nsid w:val="416A4131"/>
    <w:multiLevelType w:val="hybridMultilevel"/>
    <w:tmpl w:val="A7D62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44D0320"/>
    <w:multiLevelType w:val="hybridMultilevel"/>
    <w:tmpl w:val="40B25E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4D3FB6"/>
    <w:multiLevelType w:val="hybridMultilevel"/>
    <w:tmpl w:val="F0629428"/>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7">
    <w:nsid w:val="5C237BFB"/>
    <w:multiLevelType w:val="hybridMultilevel"/>
    <w:tmpl w:val="2BC231FE"/>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647824E4"/>
    <w:multiLevelType w:val="hybridMultilevel"/>
    <w:tmpl w:val="0A3CF0D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670E4CA9"/>
    <w:multiLevelType w:val="hybridMultilevel"/>
    <w:tmpl w:val="736ED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7904CC0"/>
    <w:multiLevelType w:val="hybridMultilevel"/>
    <w:tmpl w:val="5E881BC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1">
    <w:nsid w:val="6A691200"/>
    <w:multiLevelType w:val="hybridMultilevel"/>
    <w:tmpl w:val="93E65068"/>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2">
    <w:nsid w:val="6B3931D4"/>
    <w:multiLevelType w:val="hybridMultilevel"/>
    <w:tmpl w:val="7E643C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01064BF"/>
    <w:multiLevelType w:val="hybridMultilevel"/>
    <w:tmpl w:val="715EBC6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4">
    <w:nsid w:val="707F100B"/>
    <w:multiLevelType w:val="hybridMultilevel"/>
    <w:tmpl w:val="3EE081FE"/>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8"/>
  </w:num>
  <w:num w:numId="2">
    <w:abstractNumId w:val="6"/>
  </w:num>
  <w:num w:numId="3">
    <w:abstractNumId w:val="21"/>
  </w:num>
  <w:num w:numId="4">
    <w:abstractNumId w:val="22"/>
  </w:num>
  <w:num w:numId="5">
    <w:abstractNumId w:val="14"/>
  </w:num>
  <w:num w:numId="6">
    <w:abstractNumId w:val="19"/>
  </w:num>
  <w:num w:numId="7">
    <w:abstractNumId w:val="10"/>
  </w:num>
  <w:num w:numId="8">
    <w:abstractNumId w:val="4"/>
  </w:num>
  <w:num w:numId="9">
    <w:abstractNumId w:val="0"/>
  </w:num>
  <w:num w:numId="10">
    <w:abstractNumId w:val="1"/>
  </w:num>
  <w:num w:numId="11">
    <w:abstractNumId w:val="2"/>
  </w:num>
  <w:num w:numId="12">
    <w:abstractNumId w:val="3"/>
  </w:num>
  <w:num w:numId="13">
    <w:abstractNumId w:val="11"/>
  </w:num>
  <w:num w:numId="14">
    <w:abstractNumId w:val="5"/>
  </w:num>
  <w:num w:numId="15">
    <w:abstractNumId w:val="16"/>
  </w:num>
  <w:num w:numId="16">
    <w:abstractNumId w:val="20"/>
  </w:num>
  <w:num w:numId="17">
    <w:abstractNumId w:val="13"/>
  </w:num>
  <w:num w:numId="18">
    <w:abstractNumId w:val="15"/>
  </w:num>
  <w:num w:numId="19">
    <w:abstractNumId w:val="18"/>
  </w:num>
  <w:num w:numId="20">
    <w:abstractNumId w:val="7"/>
  </w:num>
  <w:num w:numId="21">
    <w:abstractNumId w:val="23"/>
  </w:num>
  <w:num w:numId="22">
    <w:abstractNumId w:val="17"/>
  </w:num>
  <w:num w:numId="23">
    <w:abstractNumId w:val="9"/>
  </w:num>
  <w:num w:numId="24">
    <w:abstractNumId w:val="12"/>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3EF"/>
    <w:rsid w:val="00060ECF"/>
    <w:rsid w:val="000E79EF"/>
    <w:rsid w:val="001413EF"/>
    <w:rsid w:val="00162F90"/>
    <w:rsid w:val="00173F4D"/>
    <w:rsid w:val="0019065D"/>
    <w:rsid w:val="00196AE1"/>
    <w:rsid w:val="002833BA"/>
    <w:rsid w:val="002C149E"/>
    <w:rsid w:val="002D0160"/>
    <w:rsid w:val="002E58C2"/>
    <w:rsid w:val="00335D69"/>
    <w:rsid w:val="00373DCD"/>
    <w:rsid w:val="003C47A4"/>
    <w:rsid w:val="00431825"/>
    <w:rsid w:val="00452D54"/>
    <w:rsid w:val="005D538C"/>
    <w:rsid w:val="006247DE"/>
    <w:rsid w:val="006329EF"/>
    <w:rsid w:val="006663D4"/>
    <w:rsid w:val="006D45D5"/>
    <w:rsid w:val="007060D1"/>
    <w:rsid w:val="007863AA"/>
    <w:rsid w:val="007E127A"/>
    <w:rsid w:val="007F49D6"/>
    <w:rsid w:val="008028AE"/>
    <w:rsid w:val="008467BE"/>
    <w:rsid w:val="008A13EC"/>
    <w:rsid w:val="008B33EC"/>
    <w:rsid w:val="00913BEC"/>
    <w:rsid w:val="00914301"/>
    <w:rsid w:val="009F2D68"/>
    <w:rsid w:val="00A0428A"/>
    <w:rsid w:val="00A0429E"/>
    <w:rsid w:val="00A5109F"/>
    <w:rsid w:val="00A74E91"/>
    <w:rsid w:val="00A814C6"/>
    <w:rsid w:val="00B27E06"/>
    <w:rsid w:val="00B317C2"/>
    <w:rsid w:val="00B37912"/>
    <w:rsid w:val="00B45273"/>
    <w:rsid w:val="00B71FD6"/>
    <w:rsid w:val="00B9464F"/>
    <w:rsid w:val="00BF4881"/>
    <w:rsid w:val="00BF4FC4"/>
    <w:rsid w:val="00C45A49"/>
    <w:rsid w:val="00C6047A"/>
    <w:rsid w:val="00C67C49"/>
    <w:rsid w:val="00C90464"/>
    <w:rsid w:val="00C91610"/>
    <w:rsid w:val="00CB14B1"/>
    <w:rsid w:val="00D22B9F"/>
    <w:rsid w:val="00D60920"/>
    <w:rsid w:val="00DA6FD6"/>
    <w:rsid w:val="00DD2AF1"/>
    <w:rsid w:val="00DF27E6"/>
    <w:rsid w:val="00E026C3"/>
    <w:rsid w:val="00E04D91"/>
    <w:rsid w:val="00E0632F"/>
    <w:rsid w:val="00E0754F"/>
    <w:rsid w:val="00E502B9"/>
    <w:rsid w:val="00EA70A3"/>
    <w:rsid w:val="00EA798E"/>
    <w:rsid w:val="00EC10F7"/>
    <w:rsid w:val="00FC6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754F"/>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379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9D6"/>
    <w:rPr>
      <w:color w:val="0000FF" w:themeColor="hyperlink"/>
      <w:u w:val="single"/>
    </w:rPr>
  </w:style>
  <w:style w:type="paragraph" w:styleId="ListParagraph">
    <w:name w:val="List Paragraph"/>
    <w:basedOn w:val="Normal"/>
    <w:uiPriority w:val="34"/>
    <w:qFormat/>
    <w:rsid w:val="002D0160"/>
    <w:pPr>
      <w:ind w:left="720"/>
      <w:contextualSpacing/>
    </w:pPr>
  </w:style>
  <w:style w:type="character" w:customStyle="1" w:styleId="Heading1Char">
    <w:name w:val="Heading 1 Char"/>
    <w:basedOn w:val="DefaultParagraphFont"/>
    <w:link w:val="Heading1"/>
    <w:uiPriority w:val="9"/>
    <w:qFormat/>
    <w:rsid w:val="00E0754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qFormat/>
    <w:rsid w:val="00BF4FC4"/>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FC4"/>
    <w:rPr>
      <w:rFonts w:ascii="Tahoma" w:hAnsi="Tahoma" w:cs="Tahoma"/>
      <w:sz w:val="16"/>
      <w:szCs w:val="16"/>
    </w:rPr>
  </w:style>
  <w:style w:type="character" w:customStyle="1" w:styleId="Heading3Char">
    <w:name w:val="Heading 3 Char"/>
    <w:basedOn w:val="DefaultParagraphFont"/>
    <w:link w:val="Heading3"/>
    <w:uiPriority w:val="9"/>
    <w:semiHidden/>
    <w:rsid w:val="00B37912"/>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754F"/>
    <w:pPr>
      <w:keepNext/>
      <w:keepLines/>
      <w:widowControl w:val="0"/>
      <w:autoSpaceDE w:val="0"/>
      <w:autoSpaceDN w:val="0"/>
      <w:adjustRightInd w:val="0"/>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B3791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49D6"/>
    <w:rPr>
      <w:color w:val="0000FF" w:themeColor="hyperlink"/>
      <w:u w:val="single"/>
    </w:rPr>
  </w:style>
  <w:style w:type="paragraph" w:styleId="ListParagraph">
    <w:name w:val="List Paragraph"/>
    <w:basedOn w:val="Normal"/>
    <w:uiPriority w:val="34"/>
    <w:qFormat/>
    <w:rsid w:val="002D0160"/>
    <w:pPr>
      <w:ind w:left="720"/>
      <w:contextualSpacing/>
    </w:pPr>
  </w:style>
  <w:style w:type="character" w:customStyle="1" w:styleId="Heading1Char">
    <w:name w:val="Heading 1 Char"/>
    <w:basedOn w:val="DefaultParagraphFont"/>
    <w:link w:val="Heading1"/>
    <w:uiPriority w:val="9"/>
    <w:qFormat/>
    <w:rsid w:val="00E0754F"/>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qFormat/>
    <w:rsid w:val="00BF4FC4"/>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F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FC4"/>
    <w:rPr>
      <w:rFonts w:ascii="Tahoma" w:hAnsi="Tahoma" w:cs="Tahoma"/>
      <w:sz w:val="16"/>
      <w:szCs w:val="16"/>
    </w:rPr>
  </w:style>
  <w:style w:type="character" w:customStyle="1" w:styleId="Heading3Char">
    <w:name w:val="Heading 3 Char"/>
    <w:basedOn w:val="DefaultParagraphFont"/>
    <w:link w:val="Heading3"/>
    <w:uiPriority w:val="9"/>
    <w:semiHidden/>
    <w:rsid w:val="00B3791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5578007">
      <w:bodyDiv w:val="1"/>
      <w:marLeft w:val="0"/>
      <w:marRight w:val="0"/>
      <w:marTop w:val="0"/>
      <w:marBottom w:val="0"/>
      <w:divBdr>
        <w:top w:val="none" w:sz="0" w:space="0" w:color="auto"/>
        <w:left w:val="none" w:sz="0" w:space="0" w:color="auto"/>
        <w:bottom w:val="none" w:sz="0" w:space="0" w:color="auto"/>
        <w:right w:val="none" w:sz="0" w:space="0" w:color="auto"/>
      </w:divBdr>
    </w:div>
    <w:div w:id="917516919">
      <w:bodyDiv w:val="1"/>
      <w:marLeft w:val="0"/>
      <w:marRight w:val="0"/>
      <w:marTop w:val="0"/>
      <w:marBottom w:val="0"/>
      <w:divBdr>
        <w:top w:val="none" w:sz="0" w:space="0" w:color="auto"/>
        <w:left w:val="none" w:sz="0" w:space="0" w:color="auto"/>
        <w:bottom w:val="none" w:sz="0" w:space="0" w:color="auto"/>
        <w:right w:val="none" w:sz="0" w:space="0" w:color="auto"/>
      </w:divBdr>
    </w:div>
    <w:div w:id="1007516456">
      <w:bodyDiv w:val="1"/>
      <w:marLeft w:val="0"/>
      <w:marRight w:val="0"/>
      <w:marTop w:val="0"/>
      <w:marBottom w:val="0"/>
      <w:divBdr>
        <w:top w:val="none" w:sz="0" w:space="0" w:color="auto"/>
        <w:left w:val="none" w:sz="0" w:space="0" w:color="auto"/>
        <w:bottom w:val="none" w:sz="0" w:space="0" w:color="auto"/>
        <w:right w:val="none" w:sz="0" w:space="0" w:color="auto"/>
      </w:divBdr>
    </w:div>
    <w:div w:id="1090931250">
      <w:bodyDiv w:val="1"/>
      <w:marLeft w:val="0"/>
      <w:marRight w:val="0"/>
      <w:marTop w:val="0"/>
      <w:marBottom w:val="0"/>
      <w:divBdr>
        <w:top w:val="none" w:sz="0" w:space="0" w:color="auto"/>
        <w:left w:val="none" w:sz="0" w:space="0" w:color="auto"/>
        <w:bottom w:val="none" w:sz="0" w:space="0" w:color="auto"/>
        <w:right w:val="none" w:sz="0" w:space="0" w:color="auto"/>
      </w:divBdr>
    </w:div>
    <w:div w:id="1112631516">
      <w:bodyDiv w:val="1"/>
      <w:marLeft w:val="0"/>
      <w:marRight w:val="0"/>
      <w:marTop w:val="0"/>
      <w:marBottom w:val="0"/>
      <w:divBdr>
        <w:top w:val="none" w:sz="0" w:space="0" w:color="auto"/>
        <w:left w:val="none" w:sz="0" w:space="0" w:color="auto"/>
        <w:bottom w:val="none" w:sz="0" w:space="0" w:color="auto"/>
        <w:right w:val="none" w:sz="0" w:space="0" w:color="auto"/>
      </w:divBdr>
    </w:div>
    <w:div w:id="1639873998">
      <w:bodyDiv w:val="1"/>
      <w:marLeft w:val="0"/>
      <w:marRight w:val="0"/>
      <w:marTop w:val="0"/>
      <w:marBottom w:val="0"/>
      <w:divBdr>
        <w:top w:val="none" w:sz="0" w:space="0" w:color="auto"/>
        <w:left w:val="none" w:sz="0" w:space="0" w:color="auto"/>
        <w:bottom w:val="none" w:sz="0" w:space="0" w:color="auto"/>
        <w:right w:val="none" w:sz="0" w:space="0" w:color="auto"/>
      </w:divBdr>
    </w:div>
    <w:div w:id="1943610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rendercommerce@gmail.com" TargetMode="External"/><Relationship Id="rId13" Type="http://schemas.openxmlformats.org/officeDocument/2006/relationships/hyperlink" Target="http://en.wikipedia.org/wiki/Lender" TargetMode="External"/><Relationship Id="rId18" Type="http://schemas.openxmlformats.org/officeDocument/2006/relationships/chart" Target="charts/chart2.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en.wikipedia.org/wiki/Cash_and_cash_equivalents" TargetMode="External"/><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hyperlink" Target="http://en.wikipedia.org/wiki/Shareholder" TargetMode="External"/><Relationship Id="rId20" Type="http://schemas.openxmlformats.org/officeDocument/2006/relationships/chart" Target="charts/chart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n.wikipedia.org/wiki/Balance_sheet" TargetMode="External"/><Relationship Id="rId5" Type="http://schemas.openxmlformats.org/officeDocument/2006/relationships/webSettings" Target="webSettings.xml"/><Relationship Id="rId15" Type="http://schemas.openxmlformats.org/officeDocument/2006/relationships/hyperlink" Target="http://en.wikipedia.org/wiki/Investor" TargetMode="External"/><Relationship Id="rId23" Type="http://schemas.openxmlformats.org/officeDocument/2006/relationships/theme" Target="theme/theme1.xml"/><Relationship Id="rId10" Type="http://schemas.openxmlformats.org/officeDocument/2006/relationships/hyperlink" Target="http://en.wikipedia.org/wiki/Financial_statements"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en.wikipedia.org/wiki/Financial_accounting" TargetMode="External"/><Relationship Id="rId14" Type="http://schemas.openxmlformats.org/officeDocument/2006/relationships/hyperlink" Target="http://en.wikipedia.org/wiki/Creditor"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iran\Desktop\New%20folder\2010&amp;1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iran\Desktop\New%20folder\2010&amp;1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Sheet3!$D$24</c:f>
              <c:strCache>
                <c:ptCount val="1"/>
                <c:pt idx="0">
                  <c:v>YEAR 2015(In lakhs)</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Sheet3!$C$25:$C$29</c:f>
              <c:strCache>
                <c:ptCount val="5"/>
                <c:pt idx="0">
                  <c:v>Cash from Operating activities</c:v>
                </c:pt>
                <c:pt idx="1">
                  <c:v>Cash from Investing activities</c:v>
                </c:pt>
                <c:pt idx="2">
                  <c:v>Cash from financing activities</c:v>
                </c:pt>
                <c:pt idx="3">
                  <c:v>Net Increase/(Decrease) in cash and cash equivalents</c:v>
                </c:pt>
                <c:pt idx="4">
                  <c:v>Cash and cash equivalents at the end of the year</c:v>
                </c:pt>
              </c:strCache>
            </c:strRef>
          </c:cat>
          <c:val>
            <c:numRef>
              <c:f>Sheet3!$D$25:$D$29</c:f>
              <c:numCache>
                <c:formatCode>General</c:formatCode>
                <c:ptCount val="5"/>
                <c:pt idx="0">
                  <c:v>-25527.57</c:v>
                </c:pt>
                <c:pt idx="1">
                  <c:v>-16224.47</c:v>
                </c:pt>
                <c:pt idx="2">
                  <c:v>43435.24</c:v>
                </c:pt>
                <c:pt idx="3">
                  <c:v>1683.2</c:v>
                </c:pt>
                <c:pt idx="4">
                  <c:v>1885.7</c:v>
                </c:pt>
              </c:numCache>
            </c:numRef>
          </c:val>
          <c:extLst xmlns:c16r2="http://schemas.microsoft.com/office/drawing/2015/06/chart">
            <c:ext xmlns:c16="http://schemas.microsoft.com/office/drawing/2014/chart" uri="{C3380CC4-5D6E-409C-BE32-E72D297353CC}">
              <c16:uniqueId val="{00000000-62AE-BC4D-BFFD-F7CBAF4A8A79}"/>
            </c:ext>
          </c:extLst>
        </c:ser>
        <c:ser>
          <c:idx val="1"/>
          <c:order val="1"/>
          <c:tx>
            <c:strRef>
              <c:f>Sheet3!$E$24</c:f>
              <c:strCache>
                <c:ptCount val="1"/>
                <c:pt idx="0">
                  <c:v>YEAR 2016(in lakhs)</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Sheet3!$C$25:$C$29</c:f>
              <c:strCache>
                <c:ptCount val="5"/>
                <c:pt idx="0">
                  <c:v>Cash from Operating activities</c:v>
                </c:pt>
                <c:pt idx="1">
                  <c:v>Cash from Investing activities</c:v>
                </c:pt>
                <c:pt idx="2">
                  <c:v>Cash from financing activities</c:v>
                </c:pt>
                <c:pt idx="3">
                  <c:v>Net Increase/(Decrease) in cash and cash equivalents</c:v>
                </c:pt>
                <c:pt idx="4">
                  <c:v>Cash and cash equivalents at the end of the year</c:v>
                </c:pt>
              </c:strCache>
            </c:strRef>
          </c:cat>
          <c:val>
            <c:numRef>
              <c:f>Sheet3!$E$25:$E$29</c:f>
              <c:numCache>
                <c:formatCode>General</c:formatCode>
                <c:ptCount val="5"/>
                <c:pt idx="0">
                  <c:v>32345.45</c:v>
                </c:pt>
                <c:pt idx="1">
                  <c:v>6038.05</c:v>
                </c:pt>
                <c:pt idx="2">
                  <c:v>-39587.51</c:v>
                </c:pt>
                <c:pt idx="3">
                  <c:v>-1204.01</c:v>
                </c:pt>
                <c:pt idx="4">
                  <c:v>651.69000000000005</c:v>
                </c:pt>
              </c:numCache>
            </c:numRef>
          </c:val>
          <c:extLst xmlns:c16r2="http://schemas.microsoft.com/office/drawing/2015/06/chart">
            <c:ext xmlns:c16="http://schemas.microsoft.com/office/drawing/2014/chart" uri="{C3380CC4-5D6E-409C-BE32-E72D297353CC}">
              <c16:uniqueId val="{00000001-62AE-BC4D-BFFD-F7CBAF4A8A79}"/>
            </c:ext>
          </c:extLst>
        </c:ser>
        <c:dLbls>
          <c:showLegendKey val="0"/>
          <c:showVal val="0"/>
          <c:showCatName val="0"/>
          <c:showSerName val="0"/>
          <c:showPercent val="0"/>
          <c:showBubbleSize val="0"/>
        </c:dLbls>
        <c:gapWidth val="150"/>
        <c:shape val="cylinder"/>
        <c:axId val="107460864"/>
        <c:axId val="108785664"/>
        <c:axId val="0"/>
      </c:bar3DChart>
      <c:catAx>
        <c:axId val="107460864"/>
        <c:scaling>
          <c:orientation val="minMax"/>
        </c:scaling>
        <c:delete val="1"/>
        <c:axPos val="b"/>
        <c:numFmt formatCode="General" sourceLinked="0"/>
        <c:majorTickMark val="out"/>
        <c:minorTickMark val="none"/>
        <c:tickLblPos val="nextTo"/>
        <c:crossAx val="108785664"/>
        <c:crosses val="autoZero"/>
        <c:auto val="1"/>
        <c:lblAlgn val="ctr"/>
        <c:lblOffset val="100"/>
        <c:noMultiLvlLbl val="0"/>
      </c:catAx>
      <c:valAx>
        <c:axId val="108785664"/>
        <c:scaling>
          <c:orientation val="minMax"/>
        </c:scaling>
        <c:delete val="0"/>
        <c:axPos val="l"/>
        <c:numFmt formatCode="General" sourceLinked="1"/>
        <c:majorTickMark val="out"/>
        <c:minorTickMark val="none"/>
        <c:tickLblPos val="nextTo"/>
        <c:txPr>
          <a:bodyPr/>
          <a:lstStyle/>
          <a:p>
            <a:pPr>
              <a:defRPr lang="en-GB"/>
            </a:pPr>
            <a:endParaRPr lang="en-US"/>
          </a:p>
        </c:txPr>
        <c:crossAx val="107460864"/>
        <c:crosses val="autoZero"/>
        <c:crossBetween val="between"/>
      </c:valAx>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Sheet3!$D$5</c:f>
              <c:strCache>
                <c:ptCount val="1"/>
                <c:pt idx="0">
                  <c:v>YEAR 2014(In lakhs)</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Sheet3!$C$6:$C$10</c:f>
              <c:strCache>
                <c:ptCount val="5"/>
                <c:pt idx="0">
                  <c:v>Cash from Operating activities</c:v>
                </c:pt>
                <c:pt idx="1">
                  <c:v>Cash from Investing activities</c:v>
                </c:pt>
                <c:pt idx="2">
                  <c:v>Cash from financing activities</c:v>
                </c:pt>
                <c:pt idx="3">
                  <c:v>Net Increase/(Decrease) in cash and cash equivalents</c:v>
                </c:pt>
                <c:pt idx="4">
                  <c:v>Cash and cash equivalents at the end of the year</c:v>
                </c:pt>
              </c:strCache>
            </c:strRef>
          </c:cat>
          <c:val>
            <c:numRef>
              <c:f>Sheet3!$D$6:$D$10</c:f>
              <c:numCache>
                <c:formatCode>General</c:formatCode>
                <c:ptCount val="5"/>
                <c:pt idx="0">
                  <c:v>1951.02</c:v>
                </c:pt>
                <c:pt idx="1">
                  <c:v>-541.91</c:v>
                </c:pt>
                <c:pt idx="2">
                  <c:v>-1769.54</c:v>
                </c:pt>
                <c:pt idx="3">
                  <c:v>-360.42999999999893</c:v>
                </c:pt>
                <c:pt idx="4">
                  <c:v>172.5</c:v>
                </c:pt>
              </c:numCache>
            </c:numRef>
          </c:val>
          <c:extLst xmlns:c16r2="http://schemas.microsoft.com/office/drawing/2015/06/chart">
            <c:ext xmlns:c16="http://schemas.microsoft.com/office/drawing/2014/chart" uri="{C3380CC4-5D6E-409C-BE32-E72D297353CC}">
              <c16:uniqueId val="{00000000-67C1-8B49-973F-C4A534D96F38}"/>
            </c:ext>
          </c:extLst>
        </c:ser>
        <c:ser>
          <c:idx val="1"/>
          <c:order val="1"/>
          <c:tx>
            <c:strRef>
              <c:f>Sheet3!$E$5</c:f>
              <c:strCache>
                <c:ptCount val="1"/>
                <c:pt idx="0">
                  <c:v>YEAR 2015(in lakhs)</c:v>
                </c:pt>
              </c:strCache>
            </c:strRef>
          </c:tx>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Sheet3!$C$6:$C$10</c:f>
              <c:strCache>
                <c:ptCount val="5"/>
                <c:pt idx="0">
                  <c:v>Cash from Operating activities</c:v>
                </c:pt>
                <c:pt idx="1">
                  <c:v>Cash from Investing activities</c:v>
                </c:pt>
                <c:pt idx="2">
                  <c:v>Cash from financing activities</c:v>
                </c:pt>
                <c:pt idx="3">
                  <c:v>Net Increase/(Decrease) in cash and cash equivalents</c:v>
                </c:pt>
                <c:pt idx="4">
                  <c:v>Cash and cash equivalents at the end of the year</c:v>
                </c:pt>
              </c:strCache>
            </c:strRef>
          </c:cat>
          <c:val>
            <c:numRef>
              <c:f>Sheet3!$E$6:$E$10</c:f>
              <c:numCache>
                <c:formatCode>General</c:formatCode>
                <c:ptCount val="5"/>
                <c:pt idx="0">
                  <c:v>-25527.57</c:v>
                </c:pt>
                <c:pt idx="1">
                  <c:v>-16224.47</c:v>
                </c:pt>
                <c:pt idx="2">
                  <c:v>43435.24</c:v>
                </c:pt>
                <c:pt idx="3">
                  <c:v>1683.2</c:v>
                </c:pt>
                <c:pt idx="4">
                  <c:v>1885.7</c:v>
                </c:pt>
              </c:numCache>
            </c:numRef>
          </c:val>
          <c:extLst xmlns:c16r2="http://schemas.microsoft.com/office/drawing/2015/06/chart">
            <c:ext xmlns:c16="http://schemas.microsoft.com/office/drawing/2014/chart" uri="{C3380CC4-5D6E-409C-BE32-E72D297353CC}">
              <c16:uniqueId val="{00000001-67C1-8B49-973F-C4A534D96F38}"/>
            </c:ext>
          </c:extLst>
        </c:ser>
        <c:dLbls>
          <c:showLegendKey val="0"/>
          <c:showVal val="0"/>
          <c:showCatName val="0"/>
          <c:showSerName val="0"/>
          <c:showPercent val="0"/>
          <c:showBubbleSize val="0"/>
        </c:dLbls>
        <c:gapWidth val="150"/>
        <c:shape val="cylinder"/>
        <c:axId val="93935872"/>
        <c:axId val="108724224"/>
        <c:axId val="0"/>
      </c:bar3DChart>
      <c:catAx>
        <c:axId val="93935872"/>
        <c:scaling>
          <c:orientation val="minMax"/>
        </c:scaling>
        <c:delete val="1"/>
        <c:axPos val="b"/>
        <c:numFmt formatCode="General" sourceLinked="0"/>
        <c:majorTickMark val="out"/>
        <c:minorTickMark val="none"/>
        <c:tickLblPos val="nextTo"/>
        <c:crossAx val="108724224"/>
        <c:crosses val="autoZero"/>
        <c:auto val="1"/>
        <c:lblAlgn val="ctr"/>
        <c:lblOffset val="100"/>
        <c:noMultiLvlLbl val="0"/>
      </c:catAx>
      <c:valAx>
        <c:axId val="108724224"/>
        <c:scaling>
          <c:orientation val="minMax"/>
        </c:scaling>
        <c:delete val="0"/>
        <c:axPos val="l"/>
        <c:numFmt formatCode="General" sourceLinked="1"/>
        <c:majorTickMark val="out"/>
        <c:minorTickMark val="none"/>
        <c:tickLblPos val="nextTo"/>
        <c:txPr>
          <a:bodyPr/>
          <a:lstStyle/>
          <a:p>
            <a:pPr>
              <a:defRPr lang="en-GB"/>
            </a:pPr>
            <a:endParaRPr lang="en-US"/>
          </a:p>
        </c:txPr>
        <c:crossAx val="93935872"/>
        <c:crosses val="autoZero"/>
        <c:crossBetween val="between"/>
      </c:valAx>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Sheet1!$D$6:$D$7</c:f>
              <c:strCache>
                <c:ptCount val="1"/>
                <c:pt idx="0">
                  <c:v>Net Increase/(decrease) in cash and cash equivalents from the year 2014-2018 Amount (lakhs)</c:v>
                </c:pt>
              </c:strCache>
            </c:strRef>
          </c:tx>
          <c:spPr>
            <a:solidFill>
              <a:srgbClr val="7030A0"/>
            </a:solidFill>
          </c:spPr>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Sheet1!$C$8:$C$12</c:f>
              <c:numCache>
                <c:formatCode>General</c:formatCode>
                <c:ptCount val="5"/>
                <c:pt idx="0">
                  <c:v>2014</c:v>
                </c:pt>
                <c:pt idx="1">
                  <c:v>2015</c:v>
                </c:pt>
                <c:pt idx="2">
                  <c:v>2016</c:v>
                </c:pt>
                <c:pt idx="3">
                  <c:v>2017</c:v>
                </c:pt>
                <c:pt idx="4">
                  <c:v>2018</c:v>
                </c:pt>
              </c:numCache>
            </c:numRef>
          </c:cat>
          <c:val>
            <c:numRef>
              <c:f>Sheet1!$D$8:$D$12</c:f>
              <c:numCache>
                <c:formatCode>General</c:formatCode>
                <c:ptCount val="5"/>
                <c:pt idx="0">
                  <c:v>-125.49000000000002</c:v>
                </c:pt>
                <c:pt idx="1">
                  <c:v>266.3</c:v>
                </c:pt>
                <c:pt idx="2">
                  <c:v>-360.42999999999893</c:v>
                </c:pt>
                <c:pt idx="3">
                  <c:v>1683.2</c:v>
                </c:pt>
                <c:pt idx="4">
                  <c:v>-1204.01</c:v>
                </c:pt>
              </c:numCache>
            </c:numRef>
          </c:val>
          <c:extLst xmlns:c16r2="http://schemas.microsoft.com/office/drawing/2015/06/chart">
            <c:ext xmlns:c16="http://schemas.microsoft.com/office/drawing/2014/chart" uri="{C3380CC4-5D6E-409C-BE32-E72D297353CC}">
              <c16:uniqueId val="{00000000-D57B-3A47-83C4-836DBE4A7DF6}"/>
            </c:ext>
          </c:extLst>
        </c:ser>
        <c:dLbls>
          <c:showLegendKey val="0"/>
          <c:showVal val="0"/>
          <c:showCatName val="0"/>
          <c:showSerName val="0"/>
          <c:showPercent val="0"/>
          <c:showBubbleSize val="0"/>
        </c:dLbls>
        <c:gapWidth val="150"/>
        <c:axId val="108736512"/>
        <c:axId val="108738048"/>
      </c:barChart>
      <c:catAx>
        <c:axId val="108736512"/>
        <c:scaling>
          <c:orientation val="minMax"/>
        </c:scaling>
        <c:delete val="1"/>
        <c:axPos val="b"/>
        <c:numFmt formatCode="General" sourceLinked="1"/>
        <c:majorTickMark val="out"/>
        <c:minorTickMark val="none"/>
        <c:tickLblPos val="nextTo"/>
        <c:crossAx val="108738048"/>
        <c:crosses val="autoZero"/>
        <c:auto val="1"/>
        <c:lblAlgn val="ctr"/>
        <c:lblOffset val="100"/>
        <c:noMultiLvlLbl val="0"/>
      </c:catAx>
      <c:valAx>
        <c:axId val="108738048"/>
        <c:scaling>
          <c:orientation val="minMax"/>
        </c:scaling>
        <c:delete val="0"/>
        <c:axPos val="l"/>
        <c:numFmt formatCode="General" sourceLinked="1"/>
        <c:majorTickMark val="out"/>
        <c:minorTickMark val="none"/>
        <c:tickLblPos val="nextTo"/>
        <c:txPr>
          <a:bodyPr/>
          <a:lstStyle/>
          <a:p>
            <a:pPr>
              <a:defRPr lang="en-GB"/>
            </a:pPr>
            <a:endParaRPr lang="en-US"/>
          </a:p>
        </c:txPr>
        <c:crossAx val="108736512"/>
        <c:crosses val="autoZero"/>
        <c:crossBetween val="between"/>
      </c:valAx>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1"/>
          <c:order val="0"/>
          <c:tx>
            <c:strRef>
              <c:f>Sheet1!$G$36:$G$37</c:f>
              <c:strCache>
                <c:ptCount val="1"/>
                <c:pt idx="0">
                  <c:v>Cash flows from Operating activities from the year 2014-2018 Amount (lakhs)</c:v>
                </c:pt>
              </c:strCache>
            </c:strRef>
          </c:tx>
          <c:spPr>
            <a:solidFill>
              <a:srgbClr val="7030A0"/>
            </a:solidFill>
          </c:spPr>
          <c:invertIfNegative val="0"/>
          <c:dLbls>
            <c:spPr>
              <a:noFill/>
              <a:ln>
                <a:noFill/>
              </a:ln>
              <a:effectLst/>
            </c:spPr>
            <c:txPr>
              <a:bodyPr/>
              <a:lstStyle/>
              <a:p>
                <a:pPr>
                  <a:defRPr lang="en-GB"/>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Sheet1!$F$38:$F$42</c:f>
              <c:numCache>
                <c:formatCode>General</c:formatCode>
                <c:ptCount val="5"/>
                <c:pt idx="0">
                  <c:v>2014</c:v>
                </c:pt>
                <c:pt idx="1">
                  <c:v>2015</c:v>
                </c:pt>
                <c:pt idx="2">
                  <c:v>2016</c:v>
                </c:pt>
                <c:pt idx="3">
                  <c:v>2017</c:v>
                </c:pt>
                <c:pt idx="4">
                  <c:v>2018</c:v>
                </c:pt>
              </c:numCache>
            </c:numRef>
          </c:cat>
          <c:val>
            <c:numRef>
              <c:f>Sheet1!$G$38:$G$42</c:f>
              <c:numCache>
                <c:formatCode>General</c:formatCode>
                <c:ptCount val="5"/>
                <c:pt idx="0">
                  <c:v>-33767.86</c:v>
                </c:pt>
                <c:pt idx="1">
                  <c:v>11283.859999999699</c:v>
                </c:pt>
                <c:pt idx="2">
                  <c:v>1951.02</c:v>
                </c:pt>
                <c:pt idx="3" formatCode="#,##0.00">
                  <c:v>-25527.57</c:v>
                </c:pt>
                <c:pt idx="4">
                  <c:v>32345.45</c:v>
                </c:pt>
              </c:numCache>
            </c:numRef>
          </c:val>
          <c:extLst xmlns:c16r2="http://schemas.microsoft.com/office/drawing/2015/06/chart">
            <c:ext xmlns:c16="http://schemas.microsoft.com/office/drawing/2014/chart" uri="{C3380CC4-5D6E-409C-BE32-E72D297353CC}">
              <c16:uniqueId val="{00000000-8E93-6840-985D-F683C73B61EE}"/>
            </c:ext>
          </c:extLst>
        </c:ser>
        <c:dLbls>
          <c:showLegendKey val="0"/>
          <c:showVal val="0"/>
          <c:showCatName val="0"/>
          <c:showSerName val="0"/>
          <c:showPercent val="0"/>
          <c:showBubbleSize val="0"/>
        </c:dLbls>
        <c:gapWidth val="150"/>
        <c:shape val="cylinder"/>
        <c:axId val="108750720"/>
        <c:axId val="108752256"/>
        <c:axId val="0"/>
      </c:bar3DChart>
      <c:catAx>
        <c:axId val="108750720"/>
        <c:scaling>
          <c:orientation val="minMax"/>
        </c:scaling>
        <c:delete val="1"/>
        <c:axPos val="b"/>
        <c:numFmt formatCode="General" sourceLinked="1"/>
        <c:majorTickMark val="out"/>
        <c:minorTickMark val="none"/>
        <c:tickLblPos val="nextTo"/>
        <c:crossAx val="108752256"/>
        <c:crosses val="autoZero"/>
        <c:auto val="1"/>
        <c:lblAlgn val="ctr"/>
        <c:lblOffset val="100"/>
        <c:noMultiLvlLbl val="0"/>
      </c:catAx>
      <c:valAx>
        <c:axId val="108752256"/>
        <c:scaling>
          <c:orientation val="minMax"/>
        </c:scaling>
        <c:delete val="0"/>
        <c:axPos val="l"/>
        <c:numFmt formatCode="General" sourceLinked="1"/>
        <c:majorTickMark val="out"/>
        <c:minorTickMark val="none"/>
        <c:tickLblPos val="nextTo"/>
        <c:txPr>
          <a:bodyPr/>
          <a:lstStyle/>
          <a:p>
            <a:pPr>
              <a:defRPr lang="en-GB"/>
            </a:pPr>
            <a:endParaRPr lang="en-US"/>
          </a:p>
        </c:txPr>
        <c:crossAx val="108750720"/>
        <c:crosses val="autoZero"/>
        <c:crossBetween val="between"/>
      </c:valAx>
    </c:plotArea>
    <c:plotVisOnly val="1"/>
    <c:dispBlanksAs val="gap"/>
    <c:showDLblsOverMax val="0"/>
  </c:chart>
  <c:spPr>
    <a:solidFill>
      <a:schemeClr val="lt1"/>
    </a:solidFill>
    <a:ln w="25400" cap="flat" cmpd="sng" algn="ctr">
      <a:solidFill>
        <a:schemeClr val="accent4"/>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2990</Words>
  <Characters>17047</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dcterms:created xsi:type="dcterms:W3CDTF">2024-07-10T06:36:00Z</dcterms:created>
  <dcterms:modified xsi:type="dcterms:W3CDTF">2024-07-10T06:36:00Z</dcterms:modified>
</cp:coreProperties>
</file>