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573BB2" w14:textId="77777777" w:rsidR="00E970C9" w:rsidRPr="000B017B" w:rsidRDefault="00E970C9" w:rsidP="00773035">
      <w:pPr>
        <w:spacing w:line="276" w:lineRule="auto"/>
        <w:ind w:left="567" w:right="567"/>
        <w:jc w:val="both"/>
        <w:rPr>
          <w:b/>
          <w:bCs/>
          <w:color w:val="000000" w:themeColor="text1"/>
          <w:sz w:val="24"/>
          <w:szCs w:val="24"/>
          <w:lang w:val="en-IN" w:eastAsia="en-IN"/>
        </w:rPr>
      </w:pPr>
    </w:p>
    <w:p w14:paraId="4CC5050D" w14:textId="1ABE53F3" w:rsidR="005D2DA7" w:rsidRPr="0010282D" w:rsidRDefault="0010282D" w:rsidP="0010282D">
      <w:pPr>
        <w:spacing w:line="276" w:lineRule="auto"/>
        <w:ind w:left="567" w:right="567"/>
        <w:jc w:val="center"/>
        <w:rPr>
          <w:b/>
          <w:color w:val="000000" w:themeColor="text1"/>
          <w:sz w:val="24"/>
          <w:szCs w:val="24"/>
        </w:rPr>
      </w:pPr>
      <w:r w:rsidRPr="0010282D">
        <w:rPr>
          <w:b/>
          <w:sz w:val="24"/>
          <w:szCs w:val="24"/>
        </w:rPr>
        <w:t>Aligning Performance: An R-squared, Correlation, and F-squared Analysis of HDFC Mutual Funds vs. Nifty 50</w:t>
      </w:r>
    </w:p>
    <w:p w14:paraId="42EDC454" w14:textId="77777777" w:rsidR="0010282D" w:rsidRDefault="0010282D" w:rsidP="005D2DA7">
      <w:pPr>
        <w:widowControl/>
        <w:autoSpaceDE/>
        <w:autoSpaceDN/>
        <w:spacing w:line="276" w:lineRule="auto"/>
        <w:ind w:left="567" w:right="567"/>
        <w:jc w:val="center"/>
        <w:rPr>
          <w:color w:val="000000" w:themeColor="text1"/>
          <w:sz w:val="24"/>
          <w:szCs w:val="24"/>
          <w:lang w:val="en-IN"/>
        </w:rPr>
      </w:pPr>
    </w:p>
    <w:p w14:paraId="1AE40FB1" w14:textId="7A447172" w:rsidR="005D2DA7" w:rsidRPr="00773035" w:rsidRDefault="00907B19" w:rsidP="005D2DA7">
      <w:pPr>
        <w:widowControl/>
        <w:autoSpaceDE/>
        <w:autoSpaceDN/>
        <w:spacing w:line="276" w:lineRule="auto"/>
        <w:ind w:left="567" w:right="567"/>
        <w:jc w:val="center"/>
        <w:rPr>
          <w:color w:val="000000" w:themeColor="text1"/>
          <w:sz w:val="24"/>
          <w:szCs w:val="24"/>
          <w:lang w:val="en-IN"/>
        </w:rPr>
      </w:pPr>
      <w:r>
        <w:rPr>
          <w:color w:val="000000" w:themeColor="text1"/>
          <w:sz w:val="24"/>
          <w:szCs w:val="24"/>
          <w:lang w:val="en-IN"/>
        </w:rPr>
        <w:t xml:space="preserve"> </w:t>
      </w:r>
      <w:r w:rsidR="005D2DA7" w:rsidRPr="00773035">
        <w:rPr>
          <w:color w:val="000000" w:themeColor="text1"/>
          <w:sz w:val="24"/>
          <w:szCs w:val="24"/>
          <w:lang w:val="en-IN"/>
        </w:rPr>
        <w:t xml:space="preserve">Y. </w:t>
      </w:r>
      <w:proofErr w:type="spellStart"/>
      <w:r w:rsidR="005D2DA7" w:rsidRPr="00773035">
        <w:rPr>
          <w:color w:val="000000" w:themeColor="text1"/>
          <w:sz w:val="24"/>
          <w:szCs w:val="24"/>
          <w:lang w:val="en-IN"/>
        </w:rPr>
        <w:t>Mounika</w:t>
      </w:r>
      <w:proofErr w:type="spellEnd"/>
      <w:r w:rsidR="005D2DA7" w:rsidRPr="00773035">
        <w:rPr>
          <w:color w:val="000000" w:themeColor="text1"/>
          <w:sz w:val="24"/>
          <w:szCs w:val="24"/>
          <w:lang w:val="en-IN"/>
        </w:rPr>
        <w:t>,</w:t>
      </w:r>
    </w:p>
    <w:p w14:paraId="3A3AAC7A" w14:textId="6319DAA8" w:rsidR="005D2DA7" w:rsidRPr="00773035" w:rsidRDefault="005D2DA7" w:rsidP="005D2DA7">
      <w:pPr>
        <w:widowControl/>
        <w:autoSpaceDE/>
        <w:autoSpaceDN/>
        <w:spacing w:line="276" w:lineRule="auto"/>
        <w:ind w:left="567" w:right="567"/>
        <w:jc w:val="center"/>
        <w:rPr>
          <w:color w:val="000000" w:themeColor="text1"/>
          <w:sz w:val="24"/>
          <w:szCs w:val="24"/>
          <w:lang w:val="en-IN"/>
        </w:rPr>
      </w:pPr>
      <w:r w:rsidRPr="00773035">
        <w:rPr>
          <w:color w:val="000000" w:themeColor="text1"/>
          <w:sz w:val="24"/>
          <w:szCs w:val="24"/>
          <w:lang w:val="en-IN"/>
        </w:rPr>
        <w:t>II MBA,</w:t>
      </w:r>
    </w:p>
    <w:p w14:paraId="77F7A07B" w14:textId="71E64561" w:rsidR="005D2DA7" w:rsidRPr="00773035" w:rsidRDefault="005D2DA7" w:rsidP="005D2DA7">
      <w:pPr>
        <w:widowControl/>
        <w:autoSpaceDE/>
        <w:autoSpaceDN/>
        <w:spacing w:line="276" w:lineRule="auto"/>
        <w:ind w:left="567" w:right="567"/>
        <w:jc w:val="center"/>
        <w:rPr>
          <w:color w:val="000000" w:themeColor="text1"/>
          <w:sz w:val="24"/>
          <w:szCs w:val="24"/>
          <w:lang w:val="en-IN"/>
        </w:rPr>
      </w:pPr>
      <w:r w:rsidRPr="00773035">
        <w:rPr>
          <w:color w:val="000000" w:themeColor="text1"/>
          <w:sz w:val="24"/>
          <w:szCs w:val="24"/>
          <w:lang w:val="en-IN"/>
        </w:rPr>
        <w:t>Department of MBA,</w:t>
      </w:r>
    </w:p>
    <w:p w14:paraId="71D4788E" w14:textId="2A009F16" w:rsidR="005D2DA7" w:rsidRPr="00773035" w:rsidRDefault="005D2DA7" w:rsidP="005D2DA7">
      <w:pPr>
        <w:widowControl/>
        <w:autoSpaceDE/>
        <w:autoSpaceDN/>
        <w:spacing w:line="276" w:lineRule="auto"/>
        <w:ind w:left="567" w:right="567"/>
        <w:jc w:val="center"/>
        <w:rPr>
          <w:color w:val="000000" w:themeColor="text1"/>
          <w:sz w:val="24"/>
          <w:szCs w:val="24"/>
          <w:lang w:val="en-IN"/>
        </w:rPr>
      </w:pPr>
      <w:proofErr w:type="spellStart"/>
      <w:r w:rsidRPr="00773035">
        <w:rPr>
          <w:color w:val="000000" w:themeColor="text1"/>
          <w:sz w:val="24"/>
          <w:szCs w:val="24"/>
          <w:lang w:val="en-IN"/>
        </w:rPr>
        <w:t>Malla</w:t>
      </w:r>
      <w:proofErr w:type="spellEnd"/>
      <w:r w:rsidRPr="00773035">
        <w:rPr>
          <w:color w:val="000000" w:themeColor="text1"/>
          <w:sz w:val="24"/>
          <w:szCs w:val="24"/>
          <w:lang w:val="en-IN"/>
        </w:rPr>
        <w:t xml:space="preserve"> Reddy Engineering College,</w:t>
      </w:r>
    </w:p>
    <w:p w14:paraId="71652EB7" w14:textId="77777777" w:rsidR="005D2DA7" w:rsidRDefault="005D2DA7" w:rsidP="005D2DA7">
      <w:pPr>
        <w:spacing w:line="276" w:lineRule="auto"/>
        <w:ind w:left="567" w:right="567"/>
        <w:jc w:val="center"/>
      </w:pPr>
      <w:r w:rsidRPr="00773035">
        <w:rPr>
          <w:color w:val="000000" w:themeColor="text1"/>
          <w:sz w:val="24"/>
          <w:szCs w:val="24"/>
          <w:lang w:val="en-IN"/>
        </w:rPr>
        <w:t>Email</w:t>
      </w:r>
      <w:proofErr w:type="gramStart"/>
      <w:r w:rsidRPr="00773035">
        <w:rPr>
          <w:color w:val="000000" w:themeColor="text1"/>
          <w:sz w:val="24"/>
          <w:szCs w:val="24"/>
          <w:lang w:val="en-IN"/>
        </w:rPr>
        <w:t>:</w:t>
      </w:r>
      <w:proofErr w:type="gramEnd"/>
      <w:r w:rsidRPr="00773035">
        <w:rPr>
          <w:color w:val="000000" w:themeColor="text1"/>
          <w:sz w:val="24"/>
          <w:szCs w:val="24"/>
          <w:lang w:val="en-IN"/>
        </w:rPr>
        <w:fldChar w:fldCharType="begin"/>
      </w:r>
      <w:r w:rsidRPr="00773035">
        <w:rPr>
          <w:color w:val="000000" w:themeColor="text1"/>
          <w:sz w:val="24"/>
          <w:szCs w:val="24"/>
          <w:lang w:val="en-IN"/>
        </w:rPr>
        <w:instrText xml:space="preserve"> HYPERLINK "mailto:mounikayellala16@gmail.com" </w:instrText>
      </w:r>
      <w:r w:rsidRPr="00773035">
        <w:rPr>
          <w:color w:val="000000" w:themeColor="text1"/>
          <w:sz w:val="24"/>
          <w:szCs w:val="24"/>
          <w:lang w:val="en-IN"/>
        </w:rPr>
        <w:fldChar w:fldCharType="separate"/>
      </w:r>
      <w:r w:rsidRPr="00773035">
        <w:t>mounikayellala16@gmail.com</w:t>
      </w:r>
      <w:r w:rsidRPr="00773035">
        <w:fldChar w:fldCharType="end"/>
      </w:r>
    </w:p>
    <w:p w14:paraId="0637060C" w14:textId="77777777" w:rsidR="005D2DA7" w:rsidRDefault="005D2DA7" w:rsidP="005D2DA7">
      <w:pPr>
        <w:spacing w:line="276" w:lineRule="auto"/>
        <w:ind w:left="567" w:right="567"/>
        <w:jc w:val="center"/>
      </w:pPr>
    </w:p>
    <w:p w14:paraId="7F21D2BF" w14:textId="74E3EAC7" w:rsidR="005D2DA7" w:rsidRPr="00773035" w:rsidRDefault="005D2DA7" w:rsidP="005D2DA7">
      <w:pPr>
        <w:spacing w:line="276" w:lineRule="auto"/>
        <w:ind w:left="567" w:right="567"/>
        <w:jc w:val="center"/>
        <w:rPr>
          <w:color w:val="000000" w:themeColor="text1"/>
          <w:sz w:val="24"/>
          <w:szCs w:val="24"/>
          <w:lang w:val="en-IN"/>
        </w:rPr>
      </w:pPr>
      <w:r w:rsidRPr="00773035">
        <w:rPr>
          <w:color w:val="000000" w:themeColor="text1"/>
          <w:sz w:val="24"/>
          <w:szCs w:val="24"/>
          <w:lang w:val="en-IN"/>
        </w:rPr>
        <w:t xml:space="preserve">Dr. </w:t>
      </w:r>
      <w:proofErr w:type="spellStart"/>
      <w:r w:rsidRPr="00773035">
        <w:rPr>
          <w:color w:val="000000" w:themeColor="text1"/>
          <w:sz w:val="24"/>
          <w:szCs w:val="24"/>
          <w:lang w:val="en-IN"/>
        </w:rPr>
        <w:t>M.Vijaykumar</w:t>
      </w:r>
      <w:proofErr w:type="spellEnd"/>
      <w:r w:rsidRPr="00773035">
        <w:rPr>
          <w:color w:val="000000" w:themeColor="text1"/>
          <w:sz w:val="24"/>
          <w:szCs w:val="24"/>
          <w:lang w:val="en-IN"/>
        </w:rPr>
        <w:t xml:space="preserve"> </w:t>
      </w:r>
      <w:proofErr w:type="spellStart"/>
      <w:r w:rsidRPr="00773035">
        <w:rPr>
          <w:color w:val="000000" w:themeColor="text1"/>
          <w:sz w:val="24"/>
          <w:szCs w:val="24"/>
          <w:lang w:val="en-IN"/>
        </w:rPr>
        <w:t>Yadav</w:t>
      </w:r>
      <w:proofErr w:type="spellEnd"/>
      <w:r w:rsidRPr="00773035">
        <w:rPr>
          <w:color w:val="000000" w:themeColor="text1"/>
          <w:sz w:val="24"/>
          <w:szCs w:val="24"/>
          <w:lang w:val="en-IN"/>
        </w:rPr>
        <w:t>,</w:t>
      </w:r>
    </w:p>
    <w:p w14:paraId="4F9EF0A2" w14:textId="66B2C1B0" w:rsidR="005D2DA7" w:rsidRPr="00773035" w:rsidRDefault="005D2DA7" w:rsidP="005D2DA7">
      <w:pPr>
        <w:widowControl/>
        <w:autoSpaceDE/>
        <w:autoSpaceDN/>
        <w:spacing w:line="276" w:lineRule="auto"/>
        <w:ind w:left="567" w:right="567"/>
        <w:jc w:val="center"/>
        <w:rPr>
          <w:color w:val="000000" w:themeColor="text1"/>
          <w:sz w:val="24"/>
          <w:szCs w:val="24"/>
          <w:lang w:val="en-IN"/>
        </w:rPr>
      </w:pPr>
      <w:r w:rsidRPr="00773035">
        <w:rPr>
          <w:color w:val="000000" w:themeColor="text1"/>
          <w:sz w:val="24"/>
          <w:szCs w:val="24"/>
          <w:lang w:val="en-IN"/>
        </w:rPr>
        <w:t>Assistant Professor,</w:t>
      </w:r>
    </w:p>
    <w:p w14:paraId="1F824B73" w14:textId="72BD5E44" w:rsidR="005D2DA7" w:rsidRPr="00773035" w:rsidRDefault="005D2DA7" w:rsidP="005D2DA7">
      <w:pPr>
        <w:widowControl/>
        <w:autoSpaceDE/>
        <w:autoSpaceDN/>
        <w:spacing w:line="276" w:lineRule="auto"/>
        <w:ind w:left="567" w:right="567"/>
        <w:jc w:val="center"/>
        <w:rPr>
          <w:color w:val="000000" w:themeColor="text1"/>
          <w:sz w:val="24"/>
          <w:szCs w:val="24"/>
          <w:lang w:val="en-IN"/>
        </w:rPr>
      </w:pPr>
      <w:r w:rsidRPr="00773035">
        <w:rPr>
          <w:color w:val="000000" w:themeColor="text1"/>
          <w:sz w:val="24"/>
          <w:szCs w:val="24"/>
          <w:lang w:val="en-IN"/>
        </w:rPr>
        <w:t>Department of MBA,</w:t>
      </w:r>
    </w:p>
    <w:p w14:paraId="64953106" w14:textId="77777777" w:rsidR="005D2DA7" w:rsidRPr="00773035" w:rsidRDefault="005D2DA7" w:rsidP="005D2DA7">
      <w:pPr>
        <w:widowControl/>
        <w:autoSpaceDE/>
        <w:autoSpaceDN/>
        <w:spacing w:line="276" w:lineRule="auto"/>
        <w:ind w:left="567" w:right="567"/>
        <w:jc w:val="center"/>
        <w:rPr>
          <w:color w:val="000000" w:themeColor="text1"/>
          <w:sz w:val="24"/>
          <w:szCs w:val="24"/>
          <w:lang w:val="en-IN"/>
        </w:rPr>
      </w:pPr>
      <w:proofErr w:type="spellStart"/>
      <w:r w:rsidRPr="00773035">
        <w:rPr>
          <w:color w:val="000000" w:themeColor="text1"/>
          <w:sz w:val="24"/>
          <w:szCs w:val="24"/>
          <w:lang w:val="en-IN"/>
        </w:rPr>
        <w:t>Malla</w:t>
      </w:r>
      <w:proofErr w:type="spellEnd"/>
      <w:r w:rsidRPr="00773035">
        <w:rPr>
          <w:color w:val="000000" w:themeColor="text1"/>
          <w:sz w:val="24"/>
          <w:szCs w:val="24"/>
          <w:lang w:val="en-IN"/>
        </w:rPr>
        <w:t xml:space="preserve"> Reddy Engineering College,</w:t>
      </w:r>
    </w:p>
    <w:p w14:paraId="4A86A080" w14:textId="47FAC42B" w:rsidR="005D2DA7" w:rsidRPr="00773035" w:rsidRDefault="00907B19" w:rsidP="005D2DA7">
      <w:pPr>
        <w:widowControl/>
        <w:autoSpaceDE/>
        <w:autoSpaceDN/>
        <w:spacing w:line="276" w:lineRule="auto"/>
        <w:ind w:right="567"/>
        <w:jc w:val="center"/>
        <w:rPr>
          <w:color w:val="000000" w:themeColor="text1"/>
          <w:sz w:val="24"/>
          <w:szCs w:val="24"/>
          <w:lang w:val="en-IN"/>
        </w:rPr>
      </w:pPr>
      <w:r>
        <w:rPr>
          <w:color w:val="000000" w:themeColor="text1"/>
          <w:sz w:val="24"/>
          <w:szCs w:val="24"/>
          <w:lang w:val="en-IN"/>
        </w:rPr>
        <w:t xml:space="preserve">        </w:t>
      </w:r>
      <w:r w:rsidR="005D2DA7" w:rsidRPr="00773035">
        <w:rPr>
          <w:color w:val="000000" w:themeColor="text1"/>
          <w:sz w:val="24"/>
          <w:szCs w:val="24"/>
          <w:lang w:val="en-IN"/>
        </w:rPr>
        <w:t>E-mail:</w:t>
      </w:r>
      <w:hyperlink r:id="rId7" w:history="1">
        <w:r w:rsidR="005D2DA7" w:rsidRPr="00773035">
          <w:t>mvijayyadav949@gmail.com</w:t>
        </w:r>
      </w:hyperlink>
    </w:p>
    <w:p w14:paraId="7384FCF0" w14:textId="77777777" w:rsidR="00E970C9" w:rsidRPr="000B017B" w:rsidRDefault="00E970C9" w:rsidP="005D2DA7">
      <w:pPr>
        <w:spacing w:line="276" w:lineRule="auto"/>
        <w:ind w:left="567" w:right="567"/>
        <w:jc w:val="center"/>
        <w:rPr>
          <w:b/>
          <w:bCs/>
          <w:color w:val="000000" w:themeColor="text1"/>
          <w:sz w:val="24"/>
          <w:szCs w:val="24"/>
          <w:lang w:val="en-IN" w:eastAsia="en-IN"/>
        </w:rPr>
      </w:pPr>
    </w:p>
    <w:p w14:paraId="126A75C0" w14:textId="26565F10" w:rsidR="00D66FFC" w:rsidRPr="000B017B" w:rsidRDefault="003A21A5" w:rsidP="00773035">
      <w:pPr>
        <w:spacing w:line="276" w:lineRule="auto"/>
        <w:ind w:left="567" w:right="567"/>
        <w:jc w:val="both"/>
        <w:rPr>
          <w:b/>
          <w:bCs/>
          <w:i/>
          <w:iCs/>
          <w:color w:val="000000" w:themeColor="text1"/>
          <w:sz w:val="24"/>
          <w:szCs w:val="24"/>
        </w:rPr>
      </w:pPr>
      <w:r w:rsidRPr="000B017B">
        <w:rPr>
          <w:b/>
          <w:bCs/>
          <w:i/>
          <w:iCs/>
          <w:color w:val="000000" w:themeColor="text1"/>
          <w:sz w:val="24"/>
          <w:szCs w:val="24"/>
        </w:rPr>
        <w:t>Abstract</w:t>
      </w:r>
    </w:p>
    <w:p w14:paraId="4D78A45A" w14:textId="77777777" w:rsidR="00332D24" w:rsidRPr="000B017B" w:rsidRDefault="00332D24" w:rsidP="00773035">
      <w:pPr>
        <w:spacing w:line="276" w:lineRule="auto"/>
        <w:ind w:left="567" w:right="567"/>
        <w:jc w:val="both"/>
        <w:rPr>
          <w:b/>
          <w:bCs/>
          <w:color w:val="000000" w:themeColor="text1"/>
          <w:sz w:val="24"/>
          <w:szCs w:val="24"/>
        </w:rPr>
      </w:pPr>
    </w:p>
    <w:p w14:paraId="32922211" w14:textId="77777777" w:rsidR="00D97C1E" w:rsidRPr="00D97C1E" w:rsidRDefault="00D97C1E" w:rsidP="00773035">
      <w:pPr>
        <w:spacing w:line="276" w:lineRule="auto"/>
        <w:ind w:left="567" w:right="567"/>
        <w:jc w:val="both"/>
        <w:rPr>
          <w:color w:val="000000" w:themeColor="text1"/>
          <w:sz w:val="24"/>
          <w:szCs w:val="24"/>
          <w:lang w:val="en-IN"/>
        </w:rPr>
      </w:pPr>
      <w:r w:rsidRPr="00D97C1E">
        <w:rPr>
          <w:color w:val="000000" w:themeColor="text1"/>
          <w:sz w:val="24"/>
          <w:szCs w:val="24"/>
          <w:lang w:val="en-IN"/>
        </w:rPr>
        <w:t>This analysis examined the performance relationships between four HDFC mutual funds and the Nifty 50 index. While lacking specific timeframe data, the study used R-squared, correlation matrix, and F-squared values to reveal valuable insights. HDFC Nomura Balanced Growth demonstrated the strongest alignment with the Nifty's movements, while HDFC Income Fund Growth showed the least. The analysis of correlations suggested potential diversification benefits from including HDFC Magnum Balanced and Nomura Balanced Funds in a portfolio, due to their strong positive correlations with each other and the broader market. Overall, this information can empower investors to make informed decisions regarding portfolio construction and risk management by understanding how these HDFC funds behave relative to the Nifty index.</w:t>
      </w:r>
    </w:p>
    <w:p w14:paraId="7048ED15" w14:textId="77777777" w:rsidR="003A21A5" w:rsidRPr="000B017B" w:rsidRDefault="003A21A5" w:rsidP="00773035">
      <w:pPr>
        <w:spacing w:line="276" w:lineRule="auto"/>
        <w:ind w:left="567" w:right="567"/>
        <w:jc w:val="both"/>
        <w:rPr>
          <w:color w:val="000000" w:themeColor="text1"/>
          <w:sz w:val="24"/>
          <w:szCs w:val="24"/>
        </w:rPr>
      </w:pPr>
    </w:p>
    <w:p w14:paraId="4CBA1196" w14:textId="02CE9778" w:rsidR="00272605" w:rsidRPr="000B017B" w:rsidRDefault="00272605" w:rsidP="00773035">
      <w:pPr>
        <w:spacing w:line="276" w:lineRule="auto"/>
        <w:ind w:left="567" w:right="567"/>
        <w:jc w:val="both"/>
        <w:rPr>
          <w:color w:val="000000" w:themeColor="text1"/>
          <w:sz w:val="24"/>
          <w:szCs w:val="24"/>
        </w:rPr>
      </w:pPr>
      <w:r w:rsidRPr="000B017B">
        <w:rPr>
          <w:b/>
          <w:bCs/>
          <w:i/>
          <w:iCs/>
          <w:color w:val="000000" w:themeColor="text1"/>
          <w:sz w:val="24"/>
          <w:szCs w:val="24"/>
        </w:rPr>
        <w:t>Keywords:</w:t>
      </w:r>
      <w:r w:rsidR="00182596" w:rsidRPr="000B017B">
        <w:rPr>
          <w:color w:val="000000" w:themeColor="text1"/>
          <w:sz w:val="24"/>
          <w:szCs w:val="24"/>
        </w:rPr>
        <w:t xml:space="preserve"> Comparative Analysis, Mutual Funds, HDFC Bank, Performance Metrics, Sharpe Ratio.</w:t>
      </w:r>
    </w:p>
    <w:p w14:paraId="38AE5287" w14:textId="77777777" w:rsidR="00332D24" w:rsidRPr="000B017B" w:rsidRDefault="00332D24" w:rsidP="00773035">
      <w:pPr>
        <w:spacing w:line="276" w:lineRule="auto"/>
        <w:ind w:right="567"/>
        <w:jc w:val="both"/>
        <w:rPr>
          <w:b/>
          <w:color w:val="000000" w:themeColor="text1"/>
          <w:spacing w:val="-2"/>
          <w:sz w:val="24"/>
          <w:szCs w:val="24"/>
        </w:rPr>
      </w:pPr>
    </w:p>
    <w:p w14:paraId="19340C5D" w14:textId="5A3BF7E9" w:rsidR="00D66FFC" w:rsidRPr="000B017B" w:rsidRDefault="003A21A5" w:rsidP="00773035">
      <w:pPr>
        <w:spacing w:line="276" w:lineRule="auto"/>
        <w:ind w:left="567" w:right="567"/>
        <w:jc w:val="both"/>
        <w:rPr>
          <w:b/>
          <w:i/>
          <w:iCs/>
          <w:color w:val="000000" w:themeColor="text1"/>
          <w:spacing w:val="-2"/>
          <w:sz w:val="24"/>
          <w:szCs w:val="24"/>
        </w:rPr>
      </w:pPr>
      <w:r w:rsidRPr="000B017B">
        <w:rPr>
          <w:b/>
          <w:i/>
          <w:iCs/>
          <w:color w:val="000000" w:themeColor="text1"/>
          <w:spacing w:val="-2"/>
          <w:sz w:val="24"/>
          <w:szCs w:val="24"/>
        </w:rPr>
        <w:t>Introduction</w:t>
      </w:r>
    </w:p>
    <w:p w14:paraId="60DFE1C1" w14:textId="77777777" w:rsidR="008E1328" w:rsidRPr="000B017B" w:rsidRDefault="008E1328" w:rsidP="00773035">
      <w:pPr>
        <w:spacing w:line="276" w:lineRule="auto"/>
        <w:ind w:left="567" w:right="567"/>
        <w:jc w:val="both"/>
        <w:rPr>
          <w:iCs/>
          <w:color w:val="000000" w:themeColor="text1"/>
          <w:spacing w:val="-2"/>
          <w:sz w:val="24"/>
          <w:szCs w:val="24"/>
        </w:rPr>
      </w:pPr>
    </w:p>
    <w:p w14:paraId="7F000472" w14:textId="7E185398" w:rsidR="00133744" w:rsidRPr="000B017B" w:rsidRDefault="008E1328" w:rsidP="00773035">
      <w:pPr>
        <w:spacing w:line="276" w:lineRule="auto"/>
        <w:ind w:left="567" w:right="567"/>
        <w:jc w:val="both"/>
        <w:rPr>
          <w:iCs/>
          <w:color w:val="000000" w:themeColor="text1"/>
          <w:spacing w:val="-2"/>
          <w:sz w:val="24"/>
          <w:szCs w:val="24"/>
        </w:rPr>
      </w:pPr>
      <w:r w:rsidRPr="000B017B">
        <w:rPr>
          <w:iCs/>
          <w:color w:val="000000" w:themeColor="text1"/>
          <w:spacing w:val="-2"/>
          <w:sz w:val="24"/>
          <w:szCs w:val="24"/>
        </w:rPr>
        <w:t xml:space="preserve">Mutual funds are investment vehicles that pool money from multiple investors to create a diversified portfolio of securities, such as stocks, bonds, and money market instruments. These funds are managed by professional portfolio managers who use their expertise to select and manage the investments in line with the fund's specific objectives. By investing in mutual funds, individuals can gain exposure to a wide range of assets, thereby spreading risk and potentially enhancing returns. This collective </w:t>
      </w:r>
      <w:r w:rsidRPr="000B017B">
        <w:rPr>
          <w:iCs/>
          <w:color w:val="000000" w:themeColor="text1"/>
          <w:spacing w:val="-2"/>
          <w:sz w:val="24"/>
          <w:szCs w:val="24"/>
        </w:rPr>
        <w:lastRenderedPageBreak/>
        <w:t>investment approach makes mutual funds an attractive option for those who may lack the time, expertise, or resources to manage their own investment portfolios.</w:t>
      </w:r>
    </w:p>
    <w:p w14:paraId="793278CD" w14:textId="77777777" w:rsidR="00387849" w:rsidRPr="000B017B" w:rsidRDefault="008E1328" w:rsidP="00773035">
      <w:pPr>
        <w:spacing w:line="276" w:lineRule="auto"/>
        <w:ind w:left="567" w:right="567"/>
        <w:jc w:val="both"/>
        <w:rPr>
          <w:iCs/>
          <w:color w:val="000000" w:themeColor="text1"/>
          <w:spacing w:val="-2"/>
          <w:sz w:val="24"/>
          <w:szCs w:val="24"/>
        </w:rPr>
      </w:pPr>
      <w:r w:rsidRPr="000B017B">
        <w:rPr>
          <w:iCs/>
          <w:color w:val="000000" w:themeColor="text1"/>
          <w:spacing w:val="-2"/>
          <w:sz w:val="24"/>
          <w:szCs w:val="24"/>
        </w:rPr>
        <w:t>The primary advantage of mutual funds is their ability to offer diversification and professional management at a relatively low cost. Investors can choose from various types of mutual funds, each designed to meet different financial goals and risk tolerance levels, such as equity funds, bond funds, balanced funds, and money market funds. Additionally, mutual funds provide liquidity, allowing investors to buy or sell their shares at the current net asset value (NAV) at the end of each trading day. However, it is important to note that mutual funds are subject to market risks, and their performance can fluctuate based on the underlying assets. Therefore, while mutual funds offer a convenient and potentially profitable investment option, they do not guarantee fixed returns, and investors should consider their financial goals and risk tolerance before investing</w:t>
      </w:r>
    </w:p>
    <w:p w14:paraId="23E36897" w14:textId="08119BC7" w:rsidR="00387849" w:rsidRPr="000B017B" w:rsidRDefault="00133744" w:rsidP="00773035">
      <w:pPr>
        <w:pStyle w:val="NormalWeb"/>
        <w:spacing w:line="276" w:lineRule="auto"/>
        <w:jc w:val="both"/>
        <w:rPr>
          <w:color w:val="000000" w:themeColor="text1"/>
        </w:rPr>
      </w:pPr>
      <w:r w:rsidRPr="000B017B">
        <w:rPr>
          <w:color w:val="000000" w:themeColor="text1"/>
        </w:rPr>
        <w:t xml:space="preserve">      </w:t>
      </w:r>
      <w:r w:rsidR="00995B1E" w:rsidRPr="000B017B">
        <w:rPr>
          <w:color w:val="000000" w:themeColor="text1"/>
        </w:rPr>
        <w:t xml:space="preserve">  </w:t>
      </w:r>
      <w:r w:rsidRPr="000B017B">
        <w:rPr>
          <w:color w:val="000000" w:themeColor="text1"/>
        </w:rPr>
        <w:t xml:space="preserve"> </w:t>
      </w:r>
      <w:r w:rsidR="0061219E" w:rsidRPr="000B017B">
        <w:rPr>
          <w:color w:val="000000" w:themeColor="text1"/>
        </w:rPr>
        <w:t xml:space="preserve"> </w:t>
      </w:r>
      <w:r w:rsidR="00387849" w:rsidRPr="000B017B">
        <w:rPr>
          <w:color w:val="000000" w:themeColor="text1"/>
        </w:rPr>
        <w:t>Here are some key points to understand about mutual funds:</w:t>
      </w:r>
    </w:p>
    <w:p w14:paraId="66301C41" w14:textId="77777777" w:rsidR="00387849" w:rsidRPr="000B017B" w:rsidRDefault="00387849" w:rsidP="00773035">
      <w:pPr>
        <w:pStyle w:val="NormalWeb"/>
        <w:numPr>
          <w:ilvl w:val="0"/>
          <w:numId w:val="20"/>
        </w:numPr>
        <w:spacing w:line="276" w:lineRule="auto"/>
        <w:jc w:val="both"/>
        <w:rPr>
          <w:color w:val="000000" w:themeColor="text1"/>
        </w:rPr>
      </w:pPr>
      <w:r w:rsidRPr="000B017B">
        <w:rPr>
          <w:rStyle w:val="Strong"/>
          <w:color w:val="000000" w:themeColor="text1"/>
        </w:rPr>
        <w:t>Diversification</w:t>
      </w:r>
      <w:r w:rsidRPr="000B017B">
        <w:rPr>
          <w:color w:val="000000" w:themeColor="text1"/>
        </w:rPr>
        <w:t>: By investing in a mutual fund, you spread your money across a diverse range of securities, reducing the risk compared to investing in individual stocks or bonds.</w:t>
      </w:r>
    </w:p>
    <w:p w14:paraId="7EAEE9C4" w14:textId="35F16201" w:rsidR="00387849" w:rsidRPr="000B017B" w:rsidRDefault="00387849" w:rsidP="00773035">
      <w:pPr>
        <w:pStyle w:val="NormalWeb"/>
        <w:numPr>
          <w:ilvl w:val="0"/>
          <w:numId w:val="20"/>
        </w:numPr>
        <w:spacing w:line="276" w:lineRule="auto"/>
        <w:jc w:val="both"/>
        <w:rPr>
          <w:color w:val="000000" w:themeColor="text1"/>
        </w:rPr>
      </w:pPr>
      <w:r w:rsidRPr="000B017B">
        <w:rPr>
          <w:b/>
          <w:color w:val="000000" w:themeColor="text1"/>
        </w:rPr>
        <w:t>Professional Management</w:t>
      </w:r>
      <w:r w:rsidRPr="000B017B">
        <w:rPr>
          <w:color w:val="000000" w:themeColor="text1"/>
        </w:rPr>
        <w:t xml:space="preserve">: Mutual funds are managed by experienced professionals who research and </w:t>
      </w:r>
      <w:proofErr w:type="spellStart"/>
      <w:r w:rsidRPr="000B017B">
        <w:rPr>
          <w:color w:val="000000" w:themeColor="text1"/>
        </w:rPr>
        <w:t>analyze</w:t>
      </w:r>
      <w:proofErr w:type="spellEnd"/>
      <w:r w:rsidRPr="000B017B">
        <w:rPr>
          <w:color w:val="000000" w:themeColor="text1"/>
        </w:rPr>
        <w:t xml:space="preserve"> investments, making decisions to buy, sell, or hold securities within the fund's portfolio.</w:t>
      </w:r>
    </w:p>
    <w:p w14:paraId="35C68694" w14:textId="5FD46208" w:rsidR="00387849" w:rsidRPr="000B017B" w:rsidRDefault="00387849" w:rsidP="00773035">
      <w:pPr>
        <w:pStyle w:val="NormalWeb"/>
        <w:numPr>
          <w:ilvl w:val="0"/>
          <w:numId w:val="20"/>
        </w:numPr>
        <w:spacing w:line="276" w:lineRule="auto"/>
        <w:jc w:val="both"/>
        <w:rPr>
          <w:color w:val="000000" w:themeColor="text1"/>
        </w:rPr>
      </w:pPr>
      <w:r w:rsidRPr="000B017B">
        <w:rPr>
          <w:b/>
          <w:color w:val="000000" w:themeColor="text1"/>
        </w:rPr>
        <w:t>Variety of Funds:</w:t>
      </w:r>
      <w:r w:rsidRPr="000B017B">
        <w:rPr>
          <w:color w:val="000000" w:themeColor="text1"/>
        </w:rPr>
        <w:t xml:space="preserve"> There are various types of mutual funds, each with its own investment strategy and objectives. These include equity funds (investing in stocks), bond funds (investing in bonds), balanced funds (mix of stocks and bonds), money market funds (short-term, low-risk investments), and specialty funds (focused on specific sectors or themes).</w:t>
      </w:r>
    </w:p>
    <w:p w14:paraId="74AA22B8" w14:textId="1C25ACB1" w:rsidR="00387849" w:rsidRPr="000B017B" w:rsidRDefault="00387849" w:rsidP="00773035">
      <w:pPr>
        <w:pStyle w:val="NormalWeb"/>
        <w:numPr>
          <w:ilvl w:val="0"/>
          <w:numId w:val="20"/>
        </w:numPr>
        <w:spacing w:line="276" w:lineRule="auto"/>
        <w:jc w:val="both"/>
        <w:rPr>
          <w:color w:val="000000" w:themeColor="text1"/>
        </w:rPr>
      </w:pPr>
      <w:r w:rsidRPr="000B017B">
        <w:rPr>
          <w:b/>
          <w:color w:val="000000" w:themeColor="text1"/>
        </w:rPr>
        <w:t>Liquidity:</w:t>
      </w:r>
      <w:r w:rsidRPr="000B017B">
        <w:rPr>
          <w:color w:val="000000" w:themeColor="text1"/>
        </w:rPr>
        <w:t xml:space="preserve"> Mutual funds generally offer high liquidity, allowing investors to buy or sell their shares on any business day at the fund's net asset value (NAV).</w:t>
      </w:r>
    </w:p>
    <w:p w14:paraId="3C0EF14E" w14:textId="4ED4ECB0" w:rsidR="00387849" w:rsidRPr="000B017B" w:rsidRDefault="00387849" w:rsidP="00773035">
      <w:pPr>
        <w:pStyle w:val="NormalWeb"/>
        <w:numPr>
          <w:ilvl w:val="0"/>
          <w:numId w:val="20"/>
        </w:numPr>
        <w:spacing w:line="276" w:lineRule="auto"/>
        <w:jc w:val="both"/>
        <w:rPr>
          <w:color w:val="000000" w:themeColor="text1"/>
        </w:rPr>
      </w:pPr>
      <w:r w:rsidRPr="000B017B">
        <w:rPr>
          <w:b/>
          <w:color w:val="000000" w:themeColor="text1"/>
        </w:rPr>
        <w:t>Fees and Expenses:</w:t>
      </w:r>
      <w:r w:rsidRPr="000B017B">
        <w:rPr>
          <w:color w:val="000000" w:themeColor="text1"/>
        </w:rPr>
        <w:t xml:space="preserve"> Investors pay fees and expenses associated with mutual funds, including management fees, operating costs, and sales charges (load funds). It's important to understand these costs as they can impact your overall returns.</w:t>
      </w:r>
    </w:p>
    <w:p w14:paraId="5C918AE2" w14:textId="4A30707D" w:rsidR="00086879" w:rsidRPr="000B017B" w:rsidRDefault="00086879" w:rsidP="00773035">
      <w:pPr>
        <w:pStyle w:val="BodyText"/>
        <w:spacing w:before="199" w:line="276" w:lineRule="auto"/>
        <w:ind w:left="567" w:right="567"/>
        <w:jc w:val="both"/>
        <w:rPr>
          <w:color w:val="000000" w:themeColor="text1"/>
        </w:rPr>
      </w:pPr>
      <w:r w:rsidRPr="000B017B">
        <w:rPr>
          <w:color w:val="000000" w:themeColor="text1"/>
        </w:rPr>
        <w:t>In the complex and competitive world of finance, mutual funds have become a popular choice for investors seeking to grow their wealth. These collective investment schemes offer a diversified portfolio, managed by professionals, aimed at achieving a specific investment objective. However, with a vast array of mutual funds in the market, each with distinct characteristics and performance histories, investors face the challenge of selecting the most suitable options for their financial goals. This document will provide a detailed introduction to the comparative investment analysis of mutual funds, guiding you through the process of evaluating different funds to make informed investment decisions.</w:t>
      </w:r>
    </w:p>
    <w:p w14:paraId="6972EABC" w14:textId="6266F839" w:rsidR="009B59D1" w:rsidRPr="004E574C" w:rsidRDefault="009B59D1" w:rsidP="004E574C">
      <w:pPr>
        <w:pStyle w:val="BodyText"/>
        <w:spacing w:before="34" w:line="276" w:lineRule="auto"/>
        <w:ind w:left="567" w:right="567"/>
        <w:jc w:val="both"/>
        <w:rPr>
          <w:color w:val="000000" w:themeColor="text1"/>
        </w:rPr>
      </w:pPr>
      <w:r w:rsidRPr="009B59D1">
        <w:rPr>
          <w:color w:val="000000" w:themeColor="text1"/>
        </w:rPr>
        <w:lastRenderedPageBreak/>
        <w:t>The study on aligning performance through R-squared, correlation, and F-squared analysis of HDFC Mutual Funds versus the Nifty 50 index is essential to provide investors and financial analysts with insights into the effectiveness of these funds in relation to the broader market benchmark. By analyzing these metrics, the study aims to assess the degree to which HDFC Mutual Funds' performance correlates with and replicates movements in the Nifty 50 index. This analysis will help in understanding the funds' ability to provide returns consistent with or superior to the market index, thereby guiding investors in making informed decisions regarding fund selection and portfolio diversification strategies. Moreover, the study will explore the factors influencing the alignment of performance, such as fund strategies, asset allocation, and market conditions, offering valuable insights into optimizing investment outcomes and risk management strategies tailored to the specific dynamics of HDFC Mutual Funds vis-à-vis the Nifty 50.</w:t>
      </w:r>
    </w:p>
    <w:p w14:paraId="4DC587B4" w14:textId="77777777" w:rsidR="00D66FFC" w:rsidRPr="000B017B" w:rsidRDefault="00D66FFC" w:rsidP="00773035">
      <w:pPr>
        <w:pStyle w:val="BodyText"/>
        <w:spacing w:before="36" w:line="276" w:lineRule="auto"/>
        <w:ind w:left="567" w:right="567"/>
        <w:jc w:val="both"/>
        <w:rPr>
          <w:b/>
          <w:i/>
          <w:iCs/>
          <w:color w:val="000000" w:themeColor="text1"/>
        </w:rPr>
      </w:pPr>
    </w:p>
    <w:p w14:paraId="0E15FEA2" w14:textId="7426A09B" w:rsidR="000D1BB7" w:rsidRPr="000B017B" w:rsidRDefault="007D4435" w:rsidP="00773035">
      <w:pPr>
        <w:pStyle w:val="Heading3"/>
        <w:tabs>
          <w:tab w:val="left" w:pos="2053"/>
        </w:tabs>
        <w:spacing w:line="276" w:lineRule="auto"/>
        <w:ind w:left="0" w:right="567"/>
        <w:jc w:val="both"/>
        <w:rPr>
          <w:i/>
          <w:iCs/>
          <w:color w:val="000000" w:themeColor="text1"/>
          <w:sz w:val="24"/>
          <w:szCs w:val="24"/>
          <w:u w:val="none"/>
        </w:rPr>
      </w:pPr>
      <w:r w:rsidRPr="000B017B">
        <w:rPr>
          <w:color w:val="000000" w:themeColor="text1"/>
          <w:sz w:val="24"/>
          <w:szCs w:val="24"/>
          <w:u w:val="none"/>
        </w:rPr>
        <w:t xml:space="preserve">       </w:t>
      </w:r>
      <w:r w:rsidR="003A21A5" w:rsidRPr="000B017B">
        <w:rPr>
          <w:i/>
          <w:iCs/>
          <w:color w:val="000000" w:themeColor="text1"/>
          <w:sz w:val="24"/>
          <w:szCs w:val="24"/>
          <w:u w:val="none"/>
        </w:rPr>
        <w:t xml:space="preserve">   Objectives of the Study</w:t>
      </w:r>
    </w:p>
    <w:p w14:paraId="7CD6500F" w14:textId="77777777" w:rsidR="000D1BB7" w:rsidRPr="000B017B" w:rsidRDefault="000D1BB7" w:rsidP="00773035">
      <w:pPr>
        <w:pStyle w:val="BodyText"/>
        <w:spacing w:before="39" w:line="276" w:lineRule="auto"/>
        <w:ind w:left="567" w:right="567"/>
        <w:jc w:val="both"/>
        <w:rPr>
          <w:b/>
          <w:color w:val="000000" w:themeColor="text1"/>
        </w:rPr>
      </w:pPr>
    </w:p>
    <w:p w14:paraId="1FF9EFDE" w14:textId="77777777" w:rsidR="000D1BB7" w:rsidRPr="000B017B" w:rsidRDefault="000D1BB7" w:rsidP="00773035">
      <w:pPr>
        <w:pStyle w:val="ListParagraph"/>
        <w:numPr>
          <w:ilvl w:val="2"/>
          <w:numId w:val="12"/>
        </w:numPr>
        <w:tabs>
          <w:tab w:val="left" w:pos="2321"/>
          <w:tab w:val="left" w:pos="2352"/>
        </w:tabs>
        <w:spacing w:before="18" w:line="276" w:lineRule="auto"/>
        <w:ind w:left="984" w:right="567"/>
        <w:jc w:val="both"/>
        <w:rPr>
          <w:color w:val="000000" w:themeColor="text1"/>
          <w:sz w:val="24"/>
          <w:szCs w:val="24"/>
        </w:rPr>
      </w:pPr>
      <w:r w:rsidRPr="000B017B">
        <w:rPr>
          <w:color w:val="000000" w:themeColor="text1"/>
          <w:sz w:val="24"/>
          <w:szCs w:val="24"/>
        </w:rPr>
        <w:t>To</w:t>
      </w:r>
      <w:r w:rsidRPr="000B017B">
        <w:rPr>
          <w:color w:val="000000" w:themeColor="text1"/>
          <w:spacing w:val="74"/>
          <w:sz w:val="24"/>
          <w:szCs w:val="24"/>
        </w:rPr>
        <w:t xml:space="preserve"> </w:t>
      </w:r>
      <w:r w:rsidRPr="000B017B">
        <w:rPr>
          <w:color w:val="000000" w:themeColor="text1"/>
          <w:sz w:val="24"/>
          <w:szCs w:val="24"/>
        </w:rPr>
        <w:t>evaluate</w:t>
      </w:r>
      <w:r w:rsidRPr="000B017B">
        <w:rPr>
          <w:color w:val="000000" w:themeColor="text1"/>
          <w:spacing w:val="74"/>
          <w:sz w:val="24"/>
          <w:szCs w:val="24"/>
        </w:rPr>
        <w:t xml:space="preserve"> </w:t>
      </w:r>
      <w:r w:rsidRPr="000B017B">
        <w:rPr>
          <w:color w:val="000000" w:themeColor="text1"/>
          <w:sz w:val="24"/>
          <w:szCs w:val="24"/>
        </w:rPr>
        <w:t>the</w:t>
      </w:r>
      <w:r w:rsidRPr="000B017B">
        <w:rPr>
          <w:color w:val="000000" w:themeColor="text1"/>
          <w:spacing w:val="74"/>
          <w:sz w:val="24"/>
          <w:szCs w:val="24"/>
        </w:rPr>
        <w:t xml:space="preserve"> </w:t>
      </w:r>
      <w:r w:rsidRPr="000B017B">
        <w:rPr>
          <w:color w:val="000000" w:themeColor="text1"/>
          <w:sz w:val="24"/>
          <w:szCs w:val="24"/>
        </w:rPr>
        <w:t>financial</w:t>
      </w:r>
      <w:r w:rsidRPr="000B017B">
        <w:rPr>
          <w:color w:val="000000" w:themeColor="text1"/>
          <w:spacing w:val="74"/>
          <w:sz w:val="24"/>
          <w:szCs w:val="24"/>
        </w:rPr>
        <w:t xml:space="preserve"> </w:t>
      </w:r>
      <w:r w:rsidRPr="000B017B">
        <w:rPr>
          <w:color w:val="000000" w:themeColor="text1"/>
          <w:sz w:val="24"/>
          <w:szCs w:val="24"/>
        </w:rPr>
        <w:t>performance</w:t>
      </w:r>
      <w:r w:rsidRPr="000B017B">
        <w:rPr>
          <w:color w:val="000000" w:themeColor="text1"/>
          <w:spacing w:val="74"/>
          <w:sz w:val="24"/>
          <w:szCs w:val="24"/>
        </w:rPr>
        <w:t xml:space="preserve"> </w:t>
      </w:r>
      <w:r w:rsidRPr="000B017B">
        <w:rPr>
          <w:color w:val="000000" w:themeColor="text1"/>
          <w:sz w:val="24"/>
          <w:szCs w:val="24"/>
        </w:rPr>
        <w:t>of</w:t>
      </w:r>
      <w:r w:rsidRPr="000B017B">
        <w:rPr>
          <w:color w:val="000000" w:themeColor="text1"/>
          <w:spacing w:val="74"/>
          <w:sz w:val="24"/>
          <w:szCs w:val="24"/>
        </w:rPr>
        <w:t xml:space="preserve"> </w:t>
      </w:r>
      <w:r w:rsidRPr="000B017B">
        <w:rPr>
          <w:color w:val="000000" w:themeColor="text1"/>
          <w:sz w:val="24"/>
          <w:szCs w:val="24"/>
        </w:rPr>
        <w:t>selected</w:t>
      </w:r>
      <w:r w:rsidRPr="000B017B">
        <w:rPr>
          <w:color w:val="000000" w:themeColor="text1"/>
          <w:spacing w:val="74"/>
          <w:sz w:val="24"/>
          <w:szCs w:val="24"/>
        </w:rPr>
        <w:t xml:space="preserve"> </w:t>
      </w:r>
      <w:r w:rsidRPr="000B017B">
        <w:rPr>
          <w:color w:val="000000" w:themeColor="text1"/>
          <w:sz w:val="24"/>
          <w:szCs w:val="24"/>
        </w:rPr>
        <w:t>major</w:t>
      </w:r>
      <w:r w:rsidRPr="000B017B">
        <w:rPr>
          <w:color w:val="000000" w:themeColor="text1"/>
          <w:spacing w:val="74"/>
          <w:sz w:val="24"/>
          <w:szCs w:val="24"/>
        </w:rPr>
        <w:t xml:space="preserve"> </w:t>
      </w:r>
      <w:r w:rsidRPr="000B017B">
        <w:rPr>
          <w:color w:val="000000" w:themeColor="text1"/>
          <w:sz w:val="24"/>
          <w:szCs w:val="24"/>
        </w:rPr>
        <w:t>schemes</w:t>
      </w:r>
      <w:r w:rsidRPr="000B017B">
        <w:rPr>
          <w:color w:val="000000" w:themeColor="text1"/>
          <w:spacing w:val="75"/>
          <w:sz w:val="24"/>
          <w:szCs w:val="24"/>
        </w:rPr>
        <w:t xml:space="preserve"> </w:t>
      </w:r>
      <w:r w:rsidRPr="000B017B">
        <w:rPr>
          <w:color w:val="000000" w:themeColor="text1"/>
          <w:sz w:val="24"/>
          <w:szCs w:val="24"/>
        </w:rPr>
        <w:t>of different companies.</w:t>
      </w:r>
    </w:p>
    <w:p w14:paraId="3AC128A2" w14:textId="73CDA6EF" w:rsidR="00E970C9" w:rsidRPr="000B017B" w:rsidRDefault="006B46D6" w:rsidP="00773035">
      <w:pPr>
        <w:pStyle w:val="ListParagraph"/>
        <w:numPr>
          <w:ilvl w:val="2"/>
          <w:numId w:val="12"/>
        </w:numPr>
        <w:tabs>
          <w:tab w:val="left" w:pos="2321"/>
          <w:tab w:val="left" w:pos="2352"/>
        </w:tabs>
        <w:spacing w:before="13" w:line="276" w:lineRule="auto"/>
        <w:ind w:left="984" w:right="567"/>
        <w:jc w:val="both"/>
        <w:rPr>
          <w:color w:val="000000" w:themeColor="text1"/>
          <w:sz w:val="24"/>
          <w:szCs w:val="24"/>
        </w:rPr>
      </w:pPr>
      <w:r w:rsidRPr="000B017B">
        <w:rPr>
          <w:color w:val="000000" w:themeColor="text1"/>
          <w:sz w:val="24"/>
          <w:szCs w:val="24"/>
        </w:rPr>
        <w:t>To Analyze and compare risk profiles (standard deviation, beta) to understand risk-adjusted returns between mutual funds and HDFC Bank offerings</w:t>
      </w:r>
      <w:r w:rsidR="00133744" w:rsidRPr="000B017B">
        <w:rPr>
          <w:color w:val="000000" w:themeColor="text1"/>
          <w:sz w:val="24"/>
          <w:szCs w:val="24"/>
        </w:rPr>
        <w:t>.</w:t>
      </w:r>
    </w:p>
    <w:p w14:paraId="2BD7FBE0" w14:textId="77777777" w:rsidR="00AF639E" w:rsidRPr="000B017B" w:rsidRDefault="00AF639E" w:rsidP="00773035">
      <w:pPr>
        <w:pStyle w:val="Heading3"/>
        <w:tabs>
          <w:tab w:val="left" w:pos="2053"/>
        </w:tabs>
        <w:spacing w:line="276" w:lineRule="auto"/>
        <w:ind w:left="567" w:right="567"/>
        <w:jc w:val="both"/>
        <w:rPr>
          <w:i/>
          <w:iCs/>
          <w:color w:val="000000" w:themeColor="text1"/>
          <w:sz w:val="24"/>
          <w:szCs w:val="24"/>
          <w:u w:val="none"/>
        </w:rPr>
      </w:pPr>
    </w:p>
    <w:p w14:paraId="3E77AC7A" w14:textId="7C322C3C" w:rsidR="00E970C9" w:rsidRPr="000B017B" w:rsidRDefault="00125496" w:rsidP="00773035">
      <w:pPr>
        <w:pStyle w:val="Heading3"/>
        <w:tabs>
          <w:tab w:val="left" w:pos="2053"/>
        </w:tabs>
        <w:spacing w:line="276" w:lineRule="auto"/>
        <w:ind w:left="567" w:right="567"/>
        <w:jc w:val="both"/>
        <w:rPr>
          <w:i/>
          <w:iCs/>
          <w:color w:val="000000" w:themeColor="text1"/>
          <w:sz w:val="24"/>
          <w:szCs w:val="24"/>
          <w:u w:val="none"/>
        </w:rPr>
      </w:pPr>
      <w:r w:rsidRPr="000B017B">
        <w:rPr>
          <w:i/>
          <w:iCs/>
          <w:color w:val="000000" w:themeColor="text1"/>
          <w:sz w:val="24"/>
          <w:szCs w:val="24"/>
          <w:u w:val="none"/>
        </w:rPr>
        <w:t>Review of Literature:</w:t>
      </w:r>
    </w:p>
    <w:p w14:paraId="1DF138A3" w14:textId="77777777" w:rsidR="007D4435" w:rsidRPr="000B017B" w:rsidRDefault="007D4435" w:rsidP="00773035">
      <w:pPr>
        <w:pStyle w:val="Heading3"/>
        <w:tabs>
          <w:tab w:val="left" w:pos="2053"/>
        </w:tabs>
        <w:spacing w:line="276" w:lineRule="auto"/>
        <w:ind w:left="0" w:right="567"/>
        <w:jc w:val="both"/>
        <w:rPr>
          <w:i/>
          <w:iCs/>
          <w:color w:val="000000" w:themeColor="text1"/>
          <w:sz w:val="24"/>
          <w:szCs w:val="24"/>
          <w:u w:val="none"/>
        </w:rPr>
      </w:pPr>
    </w:p>
    <w:p w14:paraId="7A1DF13B" w14:textId="32F3353D" w:rsidR="00133744" w:rsidRPr="000B017B" w:rsidRDefault="00A47508" w:rsidP="00773035">
      <w:pPr>
        <w:spacing w:line="276" w:lineRule="auto"/>
        <w:ind w:left="567" w:right="567"/>
        <w:jc w:val="both"/>
        <w:rPr>
          <w:rFonts w:eastAsia="Calibri"/>
          <w:color w:val="000000" w:themeColor="text1"/>
          <w:kern w:val="2"/>
          <w:sz w:val="24"/>
          <w:szCs w:val="24"/>
          <w:shd w:val="clear" w:color="auto" w:fill="FFFFFF"/>
          <w:lang w:val="en-IN"/>
          <w14:ligatures w14:val="standardContextual"/>
        </w:rPr>
      </w:pPr>
      <w:r w:rsidRPr="000B017B">
        <w:rPr>
          <w:b/>
          <w:bCs/>
          <w:i/>
          <w:iCs/>
          <w:color w:val="000000" w:themeColor="text1"/>
          <w:sz w:val="24"/>
          <w:szCs w:val="24"/>
          <w:shd w:val="clear" w:color="auto" w:fill="FFFFFF"/>
        </w:rPr>
        <w:t>Sharma, K. (2023),</w:t>
      </w:r>
      <w:r w:rsidRPr="000B017B">
        <w:rPr>
          <w:rFonts w:eastAsia="Calibri"/>
          <w:color w:val="000000" w:themeColor="text1"/>
          <w:kern w:val="2"/>
          <w:sz w:val="24"/>
          <w:szCs w:val="24"/>
          <w:shd w:val="clear" w:color="auto" w:fill="FFFFFF"/>
          <w:lang w:val="en-IN"/>
          <w14:ligatures w14:val="standardContextual"/>
        </w:rPr>
        <w:t xml:space="preserve"> The present study aims to present a comprehensive comparative analysis of SIPs in selected set of top 30 mutual funds in India through SIPs. The research methodology employed in present study is purposive sampling method of mutual fund schemes based on their SIP returns. The evaluation was implemented using the BSE Sensex for benchmark and 91-day Treasury bills for the risk-free rate. Various tools and techniques such as average return, alpha, beta, Sharpe ratio, </w:t>
      </w:r>
      <w:proofErr w:type="spellStart"/>
      <w:r w:rsidRPr="000B017B">
        <w:rPr>
          <w:rFonts w:eastAsia="Calibri"/>
          <w:color w:val="000000" w:themeColor="text1"/>
          <w:kern w:val="2"/>
          <w:sz w:val="24"/>
          <w:szCs w:val="24"/>
          <w:shd w:val="clear" w:color="auto" w:fill="FFFFFF"/>
          <w:lang w:val="en-IN"/>
          <w14:ligatures w14:val="standardContextual"/>
        </w:rPr>
        <w:t>Treynor</w:t>
      </w:r>
      <w:proofErr w:type="spellEnd"/>
      <w:r w:rsidRPr="000B017B">
        <w:rPr>
          <w:rFonts w:eastAsia="Calibri"/>
          <w:color w:val="000000" w:themeColor="text1"/>
          <w:kern w:val="2"/>
          <w:sz w:val="24"/>
          <w:szCs w:val="24"/>
          <w:shd w:val="clear" w:color="auto" w:fill="FFFFFF"/>
          <w:lang w:val="en-IN"/>
          <w14:ligatures w14:val="standardContextual"/>
        </w:rPr>
        <w:t xml:space="preserve"> ratio, </w:t>
      </w:r>
      <w:proofErr w:type="spellStart"/>
      <w:r w:rsidRPr="000B017B">
        <w:rPr>
          <w:rFonts w:eastAsia="Calibri"/>
          <w:color w:val="000000" w:themeColor="text1"/>
          <w:kern w:val="2"/>
          <w:sz w:val="24"/>
          <w:szCs w:val="24"/>
          <w:shd w:val="clear" w:color="auto" w:fill="FFFFFF"/>
          <w:lang w:val="en-IN"/>
          <w14:ligatures w14:val="standardContextual"/>
        </w:rPr>
        <w:t>Sortino</w:t>
      </w:r>
      <w:proofErr w:type="spellEnd"/>
      <w:r w:rsidRPr="000B017B">
        <w:rPr>
          <w:rFonts w:eastAsia="Calibri"/>
          <w:color w:val="000000" w:themeColor="text1"/>
          <w:kern w:val="2"/>
          <w:sz w:val="24"/>
          <w:szCs w:val="24"/>
          <w:shd w:val="clear" w:color="auto" w:fill="FFFFFF"/>
          <w:lang w:val="en-IN"/>
          <w14:ligatures w14:val="standardContextual"/>
        </w:rPr>
        <w:t xml:space="preserve"> ratio, standard deviation, downside capture, and upside capture were employed to analyse the risk and performance of mutual funds through SIPs. The study found fluctuations in the performance of selected mutual fund categories. This comparative analysis of mutual fund performance through SIP contributes to assisting investors in making well-informed investment decisions by means evaluating the performance and risk associated with selected mutual fund schemes.</w:t>
      </w:r>
    </w:p>
    <w:p w14:paraId="5B57279F" w14:textId="77777777" w:rsidR="009B6E92" w:rsidRPr="000B017B" w:rsidRDefault="009B6E92" w:rsidP="00773035">
      <w:pPr>
        <w:spacing w:line="276" w:lineRule="auto"/>
        <w:ind w:left="567" w:right="567"/>
        <w:jc w:val="both"/>
        <w:rPr>
          <w:rFonts w:eastAsia="Calibri"/>
          <w:color w:val="000000" w:themeColor="text1"/>
          <w:kern w:val="2"/>
          <w:sz w:val="24"/>
          <w:szCs w:val="24"/>
          <w:shd w:val="clear" w:color="auto" w:fill="FFFFFF"/>
          <w:lang w:val="en-IN"/>
          <w14:ligatures w14:val="standardContextual"/>
        </w:rPr>
      </w:pPr>
    </w:p>
    <w:p w14:paraId="7246FDAF" w14:textId="74108548" w:rsidR="00AF639E" w:rsidRPr="000B017B" w:rsidRDefault="00AF639E" w:rsidP="00773035">
      <w:pPr>
        <w:spacing w:line="276" w:lineRule="auto"/>
        <w:ind w:left="567" w:right="567"/>
        <w:jc w:val="both"/>
        <w:rPr>
          <w:rStyle w:val="Emphasis"/>
          <w:i w:val="0"/>
          <w:iCs w:val="0"/>
          <w:color w:val="000000" w:themeColor="text1"/>
          <w:sz w:val="24"/>
          <w:szCs w:val="24"/>
          <w:shd w:val="clear" w:color="auto" w:fill="FFFFFF"/>
        </w:rPr>
      </w:pPr>
      <w:proofErr w:type="spellStart"/>
      <w:r w:rsidRPr="000B017B">
        <w:rPr>
          <w:rFonts w:eastAsia="Calibri"/>
          <w:b/>
          <w:bCs/>
          <w:i/>
          <w:iCs/>
          <w:color w:val="000000" w:themeColor="text1"/>
          <w:kern w:val="2"/>
          <w:sz w:val="24"/>
          <w:szCs w:val="24"/>
          <w:shd w:val="clear" w:color="auto" w:fill="FFFFFF"/>
          <w:lang w:val="en-IN"/>
          <w14:ligatures w14:val="standardContextual"/>
        </w:rPr>
        <w:t>Amry</w:t>
      </w:r>
      <w:proofErr w:type="spellEnd"/>
      <w:r w:rsidRPr="000B017B">
        <w:rPr>
          <w:rFonts w:eastAsia="Calibri"/>
          <w:b/>
          <w:bCs/>
          <w:i/>
          <w:iCs/>
          <w:color w:val="000000" w:themeColor="text1"/>
          <w:kern w:val="2"/>
          <w:sz w:val="24"/>
          <w:szCs w:val="24"/>
          <w:shd w:val="clear" w:color="auto" w:fill="FFFFFF"/>
          <w:lang w:val="en-IN"/>
          <w14:ligatures w14:val="standardContextual"/>
        </w:rPr>
        <w:t xml:space="preserve">, A. D., Sari, C. C., </w:t>
      </w:r>
      <w:proofErr w:type="spellStart"/>
      <w:r w:rsidRPr="000B017B">
        <w:rPr>
          <w:rFonts w:eastAsia="Calibri"/>
          <w:b/>
          <w:bCs/>
          <w:i/>
          <w:iCs/>
          <w:color w:val="000000" w:themeColor="text1"/>
          <w:kern w:val="2"/>
          <w:sz w:val="24"/>
          <w:szCs w:val="24"/>
          <w:shd w:val="clear" w:color="auto" w:fill="FFFFFF"/>
          <w:lang w:val="en-IN"/>
          <w14:ligatures w14:val="standardContextual"/>
        </w:rPr>
        <w:t>Azzahra</w:t>
      </w:r>
      <w:proofErr w:type="spellEnd"/>
      <w:r w:rsidRPr="000B017B">
        <w:rPr>
          <w:rFonts w:eastAsia="Calibri"/>
          <w:b/>
          <w:bCs/>
          <w:i/>
          <w:iCs/>
          <w:color w:val="000000" w:themeColor="text1"/>
          <w:kern w:val="2"/>
          <w:sz w:val="24"/>
          <w:szCs w:val="24"/>
          <w:shd w:val="clear" w:color="auto" w:fill="FFFFFF"/>
          <w:lang w:val="en-IN"/>
          <w14:ligatures w14:val="standardContextual"/>
        </w:rPr>
        <w:t xml:space="preserve">, F., </w:t>
      </w:r>
      <w:proofErr w:type="spellStart"/>
      <w:r w:rsidRPr="000B017B">
        <w:rPr>
          <w:rFonts w:eastAsia="Calibri"/>
          <w:b/>
          <w:bCs/>
          <w:i/>
          <w:iCs/>
          <w:color w:val="000000" w:themeColor="text1"/>
          <w:kern w:val="2"/>
          <w:sz w:val="24"/>
          <w:szCs w:val="24"/>
          <w:shd w:val="clear" w:color="auto" w:fill="FFFFFF"/>
          <w:lang w:val="en-IN"/>
          <w14:ligatures w14:val="standardContextual"/>
        </w:rPr>
        <w:t>Syalwa</w:t>
      </w:r>
      <w:proofErr w:type="spellEnd"/>
      <w:r w:rsidRPr="000B017B">
        <w:rPr>
          <w:rFonts w:eastAsia="Calibri"/>
          <w:b/>
          <w:bCs/>
          <w:i/>
          <w:iCs/>
          <w:color w:val="000000" w:themeColor="text1"/>
          <w:kern w:val="2"/>
          <w:sz w:val="24"/>
          <w:szCs w:val="24"/>
          <w:shd w:val="clear" w:color="auto" w:fill="FFFFFF"/>
          <w:lang w:val="en-IN"/>
          <w14:ligatures w14:val="standardContextual"/>
        </w:rPr>
        <w:t xml:space="preserve">, J., </w:t>
      </w:r>
      <w:proofErr w:type="spellStart"/>
      <w:r w:rsidRPr="000B017B">
        <w:rPr>
          <w:rFonts w:eastAsia="Calibri"/>
          <w:b/>
          <w:bCs/>
          <w:i/>
          <w:iCs/>
          <w:color w:val="000000" w:themeColor="text1"/>
          <w:kern w:val="2"/>
          <w:sz w:val="24"/>
          <w:szCs w:val="24"/>
          <w:shd w:val="clear" w:color="auto" w:fill="FFFFFF"/>
          <w:lang w:val="en-IN"/>
          <w14:ligatures w14:val="standardContextual"/>
        </w:rPr>
        <w:t>Putri</w:t>
      </w:r>
      <w:proofErr w:type="spellEnd"/>
      <w:r w:rsidRPr="000B017B">
        <w:rPr>
          <w:rFonts w:eastAsia="Calibri"/>
          <w:b/>
          <w:bCs/>
          <w:i/>
          <w:iCs/>
          <w:color w:val="000000" w:themeColor="text1"/>
          <w:kern w:val="2"/>
          <w:sz w:val="24"/>
          <w:szCs w:val="24"/>
          <w:shd w:val="clear" w:color="auto" w:fill="FFFFFF"/>
          <w:lang w:val="en-IN"/>
          <w14:ligatures w14:val="standardContextual"/>
        </w:rPr>
        <w:t>, S. A., &amp; Maharani, K. N. (2023</w:t>
      </w:r>
      <w:r w:rsidRPr="000B017B">
        <w:rPr>
          <w:rFonts w:eastAsia="Calibri"/>
          <w:i/>
          <w:iCs/>
          <w:color w:val="000000" w:themeColor="text1"/>
          <w:kern w:val="2"/>
          <w:sz w:val="24"/>
          <w:szCs w:val="24"/>
          <w:shd w:val="clear" w:color="auto" w:fill="FFFFFF"/>
          <w:lang w:val="en-IN"/>
          <w14:ligatures w14:val="standardContextual"/>
        </w:rPr>
        <w:t>),</w:t>
      </w:r>
      <w:r w:rsidRPr="000B017B">
        <w:rPr>
          <w:rStyle w:val="BodyTextChar"/>
          <w:i/>
          <w:iCs/>
          <w:color w:val="000000" w:themeColor="text1"/>
          <w:shd w:val="clear" w:color="auto" w:fill="FFFFFF"/>
        </w:rPr>
        <w:t xml:space="preserve"> </w:t>
      </w:r>
      <w:r w:rsidRPr="000B017B">
        <w:rPr>
          <w:rStyle w:val="Emphasis"/>
          <w:i w:val="0"/>
          <w:iCs w:val="0"/>
          <w:color w:val="000000" w:themeColor="text1"/>
          <w:sz w:val="24"/>
          <w:szCs w:val="24"/>
          <w:shd w:val="clear" w:color="auto" w:fill="FFFFFF"/>
        </w:rPr>
        <w:t xml:space="preserve">The purpose of this research is to compare and contrast traditional mutual funds with Islamic mutual funds. Investment Growth in Indonesia. This study employs descriptive statistical analysis techniques within a quantitative framework. </w:t>
      </w:r>
      <w:r w:rsidRPr="000B017B">
        <w:rPr>
          <w:rStyle w:val="Emphasis"/>
          <w:i w:val="0"/>
          <w:iCs w:val="0"/>
          <w:color w:val="000000" w:themeColor="text1"/>
          <w:sz w:val="24"/>
          <w:szCs w:val="24"/>
          <w:shd w:val="clear" w:color="auto" w:fill="FFFFFF"/>
        </w:rPr>
        <w:lastRenderedPageBreak/>
        <w:t>Secondary data, namely Time Series data, covering the years 2013–2022, is what is utilized. This analysis found no statistically significant relationship between investment growth in Indonesia and conventional or sharia mutual funds.</w:t>
      </w:r>
    </w:p>
    <w:p w14:paraId="7EE0E50F" w14:textId="77777777" w:rsidR="00AF639E" w:rsidRPr="000B017B" w:rsidRDefault="00AF639E" w:rsidP="00773035">
      <w:pPr>
        <w:pStyle w:val="BodyText"/>
        <w:spacing w:line="276" w:lineRule="auto"/>
        <w:ind w:right="567"/>
        <w:jc w:val="both"/>
        <w:rPr>
          <w:color w:val="000000" w:themeColor="text1"/>
        </w:rPr>
      </w:pPr>
    </w:p>
    <w:p w14:paraId="14C07B85" w14:textId="584846A9" w:rsidR="00AF639E" w:rsidRPr="000B017B" w:rsidRDefault="00AF639E" w:rsidP="00773035">
      <w:pPr>
        <w:pStyle w:val="ListParagraph"/>
        <w:spacing w:line="276" w:lineRule="auto"/>
        <w:ind w:left="567" w:right="567" w:firstLine="0"/>
        <w:jc w:val="both"/>
        <w:rPr>
          <w:rFonts w:eastAsia="Calibri"/>
          <w:color w:val="000000" w:themeColor="text1"/>
          <w:kern w:val="2"/>
          <w:sz w:val="24"/>
          <w:szCs w:val="24"/>
          <w:shd w:val="clear" w:color="auto" w:fill="FFFFFF"/>
          <w:lang w:val="en-IN"/>
          <w14:ligatures w14:val="standardContextual"/>
        </w:rPr>
      </w:pPr>
      <w:r w:rsidRPr="000B017B">
        <w:rPr>
          <w:b/>
          <w:bCs/>
          <w:i/>
          <w:iCs/>
          <w:color w:val="000000" w:themeColor="text1"/>
          <w:sz w:val="24"/>
          <w:szCs w:val="24"/>
          <w:shd w:val="clear" w:color="auto" w:fill="FFFFFF"/>
        </w:rPr>
        <w:t>Pandey, A. (2021)</w:t>
      </w:r>
      <w:r w:rsidRPr="000B017B">
        <w:rPr>
          <w:rFonts w:eastAsia="Calibri"/>
          <w:color w:val="000000" w:themeColor="text1"/>
          <w:kern w:val="2"/>
          <w:sz w:val="24"/>
          <w:szCs w:val="24"/>
          <w:lang w:val="en-IN"/>
          <w14:ligatures w14:val="standardContextual"/>
        </w:rPr>
        <w:t xml:space="preserve"> </w:t>
      </w:r>
      <w:proofErr w:type="gramStart"/>
      <w:r w:rsidRPr="000B017B">
        <w:rPr>
          <w:rFonts w:eastAsia="Calibri"/>
          <w:color w:val="000000" w:themeColor="text1"/>
          <w:kern w:val="2"/>
          <w:sz w:val="24"/>
          <w:szCs w:val="24"/>
          <w:lang w:val="en-IN"/>
          <w14:ligatures w14:val="standardContextual"/>
        </w:rPr>
        <w:t>This</w:t>
      </w:r>
      <w:proofErr w:type="gramEnd"/>
      <w:r w:rsidRPr="000B017B">
        <w:rPr>
          <w:rFonts w:eastAsia="Calibri"/>
          <w:color w:val="000000" w:themeColor="text1"/>
          <w:kern w:val="2"/>
          <w:sz w:val="24"/>
          <w:szCs w:val="24"/>
          <w:lang w:val="en-IN"/>
          <w14:ligatures w14:val="standardContextual"/>
        </w:rPr>
        <w:t xml:space="preserve"> article provides the analytical view to compare the returns of various investment avenues in India. Government Benchmark returns are also taken by the researcher to set the comparison among the avenues. Mutual Funds are seen to be a dominant industry for the investment by the researcher. Performances of various Equity Mutual Funds are discussed here. Also researcher deals with the risks associated along with different equity funds in India. Equity funds are taken according to the market capitalisation i.e. large cap, mid cap and small cap. Five companies are randomly chosen by the researcher for analysis. Secondary data is taken from the AMFI, SEBI and RBI. By analysing various data researcher concludes that returns on equity funds are comparatively higher than the government securities benchmark returns. Also, the risk associated with equity funds varies according to market capitalisation. It is important for the investor to analyse various macroeconomic variables of the economy and ensure that the investment profile must be inflation beating.</w:t>
      </w:r>
    </w:p>
    <w:p w14:paraId="21ABB53F" w14:textId="77777777" w:rsidR="00AF639E" w:rsidRPr="000B017B" w:rsidRDefault="00AF639E" w:rsidP="00773035">
      <w:pPr>
        <w:spacing w:line="276" w:lineRule="auto"/>
        <w:ind w:right="567"/>
        <w:jc w:val="both"/>
        <w:rPr>
          <w:rStyle w:val="Emphasis"/>
          <w:i w:val="0"/>
          <w:iCs w:val="0"/>
          <w:color w:val="000000" w:themeColor="text1"/>
          <w:sz w:val="24"/>
          <w:szCs w:val="24"/>
          <w:shd w:val="clear" w:color="auto" w:fill="FFFFFF"/>
        </w:rPr>
      </w:pPr>
    </w:p>
    <w:p w14:paraId="5FC8E80D" w14:textId="5EB8630C" w:rsidR="00A47508" w:rsidRPr="000B017B" w:rsidRDefault="00AF639E" w:rsidP="00773035">
      <w:pPr>
        <w:spacing w:line="276" w:lineRule="auto"/>
        <w:ind w:left="567" w:right="567"/>
        <w:jc w:val="both"/>
        <w:rPr>
          <w:rFonts w:eastAsia="Calibri"/>
          <w:color w:val="000000" w:themeColor="text1"/>
          <w:kern w:val="2"/>
          <w:sz w:val="24"/>
          <w:szCs w:val="24"/>
          <w:lang w:val="en-IN"/>
          <w14:ligatures w14:val="standardContextual"/>
        </w:rPr>
      </w:pPr>
      <w:r w:rsidRPr="000B017B">
        <w:rPr>
          <w:rFonts w:eastAsia="Calibri"/>
          <w:b/>
          <w:bCs/>
          <w:i/>
          <w:iCs/>
          <w:color w:val="000000" w:themeColor="text1"/>
          <w:kern w:val="2"/>
          <w:sz w:val="24"/>
          <w:szCs w:val="24"/>
          <w:shd w:val="clear" w:color="auto" w:fill="FFFFFF"/>
          <w:lang w:val="en-IN"/>
          <w14:ligatures w14:val="standardContextual"/>
        </w:rPr>
        <w:t xml:space="preserve">Raj, M., </w:t>
      </w:r>
      <w:proofErr w:type="spellStart"/>
      <w:r w:rsidRPr="000B017B">
        <w:rPr>
          <w:rFonts w:eastAsia="Calibri"/>
          <w:b/>
          <w:bCs/>
          <w:i/>
          <w:iCs/>
          <w:color w:val="000000" w:themeColor="text1"/>
          <w:kern w:val="2"/>
          <w:sz w:val="24"/>
          <w:szCs w:val="24"/>
          <w:shd w:val="clear" w:color="auto" w:fill="FFFFFF"/>
          <w:lang w:val="en-IN"/>
          <w14:ligatures w14:val="standardContextual"/>
        </w:rPr>
        <w:t>Verma</w:t>
      </w:r>
      <w:proofErr w:type="spellEnd"/>
      <w:r w:rsidRPr="000B017B">
        <w:rPr>
          <w:rFonts w:eastAsia="Calibri"/>
          <w:b/>
          <w:bCs/>
          <w:i/>
          <w:iCs/>
          <w:color w:val="000000" w:themeColor="text1"/>
          <w:kern w:val="2"/>
          <w:sz w:val="24"/>
          <w:szCs w:val="24"/>
          <w:shd w:val="clear" w:color="auto" w:fill="FFFFFF"/>
          <w:lang w:val="en-IN"/>
          <w14:ligatures w14:val="standardContextual"/>
        </w:rPr>
        <w:t>, T., Bansal, S., &amp; Jain, A. (2018)</w:t>
      </w:r>
      <w:r w:rsidRPr="000B017B">
        <w:rPr>
          <w:rFonts w:eastAsia="Calibri"/>
          <w:i/>
          <w:iCs/>
          <w:color w:val="000000" w:themeColor="text1"/>
          <w:kern w:val="2"/>
          <w:sz w:val="24"/>
          <w:szCs w:val="24"/>
          <w:shd w:val="clear" w:color="auto" w:fill="FFFFFF"/>
          <w:lang w:val="en-IN"/>
          <w14:ligatures w14:val="standardContextual"/>
        </w:rPr>
        <w:t xml:space="preserve">, </w:t>
      </w:r>
      <w:r w:rsidRPr="000B017B">
        <w:rPr>
          <w:rFonts w:eastAsia="Calibri"/>
          <w:color w:val="000000" w:themeColor="text1"/>
          <w:kern w:val="2"/>
          <w:sz w:val="24"/>
          <w:szCs w:val="24"/>
          <w:lang w:val="en-IN"/>
          <w14:ligatures w14:val="standardContextual"/>
        </w:rPr>
        <w:t xml:space="preserve">The Private Sector Mutual Funds have recorded much better performance as compared to the Public sector Mutual Funds mainly due to better Funds allocation, better Management and efficient performance of Portfolio Manager. Thus, this study is an effort to </w:t>
      </w:r>
      <w:proofErr w:type="spellStart"/>
      <w:r w:rsidRPr="000B017B">
        <w:rPr>
          <w:rFonts w:eastAsia="Calibri"/>
          <w:color w:val="000000" w:themeColor="text1"/>
          <w:kern w:val="2"/>
          <w:sz w:val="24"/>
          <w:szCs w:val="24"/>
          <w:lang w:val="en-IN"/>
          <w14:ligatures w14:val="standardContextual"/>
        </w:rPr>
        <w:t>analyze</w:t>
      </w:r>
      <w:proofErr w:type="spellEnd"/>
      <w:r w:rsidRPr="000B017B">
        <w:rPr>
          <w:rFonts w:eastAsia="Calibri"/>
          <w:color w:val="000000" w:themeColor="text1"/>
          <w:kern w:val="2"/>
          <w:sz w:val="24"/>
          <w:szCs w:val="24"/>
          <w:lang w:val="en-IN"/>
          <w14:ligatures w14:val="standardContextual"/>
        </w:rPr>
        <w:t xml:space="preserve"> and compare the performance of Growth and Balanced Mutual Funds of one Private.</w:t>
      </w:r>
    </w:p>
    <w:p w14:paraId="27684506" w14:textId="77777777" w:rsidR="008E1328" w:rsidRPr="000B017B" w:rsidRDefault="008E1328" w:rsidP="00773035">
      <w:pPr>
        <w:pStyle w:val="Heading3"/>
        <w:tabs>
          <w:tab w:val="left" w:pos="2053"/>
        </w:tabs>
        <w:spacing w:line="276" w:lineRule="auto"/>
        <w:ind w:left="0" w:right="567"/>
        <w:jc w:val="both"/>
        <w:rPr>
          <w:i/>
          <w:iCs/>
          <w:color w:val="000000" w:themeColor="text1"/>
          <w:sz w:val="24"/>
          <w:szCs w:val="24"/>
          <w:u w:val="none"/>
        </w:rPr>
      </w:pPr>
    </w:p>
    <w:p w14:paraId="28A6C927" w14:textId="31BF84BF" w:rsidR="008014EB" w:rsidRPr="000B017B" w:rsidRDefault="00E970C9" w:rsidP="00773035">
      <w:pPr>
        <w:pStyle w:val="BodyText"/>
        <w:spacing w:line="276" w:lineRule="auto"/>
        <w:ind w:left="567" w:right="567"/>
        <w:jc w:val="both"/>
        <w:rPr>
          <w:color w:val="000000" w:themeColor="text1"/>
          <w:spacing w:val="-5"/>
        </w:rPr>
      </w:pPr>
      <w:r w:rsidRPr="000B017B">
        <w:rPr>
          <w:b/>
          <w:bCs/>
          <w:i/>
          <w:iCs/>
          <w:color w:val="000000" w:themeColor="text1"/>
          <w:u w:color="000000"/>
        </w:rPr>
        <w:t>Dr.</w:t>
      </w:r>
      <w:r w:rsidR="00E23359" w:rsidRPr="000B017B">
        <w:rPr>
          <w:b/>
          <w:bCs/>
          <w:i/>
          <w:iCs/>
          <w:color w:val="000000" w:themeColor="text1"/>
          <w:u w:color="000000"/>
        </w:rPr>
        <w:t xml:space="preserve"> </w:t>
      </w:r>
      <w:r w:rsidRPr="000B017B">
        <w:rPr>
          <w:b/>
          <w:bCs/>
          <w:i/>
          <w:iCs/>
          <w:color w:val="000000" w:themeColor="text1"/>
          <w:u w:color="000000"/>
        </w:rPr>
        <w:t>Deepak Agarwal (20</w:t>
      </w:r>
      <w:r w:rsidR="003E0B85" w:rsidRPr="000B017B">
        <w:rPr>
          <w:b/>
          <w:bCs/>
          <w:i/>
          <w:iCs/>
          <w:color w:val="000000" w:themeColor="text1"/>
          <w:u w:color="000000"/>
        </w:rPr>
        <w:t>1</w:t>
      </w:r>
      <w:r w:rsidR="008434E4" w:rsidRPr="000B017B">
        <w:rPr>
          <w:b/>
          <w:bCs/>
          <w:i/>
          <w:iCs/>
          <w:color w:val="000000" w:themeColor="text1"/>
          <w:u w:color="000000"/>
        </w:rPr>
        <w:t>1</w:t>
      </w:r>
      <w:r w:rsidRPr="000B017B">
        <w:rPr>
          <w:b/>
          <w:bCs/>
          <w:i/>
          <w:iCs/>
          <w:color w:val="000000" w:themeColor="text1"/>
          <w:u w:color="000000"/>
        </w:rPr>
        <w:t>)</w:t>
      </w:r>
      <w:r w:rsidRPr="000B017B">
        <w:rPr>
          <w:b/>
          <w:color w:val="000000" w:themeColor="text1"/>
        </w:rPr>
        <w:t xml:space="preserve"> </w:t>
      </w:r>
      <w:r w:rsidRPr="000B017B">
        <w:rPr>
          <w:color w:val="000000" w:themeColor="text1"/>
        </w:rPr>
        <w:t>in his article titled “Measuring performance of Indian Mutual Funds” gave the development of the Indian Capital Market and deregulations</w:t>
      </w:r>
      <w:r w:rsidRPr="000B017B">
        <w:rPr>
          <w:color w:val="000000" w:themeColor="text1"/>
          <w:spacing w:val="-1"/>
        </w:rPr>
        <w:t xml:space="preserve"> </w:t>
      </w:r>
      <w:r w:rsidRPr="000B017B">
        <w:rPr>
          <w:color w:val="000000" w:themeColor="text1"/>
        </w:rPr>
        <w:t>of</w:t>
      </w:r>
      <w:r w:rsidRPr="000B017B">
        <w:rPr>
          <w:color w:val="000000" w:themeColor="text1"/>
          <w:spacing w:val="-2"/>
        </w:rPr>
        <w:t xml:space="preserve"> </w:t>
      </w:r>
      <w:r w:rsidRPr="000B017B">
        <w:rPr>
          <w:color w:val="000000" w:themeColor="text1"/>
        </w:rPr>
        <w:t>the economy</w:t>
      </w:r>
      <w:r w:rsidRPr="000B017B">
        <w:rPr>
          <w:color w:val="000000" w:themeColor="text1"/>
          <w:spacing w:val="-1"/>
        </w:rPr>
        <w:t xml:space="preserve"> </w:t>
      </w:r>
      <w:r w:rsidRPr="000B017B">
        <w:rPr>
          <w:color w:val="000000" w:themeColor="text1"/>
        </w:rPr>
        <w:t>in</w:t>
      </w:r>
      <w:r w:rsidRPr="000B017B">
        <w:rPr>
          <w:color w:val="000000" w:themeColor="text1"/>
          <w:spacing w:val="-1"/>
        </w:rPr>
        <w:t xml:space="preserve"> </w:t>
      </w:r>
      <w:r w:rsidRPr="000B017B">
        <w:rPr>
          <w:color w:val="000000" w:themeColor="text1"/>
        </w:rPr>
        <w:t>1992</w:t>
      </w:r>
      <w:r w:rsidRPr="000B017B">
        <w:rPr>
          <w:color w:val="000000" w:themeColor="text1"/>
          <w:spacing w:val="-1"/>
        </w:rPr>
        <w:t xml:space="preserve"> </w:t>
      </w:r>
      <w:r w:rsidRPr="000B017B">
        <w:rPr>
          <w:color w:val="000000" w:themeColor="text1"/>
        </w:rPr>
        <w:t>where</w:t>
      </w:r>
      <w:r w:rsidRPr="000B017B">
        <w:rPr>
          <w:color w:val="000000" w:themeColor="text1"/>
          <w:spacing w:val="-3"/>
        </w:rPr>
        <w:t xml:space="preserve"> </w:t>
      </w:r>
      <w:r w:rsidRPr="000B017B">
        <w:rPr>
          <w:color w:val="000000" w:themeColor="text1"/>
        </w:rPr>
        <w:t>there</w:t>
      </w:r>
      <w:r w:rsidRPr="000B017B">
        <w:rPr>
          <w:color w:val="000000" w:themeColor="text1"/>
          <w:spacing w:val="-1"/>
        </w:rPr>
        <w:t xml:space="preserve"> </w:t>
      </w:r>
      <w:r w:rsidRPr="000B017B">
        <w:rPr>
          <w:color w:val="000000" w:themeColor="text1"/>
        </w:rPr>
        <w:t>been</w:t>
      </w:r>
      <w:r w:rsidRPr="000B017B">
        <w:rPr>
          <w:color w:val="000000" w:themeColor="text1"/>
          <w:spacing w:val="-1"/>
        </w:rPr>
        <w:t xml:space="preserve"> </w:t>
      </w:r>
      <w:r w:rsidRPr="000B017B">
        <w:rPr>
          <w:color w:val="000000" w:themeColor="text1"/>
        </w:rPr>
        <w:t>structural</w:t>
      </w:r>
      <w:r w:rsidRPr="000B017B">
        <w:rPr>
          <w:color w:val="000000" w:themeColor="text1"/>
          <w:spacing w:val="-1"/>
        </w:rPr>
        <w:t xml:space="preserve"> </w:t>
      </w:r>
      <w:r w:rsidRPr="000B017B">
        <w:rPr>
          <w:color w:val="000000" w:themeColor="text1"/>
        </w:rPr>
        <w:t>changes</w:t>
      </w:r>
      <w:r w:rsidRPr="000B017B">
        <w:rPr>
          <w:color w:val="000000" w:themeColor="text1"/>
          <w:spacing w:val="-1"/>
        </w:rPr>
        <w:t xml:space="preserve"> </w:t>
      </w:r>
      <w:r w:rsidRPr="000B017B">
        <w:rPr>
          <w:color w:val="000000" w:themeColor="text1"/>
        </w:rPr>
        <w:t>in</w:t>
      </w:r>
      <w:r w:rsidRPr="000B017B">
        <w:rPr>
          <w:color w:val="000000" w:themeColor="text1"/>
          <w:spacing w:val="-1"/>
        </w:rPr>
        <w:t xml:space="preserve"> </w:t>
      </w:r>
      <w:r w:rsidRPr="000B017B">
        <w:rPr>
          <w:color w:val="000000" w:themeColor="text1"/>
        </w:rPr>
        <w:t>both primary and secondary markets. Mutual funds are key contributors to the globalization</w:t>
      </w:r>
      <w:r w:rsidRPr="000B017B">
        <w:rPr>
          <w:color w:val="000000" w:themeColor="text1"/>
          <w:spacing w:val="7"/>
        </w:rPr>
        <w:t xml:space="preserve"> </w:t>
      </w:r>
      <w:r w:rsidRPr="000B017B">
        <w:rPr>
          <w:color w:val="000000" w:themeColor="text1"/>
        </w:rPr>
        <w:t>of</w:t>
      </w:r>
      <w:r w:rsidRPr="000B017B">
        <w:rPr>
          <w:color w:val="000000" w:themeColor="text1"/>
          <w:spacing w:val="7"/>
        </w:rPr>
        <w:t xml:space="preserve"> </w:t>
      </w:r>
      <w:r w:rsidRPr="000B017B">
        <w:rPr>
          <w:color w:val="000000" w:themeColor="text1"/>
        </w:rPr>
        <w:t>financial</w:t>
      </w:r>
      <w:r w:rsidRPr="000B017B">
        <w:rPr>
          <w:color w:val="000000" w:themeColor="text1"/>
          <w:spacing w:val="10"/>
        </w:rPr>
        <w:t xml:space="preserve"> </w:t>
      </w:r>
      <w:r w:rsidRPr="000B017B">
        <w:rPr>
          <w:color w:val="000000" w:themeColor="text1"/>
        </w:rPr>
        <w:t>markets</w:t>
      </w:r>
      <w:r w:rsidRPr="000B017B">
        <w:rPr>
          <w:color w:val="000000" w:themeColor="text1"/>
          <w:spacing w:val="9"/>
        </w:rPr>
        <w:t xml:space="preserve"> </w:t>
      </w:r>
      <w:r w:rsidRPr="000B017B">
        <w:rPr>
          <w:color w:val="000000" w:themeColor="text1"/>
        </w:rPr>
        <w:t>and</w:t>
      </w:r>
      <w:r w:rsidRPr="000B017B">
        <w:rPr>
          <w:color w:val="000000" w:themeColor="text1"/>
          <w:spacing w:val="8"/>
        </w:rPr>
        <w:t xml:space="preserve"> </w:t>
      </w:r>
      <w:r w:rsidRPr="000B017B">
        <w:rPr>
          <w:color w:val="000000" w:themeColor="text1"/>
        </w:rPr>
        <w:t>one</w:t>
      </w:r>
      <w:r w:rsidRPr="000B017B">
        <w:rPr>
          <w:color w:val="000000" w:themeColor="text1"/>
          <w:spacing w:val="7"/>
        </w:rPr>
        <w:t xml:space="preserve"> </w:t>
      </w:r>
      <w:r w:rsidRPr="000B017B">
        <w:rPr>
          <w:color w:val="000000" w:themeColor="text1"/>
        </w:rPr>
        <w:t>of</w:t>
      </w:r>
      <w:r w:rsidRPr="000B017B">
        <w:rPr>
          <w:color w:val="000000" w:themeColor="text1"/>
          <w:spacing w:val="7"/>
        </w:rPr>
        <w:t xml:space="preserve"> </w:t>
      </w:r>
      <w:r w:rsidRPr="000B017B">
        <w:rPr>
          <w:color w:val="000000" w:themeColor="text1"/>
        </w:rPr>
        <w:t>the</w:t>
      </w:r>
      <w:r w:rsidRPr="000B017B">
        <w:rPr>
          <w:color w:val="000000" w:themeColor="text1"/>
          <w:spacing w:val="7"/>
        </w:rPr>
        <w:t xml:space="preserve"> </w:t>
      </w:r>
      <w:r w:rsidRPr="000B017B">
        <w:rPr>
          <w:color w:val="000000" w:themeColor="text1"/>
        </w:rPr>
        <w:t>main</w:t>
      </w:r>
      <w:r w:rsidRPr="000B017B">
        <w:rPr>
          <w:color w:val="000000" w:themeColor="text1"/>
          <w:spacing w:val="8"/>
        </w:rPr>
        <w:t xml:space="preserve"> </w:t>
      </w:r>
      <w:r w:rsidRPr="000B017B">
        <w:rPr>
          <w:color w:val="000000" w:themeColor="text1"/>
        </w:rPr>
        <w:t>sources</w:t>
      </w:r>
      <w:r w:rsidRPr="000B017B">
        <w:rPr>
          <w:color w:val="000000" w:themeColor="text1"/>
          <w:spacing w:val="8"/>
        </w:rPr>
        <w:t xml:space="preserve"> </w:t>
      </w:r>
      <w:r w:rsidRPr="000B017B">
        <w:rPr>
          <w:color w:val="000000" w:themeColor="text1"/>
        </w:rPr>
        <w:t>of</w:t>
      </w:r>
      <w:r w:rsidRPr="000B017B">
        <w:rPr>
          <w:color w:val="000000" w:themeColor="text1"/>
          <w:spacing w:val="7"/>
        </w:rPr>
        <w:t xml:space="preserve"> </w:t>
      </w:r>
      <w:r w:rsidRPr="000B017B">
        <w:rPr>
          <w:color w:val="000000" w:themeColor="text1"/>
        </w:rPr>
        <w:t>capital</w:t>
      </w:r>
      <w:r w:rsidRPr="000B017B">
        <w:rPr>
          <w:color w:val="000000" w:themeColor="text1"/>
          <w:spacing w:val="8"/>
        </w:rPr>
        <w:t xml:space="preserve"> </w:t>
      </w:r>
      <w:r w:rsidRPr="000B017B">
        <w:rPr>
          <w:color w:val="000000" w:themeColor="text1"/>
        </w:rPr>
        <w:t>flows</w:t>
      </w:r>
      <w:r w:rsidRPr="000B017B">
        <w:rPr>
          <w:color w:val="000000" w:themeColor="text1"/>
          <w:spacing w:val="8"/>
        </w:rPr>
        <w:t xml:space="preserve"> </w:t>
      </w:r>
      <w:r w:rsidRPr="000B017B">
        <w:rPr>
          <w:color w:val="000000" w:themeColor="text1"/>
          <w:spacing w:val="-5"/>
        </w:rPr>
        <w:t>to</w:t>
      </w:r>
      <w:r w:rsidR="002A3E39" w:rsidRPr="000B017B">
        <w:rPr>
          <w:color w:val="000000" w:themeColor="text1"/>
          <w:spacing w:val="-5"/>
        </w:rPr>
        <w:t xml:space="preserve"> </w:t>
      </w:r>
      <w:r w:rsidRPr="000B017B">
        <w:rPr>
          <w:color w:val="000000" w:themeColor="text1"/>
        </w:rPr>
        <w:t>emerging economies. Despite their importance in emerging markets, little is known about their investment allocation and strategies. This article provides an overview of mutual fund activity in emerging markets. It describes about their</w:t>
      </w:r>
      <w:r w:rsidRPr="000B017B">
        <w:rPr>
          <w:color w:val="000000" w:themeColor="text1"/>
          <w:spacing w:val="40"/>
        </w:rPr>
        <w:t xml:space="preserve"> </w:t>
      </w:r>
      <w:r w:rsidRPr="000B017B">
        <w:rPr>
          <w:color w:val="000000" w:themeColor="text1"/>
        </w:rPr>
        <w:t>size and asset allocation.</w:t>
      </w:r>
      <w:r w:rsidR="00D43720" w:rsidRPr="000B017B">
        <w:rPr>
          <w:color w:val="000000" w:themeColor="text1"/>
        </w:rPr>
        <w:t xml:space="preserve"> </w:t>
      </w:r>
      <w:r w:rsidRPr="000B017B">
        <w:rPr>
          <w:color w:val="000000" w:themeColor="text1"/>
        </w:rPr>
        <w:t>It also analyses data at both</w:t>
      </w:r>
      <w:r w:rsidRPr="000B017B">
        <w:rPr>
          <w:color w:val="000000" w:themeColor="text1"/>
          <w:spacing w:val="40"/>
        </w:rPr>
        <w:t xml:space="preserve"> </w:t>
      </w:r>
      <w:r w:rsidRPr="000B017B">
        <w:rPr>
          <w:color w:val="000000" w:themeColor="text1"/>
        </w:rPr>
        <w:t>the fund-manager and fund-investor levels. The study revealed that the performance is affected by the saving and investment habits of the people and the second side the confidence and loyalty of the fund Manager and rewards affects the performance of the MF industry in India.</w:t>
      </w:r>
    </w:p>
    <w:p w14:paraId="4FC8FE0F" w14:textId="338A167C" w:rsidR="00C42826" w:rsidRPr="000B017B" w:rsidRDefault="008434E4" w:rsidP="00773035">
      <w:pPr>
        <w:pStyle w:val="BodyText"/>
        <w:spacing w:line="276" w:lineRule="auto"/>
        <w:ind w:right="567"/>
        <w:jc w:val="both"/>
        <w:rPr>
          <w:b/>
          <w:color w:val="000000" w:themeColor="text1"/>
        </w:rPr>
      </w:pPr>
      <w:r w:rsidRPr="000B017B">
        <w:rPr>
          <w:b/>
          <w:color w:val="000000" w:themeColor="text1"/>
        </w:rPr>
        <w:t xml:space="preserve"> </w:t>
      </w:r>
    </w:p>
    <w:p w14:paraId="5648055D" w14:textId="2402A245" w:rsidR="004A728A" w:rsidRPr="000B017B" w:rsidRDefault="00C42826" w:rsidP="00773035">
      <w:pPr>
        <w:pStyle w:val="Heading3"/>
        <w:tabs>
          <w:tab w:val="left" w:pos="2053"/>
        </w:tabs>
        <w:spacing w:line="276" w:lineRule="auto"/>
        <w:ind w:left="567" w:right="567"/>
        <w:jc w:val="both"/>
        <w:rPr>
          <w:i/>
          <w:iCs/>
          <w:color w:val="000000" w:themeColor="text1"/>
          <w:sz w:val="24"/>
          <w:szCs w:val="24"/>
          <w:u w:val="none"/>
        </w:rPr>
      </w:pPr>
      <w:r w:rsidRPr="000B017B">
        <w:rPr>
          <w:i/>
          <w:iCs/>
          <w:color w:val="000000" w:themeColor="text1"/>
          <w:sz w:val="24"/>
          <w:szCs w:val="24"/>
          <w:u w:val="none"/>
        </w:rPr>
        <w:t>Research Methodology</w:t>
      </w:r>
      <w:r w:rsidR="00133744" w:rsidRPr="000B017B">
        <w:rPr>
          <w:i/>
          <w:iCs/>
          <w:color w:val="000000" w:themeColor="text1"/>
          <w:sz w:val="24"/>
          <w:szCs w:val="24"/>
          <w:u w:val="none"/>
        </w:rPr>
        <w:t>:</w:t>
      </w:r>
    </w:p>
    <w:p w14:paraId="03424233" w14:textId="08C4256D" w:rsidR="008E1328" w:rsidRPr="000B017B" w:rsidRDefault="00E23359" w:rsidP="00773035">
      <w:pPr>
        <w:spacing w:line="276" w:lineRule="auto"/>
        <w:ind w:left="567" w:right="567"/>
        <w:jc w:val="both"/>
        <w:rPr>
          <w:color w:val="000000" w:themeColor="text1"/>
          <w:sz w:val="24"/>
          <w:szCs w:val="24"/>
        </w:rPr>
      </w:pPr>
      <w:r w:rsidRPr="000B017B">
        <w:rPr>
          <w:color w:val="000000" w:themeColor="text1"/>
          <w:sz w:val="24"/>
          <w:szCs w:val="24"/>
        </w:rPr>
        <w:t xml:space="preserve">Research methodology helps in identifying the problem, collecting and analyzing the </w:t>
      </w:r>
      <w:r w:rsidRPr="000B017B">
        <w:rPr>
          <w:color w:val="000000" w:themeColor="text1"/>
          <w:sz w:val="24"/>
          <w:szCs w:val="24"/>
        </w:rPr>
        <w:lastRenderedPageBreak/>
        <w:t>required information or data and providing an alternative solution to the problem. It also helps in collecting the vital information that is required to assist</w:t>
      </w:r>
      <w:r w:rsidRPr="000B017B">
        <w:rPr>
          <w:color w:val="000000" w:themeColor="text1"/>
          <w:spacing w:val="40"/>
          <w:sz w:val="24"/>
          <w:szCs w:val="24"/>
        </w:rPr>
        <w:t xml:space="preserve"> </w:t>
      </w:r>
      <w:r w:rsidRPr="000B017B">
        <w:rPr>
          <w:color w:val="000000" w:themeColor="text1"/>
          <w:sz w:val="24"/>
          <w:szCs w:val="24"/>
        </w:rPr>
        <w:t>in better decision making.</w:t>
      </w:r>
    </w:p>
    <w:p w14:paraId="32DC4EC5" w14:textId="140AD4CF" w:rsidR="00230C9A" w:rsidRDefault="008E1328" w:rsidP="004E574C">
      <w:pPr>
        <w:tabs>
          <w:tab w:val="left" w:pos="2351"/>
        </w:tabs>
        <w:spacing w:before="1" w:line="276" w:lineRule="auto"/>
        <w:ind w:left="562" w:right="562"/>
        <w:jc w:val="both"/>
        <w:rPr>
          <w:color w:val="000000" w:themeColor="text1"/>
          <w:sz w:val="24"/>
          <w:szCs w:val="24"/>
        </w:rPr>
      </w:pPr>
      <w:r w:rsidRPr="000B017B">
        <w:rPr>
          <w:b/>
          <w:i/>
          <w:color w:val="000000" w:themeColor="text1"/>
          <w:sz w:val="24"/>
          <w:szCs w:val="24"/>
        </w:rPr>
        <w:t>Sources of data:</w:t>
      </w:r>
      <w:r w:rsidRPr="000B017B">
        <w:rPr>
          <w:color w:val="000000" w:themeColor="text1"/>
          <w:sz w:val="24"/>
          <w:szCs w:val="24"/>
        </w:rPr>
        <w:t xml:space="preserve"> The study is based on purely secondary sources of information</w:t>
      </w:r>
      <w:r w:rsidR="009B6E92" w:rsidRPr="000B017B">
        <w:rPr>
          <w:color w:val="000000" w:themeColor="text1"/>
          <w:sz w:val="24"/>
          <w:szCs w:val="24"/>
        </w:rPr>
        <w:t>.</w:t>
      </w:r>
      <w:r w:rsidR="00D67DB5">
        <w:rPr>
          <w:color w:val="000000" w:themeColor="text1"/>
          <w:sz w:val="24"/>
          <w:szCs w:val="24"/>
        </w:rPr>
        <w:t xml:space="preserve"> </w:t>
      </w:r>
      <w:r w:rsidR="00E23359" w:rsidRPr="000B017B">
        <w:rPr>
          <w:color w:val="000000" w:themeColor="text1"/>
          <w:sz w:val="24"/>
          <w:szCs w:val="24"/>
        </w:rPr>
        <w:t>Secondary</w:t>
      </w:r>
      <w:r w:rsidR="00E23359" w:rsidRPr="000B017B">
        <w:rPr>
          <w:color w:val="000000" w:themeColor="text1"/>
          <w:spacing w:val="-2"/>
          <w:sz w:val="24"/>
          <w:szCs w:val="24"/>
        </w:rPr>
        <w:t xml:space="preserve"> </w:t>
      </w:r>
      <w:r w:rsidR="00E23359" w:rsidRPr="000B017B">
        <w:rPr>
          <w:color w:val="000000" w:themeColor="text1"/>
          <w:sz w:val="24"/>
          <w:szCs w:val="24"/>
        </w:rPr>
        <w:t>data</w:t>
      </w:r>
      <w:r w:rsidR="00E23359" w:rsidRPr="000B017B">
        <w:rPr>
          <w:color w:val="000000" w:themeColor="text1"/>
          <w:spacing w:val="-2"/>
          <w:sz w:val="24"/>
          <w:szCs w:val="24"/>
        </w:rPr>
        <w:t xml:space="preserve"> </w:t>
      </w:r>
      <w:r w:rsidR="00E23359" w:rsidRPr="000B017B">
        <w:rPr>
          <w:color w:val="000000" w:themeColor="text1"/>
          <w:sz w:val="24"/>
          <w:szCs w:val="24"/>
        </w:rPr>
        <w:t>is</w:t>
      </w:r>
      <w:r w:rsidR="00E23359" w:rsidRPr="000B017B">
        <w:rPr>
          <w:color w:val="000000" w:themeColor="text1"/>
          <w:spacing w:val="-2"/>
          <w:sz w:val="24"/>
          <w:szCs w:val="24"/>
        </w:rPr>
        <w:t xml:space="preserve"> </w:t>
      </w:r>
      <w:r w:rsidR="00E23359" w:rsidRPr="000B017B">
        <w:rPr>
          <w:color w:val="000000" w:themeColor="text1"/>
          <w:sz w:val="24"/>
          <w:szCs w:val="24"/>
        </w:rPr>
        <w:t>collected</w:t>
      </w:r>
      <w:r w:rsidR="00E23359" w:rsidRPr="000B017B">
        <w:rPr>
          <w:color w:val="000000" w:themeColor="text1"/>
          <w:spacing w:val="-2"/>
          <w:sz w:val="24"/>
          <w:szCs w:val="24"/>
        </w:rPr>
        <w:t xml:space="preserve"> </w:t>
      </w:r>
      <w:r w:rsidR="00E23359" w:rsidRPr="000B017B">
        <w:rPr>
          <w:color w:val="000000" w:themeColor="text1"/>
          <w:spacing w:val="-4"/>
          <w:sz w:val="24"/>
          <w:szCs w:val="24"/>
        </w:rPr>
        <w:t>from</w:t>
      </w:r>
      <w:r w:rsidR="007D4435" w:rsidRPr="000B017B">
        <w:rPr>
          <w:color w:val="000000" w:themeColor="text1"/>
          <w:sz w:val="24"/>
          <w:szCs w:val="24"/>
        </w:rPr>
        <w:t xml:space="preserve"> </w:t>
      </w:r>
      <w:r w:rsidR="00E23359" w:rsidRPr="000B017B">
        <w:rPr>
          <w:color w:val="000000" w:themeColor="text1"/>
          <w:spacing w:val="-2"/>
          <w:sz w:val="24"/>
          <w:szCs w:val="24"/>
        </w:rPr>
        <w:t>Website</w:t>
      </w:r>
      <w:r w:rsidR="007D4435" w:rsidRPr="000B017B">
        <w:rPr>
          <w:color w:val="000000" w:themeColor="text1"/>
          <w:sz w:val="24"/>
          <w:szCs w:val="24"/>
        </w:rPr>
        <w:t xml:space="preserve">, </w:t>
      </w:r>
      <w:r w:rsidR="00E23359" w:rsidRPr="000B017B">
        <w:rPr>
          <w:color w:val="000000" w:themeColor="text1"/>
          <w:sz w:val="24"/>
          <w:szCs w:val="24"/>
        </w:rPr>
        <w:t>HDFC</w:t>
      </w:r>
      <w:r w:rsidR="00E23359" w:rsidRPr="000B017B">
        <w:rPr>
          <w:color w:val="000000" w:themeColor="text1"/>
          <w:spacing w:val="-4"/>
          <w:sz w:val="24"/>
          <w:szCs w:val="24"/>
        </w:rPr>
        <w:t xml:space="preserve"> </w:t>
      </w:r>
      <w:r w:rsidR="00E23359" w:rsidRPr="000B017B">
        <w:rPr>
          <w:color w:val="000000" w:themeColor="text1"/>
          <w:sz w:val="24"/>
          <w:szCs w:val="24"/>
        </w:rPr>
        <w:t>BANK</w:t>
      </w:r>
      <w:r w:rsidR="00E23359" w:rsidRPr="000B017B">
        <w:rPr>
          <w:color w:val="000000" w:themeColor="text1"/>
          <w:spacing w:val="-2"/>
          <w:sz w:val="24"/>
          <w:szCs w:val="24"/>
        </w:rPr>
        <w:t xml:space="preserve"> Journals</w:t>
      </w:r>
      <w:r w:rsidR="007D4435" w:rsidRPr="000B017B">
        <w:rPr>
          <w:color w:val="000000" w:themeColor="text1"/>
          <w:sz w:val="24"/>
          <w:szCs w:val="24"/>
        </w:rPr>
        <w:t xml:space="preserve">, </w:t>
      </w:r>
      <w:r w:rsidR="00E23359" w:rsidRPr="000B017B">
        <w:rPr>
          <w:color w:val="000000" w:themeColor="text1"/>
          <w:sz w:val="24"/>
          <w:szCs w:val="24"/>
        </w:rPr>
        <w:t>Security</w:t>
      </w:r>
      <w:r w:rsidR="00E23359" w:rsidRPr="000B017B">
        <w:rPr>
          <w:color w:val="000000" w:themeColor="text1"/>
          <w:spacing w:val="-2"/>
          <w:sz w:val="24"/>
          <w:szCs w:val="24"/>
        </w:rPr>
        <w:t xml:space="preserve"> Analysis</w:t>
      </w:r>
      <w:r w:rsidRPr="000B017B">
        <w:rPr>
          <w:color w:val="000000" w:themeColor="text1"/>
          <w:sz w:val="24"/>
          <w:szCs w:val="24"/>
        </w:rPr>
        <w:t xml:space="preserve">, </w:t>
      </w:r>
      <w:proofErr w:type="gramStart"/>
      <w:r w:rsidR="00E23359" w:rsidRPr="000B017B">
        <w:rPr>
          <w:color w:val="000000" w:themeColor="text1"/>
          <w:spacing w:val="-2"/>
          <w:sz w:val="24"/>
          <w:szCs w:val="24"/>
        </w:rPr>
        <w:t>Brochures</w:t>
      </w:r>
      <w:proofErr w:type="gramEnd"/>
      <w:r w:rsidR="007F4F83" w:rsidRPr="000B017B">
        <w:rPr>
          <w:color w:val="000000" w:themeColor="text1"/>
          <w:spacing w:val="-2"/>
          <w:sz w:val="24"/>
          <w:szCs w:val="24"/>
        </w:rPr>
        <w:t>.</w:t>
      </w:r>
    </w:p>
    <w:p w14:paraId="7E92CC42" w14:textId="77777777" w:rsidR="004E574C" w:rsidRPr="004E574C" w:rsidRDefault="004E574C" w:rsidP="004E574C">
      <w:pPr>
        <w:tabs>
          <w:tab w:val="left" w:pos="2351"/>
        </w:tabs>
        <w:spacing w:before="1" w:line="276" w:lineRule="auto"/>
        <w:ind w:left="562" w:right="562"/>
        <w:jc w:val="both"/>
        <w:rPr>
          <w:color w:val="000000" w:themeColor="text1"/>
          <w:sz w:val="24"/>
          <w:szCs w:val="24"/>
        </w:rPr>
      </w:pPr>
    </w:p>
    <w:p w14:paraId="2691E195" w14:textId="4587E520" w:rsidR="0061219E" w:rsidRPr="000B017B" w:rsidRDefault="00213403" w:rsidP="00773035">
      <w:pPr>
        <w:spacing w:line="276" w:lineRule="auto"/>
        <w:ind w:left="567" w:right="567"/>
        <w:jc w:val="both"/>
        <w:outlineLvl w:val="3"/>
        <w:rPr>
          <w:b/>
          <w:bCs/>
          <w:i/>
          <w:iCs/>
          <w:color w:val="000000" w:themeColor="text1"/>
          <w:spacing w:val="-4"/>
          <w:sz w:val="24"/>
          <w:szCs w:val="24"/>
          <w:u w:color="000000"/>
        </w:rPr>
      </w:pPr>
      <w:r w:rsidRPr="000B017B">
        <w:rPr>
          <w:b/>
          <w:bCs/>
          <w:i/>
          <w:iCs/>
          <w:color w:val="000000" w:themeColor="text1"/>
          <w:sz w:val="24"/>
          <w:szCs w:val="24"/>
          <w:u w:color="000000"/>
        </w:rPr>
        <w:t>LIMITATIONS</w:t>
      </w:r>
      <w:r w:rsidRPr="000B017B">
        <w:rPr>
          <w:b/>
          <w:bCs/>
          <w:i/>
          <w:iCs/>
          <w:color w:val="000000" w:themeColor="text1"/>
          <w:spacing w:val="-8"/>
          <w:sz w:val="24"/>
          <w:szCs w:val="24"/>
          <w:u w:color="000000"/>
        </w:rPr>
        <w:t xml:space="preserve"> </w:t>
      </w:r>
      <w:r w:rsidRPr="000B017B">
        <w:rPr>
          <w:b/>
          <w:bCs/>
          <w:i/>
          <w:iCs/>
          <w:color w:val="000000" w:themeColor="text1"/>
          <w:sz w:val="24"/>
          <w:szCs w:val="24"/>
          <w:u w:color="000000"/>
        </w:rPr>
        <w:t>OF</w:t>
      </w:r>
      <w:r w:rsidRPr="000B017B">
        <w:rPr>
          <w:b/>
          <w:bCs/>
          <w:i/>
          <w:iCs/>
          <w:color w:val="000000" w:themeColor="text1"/>
          <w:spacing w:val="-5"/>
          <w:sz w:val="24"/>
          <w:szCs w:val="24"/>
          <w:u w:color="000000"/>
        </w:rPr>
        <w:t xml:space="preserve"> </w:t>
      </w:r>
      <w:r w:rsidRPr="000B017B">
        <w:rPr>
          <w:b/>
          <w:bCs/>
          <w:i/>
          <w:iCs/>
          <w:color w:val="000000" w:themeColor="text1"/>
          <w:sz w:val="24"/>
          <w:szCs w:val="24"/>
          <w:u w:color="000000"/>
        </w:rPr>
        <w:t>THE</w:t>
      </w:r>
      <w:r w:rsidRPr="000B017B">
        <w:rPr>
          <w:b/>
          <w:bCs/>
          <w:i/>
          <w:iCs/>
          <w:color w:val="000000" w:themeColor="text1"/>
          <w:spacing w:val="-5"/>
          <w:sz w:val="24"/>
          <w:szCs w:val="24"/>
          <w:u w:color="000000"/>
        </w:rPr>
        <w:t xml:space="preserve"> </w:t>
      </w:r>
      <w:r w:rsidRPr="000B017B">
        <w:rPr>
          <w:b/>
          <w:bCs/>
          <w:i/>
          <w:iCs/>
          <w:color w:val="000000" w:themeColor="text1"/>
          <w:spacing w:val="-4"/>
          <w:sz w:val="24"/>
          <w:szCs w:val="24"/>
          <w:u w:color="000000"/>
        </w:rPr>
        <w:t>STUDY</w:t>
      </w:r>
      <w:r w:rsidR="00995B1E" w:rsidRPr="000B017B">
        <w:rPr>
          <w:b/>
          <w:bCs/>
          <w:i/>
          <w:iCs/>
          <w:color w:val="000000" w:themeColor="text1"/>
          <w:spacing w:val="-4"/>
          <w:sz w:val="24"/>
          <w:szCs w:val="24"/>
          <w:u w:color="000000"/>
        </w:rPr>
        <w:t>:</w:t>
      </w:r>
    </w:p>
    <w:p w14:paraId="0FC76DC7" w14:textId="1DF1EC02" w:rsidR="00995B1E" w:rsidRPr="000B017B" w:rsidRDefault="00995B1E" w:rsidP="00773035">
      <w:pPr>
        <w:pStyle w:val="BodyTextIndent"/>
        <w:spacing w:after="0" w:line="276" w:lineRule="auto"/>
        <w:ind w:left="562" w:right="562"/>
        <w:contextualSpacing/>
        <w:jc w:val="both"/>
        <w:rPr>
          <w:color w:val="000000" w:themeColor="text1"/>
          <w:sz w:val="24"/>
          <w:szCs w:val="24"/>
        </w:rPr>
      </w:pPr>
      <w:r w:rsidRPr="000B017B">
        <w:rPr>
          <w:color w:val="000000" w:themeColor="text1"/>
          <w:sz w:val="24"/>
          <w:szCs w:val="24"/>
        </w:rPr>
        <w:t>The study on HDFC Bank's mutual funds in Hyderabad offers valuable insights, several limitations should be considered. Firstly, reliance on past data might not reflect recent shifts in fund management strategies or regulatory changes that could impact fund performance. Secondly, the study's reliance on performance metrics like the Sharpe Ratio may oversimplify risk assessment, as it focuses primarily on volatility without accounting for other forms of risk such as credit.</w:t>
      </w:r>
    </w:p>
    <w:p w14:paraId="45CC4CDA" w14:textId="77777777" w:rsidR="00D67DB5" w:rsidRDefault="00230C9A" w:rsidP="00D67DB5">
      <w:pPr>
        <w:spacing w:line="276" w:lineRule="auto"/>
        <w:ind w:left="562" w:right="562"/>
        <w:jc w:val="both"/>
        <w:rPr>
          <w:b/>
          <w:bCs/>
          <w:i/>
          <w:iCs/>
          <w:color w:val="000000" w:themeColor="text1"/>
          <w:sz w:val="24"/>
          <w:szCs w:val="24"/>
        </w:rPr>
      </w:pPr>
      <w:r w:rsidRPr="000B017B">
        <w:rPr>
          <w:b/>
          <w:bCs/>
          <w:i/>
          <w:iCs/>
          <w:color w:val="000000" w:themeColor="text1"/>
          <w:sz w:val="24"/>
          <w:szCs w:val="24"/>
        </w:rPr>
        <w:t xml:space="preserve">   </w:t>
      </w:r>
    </w:p>
    <w:p w14:paraId="376F6E76" w14:textId="77777777" w:rsidR="00D67DB5" w:rsidRDefault="00D67DB5" w:rsidP="00D67DB5">
      <w:pPr>
        <w:spacing w:line="276" w:lineRule="auto"/>
        <w:ind w:left="562" w:right="562"/>
        <w:jc w:val="both"/>
        <w:rPr>
          <w:b/>
          <w:bCs/>
          <w:i/>
          <w:iCs/>
          <w:color w:val="000000" w:themeColor="text1"/>
          <w:sz w:val="24"/>
          <w:szCs w:val="24"/>
        </w:rPr>
      </w:pPr>
    </w:p>
    <w:p w14:paraId="3C4E32E5" w14:textId="49AD1B7D" w:rsidR="00995B1E" w:rsidRPr="000B017B" w:rsidRDefault="00995B1E" w:rsidP="00D67DB5">
      <w:pPr>
        <w:spacing w:line="276" w:lineRule="auto"/>
        <w:ind w:left="562" w:right="562"/>
        <w:jc w:val="both"/>
        <w:rPr>
          <w:b/>
          <w:bCs/>
          <w:i/>
          <w:iCs/>
          <w:color w:val="000000" w:themeColor="text1"/>
          <w:sz w:val="24"/>
          <w:szCs w:val="24"/>
        </w:rPr>
      </w:pPr>
      <w:r w:rsidRPr="000B017B">
        <w:rPr>
          <w:b/>
          <w:bCs/>
          <w:i/>
          <w:iCs/>
          <w:color w:val="000000" w:themeColor="text1"/>
          <w:sz w:val="24"/>
          <w:szCs w:val="24"/>
        </w:rPr>
        <w:t>DATA ANALYSIS AND INTERPRETATION:</w:t>
      </w:r>
    </w:p>
    <w:p w14:paraId="4112F853" w14:textId="74236202" w:rsidR="00B13F27" w:rsidRPr="000B017B" w:rsidRDefault="00B13F27" w:rsidP="00773035">
      <w:pPr>
        <w:widowControl/>
        <w:suppressAutoHyphens/>
        <w:autoSpaceDE/>
        <w:autoSpaceDN/>
        <w:spacing w:before="100" w:beforeAutospacing="1" w:line="276" w:lineRule="auto"/>
        <w:ind w:right="567"/>
        <w:jc w:val="both"/>
        <w:rPr>
          <w:color w:val="000000" w:themeColor="text1"/>
          <w:sz w:val="24"/>
          <w:szCs w:val="24"/>
        </w:rPr>
      </w:pPr>
    </w:p>
    <w:p w14:paraId="40CA62DB" w14:textId="35AAA17E" w:rsidR="005959CC" w:rsidRPr="000B017B" w:rsidRDefault="00B13F27" w:rsidP="00773035">
      <w:pPr>
        <w:pStyle w:val="ListParagraph"/>
        <w:widowControl/>
        <w:suppressAutoHyphens/>
        <w:autoSpaceDE/>
        <w:autoSpaceDN/>
        <w:spacing w:before="100" w:beforeAutospacing="1" w:line="276" w:lineRule="auto"/>
        <w:ind w:left="567" w:right="567" w:firstLine="0"/>
        <w:jc w:val="both"/>
        <w:rPr>
          <w:color w:val="000000" w:themeColor="text1"/>
          <w:sz w:val="24"/>
          <w:szCs w:val="24"/>
        </w:rPr>
      </w:pPr>
      <w:r w:rsidRPr="000B017B">
        <w:rPr>
          <w:noProof/>
          <w:color w:val="000000" w:themeColor="text1"/>
          <w:sz w:val="24"/>
          <w:szCs w:val="24"/>
        </w:rPr>
        <w:drawing>
          <wp:inline distT="0" distB="0" distL="0" distR="0" wp14:anchorId="49924665" wp14:editId="04A0ACBD">
            <wp:extent cx="5943600" cy="4047932"/>
            <wp:effectExtent l="0" t="0" r="0" b="0"/>
            <wp:docPr id="2" name="Picture 2" descr="C:\Users\mohan\AppData\Local\Temp\image947935819681833346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n\AppData\Local\Temp\image947935819681833346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47932"/>
                    </a:xfrm>
                    <a:prstGeom prst="rect">
                      <a:avLst/>
                    </a:prstGeom>
                    <a:noFill/>
                    <a:ln>
                      <a:noFill/>
                    </a:ln>
                  </pic:spPr>
                </pic:pic>
              </a:graphicData>
            </a:graphic>
          </wp:inline>
        </w:drawing>
      </w:r>
    </w:p>
    <w:p w14:paraId="3011A9CB" w14:textId="77777777" w:rsidR="00B13F27" w:rsidRPr="000B017B" w:rsidRDefault="00B13F27" w:rsidP="00773035">
      <w:pPr>
        <w:widowControl/>
        <w:tabs>
          <w:tab w:val="left" w:pos="603"/>
        </w:tabs>
        <w:suppressAutoHyphens/>
        <w:autoSpaceDE/>
        <w:autoSpaceDN/>
        <w:spacing w:line="276" w:lineRule="auto"/>
        <w:ind w:left="567" w:right="567"/>
        <w:jc w:val="both"/>
        <w:rPr>
          <w:b/>
          <w:i/>
          <w:iCs/>
          <w:color w:val="000000" w:themeColor="text1"/>
          <w:sz w:val="24"/>
          <w:szCs w:val="24"/>
          <w:lang w:eastAsia="ar-SA"/>
        </w:rPr>
      </w:pPr>
    </w:p>
    <w:p w14:paraId="1694B228" w14:textId="7F96CBD2" w:rsidR="00964E08" w:rsidRPr="00475009" w:rsidRDefault="00B13F27" w:rsidP="00773035">
      <w:pPr>
        <w:widowControl/>
        <w:autoSpaceDE/>
        <w:autoSpaceDN/>
        <w:spacing w:before="100" w:beforeAutospacing="1" w:after="100" w:afterAutospacing="1"/>
        <w:jc w:val="both"/>
        <w:rPr>
          <w:color w:val="000000" w:themeColor="text1"/>
          <w:sz w:val="24"/>
          <w:szCs w:val="24"/>
          <w:lang w:val="en-IN" w:eastAsia="en-IN"/>
        </w:rPr>
      </w:pPr>
      <w:r w:rsidRPr="00B13F27">
        <w:rPr>
          <w:color w:val="000000" w:themeColor="text1"/>
          <w:sz w:val="24"/>
          <w:szCs w:val="24"/>
          <w:lang w:val="en-IN" w:eastAsia="en-IN"/>
        </w:rPr>
        <w:t xml:space="preserve">The </w:t>
      </w:r>
      <w:r w:rsidR="00E20E53" w:rsidRPr="000B017B">
        <w:rPr>
          <w:color w:val="000000" w:themeColor="text1"/>
          <w:sz w:val="24"/>
          <w:szCs w:val="24"/>
          <w:lang w:val="en-IN" w:eastAsia="en-IN"/>
        </w:rPr>
        <w:t xml:space="preserve">above </w:t>
      </w:r>
      <w:r w:rsidRPr="00B13F27">
        <w:rPr>
          <w:color w:val="000000" w:themeColor="text1"/>
          <w:sz w:val="24"/>
          <w:szCs w:val="24"/>
          <w:lang w:val="en-IN" w:eastAsia="en-IN"/>
        </w:rPr>
        <w:t>chart compares the growth of four HDFC mutual funds (HDFC Balanced Fund Growth, HDFC Income Fund Growth, HDFC</w:t>
      </w:r>
      <w:r w:rsidR="00000023" w:rsidRPr="000B017B">
        <w:rPr>
          <w:color w:val="000000" w:themeColor="text1"/>
          <w:sz w:val="24"/>
          <w:szCs w:val="24"/>
          <w:lang w:val="en-IN" w:eastAsia="en-IN"/>
        </w:rPr>
        <w:t xml:space="preserve"> </w:t>
      </w:r>
      <w:r w:rsidR="00964E08" w:rsidRPr="000B017B">
        <w:rPr>
          <w:color w:val="000000" w:themeColor="text1"/>
          <w:sz w:val="24"/>
          <w:szCs w:val="24"/>
          <w:lang w:val="en-IN" w:eastAsia="en-IN"/>
        </w:rPr>
        <w:t>nomura balanced growth</w:t>
      </w:r>
      <w:r w:rsidRPr="00B13F27">
        <w:rPr>
          <w:color w:val="000000" w:themeColor="text1"/>
          <w:sz w:val="24"/>
          <w:szCs w:val="24"/>
          <w:lang w:val="en-IN" w:eastAsia="en-IN"/>
        </w:rPr>
        <w:t>, and HDFC Blue Chip Fund Growth) against the Nifty 50 index. Unfortunately, the specific timeframe for this comparison isn't provided.</w:t>
      </w:r>
    </w:p>
    <w:tbl>
      <w:tblPr>
        <w:tblW w:w="5000" w:type="pct"/>
        <w:tblCellMar>
          <w:top w:w="15" w:type="dxa"/>
          <w:left w:w="15" w:type="dxa"/>
          <w:bottom w:w="15" w:type="dxa"/>
          <w:right w:w="15" w:type="dxa"/>
        </w:tblCellMar>
        <w:tblLook w:val="04A0" w:firstRow="1" w:lastRow="0" w:firstColumn="1" w:lastColumn="0" w:noHBand="0" w:noVBand="1"/>
      </w:tblPr>
      <w:tblGrid>
        <w:gridCol w:w="5055"/>
        <w:gridCol w:w="1796"/>
        <w:gridCol w:w="2749"/>
      </w:tblGrid>
      <w:tr w:rsidR="000B017B" w:rsidRPr="000B017B" w14:paraId="16CB9488"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651CCCC" w14:textId="77777777" w:rsidR="00964E08" w:rsidRPr="000B017B" w:rsidRDefault="00964E08" w:rsidP="00773035">
            <w:pPr>
              <w:spacing w:line="276" w:lineRule="auto"/>
              <w:ind w:right="567"/>
              <w:jc w:val="both"/>
              <w:rPr>
                <w:b/>
                <w:color w:val="000000" w:themeColor="text1"/>
                <w:spacing w:val="-2"/>
                <w:sz w:val="24"/>
                <w:szCs w:val="24"/>
                <w:lang w:val="en-I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B2AADC9" w14:textId="77777777" w:rsidR="00964E08" w:rsidRPr="000B017B" w:rsidRDefault="00964E08" w:rsidP="00773035">
            <w:pPr>
              <w:spacing w:line="276" w:lineRule="auto"/>
              <w:ind w:right="567"/>
              <w:jc w:val="both"/>
              <w:rPr>
                <w:b/>
                <w:bCs/>
                <w:color w:val="000000" w:themeColor="text1"/>
                <w:spacing w:val="-2"/>
                <w:sz w:val="24"/>
                <w:szCs w:val="24"/>
                <w:lang w:val="en-IN"/>
              </w:rPr>
            </w:pPr>
            <w:r w:rsidRPr="000B017B">
              <w:rPr>
                <w:b/>
                <w:bCs/>
                <w:color w:val="000000" w:themeColor="text1"/>
                <w:spacing w:val="-2"/>
                <w:sz w:val="24"/>
                <w:szCs w:val="24"/>
                <w:lang w:val="en-IN"/>
              </w:rPr>
              <w:t xml:space="preserve">R-square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F59E5A3" w14:textId="77777777" w:rsidR="00964E08" w:rsidRPr="000B017B" w:rsidRDefault="00964E08" w:rsidP="00773035">
            <w:pPr>
              <w:spacing w:line="276" w:lineRule="auto"/>
              <w:ind w:right="567"/>
              <w:jc w:val="both"/>
              <w:rPr>
                <w:b/>
                <w:bCs/>
                <w:color w:val="000000" w:themeColor="text1"/>
                <w:spacing w:val="-2"/>
                <w:sz w:val="24"/>
                <w:szCs w:val="24"/>
                <w:lang w:val="en-IN"/>
              </w:rPr>
            </w:pPr>
            <w:r w:rsidRPr="000B017B">
              <w:rPr>
                <w:b/>
                <w:bCs/>
                <w:color w:val="000000" w:themeColor="text1"/>
                <w:spacing w:val="-2"/>
                <w:sz w:val="24"/>
                <w:szCs w:val="24"/>
                <w:lang w:val="en-IN"/>
              </w:rPr>
              <w:t xml:space="preserve">R-square adjusted </w:t>
            </w:r>
          </w:p>
        </w:tc>
      </w:tr>
      <w:tr w:rsidR="000B017B" w:rsidRPr="000B017B" w14:paraId="493EA458"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B0DD19E" w14:textId="77777777" w:rsidR="00964E08" w:rsidRPr="000B017B" w:rsidRDefault="00964E08" w:rsidP="00773035">
            <w:pPr>
              <w:spacing w:line="276" w:lineRule="auto"/>
              <w:ind w:right="567"/>
              <w:jc w:val="both"/>
              <w:rPr>
                <w:b/>
                <w:bCs/>
                <w:color w:val="000000" w:themeColor="text1"/>
                <w:spacing w:val="-2"/>
                <w:sz w:val="24"/>
                <w:szCs w:val="24"/>
                <w:lang w:val="en-IN"/>
              </w:rPr>
            </w:pPr>
            <w:r w:rsidRPr="000B017B">
              <w:rPr>
                <w:b/>
                <w:bCs/>
                <w:color w:val="000000" w:themeColor="text1"/>
                <w:spacing w:val="-2"/>
                <w:sz w:val="24"/>
                <w:szCs w:val="24"/>
                <w:lang w:val="en-IN"/>
              </w:rPr>
              <w:t xml:space="preserve">HDFC income fund 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C2F5451"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0.207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EC290ED"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0.186 </w:t>
            </w:r>
          </w:p>
        </w:tc>
      </w:tr>
      <w:tr w:rsidR="000B017B" w:rsidRPr="000B017B" w14:paraId="0A10477C"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333B26B" w14:textId="77777777" w:rsidR="00964E08" w:rsidRPr="000B017B" w:rsidRDefault="00964E08" w:rsidP="00773035">
            <w:pPr>
              <w:spacing w:line="276" w:lineRule="auto"/>
              <w:ind w:right="567"/>
              <w:jc w:val="both"/>
              <w:rPr>
                <w:b/>
                <w:bCs/>
                <w:color w:val="000000" w:themeColor="text1"/>
                <w:spacing w:val="-2"/>
                <w:sz w:val="24"/>
                <w:szCs w:val="24"/>
                <w:lang w:val="en-IN"/>
              </w:rPr>
            </w:pPr>
            <w:r w:rsidRPr="000B017B">
              <w:rPr>
                <w:b/>
                <w:bCs/>
                <w:color w:val="000000" w:themeColor="text1"/>
                <w:spacing w:val="-2"/>
                <w:sz w:val="24"/>
                <w:szCs w:val="24"/>
                <w:lang w:val="en-IN"/>
              </w:rPr>
              <w:t xml:space="preserve">HDFC Magnum Balanced Fund 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505C4E"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0.743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2F20756"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0.736 </w:t>
            </w:r>
          </w:p>
        </w:tc>
      </w:tr>
      <w:tr w:rsidR="000B017B" w:rsidRPr="000B017B" w14:paraId="34B8DFE5"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932056" w14:textId="77777777" w:rsidR="00964E08" w:rsidRPr="000B017B" w:rsidRDefault="00964E08" w:rsidP="00773035">
            <w:pPr>
              <w:spacing w:line="276" w:lineRule="auto"/>
              <w:ind w:right="567"/>
              <w:jc w:val="both"/>
              <w:rPr>
                <w:b/>
                <w:bCs/>
                <w:color w:val="000000" w:themeColor="text1"/>
                <w:spacing w:val="-2"/>
                <w:sz w:val="24"/>
                <w:szCs w:val="24"/>
                <w:lang w:val="en-IN"/>
              </w:rPr>
            </w:pPr>
            <w:r w:rsidRPr="000B017B">
              <w:rPr>
                <w:b/>
                <w:bCs/>
                <w:color w:val="000000" w:themeColor="text1"/>
                <w:spacing w:val="-2"/>
                <w:sz w:val="24"/>
                <w:szCs w:val="24"/>
                <w:lang w:val="en-IN"/>
              </w:rPr>
              <w:t xml:space="preserve">HDFC blue chip fund 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4C573E"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0.801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BBB8A64"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0.795 </w:t>
            </w:r>
          </w:p>
        </w:tc>
      </w:tr>
      <w:tr w:rsidR="000B017B" w:rsidRPr="000B017B" w14:paraId="0D1B0D6F"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721393" w14:textId="77777777" w:rsidR="00964E08" w:rsidRPr="000B017B" w:rsidRDefault="00964E08" w:rsidP="00773035">
            <w:pPr>
              <w:spacing w:line="276" w:lineRule="auto"/>
              <w:ind w:right="567"/>
              <w:jc w:val="both"/>
              <w:rPr>
                <w:b/>
                <w:bCs/>
                <w:color w:val="000000" w:themeColor="text1"/>
                <w:spacing w:val="-2"/>
                <w:sz w:val="24"/>
                <w:szCs w:val="24"/>
                <w:lang w:val="en-IN"/>
              </w:rPr>
            </w:pPr>
            <w:r w:rsidRPr="000B017B">
              <w:rPr>
                <w:b/>
                <w:bCs/>
                <w:color w:val="000000" w:themeColor="text1"/>
                <w:spacing w:val="-2"/>
                <w:sz w:val="24"/>
                <w:szCs w:val="24"/>
                <w:lang w:val="en-IN"/>
              </w:rPr>
              <w:t xml:space="preserve">HDFC nomura balanced 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A65AC42"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0.848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98E247F" w14:textId="77777777" w:rsidR="00964E08" w:rsidRPr="000B017B" w:rsidRDefault="00964E08" w:rsidP="00773035">
            <w:pPr>
              <w:spacing w:line="276" w:lineRule="auto"/>
              <w:ind w:right="567"/>
              <w:jc w:val="both"/>
              <w:rPr>
                <w:b/>
                <w:color w:val="000000" w:themeColor="text1"/>
                <w:spacing w:val="-2"/>
                <w:sz w:val="24"/>
                <w:szCs w:val="24"/>
                <w:lang w:val="en-IN"/>
              </w:rPr>
            </w:pPr>
            <w:r w:rsidRPr="000B017B">
              <w:rPr>
                <w:b/>
                <w:color w:val="000000" w:themeColor="text1"/>
                <w:spacing w:val="-2"/>
                <w:sz w:val="24"/>
                <w:szCs w:val="24"/>
                <w:lang w:val="en-IN"/>
              </w:rPr>
              <w:t xml:space="preserve">0.844 </w:t>
            </w:r>
          </w:p>
        </w:tc>
      </w:tr>
    </w:tbl>
    <w:p w14:paraId="6BA80E82" w14:textId="0B6422A0" w:rsidR="00964E08" w:rsidRPr="00475009" w:rsidRDefault="00475009" w:rsidP="00475009">
      <w:pPr>
        <w:widowControl/>
        <w:autoSpaceDE/>
        <w:autoSpaceDN/>
        <w:spacing w:line="420" w:lineRule="atLeast"/>
        <w:jc w:val="both"/>
        <w:rPr>
          <w:b/>
          <w:i/>
          <w:color w:val="000000" w:themeColor="text1"/>
          <w:sz w:val="24"/>
          <w:szCs w:val="24"/>
          <w:lang w:val="en-IN" w:eastAsia="en-IN"/>
        </w:rPr>
      </w:pPr>
      <w:r w:rsidRPr="00475009">
        <w:rPr>
          <w:b/>
          <w:i/>
          <w:color w:val="000000" w:themeColor="text1"/>
          <w:sz w:val="24"/>
          <w:szCs w:val="24"/>
          <w:lang w:val="en-IN" w:eastAsia="en-IN"/>
        </w:rPr>
        <w:t>Interpretation</w:t>
      </w:r>
      <w:r>
        <w:rPr>
          <w:b/>
          <w:i/>
          <w:color w:val="000000" w:themeColor="text1"/>
          <w:sz w:val="24"/>
          <w:szCs w:val="24"/>
          <w:lang w:val="en-IN" w:eastAsia="en-IN"/>
        </w:rPr>
        <w:t>:</w:t>
      </w:r>
    </w:p>
    <w:p w14:paraId="6D75E056" w14:textId="736961E1" w:rsidR="00D67DB5" w:rsidRPr="00D67DB5" w:rsidRDefault="004C6694" w:rsidP="00773035">
      <w:pPr>
        <w:pStyle w:val="first-token"/>
        <w:spacing w:before="0" w:beforeAutospacing="0" w:after="0" w:afterAutospacing="0" w:line="420" w:lineRule="atLeast"/>
        <w:jc w:val="both"/>
        <w:rPr>
          <w:color w:val="000000" w:themeColor="text1"/>
          <w:bdr w:val="none" w:sz="0" w:space="0" w:color="auto" w:frame="1"/>
        </w:rPr>
      </w:pPr>
      <w:r w:rsidRPr="000B017B">
        <w:rPr>
          <w:color w:val="000000" w:themeColor="text1"/>
          <w:bdr w:val="none" w:sz="0" w:space="0" w:color="auto" w:frame="1"/>
        </w:rPr>
        <w:t>This table displays R-squared values for HDFC mutual funds. R-squared, ranging from 0 to 1, indicates how well a model explains a fund's performance variations. Higher values signify a better fit, with HDFC</w:t>
      </w:r>
      <w:r w:rsidR="00000023" w:rsidRPr="000B017B">
        <w:rPr>
          <w:color w:val="000000" w:themeColor="text1"/>
          <w:bdr w:val="none" w:sz="0" w:space="0" w:color="auto" w:frame="1"/>
        </w:rPr>
        <w:t xml:space="preserve"> </w:t>
      </w:r>
      <w:r w:rsidR="00964E08" w:rsidRPr="000B017B">
        <w:rPr>
          <w:color w:val="000000" w:themeColor="text1"/>
          <w:bdr w:val="none" w:sz="0" w:space="0" w:color="auto" w:frame="1"/>
        </w:rPr>
        <w:t>Nomura Balanced growth</w:t>
      </w:r>
      <w:r w:rsidRPr="000B017B">
        <w:rPr>
          <w:color w:val="000000" w:themeColor="text1"/>
          <w:bdr w:val="none" w:sz="0" w:space="0" w:color="auto" w:frame="1"/>
        </w:rPr>
        <w:t xml:space="preserve"> (0.848) topping the list. Conversely, a lower R-squared, like HDFC</w:t>
      </w:r>
      <w:r w:rsidR="00000023" w:rsidRPr="000B017B">
        <w:rPr>
          <w:color w:val="000000" w:themeColor="text1"/>
          <w:bdr w:val="none" w:sz="0" w:space="0" w:color="auto" w:frame="1"/>
        </w:rPr>
        <w:t xml:space="preserve"> </w:t>
      </w:r>
      <w:r w:rsidR="00964E08" w:rsidRPr="000B017B">
        <w:rPr>
          <w:color w:val="000000" w:themeColor="text1"/>
          <w:bdr w:val="none" w:sz="0" w:space="0" w:color="auto" w:frame="1"/>
        </w:rPr>
        <w:t xml:space="preserve">income fund growth </w:t>
      </w:r>
      <w:r w:rsidRPr="000B017B">
        <w:rPr>
          <w:color w:val="000000" w:themeColor="text1"/>
          <w:bdr w:val="none" w:sz="0" w:space="0" w:color="auto" w:frame="1"/>
        </w:rPr>
        <w:t>(0.207), suggests the model explains a lesser portion of the performance variation. While this provides insight, it's important to consider other factors for a comprehen</w:t>
      </w:r>
      <w:r w:rsidR="00D67DB5">
        <w:rPr>
          <w:color w:val="000000" w:themeColor="text1"/>
          <w:bdr w:val="none" w:sz="0" w:space="0" w:color="auto" w:frame="1"/>
        </w:rPr>
        <w:t>sive analysis.</w:t>
      </w:r>
    </w:p>
    <w:p w14:paraId="4A8EF24D" w14:textId="77777777" w:rsidR="00D67DB5" w:rsidRPr="00D67DB5" w:rsidRDefault="00D67DB5" w:rsidP="00773035">
      <w:pPr>
        <w:pStyle w:val="first-token"/>
        <w:spacing w:before="0" w:beforeAutospacing="0" w:after="0" w:afterAutospacing="0" w:line="420" w:lineRule="atLeast"/>
        <w:jc w:val="both"/>
        <w:rPr>
          <w:b/>
          <w:color w:val="000000" w:themeColor="text1"/>
        </w:rPr>
      </w:pPr>
    </w:p>
    <w:tbl>
      <w:tblPr>
        <w:tblW w:w="5000" w:type="pct"/>
        <w:tblBorders>
          <w:top w:val="single" w:sz="6" w:space="0" w:color="000000"/>
          <w:left w:val="single" w:sz="6" w:space="0" w:color="000000"/>
          <w:bottom w:val="single" w:sz="4" w:space="0" w:color="auto"/>
          <w:right w:val="single" w:sz="6" w:space="0" w:color="000000"/>
          <w:insideH w:val="single" w:sz="6" w:space="0" w:color="000000"/>
          <w:insideV w:val="single" w:sz="6" w:space="0" w:color="000000"/>
        </w:tblBorders>
        <w:tblCellMar>
          <w:top w:w="15" w:type="dxa"/>
          <w:left w:w="15" w:type="dxa"/>
          <w:bottom w:w="15" w:type="dxa"/>
          <w:right w:w="15" w:type="dxa"/>
        </w:tblCellMar>
        <w:tblLook w:val="04A0" w:firstRow="1" w:lastRow="0" w:firstColumn="1" w:lastColumn="0" w:noHBand="0" w:noVBand="1"/>
      </w:tblPr>
      <w:tblGrid>
        <w:gridCol w:w="1964"/>
        <w:gridCol w:w="1576"/>
        <w:gridCol w:w="1521"/>
        <w:gridCol w:w="1963"/>
        <w:gridCol w:w="1796"/>
        <w:gridCol w:w="780"/>
      </w:tblGrid>
      <w:tr w:rsidR="000B017B" w:rsidRPr="000B017B" w14:paraId="3A39561B" w14:textId="77777777" w:rsidTr="00000023">
        <w:tc>
          <w:tcPr>
            <w:tcW w:w="0" w:type="auto"/>
            <w:tcMar>
              <w:top w:w="0" w:type="dxa"/>
              <w:left w:w="120" w:type="dxa"/>
              <w:bottom w:w="0" w:type="dxa"/>
              <w:right w:w="120" w:type="dxa"/>
            </w:tcMar>
            <w:vAlign w:val="center"/>
            <w:hideMark/>
          </w:tcPr>
          <w:p w14:paraId="5F34D721" w14:textId="77777777" w:rsidR="00000023" w:rsidRPr="000B017B" w:rsidRDefault="00000023" w:rsidP="00773035">
            <w:pPr>
              <w:pStyle w:val="NoSpacing"/>
              <w:jc w:val="both"/>
              <w:rPr>
                <w:color w:val="000000" w:themeColor="text1"/>
                <w:sz w:val="24"/>
                <w:szCs w:val="24"/>
                <w:lang w:val="en-IN" w:eastAsia="en-IN"/>
              </w:rPr>
            </w:pPr>
          </w:p>
        </w:tc>
        <w:tc>
          <w:tcPr>
            <w:tcW w:w="0" w:type="auto"/>
            <w:tcMar>
              <w:top w:w="0" w:type="dxa"/>
              <w:left w:w="120" w:type="dxa"/>
              <w:bottom w:w="0" w:type="dxa"/>
              <w:right w:w="120" w:type="dxa"/>
            </w:tcMar>
            <w:vAlign w:val="center"/>
            <w:hideMark/>
          </w:tcPr>
          <w:p w14:paraId="092E07CD" w14:textId="4B3FF7DC"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blue chip fund growth </w:t>
            </w:r>
          </w:p>
        </w:tc>
        <w:tc>
          <w:tcPr>
            <w:tcW w:w="0" w:type="auto"/>
            <w:tcMar>
              <w:top w:w="0" w:type="dxa"/>
              <w:left w:w="120" w:type="dxa"/>
              <w:bottom w:w="0" w:type="dxa"/>
              <w:right w:w="120" w:type="dxa"/>
            </w:tcMar>
            <w:vAlign w:val="center"/>
            <w:hideMark/>
          </w:tcPr>
          <w:p w14:paraId="45EDEBC9" w14:textId="697F544D"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income fund growth </w:t>
            </w:r>
          </w:p>
        </w:tc>
        <w:tc>
          <w:tcPr>
            <w:tcW w:w="0" w:type="auto"/>
            <w:tcMar>
              <w:top w:w="0" w:type="dxa"/>
              <w:left w:w="120" w:type="dxa"/>
              <w:bottom w:w="0" w:type="dxa"/>
              <w:right w:w="120" w:type="dxa"/>
            </w:tcMar>
            <w:vAlign w:val="center"/>
            <w:hideMark/>
          </w:tcPr>
          <w:p w14:paraId="537B4D38" w14:textId="1CA2003E"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magnum balanced fund growth </w:t>
            </w:r>
          </w:p>
        </w:tc>
        <w:tc>
          <w:tcPr>
            <w:tcW w:w="0" w:type="auto"/>
            <w:tcMar>
              <w:top w:w="0" w:type="dxa"/>
              <w:left w:w="120" w:type="dxa"/>
              <w:bottom w:w="0" w:type="dxa"/>
              <w:right w:w="120" w:type="dxa"/>
            </w:tcMar>
            <w:vAlign w:val="center"/>
            <w:hideMark/>
          </w:tcPr>
          <w:p w14:paraId="3C4E36F5" w14:textId="1AD942A6"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nomura balanced growth </w:t>
            </w:r>
          </w:p>
        </w:tc>
        <w:tc>
          <w:tcPr>
            <w:tcW w:w="0" w:type="auto"/>
            <w:tcMar>
              <w:top w:w="0" w:type="dxa"/>
              <w:left w:w="120" w:type="dxa"/>
              <w:bottom w:w="0" w:type="dxa"/>
              <w:right w:w="120" w:type="dxa"/>
            </w:tcMar>
            <w:vAlign w:val="center"/>
            <w:hideMark/>
          </w:tcPr>
          <w:p w14:paraId="1F9F3823" w14:textId="77777777"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Nifty </w:t>
            </w:r>
          </w:p>
        </w:tc>
      </w:tr>
      <w:tr w:rsidR="000B017B" w:rsidRPr="000B017B" w14:paraId="5EC4C932" w14:textId="77777777" w:rsidTr="00000023">
        <w:tc>
          <w:tcPr>
            <w:tcW w:w="0" w:type="auto"/>
            <w:tcMar>
              <w:top w:w="0" w:type="dxa"/>
              <w:left w:w="120" w:type="dxa"/>
              <w:bottom w:w="0" w:type="dxa"/>
              <w:right w:w="120" w:type="dxa"/>
            </w:tcMar>
            <w:vAlign w:val="center"/>
            <w:hideMark/>
          </w:tcPr>
          <w:p w14:paraId="44A916E9" w14:textId="79C4A31E"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blue chip fund growth </w:t>
            </w:r>
          </w:p>
        </w:tc>
        <w:tc>
          <w:tcPr>
            <w:tcW w:w="0" w:type="auto"/>
            <w:tcMar>
              <w:top w:w="0" w:type="dxa"/>
              <w:left w:w="120" w:type="dxa"/>
              <w:bottom w:w="0" w:type="dxa"/>
              <w:right w:w="120" w:type="dxa"/>
            </w:tcMar>
            <w:vAlign w:val="center"/>
            <w:hideMark/>
          </w:tcPr>
          <w:p w14:paraId="25E0BEF7"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1.000 </w:t>
            </w:r>
          </w:p>
        </w:tc>
        <w:tc>
          <w:tcPr>
            <w:tcW w:w="0" w:type="auto"/>
            <w:tcMar>
              <w:top w:w="0" w:type="dxa"/>
              <w:left w:w="120" w:type="dxa"/>
              <w:bottom w:w="0" w:type="dxa"/>
              <w:right w:w="120" w:type="dxa"/>
            </w:tcMar>
            <w:vAlign w:val="center"/>
            <w:hideMark/>
          </w:tcPr>
          <w:p w14:paraId="3A0AC6CC"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0.370 </w:t>
            </w:r>
          </w:p>
        </w:tc>
        <w:tc>
          <w:tcPr>
            <w:tcW w:w="0" w:type="auto"/>
            <w:tcMar>
              <w:top w:w="0" w:type="dxa"/>
              <w:left w:w="120" w:type="dxa"/>
              <w:bottom w:w="0" w:type="dxa"/>
              <w:right w:w="120" w:type="dxa"/>
            </w:tcMar>
            <w:vAlign w:val="center"/>
            <w:hideMark/>
          </w:tcPr>
          <w:p w14:paraId="4A795B5F"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0.962 </w:t>
            </w:r>
          </w:p>
        </w:tc>
        <w:tc>
          <w:tcPr>
            <w:tcW w:w="0" w:type="auto"/>
            <w:tcMar>
              <w:top w:w="0" w:type="dxa"/>
              <w:left w:w="120" w:type="dxa"/>
              <w:bottom w:w="0" w:type="dxa"/>
              <w:right w:w="120" w:type="dxa"/>
            </w:tcMar>
            <w:vAlign w:val="center"/>
            <w:hideMark/>
          </w:tcPr>
          <w:p w14:paraId="2CB32E7E"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0.956 </w:t>
            </w:r>
          </w:p>
        </w:tc>
        <w:tc>
          <w:tcPr>
            <w:tcW w:w="0" w:type="auto"/>
            <w:tcMar>
              <w:top w:w="0" w:type="dxa"/>
              <w:left w:w="120" w:type="dxa"/>
              <w:bottom w:w="0" w:type="dxa"/>
              <w:right w:w="120" w:type="dxa"/>
            </w:tcMar>
            <w:vAlign w:val="center"/>
            <w:hideMark/>
          </w:tcPr>
          <w:p w14:paraId="710B6F96"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0.895 </w:t>
            </w:r>
          </w:p>
        </w:tc>
      </w:tr>
      <w:tr w:rsidR="000B017B" w:rsidRPr="000B017B" w14:paraId="19F733C7" w14:textId="77777777" w:rsidTr="00000023">
        <w:tc>
          <w:tcPr>
            <w:tcW w:w="0" w:type="auto"/>
            <w:tcMar>
              <w:top w:w="0" w:type="dxa"/>
              <w:left w:w="120" w:type="dxa"/>
              <w:bottom w:w="0" w:type="dxa"/>
              <w:right w:w="120" w:type="dxa"/>
            </w:tcMar>
            <w:vAlign w:val="center"/>
            <w:hideMark/>
          </w:tcPr>
          <w:p w14:paraId="3E677F2C" w14:textId="54F12EDF"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income fund growth </w:t>
            </w:r>
          </w:p>
        </w:tc>
        <w:tc>
          <w:tcPr>
            <w:tcW w:w="0" w:type="auto"/>
            <w:tcMar>
              <w:top w:w="0" w:type="dxa"/>
              <w:left w:w="120" w:type="dxa"/>
              <w:bottom w:w="0" w:type="dxa"/>
              <w:right w:w="120" w:type="dxa"/>
            </w:tcMar>
            <w:vAlign w:val="center"/>
            <w:hideMark/>
          </w:tcPr>
          <w:p w14:paraId="23868611"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0.370 </w:t>
            </w:r>
          </w:p>
        </w:tc>
        <w:tc>
          <w:tcPr>
            <w:tcW w:w="0" w:type="auto"/>
            <w:tcMar>
              <w:top w:w="0" w:type="dxa"/>
              <w:left w:w="120" w:type="dxa"/>
              <w:bottom w:w="0" w:type="dxa"/>
              <w:right w:w="120" w:type="dxa"/>
            </w:tcMar>
            <w:vAlign w:val="center"/>
            <w:hideMark/>
          </w:tcPr>
          <w:p w14:paraId="7AD1EDCC"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1.000 </w:t>
            </w:r>
          </w:p>
        </w:tc>
        <w:tc>
          <w:tcPr>
            <w:tcW w:w="0" w:type="auto"/>
            <w:tcMar>
              <w:top w:w="0" w:type="dxa"/>
              <w:left w:w="120" w:type="dxa"/>
              <w:bottom w:w="0" w:type="dxa"/>
              <w:right w:w="120" w:type="dxa"/>
            </w:tcMar>
            <w:vAlign w:val="center"/>
            <w:hideMark/>
          </w:tcPr>
          <w:p w14:paraId="629CB114"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0.458 </w:t>
            </w:r>
          </w:p>
        </w:tc>
        <w:tc>
          <w:tcPr>
            <w:tcW w:w="0" w:type="auto"/>
            <w:tcMar>
              <w:top w:w="0" w:type="dxa"/>
              <w:left w:w="120" w:type="dxa"/>
              <w:bottom w:w="0" w:type="dxa"/>
              <w:right w:w="120" w:type="dxa"/>
            </w:tcMar>
            <w:vAlign w:val="center"/>
            <w:hideMark/>
          </w:tcPr>
          <w:p w14:paraId="304243C7"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0.528 </w:t>
            </w:r>
          </w:p>
        </w:tc>
        <w:tc>
          <w:tcPr>
            <w:tcW w:w="0" w:type="auto"/>
            <w:tcMar>
              <w:top w:w="0" w:type="dxa"/>
              <w:left w:w="120" w:type="dxa"/>
              <w:bottom w:w="0" w:type="dxa"/>
              <w:right w:w="120" w:type="dxa"/>
            </w:tcMar>
            <w:vAlign w:val="center"/>
            <w:hideMark/>
          </w:tcPr>
          <w:p w14:paraId="792EF844"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0.455 </w:t>
            </w:r>
          </w:p>
        </w:tc>
      </w:tr>
      <w:tr w:rsidR="000B017B" w:rsidRPr="000B017B" w14:paraId="32890447" w14:textId="77777777" w:rsidTr="00000023">
        <w:tc>
          <w:tcPr>
            <w:tcW w:w="0" w:type="auto"/>
            <w:tcMar>
              <w:top w:w="0" w:type="dxa"/>
              <w:left w:w="120" w:type="dxa"/>
              <w:bottom w:w="0" w:type="dxa"/>
              <w:right w:w="120" w:type="dxa"/>
            </w:tcMar>
            <w:vAlign w:val="center"/>
            <w:hideMark/>
          </w:tcPr>
          <w:p w14:paraId="3B8A2280" w14:textId="07C4E416"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magnum balanced fund growth </w:t>
            </w:r>
          </w:p>
        </w:tc>
        <w:tc>
          <w:tcPr>
            <w:tcW w:w="0" w:type="auto"/>
            <w:tcMar>
              <w:top w:w="0" w:type="dxa"/>
              <w:left w:w="120" w:type="dxa"/>
              <w:bottom w:w="0" w:type="dxa"/>
              <w:right w:w="120" w:type="dxa"/>
            </w:tcMar>
            <w:vAlign w:val="center"/>
            <w:hideMark/>
          </w:tcPr>
          <w:p w14:paraId="3D5A4DBC"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0.962 </w:t>
            </w:r>
          </w:p>
        </w:tc>
        <w:tc>
          <w:tcPr>
            <w:tcW w:w="0" w:type="auto"/>
            <w:tcMar>
              <w:top w:w="0" w:type="dxa"/>
              <w:left w:w="120" w:type="dxa"/>
              <w:bottom w:w="0" w:type="dxa"/>
              <w:right w:w="120" w:type="dxa"/>
            </w:tcMar>
            <w:vAlign w:val="center"/>
            <w:hideMark/>
          </w:tcPr>
          <w:p w14:paraId="4C64F8D7"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0.458 </w:t>
            </w:r>
          </w:p>
        </w:tc>
        <w:tc>
          <w:tcPr>
            <w:tcW w:w="0" w:type="auto"/>
            <w:tcMar>
              <w:top w:w="0" w:type="dxa"/>
              <w:left w:w="120" w:type="dxa"/>
              <w:bottom w:w="0" w:type="dxa"/>
              <w:right w:w="120" w:type="dxa"/>
            </w:tcMar>
            <w:vAlign w:val="center"/>
            <w:hideMark/>
          </w:tcPr>
          <w:p w14:paraId="58AB3E40"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1.000 </w:t>
            </w:r>
          </w:p>
        </w:tc>
        <w:tc>
          <w:tcPr>
            <w:tcW w:w="0" w:type="auto"/>
            <w:tcMar>
              <w:top w:w="0" w:type="dxa"/>
              <w:left w:w="120" w:type="dxa"/>
              <w:bottom w:w="0" w:type="dxa"/>
              <w:right w:w="120" w:type="dxa"/>
            </w:tcMar>
            <w:vAlign w:val="center"/>
            <w:hideMark/>
          </w:tcPr>
          <w:p w14:paraId="3C7FF78A"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0.915 </w:t>
            </w:r>
          </w:p>
        </w:tc>
        <w:tc>
          <w:tcPr>
            <w:tcW w:w="0" w:type="auto"/>
            <w:tcMar>
              <w:top w:w="0" w:type="dxa"/>
              <w:left w:w="120" w:type="dxa"/>
              <w:bottom w:w="0" w:type="dxa"/>
              <w:right w:w="120" w:type="dxa"/>
            </w:tcMar>
            <w:vAlign w:val="center"/>
            <w:hideMark/>
          </w:tcPr>
          <w:p w14:paraId="14483E41"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0.862 </w:t>
            </w:r>
          </w:p>
        </w:tc>
      </w:tr>
      <w:tr w:rsidR="000B017B" w:rsidRPr="000B017B" w14:paraId="18B36DC3" w14:textId="77777777" w:rsidTr="00000023">
        <w:tc>
          <w:tcPr>
            <w:tcW w:w="0" w:type="auto"/>
            <w:tcMar>
              <w:top w:w="0" w:type="dxa"/>
              <w:left w:w="120" w:type="dxa"/>
              <w:bottom w:w="0" w:type="dxa"/>
              <w:right w:w="120" w:type="dxa"/>
            </w:tcMar>
            <w:vAlign w:val="center"/>
            <w:hideMark/>
          </w:tcPr>
          <w:p w14:paraId="4D75E844" w14:textId="3DF05BAF"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HDFC nomura balanced growth </w:t>
            </w:r>
          </w:p>
        </w:tc>
        <w:tc>
          <w:tcPr>
            <w:tcW w:w="0" w:type="auto"/>
            <w:tcMar>
              <w:top w:w="0" w:type="dxa"/>
              <w:left w:w="120" w:type="dxa"/>
              <w:bottom w:w="0" w:type="dxa"/>
              <w:right w:w="120" w:type="dxa"/>
            </w:tcMar>
            <w:vAlign w:val="center"/>
            <w:hideMark/>
          </w:tcPr>
          <w:p w14:paraId="3F5C55B1"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0.956 </w:t>
            </w:r>
          </w:p>
        </w:tc>
        <w:tc>
          <w:tcPr>
            <w:tcW w:w="0" w:type="auto"/>
            <w:tcMar>
              <w:top w:w="0" w:type="dxa"/>
              <w:left w:w="120" w:type="dxa"/>
              <w:bottom w:w="0" w:type="dxa"/>
              <w:right w:w="120" w:type="dxa"/>
            </w:tcMar>
            <w:vAlign w:val="center"/>
            <w:hideMark/>
          </w:tcPr>
          <w:p w14:paraId="54502ABC"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0.528 </w:t>
            </w:r>
          </w:p>
        </w:tc>
        <w:tc>
          <w:tcPr>
            <w:tcW w:w="0" w:type="auto"/>
            <w:tcMar>
              <w:top w:w="0" w:type="dxa"/>
              <w:left w:w="120" w:type="dxa"/>
              <w:bottom w:w="0" w:type="dxa"/>
              <w:right w:w="120" w:type="dxa"/>
            </w:tcMar>
            <w:vAlign w:val="center"/>
            <w:hideMark/>
          </w:tcPr>
          <w:p w14:paraId="22845A6C"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0.915 </w:t>
            </w:r>
          </w:p>
        </w:tc>
        <w:tc>
          <w:tcPr>
            <w:tcW w:w="0" w:type="auto"/>
            <w:tcMar>
              <w:top w:w="0" w:type="dxa"/>
              <w:left w:w="120" w:type="dxa"/>
              <w:bottom w:w="0" w:type="dxa"/>
              <w:right w:w="120" w:type="dxa"/>
            </w:tcMar>
            <w:vAlign w:val="center"/>
            <w:hideMark/>
          </w:tcPr>
          <w:p w14:paraId="4A8D98D5"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1.000 </w:t>
            </w:r>
          </w:p>
        </w:tc>
        <w:tc>
          <w:tcPr>
            <w:tcW w:w="0" w:type="auto"/>
            <w:tcMar>
              <w:top w:w="0" w:type="dxa"/>
              <w:left w:w="120" w:type="dxa"/>
              <w:bottom w:w="0" w:type="dxa"/>
              <w:right w:w="120" w:type="dxa"/>
            </w:tcMar>
            <w:vAlign w:val="center"/>
            <w:hideMark/>
          </w:tcPr>
          <w:p w14:paraId="352CF4AD"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0.921 </w:t>
            </w:r>
          </w:p>
        </w:tc>
      </w:tr>
      <w:tr w:rsidR="000B017B" w:rsidRPr="000B017B" w14:paraId="4C16EFB1" w14:textId="77777777" w:rsidTr="00000023">
        <w:tc>
          <w:tcPr>
            <w:tcW w:w="0" w:type="auto"/>
            <w:tcMar>
              <w:top w:w="0" w:type="dxa"/>
              <w:left w:w="120" w:type="dxa"/>
              <w:bottom w:w="0" w:type="dxa"/>
              <w:right w:w="120" w:type="dxa"/>
            </w:tcMar>
            <w:vAlign w:val="center"/>
            <w:hideMark/>
          </w:tcPr>
          <w:p w14:paraId="36868E4F" w14:textId="77777777" w:rsidR="00000023" w:rsidRPr="000B017B" w:rsidRDefault="00000023" w:rsidP="00773035">
            <w:pPr>
              <w:pStyle w:val="NoSpacing"/>
              <w:jc w:val="both"/>
              <w:rPr>
                <w:b/>
                <w:bCs/>
                <w:color w:val="000000" w:themeColor="text1"/>
                <w:sz w:val="24"/>
                <w:szCs w:val="24"/>
                <w:lang w:val="en-IN" w:eastAsia="en-IN"/>
              </w:rPr>
            </w:pPr>
            <w:r w:rsidRPr="000B017B">
              <w:rPr>
                <w:b/>
                <w:bCs/>
                <w:color w:val="000000" w:themeColor="text1"/>
                <w:sz w:val="24"/>
                <w:szCs w:val="24"/>
                <w:lang w:val="en-IN" w:eastAsia="en-IN"/>
              </w:rPr>
              <w:t xml:space="preserve">Nifty </w:t>
            </w:r>
          </w:p>
        </w:tc>
        <w:tc>
          <w:tcPr>
            <w:tcW w:w="0" w:type="auto"/>
            <w:tcMar>
              <w:top w:w="0" w:type="dxa"/>
              <w:left w:w="120" w:type="dxa"/>
              <w:bottom w:w="0" w:type="dxa"/>
              <w:right w:w="120" w:type="dxa"/>
            </w:tcMar>
            <w:vAlign w:val="center"/>
            <w:hideMark/>
          </w:tcPr>
          <w:p w14:paraId="630E3694"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0.895 </w:t>
            </w:r>
          </w:p>
        </w:tc>
        <w:tc>
          <w:tcPr>
            <w:tcW w:w="0" w:type="auto"/>
            <w:tcMar>
              <w:top w:w="0" w:type="dxa"/>
              <w:left w:w="120" w:type="dxa"/>
              <w:bottom w:w="0" w:type="dxa"/>
              <w:right w:w="120" w:type="dxa"/>
            </w:tcMar>
            <w:vAlign w:val="center"/>
            <w:hideMark/>
          </w:tcPr>
          <w:p w14:paraId="3350A95A"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0.455 </w:t>
            </w:r>
          </w:p>
        </w:tc>
        <w:tc>
          <w:tcPr>
            <w:tcW w:w="0" w:type="auto"/>
            <w:tcMar>
              <w:top w:w="0" w:type="dxa"/>
              <w:left w:w="120" w:type="dxa"/>
              <w:bottom w:w="0" w:type="dxa"/>
              <w:right w:w="120" w:type="dxa"/>
            </w:tcMar>
            <w:vAlign w:val="center"/>
            <w:hideMark/>
          </w:tcPr>
          <w:p w14:paraId="387DB684"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0.862 </w:t>
            </w:r>
          </w:p>
        </w:tc>
        <w:tc>
          <w:tcPr>
            <w:tcW w:w="0" w:type="auto"/>
            <w:tcMar>
              <w:top w:w="0" w:type="dxa"/>
              <w:left w:w="120" w:type="dxa"/>
              <w:bottom w:w="0" w:type="dxa"/>
              <w:right w:w="120" w:type="dxa"/>
            </w:tcMar>
            <w:vAlign w:val="center"/>
            <w:hideMark/>
          </w:tcPr>
          <w:p w14:paraId="49CFB11B"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0.921 </w:t>
            </w:r>
          </w:p>
        </w:tc>
        <w:tc>
          <w:tcPr>
            <w:tcW w:w="0" w:type="auto"/>
            <w:tcMar>
              <w:top w:w="0" w:type="dxa"/>
              <w:left w:w="120" w:type="dxa"/>
              <w:bottom w:w="0" w:type="dxa"/>
              <w:right w:w="120" w:type="dxa"/>
            </w:tcMar>
            <w:vAlign w:val="center"/>
            <w:hideMark/>
          </w:tcPr>
          <w:p w14:paraId="3FCA39C4" w14:textId="77777777" w:rsidR="00000023" w:rsidRPr="000B017B" w:rsidRDefault="00000023" w:rsidP="00773035">
            <w:pPr>
              <w:pStyle w:val="NoSpacing"/>
              <w:jc w:val="both"/>
              <w:rPr>
                <w:color w:val="000000" w:themeColor="text1"/>
                <w:sz w:val="24"/>
                <w:szCs w:val="24"/>
                <w:lang w:val="en-IN" w:eastAsia="en-IN"/>
              </w:rPr>
            </w:pPr>
            <w:r w:rsidRPr="000B017B">
              <w:rPr>
                <w:color w:val="000000" w:themeColor="text1"/>
                <w:sz w:val="24"/>
                <w:szCs w:val="24"/>
                <w:lang w:val="en-IN" w:eastAsia="en-IN"/>
              </w:rPr>
              <w:t xml:space="preserve">1.000 </w:t>
            </w:r>
          </w:p>
        </w:tc>
      </w:tr>
    </w:tbl>
    <w:p w14:paraId="3272A44F" w14:textId="2783FD9C" w:rsidR="00000023" w:rsidRPr="00475009" w:rsidRDefault="00475009" w:rsidP="00475009">
      <w:pPr>
        <w:widowControl/>
        <w:autoSpaceDE/>
        <w:autoSpaceDN/>
        <w:spacing w:line="420" w:lineRule="atLeast"/>
        <w:jc w:val="both"/>
        <w:rPr>
          <w:b/>
          <w:i/>
          <w:color w:val="000000" w:themeColor="text1"/>
          <w:sz w:val="24"/>
          <w:szCs w:val="24"/>
          <w:lang w:val="en-IN" w:eastAsia="en-IN"/>
        </w:rPr>
      </w:pPr>
      <w:r w:rsidRPr="00475009">
        <w:rPr>
          <w:b/>
          <w:i/>
          <w:color w:val="000000" w:themeColor="text1"/>
          <w:sz w:val="24"/>
          <w:szCs w:val="24"/>
          <w:lang w:val="en-IN" w:eastAsia="en-IN"/>
        </w:rPr>
        <w:t>Interpretation</w:t>
      </w:r>
      <w:r>
        <w:rPr>
          <w:b/>
          <w:i/>
          <w:color w:val="000000" w:themeColor="text1"/>
          <w:sz w:val="24"/>
          <w:szCs w:val="24"/>
          <w:lang w:val="en-IN" w:eastAsia="en-IN"/>
        </w:rPr>
        <w:t>:</w:t>
      </w:r>
    </w:p>
    <w:p w14:paraId="1578418E" w14:textId="6B3E9387" w:rsidR="00D67DB5" w:rsidRDefault="00000023" w:rsidP="00773035">
      <w:pPr>
        <w:widowControl/>
        <w:autoSpaceDE/>
        <w:autoSpaceDN/>
        <w:spacing w:before="100" w:beforeAutospacing="1" w:after="100" w:afterAutospacing="1" w:line="360" w:lineRule="auto"/>
        <w:jc w:val="both"/>
        <w:rPr>
          <w:color w:val="000000" w:themeColor="text1"/>
          <w:sz w:val="24"/>
          <w:szCs w:val="24"/>
          <w:lang w:val="en-IN" w:eastAsia="en-IN"/>
        </w:rPr>
      </w:pPr>
      <w:r w:rsidRPr="000B017B">
        <w:rPr>
          <w:color w:val="000000" w:themeColor="text1"/>
          <w:sz w:val="24"/>
          <w:szCs w:val="24"/>
          <w:lang w:val="en-IN" w:eastAsia="en-IN"/>
        </w:rPr>
        <w:t xml:space="preserve">The correlation matrix indicates the relationships between various HDFC mutual funds (Blue Chip, Income, Magnum Balanced, </w:t>
      </w:r>
      <w:proofErr w:type="gramStart"/>
      <w:r w:rsidRPr="000B017B">
        <w:rPr>
          <w:color w:val="000000" w:themeColor="text1"/>
          <w:sz w:val="24"/>
          <w:szCs w:val="24"/>
          <w:lang w:val="en-IN" w:eastAsia="en-IN"/>
        </w:rPr>
        <w:t>Nomura</w:t>
      </w:r>
      <w:proofErr w:type="gramEnd"/>
      <w:r w:rsidRPr="000B017B">
        <w:rPr>
          <w:color w:val="000000" w:themeColor="text1"/>
          <w:sz w:val="24"/>
          <w:szCs w:val="24"/>
          <w:lang w:val="en-IN" w:eastAsia="en-IN"/>
        </w:rPr>
        <w:t xml:space="preserve"> Balanced) and the Nifty index. HDFC Blue Chip Fund Growth exhibits consistently strong positive correlations with all other funds and the Nifty, suggesting its movements closely align with broader market trends and other funds' </w:t>
      </w:r>
      <w:r w:rsidRPr="000B017B">
        <w:rPr>
          <w:color w:val="000000" w:themeColor="text1"/>
          <w:sz w:val="24"/>
          <w:szCs w:val="24"/>
          <w:lang w:val="en-IN" w:eastAsia="en-IN"/>
        </w:rPr>
        <w:lastRenderedPageBreak/>
        <w:t>performances. HDFC Income Fund Growth shows moderate positive correlations, indicating some shared movements but to a lesser extent than HDFC Blue Chip. Both HDFC Magnum Balanced and Nomura Balanced Funds demonstrate strong positive correlations with each other and with the broader market, reflecting similar investment patterns. This correlation analysis helps investors understand how these funds' performances relate to each other and to market movements, aiding in portfolio diversification and risk management strategies.</w:t>
      </w:r>
    </w:p>
    <w:p w14:paraId="5AAE8CE4" w14:textId="77777777" w:rsidR="00475009" w:rsidRPr="00475009" w:rsidRDefault="00475009" w:rsidP="00773035">
      <w:pPr>
        <w:widowControl/>
        <w:autoSpaceDE/>
        <w:autoSpaceDN/>
        <w:spacing w:before="100" w:beforeAutospacing="1" w:after="100" w:afterAutospacing="1" w:line="360" w:lineRule="auto"/>
        <w:jc w:val="both"/>
        <w:rPr>
          <w:color w:val="000000" w:themeColor="text1"/>
          <w:sz w:val="24"/>
          <w:szCs w:val="24"/>
          <w:lang w:val="en-IN" w:eastAsia="en-IN"/>
        </w:rPr>
      </w:pPr>
    </w:p>
    <w:tbl>
      <w:tblPr>
        <w:tblW w:w="5000" w:type="pct"/>
        <w:jc w:val="center"/>
        <w:tblCellMar>
          <w:top w:w="15" w:type="dxa"/>
          <w:left w:w="15" w:type="dxa"/>
          <w:bottom w:w="15" w:type="dxa"/>
          <w:right w:w="15" w:type="dxa"/>
        </w:tblCellMar>
        <w:tblLook w:val="04A0" w:firstRow="1" w:lastRow="0" w:firstColumn="1" w:lastColumn="0" w:noHBand="0" w:noVBand="1"/>
      </w:tblPr>
      <w:tblGrid>
        <w:gridCol w:w="7943"/>
        <w:gridCol w:w="1657"/>
      </w:tblGrid>
      <w:tr w:rsidR="000B017B" w:rsidRPr="000B017B" w14:paraId="3C7DC74A" w14:textId="77777777" w:rsidTr="00E20E5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7D9649" w14:textId="77777777" w:rsidR="00E20E53" w:rsidRPr="000B017B" w:rsidRDefault="00E20E53" w:rsidP="00773035">
            <w:pPr>
              <w:widowControl/>
              <w:autoSpaceDE/>
              <w:autoSpaceDN/>
              <w:jc w:val="both"/>
              <w:rPr>
                <w:color w:val="000000" w:themeColor="text1"/>
                <w:sz w:val="24"/>
                <w:szCs w:val="24"/>
                <w:lang w:val="en-IN" w:eastAsia="en-I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FB5877" w14:textId="77777777" w:rsidR="00E20E53" w:rsidRPr="00E20E53" w:rsidRDefault="00E20E53" w:rsidP="00773035">
            <w:pPr>
              <w:widowControl/>
              <w:autoSpaceDE/>
              <w:autoSpaceDN/>
              <w:jc w:val="both"/>
              <w:rPr>
                <w:b/>
                <w:bCs/>
                <w:color w:val="000000" w:themeColor="text1"/>
                <w:sz w:val="24"/>
                <w:szCs w:val="24"/>
                <w:lang w:val="en-IN" w:eastAsia="en-IN"/>
              </w:rPr>
            </w:pPr>
            <w:r w:rsidRPr="00E20E53">
              <w:rPr>
                <w:b/>
                <w:bCs/>
                <w:color w:val="000000" w:themeColor="text1"/>
                <w:sz w:val="24"/>
                <w:szCs w:val="24"/>
                <w:lang w:val="en-IN" w:eastAsia="en-IN"/>
              </w:rPr>
              <w:t xml:space="preserve">f-square </w:t>
            </w:r>
          </w:p>
        </w:tc>
      </w:tr>
      <w:tr w:rsidR="000B017B" w:rsidRPr="000B017B" w14:paraId="452C4624" w14:textId="77777777" w:rsidTr="00E20E5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053379A" w14:textId="7F1A261D" w:rsidR="00E20E53" w:rsidRPr="00E20E53" w:rsidRDefault="00E20E53" w:rsidP="00773035">
            <w:pPr>
              <w:widowControl/>
              <w:autoSpaceDE/>
              <w:autoSpaceDN/>
              <w:jc w:val="both"/>
              <w:rPr>
                <w:b/>
                <w:bCs/>
                <w:color w:val="000000" w:themeColor="text1"/>
                <w:sz w:val="24"/>
                <w:szCs w:val="24"/>
                <w:lang w:val="en-IN" w:eastAsia="en-IN"/>
              </w:rPr>
            </w:pPr>
            <w:r w:rsidRPr="00E20E53">
              <w:rPr>
                <w:b/>
                <w:bCs/>
                <w:color w:val="000000" w:themeColor="text1"/>
                <w:sz w:val="24"/>
                <w:szCs w:val="24"/>
                <w:lang w:val="en-IN" w:eastAsia="en-IN"/>
              </w:rPr>
              <w:t>Nifty -&gt; HDFC</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blue</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chip</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fund</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388E0FE" w14:textId="77777777" w:rsidR="00E20E53" w:rsidRPr="00E20E53" w:rsidRDefault="00E20E53" w:rsidP="00773035">
            <w:pPr>
              <w:widowControl/>
              <w:autoSpaceDE/>
              <w:autoSpaceDN/>
              <w:jc w:val="both"/>
              <w:rPr>
                <w:color w:val="000000" w:themeColor="text1"/>
                <w:sz w:val="24"/>
                <w:szCs w:val="24"/>
                <w:lang w:val="en-IN" w:eastAsia="en-IN"/>
              </w:rPr>
            </w:pPr>
            <w:r w:rsidRPr="00E20E53">
              <w:rPr>
                <w:color w:val="000000" w:themeColor="text1"/>
                <w:sz w:val="24"/>
                <w:szCs w:val="24"/>
                <w:lang w:val="en-IN" w:eastAsia="en-IN"/>
              </w:rPr>
              <w:t xml:space="preserve">4.021 </w:t>
            </w:r>
          </w:p>
        </w:tc>
      </w:tr>
      <w:tr w:rsidR="000B017B" w:rsidRPr="000B017B" w14:paraId="0D0BBB6C" w14:textId="77777777" w:rsidTr="00E20E5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8BB310" w14:textId="054975EB" w:rsidR="00E20E53" w:rsidRPr="00E20E53" w:rsidRDefault="00E20E53" w:rsidP="00773035">
            <w:pPr>
              <w:widowControl/>
              <w:autoSpaceDE/>
              <w:autoSpaceDN/>
              <w:jc w:val="both"/>
              <w:rPr>
                <w:b/>
                <w:bCs/>
                <w:color w:val="000000" w:themeColor="text1"/>
                <w:sz w:val="24"/>
                <w:szCs w:val="24"/>
                <w:lang w:val="en-IN" w:eastAsia="en-IN"/>
              </w:rPr>
            </w:pPr>
            <w:r w:rsidRPr="00E20E53">
              <w:rPr>
                <w:b/>
                <w:bCs/>
                <w:color w:val="000000" w:themeColor="text1"/>
                <w:sz w:val="24"/>
                <w:szCs w:val="24"/>
                <w:lang w:val="en-IN" w:eastAsia="en-IN"/>
              </w:rPr>
              <w:t>Nifty -&gt; HDFC</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income</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fund</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0613A70" w14:textId="77777777" w:rsidR="00E20E53" w:rsidRPr="00E20E53" w:rsidRDefault="00E20E53" w:rsidP="00773035">
            <w:pPr>
              <w:widowControl/>
              <w:autoSpaceDE/>
              <w:autoSpaceDN/>
              <w:jc w:val="both"/>
              <w:rPr>
                <w:color w:val="000000" w:themeColor="text1"/>
                <w:sz w:val="24"/>
                <w:szCs w:val="24"/>
                <w:lang w:val="en-IN" w:eastAsia="en-IN"/>
              </w:rPr>
            </w:pPr>
            <w:r w:rsidRPr="00E20E53">
              <w:rPr>
                <w:color w:val="000000" w:themeColor="text1"/>
                <w:sz w:val="24"/>
                <w:szCs w:val="24"/>
                <w:lang w:val="en-IN" w:eastAsia="en-IN"/>
              </w:rPr>
              <w:t xml:space="preserve">0.261 </w:t>
            </w:r>
          </w:p>
        </w:tc>
      </w:tr>
      <w:tr w:rsidR="000B017B" w:rsidRPr="000B017B" w14:paraId="0B230CE5" w14:textId="77777777" w:rsidTr="00E20E5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21E4D2" w14:textId="575CE7BB" w:rsidR="00E20E53" w:rsidRPr="00E20E53" w:rsidRDefault="00E20E53" w:rsidP="00773035">
            <w:pPr>
              <w:widowControl/>
              <w:autoSpaceDE/>
              <w:autoSpaceDN/>
              <w:jc w:val="both"/>
              <w:rPr>
                <w:b/>
                <w:bCs/>
                <w:color w:val="000000" w:themeColor="text1"/>
                <w:sz w:val="24"/>
                <w:szCs w:val="24"/>
                <w:lang w:val="en-IN" w:eastAsia="en-IN"/>
              </w:rPr>
            </w:pPr>
            <w:r w:rsidRPr="00E20E53">
              <w:rPr>
                <w:b/>
                <w:bCs/>
                <w:color w:val="000000" w:themeColor="text1"/>
                <w:sz w:val="24"/>
                <w:szCs w:val="24"/>
                <w:lang w:val="en-IN" w:eastAsia="en-IN"/>
              </w:rPr>
              <w:t>Nifty -&gt; HDFC</w:t>
            </w:r>
            <w:r w:rsidR="00827C87">
              <w:rPr>
                <w:b/>
                <w:bCs/>
                <w:color w:val="000000" w:themeColor="text1"/>
                <w:sz w:val="24"/>
                <w:szCs w:val="24"/>
                <w:lang w:val="en-IN" w:eastAsia="en-IN"/>
              </w:rPr>
              <w:t xml:space="preserve"> </w:t>
            </w:r>
            <w:r w:rsidRPr="00E20E53">
              <w:rPr>
                <w:b/>
                <w:bCs/>
                <w:color w:val="000000" w:themeColor="text1"/>
                <w:sz w:val="24"/>
                <w:szCs w:val="24"/>
                <w:lang w:val="en-IN" w:eastAsia="en-IN"/>
              </w:rPr>
              <w:t>Magnum</w:t>
            </w:r>
            <w:r w:rsidR="00827C87">
              <w:rPr>
                <w:b/>
                <w:bCs/>
                <w:color w:val="000000" w:themeColor="text1"/>
                <w:sz w:val="24"/>
                <w:szCs w:val="24"/>
                <w:lang w:val="en-IN" w:eastAsia="en-IN"/>
              </w:rPr>
              <w:t xml:space="preserve"> </w:t>
            </w:r>
            <w:r w:rsidRPr="00E20E53">
              <w:rPr>
                <w:b/>
                <w:bCs/>
                <w:color w:val="000000" w:themeColor="text1"/>
                <w:sz w:val="24"/>
                <w:szCs w:val="24"/>
                <w:lang w:val="en-IN" w:eastAsia="en-IN"/>
              </w:rPr>
              <w:t>Balanced</w:t>
            </w:r>
            <w:r w:rsidR="00827C87">
              <w:rPr>
                <w:b/>
                <w:bCs/>
                <w:color w:val="000000" w:themeColor="text1"/>
                <w:sz w:val="24"/>
                <w:szCs w:val="24"/>
                <w:lang w:val="en-IN" w:eastAsia="en-IN"/>
              </w:rPr>
              <w:t xml:space="preserve"> </w:t>
            </w:r>
            <w:r w:rsidRPr="00E20E53">
              <w:rPr>
                <w:b/>
                <w:bCs/>
                <w:color w:val="000000" w:themeColor="text1"/>
                <w:sz w:val="24"/>
                <w:szCs w:val="24"/>
                <w:lang w:val="en-IN" w:eastAsia="en-IN"/>
              </w:rPr>
              <w:t>Fund</w:t>
            </w:r>
            <w:r w:rsidR="00827C87">
              <w:rPr>
                <w:b/>
                <w:bCs/>
                <w:color w:val="000000" w:themeColor="text1"/>
                <w:sz w:val="24"/>
                <w:szCs w:val="24"/>
                <w:lang w:val="en-IN" w:eastAsia="en-IN"/>
              </w:rPr>
              <w:t xml:space="preserve"> </w:t>
            </w:r>
            <w:r w:rsidRPr="00E20E53">
              <w:rPr>
                <w:b/>
                <w:bCs/>
                <w:color w:val="000000" w:themeColor="text1"/>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D5403D0" w14:textId="77777777" w:rsidR="00E20E53" w:rsidRPr="00E20E53" w:rsidRDefault="00E20E53" w:rsidP="00773035">
            <w:pPr>
              <w:widowControl/>
              <w:autoSpaceDE/>
              <w:autoSpaceDN/>
              <w:jc w:val="both"/>
              <w:rPr>
                <w:color w:val="000000" w:themeColor="text1"/>
                <w:sz w:val="24"/>
                <w:szCs w:val="24"/>
                <w:lang w:val="en-IN" w:eastAsia="en-IN"/>
              </w:rPr>
            </w:pPr>
            <w:r w:rsidRPr="00E20E53">
              <w:rPr>
                <w:color w:val="000000" w:themeColor="text1"/>
                <w:sz w:val="24"/>
                <w:szCs w:val="24"/>
                <w:lang w:val="en-IN" w:eastAsia="en-IN"/>
              </w:rPr>
              <w:t xml:space="preserve">2.885 </w:t>
            </w:r>
          </w:p>
        </w:tc>
      </w:tr>
      <w:tr w:rsidR="000B017B" w:rsidRPr="000B017B" w14:paraId="0E3D67A4" w14:textId="77777777" w:rsidTr="00E20E53">
        <w:trPr>
          <w:jc w:val="center"/>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B267DC" w14:textId="5BCE7315" w:rsidR="00E20E53" w:rsidRPr="00E20E53" w:rsidRDefault="00E20E53" w:rsidP="00773035">
            <w:pPr>
              <w:widowControl/>
              <w:autoSpaceDE/>
              <w:autoSpaceDN/>
              <w:jc w:val="both"/>
              <w:rPr>
                <w:b/>
                <w:bCs/>
                <w:color w:val="000000" w:themeColor="text1"/>
                <w:sz w:val="24"/>
                <w:szCs w:val="24"/>
                <w:lang w:val="en-IN" w:eastAsia="en-IN"/>
              </w:rPr>
            </w:pPr>
            <w:r w:rsidRPr="00E20E53">
              <w:rPr>
                <w:b/>
                <w:bCs/>
                <w:color w:val="000000" w:themeColor="text1"/>
                <w:sz w:val="24"/>
                <w:szCs w:val="24"/>
                <w:lang w:val="en-IN" w:eastAsia="en-IN"/>
              </w:rPr>
              <w:t>Nifty -&gt; HDFC</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nomura</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balanced</w:t>
            </w:r>
            <w:r w:rsidR="00827C87">
              <w:rPr>
                <w:b/>
                <w:bCs/>
                <w:color w:val="000000" w:themeColor="text1"/>
                <w:sz w:val="24"/>
                <w:szCs w:val="24"/>
                <w:lang w:val="en-IN" w:eastAsia="en-IN"/>
              </w:rPr>
              <w:t xml:space="preserve"> </w:t>
            </w:r>
            <w:r w:rsidR="00827C87" w:rsidRPr="00E20E53">
              <w:rPr>
                <w:b/>
                <w:bCs/>
                <w:color w:val="000000" w:themeColor="text1"/>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9474562" w14:textId="77777777" w:rsidR="00E20E53" w:rsidRPr="00E20E53" w:rsidRDefault="00E20E53" w:rsidP="00773035">
            <w:pPr>
              <w:widowControl/>
              <w:autoSpaceDE/>
              <w:autoSpaceDN/>
              <w:jc w:val="both"/>
              <w:rPr>
                <w:color w:val="000000" w:themeColor="text1"/>
                <w:sz w:val="24"/>
                <w:szCs w:val="24"/>
                <w:lang w:val="en-IN" w:eastAsia="en-IN"/>
              </w:rPr>
            </w:pPr>
            <w:r w:rsidRPr="00E20E53">
              <w:rPr>
                <w:color w:val="000000" w:themeColor="text1"/>
                <w:sz w:val="24"/>
                <w:szCs w:val="24"/>
                <w:lang w:val="en-IN" w:eastAsia="en-IN"/>
              </w:rPr>
              <w:t xml:space="preserve">5.568 </w:t>
            </w:r>
          </w:p>
        </w:tc>
      </w:tr>
    </w:tbl>
    <w:p w14:paraId="0DA504B8" w14:textId="7A6624AA" w:rsidR="00475009" w:rsidRPr="00475009" w:rsidRDefault="00475009" w:rsidP="00475009">
      <w:pPr>
        <w:widowControl/>
        <w:autoSpaceDE/>
        <w:autoSpaceDN/>
        <w:spacing w:line="420" w:lineRule="atLeast"/>
        <w:jc w:val="both"/>
        <w:rPr>
          <w:b/>
          <w:i/>
          <w:color w:val="000000" w:themeColor="text1"/>
          <w:sz w:val="24"/>
          <w:szCs w:val="24"/>
          <w:lang w:val="en-IN" w:eastAsia="en-IN"/>
        </w:rPr>
      </w:pPr>
      <w:r w:rsidRPr="00475009">
        <w:rPr>
          <w:b/>
          <w:i/>
          <w:color w:val="000000" w:themeColor="text1"/>
          <w:sz w:val="24"/>
          <w:szCs w:val="24"/>
          <w:lang w:val="en-IN" w:eastAsia="en-IN"/>
        </w:rPr>
        <w:t>Interpretation</w:t>
      </w:r>
      <w:r>
        <w:rPr>
          <w:b/>
          <w:i/>
          <w:color w:val="000000" w:themeColor="text1"/>
          <w:sz w:val="24"/>
          <w:szCs w:val="24"/>
          <w:lang w:val="en-IN" w:eastAsia="en-IN"/>
        </w:rPr>
        <w:t>:</w:t>
      </w:r>
    </w:p>
    <w:p w14:paraId="53C8FAAB" w14:textId="452977E0" w:rsidR="00B13F27" w:rsidRDefault="00E20E53" w:rsidP="00773035">
      <w:pPr>
        <w:widowControl/>
        <w:autoSpaceDE/>
        <w:autoSpaceDN/>
        <w:spacing w:before="100" w:beforeAutospacing="1" w:after="100" w:afterAutospacing="1" w:line="360" w:lineRule="auto"/>
        <w:jc w:val="both"/>
        <w:rPr>
          <w:color w:val="000000" w:themeColor="text1"/>
          <w:sz w:val="24"/>
          <w:szCs w:val="24"/>
          <w:lang w:val="en-IN" w:eastAsia="en-IN"/>
        </w:rPr>
      </w:pPr>
      <w:r w:rsidRPr="000B017B">
        <w:rPr>
          <w:color w:val="000000" w:themeColor="text1"/>
          <w:sz w:val="24"/>
          <w:szCs w:val="24"/>
          <w:lang w:val="en-IN" w:eastAsia="en-IN"/>
        </w:rPr>
        <w:t>The F-squared values provided indicate the proportion of variance in the Nifty index explained by each respective HDFC mutual fund. HDFC Blue Chip Fund Growth exhibits the highest explanatory power with an F-squared of 4.021, suggesting that approximately 80.4% of the variability in the Nifty index can be attributed to its movements. HDFC Nomura Balanced Growth follows closely with an F-squared of 5.568, explaining about 55.7% of the Nifty's variance. HDFC Magnum Balanced Fund Growth shows an F-squared of 2.885, explaining roughly 57.7% of the Nifty's variance, while HDFC Income Fund Growth has the lowest at 0.261, explaining approximately 26.1%. These values highlight the varying degrees of influence each fund has on the Nifty index, aiding in assessing their impact on portfolio diversification and risk management strategies.</w:t>
      </w:r>
    </w:p>
    <w:p w14:paraId="0E1A6914" w14:textId="77777777" w:rsidR="009B59D1" w:rsidRDefault="009B59D1" w:rsidP="00773035">
      <w:pPr>
        <w:widowControl/>
        <w:autoSpaceDE/>
        <w:autoSpaceDN/>
        <w:spacing w:before="100" w:beforeAutospacing="1" w:after="100" w:afterAutospacing="1" w:line="360" w:lineRule="auto"/>
        <w:jc w:val="both"/>
        <w:rPr>
          <w:color w:val="000000" w:themeColor="text1"/>
          <w:sz w:val="24"/>
          <w:szCs w:val="24"/>
          <w:lang w:val="en-IN" w:eastAsia="en-IN"/>
        </w:rPr>
      </w:pPr>
    </w:p>
    <w:p w14:paraId="263DE515" w14:textId="77777777" w:rsidR="009B59D1" w:rsidRDefault="009B59D1" w:rsidP="00773035">
      <w:pPr>
        <w:widowControl/>
        <w:autoSpaceDE/>
        <w:autoSpaceDN/>
        <w:spacing w:before="100" w:beforeAutospacing="1" w:after="100" w:afterAutospacing="1" w:line="360" w:lineRule="auto"/>
        <w:jc w:val="both"/>
        <w:rPr>
          <w:color w:val="000000" w:themeColor="text1"/>
          <w:sz w:val="24"/>
          <w:szCs w:val="24"/>
          <w:lang w:val="en-IN" w:eastAsia="en-IN"/>
        </w:rPr>
      </w:pPr>
    </w:p>
    <w:p w14:paraId="2F8A0EAD" w14:textId="77777777" w:rsidR="009B59D1" w:rsidRDefault="009B59D1" w:rsidP="00773035">
      <w:pPr>
        <w:widowControl/>
        <w:autoSpaceDE/>
        <w:autoSpaceDN/>
        <w:spacing w:before="100" w:beforeAutospacing="1" w:after="100" w:afterAutospacing="1" w:line="360" w:lineRule="auto"/>
        <w:jc w:val="both"/>
        <w:rPr>
          <w:color w:val="000000" w:themeColor="text1"/>
          <w:sz w:val="24"/>
          <w:szCs w:val="24"/>
          <w:lang w:val="en-IN" w:eastAsia="en-IN"/>
        </w:rPr>
      </w:pPr>
    </w:p>
    <w:p w14:paraId="5E61D797" w14:textId="77777777" w:rsidR="009B59D1" w:rsidRDefault="009B59D1" w:rsidP="00773035">
      <w:pPr>
        <w:widowControl/>
        <w:autoSpaceDE/>
        <w:autoSpaceDN/>
        <w:spacing w:before="100" w:beforeAutospacing="1" w:after="100" w:afterAutospacing="1" w:line="360" w:lineRule="auto"/>
        <w:jc w:val="both"/>
        <w:rPr>
          <w:color w:val="000000" w:themeColor="text1"/>
          <w:sz w:val="24"/>
          <w:szCs w:val="24"/>
          <w:lang w:val="en-IN" w:eastAsia="en-IN"/>
        </w:rPr>
      </w:pPr>
    </w:p>
    <w:p w14:paraId="31CD67A7" w14:textId="52E11945" w:rsidR="00D67DB5" w:rsidRPr="00D67DB5" w:rsidRDefault="00D67DB5" w:rsidP="00773035">
      <w:pPr>
        <w:widowControl/>
        <w:autoSpaceDE/>
        <w:autoSpaceDN/>
        <w:spacing w:before="100" w:beforeAutospacing="1" w:after="100" w:afterAutospacing="1" w:line="360" w:lineRule="auto"/>
        <w:jc w:val="both"/>
        <w:rPr>
          <w:b/>
          <w:color w:val="000000" w:themeColor="text1"/>
          <w:sz w:val="24"/>
          <w:szCs w:val="24"/>
          <w:lang w:val="en-IN" w:eastAsia="en-IN"/>
        </w:rPr>
      </w:pPr>
      <w:r w:rsidRPr="00D67DB5">
        <w:rPr>
          <w:b/>
          <w:color w:val="000000" w:themeColor="text1"/>
          <w:sz w:val="24"/>
          <w:szCs w:val="24"/>
          <w:lang w:val="en-IN" w:eastAsia="en-IN"/>
        </w:rPr>
        <w:lastRenderedPageBreak/>
        <w:t xml:space="preserve">                                      </w:t>
      </w:r>
    </w:p>
    <w:tbl>
      <w:tblPr>
        <w:tblW w:w="5000" w:type="pct"/>
        <w:tblCellMar>
          <w:top w:w="15" w:type="dxa"/>
          <w:left w:w="15" w:type="dxa"/>
          <w:bottom w:w="15" w:type="dxa"/>
          <w:right w:w="15" w:type="dxa"/>
        </w:tblCellMar>
        <w:tblLook w:val="04A0" w:firstRow="1" w:lastRow="0" w:firstColumn="1" w:lastColumn="0" w:noHBand="0" w:noVBand="1"/>
      </w:tblPr>
      <w:tblGrid>
        <w:gridCol w:w="2363"/>
        <w:gridCol w:w="1553"/>
        <w:gridCol w:w="1421"/>
        <w:gridCol w:w="1421"/>
        <w:gridCol w:w="1421"/>
        <w:gridCol w:w="1421"/>
      </w:tblGrid>
      <w:tr w:rsidR="001A6305" w:rsidRPr="001A6305" w14:paraId="669B2F33"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A45A30" w14:textId="77777777" w:rsidR="001A6305" w:rsidRPr="001A6305" w:rsidRDefault="001A6305" w:rsidP="00773035">
            <w:pPr>
              <w:widowControl/>
              <w:autoSpaceDE/>
              <w:autoSpaceDN/>
              <w:jc w:val="both"/>
              <w:rPr>
                <w:sz w:val="24"/>
                <w:szCs w:val="24"/>
                <w:lang w:val="en-IN" w:eastAsia="en-IN"/>
              </w:rPr>
            </w:pP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124A466"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 xml:space="preserve">Path coefficients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5C3C967"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 xml:space="preserve">Alpha 1%, power 80%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124111"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 xml:space="preserve">Alpha 5%, power 80%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E572269"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 xml:space="preserve">Alpha 1%, power 90%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FCFEBEF"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 xml:space="preserve">Alpha 5%, power 90% </w:t>
            </w:r>
          </w:p>
        </w:tc>
      </w:tr>
      <w:tr w:rsidR="001A6305" w:rsidRPr="001A6305" w14:paraId="1150D8D4"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A6EAFA3"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Nifty -&gt; HDFC</w:t>
            </w:r>
            <w:r>
              <w:rPr>
                <w:b/>
                <w:bCs/>
                <w:sz w:val="24"/>
                <w:szCs w:val="24"/>
                <w:lang w:val="en-IN" w:eastAsia="en-IN"/>
              </w:rPr>
              <w:t xml:space="preserve"> </w:t>
            </w:r>
            <w:r w:rsidRPr="001A6305">
              <w:rPr>
                <w:b/>
                <w:bCs/>
                <w:sz w:val="24"/>
                <w:szCs w:val="24"/>
                <w:lang w:val="en-IN" w:eastAsia="en-IN"/>
              </w:rPr>
              <w:t>blue</w:t>
            </w:r>
            <w:r>
              <w:rPr>
                <w:b/>
                <w:bCs/>
                <w:sz w:val="24"/>
                <w:szCs w:val="24"/>
                <w:lang w:val="en-IN" w:eastAsia="en-IN"/>
              </w:rPr>
              <w:t xml:space="preserve"> </w:t>
            </w:r>
            <w:r w:rsidRPr="001A6305">
              <w:rPr>
                <w:b/>
                <w:bCs/>
                <w:sz w:val="24"/>
                <w:szCs w:val="24"/>
                <w:lang w:val="en-IN" w:eastAsia="en-IN"/>
              </w:rPr>
              <w:t>chip</w:t>
            </w:r>
            <w:r>
              <w:rPr>
                <w:b/>
                <w:bCs/>
                <w:sz w:val="24"/>
                <w:szCs w:val="24"/>
                <w:lang w:val="en-IN" w:eastAsia="en-IN"/>
              </w:rPr>
              <w:t xml:space="preserve"> </w:t>
            </w:r>
            <w:r w:rsidRPr="001A6305">
              <w:rPr>
                <w:b/>
                <w:bCs/>
                <w:sz w:val="24"/>
                <w:szCs w:val="24"/>
                <w:lang w:val="en-IN" w:eastAsia="en-IN"/>
              </w:rPr>
              <w:t>fund</w:t>
            </w:r>
            <w:r>
              <w:rPr>
                <w:b/>
                <w:bCs/>
                <w:sz w:val="24"/>
                <w:szCs w:val="24"/>
                <w:lang w:val="en-IN" w:eastAsia="en-IN"/>
              </w:rPr>
              <w:t xml:space="preserve"> </w:t>
            </w:r>
            <w:r w:rsidRPr="001A6305">
              <w:rPr>
                <w:b/>
                <w:bCs/>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354E093"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0.895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A383181"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13.000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8D0145B"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8.000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1A9AF84"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17.000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5BF273C"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11.000 </w:t>
            </w:r>
          </w:p>
        </w:tc>
      </w:tr>
      <w:tr w:rsidR="001A6305" w:rsidRPr="001A6305" w14:paraId="15BAC6B0"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59B010C"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Nifty -&gt; HDFC</w:t>
            </w:r>
            <w:r>
              <w:rPr>
                <w:b/>
                <w:bCs/>
                <w:sz w:val="24"/>
                <w:szCs w:val="24"/>
                <w:lang w:val="en-IN" w:eastAsia="en-IN"/>
              </w:rPr>
              <w:t xml:space="preserve"> </w:t>
            </w:r>
            <w:r w:rsidRPr="001A6305">
              <w:rPr>
                <w:b/>
                <w:bCs/>
                <w:sz w:val="24"/>
                <w:szCs w:val="24"/>
                <w:lang w:val="en-IN" w:eastAsia="en-IN"/>
              </w:rPr>
              <w:t>income</w:t>
            </w:r>
            <w:r>
              <w:rPr>
                <w:b/>
                <w:bCs/>
                <w:sz w:val="24"/>
                <w:szCs w:val="24"/>
                <w:lang w:val="en-IN" w:eastAsia="en-IN"/>
              </w:rPr>
              <w:t xml:space="preserve"> </w:t>
            </w:r>
            <w:r w:rsidRPr="001A6305">
              <w:rPr>
                <w:b/>
                <w:bCs/>
                <w:sz w:val="24"/>
                <w:szCs w:val="24"/>
                <w:lang w:val="en-IN" w:eastAsia="en-IN"/>
              </w:rPr>
              <w:t>fund</w:t>
            </w:r>
            <w:r>
              <w:rPr>
                <w:b/>
                <w:bCs/>
                <w:sz w:val="24"/>
                <w:szCs w:val="24"/>
                <w:lang w:val="en-IN" w:eastAsia="en-IN"/>
              </w:rPr>
              <w:t xml:space="preserve"> </w:t>
            </w:r>
            <w:r w:rsidRPr="001A6305">
              <w:rPr>
                <w:b/>
                <w:bCs/>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68426DE"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0.455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D3CFA5"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49.000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6D19ADF"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30.000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22F441D"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63.000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A54E3FA"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42.000 </w:t>
            </w:r>
          </w:p>
        </w:tc>
      </w:tr>
      <w:tr w:rsidR="001A6305" w:rsidRPr="001A6305" w14:paraId="610824A4"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396511C0"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Nifty -&gt; HDFC</w:t>
            </w:r>
            <w:r>
              <w:rPr>
                <w:b/>
                <w:bCs/>
                <w:sz w:val="24"/>
                <w:szCs w:val="24"/>
                <w:lang w:val="en-IN" w:eastAsia="en-IN"/>
              </w:rPr>
              <w:t xml:space="preserve"> </w:t>
            </w:r>
            <w:r w:rsidRPr="001A6305">
              <w:rPr>
                <w:b/>
                <w:bCs/>
                <w:sz w:val="24"/>
                <w:szCs w:val="24"/>
                <w:lang w:val="en-IN" w:eastAsia="en-IN"/>
              </w:rPr>
              <w:t>magnum</w:t>
            </w:r>
            <w:r>
              <w:rPr>
                <w:b/>
                <w:bCs/>
                <w:sz w:val="24"/>
                <w:szCs w:val="24"/>
                <w:lang w:val="en-IN" w:eastAsia="en-IN"/>
              </w:rPr>
              <w:t xml:space="preserve"> </w:t>
            </w:r>
            <w:r w:rsidRPr="001A6305">
              <w:rPr>
                <w:b/>
                <w:bCs/>
                <w:sz w:val="24"/>
                <w:szCs w:val="24"/>
                <w:lang w:val="en-IN" w:eastAsia="en-IN"/>
              </w:rPr>
              <w:t>balanced</w:t>
            </w:r>
            <w:r>
              <w:rPr>
                <w:b/>
                <w:bCs/>
                <w:sz w:val="24"/>
                <w:szCs w:val="24"/>
                <w:lang w:val="en-IN" w:eastAsia="en-IN"/>
              </w:rPr>
              <w:t xml:space="preserve"> </w:t>
            </w:r>
            <w:r w:rsidRPr="001A6305">
              <w:rPr>
                <w:b/>
                <w:bCs/>
                <w:sz w:val="24"/>
                <w:szCs w:val="24"/>
                <w:lang w:val="en-IN" w:eastAsia="en-IN"/>
              </w:rPr>
              <w:t>fund</w:t>
            </w:r>
            <w:r>
              <w:rPr>
                <w:b/>
                <w:bCs/>
                <w:sz w:val="24"/>
                <w:szCs w:val="24"/>
                <w:lang w:val="en-IN" w:eastAsia="en-IN"/>
              </w:rPr>
              <w:t xml:space="preserve"> </w:t>
            </w:r>
            <w:r w:rsidRPr="001A6305">
              <w:rPr>
                <w:b/>
                <w:bCs/>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7566B4FC"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0.862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003A1745"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14.000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F9B5EF3"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9.000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696628E"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18.000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24F8E05"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12.000 </w:t>
            </w:r>
          </w:p>
        </w:tc>
      </w:tr>
      <w:tr w:rsidR="001A6305" w:rsidRPr="001A6305" w14:paraId="7850A27D" w14:textId="77777777" w:rsidTr="00E1171B">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07284B8" w14:textId="77777777" w:rsidR="001A6305" w:rsidRPr="001A6305" w:rsidRDefault="001A6305" w:rsidP="00773035">
            <w:pPr>
              <w:widowControl/>
              <w:autoSpaceDE/>
              <w:autoSpaceDN/>
              <w:jc w:val="both"/>
              <w:rPr>
                <w:b/>
                <w:bCs/>
                <w:sz w:val="24"/>
                <w:szCs w:val="24"/>
                <w:lang w:val="en-IN" w:eastAsia="en-IN"/>
              </w:rPr>
            </w:pPr>
            <w:r w:rsidRPr="001A6305">
              <w:rPr>
                <w:b/>
                <w:bCs/>
                <w:sz w:val="24"/>
                <w:szCs w:val="24"/>
                <w:lang w:val="en-IN" w:eastAsia="en-IN"/>
              </w:rPr>
              <w:t>Nifty -&gt; HDFC</w:t>
            </w:r>
            <w:r>
              <w:rPr>
                <w:b/>
                <w:bCs/>
                <w:sz w:val="24"/>
                <w:szCs w:val="24"/>
                <w:lang w:val="en-IN" w:eastAsia="en-IN"/>
              </w:rPr>
              <w:t xml:space="preserve"> </w:t>
            </w:r>
            <w:r w:rsidRPr="001A6305">
              <w:rPr>
                <w:b/>
                <w:bCs/>
                <w:sz w:val="24"/>
                <w:szCs w:val="24"/>
                <w:lang w:val="en-IN" w:eastAsia="en-IN"/>
              </w:rPr>
              <w:t>nomura</w:t>
            </w:r>
            <w:r>
              <w:rPr>
                <w:b/>
                <w:bCs/>
                <w:sz w:val="24"/>
                <w:szCs w:val="24"/>
                <w:lang w:val="en-IN" w:eastAsia="en-IN"/>
              </w:rPr>
              <w:t xml:space="preserve"> </w:t>
            </w:r>
            <w:r w:rsidRPr="001A6305">
              <w:rPr>
                <w:b/>
                <w:bCs/>
                <w:sz w:val="24"/>
                <w:szCs w:val="24"/>
                <w:lang w:val="en-IN" w:eastAsia="en-IN"/>
              </w:rPr>
              <w:t>balanced</w:t>
            </w:r>
            <w:r>
              <w:rPr>
                <w:b/>
                <w:bCs/>
                <w:sz w:val="24"/>
                <w:szCs w:val="24"/>
                <w:lang w:val="en-IN" w:eastAsia="en-IN"/>
              </w:rPr>
              <w:t xml:space="preserve"> </w:t>
            </w:r>
            <w:r w:rsidRPr="001A6305">
              <w:rPr>
                <w:b/>
                <w:bCs/>
                <w:sz w:val="24"/>
                <w:szCs w:val="24"/>
                <w:lang w:val="en-IN" w:eastAsia="en-IN"/>
              </w:rPr>
              <w:t xml:space="preserve">growth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145A31DB"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0.921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63375C13"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12.000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5DD4239C"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8.000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2E67084A"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16.000 </w:t>
            </w:r>
          </w:p>
        </w:tc>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hideMark/>
          </w:tcPr>
          <w:p w14:paraId="41B5D8F2" w14:textId="77777777" w:rsidR="001A6305" w:rsidRPr="001A6305" w:rsidRDefault="001A6305" w:rsidP="00773035">
            <w:pPr>
              <w:widowControl/>
              <w:autoSpaceDE/>
              <w:autoSpaceDN/>
              <w:jc w:val="both"/>
              <w:rPr>
                <w:sz w:val="24"/>
                <w:szCs w:val="24"/>
                <w:lang w:val="en-IN" w:eastAsia="en-IN"/>
              </w:rPr>
            </w:pPr>
            <w:r w:rsidRPr="001A6305">
              <w:rPr>
                <w:sz w:val="24"/>
                <w:szCs w:val="24"/>
                <w:lang w:val="en-IN" w:eastAsia="en-IN"/>
              </w:rPr>
              <w:t xml:space="preserve">11.000 </w:t>
            </w:r>
          </w:p>
        </w:tc>
      </w:tr>
    </w:tbl>
    <w:p w14:paraId="7DB26DF3" w14:textId="2947D4D9" w:rsidR="001A6305" w:rsidRPr="00475009" w:rsidRDefault="00475009" w:rsidP="00773035">
      <w:pPr>
        <w:widowControl/>
        <w:autoSpaceDE/>
        <w:autoSpaceDN/>
        <w:spacing w:line="420" w:lineRule="atLeast"/>
        <w:jc w:val="both"/>
        <w:rPr>
          <w:b/>
          <w:i/>
          <w:color w:val="000000" w:themeColor="text1"/>
          <w:sz w:val="24"/>
          <w:szCs w:val="24"/>
          <w:lang w:val="en-IN" w:eastAsia="en-IN"/>
        </w:rPr>
      </w:pPr>
      <w:r w:rsidRPr="00475009">
        <w:rPr>
          <w:b/>
          <w:i/>
          <w:color w:val="000000" w:themeColor="text1"/>
          <w:sz w:val="24"/>
          <w:szCs w:val="24"/>
          <w:lang w:val="en-IN" w:eastAsia="en-IN"/>
        </w:rPr>
        <w:t>Interpretation</w:t>
      </w:r>
      <w:r>
        <w:rPr>
          <w:b/>
          <w:i/>
          <w:color w:val="000000" w:themeColor="text1"/>
          <w:sz w:val="24"/>
          <w:szCs w:val="24"/>
          <w:lang w:val="en-IN" w:eastAsia="en-IN"/>
        </w:rPr>
        <w:t>:</w:t>
      </w:r>
    </w:p>
    <w:p w14:paraId="2853AE11" w14:textId="5E8A60DA" w:rsidR="001A6305" w:rsidRPr="001A6305" w:rsidRDefault="001A6305" w:rsidP="00773035">
      <w:pPr>
        <w:widowControl/>
        <w:autoSpaceDE/>
        <w:autoSpaceDN/>
        <w:spacing w:line="420" w:lineRule="atLeast"/>
        <w:jc w:val="both"/>
        <w:rPr>
          <w:color w:val="000000" w:themeColor="text1"/>
          <w:sz w:val="24"/>
          <w:szCs w:val="24"/>
          <w:lang w:val="en-IN" w:eastAsia="en-IN"/>
        </w:rPr>
      </w:pPr>
      <w:r w:rsidRPr="001A6305">
        <w:rPr>
          <w:color w:val="000000" w:themeColor="text1"/>
          <w:sz w:val="24"/>
          <w:szCs w:val="24"/>
          <w:lang w:val="en-IN" w:eastAsia="en-IN"/>
        </w:rPr>
        <w:t>The presented table details the standardized path coefficients associated with the direct effects of the Nifty index on each HDFC mutual fund. These path coefficients, such as 0.895 for Nifty -&gt; HDFC Blue Chip Fund Growth, quantify the magnitude and direction of the influence. Values closer to 1 signify a stronger positive effect, indicating that movements in the Nifty tend to induce movements in the same direction for the corresponding mutual fund. Conversely, values closer to -1 would suggest opposing directional movements. In this case, all coefficients being positive suggests a generally concordant relationship between the Nifty and the funds.</w:t>
      </w:r>
    </w:p>
    <w:p w14:paraId="786A8227" w14:textId="7E0944E6" w:rsidR="001A6305" w:rsidRDefault="001A6305" w:rsidP="00773035">
      <w:pPr>
        <w:widowControl/>
        <w:autoSpaceDE/>
        <w:autoSpaceDN/>
        <w:spacing w:line="420" w:lineRule="atLeast"/>
        <w:jc w:val="both"/>
        <w:rPr>
          <w:color w:val="000000" w:themeColor="text1"/>
          <w:sz w:val="24"/>
          <w:szCs w:val="24"/>
          <w:lang w:val="en-IN" w:eastAsia="en-IN"/>
        </w:rPr>
      </w:pPr>
      <w:r w:rsidRPr="001A6305">
        <w:rPr>
          <w:color w:val="000000" w:themeColor="text1"/>
          <w:sz w:val="24"/>
          <w:szCs w:val="24"/>
          <w:lang w:val="en-IN" w:eastAsia="en-IN"/>
        </w:rPr>
        <w:t xml:space="preserve">The remaining columns represent hypothesis tests for statistical significance. The first column, </w:t>
      </w:r>
      <w:proofErr w:type="spellStart"/>
      <w:r w:rsidRPr="001A6305">
        <w:rPr>
          <w:color w:val="000000" w:themeColor="text1"/>
          <w:sz w:val="24"/>
          <w:szCs w:val="24"/>
          <w:lang w:val="en-IN" w:eastAsia="en-IN"/>
        </w:rPr>
        <w:t>labeled</w:t>
      </w:r>
      <w:proofErr w:type="spellEnd"/>
      <w:r w:rsidRPr="001A6305">
        <w:rPr>
          <w:color w:val="000000" w:themeColor="text1"/>
          <w:sz w:val="24"/>
          <w:szCs w:val="24"/>
          <w:lang w:val="en-IN" w:eastAsia="en-IN"/>
        </w:rPr>
        <w:t xml:space="preserve"> "Alpha 1%, power 80%", refers to a specific test configuration. A statistically significant effect at the 1% significance level with 80% power would be indicated by a low p-value (less than 0.01). Unfortunately, without the actual p-values, we cannot definitively determine the significance of these relationships. However, it's important to note that high chi-square values reported elsewhere suggest potential model fit issues. This casts some doubt on the overall reliability of the individual path coefficients, as they may not accurately represent the true relationships in the population.</w:t>
      </w:r>
    </w:p>
    <w:p w14:paraId="44A52085" w14:textId="77777777" w:rsidR="00EF05E0" w:rsidRDefault="00EF05E0" w:rsidP="00773035">
      <w:pPr>
        <w:widowControl/>
        <w:autoSpaceDE/>
        <w:autoSpaceDN/>
        <w:spacing w:line="420" w:lineRule="atLeast"/>
        <w:jc w:val="both"/>
        <w:rPr>
          <w:color w:val="000000" w:themeColor="text1"/>
          <w:sz w:val="24"/>
          <w:szCs w:val="24"/>
          <w:lang w:val="en-IN" w:eastAsia="en-IN"/>
        </w:rPr>
      </w:pPr>
    </w:p>
    <w:p w14:paraId="6A98A667" w14:textId="77777777" w:rsidR="009B59D1" w:rsidRDefault="009B59D1" w:rsidP="00773035">
      <w:pPr>
        <w:widowControl/>
        <w:autoSpaceDE/>
        <w:autoSpaceDN/>
        <w:spacing w:line="420" w:lineRule="atLeast"/>
        <w:jc w:val="both"/>
        <w:rPr>
          <w:color w:val="000000" w:themeColor="text1"/>
          <w:sz w:val="24"/>
          <w:szCs w:val="24"/>
          <w:lang w:val="en-IN" w:eastAsia="en-IN"/>
        </w:rPr>
      </w:pPr>
    </w:p>
    <w:p w14:paraId="7D34A27E" w14:textId="77777777" w:rsidR="009B59D1" w:rsidRDefault="009B59D1" w:rsidP="00773035">
      <w:pPr>
        <w:widowControl/>
        <w:autoSpaceDE/>
        <w:autoSpaceDN/>
        <w:spacing w:line="420" w:lineRule="atLeast"/>
        <w:jc w:val="both"/>
        <w:rPr>
          <w:color w:val="000000" w:themeColor="text1"/>
          <w:sz w:val="24"/>
          <w:szCs w:val="24"/>
          <w:lang w:val="en-IN" w:eastAsia="en-IN"/>
        </w:rPr>
      </w:pPr>
    </w:p>
    <w:p w14:paraId="674ABD3F" w14:textId="77777777" w:rsidR="009B59D1" w:rsidRDefault="009B59D1" w:rsidP="00773035">
      <w:pPr>
        <w:widowControl/>
        <w:autoSpaceDE/>
        <w:autoSpaceDN/>
        <w:spacing w:line="420" w:lineRule="atLeast"/>
        <w:jc w:val="both"/>
        <w:rPr>
          <w:color w:val="000000" w:themeColor="text1"/>
          <w:sz w:val="24"/>
          <w:szCs w:val="24"/>
          <w:lang w:val="en-IN" w:eastAsia="en-IN"/>
        </w:rPr>
      </w:pPr>
    </w:p>
    <w:p w14:paraId="755FE190" w14:textId="77777777" w:rsidR="00475009" w:rsidRDefault="00475009" w:rsidP="00773035">
      <w:pPr>
        <w:widowControl/>
        <w:autoSpaceDE/>
        <w:autoSpaceDN/>
        <w:spacing w:before="100" w:beforeAutospacing="1" w:after="100" w:afterAutospacing="1" w:line="360" w:lineRule="auto"/>
        <w:jc w:val="both"/>
        <w:rPr>
          <w:b/>
          <w:color w:val="000000" w:themeColor="text1"/>
          <w:sz w:val="24"/>
          <w:szCs w:val="24"/>
          <w:lang w:val="en-IN" w:eastAsia="en-IN"/>
        </w:rPr>
      </w:pPr>
    </w:p>
    <w:p w14:paraId="180DC9C5" w14:textId="47C40B9B" w:rsidR="00D5428D" w:rsidRPr="00D5428D" w:rsidRDefault="00D5428D" w:rsidP="00773035">
      <w:pPr>
        <w:widowControl/>
        <w:autoSpaceDE/>
        <w:autoSpaceDN/>
        <w:spacing w:before="100" w:beforeAutospacing="1" w:after="100" w:afterAutospacing="1" w:line="360" w:lineRule="auto"/>
        <w:jc w:val="both"/>
        <w:rPr>
          <w:b/>
          <w:color w:val="000000" w:themeColor="text1"/>
          <w:sz w:val="24"/>
          <w:szCs w:val="24"/>
          <w:lang w:val="en-IN" w:eastAsia="en-IN"/>
        </w:rPr>
      </w:pPr>
      <w:bookmarkStart w:id="0" w:name="_GoBack"/>
      <w:bookmarkEnd w:id="0"/>
      <w:r w:rsidRPr="00D5428D">
        <w:rPr>
          <w:b/>
          <w:color w:val="000000" w:themeColor="text1"/>
          <w:sz w:val="24"/>
          <w:szCs w:val="24"/>
          <w:lang w:val="en-IN" w:eastAsia="en-IN"/>
        </w:rPr>
        <w:t>Findings of the study:</w:t>
      </w:r>
    </w:p>
    <w:p w14:paraId="525BA802" w14:textId="3B3AE5BB" w:rsidR="00D5428D" w:rsidRPr="00D5428D" w:rsidRDefault="00D5428D" w:rsidP="00773035">
      <w:pPr>
        <w:widowControl/>
        <w:autoSpaceDE/>
        <w:autoSpaceDN/>
        <w:spacing w:before="100" w:beforeAutospacing="1" w:after="100" w:afterAutospacing="1" w:line="360" w:lineRule="auto"/>
        <w:jc w:val="both"/>
        <w:rPr>
          <w:color w:val="000000" w:themeColor="text1"/>
          <w:sz w:val="24"/>
          <w:szCs w:val="24"/>
          <w:lang w:val="en-IN" w:eastAsia="en-IN"/>
        </w:rPr>
      </w:pPr>
      <w:r w:rsidRPr="00D5428D">
        <w:rPr>
          <w:color w:val="000000" w:themeColor="text1"/>
          <w:sz w:val="24"/>
          <w:szCs w:val="24"/>
          <w:lang w:val="en-IN" w:eastAsia="en-IN"/>
        </w:rPr>
        <w:t>The study comparing four HDFC mutual funds—HDFC Balanced Fund Growth, HDFC Income Fund Growth, HDFC Nomura Balanced Growth, and HDFC Blue Chip Fund Growth—against the Nifty 50 index reveals insightful findings about their performance relationships. The R-squared values indicate the extent to which each fund's fluctuations can be explained by movements in the Nifty. HDFC Nomura Balanced Growth stands out with the highest R-squared of 0.848, implying that approximately 84.8% of its performance variability aligns with changes in the Nifty. This suggests strong sensitivity to broader market movements, making it potentially attractive for investors seeking alignment with the Nifty's performance. HDFC Blue Chip Fund Growth follows closely with an R-squared of 0.801, indicating substantial alignment with the Nifty, while HDFC Magnum Balanced Fund Growth shows a solid R-squared of 0.743. In contrast, HDFC Income Fund Growth exhibits the lowest R-squared at 0.207, indicating weaker correlation with the Nifty and suggesting its performance is influenced by factors</w:t>
      </w:r>
      <w:r>
        <w:rPr>
          <w:color w:val="000000" w:themeColor="text1"/>
          <w:sz w:val="24"/>
          <w:szCs w:val="24"/>
          <w:lang w:val="en-IN" w:eastAsia="en-IN"/>
        </w:rPr>
        <w:t xml:space="preserve"> beyond broad market movements.</w:t>
      </w:r>
    </w:p>
    <w:p w14:paraId="46FE17DE" w14:textId="09FBEFE3" w:rsidR="00D5428D" w:rsidRDefault="00D5428D" w:rsidP="00773035">
      <w:pPr>
        <w:widowControl/>
        <w:autoSpaceDE/>
        <w:autoSpaceDN/>
        <w:spacing w:before="100" w:beforeAutospacing="1" w:after="100" w:afterAutospacing="1" w:line="360" w:lineRule="auto"/>
        <w:jc w:val="both"/>
        <w:rPr>
          <w:color w:val="000000" w:themeColor="text1"/>
          <w:sz w:val="24"/>
          <w:szCs w:val="24"/>
          <w:lang w:val="en-IN" w:eastAsia="en-IN"/>
        </w:rPr>
      </w:pPr>
      <w:r w:rsidRPr="00D5428D">
        <w:rPr>
          <w:color w:val="000000" w:themeColor="text1"/>
          <w:sz w:val="24"/>
          <w:szCs w:val="24"/>
          <w:lang w:val="en-IN" w:eastAsia="en-IN"/>
        </w:rPr>
        <w:t>Additionally, the correlation matrix illustrates how closely each HDFC fund tracks with the Nifty and with one another. HDFC Blue Chip Fund Growth displays strong positive correlations with all other funds and the Nifty, indicating robust alignment with broader market trends. HDFC Income Fund Growth shows moderate correlations, while HDFC Magnum Balanced and Nomura Balanced Funds exhibit strong positive correlations not only with each other but also with the Nifty. This suggests that movements in these balanced funds are closely tied to broader market dynamics, providing investors with insights into their potential for diversification benefits and risk management strategies. Overall, these analyses offer valuable guidance for investors seeking to understand how these mutual funds perform relative to the Nifty and each other in different market conditions.</w:t>
      </w:r>
    </w:p>
    <w:p w14:paraId="212E99C7" w14:textId="1F9243A1" w:rsidR="00EF05E0" w:rsidRPr="00EF05E0" w:rsidRDefault="00EF05E0" w:rsidP="00773035">
      <w:pPr>
        <w:widowControl/>
        <w:autoSpaceDE/>
        <w:autoSpaceDN/>
        <w:spacing w:line="360" w:lineRule="auto"/>
        <w:jc w:val="both"/>
        <w:rPr>
          <w:b/>
          <w:color w:val="000000" w:themeColor="text1"/>
          <w:sz w:val="24"/>
          <w:szCs w:val="24"/>
          <w:lang w:val="en-IN" w:eastAsia="en-IN"/>
        </w:rPr>
      </w:pPr>
      <w:r w:rsidRPr="00EF05E0">
        <w:rPr>
          <w:b/>
          <w:color w:val="000000" w:themeColor="text1"/>
          <w:sz w:val="24"/>
          <w:szCs w:val="24"/>
          <w:lang w:val="en-IN" w:eastAsia="en-IN"/>
        </w:rPr>
        <w:t>Conclusion:</w:t>
      </w:r>
    </w:p>
    <w:p w14:paraId="29E4B43B" w14:textId="77777777" w:rsidR="00EF05E0" w:rsidRPr="00EF05E0" w:rsidRDefault="00EF05E0" w:rsidP="00773035">
      <w:pPr>
        <w:pStyle w:val="first-token"/>
        <w:spacing w:before="0" w:beforeAutospacing="0" w:after="0" w:afterAutospacing="0" w:line="420" w:lineRule="atLeast"/>
        <w:jc w:val="both"/>
        <w:rPr>
          <w:color w:val="000000" w:themeColor="text1"/>
        </w:rPr>
      </w:pPr>
      <w:r w:rsidRPr="00EF05E0">
        <w:rPr>
          <w:color w:val="000000" w:themeColor="text1"/>
        </w:rPr>
        <w:t xml:space="preserve">This analysis investigated the performance relationships between four HDFC mutual funds and the Nifty 50 index, though the timeframe remains unknown. While R-squared analysis suggests </w:t>
      </w:r>
      <w:r w:rsidRPr="00EF05E0">
        <w:rPr>
          <w:color w:val="000000" w:themeColor="text1"/>
        </w:rPr>
        <w:lastRenderedPageBreak/>
        <w:t>HDFC Nomura Balanced Growth aligns best with the Nifty, the correlation matrix reveals HDFC Blue Chip Fund Growth exhibits the most consistent positive correlations with all parties. F-squared values highlight a stronger influence of the Nifty on HDFC Blue Chip and Nomura Balanced Funds. Overall, this offers valuable insights for investors into how these funds behave relative to the market, but missing timeframe data and potential model fit issues necessitate caution for definitive conclusions.</w:t>
      </w:r>
    </w:p>
    <w:p w14:paraId="3E0363FB" w14:textId="77777777" w:rsidR="00773035" w:rsidRDefault="00773035" w:rsidP="00773035">
      <w:pPr>
        <w:widowControl/>
        <w:suppressAutoHyphens/>
        <w:autoSpaceDE/>
        <w:autoSpaceDN/>
        <w:spacing w:line="276" w:lineRule="auto"/>
        <w:jc w:val="both"/>
        <w:rPr>
          <w:b/>
          <w:bCs/>
          <w:i/>
          <w:iCs/>
          <w:color w:val="000000" w:themeColor="text1"/>
          <w:sz w:val="24"/>
          <w:szCs w:val="24"/>
          <w:lang w:eastAsia="ar-SA"/>
        </w:rPr>
      </w:pPr>
    </w:p>
    <w:p w14:paraId="25E82DBF" w14:textId="28B4E008" w:rsidR="00692AB1" w:rsidRPr="000B017B" w:rsidRDefault="00692AB1" w:rsidP="00773035">
      <w:pPr>
        <w:widowControl/>
        <w:suppressAutoHyphens/>
        <w:autoSpaceDE/>
        <w:autoSpaceDN/>
        <w:spacing w:line="276" w:lineRule="auto"/>
        <w:jc w:val="both"/>
        <w:rPr>
          <w:b/>
          <w:bCs/>
          <w:i/>
          <w:iCs/>
          <w:color w:val="000000" w:themeColor="text1"/>
          <w:sz w:val="24"/>
          <w:szCs w:val="24"/>
          <w:lang w:eastAsia="ar-SA"/>
        </w:rPr>
      </w:pPr>
      <w:r w:rsidRPr="000B017B">
        <w:rPr>
          <w:b/>
          <w:bCs/>
          <w:i/>
          <w:iCs/>
          <w:color w:val="000000" w:themeColor="text1"/>
          <w:sz w:val="24"/>
          <w:szCs w:val="24"/>
          <w:lang w:eastAsia="ar-SA"/>
        </w:rPr>
        <w:t>REFERNCES:</w:t>
      </w:r>
    </w:p>
    <w:p w14:paraId="58002EE6" w14:textId="77777777" w:rsidR="0036425E" w:rsidRPr="000B017B" w:rsidRDefault="0036425E" w:rsidP="00773035">
      <w:pPr>
        <w:widowControl/>
        <w:suppressAutoHyphens/>
        <w:autoSpaceDE/>
        <w:autoSpaceDN/>
        <w:spacing w:line="276" w:lineRule="auto"/>
        <w:ind w:left="567" w:right="567"/>
        <w:jc w:val="both"/>
        <w:rPr>
          <w:b/>
          <w:bCs/>
          <w:i/>
          <w:iCs/>
          <w:color w:val="000000" w:themeColor="text1"/>
          <w:sz w:val="24"/>
          <w:szCs w:val="24"/>
          <w:lang w:eastAsia="ar-SA"/>
        </w:rPr>
      </w:pPr>
    </w:p>
    <w:p w14:paraId="752C84F4" w14:textId="5269EE43" w:rsidR="00B0669D" w:rsidRPr="00493448" w:rsidRDefault="00B0669D" w:rsidP="00773035">
      <w:pPr>
        <w:pStyle w:val="ListParagraph"/>
        <w:numPr>
          <w:ilvl w:val="0"/>
          <w:numId w:val="18"/>
        </w:numPr>
        <w:spacing w:line="276" w:lineRule="auto"/>
        <w:ind w:left="567" w:right="567"/>
        <w:jc w:val="both"/>
        <w:rPr>
          <w:rFonts w:eastAsia="Calibri"/>
          <w:color w:val="000000" w:themeColor="text1"/>
          <w:kern w:val="2"/>
          <w:sz w:val="24"/>
          <w:szCs w:val="24"/>
          <w:lang w:val="en-IN"/>
          <w14:ligatures w14:val="standardContextual"/>
        </w:rPr>
      </w:pPr>
      <w:r w:rsidRPr="00493448">
        <w:rPr>
          <w:rFonts w:eastAsia="Calibri"/>
          <w:color w:val="000000" w:themeColor="text1"/>
          <w:kern w:val="2"/>
          <w:sz w:val="24"/>
          <w:szCs w:val="24"/>
          <w:lang w:val="en-IN"/>
          <w14:ligatures w14:val="standardContextual"/>
        </w:rPr>
        <w:t xml:space="preserve">Sharma, K. (2023). PERFORMANCE EVALUATION OF SIP (SYSTEMATIC INVESTMENT PLAN) IN MUTUAL FUNDS: A COMPARATIVE ANALYSIS. International Journal of Management, Public Policy and Research, 2(2), 94–106. </w:t>
      </w:r>
      <w:hyperlink r:id="rId9" w:history="1">
        <w:r w:rsidRPr="00493448">
          <w:rPr>
            <w:rStyle w:val="Hyperlink"/>
            <w:rFonts w:eastAsia="Calibri"/>
            <w:color w:val="000000" w:themeColor="text1"/>
            <w:kern w:val="2"/>
            <w:sz w:val="24"/>
            <w:szCs w:val="24"/>
            <w:u w:val="none"/>
            <w:lang w:val="en-IN"/>
            <w14:ligatures w14:val="standardContextual"/>
          </w:rPr>
          <w:t>https://doi.org/10.55829/ijmpr.v2i2.163</w:t>
        </w:r>
      </w:hyperlink>
    </w:p>
    <w:p w14:paraId="0C9470C7" w14:textId="104AE6E1" w:rsidR="00B0669D" w:rsidRPr="00493448" w:rsidRDefault="00B0669D" w:rsidP="00773035">
      <w:pPr>
        <w:pStyle w:val="ListParagraph"/>
        <w:numPr>
          <w:ilvl w:val="0"/>
          <w:numId w:val="18"/>
        </w:numPr>
        <w:spacing w:line="276" w:lineRule="auto"/>
        <w:ind w:left="567" w:right="567"/>
        <w:jc w:val="both"/>
        <w:rPr>
          <w:color w:val="000000" w:themeColor="text1"/>
          <w:sz w:val="24"/>
          <w:szCs w:val="24"/>
          <w:shd w:val="clear" w:color="auto" w:fill="FFFFFF"/>
        </w:rPr>
      </w:pPr>
      <w:proofErr w:type="spellStart"/>
      <w:r w:rsidRPr="00493448">
        <w:rPr>
          <w:color w:val="000000" w:themeColor="text1"/>
          <w:sz w:val="24"/>
          <w:szCs w:val="24"/>
          <w:shd w:val="clear" w:color="auto" w:fill="FFFFFF"/>
        </w:rPr>
        <w:t>Amry</w:t>
      </w:r>
      <w:proofErr w:type="spellEnd"/>
      <w:r w:rsidRPr="00493448">
        <w:rPr>
          <w:color w:val="000000" w:themeColor="text1"/>
          <w:sz w:val="24"/>
          <w:szCs w:val="24"/>
          <w:shd w:val="clear" w:color="auto" w:fill="FFFFFF"/>
        </w:rPr>
        <w:t xml:space="preserve">, A. D., Sari, C. C., </w:t>
      </w:r>
      <w:proofErr w:type="spellStart"/>
      <w:r w:rsidRPr="00493448">
        <w:rPr>
          <w:color w:val="000000" w:themeColor="text1"/>
          <w:sz w:val="24"/>
          <w:szCs w:val="24"/>
          <w:shd w:val="clear" w:color="auto" w:fill="FFFFFF"/>
        </w:rPr>
        <w:t>Azzahra</w:t>
      </w:r>
      <w:proofErr w:type="spellEnd"/>
      <w:r w:rsidRPr="00493448">
        <w:rPr>
          <w:color w:val="000000" w:themeColor="text1"/>
          <w:sz w:val="24"/>
          <w:szCs w:val="24"/>
          <w:shd w:val="clear" w:color="auto" w:fill="FFFFFF"/>
        </w:rPr>
        <w:t>, F.,</w:t>
      </w:r>
      <w:r w:rsidR="00B35D99" w:rsidRPr="00493448">
        <w:rPr>
          <w:color w:val="000000" w:themeColor="text1"/>
          <w:sz w:val="24"/>
          <w:szCs w:val="24"/>
          <w:shd w:val="clear" w:color="auto" w:fill="FFFFFF"/>
        </w:rPr>
        <w:t xml:space="preserve"> </w:t>
      </w:r>
      <w:proofErr w:type="spellStart"/>
      <w:r w:rsidRPr="00493448">
        <w:rPr>
          <w:color w:val="000000" w:themeColor="text1"/>
          <w:sz w:val="24"/>
          <w:szCs w:val="24"/>
          <w:shd w:val="clear" w:color="auto" w:fill="FFFFFF"/>
        </w:rPr>
        <w:t>Syalwa</w:t>
      </w:r>
      <w:proofErr w:type="spellEnd"/>
      <w:r w:rsidRPr="00493448">
        <w:rPr>
          <w:color w:val="000000" w:themeColor="text1"/>
          <w:sz w:val="24"/>
          <w:szCs w:val="24"/>
          <w:shd w:val="clear" w:color="auto" w:fill="FFFFFF"/>
        </w:rPr>
        <w:t xml:space="preserve">, J., </w:t>
      </w:r>
      <w:proofErr w:type="spellStart"/>
      <w:r w:rsidRPr="00493448">
        <w:rPr>
          <w:color w:val="000000" w:themeColor="text1"/>
          <w:sz w:val="24"/>
          <w:szCs w:val="24"/>
          <w:shd w:val="clear" w:color="auto" w:fill="FFFFFF"/>
        </w:rPr>
        <w:t>Putri</w:t>
      </w:r>
      <w:proofErr w:type="spellEnd"/>
      <w:r w:rsidRPr="00493448">
        <w:rPr>
          <w:color w:val="000000" w:themeColor="text1"/>
          <w:sz w:val="24"/>
          <w:szCs w:val="24"/>
          <w:shd w:val="clear" w:color="auto" w:fill="FFFFFF"/>
        </w:rPr>
        <w:t xml:space="preserve">, S. A., &amp; Maharani, K. N. (2023). Comparative Analysis </w:t>
      </w:r>
      <w:proofErr w:type="gramStart"/>
      <w:r w:rsidRPr="00493448">
        <w:rPr>
          <w:color w:val="000000" w:themeColor="text1"/>
          <w:sz w:val="24"/>
          <w:szCs w:val="24"/>
          <w:shd w:val="clear" w:color="auto" w:fill="FFFFFF"/>
        </w:rPr>
        <w:t>Of</w:t>
      </w:r>
      <w:proofErr w:type="gramEnd"/>
      <w:r w:rsidRPr="00493448">
        <w:rPr>
          <w:color w:val="000000" w:themeColor="text1"/>
          <w:sz w:val="24"/>
          <w:szCs w:val="24"/>
          <w:shd w:val="clear" w:color="auto" w:fill="FFFFFF"/>
        </w:rPr>
        <w:t xml:space="preserve"> Conventional Mutual Funds And Sharia Mutual Funds On Investment Growth In Indonesia. International Journal of Research and Innovation Management, 9(1), 77-90.</w:t>
      </w:r>
    </w:p>
    <w:p w14:paraId="65BD8BD0" w14:textId="77777777" w:rsidR="00B0669D" w:rsidRPr="00493448" w:rsidRDefault="00B0669D" w:rsidP="00773035">
      <w:pPr>
        <w:pStyle w:val="ListParagraph"/>
        <w:numPr>
          <w:ilvl w:val="0"/>
          <w:numId w:val="18"/>
        </w:numPr>
        <w:spacing w:line="276" w:lineRule="auto"/>
        <w:ind w:left="567" w:right="567"/>
        <w:jc w:val="both"/>
        <w:rPr>
          <w:color w:val="000000" w:themeColor="text1"/>
          <w:sz w:val="24"/>
          <w:szCs w:val="24"/>
          <w:shd w:val="clear" w:color="auto" w:fill="FFFFFF"/>
        </w:rPr>
      </w:pPr>
      <w:r w:rsidRPr="00493448">
        <w:rPr>
          <w:color w:val="000000" w:themeColor="text1"/>
          <w:sz w:val="24"/>
          <w:szCs w:val="24"/>
          <w:shd w:val="clear" w:color="auto" w:fill="FFFFFF"/>
        </w:rPr>
        <w:t xml:space="preserve">Sharma, K., &amp; Joshi, P. (2021). A Comparative Study </w:t>
      </w:r>
      <w:proofErr w:type="gramStart"/>
      <w:r w:rsidRPr="00493448">
        <w:rPr>
          <w:color w:val="000000" w:themeColor="text1"/>
          <w:sz w:val="24"/>
          <w:szCs w:val="24"/>
          <w:shd w:val="clear" w:color="auto" w:fill="FFFFFF"/>
        </w:rPr>
        <w:t>On</w:t>
      </w:r>
      <w:proofErr w:type="gramEnd"/>
      <w:r w:rsidRPr="00493448">
        <w:rPr>
          <w:color w:val="000000" w:themeColor="text1"/>
          <w:sz w:val="24"/>
          <w:szCs w:val="24"/>
          <w:shd w:val="clear" w:color="auto" w:fill="FFFFFF"/>
        </w:rPr>
        <w:t xml:space="preserve"> Performance Evaluation Of Selected Debt, Equity And Hybrid Mutual Fund Schemes In India. Gap </w:t>
      </w:r>
      <w:proofErr w:type="spellStart"/>
      <w:r w:rsidRPr="00493448">
        <w:rPr>
          <w:color w:val="000000" w:themeColor="text1"/>
          <w:sz w:val="24"/>
          <w:szCs w:val="24"/>
          <w:shd w:val="clear" w:color="auto" w:fill="FFFFFF"/>
        </w:rPr>
        <w:t>Gyan</w:t>
      </w:r>
      <w:proofErr w:type="spellEnd"/>
      <w:r w:rsidRPr="00493448">
        <w:rPr>
          <w:color w:val="000000" w:themeColor="text1"/>
          <w:sz w:val="24"/>
          <w:szCs w:val="24"/>
          <w:shd w:val="clear" w:color="auto" w:fill="FFFFFF"/>
        </w:rPr>
        <w:t xml:space="preserve">-A Global Journal Of Social Sciences, 4(2), 34-40 </w:t>
      </w:r>
    </w:p>
    <w:p w14:paraId="7D19E820" w14:textId="4D0A673C" w:rsidR="00B0669D" w:rsidRPr="00493448" w:rsidRDefault="00B0669D"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shd w:val="clear" w:color="auto" w:fill="FFFFFF"/>
        </w:rPr>
        <w:t>A.</w:t>
      </w:r>
      <w:r w:rsidR="007B0418" w:rsidRPr="00493448">
        <w:rPr>
          <w:color w:val="000000" w:themeColor="text1"/>
          <w:sz w:val="24"/>
          <w:szCs w:val="24"/>
          <w:shd w:val="clear" w:color="auto" w:fill="FFFFFF"/>
        </w:rPr>
        <w:t xml:space="preserve"> </w:t>
      </w:r>
      <w:r w:rsidRPr="00493448">
        <w:rPr>
          <w:color w:val="000000" w:themeColor="text1"/>
          <w:sz w:val="24"/>
          <w:szCs w:val="24"/>
          <w:shd w:val="clear" w:color="auto" w:fill="FFFFFF"/>
        </w:rPr>
        <w:t xml:space="preserve">Pandey, A. (2021). An analysis of investment avenues in India: A comparative analysis of government benchmark returns and equity mutual funds in </w:t>
      </w:r>
      <w:proofErr w:type="spellStart"/>
      <w:proofErr w:type="gramStart"/>
      <w:r w:rsidRPr="00493448">
        <w:rPr>
          <w:color w:val="000000" w:themeColor="text1"/>
          <w:sz w:val="24"/>
          <w:szCs w:val="24"/>
          <w:shd w:val="clear" w:color="auto" w:fill="FFFFFF"/>
        </w:rPr>
        <w:t>india</w:t>
      </w:r>
      <w:proofErr w:type="spellEnd"/>
      <w:proofErr w:type="gramEnd"/>
      <w:r w:rsidRPr="00493448">
        <w:rPr>
          <w:color w:val="000000" w:themeColor="text1"/>
          <w:sz w:val="24"/>
          <w:szCs w:val="24"/>
          <w:shd w:val="clear" w:color="auto" w:fill="FFFFFF"/>
        </w:rPr>
        <w:t>. International journal of social science arts &amp;amp, 53-63.</w:t>
      </w:r>
      <w:r w:rsidRPr="00493448">
        <w:rPr>
          <w:color w:val="000000" w:themeColor="text1"/>
          <w:sz w:val="24"/>
          <w:szCs w:val="24"/>
        </w:rPr>
        <w:t xml:space="preserve"> </w:t>
      </w:r>
    </w:p>
    <w:p w14:paraId="784297B5" w14:textId="77777777" w:rsidR="00B0669D" w:rsidRPr="00493448" w:rsidRDefault="00B0669D" w:rsidP="00773035">
      <w:pPr>
        <w:pStyle w:val="ListParagraph"/>
        <w:numPr>
          <w:ilvl w:val="0"/>
          <w:numId w:val="18"/>
        </w:numPr>
        <w:spacing w:line="276" w:lineRule="auto"/>
        <w:ind w:left="567" w:right="567"/>
        <w:jc w:val="both"/>
        <w:rPr>
          <w:color w:val="000000" w:themeColor="text1"/>
          <w:sz w:val="24"/>
          <w:szCs w:val="24"/>
          <w:shd w:val="clear" w:color="auto" w:fill="FFFFFF"/>
        </w:rPr>
      </w:pPr>
      <w:r w:rsidRPr="00493448">
        <w:rPr>
          <w:color w:val="000000" w:themeColor="text1"/>
          <w:sz w:val="24"/>
          <w:szCs w:val="24"/>
          <w:shd w:val="clear" w:color="auto" w:fill="FFFFFF"/>
        </w:rPr>
        <w:t xml:space="preserve">Raj, M., </w:t>
      </w:r>
      <w:proofErr w:type="spellStart"/>
      <w:r w:rsidRPr="00493448">
        <w:rPr>
          <w:color w:val="000000" w:themeColor="text1"/>
          <w:sz w:val="24"/>
          <w:szCs w:val="24"/>
          <w:shd w:val="clear" w:color="auto" w:fill="FFFFFF"/>
        </w:rPr>
        <w:t>Verma</w:t>
      </w:r>
      <w:proofErr w:type="spellEnd"/>
      <w:r w:rsidRPr="00493448">
        <w:rPr>
          <w:color w:val="000000" w:themeColor="text1"/>
          <w:sz w:val="24"/>
          <w:szCs w:val="24"/>
          <w:shd w:val="clear" w:color="auto" w:fill="FFFFFF"/>
        </w:rPr>
        <w:t xml:space="preserve">, T., Bansal, S., &amp; Jain, A. (2018). Performance </w:t>
      </w:r>
      <w:proofErr w:type="gramStart"/>
      <w:r w:rsidRPr="00493448">
        <w:rPr>
          <w:color w:val="000000" w:themeColor="text1"/>
          <w:sz w:val="24"/>
          <w:szCs w:val="24"/>
          <w:shd w:val="clear" w:color="auto" w:fill="FFFFFF"/>
        </w:rPr>
        <w:t>Of</w:t>
      </w:r>
      <w:proofErr w:type="gramEnd"/>
      <w:r w:rsidRPr="00493448">
        <w:rPr>
          <w:color w:val="000000" w:themeColor="text1"/>
          <w:sz w:val="24"/>
          <w:szCs w:val="24"/>
          <w:shd w:val="clear" w:color="auto" w:fill="FFFFFF"/>
        </w:rPr>
        <w:t xml:space="preserve"> Mutual Funds In India: A Comparative Analysis Of SBI Mutual Funds And HDFC Mutual Funds. IOSR Journal of Business and Management (IOSRJBM), 20, 36-43.</w:t>
      </w:r>
    </w:p>
    <w:p w14:paraId="3948AA63" w14:textId="36845E3F" w:rsidR="00B0669D" w:rsidRPr="00493448" w:rsidRDefault="00B0669D" w:rsidP="00773035">
      <w:pPr>
        <w:pStyle w:val="ListParagraph"/>
        <w:numPr>
          <w:ilvl w:val="0"/>
          <w:numId w:val="18"/>
        </w:numPr>
        <w:spacing w:line="276" w:lineRule="auto"/>
        <w:ind w:left="567" w:right="567"/>
        <w:jc w:val="both"/>
        <w:rPr>
          <w:color w:val="000000" w:themeColor="text1"/>
          <w:sz w:val="24"/>
          <w:szCs w:val="24"/>
        </w:rPr>
      </w:pPr>
      <w:proofErr w:type="spellStart"/>
      <w:r w:rsidRPr="00493448">
        <w:rPr>
          <w:color w:val="000000" w:themeColor="text1"/>
          <w:sz w:val="24"/>
          <w:szCs w:val="24"/>
          <w:shd w:val="clear" w:color="auto" w:fill="FFFFFF"/>
        </w:rPr>
        <w:t>Agrawal</w:t>
      </w:r>
      <w:proofErr w:type="spellEnd"/>
      <w:r w:rsidRPr="00493448">
        <w:rPr>
          <w:color w:val="000000" w:themeColor="text1"/>
          <w:sz w:val="24"/>
          <w:szCs w:val="24"/>
          <w:shd w:val="clear" w:color="auto" w:fill="FFFFFF"/>
        </w:rPr>
        <w:t xml:space="preserve">, Deepak and </w:t>
      </w:r>
      <w:proofErr w:type="spellStart"/>
      <w:r w:rsidRPr="00493448">
        <w:rPr>
          <w:color w:val="000000" w:themeColor="text1"/>
          <w:sz w:val="24"/>
          <w:szCs w:val="24"/>
          <w:shd w:val="clear" w:color="auto" w:fill="FFFFFF"/>
        </w:rPr>
        <w:t>Patidar</w:t>
      </w:r>
      <w:proofErr w:type="spellEnd"/>
      <w:r w:rsidRPr="00493448">
        <w:rPr>
          <w:color w:val="000000" w:themeColor="text1"/>
          <w:sz w:val="24"/>
          <w:szCs w:val="24"/>
          <w:shd w:val="clear" w:color="auto" w:fill="FFFFFF"/>
        </w:rPr>
        <w:t xml:space="preserve">, Deepak, A Comparative Study of Equity Based Mutual Fund of Reliance and HDFC (October 10, 2009). </w:t>
      </w:r>
      <w:proofErr w:type="spellStart"/>
      <w:r w:rsidRPr="00493448">
        <w:rPr>
          <w:color w:val="000000" w:themeColor="text1"/>
          <w:sz w:val="24"/>
          <w:szCs w:val="24"/>
          <w:shd w:val="clear" w:color="auto" w:fill="FFFFFF"/>
        </w:rPr>
        <w:t>Prabandhan</w:t>
      </w:r>
      <w:proofErr w:type="spellEnd"/>
      <w:r w:rsidR="007B0418" w:rsidRPr="00493448">
        <w:rPr>
          <w:color w:val="000000" w:themeColor="text1"/>
          <w:sz w:val="24"/>
          <w:szCs w:val="24"/>
          <w:shd w:val="clear" w:color="auto" w:fill="FFFFFF"/>
        </w:rPr>
        <w:t xml:space="preserve"> </w:t>
      </w:r>
      <w:r w:rsidRPr="00493448">
        <w:rPr>
          <w:color w:val="000000" w:themeColor="text1"/>
          <w:sz w:val="24"/>
          <w:szCs w:val="24"/>
          <w:shd w:val="clear" w:color="auto" w:fill="FFFFFF"/>
        </w:rPr>
        <w:t xml:space="preserve">&amp; </w:t>
      </w:r>
      <w:proofErr w:type="spellStart"/>
      <w:r w:rsidRPr="00493448">
        <w:rPr>
          <w:color w:val="000000" w:themeColor="text1"/>
          <w:sz w:val="24"/>
          <w:szCs w:val="24"/>
          <w:shd w:val="clear" w:color="auto" w:fill="FFFFFF"/>
        </w:rPr>
        <w:t>Taqniki</w:t>
      </w:r>
      <w:proofErr w:type="spellEnd"/>
      <w:r w:rsidRPr="00493448">
        <w:rPr>
          <w:color w:val="000000" w:themeColor="text1"/>
          <w:sz w:val="24"/>
          <w:szCs w:val="24"/>
          <w:shd w:val="clear" w:color="auto" w:fill="FFFFFF"/>
        </w:rPr>
        <w:t>, Vol. 3, pp. 145-154, October 2009, Available at SSRN: </w:t>
      </w:r>
      <w:hyperlink r:id="rId10" w:tgtFrame="_blank" w:history="1">
        <w:r w:rsidRPr="00493448">
          <w:rPr>
            <w:rStyle w:val="Hyperlink"/>
            <w:color w:val="000000" w:themeColor="text1"/>
            <w:sz w:val="24"/>
            <w:szCs w:val="24"/>
            <w:u w:val="none"/>
            <w:shd w:val="clear" w:color="auto" w:fill="FFFFFF"/>
          </w:rPr>
          <w:t>https://ssrn.com/abstract=1524154</w:t>
        </w:r>
      </w:hyperlink>
      <w:r w:rsidRPr="00493448">
        <w:rPr>
          <w:color w:val="000000" w:themeColor="text1"/>
          <w:sz w:val="24"/>
          <w:szCs w:val="24"/>
        </w:rPr>
        <w:t xml:space="preserve"> </w:t>
      </w:r>
    </w:p>
    <w:p w14:paraId="3D55814A" w14:textId="09F9CA73" w:rsidR="007B0418" w:rsidRPr="00493448" w:rsidRDefault="007B0418"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rPr>
        <w:t>Gupta, A., &amp; Mehta, S. (2021). "Risk and Return Analysis of HDFC Mutual Funds". Journal of Investment Strategies, 8(2), 101-115.</w:t>
      </w:r>
    </w:p>
    <w:p w14:paraId="097DB100" w14:textId="64A01895" w:rsidR="007B0418" w:rsidRPr="00493448" w:rsidRDefault="007B0418"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rPr>
        <w:t>Kumar, R. (2020). "A Comparative Study on the Performance of HDFC Equity Mutual Funds". Financial Markets and Instruments Journal, 14(3), 233-250.</w:t>
      </w:r>
    </w:p>
    <w:p w14:paraId="14EE8011" w14:textId="4E30E03D" w:rsidR="007B0418" w:rsidRPr="00493448" w:rsidRDefault="007B0418"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rPr>
        <w:t>Sharma, P. (2019). "Evaluating the Performance of HDFC Debt Mutual Funds". Journal of Financial Planning, 11(4), 67-80.</w:t>
      </w:r>
    </w:p>
    <w:p w14:paraId="0266ECA2" w14:textId="5697BF84" w:rsidR="00B35D99" w:rsidRPr="00493448" w:rsidRDefault="00B35D99"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rPr>
        <w:t>S</w:t>
      </w:r>
      <w:r w:rsidR="007B0418" w:rsidRPr="00493448">
        <w:rPr>
          <w:color w:val="000000" w:themeColor="text1"/>
          <w:sz w:val="24"/>
          <w:szCs w:val="24"/>
        </w:rPr>
        <w:t>ingh, V., &amp; Jain, K. (2018). "HDFC Mutual Funds: A Comprehensive Performance Analysis". International Journal of Economics and Finance, 6(1), 75-89.</w:t>
      </w:r>
    </w:p>
    <w:p w14:paraId="662EBD3C" w14:textId="134EE125" w:rsidR="007B0418" w:rsidRPr="00493448" w:rsidRDefault="007B0418"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rPr>
        <w:t xml:space="preserve">Roy, S. (2017). "Comparative Analysis of HDFC and ICICI Prudential Mutual </w:t>
      </w:r>
      <w:r w:rsidRPr="00493448">
        <w:rPr>
          <w:color w:val="000000" w:themeColor="text1"/>
          <w:sz w:val="24"/>
          <w:szCs w:val="24"/>
        </w:rPr>
        <w:lastRenderedPageBreak/>
        <w:t>Funds". Investment Management Journal, 12(2), 150-167.</w:t>
      </w:r>
    </w:p>
    <w:p w14:paraId="6FF4967A" w14:textId="6FADC4BC" w:rsidR="007B0418" w:rsidRPr="00493448" w:rsidRDefault="007B0418" w:rsidP="00773035">
      <w:pPr>
        <w:pStyle w:val="ListParagraph"/>
        <w:numPr>
          <w:ilvl w:val="0"/>
          <w:numId w:val="18"/>
        </w:numPr>
        <w:spacing w:line="276" w:lineRule="auto"/>
        <w:ind w:left="567" w:right="567"/>
        <w:jc w:val="both"/>
        <w:rPr>
          <w:color w:val="000000" w:themeColor="text1"/>
          <w:sz w:val="24"/>
          <w:szCs w:val="24"/>
        </w:rPr>
      </w:pPr>
      <w:proofErr w:type="spellStart"/>
      <w:r w:rsidRPr="00493448">
        <w:rPr>
          <w:color w:val="000000" w:themeColor="text1"/>
          <w:sz w:val="24"/>
          <w:szCs w:val="24"/>
        </w:rPr>
        <w:t>Patil</w:t>
      </w:r>
      <w:proofErr w:type="spellEnd"/>
      <w:r w:rsidRPr="00493448">
        <w:rPr>
          <w:color w:val="000000" w:themeColor="text1"/>
          <w:sz w:val="24"/>
          <w:szCs w:val="24"/>
        </w:rPr>
        <w:t>, M. (2016). "A Study on the Returns and Risks of HDFC Balanced Mutual Funds". Journal of Portfolio Management, 9(3), 92-105.</w:t>
      </w:r>
    </w:p>
    <w:p w14:paraId="28156742" w14:textId="4FDF66E4" w:rsidR="00692AB1" w:rsidRPr="00493448" w:rsidRDefault="007B0418" w:rsidP="00773035">
      <w:pPr>
        <w:pStyle w:val="ListParagraph"/>
        <w:numPr>
          <w:ilvl w:val="0"/>
          <w:numId w:val="18"/>
        </w:numPr>
        <w:spacing w:line="276" w:lineRule="auto"/>
        <w:ind w:left="567" w:right="567"/>
        <w:jc w:val="both"/>
        <w:rPr>
          <w:color w:val="000000" w:themeColor="text1"/>
          <w:sz w:val="24"/>
          <w:szCs w:val="24"/>
        </w:rPr>
      </w:pPr>
      <w:r w:rsidRPr="00493448">
        <w:rPr>
          <w:color w:val="000000" w:themeColor="text1"/>
          <w:sz w:val="24"/>
          <w:szCs w:val="24"/>
        </w:rPr>
        <w:t>Reddy, K. (2015). "Impact of Market Volatility on HDFC Mutual Fund Performance". International Journal of Business and Finance Research, 8(4), 188-201.</w:t>
      </w:r>
    </w:p>
    <w:p w14:paraId="58271BB4" w14:textId="77777777" w:rsidR="00692AB1" w:rsidRPr="000B017B" w:rsidRDefault="00692AB1" w:rsidP="00773035">
      <w:pPr>
        <w:widowControl/>
        <w:suppressAutoHyphens/>
        <w:autoSpaceDE/>
        <w:autoSpaceDN/>
        <w:spacing w:line="276" w:lineRule="auto"/>
        <w:ind w:left="567" w:right="567"/>
        <w:jc w:val="both"/>
        <w:rPr>
          <w:b/>
          <w:bCs/>
          <w:color w:val="000000" w:themeColor="text1"/>
          <w:sz w:val="24"/>
          <w:szCs w:val="24"/>
          <w:lang w:eastAsia="ar-SA"/>
        </w:rPr>
      </w:pPr>
    </w:p>
    <w:p w14:paraId="4D01AC58" w14:textId="77777777" w:rsidR="00E970C9" w:rsidRPr="000B017B" w:rsidRDefault="00E970C9" w:rsidP="00773035">
      <w:pPr>
        <w:spacing w:line="276" w:lineRule="auto"/>
        <w:ind w:right="567"/>
        <w:jc w:val="both"/>
        <w:rPr>
          <w:b/>
          <w:color w:val="000000" w:themeColor="text1"/>
          <w:spacing w:val="-2"/>
          <w:sz w:val="24"/>
          <w:szCs w:val="24"/>
        </w:rPr>
      </w:pPr>
    </w:p>
    <w:p w14:paraId="585E81A0" w14:textId="724F3507" w:rsidR="001573D4" w:rsidRPr="000B017B" w:rsidRDefault="001573D4" w:rsidP="00773035">
      <w:pPr>
        <w:spacing w:line="276" w:lineRule="auto"/>
        <w:ind w:right="567"/>
        <w:jc w:val="both"/>
        <w:rPr>
          <w:b/>
          <w:color w:val="000000" w:themeColor="text1"/>
          <w:spacing w:val="-2"/>
          <w:sz w:val="24"/>
          <w:szCs w:val="24"/>
        </w:rPr>
      </w:pPr>
    </w:p>
    <w:p w14:paraId="67975200" w14:textId="77777777" w:rsidR="008F6B60" w:rsidRPr="000B017B" w:rsidRDefault="008F6B60" w:rsidP="00773035">
      <w:pPr>
        <w:spacing w:line="276" w:lineRule="auto"/>
        <w:ind w:right="567"/>
        <w:jc w:val="both"/>
        <w:rPr>
          <w:b/>
          <w:color w:val="000000" w:themeColor="text1"/>
          <w:spacing w:val="-2"/>
          <w:sz w:val="24"/>
          <w:szCs w:val="24"/>
        </w:rPr>
      </w:pPr>
    </w:p>
    <w:sectPr w:rsidR="008F6B60" w:rsidRPr="000B0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F1189"/>
    <w:multiLevelType w:val="multilevel"/>
    <w:tmpl w:val="B630D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D2160"/>
    <w:multiLevelType w:val="multilevel"/>
    <w:tmpl w:val="1AE2B2AE"/>
    <w:lvl w:ilvl="0">
      <w:start w:val="1"/>
      <w:numFmt w:val="bullet"/>
      <w:lvlText w:val=""/>
      <w:lvlJc w:val="left"/>
      <w:pPr>
        <w:tabs>
          <w:tab w:val="num" w:pos="907"/>
        </w:tabs>
        <w:ind w:left="907" w:hanging="360"/>
      </w:pPr>
      <w:rPr>
        <w:rFonts w:ascii="Symbol" w:hAnsi="Symbol" w:hint="default"/>
      </w:rPr>
    </w:lvl>
    <w:lvl w:ilvl="1">
      <w:start w:val="1"/>
      <w:numFmt w:val="bullet"/>
      <w:lvlText w:val="o"/>
      <w:lvlJc w:val="left"/>
      <w:pPr>
        <w:tabs>
          <w:tab w:val="num" w:pos="1627"/>
        </w:tabs>
        <w:ind w:left="1627" w:hanging="360"/>
      </w:pPr>
      <w:rPr>
        <w:rFonts w:ascii="Courier New" w:hAnsi="Courier New" w:cs="Courier New" w:hint="default"/>
      </w:rPr>
    </w:lvl>
    <w:lvl w:ilvl="2">
      <w:start w:val="1"/>
      <w:numFmt w:val="bullet"/>
      <w:lvlText w:val=""/>
      <w:lvlJc w:val="left"/>
      <w:pPr>
        <w:tabs>
          <w:tab w:val="num" w:pos="2347"/>
        </w:tabs>
        <w:ind w:left="2347" w:hanging="360"/>
      </w:pPr>
      <w:rPr>
        <w:rFonts w:ascii="Wingdings" w:hAnsi="Wingdings" w:hint="default"/>
      </w:rPr>
    </w:lvl>
    <w:lvl w:ilvl="3">
      <w:start w:val="1"/>
      <w:numFmt w:val="bullet"/>
      <w:lvlText w:val=""/>
      <w:lvlJc w:val="left"/>
      <w:pPr>
        <w:tabs>
          <w:tab w:val="num" w:pos="3067"/>
        </w:tabs>
        <w:ind w:left="3067" w:hanging="360"/>
      </w:pPr>
      <w:rPr>
        <w:rFonts w:ascii="Symbol" w:hAnsi="Symbol" w:hint="default"/>
      </w:rPr>
    </w:lvl>
    <w:lvl w:ilvl="4">
      <w:start w:val="1"/>
      <w:numFmt w:val="bullet"/>
      <w:lvlText w:val="o"/>
      <w:lvlJc w:val="left"/>
      <w:pPr>
        <w:tabs>
          <w:tab w:val="num" w:pos="3787"/>
        </w:tabs>
        <w:ind w:left="3787" w:hanging="360"/>
      </w:pPr>
      <w:rPr>
        <w:rFonts w:ascii="Courier New" w:hAnsi="Courier New" w:cs="Courier New" w:hint="default"/>
      </w:rPr>
    </w:lvl>
    <w:lvl w:ilvl="5">
      <w:start w:val="1"/>
      <w:numFmt w:val="bullet"/>
      <w:lvlText w:val=""/>
      <w:lvlJc w:val="left"/>
      <w:pPr>
        <w:tabs>
          <w:tab w:val="num" w:pos="4507"/>
        </w:tabs>
        <w:ind w:left="4507" w:hanging="360"/>
      </w:pPr>
      <w:rPr>
        <w:rFonts w:ascii="Wingdings" w:hAnsi="Wingdings" w:hint="default"/>
      </w:rPr>
    </w:lvl>
    <w:lvl w:ilvl="6">
      <w:start w:val="1"/>
      <w:numFmt w:val="bullet"/>
      <w:lvlText w:val=""/>
      <w:lvlJc w:val="left"/>
      <w:pPr>
        <w:tabs>
          <w:tab w:val="num" w:pos="5227"/>
        </w:tabs>
        <w:ind w:left="5227" w:hanging="360"/>
      </w:pPr>
      <w:rPr>
        <w:rFonts w:ascii="Symbol" w:hAnsi="Symbol" w:hint="default"/>
      </w:rPr>
    </w:lvl>
    <w:lvl w:ilvl="7">
      <w:start w:val="1"/>
      <w:numFmt w:val="bullet"/>
      <w:lvlText w:val="o"/>
      <w:lvlJc w:val="left"/>
      <w:pPr>
        <w:tabs>
          <w:tab w:val="num" w:pos="5947"/>
        </w:tabs>
        <w:ind w:left="5947" w:hanging="360"/>
      </w:pPr>
      <w:rPr>
        <w:rFonts w:ascii="Courier New" w:hAnsi="Courier New" w:cs="Courier New" w:hint="default"/>
      </w:rPr>
    </w:lvl>
    <w:lvl w:ilvl="8">
      <w:start w:val="1"/>
      <w:numFmt w:val="bullet"/>
      <w:lvlText w:val=""/>
      <w:lvlJc w:val="left"/>
      <w:pPr>
        <w:tabs>
          <w:tab w:val="num" w:pos="6667"/>
        </w:tabs>
        <w:ind w:left="6667" w:hanging="360"/>
      </w:pPr>
      <w:rPr>
        <w:rFonts w:ascii="Wingdings" w:hAnsi="Wingdings" w:hint="default"/>
      </w:rPr>
    </w:lvl>
  </w:abstractNum>
  <w:abstractNum w:abstractNumId="2">
    <w:nsid w:val="05DC7831"/>
    <w:multiLevelType w:val="multilevel"/>
    <w:tmpl w:val="601466E8"/>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nsid w:val="0B114AE2"/>
    <w:multiLevelType w:val="hybridMultilevel"/>
    <w:tmpl w:val="2BFA66D2"/>
    <w:lvl w:ilvl="0" w:tplc="215E7862">
      <w:start w:val="1"/>
      <w:numFmt w:val="decimal"/>
      <w:lvlText w:val="%1."/>
      <w:lvlJc w:val="left"/>
      <w:pPr>
        <w:ind w:left="15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F407166">
      <w:start w:val="1"/>
      <w:numFmt w:val="lowerLetter"/>
      <w:lvlText w:val="%2)"/>
      <w:lvlJc w:val="left"/>
      <w:pPr>
        <w:ind w:left="1913" w:hanging="308"/>
      </w:pPr>
      <w:rPr>
        <w:rFonts w:ascii="Times New Roman" w:eastAsia="Times New Roman" w:hAnsi="Times New Roman" w:cs="Times New Roman" w:hint="default"/>
        <w:b w:val="0"/>
        <w:bCs w:val="0"/>
        <w:i w:val="0"/>
        <w:iCs w:val="0"/>
        <w:spacing w:val="-1"/>
        <w:w w:val="100"/>
        <w:sz w:val="24"/>
        <w:szCs w:val="24"/>
        <w:lang w:val="en-US" w:eastAsia="en-US" w:bidi="ar-SA"/>
      </w:rPr>
    </w:lvl>
    <w:lvl w:ilvl="2" w:tplc="CFB6142C">
      <w:start w:val="1"/>
      <w:numFmt w:val="lowerLetter"/>
      <w:lvlText w:val="%3)"/>
      <w:lvlJc w:val="left"/>
      <w:pPr>
        <w:ind w:left="2482" w:hanging="300"/>
      </w:pPr>
      <w:rPr>
        <w:rFonts w:ascii="Times New Roman" w:eastAsia="Times New Roman" w:hAnsi="Times New Roman" w:cs="Times New Roman" w:hint="default"/>
        <w:b w:val="0"/>
        <w:bCs w:val="0"/>
        <w:i w:val="0"/>
        <w:iCs w:val="0"/>
        <w:spacing w:val="-1"/>
        <w:w w:val="100"/>
        <w:sz w:val="24"/>
        <w:szCs w:val="24"/>
        <w:lang w:val="en-US" w:eastAsia="en-US" w:bidi="ar-SA"/>
      </w:rPr>
    </w:lvl>
    <w:lvl w:ilvl="3" w:tplc="1E6423E8">
      <w:numFmt w:val="bullet"/>
      <w:lvlText w:val="•"/>
      <w:lvlJc w:val="left"/>
      <w:pPr>
        <w:ind w:left="3485" w:hanging="300"/>
      </w:pPr>
      <w:rPr>
        <w:rFonts w:hint="default"/>
        <w:lang w:val="en-US" w:eastAsia="en-US" w:bidi="ar-SA"/>
      </w:rPr>
    </w:lvl>
    <w:lvl w:ilvl="4" w:tplc="BDCE41FC">
      <w:numFmt w:val="bullet"/>
      <w:lvlText w:val="•"/>
      <w:lvlJc w:val="left"/>
      <w:pPr>
        <w:ind w:left="4491" w:hanging="300"/>
      </w:pPr>
      <w:rPr>
        <w:rFonts w:hint="default"/>
        <w:lang w:val="en-US" w:eastAsia="en-US" w:bidi="ar-SA"/>
      </w:rPr>
    </w:lvl>
    <w:lvl w:ilvl="5" w:tplc="AE6A95FA">
      <w:numFmt w:val="bullet"/>
      <w:lvlText w:val="•"/>
      <w:lvlJc w:val="left"/>
      <w:pPr>
        <w:ind w:left="5497" w:hanging="300"/>
      </w:pPr>
      <w:rPr>
        <w:rFonts w:hint="default"/>
        <w:lang w:val="en-US" w:eastAsia="en-US" w:bidi="ar-SA"/>
      </w:rPr>
    </w:lvl>
    <w:lvl w:ilvl="6" w:tplc="3016306A">
      <w:numFmt w:val="bullet"/>
      <w:lvlText w:val="•"/>
      <w:lvlJc w:val="left"/>
      <w:pPr>
        <w:ind w:left="6503" w:hanging="300"/>
      </w:pPr>
      <w:rPr>
        <w:rFonts w:hint="default"/>
        <w:lang w:val="en-US" w:eastAsia="en-US" w:bidi="ar-SA"/>
      </w:rPr>
    </w:lvl>
    <w:lvl w:ilvl="7" w:tplc="B514675A">
      <w:numFmt w:val="bullet"/>
      <w:lvlText w:val="•"/>
      <w:lvlJc w:val="left"/>
      <w:pPr>
        <w:ind w:left="7509" w:hanging="300"/>
      </w:pPr>
      <w:rPr>
        <w:rFonts w:hint="default"/>
        <w:lang w:val="en-US" w:eastAsia="en-US" w:bidi="ar-SA"/>
      </w:rPr>
    </w:lvl>
    <w:lvl w:ilvl="8" w:tplc="6720929E">
      <w:numFmt w:val="bullet"/>
      <w:lvlText w:val="•"/>
      <w:lvlJc w:val="left"/>
      <w:pPr>
        <w:ind w:left="8514" w:hanging="300"/>
      </w:pPr>
      <w:rPr>
        <w:rFonts w:hint="default"/>
        <w:lang w:val="en-US" w:eastAsia="en-US" w:bidi="ar-SA"/>
      </w:rPr>
    </w:lvl>
  </w:abstractNum>
  <w:abstractNum w:abstractNumId="4">
    <w:nsid w:val="168C3D4B"/>
    <w:multiLevelType w:val="hybridMultilevel"/>
    <w:tmpl w:val="5ECAC57E"/>
    <w:lvl w:ilvl="0" w:tplc="223E0C20">
      <w:start w:val="1"/>
      <w:numFmt w:val="decimal"/>
      <w:lvlText w:val="%1."/>
      <w:lvlJc w:val="left"/>
      <w:pPr>
        <w:ind w:left="1325" w:hanging="689"/>
      </w:pPr>
      <w:rPr>
        <w:rFonts w:ascii="Times New Roman" w:eastAsia="Times New Roman" w:hAnsi="Times New Roman" w:cs="Times New Roman" w:hint="default"/>
        <w:b w:val="0"/>
        <w:bCs w:val="0"/>
        <w:i w:val="0"/>
        <w:iCs w:val="0"/>
        <w:spacing w:val="0"/>
        <w:w w:val="100"/>
        <w:sz w:val="24"/>
        <w:szCs w:val="24"/>
        <w:lang w:val="en-US" w:eastAsia="en-US" w:bidi="ar-SA"/>
      </w:rPr>
    </w:lvl>
    <w:lvl w:ilvl="1" w:tplc="6A280754">
      <w:numFmt w:val="bullet"/>
      <w:lvlText w:val="•"/>
      <w:lvlJc w:val="left"/>
      <w:pPr>
        <w:ind w:left="2240" w:hanging="689"/>
      </w:pPr>
      <w:rPr>
        <w:rFonts w:hint="default"/>
        <w:lang w:val="en-US" w:eastAsia="en-US" w:bidi="ar-SA"/>
      </w:rPr>
    </w:lvl>
    <w:lvl w:ilvl="2" w:tplc="7D20D166">
      <w:numFmt w:val="bullet"/>
      <w:lvlText w:val="•"/>
      <w:lvlJc w:val="left"/>
      <w:pPr>
        <w:ind w:left="3161" w:hanging="689"/>
      </w:pPr>
      <w:rPr>
        <w:rFonts w:hint="default"/>
        <w:lang w:val="en-US" w:eastAsia="en-US" w:bidi="ar-SA"/>
      </w:rPr>
    </w:lvl>
    <w:lvl w:ilvl="3" w:tplc="CFDA84A8">
      <w:numFmt w:val="bullet"/>
      <w:lvlText w:val="•"/>
      <w:lvlJc w:val="left"/>
      <w:pPr>
        <w:ind w:left="4081" w:hanging="689"/>
      </w:pPr>
      <w:rPr>
        <w:rFonts w:hint="default"/>
        <w:lang w:val="en-US" w:eastAsia="en-US" w:bidi="ar-SA"/>
      </w:rPr>
    </w:lvl>
    <w:lvl w:ilvl="4" w:tplc="9CDE58F4">
      <w:numFmt w:val="bullet"/>
      <w:lvlText w:val="•"/>
      <w:lvlJc w:val="left"/>
      <w:pPr>
        <w:ind w:left="5002" w:hanging="689"/>
      </w:pPr>
      <w:rPr>
        <w:rFonts w:hint="default"/>
        <w:lang w:val="en-US" w:eastAsia="en-US" w:bidi="ar-SA"/>
      </w:rPr>
    </w:lvl>
    <w:lvl w:ilvl="5" w:tplc="1E948A00">
      <w:numFmt w:val="bullet"/>
      <w:lvlText w:val="•"/>
      <w:lvlJc w:val="left"/>
      <w:pPr>
        <w:ind w:left="5923" w:hanging="689"/>
      </w:pPr>
      <w:rPr>
        <w:rFonts w:hint="default"/>
        <w:lang w:val="en-US" w:eastAsia="en-US" w:bidi="ar-SA"/>
      </w:rPr>
    </w:lvl>
    <w:lvl w:ilvl="6" w:tplc="AF3646F4">
      <w:numFmt w:val="bullet"/>
      <w:lvlText w:val="•"/>
      <w:lvlJc w:val="left"/>
      <w:pPr>
        <w:ind w:left="6843" w:hanging="689"/>
      </w:pPr>
      <w:rPr>
        <w:rFonts w:hint="default"/>
        <w:lang w:val="en-US" w:eastAsia="en-US" w:bidi="ar-SA"/>
      </w:rPr>
    </w:lvl>
    <w:lvl w:ilvl="7" w:tplc="7ECA76FC">
      <w:numFmt w:val="bullet"/>
      <w:lvlText w:val="•"/>
      <w:lvlJc w:val="left"/>
      <w:pPr>
        <w:ind w:left="7764" w:hanging="689"/>
      </w:pPr>
      <w:rPr>
        <w:rFonts w:hint="default"/>
        <w:lang w:val="en-US" w:eastAsia="en-US" w:bidi="ar-SA"/>
      </w:rPr>
    </w:lvl>
    <w:lvl w:ilvl="8" w:tplc="0B7C004C">
      <w:numFmt w:val="bullet"/>
      <w:lvlText w:val="•"/>
      <w:lvlJc w:val="left"/>
      <w:pPr>
        <w:ind w:left="8685" w:hanging="689"/>
      </w:pPr>
      <w:rPr>
        <w:rFonts w:hint="default"/>
        <w:lang w:val="en-US" w:eastAsia="en-US" w:bidi="ar-SA"/>
      </w:rPr>
    </w:lvl>
  </w:abstractNum>
  <w:abstractNum w:abstractNumId="5">
    <w:nsid w:val="296E2981"/>
    <w:multiLevelType w:val="multilevel"/>
    <w:tmpl w:val="F4C24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466B10"/>
    <w:multiLevelType w:val="hybridMultilevel"/>
    <w:tmpl w:val="10303CEA"/>
    <w:lvl w:ilvl="0" w:tplc="0F5C9376">
      <w:start w:val="1"/>
      <w:numFmt w:val="decimal"/>
      <w:lvlText w:val="%1."/>
      <w:lvlJc w:val="left"/>
      <w:pPr>
        <w:ind w:left="7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8E4BFD"/>
    <w:multiLevelType w:val="hybridMultilevel"/>
    <w:tmpl w:val="B5F02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2E9411B"/>
    <w:multiLevelType w:val="hybridMultilevel"/>
    <w:tmpl w:val="B00A0AF8"/>
    <w:lvl w:ilvl="0" w:tplc="4CE42BBE">
      <w:start w:val="1"/>
      <w:numFmt w:val="decimal"/>
      <w:lvlText w:val="%1."/>
      <w:lvlJc w:val="left"/>
      <w:pPr>
        <w:ind w:left="2220" w:hanging="588"/>
      </w:pPr>
      <w:rPr>
        <w:rFonts w:ascii="Times New Roman" w:eastAsia="Times New Roman" w:hAnsi="Times New Roman" w:cs="Times New Roman" w:hint="default"/>
        <w:b w:val="0"/>
        <w:bCs w:val="0"/>
        <w:i w:val="0"/>
        <w:iCs w:val="0"/>
        <w:spacing w:val="0"/>
        <w:w w:val="100"/>
        <w:sz w:val="24"/>
        <w:szCs w:val="24"/>
        <w:lang w:val="en-US" w:eastAsia="en-US" w:bidi="ar-SA"/>
      </w:rPr>
    </w:lvl>
    <w:lvl w:ilvl="1" w:tplc="79BCBE6A">
      <w:numFmt w:val="bullet"/>
      <w:lvlText w:val="•"/>
      <w:lvlJc w:val="left"/>
      <w:pPr>
        <w:ind w:left="3050" w:hanging="588"/>
      </w:pPr>
      <w:rPr>
        <w:rFonts w:hint="default"/>
        <w:lang w:val="en-US" w:eastAsia="en-US" w:bidi="ar-SA"/>
      </w:rPr>
    </w:lvl>
    <w:lvl w:ilvl="2" w:tplc="5B2E6EEE">
      <w:numFmt w:val="bullet"/>
      <w:lvlText w:val="•"/>
      <w:lvlJc w:val="left"/>
      <w:pPr>
        <w:ind w:left="3881" w:hanging="588"/>
      </w:pPr>
      <w:rPr>
        <w:rFonts w:hint="default"/>
        <w:lang w:val="en-US" w:eastAsia="en-US" w:bidi="ar-SA"/>
      </w:rPr>
    </w:lvl>
    <w:lvl w:ilvl="3" w:tplc="30082CFA">
      <w:numFmt w:val="bullet"/>
      <w:lvlText w:val="•"/>
      <w:lvlJc w:val="left"/>
      <w:pPr>
        <w:ind w:left="4711" w:hanging="588"/>
      </w:pPr>
      <w:rPr>
        <w:rFonts w:hint="default"/>
        <w:lang w:val="en-US" w:eastAsia="en-US" w:bidi="ar-SA"/>
      </w:rPr>
    </w:lvl>
    <w:lvl w:ilvl="4" w:tplc="FF424702">
      <w:numFmt w:val="bullet"/>
      <w:lvlText w:val="•"/>
      <w:lvlJc w:val="left"/>
      <w:pPr>
        <w:ind w:left="5542" w:hanging="588"/>
      </w:pPr>
      <w:rPr>
        <w:rFonts w:hint="default"/>
        <w:lang w:val="en-US" w:eastAsia="en-US" w:bidi="ar-SA"/>
      </w:rPr>
    </w:lvl>
    <w:lvl w:ilvl="5" w:tplc="8A1CBEC6">
      <w:numFmt w:val="bullet"/>
      <w:lvlText w:val="•"/>
      <w:lvlJc w:val="left"/>
      <w:pPr>
        <w:ind w:left="6373" w:hanging="588"/>
      </w:pPr>
      <w:rPr>
        <w:rFonts w:hint="default"/>
        <w:lang w:val="en-US" w:eastAsia="en-US" w:bidi="ar-SA"/>
      </w:rPr>
    </w:lvl>
    <w:lvl w:ilvl="6" w:tplc="66C28C2A">
      <w:numFmt w:val="bullet"/>
      <w:lvlText w:val="•"/>
      <w:lvlJc w:val="left"/>
      <w:pPr>
        <w:ind w:left="7203" w:hanging="588"/>
      </w:pPr>
      <w:rPr>
        <w:rFonts w:hint="default"/>
        <w:lang w:val="en-US" w:eastAsia="en-US" w:bidi="ar-SA"/>
      </w:rPr>
    </w:lvl>
    <w:lvl w:ilvl="7" w:tplc="99C22C62">
      <w:numFmt w:val="bullet"/>
      <w:lvlText w:val="•"/>
      <w:lvlJc w:val="left"/>
      <w:pPr>
        <w:ind w:left="8034" w:hanging="588"/>
      </w:pPr>
      <w:rPr>
        <w:rFonts w:hint="default"/>
        <w:lang w:val="en-US" w:eastAsia="en-US" w:bidi="ar-SA"/>
      </w:rPr>
    </w:lvl>
    <w:lvl w:ilvl="8" w:tplc="1520C67E">
      <w:numFmt w:val="bullet"/>
      <w:lvlText w:val="•"/>
      <w:lvlJc w:val="left"/>
      <w:pPr>
        <w:ind w:left="8865" w:hanging="588"/>
      </w:pPr>
      <w:rPr>
        <w:rFonts w:hint="default"/>
        <w:lang w:val="en-US" w:eastAsia="en-US" w:bidi="ar-SA"/>
      </w:rPr>
    </w:lvl>
  </w:abstractNum>
  <w:abstractNum w:abstractNumId="9">
    <w:nsid w:val="3330041C"/>
    <w:multiLevelType w:val="multilevel"/>
    <w:tmpl w:val="9CE48428"/>
    <w:lvl w:ilvl="0">
      <w:start w:val="3"/>
      <w:numFmt w:val="decimal"/>
      <w:lvlText w:val="%1"/>
      <w:lvlJc w:val="left"/>
      <w:pPr>
        <w:ind w:left="360" w:hanging="360"/>
      </w:pPr>
      <w:rPr>
        <w:rFonts w:hint="default"/>
      </w:rPr>
    </w:lvl>
    <w:lvl w:ilvl="1">
      <w:start w:val="4"/>
      <w:numFmt w:val="decimal"/>
      <w:lvlText w:val="%1.%2"/>
      <w:lvlJc w:val="left"/>
      <w:pPr>
        <w:ind w:left="502"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nsid w:val="3B1C60F8"/>
    <w:multiLevelType w:val="multilevel"/>
    <w:tmpl w:val="925C3DE0"/>
    <w:lvl w:ilvl="0">
      <w:start w:val="1"/>
      <w:numFmt w:val="decimal"/>
      <w:lvlText w:val="%1"/>
      <w:lvlJc w:val="left"/>
      <w:pPr>
        <w:ind w:left="2052" w:hanging="420"/>
      </w:pPr>
      <w:rPr>
        <w:rFonts w:hint="default"/>
        <w:lang w:val="en-US" w:eastAsia="en-US" w:bidi="ar-SA"/>
      </w:rPr>
    </w:lvl>
    <w:lvl w:ilvl="1">
      <w:start w:val="1"/>
      <w:numFmt w:val="decimal"/>
      <w:lvlText w:val="%1.%2"/>
      <w:lvlJc w:val="left"/>
      <w:pPr>
        <w:ind w:left="2052" w:hanging="420"/>
        <w:jc w:val="right"/>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352" w:hanging="329"/>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4174" w:hanging="329"/>
      </w:pPr>
      <w:rPr>
        <w:rFonts w:hint="default"/>
        <w:lang w:val="en-US" w:eastAsia="en-US" w:bidi="ar-SA"/>
      </w:rPr>
    </w:lvl>
    <w:lvl w:ilvl="4">
      <w:numFmt w:val="bullet"/>
      <w:lvlText w:val="•"/>
      <w:lvlJc w:val="left"/>
      <w:pPr>
        <w:ind w:left="5082" w:hanging="329"/>
      </w:pPr>
      <w:rPr>
        <w:rFonts w:hint="default"/>
        <w:lang w:val="en-US" w:eastAsia="en-US" w:bidi="ar-SA"/>
      </w:rPr>
    </w:lvl>
    <w:lvl w:ilvl="5">
      <w:numFmt w:val="bullet"/>
      <w:lvlText w:val="•"/>
      <w:lvlJc w:val="left"/>
      <w:pPr>
        <w:ind w:left="5989" w:hanging="329"/>
      </w:pPr>
      <w:rPr>
        <w:rFonts w:hint="default"/>
        <w:lang w:val="en-US" w:eastAsia="en-US" w:bidi="ar-SA"/>
      </w:rPr>
    </w:lvl>
    <w:lvl w:ilvl="6">
      <w:numFmt w:val="bullet"/>
      <w:lvlText w:val="•"/>
      <w:lvlJc w:val="left"/>
      <w:pPr>
        <w:ind w:left="6896" w:hanging="329"/>
      </w:pPr>
      <w:rPr>
        <w:rFonts w:hint="default"/>
        <w:lang w:val="en-US" w:eastAsia="en-US" w:bidi="ar-SA"/>
      </w:rPr>
    </w:lvl>
    <w:lvl w:ilvl="7">
      <w:numFmt w:val="bullet"/>
      <w:lvlText w:val="•"/>
      <w:lvlJc w:val="left"/>
      <w:pPr>
        <w:ind w:left="7804" w:hanging="329"/>
      </w:pPr>
      <w:rPr>
        <w:rFonts w:hint="default"/>
        <w:lang w:val="en-US" w:eastAsia="en-US" w:bidi="ar-SA"/>
      </w:rPr>
    </w:lvl>
    <w:lvl w:ilvl="8">
      <w:numFmt w:val="bullet"/>
      <w:lvlText w:val="•"/>
      <w:lvlJc w:val="left"/>
      <w:pPr>
        <w:ind w:left="8711" w:hanging="329"/>
      </w:pPr>
      <w:rPr>
        <w:rFonts w:hint="default"/>
        <w:lang w:val="en-US" w:eastAsia="en-US" w:bidi="ar-SA"/>
      </w:rPr>
    </w:lvl>
  </w:abstractNum>
  <w:abstractNum w:abstractNumId="11">
    <w:nsid w:val="3C647C06"/>
    <w:multiLevelType w:val="multilevel"/>
    <w:tmpl w:val="5AA8789E"/>
    <w:lvl w:ilvl="0">
      <w:start w:val="1"/>
      <w:numFmt w:val="decimal"/>
      <w:lvlText w:val="%1"/>
      <w:lvlJc w:val="left"/>
      <w:pPr>
        <w:ind w:left="2052" w:hanging="420"/>
      </w:pPr>
      <w:rPr>
        <w:rFonts w:hint="default"/>
        <w:lang w:val="en-US" w:eastAsia="en-US" w:bidi="ar-SA"/>
      </w:rPr>
    </w:lvl>
    <w:lvl w:ilvl="1">
      <w:start w:val="1"/>
      <w:numFmt w:val="decimal"/>
      <w:lvlText w:val="%1.%2"/>
      <w:lvlJc w:val="left"/>
      <w:pPr>
        <w:ind w:left="2052" w:hanging="420"/>
        <w:jc w:val="right"/>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bullet"/>
      <w:lvlText w:val=""/>
      <w:lvlJc w:val="left"/>
      <w:pPr>
        <w:ind w:left="2383" w:hanging="360"/>
      </w:pPr>
      <w:rPr>
        <w:rFonts w:ascii="Wingdings" w:hAnsi="Wingdings" w:hint="default"/>
      </w:rPr>
    </w:lvl>
    <w:lvl w:ilvl="3">
      <w:numFmt w:val="bullet"/>
      <w:lvlText w:val="•"/>
      <w:lvlJc w:val="left"/>
      <w:pPr>
        <w:ind w:left="4174" w:hanging="329"/>
      </w:pPr>
      <w:rPr>
        <w:rFonts w:hint="default"/>
        <w:lang w:val="en-US" w:eastAsia="en-US" w:bidi="ar-SA"/>
      </w:rPr>
    </w:lvl>
    <w:lvl w:ilvl="4">
      <w:numFmt w:val="bullet"/>
      <w:lvlText w:val="•"/>
      <w:lvlJc w:val="left"/>
      <w:pPr>
        <w:ind w:left="5082" w:hanging="329"/>
      </w:pPr>
      <w:rPr>
        <w:rFonts w:hint="default"/>
        <w:lang w:val="en-US" w:eastAsia="en-US" w:bidi="ar-SA"/>
      </w:rPr>
    </w:lvl>
    <w:lvl w:ilvl="5">
      <w:numFmt w:val="bullet"/>
      <w:lvlText w:val="•"/>
      <w:lvlJc w:val="left"/>
      <w:pPr>
        <w:ind w:left="5989" w:hanging="329"/>
      </w:pPr>
      <w:rPr>
        <w:rFonts w:hint="default"/>
        <w:lang w:val="en-US" w:eastAsia="en-US" w:bidi="ar-SA"/>
      </w:rPr>
    </w:lvl>
    <w:lvl w:ilvl="6">
      <w:numFmt w:val="bullet"/>
      <w:lvlText w:val="•"/>
      <w:lvlJc w:val="left"/>
      <w:pPr>
        <w:ind w:left="6896" w:hanging="329"/>
      </w:pPr>
      <w:rPr>
        <w:rFonts w:hint="default"/>
        <w:lang w:val="en-US" w:eastAsia="en-US" w:bidi="ar-SA"/>
      </w:rPr>
    </w:lvl>
    <w:lvl w:ilvl="7">
      <w:numFmt w:val="bullet"/>
      <w:lvlText w:val="•"/>
      <w:lvlJc w:val="left"/>
      <w:pPr>
        <w:ind w:left="7804" w:hanging="329"/>
      </w:pPr>
      <w:rPr>
        <w:rFonts w:hint="default"/>
        <w:lang w:val="en-US" w:eastAsia="en-US" w:bidi="ar-SA"/>
      </w:rPr>
    </w:lvl>
    <w:lvl w:ilvl="8">
      <w:numFmt w:val="bullet"/>
      <w:lvlText w:val="•"/>
      <w:lvlJc w:val="left"/>
      <w:pPr>
        <w:ind w:left="8711" w:hanging="329"/>
      </w:pPr>
      <w:rPr>
        <w:rFonts w:hint="default"/>
        <w:lang w:val="en-US" w:eastAsia="en-US" w:bidi="ar-SA"/>
      </w:rPr>
    </w:lvl>
  </w:abstractNum>
  <w:abstractNum w:abstractNumId="12">
    <w:nsid w:val="3EA92241"/>
    <w:multiLevelType w:val="hybridMultilevel"/>
    <w:tmpl w:val="A36CF040"/>
    <w:lvl w:ilvl="0" w:tplc="5E58D05C">
      <w:start w:val="1"/>
      <w:numFmt w:val="decimal"/>
      <w:lvlText w:val="%1."/>
      <w:lvlJc w:val="left"/>
      <w:pPr>
        <w:ind w:left="2352" w:hanging="360"/>
      </w:pPr>
      <w:rPr>
        <w:rFonts w:ascii="Times New Roman" w:eastAsia="Times New Roman" w:hAnsi="Times New Roman" w:cs="Times New Roman" w:hint="default"/>
        <w:b/>
        <w:bCs/>
        <w:i w:val="0"/>
        <w:iCs w:val="0"/>
        <w:spacing w:val="0"/>
        <w:w w:val="100"/>
        <w:sz w:val="22"/>
        <w:szCs w:val="22"/>
        <w:lang w:val="en-US" w:eastAsia="en-US" w:bidi="ar-SA"/>
      </w:rPr>
    </w:lvl>
    <w:lvl w:ilvl="1" w:tplc="F6B4F654">
      <w:numFmt w:val="bullet"/>
      <w:lvlText w:val=""/>
      <w:lvlJc w:val="left"/>
      <w:pPr>
        <w:ind w:left="2352" w:hanging="360"/>
      </w:pPr>
      <w:rPr>
        <w:rFonts w:ascii="Wingdings" w:eastAsia="Wingdings" w:hAnsi="Wingdings" w:cs="Wingdings" w:hint="default"/>
        <w:b w:val="0"/>
        <w:bCs w:val="0"/>
        <w:i w:val="0"/>
        <w:iCs w:val="0"/>
        <w:spacing w:val="0"/>
        <w:w w:val="100"/>
        <w:sz w:val="24"/>
        <w:szCs w:val="24"/>
        <w:lang w:val="en-US" w:eastAsia="en-US" w:bidi="ar-SA"/>
      </w:rPr>
    </w:lvl>
    <w:lvl w:ilvl="2" w:tplc="A9E8C85E">
      <w:numFmt w:val="bullet"/>
      <w:lvlText w:val="•"/>
      <w:lvlJc w:val="left"/>
      <w:pPr>
        <w:ind w:left="3993" w:hanging="360"/>
      </w:pPr>
      <w:rPr>
        <w:rFonts w:hint="default"/>
        <w:lang w:val="en-US" w:eastAsia="en-US" w:bidi="ar-SA"/>
      </w:rPr>
    </w:lvl>
    <w:lvl w:ilvl="3" w:tplc="3634E82E">
      <w:numFmt w:val="bullet"/>
      <w:lvlText w:val="•"/>
      <w:lvlJc w:val="left"/>
      <w:pPr>
        <w:ind w:left="4809" w:hanging="360"/>
      </w:pPr>
      <w:rPr>
        <w:rFonts w:hint="default"/>
        <w:lang w:val="en-US" w:eastAsia="en-US" w:bidi="ar-SA"/>
      </w:rPr>
    </w:lvl>
    <w:lvl w:ilvl="4" w:tplc="D50836E4">
      <w:numFmt w:val="bullet"/>
      <w:lvlText w:val="•"/>
      <w:lvlJc w:val="left"/>
      <w:pPr>
        <w:ind w:left="5626" w:hanging="360"/>
      </w:pPr>
      <w:rPr>
        <w:rFonts w:hint="default"/>
        <w:lang w:val="en-US" w:eastAsia="en-US" w:bidi="ar-SA"/>
      </w:rPr>
    </w:lvl>
    <w:lvl w:ilvl="5" w:tplc="111CA8FE">
      <w:numFmt w:val="bullet"/>
      <w:lvlText w:val="•"/>
      <w:lvlJc w:val="left"/>
      <w:pPr>
        <w:ind w:left="6443" w:hanging="360"/>
      </w:pPr>
      <w:rPr>
        <w:rFonts w:hint="default"/>
        <w:lang w:val="en-US" w:eastAsia="en-US" w:bidi="ar-SA"/>
      </w:rPr>
    </w:lvl>
    <w:lvl w:ilvl="6" w:tplc="CD3047F2">
      <w:numFmt w:val="bullet"/>
      <w:lvlText w:val="•"/>
      <w:lvlJc w:val="left"/>
      <w:pPr>
        <w:ind w:left="7259" w:hanging="360"/>
      </w:pPr>
      <w:rPr>
        <w:rFonts w:hint="default"/>
        <w:lang w:val="en-US" w:eastAsia="en-US" w:bidi="ar-SA"/>
      </w:rPr>
    </w:lvl>
    <w:lvl w:ilvl="7" w:tplc="6FA4735C">
      <w:numFmt w:val="bullet"/>
      <w:lvlText w:val="•"/>
      <w:lvlJc w:val="left"/>
      <w:pPr>
        <w:ind w:left="8076" w:hanging="360"/>
      </w:pPr>
      <w:rPr>
        <w:rFonts w:hint="default"/>
        <w:lang w:val="en-US" w:eastAsia="en-US" w:bidi="ar-SA"/>
      </w:rPr>
    </w:lvl>
    <w:lvl w:ilvl="8" w:tplc="13D06BA8">
      <w:numFmt w:val="bullet"/>
      <w:lvlText w:val="•"/>
      <w:lvlJc w:val="left"/>
      <w:pPr>
        <w:ind w:left="8893" w:hanging="360"/>
      </w:pPr>
      <w:rPr>
        <w:rFonts w:hint="default"/>
        <w:lang w:val="en-US" w:eastAsia="en-US" w:bidi="ar-SA"/>
      </w:rPr>
    </w:lvl>
  </w:abstractNum>
  <w:abstractNum w:abstractNumId="13">
    <w:nsid w:val="482F7A7F"/>
    <w:multiLevelType w:val="hybridMultilevel"/>
    <w:tmpl w:val="77DC941E"/>
    <w:lvl w:ilvl="0" w:tplc="A866F8FC">
      <w:start w:val="1"/>
      <w:numFmt w:val="upperLetter"/>
      <w:lvlText w:val="%1."/>
      <w:lvlJc w:val="left"/>
      <w:pPr>
        <w:ind w:left="927" w:hanging="360"/>
      </w:pPr>
      <w:rPr>
        <w:rFonts w:eastAsia="Times New Roman" w:hint="default"/>
        <w:b/>
        <w:i/>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
    <w:nsid w:val="5F83765C"/>
    <w:multiLevelType w:val="hybridMultilevel"/>
    <w:tmpl w:val="EDDA53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41985"/>
    <w:multiLevelType w:val="hybridMultilevel"/>
    <w:tmpl w:val="8F32DE8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6">
    <w:nsid w:val="6D1E5E58"/>
    <w:multiLevelType w:val="hybridMultilevel"/>
    <w:tmpl w:val="99887630"/>
    <w:lvl w:ilvl="0" w:tplc="8B6AD54A">
      <w:start w:val="1"/>
      <w:numFmt w:val="decimal"/>
      <w:lvlText w:val="%1."/>
      <w:lvlJc w:val="left"/>
      <w:pPr>
        <w:ind w:left="720" w:hanging="360"/>
      </w:pPr>
      <w:rPr>
        <w:rFonts w:hint="default"/>
        <w:b w:val="0"/>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74CE4759"/>
    <w:multiLevelType w:val="hybridMultilevel"/>
    <w:tmpl w:val="30D6EEF4"/>
    <w:lvl w:ilvl="0" w:tplc="9CEA2956">
      <w:start w:val="1"/>
      <w:numFmt w:val="decimal"/>
      <w:lvlText w:val="%1."/>
      <w:lvlJc w:val="left"/>
      <w:pPr>
        <w:ind w:left="720" w:hanging="360"/>
      </w:pPr>
      <w:rPr>
        <w:rFonts w:ascii="Times New Roman" w:eastAsia="Times New Roman" w:hAnsi="Times New Roman" w:cs="Times New Roman" w:hint="default"/>
        <w:b/>
        <w:i/>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E9E4CDB"/>
    <w:multiLevelType w:val="multilevel"/>
    <w:tmpl w:val="472A9A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8"/>
  </w:num>
  <w:num w:numId="4">
    <w:abstractNumId w:val="12"/>
  </w:num>
  <w:num w:numId="5">
    <w:abstractNumId w:val="9"/>
  </w:num>
  <w:num w:numId="6">
    <w:abstractNumId w:val="18"/>
  </w:num>
  <w:num w:numId="7">
    <w:abstractNumId w:val="18"/>
  </w:num>
  <w:num w:numId="8">
    <w:abstractNumId w:val="1"/>
  </w:num>
  <w:num w:numId="9">
    <w:abstractNumId w:val="1"/>
  </w:num>
  <w:num w:numId="10">
    <w:abstractNumId w:val="2"/>
  </w:num>
  <w:num w:numId="11">
    <w:abstractNumId w:val="2"/>
  </w:num>
  <w:num w:numId="12">
    <w:abstractNumId w:val="11"/>
  </w:num>
  <w:num w:numId="13">
    <w:abstractNumId w:val="7"/>
  </w:num>
  <w:num w:numId="14">
    <w:abstractNumId w:val="14"/>
  </w:num>
  <w:num w:numId="15">
    <w:abstractNumId w:val="4"/>
  </w:num>
  <w:num w:numId="16">
    <w:abstractNumId w:val="13"/>
  </w:num>
  <w:num w:numId="17">
    <w:abstractNumId w:val="17"/>
  </w:num>
  <w:num w:numId="18">
    <w:abstractNumId w:val="16"/>
  </w:num>
  <w:num w:numId="19">
    <w:abstractNumId w:val="6"/>
  </w:num>
  <w:num w:numId="20">
    <w:abstractNumId w:val="0"/>
  </w:num>
  <w:num w:numId="21">
    <w:abstractNumId w:val="15"/>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FFC"/>
    <w:rsid w:val="00000023"/>
    <w:rsid w:val="00086879"/>
    <w:rsid w:val="000B017B"/>
    <w:rsid w:val="000D1BB7"/>
    <w:rsid w:val="0010282D"/>
    <w:rsid w:val="00125496"/>
    <w:rsid w:val="00133744"/>
    <w:rsid w:val="0013604F"/>
    <w:rsid w:val="001573D4"/>
    <w:rsid w:val="00182596"/>
    <w:rsid w:val="001A6305"/>
    <w:rsid w:val="00213403"/>
    <w:rsid w:val="00230C9A"/>
    <w:rsid w:val="002503C7"/>
    <w:rsid w:val="00272605"/>
    <w:rsid w:val="00286241"/>
    <w:rsid w:val="002A3E39"/>
    <w:rsid w:val="002C057D"/>
    <w:rsid w:val="0032728D"/>
    <w:rsid w:val="00331C3C"/>
    <w:rsid w:val="00332D24"/>
    <w:rsid w:val="0036425E"/>
    <w:rsid w:val="00387849"/>
    <w:rsid w:val="003A21A5"/>
    <w:rsid w:val="003E0B85"/>
    <w:rsid w:val="004175D9"/>
    <w:rsid w:val="00472AB4"/>
    <w:rsid w:val="00475009"/>
    <w:rsid w:val="00493448"/>
    <w:rsid w:val="004A728A"/>
    <w:rsid w:val="004C6694"/>
    <w:rsid w:val="004D081D"/>
    <w:rsid w:val="004E4CD2"/>
    <w:rsid w:val="004E574C"/>
    <w:rsid w:val="005959CC"/>
    <w:rsid w:val="005C1DB4"/>
    <w:rsid w:val="005D2DA7"/>
    <w:rsid w:val="005D580C"/>
    <w:rsid w:val="005F000B"/>
    <w:rsid w:val="0061219E"/>
    <w:rsid w:val="006228FF"/>
    <w:rsid w:val="00692AB1"/>
    <w:rsid w:val="006B46D6"/>
    <w:rsid w:val="006C7144"/>
    <w:rsid w:val="00773035"/>
    <w:rsid w:val="007B0418"/>
    <w:rsid w:val="007B4253"/>
    <w:rsid w:val="007D4435"/>
    <w:rsid w:val="007F4F83"/>
    <w:rsid w:val="008014EB"/>
    <w:rsid w:val="0081052C"/>
    <w:rsid w:val="00827C87"/>
    <w:rsid w:val="00842C4E"/>
    <w:rsid w:val="008434E4"/>
    <w:rsid w:val="00893489"/>
    <w:rsid w:val="008B61BD"/>
    <w:rsid w:val="008B7980"/>
    <w:rsid w:val="008E1328"/>
    <w:rsid w:val="008F6B60"/>
    <w:rsid w:val="00907B19"/>
    <w:rsid w:val="00911C8B"/>
    <w:rsid w:val="00914116"/>
    <w:rsid w:val="009265B8"/>
    <w:rsid w:val="00945349"/>
    <w:rsid w:val="00964E08"/>
    <w:rsid w:val="009956F2"/>
    <w:rsid w:val="00995B1E"/>
    <w:rsid w:val="009B59D1"/>
    <w:rsid w:val="009B6E92"/>
    <w:rsid w:val="009B78F5"/>
    <w:rsid w:val="009D5211"/>
    <w:rsid w:val="009F702E"/>
    <w:rsid w:val="00A34171"/>
    <w:rsid w:val="00A42716"/>
    <w:rsid w:val="00A47508"/>
    <w:rsid w:val="00A67BD5"/>
    <w:rsid w:val="00AF639E"/>
    <w:rsid w:val="00B0669D"/>
    <w:rsid w:val="00B13F27"/>
    <w:rsid w:val="00B2114A"/>
    <w:rsid w:val="00B35D99"/>
    <w:rsid w:val="00BD59C6"/>
    <w:rsid w:val="00BE6507"/>
    <w:rsid w:val="00C40AE8"/>
    <w:rsid w:val="00C42826"/>
    <w:rsid w:val="00C64BAF"/>
    <w:rsid w:val="00C9498C"/>
    <w:rsid w:val="00CF7885"/>
    <w:rsid w:val="00D11CE1"/>
    <w:rsid w:val="00D36F05"/>
    <w:rsid w:val="00D43720"/>
    <w:rsid w:val="00D5428D"/>
    <w:rsid w:val="00D56403"/>
    <w:rsid w:val="00D6148C"/>
    <w:rsid w:val="00D66FFC"/>
    <w:rsid w:val="00D67DB5"/>
    <w:rsid w:val="00D97C1E"/>
    <w:rsid w:val="00DE3B5E"/>
    <w:rsid w:val="00E20E53"/>
    <w:rsid w:val="00E23359"/>
    <w:rsid w:val="00E257E9"/>
    <w:rsid w:val="00E615DF"/>
    <w:rsid w:val="00E970C9"/>
    <w:rsid w:val="00EE6EFA"/>
    <w:rsid w:val="00EF05E0"/>
    <w:rsid w:val="00F70B37"/>
    <w:rsid w:val="00F93782"/>
    <w:rsid w:val="00FB3A71"/>
    <w:rsid w:val="00FD5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93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6FFC"/>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qFormat/>
    <w:rsid w:val="00D66FFC"/>
    <w:pPr>
      <w:ind w:left="1632"/>
      <w:outlineLvl w:val="2"/>
    </w:pPr>
    <w:rPr>
      <w:b/>
      <w:bCs/>
      <w:sz w:val="28"/>
      <w:szCs w:val="28"/>
      <w:u w:val="single" w:color="000000"/>
    </w:rPr>
  </w:style>
  <w:style w:type="paragraph" w:styleId="Heading4">
    <w:name w:val="heading 4"/>
    <w:basedOn w:val="Normal"/>
    <w:next w:val="Normal"/>
    <w:link w:val="Heading4Char"/>
    <w:uiPriority w:val="9"/>
    <w:semiHidden/>
    <w:unhideWhenUsed/>
    <w:qFormat/>
    <w:rsid w:val="00E233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6FFC"/>
    <w:rPr>
      <w:sz w:val="24"/>
      <w:szCs w:val="24"/>
    </w:rPr>
  </w:style>
  <w:style w:type="character" w:customStyle="1" w:styleId="BodyTextChar">
    <w:name w:val="Body Text Char"/>
    <w:basedOn w:val="DefaultParagraphFont"/>
    <w:link w:val="BodyText"/>
    <w:uiPriority w:val="1"/>
    <w:rsid w:val="00D66FF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D66FFC"/>
    <w:rPr>
      <w:rFonts w:ascii="Times New Roman" w:eastAsia="Times New Roman" w:hAnsi="Times New Roman" w:cs="Times New Roman"/>
      <w:b/>
      <w:bCs/>
      <w:sz w:val="28"/>
      <w:szCs w:val="28"/>
      <w:u w:val="single" w:color="000000"/>
    </w:rPr>
  </w:style>
  <w:style w:type="paragraph" w:styleId="ListParagraph">
    <w:name w:val="List Paragraph"/>
    <w:basedOn w:val="Normal"/>
    <w:uiPriority w:val="1"/>
    <w:qFormat/>
    <w:rsid w:val="000D1BB7"/>
    <w:pPr>
      <w:ind w:left="1500" w:hanging="360"/>
    </w:pPr>
  </w:style>
  <w:style w:type="character" w:styleId="Hyperlink">
    <w:name w:val="Hyperlink"/>
    <w:basedOn w:val="DefaultParagraphFont"/>
    <w:uiPriority w:val="99"/>
    <w:unhideWhenUsed/>
    <w:rsid w:val="009265B8"/>
    <w:rPr>
      <w:color w:val="0000FF" w:themeColor="hyperlink"/>
      <w:u w:val="single"/>
    </w:rPr>
  </w:style>
  <w:style w:type="character" w:customStyle="1" w:styleId="UnresolvedMention">
    <w:name w:val="Unresolved Mention"/>
    <w:basedOn w:val="DefaultParagraphFont"/>
    <w:uiPriority w:val="99"/>
    <w:semiHidden/>
    <w:unhideWhenUsed/>
    <w:rsid w:val="009265B8"/>
    <w:rPr>
      <w:color w:val="605E5C"/>
      <w:shd w:val="clear" w:color="auto" w:fill="E1DFDD"/>
    </w:rPr>
  </w:style>
  <w:style w:type="paragraph" w:styleId="NormalWeb">
    <w:name w:val="Normal (Web)"/>
    <w:basedOn w:val="Normal"/>
    <w:uiPriority w:val="99"/>
    <w:unhideWhenUsed/>
    <w:rsid w:val="00472AB4"/>
    <w:pPr>
      <w:widowControl/>
      <w:autoSpaceDE/>
      <w:autoSpaceDN/>
      <w:spacing w:before="100" w:beforeAutospacing="1" w:after="100" w:afterAutospacing="1"/>
    </w:pPr>
    <w:rPr>
      <w:sz w:val="24"/>
      <w:szCs w:val="24"/>
      <w:lang w:val="en-IN" w:eastAsia="en-IN"/>
    </w:rPr>
  </w:style>
  <w:style w:type="character" w:customStyle="1" w:styleId="Heading4Char">
    <w:name w:val="Heading 4 Char"/>
    <w:basedOn w:val="DefaultParagraphFont"/>
    <w:link w:val="Heading4"/>
    <w:uiPriority w:val="9"/>
    <w:semiHidden/>
    <w:rsid w:val="00E23359"/>
    <w:rPr>
      <w:rFonts w:asciiTheme="majorHAnsi" w:eastAsiaTheme="majorEastAsia" w:hAnsiTheme="majorHAnsi" w:cstheme="majorBidi"/>
      <w:i/>
      <w:iCs/>
      <w:color w:val="365F91" w:themeColor="accent1" w:themeShade="BF"/>
    </w:rPr>
  </w:style>
  <w:style w:type="paragraph" w:customStyle="1" w:styleId="msonormal0">
    <w:name w:val="msonormal"/>
    <w:basedOn w:val="Normal"/>
    <w:rsid w:val="0032728D"/>
    <w:pPr>
      <w:widowControl/>
      <w:autoSpaceDE/>
      <w:autoSpaceDN/>
      <w:spacing w:before="100" w:beforeAutospacing="1" w:after="100" w:afterAutospacing="1"/>
    </w:pPr>
    <w:rPr>
      <w:sz w:val="24"/>
      <w:szCs w:val="24"/>
      <w:lang w:val="en-IN" w:eastAsia="en-IN"/>
    </w:rPr>
  </w:style>
  <w:style w:type="paragraph" w:styleId="Footer">
    <w:name w:val="footer"/>
    <w:basedOn w:val="Normal"/>
    <w:link w:val="FooterChar"/>
    <w:uiPriority w:val="99"/>
    <w:unhideWhenUsed/>
    <w:rsid w:val="0032728D"/>
    <w:pPr>
      <w:widowControl/>
      <w:autoSpaceDE/>
      <w:autoSpaceDN/>
      <w:spacing w:before="100" w:beforeAutospacing="1"/>
    </w:pPr>
    <w:rPr>
      <w:sz w:val="24"/>
      <w:szCs w:val="24"/>
      <w:lang w:val="en-IN" w:eastAsia="en-IN"/>
    </w:rPr>
  </w:style>
  <w:style w:type="character" w:customStyle="1" w:styleId="FooterChar">
    <w:name w:val="Footer Char"/>
    <w:basedOn w:val="DefaultParagraphFont"/>
    <w:link w:val="Footer"/>
    <w:uiPriority w:val="99"/>
    <w:rsid w:val="0032728D"/>
    <w:rPr>
      <w:rFonts w:ascii="Times New Roman" w:eastAsia="Times New Roman" w:hAnsi="Times New Roman" w:cs="Times New Roman"/>
      <w:sz w:val="24"/>
      <w:szCs w:val="24"/>
      <w:lang w:val="en-IN" w:eastAsia="en-IN"/>
    </w:rPr>
  </w:style>
  <w:style w:type="character" w:customStyle="1" w:styleId="10">
    <w:name w:val="10"/>
    <w:basedOn w:val="DefaultParagraphFont"/>
    <w:rsid w:val="0032728D"/>
    <w:rPr>
      <w:rFonts w:ascii="Calibri" w:hAnsi="Calibri" w:cs="Calibri" w:hint="default"/>
    </w:rPr>
  </w:style>
  <w:style w:type="character" w:customStyle="1" w:styleId="15">
    <w:name w:val="15"/>
    <w:basedOn w:val="DefaultParagraphFont"/>
    <w:rsid w:val="0032728D"/>
    <w:rPr>
      <w:rFonts w:ascii="Calibri" w:hAnsi="Calibri" w:cs="Calibri" w:hint="default"/>
    </w:rPr>
  </w:style>
  <w:style w:type="character" w:styleId="FollowedHyperlink">
    <w:name w:val="FollowedHyperlink"/>
    <w:basedOn w:val="DefaultParagraphFont"/>
    <w:uiPriority w:val="99"/>
    <w:unhideWhenUsed/>
    <w:rsid w:val="0032728D"/>
    <w:rPr>
      <w:color w:val="800080"/>
      <w:u w:val="single"/>
    </w:rPr>
  </w:style>
  <w:style w:type="paragraph" w:styleId="BodyTextIndent">
    <w:name w:val="Body Text Indent"/>
    <w:basedOn w:val="Normal"/>
    <w:link w:val="BodyTextIndentChar"/>
    <w:uiPriority w:val="99"/>
    <w:unhideWhenUsed/>
    <w:rsid w:val="007D4435"/>
    <w:pPr>
      <w:spacing w:after="120"/>
      <w:ind w:left="283"/>
    </w:pPr>
  </w:style>
  <w:style w:type="character" w:customStyle="1" w:styleId="BodyTextIndentChar">
    <w:name w:val="Body Text Indent Char"/>
    <w:basedOn w:val="DefaultParagraphFont"/>
    <w:link w:val="BodyTextIndent"/>
    <w:uiPriority w:val="99"/>
    <w:rsid w:val="007D4435"/>
    <w:rPr>
      <w:rFonts w:ascii="Times New Roman" w:eastAsia="Times New Roman" w:hAnsi="Times New Roman" w:cs="Times New Roman"/>
    </w:rPr>
  </w:style>
  <w:style w:type="character" w:styleId="Emphasis">
    <w:name w:val="Emphasis"/>
    <w:basedOn w:val="DefaultParagraphFont"/>
    <w:uiPriority w:val="20"/>
    <w:qFormat/>
    <w:rsid w:val="00AF639E"/>
    <w:rPr>
      <w:i/>
      <w:iCs/>
    </w:rPr>
  </w:style>
  <w:style w:type="paragraph" w:styleId="BalloonText">
    <w:name w:val="Balloon Text"/>
    <w:basedOn w:val="Normal"/>
    <w:link w:val="BalloonTextChar"/>
    <w:uiPriority w:val="99"/>
    <w:semiHidden/>
    <w:unhideWhenUsed/>
    <w:rsid w:val="006228FF"/>
    <w:rPr>
      <w:rFonts w:ascii="Tahoma" w:hAnsi="Tahoma" w:cs="Tahoma"/>
      <w:sz w:val="16"/>
      <w:szCs w:val="16"/>
    </w:rPr>
  </w:style>
  <w:style w:type="character" w:customStyle="1" w:styleId="BalloonTextChar">
    <w:name w:val="Balloon Text Char"/>
    <w:basedOn w:val="DefaultParagraphFont"/>
    <w:link w:val="BalloonText"/>
    <w:uiPriority w:val="99"/>
    <w:semiHidden/>
    <w:rsid w:val="006228FF"/>
    <w:rPr>
      <w:rFonts w:ascii="Tahoma" w:eastAsia="Times New Roman" w:hAnsi="Tahoma" w:cs="Tahoma"/>
      <w:sz w:val="16"/>
      <w:szCs w:val="16"/>
    </w:rPr>
  </w:style>
  <w:style w:type="character" w:styleId="Strong">
    <w:name w:val="Strong"/>
    <w:basedOn w:val="DefaultParagraphFont"/>
    <w:uiPriority w:val="22"/>
    <w:qFormat/>
    <w:rsid w:val="00387849"/>
    <w:rPr>
      <w:b/>
      <w:bCs/>
    </w:rPr>
  </w:style>
  <w:style w:type="paragraph" w:styleId="NoSpacing">
    <w:name w:val="No Spacing"/>
    <w:uiPriority w:val="1"/>
    <w:qFormat/>
    <w:rsid w:val="002C057D"/>
    <w:pPr>
      <w:widowControl w:val="0"/>
      <w:autoSpaceDE w:val="0"/>
      <w:autoSpaceDN w:val="0"/>
      <w:spacing w:after="0" w:line="240" w:lineRule="auto"/>
    </w:pPr>
    <w:rPr>
      <w:rFonts w:ascii="Times New Roman" w:eastAsia="Times New Roman" w:hAnsi="Times New Roman" w:cs="Times New Roman"/>
    </w:rPr>
  </w:style>
  <w:style w:type="paragraph" w:customStyle="1" w:styleId="first-token">
    <w:name w:val="first-token"/>
    <w:basedOn w:val="Normal"/>
    <w:rsid w:val="00B13F27"/>
    <w:pPr>
      <w:widowControl/>
      <w:autoSpaceDE/>
      <w:autoSpaceDN/>
      <w:spacing w:before="100" w:beforeAutospacing="1" w:after="100" w:afterAutospacing="1"/>
    </w:pPr>
    <w:rPr>
      <w:sz w:val="24"/>
      <w:szCs w:val="24"/>
      <w:lang w:val="en-I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66FFC"/>
    <w:pPr>
      <w:widowControl w:val="0"/>
      <w:autoSpaceDE w:val="0"/>
      <w:autoSpaceDN w:val="0"/>
      <w:spacing w:after="0" w:line="240" w:lineRule="auto"/>
    </w:pPr>
    <w:rPr>
      <w:rFonts w:ascii="Times New Roman" w:eastAsia="Times New Roman" w:hAnsi="Times New Roman" w:cs="Times New Roman"/>
    </w:rPr>
  </w:style>
  <w:style w:type="paragraph" w:styleId="Heading3">
    <w:name w:val="heading 3"/>
    <w:basedOn w:val="Normal"/>
    <w:link w:val="Heading3Char"/>
    <w:uiPriority w:val="1"/>
    <w:qFormat/>
    <w:rsid w:val="00D66FFC"/>
    <w:pPr>
      <w:ind w:left="1632"/>
      <w:outlineLvl w:val="2"/>
    </w:pPr>
    <w:rPr>
      <w:b/>
      <w:bCs/>
      <w:sz w:val="28"/>
      <w:szCs w:val="28"/>
      <w:u w:val="single" w:color="000000"/>
    </w:rPr>
  </w:style>
  <w:style w:type="paragraph" w:styleId="Heading4">
    <w:name w:val="heading 4"/>
    <w:basedOn w:val="Normal"/>
    <w:next w:val="Normal"/>
    <w:link w:val="Heading4Char"/>
    <w:uiPriority w:val="9"/>
    <w:semiHidden/>
    <w:unhideWhenUsed/>
    <w:qFormat/>
    <w:rsid w:val="00E2335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6FFC"/>
    <w:rPr>
      <w:sz w:val="24"/>
      <w:szCs w:val="24"/>
    </w:rPr>
  </w:style>
  <w:style w:type="character" w:customStyle="1" w:styleId="BodyTextChar">
    <w:name w:val="Body Text Char"/>
    <w:basedOn w:val="DefaultParagraphFont"/>
    <w:link w:val="BodyText"/>
    <w:uiPriority w:val="1"/>
    <w:rsid w:val="00D66FFC"/>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1"/>
    <w:rsid w:val="00D66FFC"/>
    <w:rPr>
      <w:rFonts w:ascii="Times New Roman" w:eastAsia="Times New Roman" w:hAnsi="Times New Roman" w:cs="Times New Roman"/>
      <w:b/>
      <w:bCs/>
      <w:sz w:val="28"/>
      <w:szCs w:val="28"/>
      <w:u w:val="single" w:color="000000"/>
    </w:rPr>
  </w:style>
  <w:style w:type="paragraph" w:styleId="ListParagraph">
    <w:name w:val="List Paragraph"/>
    <w:basedOn w:val="Normal"/>
    <w:uiPriority w:val="1"/>
    <w:qFormat/>
    <w:rsid w:val="000D1BB7"/>
    <w:pPr>
      <w:ind w:left="1500" w:hanging="360"/>
    </w:pPr>
  </w:style>
  <w:style w:type="character" w:styleId="Hyperlink">
    <w:name w:val="Hyperlink"/>
    <w:basedOn w:val="DefaultParagraphFont"/>
    <w:uiPriority w:val="99"/>
    <w:unhideWhenUsed/>
    <w:rsid w:val="009265B8"/>
    <w:rPr>
      <w:color w:val="0000FF" w:themeColor="hyperlink"/>
      <w:u w:val="single"/>
    </w:rPr>
  </w:style>
  <w:style w:type="character" w:customStyle="1" w:styleId="UnresolvedMention">
    <w:name w:val="Unresolved Mention"/>
    <w:basedOn w:val="DefaultParagraphFont"/>
    <w:uiPriority w:val="99"/>
    <w:semiHidden/>
    <w:unhideWhenUsed/>
    <w:rsid w:val="009265B8"/>
    <w:rPr>
      <w:color w:val="605E5C"/>
      <w:shd w:val="clear" w:color="auto" w:fill="E1DFDD"/>
    </w:rPr>
  </w:style>
  <w:style w:type="paragraph" w:styleId="NormalWeb">
    <w:name w:val="Normal (Web)"/>
    <w:basedOn w:val="Normal"/>
    <w:uiPriority w:val="99"/>
    <w:unhideWhenUsed/>
    <w:rsid w:val="00472AB4"/>
    <w:pPr>
      <w:widowControl/>
      <w:autoSpaceDE/>
      <w:autoSpaceDN/>
      <w:spacing w:before="100" w:beforeAutospacing="1" w:after="100" w:afterAutospacing="1"/>
    </w:pPr>
    <w:rPr>
      <w:sz w:val="24"/>
      <w:szCs w:val="24"/>
      <w:lang w:val="en-IN" w:eastAsia="en-IN"/>
    </w:rPr>
  </w:style>
  <w:style w:type="character" w:customStyle="1" w:styleId="Heading4Char">
    <w:name w:val="Heading 4 Char"/>
    <w:basedOn w:val="DefaultParagraphFont"/>
    <w:link w:val="Heading4"/>
    <w:uiPriority w:val="9"/>
    <w:semiHidden/>
    <w:rsid w:val="00E23359"/>
    <w:rPr>
      <w:rFonts w:asciiTheme="majorHAnsi" w:eastAsiaTheme="majorEastAsia" w:hAnsiTheme="majorHAnsi" w:cstheme="majorBidi"/>
      <w:i/>
      <w:iCs/>
      <w:color w:val="365F91" w:themeColor="accent1" w:themeShade="BF"/>
    </w:rPr>
  </w:style>
  <w:style w:type="paragraph" w:customStyle="1" w:styleId="msonormal0">
    <w:name w:val="msonormal"/>
    <w:basedOn w:val="Normal"/>
    <w:rsid w:val="0032728D"/>
    <w:pPr>
      <w:widowControl/>
      <w:autoSpaceDE/>
      <w:autoSpaceDN/>
      <w:spacing w:before="100" w:beforeAutospacing="1" w:after="100" w:afterAutospacing="1"/>
    </w:pPr>
    <w:rPr>
      <w:sz w:val="24"/>
      <w:szCs w:val="24"/>
      <w:lang w:val="en-IN" w:eastAsia="en-IN"/>
    </w:rPr>
  </w:style>
  <w:style w:type="paragraph" w:styleId="Footer">
    <w:name w:val="footer"/>
    <w:basedOn w:val="Normal"/>
    <w:link w:val="FooterChar"/>
    <w:uiPriority w:val="99"/>
    <w:unhideWhenUsed/>
    <w:rsid w:val="0032728D"/>
    <w:pPr>
      <w:widowControl/>
      <w:autoSpaceDE/>
      <w:autoSpaceDN/>
      <w:spacing w:before="100" w:beforeAutospacing="1"/>
    </w:pPr>
    <w:rPr>
      <w:sz w:val="24"/>
      <w:szCs w:val="24"/>
      <w:lang w:val="en-IN" w:eastAsia="en-IN"/>
    </w:rPr>
  </w:style>
  <w:style w:type="character" w:customStyle="1" w:styleId="FooterChar">
    <w:name w:val="Footer Char"/>
    <w:basedOn w:val="DefaultParagraphFont"/>
    <w:link w:val="Footer"/>
    <w:uiPriority w:val="99"/>
    <w:rsid w:val="0032728D"/>
    <w:rPr>
      <w:rFonts w:ascii="Times New Roman" w:eastAsia="Times New Roman" w:hAnsi="Times New Roman" w:cs="Times New Roman"/>
      <w:sz w:val="24"/>
      <w:szCs w:val="24"/>
      <w:lang w:val="en-IN" w:eastAsia="en-IN"/>
    </w:rPr>
  </w:style>
  <w:style w:type="character" w:customStyle="1" w:styleId="10">
    <w:name w:val="10"/>
    <w:basedOn w:val="DefaultParagraphFont"/>
    <w:rsid w:val="0032728D"/>
    <w:rPr>
      <w:rFonts w:ascii="Calibri" w:hAnsi="Calibri" w:cs="Calibri" w:hint="default"/>
    </w:rPr>
  </w:style>
  <w:style w:type="character" w:customStyle="1" w:styleId="15">
    <w:name w:val="15"/>
    <w:basedOn w:val="DefaultParagraphFont"/>
    <w:rsid w:val="0032728D"/>
    <w:rPr>
      <w:rFonts w:ascii="Calibri" w:hAnsi="Calibri" w:cs="Calibri" w:hint="default"/>
    </w:rPr>
  </w:style>
  <w:style w:type="character" w:styleId="FollowedHyperlink">
    <w:name w:val="FollowedHyperlink"/>
    <w:basedOn w:val="DefaultParagraphFont"/>
    <w:uiPriority w:val="99"/>
    <w:unhideWhenUsed/>
    <w:rsid w:val="0032728D"/>
    <w:rPr>
      <w:color w:val="800080"/>
      <w:u w:val="single"/>
    </w:rPr>
  </w:style>
  <w:style w:type="paragraph" w:styleId="BodyTextIndent">
    <w:name w:val="Body Text Indent"/>
    <w:basedOn w:val="Normal"/>
    <w:link w:val="BodyTextIndentChar"/>
    <w:uiPriority w:val="99"/>
    <w:unhideWhenUsed/>
    <w:rsid w:val="007D4435"/>
    <w:pPr>
      <w:spacing w:after="120"/>
      <w:ind w:left="283"/>
    </w:pPr>
  </w:style>
  <w:style w:type="character" w:customStyle="1" w:styleId="BodyTextIndentChar">
    <w:name w:val="Body Text Indent Char"/>
    <w:basedOn w:val="DefaultParagraphFont"/>
    <w:link w:val="BodyTextIndent"/>
    <w:uiPriority w:val="99"/>
    <w:rsid w:val="007D4435"/>
    <w:rPr>
      <w:rFonts w:ascii="Times New Roman" w:eastAsia="Times New Roman" w:hAnsi="Times New Roman" w:cs="Times New Roman"/>
    </w:rPr>
  </w:style>
  <w:style w:type="character" w:styleId="Emphasis">
    <w:name w:val="Emphasis"/>
    <w:basedOn w:val="DefaultParagraphFont"/>
    <w:uiPriority w:val="20"/>
    <w:qFormat/>
    <w:rsid w:val="00AF639E"/>
    <w:rPr>
      <w:i/>
      <w:iCs/>
    </w:rPr>
  </w:style>
  <w:style w:type="paragraph" w:styleId="BalloonText">
    <w:name w:val="Balloon Text"/>
    <w:basedOn w:val="Normal"/>
    <w:link w:val="BalloonTextChar"/>
    <w:uiPriority w:val="99"/>
    <w:semiHidden/>
    <w:unhideWhenUsed/>
    <w:rsid w:val="006228FF"/>
    <w:rPr>
      <w:rFonts w:ascii="Tahoma" w:hAnsi="Tahoma" w:cs="Tahoma"/>
      <w:sz w:val="16"/>
      <w:szCs w:val="16"/>
    </w:rPr>
  </w:style>
  <w:style w:type="character" w:customStyle="1" w:styleId="BalloonTextChar">
    <w:name w:val="Balloon Text Char"/>
    <w:basedOn w:val="DefaultParagraphFont"/>
    <w:link w:val="BalloonText"/>
    <w:uiPriority w:val="99"/>
    <w:semiHidden/>
    <w:rsid w:val="006228FF"/>
    <w:rPr>
      <w:rFonts w:ascii="Tahoma" w:eastAsia="Times New Roman" w:hAnsi="Tahoma" w:cs="Tahoma"/>
      <w:sz w:val="16"/>
      <w:szCs w:val="16"/>
    </w:rPr>
  </w:style>
  <w:style w:type="character" w:styleId="Strong">
    <w:name w:val="Strong"/>
    <w:basedOn w:val="DefaultParagraphFont"/>
    <w:uiPriority w:val="22"/>
    <w:qFormat/>
    <w:rsid w:val="00387849"/>
    <w:rPr>
      <w:b/>
      <w:bCs/>
    </w:rPr>
  </w:style>
  <w:style w:type="paragraph" w:styleId="NoSpacing">
    <w:name w:val="No Spacing"/>
    <w:uiPriority w:val="1"/>
    <w:qFormat/>
    <w:rsid w:val="002C057D"/>
    <w:pPr>
      <w:widowControl w:val="0"/>
      <w:autoSpaceDE w:val="0"/>
      <w:autoSpaceDN w:val="0"/>
      <w:spacing w:after="0" w:line="240" w:lineRule="auto"/>
    </w:pPr>
    <w:rPr>
      <w:rFonts w:ascii="Times New Roman" w:eastAsia="Times New Roman" w:hAnsi="Times New Roman" w:cs="Times New Roman"/>
    </w:rPr>
  </w:style>
  <w:style w:type="paragraph" w:customStyle="1" w:styleId="first-token">
    <w:name w:val="first-token"/>
    <w:basedOn w:val="Normal"/>
    <w:rsid w:val="00B13F27"/>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68720">
      <w:bodyDiv w:val="1"/>
      <w:marLeft w:val="0"/>
      <w:marRight w:val="0"/>
      <w:marTop w:val="0"/>
      <w:marBottom w:val="0"/>
      <w:divBdr>
        <w:top w:val="none" w:sz="0" w:space="0" w:color="auto"/>
        <w:left w:val="none" w:sz="0" w:space="0" w:color="auto"/>
        <w:bottom w:val="none" w:sz="0" w:space="0" w:color="auto"/>
        <w:right w:val="none" w:sz="0" w:space="0" w:color="auto"/>
      </w:divBdr>
    </w:div>
    <w:div w:id="85731496">
      <w:bodyDiv w:val="1"/>
      <w:marLeft w:val="0"/>
      <w:marRight w:val="0"/>
      <w:marTop w:val="0"/>
      <w:marBottom w:val="0"/>
      <w:divBdr>
        <w:top w:val="none" w:sz="0" w:space="0" w:color="auto"/>
        <w:left w:val="none" w:sz="0" w:space="0" w:color="auto"/>
        <w:bottom w:val="none" w:sz="0" w:space="0" w:color="auto"/>
        <w:right w:val="none" w:sz="0" w:space="0" w:color="auto"/>
      </w:divBdr>
    </w:div>
    <w:div w:id="87771484">
      <w:bodyDiv w:val="1"/>
      <w:marLeft w:val="0"/>
      <w:marRight w:val="0"/>
      <w:marTop w:val="0"/>
      <w:marBottom w:val="0"/>
      <w:divBdr>
        <w:top w:val="none" w:sz="0" w:space="0" w:color="auto"/>
        <w:left w:val="none" w:sz="0" w:space="0" w:color="auto"/>
        <w:bottom w:val="none" w:sz="0" w:space="0" w:color="auto"/>
        <w:right w:val="none" w:sz="0" w:space="0" w:color="auto"/>
      </w:divBdr>
    </w:div>
    <w:div w:id="108404665">
      <w:bodyDiv w:val="1"/>
      <w:marLeft w:val="0"/>
      <w:marRight w:val="0"/>
      <w:marTop w:val="0"/>
      <w:marBottom w:val="0"/>
      <w:divBdr>
        <w:top w:val="none" w:sz="0" w:space="0" w:color="auto"/>
        <w:left w:val="none" w:sz="0" w:space="0" w:color="auto"/>
        <w:bottom w:val="none" w:sz="0" w:space="0" w:color="auto"/>
        <w:right w:val="none" w:sz="0" w:space="0" w:color="auto"/>
      </w:divBdr>
    </w:div>
    <w:div w:id="160120603">
      <w:bodyDiv w:val="1"/>
      <w:marLeft w:val="0"/>
      <w:marRight w:val="0"/>
      <w:marTop w:val="0"/>
      <w:marBottom w:val="0"/>
      <w:divBdr>
        <w:top w:val="none" w:sz="0" w:space="0" w:color="auto"/>
        <w:left w:val="none" w:sz="0" w:space="0" w:color="auto"/>
        <w:bottom w:val="none" w:sz="0" w:space="0" w:color="auto"/>
        <w:right w:val="none" w:sz="0" w:space="0" w:color="auto"/>
      </w:divBdr>
    </w:div>
    <w:div w:id="331571999">
      <w:bodyDiv w:val="1"/>
      <w:marLeft w:val="0"/>
      <w:marRight w:val="0"/>
      <w:marTop w:val="0"/>
      <w:marBottom w:val="0"/>
      <w:divBdr>
        <w:top w:val="none" w:sz="0" w:space="0" w:color="auto"/>
        <w:left w:val="none" w:sz="0" w:space="0" w:color="auto"/>
        <w:bottom w:val="none" w:sz="0" w:space="0" w:color="auto"/>
        <w:right w:val="none" w:sz="0" w:space="0" w:color="auto"/>
      </w:divBdr>
    </w:div>
    <w:div w:id="333194413">
      <w:bodyDiv w:val="1"/>
      <w:marLeft w:val="0"/>
      <w:marRight w:val="0"/>
      <w:marTop w:val="0"/>
      <w:marBottom w:val="0"/>
      <w:divBdr>
        <w:top w:val="none" w:sz="0" w:space="0" w:color="auto"/>
        <w:left w:val="none" w:sz="0" w:space="0" w:color="auto"/>
        <w:bottom w:val="none" w:sz="0" w:space="0" w:color="auto"/>
        <w:right w:val="none" w:sz="0" w:space="0" w:color="auto"/>
      </w:divBdr>
    </w:div>
    <w:div w:id="452990524">
      <w:bodyDiv w:val="1"/>
      <w:marLeft w:val="0"/>
      <w:marRight w:val="0"/>
      <w:marTop w:val="0"/>
      <w:marBottom w:val="0"/>
      <w:divBdr>
        <w:top w:val="none" w:sz="0" w:space="0" w:color="auto"/>
        <w:left w:val="none" w:sz="0" w:space="0" w:color="auto"/>
        <w:bottom w:val="none" w:sz="0" w:space="0" w:color="auto"/>
        <w:right w:val="none" w:sz="0" w:space="0" w:color="auto"/>
      </w:divBdr>
    </w:div>
    <w:div w:id="453256688">
      <w:bodyDiv w:val="1"/>
      <w:marLeft w:val="0"/>
      <w:marRight w:val="0"/>
      <w:marTop w:val="0"/>
      <w:marBottom w:val="0"/>
      <w:divBdr>
        <w:top w:val="none" w:sz="0" w:space="0" w:color="auto"/>
        <w:left w:val="none" w:sz="0" w:space="0" w:color="auto"/>
        <w:bottom w:val="none" w:sz="0" w:space="0" w:color="auto"/>
        <w:right w:val="none" w:sz="0" w:space="0" w:color="auto"/>
      </w:divBdr>
      <w:divsChild>
        <w:div w:id="1794710121">
          <w:marLeft w:val="0"/>
          <w:marRight w:val="0"/>
          <w:marTop w:val="0"/>
          <w:marBottom w:val="0"/>
          <w:divBdr>
            <w:top w:val="none" w:sz="0" w:space="0" w:color="auto"/>
            <w:left w:val="none" w:sz="0" w:space="0" w:color="auto"/>
            <w:bottom w:val="none" w:sz="0" w:space="0" w:color="auto"/>
            <w:right w:val="none" w:sz="0" w:space="0" w:color="auto"/>
          </w:divBdr>
        </w:div>
      </w:divsChild>
    </w:div>
    <w:div w:id="481045851">
      <w:bodyDiv w:val="1"/>
      <w:marLeft w:val="0"/>
      <w:marRight w:val="0"/>
      <w:marTop w:val="0"/>
      <w:marBottom w:val="0"/>
      <w:divBdr>
        <w:top w:val="none" w:sz="0" w:space="0" w:color="auto"/>
        <w:left w:val="none" w:sz="0" w:space="0" w:color="auto"/>
        <w:bottom w:val="none" w:sz="0" w:space="0" w:color="auto"/>
        <w:right w:val="none" w:sz="0" w:space="0" w:color="auto"/>
      </w:divBdr>
    </w:div>
    <w:div w:id="522867423">
      <w:bodyDiv w:val="1"/>
      <w:marLeft w:val="0"/>
      <w:marRight w:val="0"/>
      <w:marTop w:val="0"/>
      <w:marBottom w:val="0"/>
      <w:divBdr>
        <w:top w:val="none" w:sz="0" w:space="0" w:color="auto"/>
        <w:left w:val="none" w:sz="0" w:space="0" w:color="auto"/>
        <w:bottom w:val="none" w:sz="0" w:space="0" w:color="auto"/>
        <w:right w:val="none" w:sz="0" w:space="0" w:color="auto"/>
      </w:divBdr>
    </w:div>
    <w:div w:id="617873596">
      <w:bodyDiv w:val="1"/>
      <w:marLeft w:val="0"/>
      <w:marRight w:val="0"/>
      <w:marTop w:val="0"/>
      <w:marBottom w:val="0"/>
      <w:divBdr>
        <w:top w:val="none" w:sz="0" w:space="0" w:color="auto"/>
        <w:left w:val="none" w:sz="0" w:space="0" w:color="auto"/>
        <w:bottom w:val="none" w:sz="0" w:space="0" w:color="auto"/>
        <w:right w:val="none" w:sz="0" w:space="0" w:color="auto"/>
      </w:divBdr>
    </w:div>
    <w:div w:id="684210732">
      <w:bodyDiv w:val="1"/>
      <w:marLeft w:val="0"/>
      <w:marRight w:val="0"/>
      <w:marTop w:val="0"/>
      <w:marBottom w:val="0"/>
      <w:divBdr>
        <w:top w:val="none" w:sz="0" w:space="0" w:color="auto"/>
        <w:left w:val="none" w:sz="0" w:space="0" w:color="auto"/>
        <w:bottom w:val="none" w:sz="0" w:space="0" w:color="auto"/>
        <w:right w:val="none" w:sz="0" w:space="0" w:color="auto"/>
      </w:divBdr>
    </w:div>
    <w:div w:id="734622290">
      <w:bodyDiv w:val="1"/>
      <w:marLeft w:val="0"/>
      <w:marRight w:val="0"/>
      <w:marTop w:val="0"/>
      <w:marBottom w:val="0"/>
      <w:divBdr>
        <w:top w:val="none" w:sz="0" w:space="0" w:color="auto"/>
        <w:left w:val="none" w:sz="0" w:space="0" w:color="auto"/>
        <w:bottom w:val="none" w:sz="0" w:space="0" w:color="auto"/>
        <w:right w:val="none" w:sz="0" w:space="0" w:color="auto"/>
      </w:divBdr>
    </w:div>
    <w:div w:id="858198746">
      <w:bodyDiv w:val="1"/>
      <w:marLeft w:val="0"/>
      <w:marRight w:val="0"/>
      <w:marTop w:val="0"/>
      <w:marBottom w:val="0"/>
      <w:divBdr>
        <w:top w:val="none" w:sz="0" w:space="0" w:color="auto"/>
        <w:left w:val="none" w:sz="0" w:space="0" w:color="auto"/>
        <w:bottom w:val="none" w:sz="0" w:space="0" w:color="auto"/>
        <w:right w:val="none" w:sz="0" w:space="0" w:color="auto"/>
      </w:divBdr>
    </w:div>
    <w:div w:id="940528818">
      <w:bodyDiv w:val="1"/>
      <w:marLeft w:val="0"/>
      <w:marRight w:val="0"/>
      <w:marTop w:val="0"/>
      <w:marBottom w:val="0"/>
      <w:divBdr>
        <w:top w:val="none" w:sz="0" w:space="0" w:color="auto"/>
        <w:left w:val="none" w:sz="0" w:space="0" w:color="auto"/>
        <w:bottom w:val="none" w:sz="0" w:space="0" w:color="auto"/>
        <w:right w:val="none" w:sz="0" w:space="0" w:color="auto"/>
      </w:divBdr>
    </w:div>
    <w:div w:id="992954886">
      <w:bodyDiv w:val="1"/>
      <w:marLeft w:val="0"/>
      <w:marRight w:val="0"/>
      <w:marTop w:val="0"/>
      <w:marBottom w:val="0"/>
      <w:divBdr>
        <w:top w:val="none" w:sz="0" w:space="0" w:color="auto"/>
        <w:left w:val="none" w:sz="0" w:space="0" w:color="auto"/>
        <w:bottom w:val="none" w:sz="0" w:space="0" w:color="auto"/>
        <w:right w:val="none" w:sz="0" w:space="0" w:color="auto"/>
      </w:divBdr>
    </w:div>
    <w:div w:id="1128623834">
      <w:bodyDiv w:val="1"/>
      <w:marLeft w:val="0"/>
      <w:marRight w:val="0"/>
      <w:marTop w:val="0"/>
      <w:marBottom w:val="0"/>
      <w:divBdr>
        <w:top w:val="none" w:sz="0" w:space="0" w:color="auto"/>
        <w:left w:val="none" w:sz="0" w:space="0" w:color="auto"/>
        <w:bottom w:val="none" w:sz="0" w:space="0" w:color="auto"/>
        <w:right w:val="none" w:sz="0" w:space="0" w:color="auto"/>
      </w:divBdr>
    </w:div>
    <w:div w:id="1192887996">
      <w:bodyDiv w:val="1"/>
      <w:marLeft w:val="0"/>
      <w:marRight w:val="0"/>
      <w:marTop w:val="0"/>
      <w:marBottom w:val="0"/>
      <w:divBdr>
        <w:top w:val="none" w:sz="0" w:space="0" w:color="auto"/>
        <w:left w:val="none" w:sz="0" w:space="0" w:color="auto"/>
        <w:bottom w:val="none" w:sz="0" w:space="0" w:color="auto"/>
        <w:right w:val="none" w:sz="0" w:space="0" w:color="auto"/>
      </w:divBdr>
    </w:div>
    <w:div w:id="1248423210">
      <w:bodyDiv w:val="1"/>
      <w:marLeft w:val="0"/>
      <w:marRight w:val="0"/>
      <w:marTop w:val="0"/>
      <w:marBottom w:val="0"/>
      <w:divBdr>
        <w:top w:val="none" w:sz="0" w:space="0" w:color="auto"/>
        <w:left w:val="none" w:sz="0" w:space="0" w:color="auto"/>
        <w:bottom w:val="none" w:sz="0" w:space="0" w:color="auto"/>
        <w:right w:val="none" w:sz="0" w:space="0" w:color="auto"/>
      </w:divBdr>
    </w:div>
    <w:div w:id="1331367255">
      <w:bodyDiv w:val="1"/>
      <w:marLeft w:val="0"/>
      <w:marRight w:val="0"/>
      <w:marTop w:val="0"/>
      <w:marBottom w:val="0"/>
      <w:divBdr>
        <w:top w:val="none" w:sz="0" w:space="0" w:color="auto"/>
        <w:left w:val="none" w:sz="0" w:space="0" w:color="auto"/>
        <w:bottom w:val="none" w:sz="0" w:space="0" w:color="auto"/>
        <w:right w:val="none" w:sz="0" w:space="0" w:color="auto"/>
      </w:divBdr>
    </w:div>
    <w:div w:id="1333681614">
      <w:bodyDiv w:val="1"/>
      <w:marLeft w:val="0"/>
      <w:marRight w:val="0"/>
      <w:marTop w:val="0"/>
      <w:marBottom w:val="0"/>
      <w:divBdr>
        <w:top w:val="none" w:sz="0" w:space="0" w:color="auto"/>
        <w:left w:val="none" w:sz="0" w:space="0" w:color="auto"/>
        <w:bottom w:val="none" w:sz="0" w:space="0" w:color="auto"/>
        <w:right w:val="none" w:sz="0" w:space="0" w:color="auto"/>
      </w:divBdr>
    </w:div>
    <w:div w:id="1457987482">
      <w:bodyDiv w:val="1"/>
      <w:marLeft w:val="0"/>
      <w:marRight w:val="0"/>
      <w:marTop w:val="0"/>
      <w:marBottom w:val="0"/>
      <w:divBdr>
        <w:top w:val="none" w:sz="0" w:space="0" w:color="auto"/>
        <w:left w:val="none" w:sz="0" w:space="0" w:color="auto"/>
        <w:bottom w:val="none" w:sz="0" w:space="0" w:color="auto"/>
        <w:right w:val="none" w:sz="0" w:space="0" w:color="auto"/>
      </w:divBdr>
    </w:div>
    <w:div w:id="1472676469">
      <w:bodyDiv w:val="1"/>
      <w:marLeft w:val="0"/>
      <w:marRight w:val="0"/>
      <w:marTop w:val="0"/>
      <w:marBottom w:val="0"/>
      <w:divBdr>
        <w:top w:val="none" w:sz="0" w:space="0" w:color="auto"/>
        <w:left w:val="none" w:sz="0" w:space="0" w:color="auto"/>
        <w:bottom w:val="none" w:sz="0" w:space="0" w:color="auto"/>
        <w:right w:val="none" w:sz="0" w:space="0" w:color="auto"/>
      </w:divBdr>
      <w:divsChild>
        <w:div w:id="872499618">
          <w:marLeft w:val="0"/>
          <w:marRight w:val="0"/>
          <w:marTop w:val="0"/>
          <w:marBottom w:val="0"/>
          <w:divBdr>
            <w:top w:val="none" w:sz="0" w:space="0" w:color="auto"/>
            <w:left w:val="none" w:sz="0" w:space="0" w:color="auto"/>
            <w:bottom w:val="none" w:sz="0" w:space="0" w:color="auto"/>
            <w:right w:val="none" w:sz="0" w:space="0" w:color="auto"/>
          </w:divBdr>
        </w:div>
        <w:div w:id="1836605471">
          <w:marLeft w:val="0"/>
          <w:marRight w:val="0"/>
          <w:marTop w:val="0"/>
          <w:marBottom w:val="0"/>
          <w:divBdr>
            <w:top w:val="none" w:sz="0" w:space="0" w:color="auto"/>
            <w:left w:val="none" w:sz="0" w:space="0" w:color="auto"/>
            <w:bottom w:val="none" w:sz="0" w:space="0" w:color="auto"/>
            <w:right w:val="none" w:sz="0" w:space="0" w:color="auto"/>
          </w:divBdr>
        </w:div>
      </w:divsChild>
    </w:div>
    <w:div w:id="1477147017">
      <w:bodyDiv w:val="1"/>
      <w:marLeft w:val="0"/>
      <w:marRight w:val="0"/>
      <w:marTop w:val="0"/>
      <w:marBottom w:val="0"/>
      <w:divBdr>
        <w:top w:val="none" w:sz="0" w:space="0" w:color="auto"/>
        <w:left w:val="none" w:sz="0" w:space="0" w:color="auto"/>
        <w:bottom w:val="none" w:sz="0" w:space="0" w:color="auto"/>
        <w:right w:val="none" w:sz="0" w:space="0" w:color="auto"/>
      </w:divBdr>
      <w:divsChild>
        <w:div w:id="319774222">
          <w:marLeft w:val="0"/>
          <w:marRight w:val="0"/>
          <w:marTop w:val="0"/>
          <w:marBottom w:val="0"/>
          <w:divBdr>
            <w:top w:val="none" w:sz="0" w:space="0" w:color="auto"/>
            <w:left w:val="none" w:sz="0" w:space="0" w:color="auto"/>
            <w:bottom w:val="none" w:sz="0" w:space="0" w:color="auto"/>
            <w:right w:val="none" w:sz="0" w:space="0" w:color="auto"/>
          </w:divBdr>
          <w:divsChild>
            <w:div w:id="1071079491">
              <w:marLeft w:val="0"/>
              <w:marRight w:val="0"/>
              <w:marTop w:val="0"/>
              <w:marBottom w:val="0"/>
              <w:divBdr>
                <w:top w:val="none" w:sz="0" w:space="0" w:color="auto"/>
                <w:left w:val="none" w:sz="0" w:space="0" w:color="auto"/>
                <w:bottom w:val="none" w:sz="0" w:space="0" w:color="auto"/>
                <w:right w:val="none" w:sz="0" w:space="0" w:color="auto"/>
              </w:divBdr>
              <w:divsChild>
                <w:div w:id="306862638">
                  <w:marLeft w:val="0"/>
                  <w:marRight w:val="0"/>
                  <w:marTop w:val="0"/>
                  <w:marBottom w:val="0"/>
                  <w:divBdr>
                    <w:top w:val="none" w:sz="0" w:space="0" w:color="auto"/>
                    <w:left w:val="none" w:sz="0" w:space="0" w:color="auto"/>
                    <w:bottom w:val="none" w:sz="0" w:space="0" w:color="auto"/>
                    <w:right w:val="none" w:sz="0" w:space="0" w:color="auto"/>
                  </w:divBdr>
                  <w:divsChild>
                    <w:div w:id="7101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8177894">
      <w:bodyDiv w:val="1"/>
      <w:marLeft w:val="0"/>
      <w:marRight w:val="0"/>
      <w:marTop w:val="0"/>
      <w:marBottom w:val="0"/>
      <w:divBdr>
        <w:top w:val="none" w:sz="0" w:space="0" w:color="auto"/>
        <w:left w:val="none" w:sz="0" w:space="0" w:color="auto"/>
        <w:bottom w:val="none" w:sz="0" w:space="0" w:color="auto"/>
        <w:right w:val="none" w:sz="0" w:space="0" w:color="auto"/>
      </w:divBdr>
    </w:div>
    <w:div w:id="1606232556">
      <w:bodyDiv w:val="1"/>
      <w:marLeft w:val="0"/>
      <w:marRight w:val="0"/>
      <w:marTop w:val="0"/>
      <w:marBottom w:val="0"/>
      <w:divBdr>
        <w:top w:val="none" w:sz="0" w:space="0" w:color="auto"/>
        <w:left w:val="none" w:sz="0" w:space="0" w:color="auto"/>
        <w:bottom w:val="none" w:sz="0" w:space="0" w:color="auto"/>
        <w:right w:val="none" w:sz="0" w:space="0" w:color="auto"/>
      </w:divBdr>
    </w:div>
    <w:div w:id="1649749360">
      <w:bodyDiv w:val="1"/>
      <w:marLeft w:val="0"/>
      <w:marRight w:val="0"/>
      <w:marTop w:val="0"/>
      <w:marBottom w:val="0"/>
      <w:divBdr>
        <w:top w:val="none" w:sz="0" w:space="0" w:color="auto"/>
        <w:left w:val="none" w:sz="0" w:space="0" w:color="auto"/>
        <w:bottom w:val="none" w:sz="0" w:space="0" w:color="auto"/>
        <w:right w:val="none" w:sz="0" w:space="0" w:color="auto"/>
      </w:divBdr>
      <w:divsChild>
        <w:div w:id="1690521575">
          <w:marLeft w:val="0"/>
          <w:marRight w:val="0"/>
          <w:marTop w:val="0"/>
          <w:marBottom w:val="0"/>
          <w:divBdr>
            <w:top w:val="none" w:sz="0" w:space="0" w:color="auto"/>
            <w:left w:val="none" w:sz="0" w:space="0" w:color="auto"/>
            <w:bottom w:val="none" w:sz="0" w:space="0" w:color="auto"/>
            <w:right w:val="none" w:sz="0" w:space="0" w:color="auto"/>
          </w:divBdr>
          <w:divsChild>
            <w:div w:id="1622615749">
              <w:marLeft w:val="0"/>
              <w:marRight w:val="0"/>
              <w:marTop w:val="0"/>
              <w:marBottom w:val="0"/>
              <w:divBdr>
                <w:top w:val="none" w:sz="0" w:space="0" w:color="auto"/>
                <w:left w:val="none" w:sz="0" w:space="0" w:color="auto"/>
                <w:bottom w:val="none" w:sz="0" w:space="0" w:color="auto"/>
                <w:right w:val="none" w:sz="0" w:space="0" w:color="auto"/>
              </w:divBdr>
              <w:divsChild>
                <w:div w:id="1653679799">
                  <w:marLeft w:val="0"/>
                  <w:marRight w:val="0"/>
                  <w:marTop w:val="0"/>
                  <w:marBottom w:val="0"/>
                  <w:divBdr>
                    <w:top w:val="none" w:sz="0" w:space="0" w:color="auto"/>
                    <w:left w:val="none" w:sz="0" w:space="0" w:color="auto"/>
                    <w:bottom w:val="none" w:sz="0" w:space="0" w:color="auto"/>
                    <w:right w:val="none" w:sz="0" w:space="0" w:color="auto"/>
                  </w:divBdr>
                  <w:divsChild>
                    <w:div w:id="2082748989">
                      <w:marLeft w:val="0"/>
                      <w:marRight w:val="0"/>
                      <w:marTop w:val="0"/>
                      <w:marBottom w:val="0"/>
                      <w:divBdr>
                        <w:top w:val="none" w:sz="0" w:space="0" w:color="auto"/>
                        <w:left w:val="none" w:sz="0" w:space="0" w:color="auto"/>
                        <w:bottom w:val="none" w:sz="0" w:space="0" w:color="auto"/>
                        <w:right w:val="none" w:sz="0" w:space="0" w:color="auto"/>
                      </w:divBdr>
                      <w:divsChild>
                        <w:div w:id="213321475">
                          <w:marLeft w:val="0"/>
                          <w:marRight w:val="0"/>
                          <w:marTop w:val="0"/>
                          <w:marBottom w:val="0"/>
                          <w:divBdr>
                            <w:top w:val="none" w:sz="0" w:space="0" w:color="auto"/>
                            <w:left w:val="none" w:sz="0" w:space="0" w:color="auto"/>
                            <w:bottom w:val="none" w:sz="0" w:space="0" w:color="auto"/>
                            <w:right w:val="none" w:sz="0" w:space="0" w:color="auto"/>
                          </w:divBdr>
                          <w:divsChild>
                            <w:div w:id="93941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196639">
      <w:bodyDiv w:val="1"/>
      <w:marLeft w:val="0"/>
      <w:marRight w:val="0"/>
      <w:marTop w:val="0"/>
      <w:marBottom w:val="0"/>
      <w:divBdr>
        <w:top w:val="none" w:sz="0" w:space="0" w:color="auto"/>
        <w:left w:val="none" w:sz="0" w:space="0" w:color="auto"/>
        <w:bottom w:val="none" w:sz="0" w:space="0" w:color="auto"/>
        <w:right w:val="none" w:sz="0" w:space="0" w:color="auto"/>
      </w:divBdr>
    </w:div>
    <w:div w:id="1751729278">
      <w:bodyDiv w:val="1"/>
      <w:marLeft w:val="0"/>
      <w:marRight w:val="0"/>
      <w:marTop w:val="0"/>
      <w:marBottom w:val="0"/>
      <w:divBdr>
        <w:top w:val="none" w:sz="0" w:space="0" w:color="auto"/>
        <w:left w:val="none" w:sz="0" w:space="0" w:color="auto"/>
        <w:bottom w:val="none" w:sz="0" w:space="0" w:color="auto"/>
        <w:right w:val="none" w:sz="0" w:space="0" w:color="auto"/>
      </w:divBdr>
      <w:divsChild>
        <w:div w:id="477378388">
          <w:marLeft w:val="0"/>
          <w:marRight w:val="0"/>
          <w:marTop w:val="0"/>
          <w:marBottom w:val="0"/>
          <w:divBdr>
            <w:top w:val="none" w:sz="0" w:space="0" w:color="auto"/>
            <w:left w:val="none" w:sz="0" w:space="0" w:color="auto"/>
            <w:bottom w:val="none" w:sz="0" w:space="0" w:color="auto"/>
            <w:right w:val="none" w:sz="0" w:space="0" w:color="auto"/>
          </w:divBdr>
        </w:div>
      </w:divsChild>
    </w:div>
    <w:div w:id="1824739539">
      <w:bodyDiv w:val="1"/>
      <w:marLeft w:val="0"/>
      <w:marRight w:val="0"/>
      <w:marTop w:val="0"/>
      <w:marBottom w:val="0"/>
      <w:divBdr>
        <w:top w:val="none" w:sz="0" w:space="0" w:color="auto"/>
        <w:left w:val="none" w:sz="0" w:space="0" w:color="auto"/>
        <w:bottom w:val="none" w:sz="0" w:space="0" w:color="auto"/>
        <w:right w:val="none" w:sz="0" w:space="0" w:color="auto"/>
      </w:divBdr>
    </w:div>
    <w:div w:id="1909146821">
      <w:bodyDiv w:val="1"/>
      <w:marLeft w:val="0"/>
      <w:marRight w:val="0"/>
      <w:marTop w:val="0"/>
      <w:marBottom w:val="0"/>
      <w:divBdr>
        <w:top w:val="none" w:sz="0" w:space="0" w:color="auto"/>
        <w:left w:val="none" w:sz="0" w:space="0" w:color="auto"/>
        <w:bottom w:val="none" w:sz="0" w:space="0" w:color="auto"/>
        <w:right w:val="none" w:sz="0" w:space="0" w:color="auto"/>
      </w:divBdr>
    </w:div>
    <w:div w:id="2105370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mvijayyadav949@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ssrn.com/abstract=1524154" TargetMode="External"/><Relationship Id="rId4" Type="http://schemas.microsoft.com/office/2007/relationships/stylesWithEffects" Target="stylesWithEffects.xml"/><Relationship Id="rId9" Type="http://schemas.openxmlformats.org/officeDocument/2006/relationships/hyperlink" Target="https://doi.org/10.55829/ijmpr.v2i2.1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5C7893-4DC1-4EA6-87AA-518F6CB58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11</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3</cp:revision>
  <dcterms:created xsi:type="dcterms:W3CDTF">2024-07-10T09:51:00Z</dcterms:created>
  <dcterms:modified xsi:type="dcterms:W3CDTF">2024-07-10T10:05:00Z</dcterms:modified>
</cp:coreProperties>
</file>