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D6C" w:rsidRDefault="00283B17">
      <w:pPr>
        <w:pStyle w:val="Heading3"/>
        <w:spacing w:line="276" w:lineRule="auto"/>
        <w:jc w:val="both"/>
        <w:rPr>
          <w:rFonts w:cs="Times New Roman"/>
        </w:rPr>
      </w:pPr>
      <w:r>
        <w:rPr>
          <w:rFonts w:cs="Times New Roman"/>
        </w:rPr>
        <w:t xml:space="preserve">VOLTAGE </w:t>
      </w:r>
      <w:r>
        <w:rPr>
          <w:rFonts w:cs="Times New Roman"/>
        </w:rPr>
        <w:t>CHARACTERI</w:t>
      </w:r>
      <w:r w:rsidR="00562C65">
        <w:rPr>
          <w:rFonts w:cs="Times New Roman"/>
        </w:rPr>
        <w:t>ZATION</w:t>
      </w:r>
      <w:r>
        <w:rPr>
          <w:rFonts w:cs="Times New Roman"/>
        </w:rPr>
        <w:t xml:space="preserve"> OF A LOW-RELIABILITY DISTRIBUTION NETWORK</w:t>
      </w:r>
    </w:p>
    <w:p w:rsidR="00161D6C" w:rsidRDefault="00161D6C">
      <w:pPr>
        <w:spacing w:line="276" w:lineRule="auto"/>
        <w:jc w:val="center"/>
        <w:rPr>
          <w:rFonts w:ascii="Times New Roman" w:hAnsi="Times New Roman" w:cs="Times New Roman"/>
          <w:b/>
          <w:bCs/>
        </w:rPr>
      </w:pPr>
    </w:p>
    <w:p w:rsidR="00161D6C" w:rsidRDefault="00283B17">
      <w:pPr>
        <w:spacing w:line="276" w:lineRule="auto"/>
        <w:jc w:val="center"/>
        <w:rPr>
          <w:rFonts w:ascii="Times New Roman" w:hAnsi="Times New Roman" w:cs="Times New Roman"/>
          <w:b/>
          <w:bCs/>
        </w:rPr>
      </w:pPr>
      <w:r>
        <w:rPr>
          <w:rFonts w:ascii="Times New Roman" w:hAnsi="Times New Roman" w:cs="Times New Roman"/>
          <w:b/>
          <w:bCs/>
        </w:rPr>
        <w:t>Joel Ogunyemi</w:t>
      </w:r>
      <w:r>
        <w:rPr>
          <w:rFonts w:ascii="Times New Roman" w:hAnsi="Times New Roman" w:cs="Times New Roman"/>
          <w:b/>
          <w:bCs/>
          <w:vertAlign w:val="superscript"/>
        </w:rPr>
        <w:t>1</w:t>
      </w:r>
      <w:r>
        <w:rPr>
          <w:rFonts w:ascii="Times New Roman" w:hAnsi="Times New Roman" w:cs="Times New Roman"/>
          <w:b/>
          <w:bCs/>
        </w:rPr>
        <w:t xml:space="preserve">, </w:t>
      </w:r>
      <w:proofErr w:type="spellStart"/>
      <w:r>
        <w:rPr>
          <w:rFonts w:ascii="Times New Roman" w:hAnsi="Times New Roman" w:cs="Times New Roman"/>
          <w:b/>
          <w:bCs/>
        </w:rPr>
        <w:t>Ayangbenjo</w:t>
      </w:r>
      <w:proofErr w:type="spellEnd"/>
      <w:r>
        <w:rPr>
          <w:rFonts w:ascii="Times New Roman" w:hAnsi="Times New Roman" w:cs="Times New Roman"/>
          <w:b/>
          <w:bCs/>
        </w:rPr>
        <w:t xml:space="preserve"> H. Adeyeye</w:t>
      </w:r>
      <w:r>
        <w:rPr>
          <w:rFonts w:ascii="Times New Roman" w:hAnsi="Times New Roman" w:cs="Times New Roman"/>
          <w:b/>
          <w:bCs/>
          <w:vertAlign w:val="superscript"/>
        </w:rPr>
        <w:t>2</w:t>
      </w:r>
      <w:r>
        <w:rPr>
          <w:rFonts w:ascii="Times New Roman" w:hAnsi="Times New Roman" w:cs="Times New Roman"/>
          <w:b/>
          <w:bCs/>
        </w:rPr>
        <w:t>, Zacchaeus. A. Adetona</w:t>
      </w:r>
      <w:r>
        <w:rPr>
          <w:rFonts w:ascii="Times New Roman" w:hAnsi="Times New Roman" w:cs="Times New Roman"/>
          <w:b/>
          <w:bCs/>
          <w:vertAlign w:val="superscript"/>
        </w:rPr>
        <w:t>3</w:t>
      </w:r>
    </w:p>
    <w:p w:rsidR="00161D6C" w:rsidRDefault="00283B17">
      <w:pPr>
        <w:spacing w:line="276" w:lineRule="auto"/>
        <w:rPr>
          <w:rFonts w:ascii="Times New Roman" w:hAnsi="Times New Roman" w:cs="Times New Roman"/>
        </w:rPr>
      </w:pPr>
      <w:r>
        <w:rPr>
          <w:rFonts w:ascii="Times New Roman" w:hAnsi="Times New Roman" w:cs="Times New Roman"/>
          <w:vertAlign w:val="superscript"/>
        </w:rPr>
        <w:t>1,3</w:t>
      </w:r>
      <w:r>
        <w:rPr>
          <w:rFonts w:ascii="Times New Roman" w:hAnsi="Times New Roman" w:cs="Times New Roman"/>
        </w:rPr>
        <w:t>Department of Electrical/</w:t>
      </w:r>
      <w:proofErr w:type="spellStart"/>
      <w:r>
        <w:rPr>
          <w:rFonts w:ascii="Times New Roman" w:hAnsi="Times New Roman" w:cs="Times New Roman"/>
        </w:rPr>
        <w:t>Electronics</w:t>
      </w:r>
      <w:proofErr w:type="spellEnd"/>
      <w:r>
        <w:rPr>
          <w:rFonts w:ascii="Times New Roman" w:hAnsi="Times New Roman" w:cs="Times New Roman"/>
        </w:rPr>
        <w:t xml:space="preserve"> Engineering, Federal Polytechnic Ilaro, Ogun State, Nigeria</w:t>
      </w:r>
    </w:p>
    <w:p w:rsidR="00161D6C" w:rsidRDefault="00467D7C">
      <w:pPr>
        <w:spacing w:line="276" w:lineRule="auto"/>
        <w:rPr>
          <w:rFonts w:ascii="Times New Roman" w:hAnsi="Times New Roman" w:cs="Times New Roman"/>
        </w:rPr>
      </w:pPr>
      <w:r w:rsidRPr="00467D7C">
        <w:rPr>
          <w:rFonts w:ascii="Times New Roman" w:hAnsi="Times New Roman" w:cs="Times New Roman"/>
          <w:vertAlign w:val="superscript"/>
        </w:rPr>
        <w:t>2</w:t>
      </w:r>
      <w:r w:rsidRPr="00467D7C">
        <w:rPr>
          <w:rFonts w:ascii="Times New Roman" w:hAnsi="Times New Roman" w:cs="Times New Roman"/>
        </w:rPr>
        <w:t>Department of Electrical/</w:t>
      </w:r>
      <w:proofErr w:type="spellStart"/>
      <w:r w:rsidRPr="00467D7C">
        <w:rPr>
          <w:rFonts w:ascii="Times New Roman" w:hAnsi="Times New Roman" w:cs="Times New Roman"/>
        </w:rPr>
        <w:t>Electronics</w:t>
      </w:r>
      <w:proofErr w:type="spellEnd"/>
      <w:r w:rsidRPr="00467D7C">
        <w:rPr>
          <w:rFonts w:ascii="Times New Roman" w:hAnsi="Times New Roman" w:cs="Times New Roman"/>
        </w:rPr>
        <w:t xml:space="preserve"> Engineering, </w:t>
      </w:r>
      <w:proofErr w:type="spellStart"/>
      <w:r w:rsidRPr="00467D7C">
        <w:rPr>
          <w:rFonts w:ascii="Times New Roman" w:hAnsi="Times New Roman" w:cs="Times New Roman"/>
        </w:rPr>
        <w:t>Adeseun</w:t>
      </w:r>
      <w:proofErr w:type="spellEnd"/>
      <w:r w:rsidRPr="00467D7C">
        <w:rPr>
          <w:rFonts w:ascii="Times New Roman" w:hAnsi="Times New Roman" w:cs="Times New Roman"/>
        </w:rPr>
        <w:t xml:space="preserve"> </w:t>
      </w:r>
      <w:proofErr w:type="spellStart"/>
      <w:r w:rsidRPr="00467D7C">
        <w:rPr>
          <w:rFonts w:ascii="Times New Roman" w:hAnsi="Times New Roman" w:cs="Times New Roman"/>
        </w:rPr>
        <w:t>Ogundoyin</w:t>
      </w:r>
      <w:proofErr w:type="spellEnd"/>
      <w:r w:rsidRPr="00467D7C">
        <w:rPr>
          <w:rFonts w:ascii="Times New Roman" w:hAnsi="Times New Roman" w:cs="Times New Roman"/>
        </w:rPr>
        <w:t xml:space="preserve"> Polytechnic, </w:t>
      </w:r>
      <w:proofErr w:type="spellStart"/>
      <w:r w:rsidRPr="00467D7C">
        <w:rPr>
          <w:rFonts w:ascii="Times New Roman" w:hAnsi="Times New Roman" w:cs="Times New Roman"/>
        </w:rPr>
        <w:t>Eruwa</w:t>
      </w:r>
      <w:proofErr w:type="spellEnd"/>
      <w:r w:rsidRPr="00467D7C">
        <w:rPr>
          <w:rFonts w:ascii="Times New Roman" w:hAnsi="Times New Roman" w:cs="Times New Roman"/>
        </w:rPr>
        <w:t>, Nigeria</w:t>
      </w:r>
    </w:p>
    <w:p w:rsidR="00161D6C" w:rsidRDefault="00161D6C">
      <w:pPr>
        <w:spacing w:line="276" w:lineRule="auto"/>
        <w:jc w:val="both"/>
        <w:rPr>
          <w:rFonts w:ascii="Times New Roman" w:hAnsi="Times New Roman" w:cs="Times New Roman"/>
        </w:rPr>
      </w:pPr>
    </w:p>
    <w:p w:rsidR="00161D6C" w:rsidRDefault="00283B17">
      <w:pPr>
        <w:tabs>
          <w:tab w:val="left" w:pos="3256"/>
        </w:tabs>
        <w:spacing w:line="276" w:lineRule="auto"/>
        <w:jc w:val="both"/>
        <w:rPr>
          <w:rFonts w:ascii="Times New Roman" w:hAnsi="Times New Roman" w:cs="Times New Roman"/>
          <w:bCs/>
        </w:rPr>
      </w:pPr>
      <w:r>
        <w:rPr>
          <w:rFonts w:ascii="Times New Roman" w:hAnsi="Times New Roman" w:cs="Times New Roman"/>
          <w:b/>
          <w:bCs/>
        </w:rPr>
        <w:t xml:space="preserve">Abstract </w:t>
      </w:r>
    </w:p>
    <w:p w:rsidR="00161D6C" w:rsidRDefault="00283B17">
      <w:pPr>
        <w:tabs>
          <w:tab w:val="left" w:pos="3256"/>
        </w:tabs>
        <w:spacing w:line="276" w:lineRule="auto"/>
        <w:jc w:val="both"/>
        <w:rPr>
          <w:rFonts w:ascii="Times New Roman" w:hAnsi="Times New Roman" w:cs="Times New Roman"/>
        </w:rPr>
      </w:pPr>
      <w:r>
        <w:rPr>
          <w:rFonts w:ascii="Times New Roman" w:eastAsia="Times New Roman" w:hAnsi="Times New Roman" w:cs="Times New Roman"/>
          <w:color w:val="0E101A"/>
        </w:rPr>
        <w:t>Characterizing voltage variation in the Nigerian electrical distribution network as it affects the reliability and quality of power supply to consumers is significant. This paper examines the voltage variations characteristics in a</w:t>
      </w:r>
      <w:r>
        <w:rPr>
          <w:rFonts w:ascii="Times New Roman" w:eastAsia="Times New Roman" w:hAnsi="Times New Roman" w:cs="Times New Roman"/>
          <w:color w:val="0E101A"/>
        </w:rPr>
        <w:t xml:space="preserve"> typical low-reliability network. T</w:t>
      </w:r>
      <w:r>
        <w:rPr>
          <w:rFonts w:ascii="Times New Roman" w:eastAsia="Times New Roman" w:hAnsi="Times New Roman" w:cs="Times New Roman"/>
          <w:color w:val="0E101A"/>
        </w:rPr>
        <w:t xml:space="preserve">wo terms, short duration voltage variation (SDVV) and long duration voltage variation (LDVV) are used to redefine sag, swell, </w:t>
      </w:r>
      <w:proofErr w:type="spellStart"/>
      <w:r>
        <w:rPr>
          <w:rFonts w:ascii="Times New Roman" w:eastAsia="Times New Roman" w:hAnsi="Times New Roman" w:cs="Times New Roman"/>
          <w:color w:val="0E101A"/>
        </w:rPr>
        <w:t>undervoltage</w:t>
      </w:r>
      <w:proofErr w:type="spellEnd"/>
      <w:r>
        <w:rPr>
          <w:rFonts w:ascii="Times New Roman" w:eastAsia="Times New Roman" w:hAnsi="Times New Roman" w:cs="Times New Roman"/>
          <w:color w:val="0E101A"/>
        </w:rPr>
        <w:t xml:space="preserve"> and overvoltage with</w:t>
      </w:r>
      <w:r>
        <w:rPr>
          <w:rFonts w:ascii="Times New Roman" w:eastAsia="Times New Roman" w:hAnsi="Times New Roman" w:cs="Times New Roman"/>
          <w:color w:val="0E101A"/>
        </w:rPr>
        <w:t xml:space="preserve"> pictorial and graphical illustration </w:t>
      </w:r>
      <w:r>
        <w:rPr>
          <w:rFonts w:ascii="Times New Roman" w:eastAsia="Calibri" w:hAnsi="Times New Roman" w:cs="Times New Roman"/>
          <w:color w:val="0E101A"/>
        </w:rPr>
        <w:t>in</w:t>
      </w:r>
      <w:r>
        <w:rPr>
          <w:rFonts w:ascii="Times New Roman" w:eastAsia="Calibri" w:hAnsi="Times New Roman" w:cs="Times New Roman"/>
          <w:color w:val="0E101A"/>
        </w:rPr>
        <w:t xml:space="preserve"> selected section of the Nig</w:t>
      </w:r>
      <w:r>
        <w:rPr>
          <w:rFonts w:ascii="Times New Roman" w:eastAsia="Calibri" w:hAnsi="Times New Roman" w:cs="Times New Roman"/>
          <w:color w:val="0E101A"/>
        </w:rPr>
        <w:t>erian distribution network in</w:t>
      </w:r>
      <w:r>
        <w:rPr>
          <w:rFonts w:ascii="Times New Roman" w:eastAsia="Calibri" w:hAnsi="Times New Roman" w:cs="Times New Roman"/>
          <w:color w:val="0E101A"/>
        </w:rPr>
        <w:t xml:space="preserve"> Ilaro </w:t>
      </w:r>
      <w:r>
        <w:rPr>
          <w:rFonts w:ascii="Times New Roman" w:eastAsia="Calibri" w:hAnsi="Times New Roman" w:cs="Times New Roman"/>
          <w:color w:val="0E101A"/>
        </w:rPr>
        <w:t>Ogun State</w:t>
      </w:r>
      <w:r>
        <w:rPr>
          <w:rFonts w:ascii="Times New Roman" w:eastAsia="Times New Roman" w:hAnsi="Times New Roman" w:cs="Times New Roman"/>
          <w:color w:val="0E101A"/>
        </w:rPr>
        <w:t xml:space="preserve">. </w:t>
      </w:r>
      <w:r>
        <w:rPr>
          <w:rFonts w:ascii="Times New Roman" w:eastAsia="Calibri" w:hAnsi="Times New Roman" w:cs="Times New Roman"/>
          <w:color w:val="0E101A"/>
        </w:rPr>
        <w:t>The survey was part of power quality s</w:t>
      </w:r>
      <w:r>
        <w:rPr>
          <w:rFonts w:ascii="Times New Roman" w:eastAsia="Calibri" w:hAnsi="Times New Roman" w:cs="Times New Roman"/>
          <w:color w:val="0E101A"/>
        </w:rPr>
        <w:t>tudies in the selected section of the Nigerian distribution network.</w:t>
      </w:r>
      <w:bookmarkStart w:id="0" w:name="_GoBack"/>
      <w:bookmarkEnd w:id="0"/>
      <w:r>
        <w:rPr>
          <w:rFonts w:ascii="Times New Roman" w:eastAsia="Calibri" w:hAnsi="Times New Roman" w:cs="Times New Roman"/>
          <w:color w:val="0E101A"/>
        </w:rPr>
        <w:t xml:space="preserve"> </w:t>
      </w:r>
      <w:r>
        <w:rPr>
          <w:rFonts w:ascii="Times New Roman" w:eastAsia="Times New Roman" w:hAnsi="Times New Roman" w:cs="Times New Roman"/>
          <w:color w:val="0E101A"/>
        </w:rPr>
        <w:t xml:space="preserve">The studies showed that the selected distribution network voltage variation is more pronounced and can be </w:t>
      </w:r>
      <w:proofErr w:type="spellStart"/>
      <w:r>
        <w:rPr>
          <w:rFonts w:ascii="Times New Roman" w:eastAsia="Times New Roman" w:hAnsi="Times New Roman" w:cs="Times New Roman"/>
          <w:color w:val="0E101A"/>
        </w:rPr>
        <w:t>characterised</w:t>
      </w:r>
      <w:proofErr w:type="spellEnd"/>
      <w:r>
        <w:rPr>
          <w:rFonts w:ascii="Times New Roman" w:eastAsia="Times New Roman" w:hAnsi="Times New Roman" w:cs="Times New Roman"/>
          <w:color w:val="0E101A"/>
        </w:rPr>
        <w:t xml:space="preserve"> as under-voltage. With the </w:t>
      </w:r>
      <w:r>
        <w:rPr>
          <w:rFonts w:ascii="Times New Roman" w:eastAsia="Times New Roman" w:hAnsi="Times New Roman" w:cs="Times New Roman"/>
          <w:color w:val="0E101A"/>
        </w:rPr>
        <w:t>measured voltage magnitude of 179V as the typical value the deviation from the ideal 230V is significant. T</w:t>
      </w:r>
      <w:r>
        <w:rPr>
          <w:rFonts w:ascii="Times New Roman" w:eastAsia="Times New Roman" w:hAnsi="Times New Roman" w:cs="Times New Roman"/>
          <w:color w:val="0E101A"/>
        </w:rPr>
        <w:t>he descriptive statistics of the nominal and measured voltage and frequency are compared with the EN 50160 standards. M</w:t>
      </w:r>
      <w:r>
        <w:rPr>
          <w:rFonts w:ascii="Times New Roman" w:eastAsia="Times New Roman" w:hAnsi="Times New Roman" w:cs="Times New Roman"/>
          <w:color w:val="0E101A"/>
        </w:rPr>
        <w:t>ore work is requi</w:t>
      </w:r>
      <w:r>
        <w:rPr>
          <w:rFonts w:ascii="Times New Roman" w:eastAsia="Times New Roman" w:hAnsi="Times New Roman" w:cs="Times New Roman"/>
          <w:color w:val="0E101A"/>
        </w:rPr>
        <w:t xml:space="preserve">red to </w:t>
      </w:r>
      <w:proofErr w:type="spellStart"/>
      <w:r>
        <w:rPr>
          <w:rFonts w:ascii="Times New Roman" w:eastAsia="Times New Roman" w:hAnsi="Times New Roman" w:cs="Times New Roman"/>
          <w:color w:val="0E101A"/>
        </w:rPr>
        <w:t>characterise</w:t>
      </w:r>
      <w:proofErr w:type="spellEnd"/>
      <w:r>
        <w:rPr>
          <w:rFonts w:ascii="Times New Roman" w:eastAsia="Times New Roman" w:hAnsi="Times New Roman" w:cs="Times New Roman"/>
          <w:color w:val="0E101A"/>
        </w:rPr>
        <w:t xml:space="preserve"> the entire distribution network, the results obtained here are indicators of what is obtainable in other parts of the network. Efforts to improve power quality should therefore go along with reliability improvement. </w:t>
      </w:r>
    </w:p>
    <w:p w:rsidR="00161D6C" w:rsidRDefault="00283B17">
      <w:pPr>
        <w:tabs>
          <w:tab w:val="left" w:pos="3256"/>
        </w:tabs>
        <w:spacing w:line="276"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Keywords:  Sag, swe</w:t>
      </w:r>
      <w:r>
        <w:rPr>
          <w:rFonts w:ascii="Times New Roman" w:eastAsia="Times New Roman" w:hAnsi="Times New Roman" w:cs="Times New Roman"/>
          <w:color w:val="0E101A"/>
        </w:rPr>
        <w:t xml:space="preserve">ll, short duration voltage variations (SDVV), long duration voltage variations (LDVV).  </w:t>
      </w:r>
    </w:p>
    <w:p w:rsidR="00161D6C" w:rsidRDefault="00161D6C">
      <w:pPr>
        <w:spacing w:line="276" w:lineRule="auto"/>
        <w:jc w:val="both"/>
        <w:rPr>
          <w:rFonts w:ascii="Times New Roman" w:eastAsia="Calibri" w:hAnsi="Times New Roman" w:cs="Times New Roman"/>
        </w:rPr>
      </w:pPr>
    </w:p>
    <w:p w:rsidR="00161D6C" w:rsidRDefault="00283B17">
      <w:pPr>
        <w:spacing w:line="276" w:lineRule="auto"/>
        <w:jc w:val="both"/>
        <w:rPr>
          <w:rFonts w:ascii="Times New Roman" w:eastAsia="Times New Roman" w:hAnsi="Times New Roman" w:cs="Times New Roman"/>
          <w:b/>
          <w:bCs/>
          <w:color w:val="0E101A"/>
        </w:rPr>
      </w:pPr>
      <w:r>
        <w:rPr>
          <w:rFonts w:ascii="Times New Roman" w:eastAsia="Times New Roman" w:hAnsi="Times New Roman" w:cs="Times New Roman"/>
          <w:b/>
          <w:bCs/>
          <w:color w:val="0E101A"/>
        </w:rPr>
        <w:t>1. Introduction</w:t>
      </w:r>
    </w:p>
    <w:p w:rsidR="00161D6C" w:rsidRDefault="00283B17">
      <w:pPr>
        <w:tabs>
          <w:tab w:val="left" w:pos="3256"/>
        </w:tabs>
        <w:spacing w:after="200" w:line="276" w:lineRule="auto"/>
        <w:jc w:val="both"/>
        <w:rPr>
          <w:rFonts w:ascii="Times New Roman" w:hAnsi="Times New Roman" w:cs="Times New Roman"/>
        </w:rPr>
      </w:pPr>
      <w:r>
        <w:rPr>
          <w:rStyle w:val="Strong"/>
          <w:rFonts w:ascii="Times New Roman" w:eastAsia="Times New Roman" w:hAnsi="Times New Roman" w:cs="Times New Roman"/>
          <w:b w:val="0"/>
          <w:bCs w:val="0"/>
        </w:rPr>
        <w:t>Electricity, as delivered to network users, has several characteristics which are variable and which affect its usefulness to the network user. The electrical power supply is expected to have constant voltage and frequency, with a pure sinusoidal wave. How</w:t>
      </w:r>
      <w:r>
        <w:rPr>
          <w:rStyle w:val="Strong"/>
          <w:rFonts w:ascii="Times New Roman" w:eastAsia="Times New Roman" w:hAnsi="Times New Roman" w:cs="Times New Roman"/>
          <w:b w:val="0"/>
          <w:bCs w:val="0"/>
        </w:rPr>
        <w:t>ever, various factors cause deviations from this in practice. Also, electrical energy, as a unique product, because it is consumed at the instant at which it is generated, requires the measurement and evaluation of its power quality to be instantaneous. St</w:t>
      </w:r>
      <w:r>
        <w:rPr>
          <w:rStyle w:val="Strong"/>
          <w:rFonts w:ascii="Times New Roman" w:eastAsia="Times New Roman" w:hAnsi="Times New Roman" w:cs="Times New Roman"/>
          <w:b w:val="0"/>
          <w:bCs w:val="0"/>
        </w:rPr>
        <w:t xml:space="preserve">andard EN 50160 describes the characteristics of electricity, at the point of supply to the consumer, in terms of the alternating voltage. </w:t>
      </w:r>
    </w:p>
    <w:p w:rsidR="00161D6C" w:rsidRDefault="00283B17">
      <w:pPr>
        <w:tabs>
          <w:tab w:val="left" w:pos="3256"/>
        </w:tabs>
        <w:spacing w:after="200" w:line="276" w:lineRule="auto"/>
        <w:jc w:val="both"/>
        <w:rPr>
          <w:rFonts w:ascii="Times New Roman" w:hAnsi="Times New Roman" w:cs="Times New Roman"/>
        </w:rPr>
      </w:pPr>
      <w:r>
        <w:rPr>
          <w:rStyle w:val="Strong"/>
          <w:rFonts w:ascii="Times New Roman" w:eastAsia="Times New Roman" w:hAnsi="Times New Roman" w:cs="Times New Roman"/>
          <w:b w:val="0"/>
          <w:bCs w:val="0"/>
        </w:rPr>
        <w:t>Voltage variation is one of the power quality phenomena. There are various power quality associated with voltage var</w:t>
      </w:r>
      <w:r>
        <w:rPr>
          <w:rStyle w:val="Strong"/>
          <w:rFonts w:ascii="Times New Roman" w:eastAsia="Times New Roman" w:hAnsi="Times New Roman" w:cs="Times New Roman"/>
          <w:b w:val="0"/>
          <w:bCs w:val="0"/>
        </w:rPr>
        <w:t xml:space="preserve">iation such as voltage fluctuations (flicker), voltage dip/swell, harmonic distortion, etc. Though transients and harmonics also contribute to voltage variations, affecting the performance and longevity of electrical devices connected to the network, only </w:t>
      </w:r>
      <w:r>
        <w:rPr>
          <w:rStyle w:val="Strong"/>
          <w:rFonts w:ascii="Times New Roman" w:eastAsia="Times New Roman" w:hAnsi="Times New Roman" w:cs="Times New Roman"/>
          <w:b w:val="0"/>
          <w:bCs w:val="0"/>
        </w:rPr>
        <w:t xml:space="preserve">voltage variation due to reduction and increase in magnitude (sag and swelling) are discussed in this paper. </w:t>
      </w:r>
      <w:r>
        <w:rPr>
          <w:rFonts w:ascii="Times New Roman" w:eastAsia="Times New Roman" w:hAnsi="Times New Roman" w:cs="Times New Roman"/>
        </w:rPr>
        <w:t xml:space="preserve"> </w:t>
      </w:r>
    </w:p>
    <w:p w:rsidR="00161D6C" w:rsidRDefault="00283B17">
      <w:pPr>
        <w:tabs>
          <w:tab w:val="left" w:pos="3256"/>
        </w:tabs>
        <w:spacing w:line="276" w:lineRule="auto"/>
        <w:jc w:val="both"/>
        <w:rPr>
          <w:rFonts w:hint="eastAsia"/>
          <w:b/>
          <w:bCs/>
        </w:rPr>
      </w:pPr>
      <w:r>
        <w:rPr>
          <w:rFonts w:ascii="Times New Roman" w:eastAsia="Times New Roman" w:hAnsi="Times New Roman" w:cs="Times New Roman"/>
          <w:b/>
          <w:bCs/>
          <w:color w:val="0E101A"/>
        </w:rPr>
        <w:t>2. Low Reliability Distribution Network</w:t>
      </w:r>
    </w:p>
    <w:p w:rsidR="00161D6C" w:rsidRDefault="00283B17">
      <w:pPr>
        <w:pStyle w:val="BodyText"/>
        <w:tabs>
          <w:tab w:val="left" w:pos="3256"/>
        </w:tabs>
        <w:spacing w:after="200"/>
        <w:jc w:val="both"/>
        <w:rPr>
          <w:rFonts w:ascii="Times New Roman" w:hAnsi="Times New Roman" w:cs="Times New Roman"/>
        </w:rPr>
      </w:pPr>
      <w:r>
        <w:rPr>
          <w:rStyle w:val="Strong"/>
          <w:rFonts w:ascii="Times New Roman" w:eastAsia="Times New Roman" w:hAnsi="Times New Roman" w:cs="Times New Roman"/>
          <w:b w:val="0"/>
          <w:bCs w:val="0"/>
          <w:color w:val="0E101A"/>
          <w:kern w:val="0"/>
        </w:rPr>
        <w:t>The reliability of any power network is an important index for assessing the network’s performance (</w:t>
      </w:r>
      <w:proofErr w:type="spellStart"/>
      <w:r>
        <w:rPr>
          <w:rStyle w:val="Strong"/>
          <w:rFonts w:ascii="Times New Roman" w:eastAsia="Times New Roman" w:hAnsi="Times New Roman" w:cs="Times New Roman"/>
          <w:b w:val="0"/>
          <w:bCs w:val="0"/>
          <w:color w:val="0E101A"/>
          <w:kern w:val="0"/>
        </w:rPr>
        <w:t>Oguny</w:t>
      </w:r>
      <w:r>
        <w:rPr>
          <w:rStyle w:val="Strong"/>
          <w:rFonts w:ascii="Times New Roman" w:eastAsia="Times New Roman" w:hAnsi="Times New Roman" w:cs="Times New Roman"/>
          <w:b w:val="0"/>
          <w:bCs w:val="0"/>
          <w:color w:val="0E101A"/>
          <w:kern w:val="0"/>
        </w:rPr>
        <w:t>emi</w:t>
      </w:r>
      <w:proofErr w:type="spellEnd"/>
      <w:r>
        <w:rPr>
          <w:rStyle w:val="Strong"/>
          <w:rFonts w:ascii="Times New Roman" w:eastAsia="Times New Roman" w:hAnsi="Times New Roman" w:cs="Times New Roman"/>
          <w:b w:val="0"/>
          <w:bCs w:val="0"/>
          <w:color w:val="0E101A"/>
          <w:kern w:val="0"/>
        </w:rPr>
        <w:t>, 2016). Globally, distribution networks can be classified broadly into high-reliability and low-reliability networks (</w:t>
      </w:r>
      <w:proofErr w:type="spellStart"/>
      <w:r>
        <w:rPr>
          <w:rStyle w:val="Strong"/>
          <w:rFonts w:ascii="Times New Roman" w:eastAsia="Times New Roman" w:hAnsi="Times New Roman" w:cs="Times New Roman"/>
          <w:b w:val="0"/>
          <w:bCs w:val="0"/>
          <w:color w:val="0E101A"/>
          <w:kern w:val="0"/>
        </w:rPr>
        <w:t>Ogunyemi</w:t>
      </w:r>
      <w:proofErr w:type="spellEnd"/>
      <w:r>
        <w:rPr>
          <w:rStyle w:val="Strong"/>
          <w:rFonts w:ascii="Times New Roman" w:eastAsia="Times New Roman" w:hAnsi="Times New Roman" w:cs="Times New Roman"/>
          <w:b w:val="0"/>
          <w:bCs w:val="0"/>
          <w:color w:val="0E101A"/>
          <w:kern w:val="0"/>
        </w:rPr>
        <w:t xml:space="preserve"> and </w:t>
      </w:r>
      <w:proofErr w:type="spellStart"/>
      <w:r>
        <w:rPr>
          <w:rStyle w:val="Strong"/>
          <w:rFonts w:ascii="Times New Roman" w:eastAsia="Times New Roman" w:hAnsi="Times New Roman" w:cs="Times New Roman"/>
          <w:b w:val="0"/>
          <w:bCs w:val="0"/>
          <w:color w:val="0E101A"/>
          <w:kern w:val="0"/>
        </w:rPr>
        <w:t>Adejumobi</w:t>
      </w:r>
      <w:proofErr w:type="spellEnd"/>
      <w:r>
        <w:rPr>
          <w:rStyle w:val="Strong"/>
          <w:rFonts w:ascii="Times New Roman" w:eastAsia="Times New Roman" w:hAnsi="Times New Roman" w:cs="Times New Roman"/>
          <w:b w:val="0"/>
          <w:bCs w:val="0"/>
          <w:color w:val="0E101A"/>
          <w:kern w:val="0"/>
        </w:rPr>
        <w:t xml:space="preserve">, 2016). Causes of low reliability in </w:t>
      </w:r>
      <w:r>
        <w:rPr>
          <w:rStyle w:val="Strong"/>
          <w:rFonts w:ascii="Times New Roman" w:eastAsia="Times New Roman" w:hAnsi="Times New Roman" w:cs="Times New Roman"/>
          <w:b w:val="0"/>
          <w:bCs w:val="0"/>
          <w:color w:val="0E101A"/>
          <w:kern w:val="0"/>
        </w:rPr>
        <w:lastRenderedPageBreak/>
        <w:t>distribution networks include inadequate generation, old or ageing infrast</w:t>
      </w:r>
      <w:r>
        <w:rPr>
          <w:rStyle w:val="Strong"/>
          <w:rFonts w:ascii="Times New Roman" w:eastAsia="Times New Roman" w:hAnsi="Times New Roman" w:cs="Times New Roman"/>
          <w:b w:val="0"/>
          <w:bCs w:val="0"/>
          <w:color w:val="0E101A"/>
          <w:kern w:val="0"/>
        </w:rPr>
        <w:t xml:space="preserve">ructure coupled with poor maintenance culture among others. </w:t>
      </w:r>
    </w:p>
    <w:p w:rsidR="00161D6C" w:rsidRDefault="00283B17">
      <w:pPr>
        <w:pStyle w:val="BodyText"/>
        <w:spacing w:after="0"/>
        <w:jc w:val="both"/>
        <w:rPr>
          <w:rFonts w:ascii="Times New Roman" w:hAnsi="Times New Roman" w:cs="Times New Roman"/>
        </w:rPr>
      </w:pPr>
      <w:r>
        <w:rPr>
          <w:color w:val="0E101A"/>
        </w:rPr>
        <w:t>Usually, the last stage of a power system is the low voltage (LV) network, which connects directly to the end user customers and supply loads. In Nigeria, the most common voltage levels of LV net</w:t>
      </w:r>
      <w:r>
        <w:rPr>
          <w:color w:val="0E101A"/>
        </w:rPr>
        <w:t xml:space="preserve">works are with the nominal voltage of 230 V single </w:t>
      </w:r>
      <w:proofErr w:type="gramStart"/>
      <w:r>
        <w:rPr>
          <w:color w:val="0E101A"/>
        </w:rPr>
        <w:t>phase</w:t>
      </w:r>
      <w:proofErr w:type="gramEnd"/>
      <w:r>
        <w:rPr>
          <w:rStyle w:val="Emphasis"/>
          <w:color w:val="0E101A"/>
        </w:rPr>
        <w:t>.</w:t>
      </w:r>
      <w:r>
        <w:rPr>
          <w:color w:val="0E101A"/>
        </w:rPr>
        <w:t xml:space="preserve"> Figure 1 shows a typical distribution network structure depicting the structure of electrical power from generation to end users.</w:t>
      </w:r>
    </w:p>
    <w:p w:rsidR="00161D6C" w:rsidRDefault="00161D6C">
      <w:pPr>
        <w:tabs>
          <w:tab w:val="left" w:pos="3256"/>
        </w:tabs>
        <w:spacing w:after="200" w:line="276" w:lineRule="auto"/>
        <w:jc w:val="both"/>
        <w:rPr>
          <w:rFonts w:ascii="Times New Roman" w:hAnsi="Times New Roman" w:cs="Times New Roman"/>
        </w:rPr>
      </w:pPr>
    </w:p>
    <w:p w:rsidR="00161D6C" w:rsidRDefault="00283B17">
      <w:pPr>
        <w:spacing w:line="276" w:lineRule="auto"/>
        <w:jc w:val="both"/>
        <w:rPr>
          <w:rFonts w:ascii="Times New Roman" w:eastAsia="Times New Roman" w:hAnsi="Times New Roman" w:cs="Times New Roman"/>
          <w:b/>
          <w:bCs/>
          <w:color w:val="0E101A"/>
        </w:rPr>
      </w:pPr>
      <w:r>
        <w:rPr>
          <w:rFonts w:ascii="Times New Roman" w:eastAsia="Times New Roman" w:hAnsi="Times New Roman" w:cs="Times New Roman"/>
          <w:b/>
          <w:bCs/>
          <w:noProof/>
          <w:color w:val="0E101A"/>
          <w:lang w:eastAsia="en-US" w:bidi="ar-SA"/>
        </w:rPr>
        <w:drawing>
          <wp:anchor distT="0" distB="0" distL="0" distR="0" simplePos="0" relativeHeight="7" behindDoc="0" locked="0" layoutInCell="0" allowOverlap="1">
            <wp:simplePos x="0" y="0"/>
            <wp:positionH relativeFrom="column">
              <wp:posOffset>1155065</wp:posOffset>
            </wp:positionH>
            <wp:positionV relativeFrom="paragraph">
              <wp:posOffset>10160</wp:posOffset>
            </wp:positionV>
            <wp:extent cx="3615055" cy="3495040"/>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6"/>
                    <a:stretch>
                      <a:fillRect/>
                    </a:stretch>
                  </pic:blipFill>
                  <pic:spPr bwMode="auto">
                    <a:xfrm>
                      <a:off x="0" y="0"/>
                      <a:ext cx="3615055" cy="3495040"/>
                    </a:xfrm>
                    <a:prstGeom prst="rect">
                      <a:avLst/>
                    </a:prstGeom>
                  </pic:spPr>
                </pic:pic>
              </a:graphicData>
            </a:graphic>
          </wp:anchor>
        </w:drawing>
      </w:r>
    </w:p>
    <w:p w:rsidR="00161D6C" w:rsidRDefault="00161D6C">
      <w:pPr>
        <w:tabs>
          <w:tab w:val="left" w:pos="3256"/>
        </w:tabs>
        <w:spacing w:line="276" w:lineRule="auto"/>
        <w:jc w:val="both"/>
        <w:rPr>
          <w:rFonts w:ascii="Times New Roman" w:hAnsi="Times New Roman" w:cs="Times New Roman"/>
        </w:rPr>
      </w:pPr>
    </w:p>
    <w:p w:rsidR="00161D6C" w:rsidRDefault="00161D6C">
      <w:pPr>
        <w:tabs>
          <w:tab w:val="left" w:pos="3256"/>
        </w:tabs>
        <w:spacing w:line="276" w:lineRule="auto"/>
        <w:jc w:val="both"/>
        <w:rPr>
          <w:rFonts w:ascii="Times New Roman" w:hAnsi="Times New Roman" w:cs="Times New Roman"/>
        </w:rPr>
      </w:pPr>
    </w:p>
    <w:p w:rsidR="00161D6C" w:rsidRDefault="00161D6C">
      <w:pPr>
        <w:tabs>
          <w:tab w:val="left" w:pos="3256"/>
        </w:tabs>
        <w:spacing w:line="276" w:lineRule="auto"/>
        <w:jc w:val="both"/>
        <w:rPr>
          <w:rFonts w:ascii="Times New Roman" w:hAnsi="Times New Roman" w:cs="Times New Roman"/>
        </w:rPr>
      </w:pPr>
    </w:p>
    <w:p w:rsidR="00161D6C" w:rsidRDefault="00161D6C">
      <w:pPr>
        <w:tabs>
          <w:tab w:val="left" w:pos="3256"/>
        </w:tabs>
        <w:spacing w:line="276" w:lineRule="auto"/>
        <w:jc w:val="both"/>
        <w:rPr>
          <w:rFonts w:ascii="Times New Roman" w:hAnsi="Times New Roman" w:cs="Times New Roman"/>
        </w:rPr>
      </w:pPr>
    </w:p>
    <w:p w:rsidR="00161D6C" w:rsidRDefault="00161D6C">
      <w:pPr>
        <w:tabs>
          <w:tab w:val="left" w:pos="3256"/>
        </w:tabs>
        <w:spacing w:line="276" w:lineRule="auto"/>
        <w:jc w:val="both"/>
        <w:rPr>
          <w:rFonts w:ascii="Times New Roman" w:hAnsi="Times New Roman" w:cs="Times New Roman"/>
        </w:rPr>
      </w:pPr>
    </w:p>
    <w:p w:rsidR="00161D6C" w:rsidRDefault="00161D6C">
      <w:pPr>
        <w:tabs>
          <w:tab w:val="left" w:pos="3256"/>
        </w:tabs>
        <w:spacing w:line="276" w:lineRule="auto"/>
        <w:jc w:val="both"/>
        <w:rPr>
          <w:rFonts w:ascii="Times New Roman" w:hAnsi="Times New Roman" w:cs="Times New Roman"/>
        </w:rPr>
      </w:pPr>
    </w:p>
    <w:p w:rsidR="00161D6C" w:rsidRDefault="00161D6C">
      <w:pPr>
        <w:tabs>
          <w:tab w:val="left" w:pos="3256"/>
        </w:tabs>
        <w:spacing w:line="276" w:lineRule="auto"/>
        <w:jc w:val="both"/>
        <w:rPr>
          <w:rFonts w:ascii="Times New Roman" w:hAnsi="Times New Roman" w:cs="Times New Roman"/>
        </w:rPr>
      </w:pPr>
    </w:p>
    <w:p w:rsidR="00161D6C" w:rsidRDefault="00161D6C">
      <w:pPr>
        <w:tabs>
          <w:tab w:val="left" w:pos="3256"/>
        </w:tabs>
        <w:spacing w:line="276" w:lineRule="auto"/>
        <w:jc w:val="both"/>
        <w:rPr>
          <w:rFonts w:hint="eastAsia"/>
        </w:rPr>
      </w:pPr>
    </w:p>
    <w:p w:rsidR="00161D6C" w:rsidRDefault="00161D6C">
      <w:pPr>
        <w:tabs>
          <w:tab w:val="left" w:pos="3256"/>
        </w:tabs>
        <w:spacing w:line="276" w:lineRule="auto"/>
        <w:jc w:val="both"/>
        <w:rPr>
          <w:rFonts w:hint="eastAsia"/>
        </w:rPr>
      </w:pPr>
    </w:p>
    <w:p w:rsidR="00161D6C" w:rsidRDefault="00161D6C">
      <w:pPr>
        <w:tabs>
          <w:tab w:val="left" w:pos="3256"/>
        </w:tabs>
        <w:spacing w:line="276" w:lineRule="auto"/>
        <w:jc w:val="both"/>
        <w:rPr>
          <w:rFonts w:hint="eastAsia"/>
        </w:rPr>
      </w:pPr>
    </w:p>
    <w:p w:rsidR="00161D6C" w:rsidRDefault="00161D6C">
      <w:pPr>
        <w:tabs>
          <w:tab w:val="left" w:pos="3256"/>
        </w:tabs>
        <w:spacing w:line="276" w:lineRule="auto"/>
        <w:jc w:val="both"/>
        <w:rPr>
          <w:rFonts w:hint="eastAsia"/>
        </w:rPr>
      </w:pPr>
    </w:p>
    <w:p w:rsidR="00161D6C" w:rsidRDefault="00161D6C">
      <w:pPr>
        <w:tabs>
          <w:tab w:val="left" w:pos="3256"/>
        </w:tabs>
        <w:spacing w:line="276" w:lineRule="auto"/>
        <w:jc w:val="both"/>
        <w:rPr>
          <w:rFonts w:hint="eastAsia"/>
        </w:rPr>
      </w:pPr>
    </w:p>
    <w:p w:rsidR="00161D6C" w:rsidRDefault="00161D6C">
      <w:pPr>
        <w:tabs>
          <w:tab w:val="left" w:pos="3256"/>
        </w:tabs>
        <w:spacing w:line="276" w:lineRule="auto"/>
        <w:jc w:val="both"/>
        <w:rPr>
          <w:rFonts w:hint="eastAsia"/>
        </w:rPr>
      </w:pPr>
    </w:p>
    <w:p w:rsidR="00161D6C" w:rsidRDefault="00161D6C">
      <w:pPr>
        <w:tabs>
          <w:tab w:val="left" w:pos="3256"/>
        </w:tabs>
        <w:spacing w:line="276" w:lineRule="auto"/>
        <w:jc w:val="both"/>
        <w:rPr>
          <w:rFonts w:hint="eastAsia"/>
        </w:rPr>
      </w:pPr>
    </w:p>
    <w:p w:rsidR="00161D6C" w:rsidRDefault="00161D6C">
      <w:pPr>
        <w:tabs>
          <w:tab w:val="left" w:pos="3256"/>
        </w:tabs>
        <w:spacing w:line="276" w:lineRule="auto"/>
        <w:jc w:val="both"/>
        <w:rPr>
          <w:rFonts w:hint="eastAsia"/>
        </w:rPr>
      </w:pPr>
    </w:p>
    <w:p w:rsidR="00161D6C" w:rsidRDefault="00161D6C">
      <w:pPr>
        <w:tabs>
          <w:tab w:val="left" w:pos="3256"/>
        </w:tabs>
        <w:spacing w:line="276" w:lineRule="auto"/>
        <w:jc w:val="both"/>
        <w:rPr>
          <w:rFonts w:hint="eastAsia"/>
        </w:rPr>
      </w:pPr>
    </w:p>
    <w:p w:rsidR="00161D6C" w:rsidRDefault="00161D6C">
      <w:pPr>
        <w:tabs>
          <w:tab w:val="left" w:pos="3256"/>
        </w:tabs>
        <w:spacing w:line="276" w:lineRule="auto"/>
        <w:jc w:val="both"/>
        <w:rPr>
          <w:rFonts w:hint="eastAsia"/>
        </w:rPr>
      </w:pPr>
    </w:p>
    <w:p w:rsidR="00161D6C" w:rsidRDefault="00283B17">
      <w:pPr>
        <w:tabs>
          <w:tab w:val="left" w:pos="3256"/>
        </w:tabs>
        <w:spacing w:line="276"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                             Figure 1: Typical </w:t>
      </w:r>
      <w:r>
        <w:rPr>
          <w:rFonts w:ascii="Times New Roman" w:eastAsia="Times New Roman" w:hAnsi="Times New Roman" w:cs="Times New Roman"/>
          <w:color w:val="0E101A"/>
        </w:rPr>
        <w:t>Distribution system structure</w:t>
      </w:r>
      <w:r>
        <w:rPr>
          <w:rFonts w:ascii="Times New Roman" w:eastAsia="Times New Roman" w:hAnsi="Times New Roman" w:cs="Times New Roman"/>
          <w:color w:val="0E101A"/>
        </w:rPr>
        <w:t xml:space="preserve"> (</w:t>
      </w:r>
      <w:proofErr w:type="spellStart"/>
      <w:r>
        <w:rPr>
          <w:rStyle w:val="Strong"/>
          <w:rFonts w:ascii="Times New Roman" w:eastAsia="Times New Roman" w:hAnsi="Times New Roman" w:cs="Times New Roman"/>
          <w:b w:val="0"/>
          <w:bCs w:val="0"/>
          <w:color w:val="0E101A"/>
        </w:rPr>
        <w:t>Mokryani</w:t>
      </w:r>
      <w:proofErr w:type="spellEnd"/>
      <w:r>
        <w:rPr>
          <w:rStyle w:val="Strong"/>
          <w:rFonts w:ascii="Times New Roman" w:eastAsia="Times New Roman" w:hAnsi="Times New Roman" w:cs="Times New Roman"/>
          <w:b w:val="0"/>
          <w:bCs w:val="0"/>
          <w:color w:val="0E101A"/>
        </w:rPr>
        <w:t>, 2022)</w:t>
      </w:r>
      <w:r>
        <w:rPr>
          <w:rFonts w:ascii="Times New Roman" w:eastAsia="Times New Roman" w:hAnsi="Times New Roman" w:cs="Times New Roman"/>
          <w:color w:val="0E101A"/>
        </w:rPr>
        <w:t>.</w:t>
      </w:r>
    </w:p>
    <w:p w:rsidR="00161D6C" w:rsidRDefault="00161D6C">
      <w:pPr>
        <w:tabs>
          <w:tab w:val="left" w:pos="3256"/>
        </w:tabs>
        <w:spacing w:line="276" w:lineRule="auto"/>
        <w:jc w:val="both"/>
        <w:rPr>
          <w:rFonts w:hint="eastAsia"/>
        </w:rPr>
      </w:pPr>
    </w:p>
    <w:p w:rsidR="00161D6C" w:rsidRDefault="00283B17">
      <w:pPr>
        <w:tabs>
          <w:tab w:val="left" w:pos="3256"/>
        </w:tabs>
        <w:spacing w:after="200" w:line="276" w:lineRule="auto"/>
        <w:jc w:val="both"/>
        <w:rPr>
          <w:rFonts w:ascii="Times New Roman" w:hAnsi="Times New Roman" w:cs="Times New Roman"/>
        </w:rPr>
      </w:pPr>
      <w:r>
        <w:rPr>
          <w:rFonts w:ascii="Times New Roman" w:eastAsia="Times New Roman" w:hAnsi="Times New Roman" w:cs="Times New Roman"/>
          <w:color w:val="0E101A"/>
          <w:kern w:val="0"/>
        </w:rPr>
        <w:t>Nigeria's electricity infrastructure, a typical low-reliability distribution network (</w:t>
      </w:r>
      <w:proofErr w:type="spellStart"/>
      <w:r>
        <w:rPr>
          <w:rFonts w:ascii="Times New Roman" w:eastAsia="Times New Roman" w:hAnsi="Times New Roman" w:cs="Times New Roman"/>
          <w:color w:val="0E101A"/>
          <w:kern w:val="0"/>
        </w:rPr>
        <w:t>Ogunyemi</w:t>
      </w:r>
      <w:proofErr w:type="spellEnd"/>
      <w:r>
        <w:rPr>
          <w:rFonts w:ascii="Times New Roman" w:eastAsia="Times New Roman" w:hAnsi="Times New Roman" w:cs="Times New Roman"/>
          <w:color w:val="0E101A"/>
          <w:kern w:val="0"/>
        </w:rPr>
        <w:t xml:space="preserve"> and </w:t>
      </w:r>
      <w:proofErr w:type="spellStart"/>
      <w:r>
        <w:rPr>
          <w:rFonts w:ascii="Times New Roman" w:eastAsia="Times New Roman" w:hAnsi="Times New Roman" w:cs="Times New Roman"/>
          <w:color w:val="0E101A"/>
          <w:kern w:val="0"/>
        </w:rPr>
        <w:t>Adejumobi</w:t>
      </w:r>
      <w:proofErr w:type="spellEnd"/>
      <w:r>
        <w:rPr>
          <w:rFonts w:ascii="Times New Roman" w:eastAsia="Times New Roman" w:hAnsi="Times New Roman" w:cs="Times New Roman"/>
          <w:color w:val="0E101A"/>
          <w:kern w:val="0"/>
        </w:rPr>
        <w:t xml:space="preserve">, 2016), faced various challenges, including inadequate generation capacity, transmission </w:t>
      </w:r>
      <w:r>
        <w:rPr>
          <w:rFonts w:ascii="Times New Roman" w:eastAsia="Times New Roman" w:hAnsi="Times New Roman" w:cs="Times New Roman"/>
          <w:color w:val="0E101A"/>
          <w:kern w:val="0"/>
        </w:rPr>
        <w:t>constraints, distribution losses, and poor maintenance practices. With the abundance of natural gas reserves, the overreliance on gas-fired power plants is inevitable, with its attendance problems such as supply disruptions and gas pipeline vandalism.  Tra</w:t>
      </w:r>
      <w:r>
        <w:rPr>
          <w:rFonts w:ascii="Times New Roman" w:eastAsia="Times New Roman" w:hAnsi="Times New Roman" w:cs="Times New Roman"/>
          <w:color w:val="0E101A"/>
          <w:kern w:val="0"/>
        </w:rPr>
        <w:t>nsmission losses are significant, and the network often experiences bottlenecks that limit the efficient transfer of power from generation sources to distribution networks (NESG, 2020). Similarly, distribution networks in Nigeria suffer from technical loss</w:t>
      </w:r>
      <w:r>
        <w:rPr>
          <w:rFonts w:ascii="Times New Roman" w:eastAsia="Times New Roman" w:hAnsi="Times New Roman" w:cs="Times New Roman"/>
          <w:color w:val="0E101A"/>
          <w:kern w:val="0"/>
        </w:rPr>
        <w:t>es, commercial losses (due to theft and non-payment), and poor infrastructure maintenance. Voltage fluctuations, outages, and poor voltage regulation are common issues faced by consumers (ECN, 2018). Expectedly, a significant portion of the population lack</w:t>
      </w:r>
      <w:r>
        <w:rPr>
          <w:rFonts w:ascii="Times New Roman" w:eastAsia="Times New Roman" w:hAnsi="Times New Roman" w:cs="Times New Roman"/>
          <w:color w:val="0E101A"/>
          <w:kern w:val="0"/>
        </w:rPr>
        <w:t>s access to electricity (World Bank Report, 2019). As a result, in recent times, Nigeria has been exploring opportunities to integrate renewable energy sources, such as solar and wind power, into its electricity mix. However, challenges related to grid int</w:t>
      </w:r>
      <w:r>
        <w:rPr>
          <w:rFonts w:ascii="Times New Roman" w:eastAsia="Times New Roman" w:hAnsi="Times New Roman" w:cs="Times New Roman"/>
          <w:color w:val="0E101A"/>
          <w:kern w:val="0"/>
        </w:rPr>
        <w:t>egration, policy frameworks, and financing have hindered the widespread adoption of renewables (FMP, 2015).</w:t>
      </w:r>
    </w:p>
    <w:p w:rsidR="00161D6C" w:rsidRDefault="00283B17">
      <w:pPr>
        <w:tabs>
          <w:tab w:val="left" w:pos="3256"/>
        </w:tabs>
        <w:spacing w:after="200" w:line="276" w:lineRule="auto"/>
        <w:jc w:val="both"/>
        <w:rPr>
          <w:rFonts w:ascii="Times New Roman" w:hAnsi="Times New Roman" w:cs="Times New Roman"/>
        </w:rPr>
      </w:pPr>
      <w:r>
        <w:rPr>
          <w:rFonts w:ascii="Times New Roman" w:eastAsia="Times New Roman" w:hAnsi="Times New Roman" w:cs="Times New Roman"/>
          <w:color w:val="0E101A"/>
        </w:rPr>
        <w:t>The deviation of voltage or current from the ideal waveform (sinusoid) is referred to as the power quality problem (</w:t>
      </w:r>
      <w:proofErr w:type="spellStart"/>
      <w:r>
        <w:rPr>
          <w:rFonts w:ascii="Times New Roman" w:eastAsia="Times New Roman" w:hAnsi="Times New Roman" w:cs="Times New Roman"/>
          <w:color w:val="0E101A"/>
        </w:rPr>
        <w:t>Ogunyemi</w:t>
      </w:r>
      <w:proofErr w:type="spellEnd"/>
      <w:r>
        <w:rPr>
          <w:rFonts w:ascii="Times New Roman" w:eastAsia="Times New Roman" w:hAnsi="Times New Roman" w:cs="Times New Roman"/>
          <w:color w:val="0E101A"/>
        </w:rPr>
        <w:t xml:space="preserve"> and </w:t>
      </w:r>
      <w:proofErr w:type="spellStart"/>
      <w:r>
        <w:rPr>
          <w:rFonts w:ascii="Times New Roman" w:eastAsia="Times New Roman" w:hAnsi="Times New Roman" w:cs="Times New Roman"/>
          <w:color w:val="0E101A"/>
        </w:rPr>
        <w:t>Adejumobi</w:t>
      </w:r>
      <w:proofErr w:type="spellEnd"/>
      <w:r>
        <w:rPr>
          <w:rFonts w:ascii="Times New Roman" w:eastAsia="Times New Roman" w:hAnsi="Times New Roman" w:cs="Times New Roman"/>
          <w:color w:val="0E101A"/>
        </w:rPr>
        <w:t>, 2016). D</w:t>
      </w:r>
      <w:r>
        <w:rPr>
          <w:rFonts w:ascii="Times New Roman" w:eastAsia="Times New Roman" w:hAnsi="Times New Roman" w:cs="Times New Roman"/>
          <w:color w:val="0E101A"/>
        </w:rPr>
        <w:t xml:space="preserve">istribution networks are designed to operate at a specific nominal voltage level, such as 230V or 400V, depending on the region and standards </w:t>
      </w:r>
      <w:r>
        <w:rPr>
          <w:rFonts w:ascii="Times New Roman" w:eastAsia="Times New Roman" w:hAnsi="Times New Roman" w:cs="Times New Roman"/>
          <w:color w:val="0E101A"/>
        </w:rPr>
        <w:lastRenderedPageBreak/>
        <w:t>followed. The supply voltage can vary within prescribed limits. Voltage characteristics, the quality of the supply</w:t>
      </w:r>
      <w:r>
        <w:rPr>
          <w:rFonts w:ascii="Times New Roman" w:eastAsia="Times New Roman" w:hAnsi="Times New Roman" w:cs="Times New Roman"/>
          <w:color w:val="0E101A"/>
        </w:rPr>
        <w:t xml:space="preserve"> and the degree to which it conforms to the accepted standards determine the quality of power (Johnson and Hassan, 2016).  The magnitude of the supply voltage for a single-phase system is expected to stay within +/- 6% of the nominal value. That is for 230</w:t>
      </w:r>
      <w:r>
        <w:rPr>
          <w:rFonts w:ascii="Times New Roman" w:eastAsia="Times New Roman" w:hAnsi="Times New Roman" w:cs="Times New Roman"/>
          <w:color w:val="0E101A"/>
        </w:rPr>
        <w:t>V, 50Hz low voltage supply, the deviation should be from 216.2V to 243.8V maximum. Similarly, any electrical appliance connected to this system should have an immunity of +/- 10%.</w:t>
      </w:r>
    </w:p>
    <w:p w:rsidR="00161D6C" w:rsidRDefault="00283B17">
      <w:pPr>
        <w:tabs>
          <w:tab w:val="left" w:pos="3256"/>
        </w:tabs>
        <w:spacing w:after="200" w:line="276" w:lineRule="auto"/>
        <w:jc w:val="both"/>
        <w:rPr>
          <w:rFonts w:ascii="Times New Roman" w:hAnsi="Times New Roman" w:cs="Times New Roman"/>
        </w:rPr>
      </w:pPr>
      <w:r>
        <w:rPr>
          <w:rFonts w:ascii="Times New Roman" w:eastAsia="Times New Roman" w:hAnsi="Times New Roman" w:cs="Times New Roman"/>
          <w:color w:val="0E101A"/>
          <w:kern w:val="0"/>
        </w:rPr>
        <w:t>Voltage Sags and Swell events can impact sensitive equipment and require mit</w:t>
      </w:r>
      <w:r>
        <w:rPr>
          <w:rFonts w:ascii="Times New Roman" w:eastAsia="Times New Roman" w:hAnsi="Times New Roman" w:cs="Times New Roman"/>
          <w:color w:val="0E101A"/>
          <w:kern w:val="0"/>
        </w:rPr>
        <w:t>igation measures. Excessive voltage fluctuations can lead to equipment damage and affect the quality of the power supply. It is essential to prevent large voltage variations in designing and operating distributed power grids (</w:t>
      </w:r>
      <w:proofErr w:type="spellStart"/>
      <w:r>
        <w:rPr>
          <w:rFonts w:ascii="Times New Roman" w:eastAsia="Times New Roman" w:hAnsi="Times New Roman" w:cs="Times New Roman"/>
          <w:color w:val="0E101A"/>
          <w:kern w:val="0"/>
        </w:rPr>
        <w:t>Zhong</w:t>
      </w:r>
      <w:proofErr w:type="spellEnd"/>
      <w:r>
        <w:rPr>
          <w:rFonts w:ascii="Times New Roman" w:eastAsia="Times New Roman" w:hAnsi="Times New Roman" w:cs="Times New Roman"/>
          <w:color w:val="0E101A"/>
          <w:kern w:val="0"/>
        </w:rPr>
        <w:t xml:space="preserve">, </w:t>
      </w:r>
      <w:r>
        <w:rPr>
          <w:rStyle w:val="Emphasis"/>
          <w:rFonts w:ascii="Times New Roman" w:eastAsia="Times New Roman" w:hAnsi="Times New Roman" w:cs="Times New Roman"/>
          <w:color w:val="0E101A"/>
          <w:kern w:val="0"/>
        </w:rPr>
        <w:t>et al</w:t>
      </w:r>
      <w:r>
        <w:rPr>
          <w:rFonts w:ascii="Times New Roman" w:eastAsia="Times New Roman" w:hAnsi="Times New Roman" w:cs="Times New Roman"/>
          <w:color w:val="0E101A"/>
          <w:kern w:val="0"/>
        </w:rPr>
        <w:t>, 2019). Interrupt</w:t>
      </w:r>
      <w:r>
        <w:rPr>
          <w:rFonts w:ascii="Times New Roman" w:eastAsia="Times New Roman" w:hAnsi="Times New Roman" w:cs="Times New Roman"/>
          <w:color w:val="0E101A"/>
          <w:kern w:val="0"/>
        </w:rPr>
        <w:t>ions in voltage supply are also prevalent in the Nigerian distribution network, leading to power outages and inconveniences for consumers.  </w:t>
      </w:r>
    </w:p>
    <w:p w:rsidR="00161D6C" w:rsidRDefault="00283B17">
      <w:pPr>
        <w:tabs>
          <w:tab w:val="left" w:pos="3256"/>
        </w:tabs>
        <w:spacing w:line="276" w:lineRule="auto"/>
        <w:jc w:val="both"/>
        <w:rPr>
          <w:rFonts w:ascii="Times New Roman" w:hAnsi="Times New Roman" w:cs="Times New Roman"/>
        </w:rPr>
      </w:pPr>
      <w:r>
        <w:rPr>
          <w:b/>
          <w:bCs/>
        </w:rPr>
        <w:t>3. Definitions and Standards on Voltage Variations.</w:t>
      </w:r>
    </w:p>
    <w:p w:rsidR="00161D6C" w:rsidRDefault="00283B17">
      <w:pPr>
        <w:spacing w:line="276" w:lineRule="auto"/>
        <w:jc w:val="both"/>
        <w:rPr>
          <w:rFonts w:hint="eastAsia"/>
        </w:rPr>
      </w:pPr>
      <w:r>
        <w:rPr>
          <w:rFonts w:ascii="Times New Roman" w:eastAsia="Times New Roman" w:hAnsi="Times New Roman" w:cs="Times New Roman"/>
          <w:color w:val="0E101A"/>
        </w:rPr>
        <w:t>Voltage variation in an electrical network refers to the fluctu</w:t>
      </w:r>
      <w:r>
        <w:rPr>
          <w:rFonts w:ascii="Times New Roman" w:eastAsia="Times New Roman" w:hAnsi="Times New Roman" w:cs="Times New Roman"/>
          <w:color w:val="0E101A"/>
        </w:rPr>
        <w:t>ations or deviations in the voltage levels from the standard or nominal value. These variations can have a significant impact on the performance and efficiency of electrical equipment and devices connected to the network. The overall power quality of a dis</w:t>
      </w:r>
      <w:r>
        <w:rPr>
          <w:rFonts w:ascii="Times New Roman" w:eastAsia="Times New Roman" w:hAnsi="Times New Roman" w:cs="Times New Roman"/>
          <w:color w:val="0E101A"/>
        </w:rPr>
        <w:t>tribution network is a function of voltage quality in the network and therefore, maintaining the voltage within specified limits is crucial to ensuring the proper functioning of connected electrical equipment and appliances. Standards such as EN 50160, IEE</w:t>
      </w:r>
      <w:r>
        <w:rPr>
          <w:rFonts w:ascii="Times New Roman" w:eastAsia="Times New Roman" w:hAnsi="Times New Roman" w:cs="Times New Roman"/>
          <w:color w:val="0E101A"/>
        </w:rPr>
        <w:t xml:space="preserve">E 519 provide guidelines for acceptable levels of voltage quality parameters. </w:t>
      </w:r>
      <w:r>
        <w:rPr>
          <w:rStyle w:val="Strong"/>
          <w:rFonts w:ascii="Times New Roman" w:eastAsia="Times New Roman" w:hAnsi="Times New Roman" w:cs="Times New Roman"/>
          <w:b w:val="0"/>
          <w:bCs w:val="0"/>
        </w:rPr>
        <w:t>The EN 50160 standard which specifies the main characteristics the grid voltage must meet at the user’s supply terminal is one of the most well-known standards of the power quali</w:t>
      </w:r>
      <w:r>
        <w:rPr>
          <w:rStyle w:val="Strong"/>
          <w:rFonts w:ascii="Times New Roman" w:eastAsia="Times New Roman" w:hAnsi="Times New Roman" w:cs="Times New Roman"/>
          <w:b w:val="0"/>
          <w:bCs w:val="0"/>
        </w:rPr>
        <w:t xml:space="preserve">ty industry. It applies to public low, medium and high-voltage AC electricity grids under normal operating conditions. The standard states further, the details about power user obligations in terms of active and reactive power. A simple pass or fail gives </w:t>
      </w:r>
      <w:r>
        <w:rPr>
          <w:rStyle w:val="Strong"/>
          <w:rFonts w:ascii="Times New Roman" w:eastAsia="Times New Roman" w:hAnsi="Times New Roman" w:cs="Times New Roman"/>
          <w:b w:val="0"/>
          <w:bCs w:val="0"/>
        </w:rPr>
        <w:t>information on the stated parameters (</w:t>
      </w:r>
      <w:proofErr w:type="spellStart"/>
      <w:r>
        <w:rPr>
          <w:rStyle w:val="Strong"/>
          <w:rFonts w:ascii="Times New Roman" w:eastAsia="Times New Roman" w:hAnsi="Times New Roman" w:cs="Times New Roman"/>
          <w:b w:val="0"/>
          <w:bCs w:val="0"/>
        </w:rPr>
        <w:t>Messtechnik</w:t>
      </w:r>
      <w:proofErr w:type="spellEnd"/>
      <w:r>
        <w:rPr>
          <w:rStyle w:val="Strong"/>
          <w:rFonts w:ascii="Times New Roman" w:eastAsia="Times New Roman" w:hAnsi="Times New Roman" w:cs="Times New Roman"/>
          <w:b w:val="0"/>
          <w:bCs w:val="0"/>
        </w:rPr>
        <w:t xml:space="preserve">, 2021). </w:t>
      </w:r>
    </w:p>
    <w:p w:rsidR="00161D6C" w:rsidRDefault="00161D6C">
      <w:pPr>
        <w:tabs>
          <w:tab w:val="left" w:pos="3256"/>
        </w:tabs>
        <w:spacing w:line="276" w:lineRule="auto"/>
        <w:jc w:val="both"/>
        <w:rPr>
          <w:rStyle w:val="Strong"/>
          <w:rFonts w:ascii="Times New Roman" w:eastAsia="Times New Roman" w:hAnsi="Times New Roman" w:cs="Times New Roman"/>
          <w:b w:val="0"/>
          <w:bCs w:val="0"/>
        </w:rPr>
      </w:pPr>
    </w:p>
    <w:p w:rsidR="00161D6C" w:rsidRDefault="00283B17">
      <w:pPr>
        <w:tabs>
          <w:tab w:val="left" w:pos="3256"/>
        </w:tabs>
        <w:spacing w:line="276" w:lineRule="auto"/>
        <w:jc w:val="both"/>
        <w:rPr>
          <w:rFonts w:ascii="Times New Roman" w:hAnsi="Times New Roman" w:cs="Times New Roman"/>
        </w:rPr>
      </w:pPr>
      <w:r>
        <w:rPr>
          <w:rStyle w:val="Strong"/>
          <w:rFonts w:ascii="Times New Roman" w:eastAsia="Times New Roman" w:hAnsi="Times New Roman" w:cs="Times New Roman"/>
          <w:b w:val="0"/>
          <w:bCs w:val="0"/>
        </w:rPr>
        <w:t xml:space="preserve">According to EN 50160: 2022, under normal operating conditions excluding the periods with interruptions, supply voltage variations should not exceed ± 10 % of the nominal voltage </w:t>
      </w:r>
      <w:proofErr w:type="gramStart"/>
      <w:r>
        <w:rPr>
          <w:rStyle w:val="Strong"/>
          <w:rFonts w:ascii="Times New Roman" w:eastAsia="Times New Roman" w:hAnsi="Times New Roman" w:cs="Times New Roman"/>
          <w:b w:val="0"/>
          <w:bCs w:val="0"/>
          <w:i/>
        </w:rPr>
        <w:t>Un</w:t>
      </w:r>
      <w:proofErr w:type="gramEnd"/>
      <w:r>
        <w:rPr>
          <w:rStyle w:val="Strong"/>
          <w:rFonts w:ascii="Times New Roman" w:eastAsia="Times New Roman" w:hAnsi="Times New Roman" w:cs="Times New Roman"/>
          <w:b w:val="0"/>
          <w:bCs w:val="0"/>
        </w:rPr>
        <w:t>. Except for in</w:t>
      </w:r>
      <w:r>
        <w:rPr>
          <w:rStyle w:val="Strong"/>
          <w:rFonts w:ascii="Times New Roman" w:eastAsia="Times New Roman" w:hAnsi="Times New Roman" w:cs="Times New Roman"/>
          <w:b w:val="0"/>
          <w:bCs w:val="0"/>
        </w:rPr>
        <w:t xml:space="preserve">terruption-prone periods, supply voltage changes should not be greater than ± 10% of the nominal voltage </w:t>
      </w:r>
      <w:proofErr w:type="gramStart"/>
      <w:r>
        <w:rPr>
          <w:rStyle w:val="Strong"/>
          <w:rFonts w:ascii="Times New Roman" w:eastAsia="Times New Roman" w:hAnsi="Times New Roman" w:cs="Times New Roman"/>
          <w:b w:val="0"/>
          <w:bCs w:val="0"/>
          <w:i/>
        </w:rPr>
        <w:t>U</w:t>
      </w:r>
      <w:r>
        <w:rPr>
          <w:rStyle w:val="Strong"/>
          <w:rFonts w:ascii="Times New Roman" w:eastAsia="Times New Roman" w:hAnsi="Times New Roman" w:cs="Times New Roman"/>
          <w:b w:val="0"/>
          <w:bCs w:val="0"/>
        </w:rPr>
        <w:t>n</w:t>
      </w:r>
      <w:proofErr w:type="gramEnd"/>
      <w:r>
        <w:rPr>
          <w:rStyle w:val="Strong"/>
          <w:rFonts w:ascii="Times New Roman" w:eastAsia="Times New Roman" w:hAnsi="Times New Roman" w:cs="Times New Roman"/>
          <w:b w:val="0"/>
          <w:bCs w:val="0"/>
        </w:rPr>
        <w:t>. EN 50160: 2007 had earlier indicated that during each period of one week, 95 % of the 10 min mean rms. values of the supply voltage shall be within</w:t>
      </w:r>
      <w:r>
        <w:rPr>
          <w:rStyle w:val="Strong"/>
          <w:rFonts w:ascii="Times New Roman" w:eastAsia="Times New Roman" w:hAnsi="Times New Roman" w:cs="Times New Roman"/>
          <w:b w:val="0"/>
          <w:bCs w:val="0"/>
        </w:rPr>
        <w:t xml:space="preserve"> the range of Un ± 10 %, and all 10 min mean </w:t>
      </w:r>
      <w:proofErr w:type="spellStart"/>
      <w:r>
        <w:rPr>
          <w:rStyle w:val="Strong"/>
          <w:rFonts w:ascii="Times New Roman" w:eastAsia="Times New Roman" w:hAnsi="Times New Roman" w:cs="Times New Roman"/>
          <w:b w:val="0"/>
          <w:bCs w:val="0"/>
        </w:rPr>
        <w:t>rms</w:t>
      </w:r>
      <w:proofErr w:type="spellEnd"/>
      <w:r>
        <w:rPr>
          <w:rStyle w:val="Strong"/>
          <w:rFonts w:ascii="Times New Roman" w:eastAsia="Times New Roman" w:hAnsi="Times New Roman" w:cs="Times New Roman"/>
          <w:b w:val="0"/>
          <w:bCs w:val="0"/>
        </w:rPr>
        <w:t xml:space="preserve"> values of the supply voltage shall be within the range of Un + 10 % / - 15 %. The EN 50160 standard is meant for only supply terminal in public European electricity networks and industrial networks are not c</w:t>
      </w:r>
      <w:r>
        <w:rPr>
          <w:rStyle w:val="Strong"/>
          <w:rFonts w:ascii="Times New Roman" w:eastAsia="Times New Roman" w:hAnsi="Times New Roman" w:cs="Times New Roman"/>
          <w:b w:val="0"/>
          <w:bCs w:val="0"/>
        </w:rPr>
        <w:t>overed. Under unusual operating circumstances, this document is not applicable. The voltage characteristics provided in the document serve as guidelines for defining specifications for installation and equipment product standards. If the equipment is subje</w:t>
      </w:r>
      <w:r>
        <w:rPr>
          <w:rStyle w:val="Strong"/>
          <w:rFonts w:ascii="Times New Roman" w:eastAsia="Times New Roman" w:hAnsi="Times New Roman" w:cs="Times New Roman"/>
          <w:b w:val="0"/>
          <w:bCs w:val="0"/>
        </w:rPr>
        <w:t xml:space="preserve">cted to supply conditions that are not listed in the equipment product standard, its performance may be affected. </w:t>
      </w:r>
    </w:p>
    <w:p w:rsidR="00161D6C" w:rsidRDefault="00283B17">
      <w:pPr>
        <w:tabs>
          <w:tab w:val="left" w:pos="3256"/>
        </w:tabs>
        <w:spacing w:before="240" w:line="276" w:lineRule="auto"/>
        <w:jc w:val="both"/>
        <w:rPr>
          <w:rFonts w:ascii="Times New Roman" w:hAnsi="Times New Roman" w:cs="Times New Roman"/>
        </w:rPr>
      </w:pPr>
      <w:r>
        <w:rPr>
          <w:rStyle w:val="Strong"/>
          <w:rFonts w:ascii="Times New Roman" w:eastAsia="Times New Roman" w:hAnsi="Times New Roman" w:cs="Times New Roman"/>
          <w:b w:val="0"/>
          <w:bCs w:val="0"/>
        </w:rPr>
        <w:t xml:space="preserve">There exist different definitions of temporary voltage variation based on the depth of voltage reduction and duration of the voltage.  Generally, a temporary reduction or increase in voltage magnitude is referred to as sag (or dip) and swell respectively. </w:t>
      </w:r>
      <w:r>
        <w:rPr>
          <w:rStyle w:val="Strong"/>
          <w:rFonts w:ascii="Times New Roman" w:eastAsia="Times New Roman" w:hAnsi="Times New Roman" w:cs="Times New Roman"/>
          <w:b w:val="0"/>
          <w:bCs w:val="0"/>
        </w:rPr>
        <w:t xml:space="preserve"> A voltage sag is a sudden reduction of the </w:t>
      </w:r>
      <w:proofErr w:type="spellStart"/>
      <w:r>
        <w:rPr>
          <w:rStyle w:val="Strong"/>
          <w:rFonts w:ascii="Times New Roman" w:eastAsia="Times New Roman" w:hAnsi="Times New Roman" w:cs="Times New Roman"/>
          <w:b w:val="0"/>
          <w:bCs w:val="0"/>
        </w:rPr>
        <w:t>rms</w:t>
      </w:r>
      <w:proofErr w:type="spellEnd"/>
      <w:r>
        <w:rPr>
          <w:rStyle w:val="Strong"/>
          <w:rFonts w:ascii="Times New Roman" w:eastAsia="Times New Roman" w:hAnsi="Times New Roman" w:cs="Times New Roman"/>
          <w:b w:val="0"/>
          <w:bCs w:val="0"/>
        </w:rPr>
        <w:t xml:space="preserve"> voltage value below 90 % of the nominal (or declared) value, followed by a return to a value higher than 90 % of the nominal, in a time-varying from 10 </w:t>
      </w:r>
      <w:proofErr w:type="spellStart"/>
      <w:r>
        <w:rPr>
          <w:rStyle w:val="Strong"/>
          <w:rFonts w:ascii="Times New Roman" w:eastAsia="Times New Roman" w:hAnsi="Times New Roman" w:cs="Times New Roman"/>
          <w:b w:val="0"/>
          <w:bCs w:val="0"/>
        </w:rPr>
        <w:t>ms</w:t>
      </w:r>
      <w:proofErr w:type="spellEnd"/>
      <w:r>
        <w:rPr>
          <w:rStyle w:val="Strong"/>
          <w:rFonts w:ascii="Times New Roman" w:eastAsia="Times New Roman" w:hAnsi="Times New Roman" w:cs="Times New Roman"/>
          <w:b w:val="0"/>
          <w:bCs w:val="0"/>
        </w:rPr>
        <w:t xml:space="preserve"> to 60 s. It is a decrease to between 0.1 and 0.9 </w:t>
      </w:r>
      <w:proofErr w:type="spellStart"/>
      <w:proofErr w:type="gramStart"/>
      <w:r>
        <w:rPr>
          <w:rStyle w:val="Strong"/>
          <w:rFonts w:ascii="Times New Roman" w:eastAsia="Times New Roman" w:hAnsi="Times New Roman" w:cs="Times New Roman"/>
          <w:b w:val="0"/>
          <w:bCs w:val="0"/>
        </w:rPr>
        <w:t>pu</w:t>
      </w:r>
      <w:proofErr w:type="spellEnd"/>
      <w:proofErr w:type="gramEnd"/>
      <w:r>
        <w:rPr>
          <w:rStyle w:val="Strong"/>
          <w:rFonts w:ascii="Times New Roman" w:eastAsia="Times New Roman" w:hAnsi="Times New Roman" w:cs="Times New Roman"/>
          <w:b w:val="0"/>
          <w:bCs w:val="0"/>
        </w:rPr>
        <w:t xml:space="preserve"> i</w:t>
      </w:r>
      <w:r>
        <w:rPr>
          <w:rStyle w:val="Strong"/>
          <w:rFonts w:ascii="Times New Roman" w:eastAsia="Times New Roman" w:hAnsi="Times New Roman" w:cs="Times New Roman"/>
          <w:b w:val="0"/>
          <w:bCs w:val="0"/>
        </w:rPr>
        <w:t xml:space="preserve">n </w:t>
      </w:r>
      <w:proofErr w:type="spellStart"/>
      <w:r>
        <w:rPr>
          <w:rStyle w:val="Strong"/>
          <w:rFonts w:ascii="Times New Roman" w:eastAsia="Times New Roman" w:hAnsi="Times New Roman" w:cs="Times New Roman"/>
          <w:b w:val="0"/>
          <w:bCs w:val="0"/>
        </w:rPr>
        <w:t>rms</w:t>
      </w:r>
      <w:proofErr w:type="spellEnd"/>
      <w:r>
        <w:rPr>
          <w:rStyle w:val="Strong"/>
          <w:rFonts w:ascii="Times New Roman" w:eastAsia="Times New Roman" w:hAnsi="Times New Roman" w:cs="Times New Roman"/>
          <w:b w:val="0"/>
          <w:bCs w:val="0"/>
        </w:rPr>
        <w:t xml:space="preserve"> voltage or current at the power frequency for durations of 0.5 cycle to 1 min. A temporary increase in the </w:t>
      </w:r>
      <w:proofErr w:type="spellStart"/>
      <w:r>
        <w:rPr>
          <w:rStyle w:val="Strong"/>
          <w:rFonts w:ascii="Times New Roman" w:eastAsia="Times New Roman" w:hAnsi="Times New Roman" w:cs="Times New Roman"/>
          <w:b w:val="0"/>
          <w:bCs w:val="0"/>
        </w:rPr>
        <w:t>rms</w:t>
      </w:r>
      <w:proofErr w:type="spellEnd"/>
      <w:r>
        <w:rPr>
          <w:rStyle w:val="Strong"/>
          <w:rFonts w:ascii="Times New Roman" w:eastAsia="Times New Roman" w:hAnsi="Times New Roman" w:cs="Times New Roman"/>
          <w:b w:val="0"/>
          <w:bCs w:val="0"/>
        </w:rPr>
        <w:t xml:space="preserve"> value of the voltage of more than 10 percent of the </w:t>
      </w:r>
      <w:r>
        <w:rPr>
          <w:rStyle w:val="Strong"/>
          <w:rFonts w:ascii="Times New Roman" w:eastAsia="Times New Roman" w:hAnsi="Times New Roman" w:cs="Times New Roman"/>
          <w:b w:val="0"/>
          <w:bCs w:val="0"/>
        </w:rPr>
        <w:lastRenderedPageBreak/>
        <w:t xml:space="preserve">nominal voltage, at the power frequency, for durations from 0.5 </w:t>
      </w:r>
      <w:proofErr w:type="gramStart"/>
      <w:r>
        <w:rPr>
          <w:rStyle w:val="Strong"/>
          <w:rFonts w:ascii="Times New Roman" w:eastAsia="Times New Roman" w:hAnsi="Times New Roman" w:cs="Times New Roman"/>
          <w:b w:val="0"/>
          <w:bCs w:val="0"/>
        </w:rPr>
        <w:t>cycle</w:t>
      </w:r>
      <w:proofErr w:type="gramEnd"/>
      <w:r>
        <w:rPr>
          <w:rStyle w:val="Strong"/>
          <w:rFonts w:ascii="Times New Roman" w:eastAsia="Times New Roman" w:hAnsi="Times New Roman" w:cs="Times New Roman"/>
          <w:b w:val="0"/>
          <w:bCs w:val="0"/>
        </w:rPr>
        <w:t xml:space="preserve"> to 1 minutes is k</w:t>
      </w:r>
      <w:r>
        <w:rPr>
          <w:rStyle w:val="Strong"/>
          <w:rFonts w:ascii="Times New Roman" w:eastAsia="Times New Roman" w:hAnsi="Times New Roman" w:cs="Times New Roman"/>
          <w:b w:val="0"/>
          <w:bCs w:val="0"/>
        </w:rPr>
        <w:t xml:space="preserve">nown as swell. </w:t>
      </w:r>
    </w:p>
    <w:p w:rsidR="00161D6C" w:rsidRDefault="00283B17">
      <w:pPr>
        <w:tabs>
          <w:tab w:val="left" w:pos="3256"/>
        </w:tabs>
        <w:spacing w:line="276" w:lineRule="auto"/>
        <w:jc w:val="both"/>
        <w:rPr>
          <w:rFonts w:hint="eastAsia"/>
        </w:rPr>
      </w:pPr>
      <w:r>
        <w:rPr>
          <w:rStyle w:val="Strong"/>
          <w:rFonts w:ascii="Times New Roman" w:eastAsiaTheme="majorEastAsia" w:hAnsi="Times New Roman" w:cs="Times New Roman"/>
          <w:b w:val="0"/>
          <w:bCs w:val="0"/>
          <w:iCs/>
          <w:color w:val="0E101A"/>
          <w:kern w:val="0"/>
        </w:rPr>
        <w:t xml:space="preserve">The deviations from the nominal value that occur continuously over time are termed continuous phenomena.  </w:t>
      </w:r>
    </w:p>
    <w:p w:rsidR="00161D6C" w:rsidRDefault="00283B17">
      <w:pPr>
        <w:tabs>
          <w:tab w:val="left" w:pos="3256"/>
        </w:tabs>
        <w:spacing w:line="276" w:lineRule="auto"/>
        <w:jc w:val="both"/>
        <w:rPr>
          <w:rFonts w:hint="eastAsia"/>
        </w:rPr>
      </w:pPr>
      <w:r>
        <w:rPr>
          <w:rStyle w:val="Strong"/>
          <w:rFonts w:ascii="Times New Roman" w:eastAsiaTheme="majorEastAsia" w:hAnsi="Times New Roman" w:cs="Times New Roman"/>
          <w:b w:val="0"/>
          <w:bCs w:val="0"/>
          <w:iCs/>
          <w:color w:val="0E101A"/>
          <w:kern w:val="0"/>
        </w:rPr>
        <w:t>When the supply voltage has been zero for a period of time above 1 minute, the long-duration voltage variation is considered a sustai</w:t>
      </w:r>
      <w:r>
        <w:rPr>
          <w:rStyle w:val="Strong"/>
          <w:rFonts w:ascii="Times New Roman" w:eastAsiaTheme="majorEastAsia" w:hAnsi="Times New Roman" w:cs="Times New Roman"/>
          <w:b w:val="0"/>
          <w:bCs w:val="0"/>
          <w:iCs/>
          <w:color w:val="0E101A"/>
          <w:kern w:val="0"/>
        </w:rPr>
        <w:t>ned interruption. Voltage interruptions longer than 1 minute are often permanent and require human intervention to repair the system for restoration. The term sustained interruption refers to specific power system phenomena and, in general, has no relation</w:t>
      </w:r>
      <w:r>
        <w:rPr>
          <w:rStyle w:val="Strong"/>
          <w:rFonts w:ascii="Times New Roman" w:eastAsiaTheme="majorEastAsia" w:hAnsi="Times New Roman" w:cs="Times New Roman"/>
          <w:b w:val="0"/>
          <w:bCs w:val="0"/>
          <w:iCs/>
          <w:color w:val="0E101A"/>
          <w:kern w:val="0"/>
        </w:rPr>
        <w:t xml:space="preserve"> to the usage of the term outage. Utilities use outages or interruptions to describe phenomena of a similar nature for reliability reporting purposes. However, this confuses end-users who think of an outage as any interruption of power that shuts down a pr</w:t>
      </w:r>
      <w:r>
        <w:rPr>
          <w:rStyle w:val="Strong"/>
          <w:rFonts w:ascii="Times New Roman" w:eastAsiaTheme="majorEastAsia" w:hAnsi="Times New Roman" w:cs="Times New Roman"/>
          <w:b w:val="0"/>
          <w:bCs w:val="0"/>
          <w:iCs/>
          <w:color w:val="0E101A"/>
          <w:kern w:val="0"/>
        </w:rPr>
        <w:t>ocess. This could be as little as one-half of a cycle. The outage, as defined in IEEE Standard 1008 does not refer to a specific phenomenon, but rather to the state of a component in a system that has failed to function as expected. Also, the use of the te</w:t>
      </w:r>
      <w:r>
        <w:rPr>
          <w:rStyle w:val="Strong"/>
          <w:rFonts w:ascii="Times New Roman" w:eastAsiaTheme="majorEastAsia" w:hAnsi="Times New Roman" w:cs="Times New Roman"/>
          <w:b w:val="0"/>
          <w:bCs w:val="0"/>
          <w:iCs/>
          <w:color w:val="0E101A"/>
          <w:kern w:val="0"/>
        </w:rPr>
        <w:t xml:space="preserve">rm interruption in the context of PQ monitoring has no relation to reliability or other continuity of service statistics. Thus, this term has been defined to be more specific regarding the absence of voltage for long periods. These classifications are for </w:t>
      </w:r>
      <w:r>
        <w:rPr>
          <w:rStyle w:val="Strong"/>
          <w:rFonts w:ascii="Times New Roman" w:eastAsiaTheme="majorEastAsia" w:hAnsi="Times New Roman" w:cs="Times New Roman"/>
          <w:b w:val="0"/>
          <w:bCs w:val="0"/>
          <w:iCs/>
          <w:color w:val="0E101A"/>
          <w:kern w:val="0"/>
        </w:rPr>
        <w:t xml:space="preserve">high-reliability networks and grossly inadequate to </w:t>
      </w:r>
      <w:proofErr w:type="spellStart"/>
      <w:r>
        <w:rPr>
          <w:rStyle w:val="Strong"/>
          <w:rFonts w:ascii="Times New Roman" w:eastAsiaTheme="majorEastAsia" w:hAnsi="Times New Roman" w:cs="Times New Roman"/>
          <w:b w:val="0"/>
          <w:bCs w:val="0"/>
          <w:iCs/>
          <w:color w:val="0E101A"/>
          <w:kern w:val="0"/>
        </w:rPr>
        <w:t>characterise</w:t>
      </w:r>
      <w:proofErr w:type="spellEnd"/>
      <w:r>
        <w:rPr>
          <w:rStyle w:val="Strong"/>
          <w:rFonts w:ascii="Times New Roman" w:eastAsiaTheme="majorEastAsia" w:hAnsi="Times New Roman" w:cs="Times New Roman"/>
          <w:b w:val="0"/>
          <w:bCs w:val="0"/>
          <w:iCs/>
          <w:color w:val="0E101A"/>
          <w:kern w:val="0"/>
        </w:rPr>
        <w:t xml:space="preserve"> Nigeria. There are other various terms associated with voltage variation which are termed ambiguous, not technical and hence not standard (Dugan et al, 2004</w:t>
      </w:r>
      <w:proofErr w:type="gramStart"/>
      <w:r>
        <w:rPr>
          <w:rStyle w:val="Strong"/>
          <w:rFonts w:ascii="Times New Roman" w:eastAsiaTheme="majorEastAsia" w:hAnsi="Times New Roman" w:cs="Times New Roman"/>
          <w:b w:val="0"/>
          <w:bCs w:val="0"/>
          <w:iCs/>
          <w:color w:val="0E101A"/>
          <w:kern w:val="0"/>
        </w:rPr>
        <w:t>; )</w:t>
      </w:r>
      <w:proofErr w:type="gramEnd"/>
      <w:r>
        <w:rPr>
          <w:rStyle w:val="Strong"/>
          <w:rFonts w:ascii="Times New Roman" w:eastAsiaTheme="majorEastAsia" w:hAnsi="Times New Roman" w:cs="Times New Roman"/>
          <w:b w:val="0"/>
          <w:bCs w:val="0"/>
          <w:iCs/>
          <w:color w:val="0E101A"/>
          <w:kern w:val="0"/>
        </w:rPr>
        <w:t xml:space="preserve">. Such terms include “blackout, </w:t>
      </w:r>
      <w:r>
        <w:rPr>
          <w:rStyle w:val="Strong"/>
          <w:rFonts w:ascii="Times New Roman" w:eastAsiaTheme="majorEastAsia" w:hAnsi="Times New Roman" w:cs="Times New Roman"/>
          <w:b w:val="0"/>
          <w:bCs w:val="0"/>
          <w:iCs/>
          <w:color w:val="0E101A"/>
          <w:kern w:val="0"/>
        </w:rPr>
        <w:t>blink, brownout, bump, surge, spike, power surge etc.</w:t>
      </w:r>
    </w:p>
    <w:p w:rsidR="00161D6C" w:rsidRDefault="00161D6C">
      <w:pPr>
        <w:tabs>
          <w:tab w:val="left" w:pos="3256"/>
        </w:tabs>
        <w:spacing w:line="276" w:lineRule="auto"/>
        <w:jc w:val="both"/>
        <w:rPr>
          <w:rFonts w:hint="eastAsia"/>
        </w:rPr>
      </w:pPr>
    </w:p>
    <w:p w:rsidR="00161D6C" w:rsidRDefault="00283B17">
      <w:pPr>
        <w:tabs>
          <w:tab w:val="left" w:pos="3256"/>
        </w:tabs>
        <w:spacing w:line="276" w:lineRule="auto"/>
        <w:jc w:val="both"/>
        <w:rPr>
          <w:rFonts w:ascii="Times New Roman" w:hAnsi="Times New Roman" w:cs="Times New Roman"/>
        </w:rPr>
      </w:pPr>
      <w:r>
        <w:rPr>
          <w:b/>
          <w:bCs/>
        </w:rPr>
        <w:t>4. Causes of</w:t>
      </w:r>
      <w:r>
        <w:t xml:space="preserve"> </w:t>
      </w:r>
      <w:r>
        <w:rPr>
          <w:b/>
          <w:bCs/>
        </w:rPr>
        <w:t xml:space="preserve">Voltage Variation </w:t>
      </w:r>
    </w:p>
    <w:p w:rsidR="00161D6C" w:rsidRDefault="00283B17">
      <w:pPr>
        <w:tabs>
          <w:tab w:val="left" w:pos="3256"/>
        </w:tabs>
        <w:spacing w:line="276" w:lineRule="auto"/>
        <w:jc w:val="both"/>
        <w:rPr>
          <w:rFonts w:hint="eastAsia"/>
        </w:rPr>
      </w:pPr>
      <w:r>
        <w:rPr>
          <w:rFonts w:ascii="Times New Roman" w:hAnsi="Times New Roman" w:cs="Times New Roman"/>
        </w:rPr>
        <w:t xml:space="preserve">Voltage events typically occur due to unpredictable events (e.g. faults) or to external causes (e.g. weather conditions, third-party actions). </w:t>
      </w:r>
      <w:proofErr w:type="gramStart"/>
      <w:r>
        <w:rPr>
          <w:rFonts w:ascii="Times New Roman" w:hAnsi="Times New Roman" w:cs="Times New Roman"/>
        </w:rPr>
        <w:t>(</w:t>
      </w:r>
      <w:proofErr w:type="spellStart"/>
      <w:r>
        <w:rPr>
          <w:rFonts w:ascii="Times New Roman" w:hAnsi="Times New Roman" w:cs="Times New Roman"/>
        </w:rPr>
        <w:t>Klajn</w:t>
      </w:r>
      <w:proofErr w:type="spellEnd"/>
      <w:r>
        <w:rPr>
          <w:rFonts w:ascii="Times New Roman" w:hAnsi="Times New Roman" w:cs="Times New Roman"/>
        </w:rPr>
        <w:t xml:space="preserve"> and </w:t>
      </w:r>
      <w:proofErr w:type="spellStart"/>
      <w:r>
        <w:rPr>
          <w:rFonts w:ascii="Times New Roman" w:hAnsi="Times New Roman" w:cs="Times New Roman"/>
        </w:rPr>
        <w:t>Bątkiewicz-Pant</w:t>
      </w:r>
      <w:r>
        <w:rPr>
          <w:rFonts w:ascii="Times New Roman" w:hAnsi="Times New Roman" w:cs="Times New Roman"/>
        </w:rPr>
        <w:t>uła</w:t>
      </w:r>
      <w:proofErr w:type="spellEnd"/>
      <w:r>
        <w:rPr>
          <w:rFonts w:ascii="Times New Roman" w:hAnsi="Times New Roman" w:cs="Times New Roman"/>
        </w:rPr>
        <w:t>, 2013).</w:t>
      </w:r>
      <w:proofErr w:type="gramEnd"/>
      <w:r>
        <w:rPr>
          <w:rFonts w:ascii="Times New Roman" w:hAnsi="Times New Roman" w:cs="Times New Roman"/>
        </w:rPr>
        <w:t xml:space="preserve"> Some factors, both inside and outside the plant walls, can cause voltage events. Within a plant, starting large loads, poor electrical connections and customer equipment (e.g. arc welders) can be responsible for voltage variation events. On the</w:t>
      </w:r>
      <w:r>
        <w:rPr>
          <w:rFonts w:ascii="Times New Roman" w:hAnsi="Times New Roman" w:cs="Times New Roman"/>
        </w:rPr>
        <w:t xml:space="preserve"> other hand, external factors such as lightning, insulation breakdown, equipment failure/contamination and </w:t>
      </w:r>
      <w:proofErr w:type="spellStart"/>
      <w:r>
        <w:rPr>
          <w:rFonts w:ascii="Times New Roman" w:hAnsi="Times New Roman" w:cs="Times New Roman"/>
        </w:rPr>
        <w:t>recloser</w:t>
      </w:r>
      <w:proofErr w:type="spellEnd"/>
      <w:r>
        <w:rPr>
          <w:rFonts w:ascii="Times New Roman" w:hAnsi="Times New Roman" w:cs="Times New Roman"/>
        </w:rPr>
        <w:t xml:space="preserve">/fuse/breaker operations can also lead to voltage events. Reduction in voltage can occur under heavy load conditions or during faults. Also, </w:t>
      </w:r>
      <w:r>
        <w:rPr>
          <w:rFonts w:ascii="Times New Roman" w:hAnsi="Times New Roman" w:cs="Times New Roman"/>
        </w:rPr>
        <w:t>the deviations from the nominal value that occur continuously over time may be due to load patterns, changes in load or nonlinear loads. Voltage sags are typically the result of problems in the public distribution network or the installations of network us</w:t>
      </w:r>
      <w:r>
        <w:rPr>
          <w:rFonts w:ascii="Times New Roman" w:hAnsi="Times New Roman" w:cs="Times New Roman"/>
        </w:rPr>
        <w:t xml:space="preserve">ers. They are erratic, mostly arbitrary occurrences. The type of supply system and the observation position have a significant impact on the annual frequency. Also, the distribution might vary greatly throughout the year (BS EN 50160: 2007). They are more </w:t>
      </w:r>
      <w:r>
        <w:rPr>
          <w:rFonts w:ascii="Times New Roman" w:hAnsi="Times New Roman" w:cs="Times New Roman"/>
        </w:rPr>
        <w:t>pronounced and common in distribution network.</w:t>
      </w:r>
    </w:p>
    <w:p w:rsidR="00161D6C" w:rsidRDefault="00283B17">
      <w:pPr>
        <w:tabs>
          <w:tab w:val="left" w:pos="3256"/>
        </w:tabs>
        <w:spacing w:before="240" w:line="276" w:lineRule="auto"/>
        <w:jc w:val="both"/>
        <w:rPr>
          <w:rFonts w:hint="eastAsia"/>
        </w:rPr>
      </w:pPr>
      <w:r>
        <w:rPr>
          <w:rFonts w:ascii="Times New Roman" w:hAnsi="Times New Roman" w:cs="Times New Roman"/>
        </w:rPr>
        <w:t xml:space="preserve">Voltage sags often occur during peak demand periods or when there is a sudden increase in load, leading to temporary reductions in voltage levels that can disrupt the operation of sensitive equipment. Voltage </w:t>
      </w:r>
      <w:r>
        <w:rPr>
          <w:rFonts w:ascii="Times New Roman" w:hAnsi="Times New Roman" w:cs="Times New Roman"/>
        </w:rPr>
        <w:t>swells, on the other hand, can result from capacitor switching or grid disturbances, causing temporary increases in voltage levels that may damage electrical appliances.</w:t>
      </w:r>
    </w:p>
    <w:p w:rsidR="00161D6C" w:rsidRDefault="00283B17">
      <w:pPr>
        <w:tabs>
          <w:tab w:val="left" w:pos="3256"/>
        </w:tabs>
        <w:spacing w:line="276" w:lineRule="auto"/>
        <w:jc w:val="both"/>
        <w:rPr>
          <w:rFonts w:hint="eastAsia"/>
        </w:rPr>
      </w:pPr>
      <w:r>
        <w:rPr>
          <w:rFonts w:ascii="Times New Roman" w:hAnsi="Times New Roman" w:cs="Times New Roman"/>
        </w:rPr>
        <w:t xml:space="preserve">Voltage sags can occur due to faults in the system, overloaded transformers, starting </w:t>
      </w:r>
      <w:r>
        <w:rPr>
          <w:rFonts w:ascii="Times New Roman" w:hAnsi="Times New Roman" w:cs="Times New Roman"/>
        </w:rPr>
        <w:t xml:space="preserve">large motors, or short-circuit conditions, lightning strikes, </w:t>
      </w:r>
      <w:proofErr w:type="gramStart"/>
      <w:r>
        <w:rPr>
          <w:rFonts w:ascii="Times New Roman" w:hAnsi="Times New Roman" w:cs="Times New Roman"/>
        </w:rPr>
        <w:t>changes</w:t>
      </w:r>
      <w:proofErr w:type="gramEnd"/>
      <w:r>
        <w:rPr>
          <w:rFonts w:ascii="Times New Roman" w:hAnsi="Times New Roman" w:cs="Times New Roman"/>
        </w:rPr>
        <w:t xml:space="preserve"> in load, faults in the system, or switching operations. On the other hand, voltage swells can result from capacitor switching, load shedding, lightning strikes, or utility grid disturban</w:t>
      </w:r>
      <w:r>
        <w:rPr>
          <w:rFonts w:ascii="Times New Roman" w:hAnsi="Times New Roman" w:cs="Times New Roman"/>
        </w:rPr>
        <w:t>ces. Interruptions refer to complete loss of voltage for a short period, while transients are short-duration voltage fluctuations caused by switching operations or sudden changes in electrical load.</w:t>
      </w:r>
    </w:p>
    <w:p w:rsidR="00161D6C" w:rsidRDefault="00161D6C">
      <w:pPr>
        <w:tabs>
          <w:tab w:val="left" w:pos="3256"/>
        </w:tabs>
        <w:spacing w:line="276" w:lineRule="auto"/>
        <w:jc w:val="both"/>
        <w:rPr>
          <w:rFonts w:ascii="Times New Roman" w:hAnsi="Times New Roman" w:cs="Times New Roman"/>
        </w:rPr>
      </w:pPr>
    </w:p>
    <w:p w:rsidR="00161D6C" w:rsidRDefault="00283B17">
      <w:pPr>
        <w:tabs>
          <w:tab w:val="left" w:pos="3256"/>
        </w:tabs>
        <w:spacing w:line="276" w:lineRule="auto"/>
        <w:jc w:val="both"/>
        <w:rPr>
          <w:rFonts w:hint="eastAsia"/>
        </w:rPr>
      </w:pPr>
      <w:r>
        <w:rPr>
          <w:rFonts w:ascii="Times New Roman" w:hAnsi="Times New Roman" w:cs="Times New Roman"/>
          <w:b/>
          <w:bCs/>
        </w:rPr>
        <w:lastRenderedPageBreak/>
        <w:t xml:space="preserve">5. Classifications of Voltage Variation </w:t>
      </w:r>
    </w:p>
    <w:p w:rsidR="00161D6C" w:rsidRDefault="00283B17">
      <w:pPr>
        <w:tabs>
          <w:tab w:val="left" w:pos="3256"/>
        </w:tabs>
        <w:spacing w:line="276" w:lineRule="auto"/>
        <w:jc w:val="both"/>
        <w:rPr>
          <w:rFonts w:ascii="Times New Roman" w:hAnsi="Times New Roman" w:cs="Times New Roman"/>
        </w:rPr>
      </w:pPr>
      <w:r>
        <w:rPr>
          <w:rFonts w:ascii="Times New Roman" w:hAnsi="Times New Roman" w:cs="Times New Roman"/>
        </w:rPr>
        <w:t>A pure sinusoid</w:t>
      </w:r>
      <w:r>
        <w:rPr>
          <w:rFonts w:ascii="Times New Roman" w:hAnsi="Times New Roman" w:cs="Times New Roman"/>
        </w:rPr>
        <w:t>al undistorted signal is defined as:</w:t>
      </w:r>
    </w:p>
    <w:p w:rsidR="00161D6C" w:rsidRDefault="00161D6C">
      <w:pPr>
        <w:tabs>
          <w:tab w:val="left" w:pos="3256"/>
        </w:tabs>
        <w:spacing w:line="276" w:lineRule="auto"/>
        <w:jc w:val="both"/>
        <w:rPr>
          <w:rFonts w:ascii="Times New Roman" w:hAnsi="Times New Roman" w:cs="Times New Roman"/>
        </w:rPr>
      </w:pPr>
    </w:p>
    <w:p w:rsidR="00161D6C" w:rsidRDefault="00283B17">
      <w:pPr>
        <w:spacing w:line="276" w:lineRule="auto"/>
        <w:jc w:val="both"/>
        <w:rPr>
          <w:rFonts w:ascii="Times New Roman" w:hAnsi="Times New Roman" w:cs="Times New Roman"/>
        </w:rPr>
      </w:pPr>
      <w:r>
        <w:t xml:space="preserve">                                                              </w:t>
      </w:r>
      <m:oMath>
        <m:r>
          <w:rPr>
            <w:rFonts w:ascii="Cambria Math" w:hAnsi="Cambria Math"/>
          </w:rPr>
          <m:t>V</m:t>
        </m:r>
        <m:d>
          <m:dPr>
            <m:ctrlPr>
              <w:rPr>
                <w:rFonts w:ascii="Cambria Math" w:hAnsi="Cambria Math"/>
              </w:rPr>
            </m:ctrlPr>
          </m:dPr>
          <m:e>
            <m:r>
              <w:rPr>
                <w:rFonts w:ascii="Cambria Math" w:hAnsi="Cambria Math"/>
              </w:rPr>
              <m:t>t</m:t>
            </m:r>
          </m:e>
        </m:d>
        <m:r>
          <w:rPr>
            <w:rFonts w:ascii="Cambria Math" w:hAnsi="Cambria Math"/>
          </w:rPr>
          <m:t>=</m:t>
        </m:r>
        <m:r>
          <m:rPr>
            <m:lit/>
            <m:nor/>
          </m:rPr>
          <w:rPr>
            <w:rFonts w:ascii="Cambria Math" w:hAnsi="Cambria Math"/>
          </w:rPr>
          <m:t>ASin</m:t>
        </m:r>
        <m:d>
          <m:dPr>
            <m:ctrlPr>
              <w:rPr>
                <w:rFonts w:ascii="Cambria Math" w:hAnsi="Cambria Math"/>
              </w:rPr>
            </m:ctrlPr>
          </m:dPr>
          <m:e>
            <m:r>
              <w:rPr>
                <w:rFonts w:ascii="Cambria Math" w:hAnsi="Cambria Math"/>
              </w:rPr>
              <m:t>ωt</m:t>
            </m:r>
          </m:e>
        </m:d>
      </m:oMath>
      <w:r>
        <w:rPr>
          <w:rFonts w:ascii="Times New Roman" w:hAnsi="Times New Roman" w:cs="Times New Roman"/>
        </w:rPr>
        <w:t xml:space="preserve">                                                       (1)</w:t>
      </w:r>
    </w:p>
    <w:p w:rsidR="00161D6C" w:rsidRDefault="00283B17">
      <w:pPr>
        <w:spacing w:line="276" w:lineRule="auto"/>
        <w:jc w:val="both"/>
        <w:rPr>
          <w:rFonts w:ascii="Times New Roman" w:hAnsi="Times New Roman" w:cs="Times New Roman"/>
        </w:rPr>
      </w:pPr>
      <w:r>
        <w:rPr>
          <w:rFonts w:ascii="Times New Roman" w:hAnsi="Times New Roman" w:cs="Times New Roman"/>
        </w:rPr>
        <w:t xml:space="preserve">Where </w:t>
      </w:r>
      <m:oMath>
        <m:r>
          <w:rPr>
            <w:rFonts w:ascii="Cambria Math" w:hAnsi="Cambria Math"/>
          </w:rPr>
          <m:t>ω</m:t>
        </m:r>
      </m:oMath>
      <w:r>
        <w:rPr>
          <w:rFonts w:ascii="Times New Roman" w:hAnsi="Times New Roman" w:cs="Times New Roman"/>
        </w:rPr>
        <w:t xml:space="preserve"> is power system radial frequency (</w:t>
      </w:r>
      <m:oMath>
        <m:r>
          <w:rPr>
            <w:rFonts w:ascii="Cambria Math" w:hAnsi="Cambria Math"/>
          </w:rPr>
          <m:t>ω</m:t>
        </m:r>
        <m:r>
          <w:rPr>
            <w:rFonts w:ascii="Cambria Math" w:hAnsi="Cambria Math"/>
          </w:rPr>
          <m:t>=2</m:t>
        </m:r>
        <m:r>
          <w:rPr>
            <w:rFonts w:ascii="Cambria Math" w:hAnsi="Cambria Math"/>
          </w:rPr>
          <m:t>πf</m:t>
        </m:r>
      </m:oMath>
      <w:r>
        <w:rPr>
          <w:rFonts w:ascii="Times New Roman" w:hAnsi="Times New Roman" w:cs="Times New Roman"/>
        </w:rPr>
        <w:t xml:space="preserve">), </w:t>
      </w:r>
      <w:proofErr w:type="spellStart"/>
      <w:r>
        <w:rPr>
          <w:rFonts w:ascii="Times New Roman" w:hAnsi="Times New Roman" w:cs="Times New Roman"/>
          <w:i/>
        </w:rPr>
        <w:t>t</w:t>
      </w:r>
      <w:proofErr w:type="spellEnd"/>
      <w:r>
        <w:rPr>
          <w:rFonts w:ascii="Times New Roman" w:hAnsi="Times New Roman" w:cs="Times New Roman"/>
        </w:rPr>
        <w:t xml:space="preserve"> is sampling time and </w:t>
      </w:r>
      <w:r>
        <w:rPr>
          <w:rFonts w:ascii="Times New Roman" w:hAnsi="Times New Roman" w:cs="Times New Roman"/>
          <w:i/>
        </w:rPr>
        <w:t>A</w:t>
      </w:r>
      <w:r>
        <w:rPr>
          <w:rFonts w:ascii="Times New Roman" w:hAnsi="Times New Roman" w:cs="Times New Roman"/>
        </w:rPr>
        <w:t xml:space="preserve"> is th</w:t>
      </w:r>
      <w:r>
        <w:rPr>
          <w:rFonts w:ascii="Times New Roman" w:hAnsi="Times New Roman" w:cs="Times New Roman"/>
        </w:rPr>
        <w:t xml:space="preserve">e signal’s amplitude which varies from 0.9 to 1.1. This is the ideal output from generator. However, when there is disturbance in the system, it leads to voltage variation. </w:t>
      </w:r>
    </w:p>
    <w:p w:rsidR="00161D6C" w:rsidRDefault="00283B17">
      <w:pPr>
        <w:spacing w:before="200" w:line="276" w:lineRule="auto"/>
        <w:jc w:val="both"/>
        <w:outlineLvl w:val="3"/>
        <w:rPr>
          <w:rFonts w:ascii="Times New Roman" w:hAnsi="Times New Roman" w:cs="Times New Roman"/>
          <w:b/>
          <w:bCs/>
          <w:iCs/>
        </w:rPr>
      </w:pPr>
      <w:r>
        <w:rPr>
          <w:rFonts w:ascii="Times New Roman" w:eastAsiaTheme="majorEastAsia" w:hAnsi="Times New Roman" w:cs="Times New Roman"/>
          <w:iCs/>
        </w:rPr>
        <w:t>Interruption is</w:t>
      </w:r>
      <w:r>
        <w:rPr>
          <w:rFonts w:ascii="Times New Roman" w:hAnsi="Times New Roman" w:cs="Times New Roman"/>
        </w:rPr>
        <w:t xml:space="preserve"> loss of supply. It is classified into three categories according t</w:t>
      </w:r>
      <w:r>
        <w:rPr>
          <w:rFonts w:ascii="Times New Roman" w:hAnsi="Times New Roman" w:cs="Times New Roman"/>
        </w:rPr>
        <w:t>o IEEE 1159.92 namely:</w:t>
      </w:r>
    </w:p>
    <w:p w:rsidR="00161D6C" w:rsidRDefault="00283B17">
      <w:pPr>
        <w:pStyle w:val="ListParagraph"/>
        <w:numPr>
          <w:ilvl w:val="0"/>
          <w:numId w:val="1"/>
        </w:numPr>
        <w:spacing w:line="276" w:lineRule="auto"/>
        <w:rPr>
          <w:rFonts w:cs="Times New Roman"/>
        </w:rPr>
      </w:pPr>
      <w:r>
        <w:rPr>
          <w:rFonts w:cs="Times New Roman"/>
        </w:rPr>
        <w:t>Instantaneous with duration between 0.5 – 30 cycles</w:t>
      </w:r>
    </w:p>
    <w:p w:rsidR="00161D6C" w:rsidRDefault="00283B17">
      <w:pPr>
        <w:pStyle w:val="ListParagraph"/>
        <w:numPr>
          <w:ilvl w:val="0"/>
          <w:numId w:val="1"/>
        </w:numPr>
        <w:spacing w:line="276" w:lineRule="auto"/>
        <w:rPr>
          <w:rFonts w:cs="Times New Roman"/>
        </w:rPr>
      </w:pPr>
      <w:r>
        <w:rPr>
          <w:rFonts w:cs="Times New Roman"/>
        </w:rPr>
        <w:t>Momentary with duration between 30 cycle – 3secs</w:t>
      </w:r>
    </w:p>
    <w:p w:rsidR="00161D6C" w:rsidRDefault="00283B17">
      <w:pPr>
        <w:pStyle w:val="ListParagraph"/>
        <w:numPr>
          <w:ilvl w:val="0"/>
          <w:numId w:val="1"/>
        </w:numPr>
        <w:spacing w:line="276" w:lineRule="auto"/>
        <w:rPr>
          <w:rFonts w:cs="Times New Roman"/>
        </w:rPr>
      </w:pPr>
      <w:r>
        <w:rPr>
          <w:rFonts w:cs="Times New Roman"/>
        </w:rPr>
        <w:t>Temporary with duration between 3secs – 1min</w:t>
      </w:r>
    </w:p>
    <w:p w:rsidR="00161D6C" w:rsidRDefault="00283B17">
      <w:pPr>
        <w:tabs>
          <w:tab w:val="left" w:pos="3256"/>
        </w:tabs>
        <w:spacing w:line="276" w:lineRule="auto"/>
        <w:jc w:val="both"/>
        <w:rPr>
          <w:rFonts w:ascii="Times New Roman" w:hAnsi="Times New Roman" w:cs="Times New Roman"/>
        </w:rPr>
      </w:pPr>
      <w:r>
        <w:rPr>
          <w:rFonts w:ascii="Times New Roman" w:hAnsi="Times New Roman" w:cs="Times New Roman"/>
        </w:rPr>
        <w:t>Figure 2 shows typical classification of voltage variation while Figure 3 shows the wav</w:t>
      </w:r>
      <w:r>
        <w:rPr>
          <w:rFonts w:ascii="Times New Roman" w:hAnsi="Times New Roman" w:cs="Times New Roman"/>
        </w:rPr>
        <w:t xml:space="preserve">eforms of sag, swell, </w:t>
      </w:r>
      <w:proofErr w:type="spellStart"/>
      <w:r>
        <w:rPr>
          <w:rFonts w:ascii="Times New Roman" w:hAnsi="Times New Roman" w:cs="Times New Roman"/>
        </w:rPr>
        <w:t>undervoltage</w:t>
      </w:r>
      <w:proofErr w:type="spellEnd"/>
      <w:r>
        <w:rPr>
          <w:rFonts w:ascii="Times New Roman" w:hAnsi="Times New Roman" w:cs="Times New Roman"/>
        </w:rPr>
        <w:t xml:space="preserve"> and overvoltage. </w:t>
      </w:r>
    </w:p>
    <w:p w:rsidR="00161D6C" w:rsidRDefault="00161D6C">
      <w:pPr>
        <w:tabs>
          <w:tab w:val="left" w:pos="3256"/>
        </w:tabs>
        <w:spacing w:line="276" w:lineRule="auto"/>
        <w:jc w:val="both"/>
        <w:rPr>
          <w:rFonts w:ascii="Times New Roman" w:hAnsi="Times New Roman" w:cs="Times New Roman"/>
        </w:rPr>
      </w:pPr>
    </w:p>
    <w:p w:rsidR="00161D6C" w:rsidRDefault="00283B17">
      <w:pPr>
        <w:tabs>
          <w:tab w:val="left" w:pos="3256"/>
        </w:tabs>
        <w:spacing w:line="276" w:lineRule="auto"/>
        <w:jc w:val="both"/>
        <w:rPr>
          <w:rFonts w:ascii="Times New Roman" w:hAnsi="Times New Roman" w:cs="Times New Roman"/>
        </w:rPr>
      </w:pPr>
      <w:r>
        <w:rPr>
          <w:rFonts w:ascii="Times New Roman" w:hAnsi="Times New Roman" w:cs="Times New Roman"/>
          <w:noProof/>
          <w:lang w:eastAsia="en-US" w:bidi="ar-SA"/>
        </w:rPr>
        <w:drawing>
          <wp:inline distT="0" distB="0" distL="0" distR="0">
            <wp:extent cx="2608580" cy="2378075"/>
            <wp:effectExtent l="0" t="0" r="0" b="0"/>
            <wp:docPr id="2" name="Picture 282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82 Copy 1"/>
                    <pic:cNvPicPr>
                      <a:picLocks noChangeAspect="1" noChangeArrowheads="1"/>
                    </pic:cNvPicPr>
                  </pic:nvPicPr>
                  <pic:blipFill>
                    <a:blip r:embed="rId7"/>
                    <a:stretch>
                      <a:fillRect/>
                    </a:stretch>
                  </pic:blipFill>
                  <pic:spPr bwMode="auto">
                    <a:xfrm>
                      <a:off x="0" y="0"/>
                      <a:ext cx="2608580" cy="2378075"/>
                    </a:xfrm>
                    <a:prstGeom prst="rect">
                      <a:avLst/>
                    </a:prstGeom>
                  </pic:spPr>
                </pic:pic>
              </a:graphicData>
            </a:graphic>
          </wp:inline>
        </w:drawing>
      </w:r>
    </w:p>
    <w:p w:rsidR="00161D6C" w:rsidRDefault="00283B17">
      <w:pPr>
        <w:tabs>
          <w:tab w:val="left" w:pos="3256"/>
        </w:tabs>
        <w:spacing w:line="276" w:lineRule="auto"/>
        <w:jc w:val="both"/>
        <w:rPr>
          <w:rFonts w:ascii="Times New Roman" w:hAnsi="Times New Roman" w:cs="Times New Roman"/>
        </w:rPr>
      </w:pPr>
      <w:r>
        <w:rPr>
          <w:rFonts w:ascii="Times New Roman" w:hAnsi="Times New Roman" w:cs="Times New Roman"/>
        </w:rPr>
        <w:t>Figure 2: Magnitude-duration for classification of voltage variations (</w:t>
      </w:r>
      <w:proofErr w:type="spellStart"/>
      <w:r>
        <w:rPr>
          <w:rFonts w:ascii="Times New Roman" w:hAnsi="Times New Roman" w:cs="Times New Roman"/>
        </w:rPr>
        <w:t>Olatoke</w:t>
      </w:r>
      <w:proofErr w:type="spellEnd"/>
      <w:r>
        <w:rPr>
          <w:rFonts w:ascii="Times New Roman" w:hAnsi="Times New Roman" w:cs="Times New Roman"/>
        </w:rPr>
        <w:t xml:space="preserve">, 2011) </w:t>
      </w:r>
    </w:p>
    <w:p w:rsidR="00161D6C" w:rsidRDefault="00161D6C">
      <w:pPr>
        <w:spacing w:line="276" w:lineRule="auto"/>
        <w:jc w:val="center"/>
        <w:rPr>
          <w:rFonts w:ascii="Times New Roman" w:hAnsi="Times New Roman" w:cs="Times New Roman"/>
        </w:rPr>
      </w:pPr>
    </w:p>
    <w:p w:rsidR="00161D6C" w:rsidRDefault="00283B17">
      <w:pPr>
        <w:spacing w:line="276" w:lineRule="auto"/>
        <w:jc w:val="both"/>
        <w:rPr>
          <w:rFonts w:ascii="Times New Roman" w:hAnsi="Times New Roman" w:cs="Times New Roman"/>
        </w:rPr>
      </w:pPr>
      <w:r>
        <w:rPr>
          <w:noProof/>
          <w:lang w:eastAsia="en-US" w:bidi="ar-SA"/>
        </w:rPr>
        <w:drawing>
          <wp:anchor distT="0" distB="0" distL="0" distR="0" simplePos="0" relativeHeight="5" behindDoc="0" locked="0" layoutInCell="0" allowOverlap="1">
            <wp:simplePos x="0" y="0"/>
            <wp:positionH relativeFrom="column">
              <wp:posOffset>1706245</wp:posOffset>
            </wp:positionH>
            <wp:positionV relativeFrom="paragraph">
              <wp:posOffset>36830</wp:posOffset>
            </wp:positionV>
            <wp:extent cx="3002915" cy="2592070"/>
            <wp:effectExtent l="0" t="0" r="0" b="0"/>
            <wp:wrapSquare wrapText="largest"/>
            <wp:docPr id="3" name="Image3 Copy 1 Cop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Copy 1 Copy 1"/>
                    <pic:cNvPicPr>
                      <a:picLocks noChangeAspect="1" noChangeArrowheads="1"/>
                    </pic:cNvPicPr>
                  </pic:nvPicPr>
                  <pic:blipFill>
                    <a:blip r:embed="rId8"/>
                    <a:srcRect l="32595" b="33628"/>
                    <a:stretch>
                      <a:fillRect/>
                    </a:stretch>
                  </pic:blipFill>
                  <pic:spPr bwMode="auto">
                    <a:xfrm>
                      <a:off x="0" y="0"/>
                      <a:ext cx="3002915" cy="2592070"/>
                    </a:xfrm>
                    <a:prstGeom prst="rect">
                      <a:avLst/>
                    </a:prstGeom>
                  </pic:spPr>
                </pic:pic>
              </a:graphicData>
            </a:graphic>
          </wp:anchor>
        </w:drawing>
      </w:r>
      <w:r>
        <w:rPr>
          <w:rFonts w:ascii="Times New Roman" w:hAnsi="Times New Roman" w:cs="Times New Roman"/>
        </w:rPr>
        <w:t xml:space="preserve">     </w:t>
      </w: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283B17">
      <w:pPr>
        <w:spacing w:line="276" w:lineRule="auto"/>
        <w:jc w:val="center"/>
        <w:rPr>
          <w:rFonts w:ascii="Times New Roman" w:hAnsi="Times New Roman" w:cs="Times New Roman"/>
        </w:rPr>
      </w:pPr>
      <w:r>
        <w:rPr>
          <w:rFonts w:ascii="Times New Roman" w:hAnsi="Times New Roman" w:cs="Times New Roman"/>
        </w:rPr>
        <w:t>Figure 3: Waveforms of Voltage variation (</w:t>
      </w:r>
      <w:r>
        <w:rPr>
          <w:rFonts w:ascii="Times New Roman" w:hAnsi="Times New Roman" w:cs="Times New Roman"/>
        </w:rPr>
        <w:t>Ravi</w:t>
      </w:r>
      <w:r>
        <w:rPr>
          <w:rFonts w:ascii="Times New Roman" w:hAnsi="Times New Roman" w:cs="Times New Roman"/>
        </w:rPr>
        <w:t xml:space="preserve"> and </w:t>
      </w:r>
      <w:proofErr w:type="spellStart"/>
      <w:r>
        <w:rPr>
          <w:rFonts w:ascii="Times New Roman" w:hAnsi="Times New Roman" w:cs="Times New Roman"/>
        </w:rPr>
        <w:t>Sathish</w:t>
      </w:r>
      <w:proofErr w:type="spellEnd"/>
      <w:r>
        <w:rPr>
          <w:rFonts w:ascii="Times New Roman" w:hAnsi="Times New Roman" w:cs="Times New Roman"/>
        </w:rPr>
        <w:t xml:space="preserve"> Kumar, 2022)</w:t>
      </w:r>
    </w:p>
    <w:p w:rsidR="00161D6C" w:rsidRDefault="00161D6C">
      <w:pPr>
        <w:spacing w:line="276" w:lineRule="auto"/>
        <w:jc w:val="both"/>
        <w:rPr>
          <w:rFonts w:ascii="Times New Roman" w:eastAsia="Times New Roman" w:hAnsi="Times New Roman" w:cs="Times New Roman"/>
          <w:b/>
          <w:bCs/>
          <w:color w:val="0E101A"/>
        </w:rPr>
      </w:pPr>
    </w:p>
    <w:p w:rsidR="00161D6C" w:rsidRDefault="00283B17">
      <w:pPr>
        <w:spacing w:line="276" w:lineRule="auto"/>
        <w:jc w:val="both"/>
        <w:rPr>
          <w:rFonts w:ascii="Times New Roman" w:eastAsia="Times New Roman" w:hAnsi="Times New Roman" w:cs="Times New Roman"/>
          <w:color w:val="0E101A"/>
        </w:rPr>
      </w:pPr>
      <w:r>
        <w:rPr>
          <w:rFonts w:ascii="Times New Roman" w:eastAsia="Times New Roman" w:hAnsi="Times New Roman" w:cs="Times New Roman"/>
          <w:b/>
          <w:bCs/>
          <w:color w:val="0E101A"/>
        </w:rPr>
        <w:lastRenderedPageBreak/>
        <w:t xml:space="preserve">5.1. </w:t>
      </w:r>
      <w:r>
        <w:rPr>
          <w:rFonts w:ascii="Times New Roman" w:eastAsia="Times New Roman" w:hAnsi="Times New Roman" w:cs="Times New Roman"/>
          <w:b/>
          <w:bCs/>
          <w:color w:val="0E101A"/>
        </w:rPr>
        <w:t>Classification using Duration of Voltage Variation</w:t>
      </w:r>
    </w:p>
    <w:p w:rsidR="00161D6C" w:rsidRDefault="00283B17">
      <w:pPr>
        <w:spacing w:line="276"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This section attempts to sum up the definitions by redefining voltage variations based on the duration and depth of voltage classifications. Thus two terms: short duration voltage variation (SDVV) and long</w:t>
      </w:r>
      <w:r>
        <w:rPr>
          <w:rFonts w:ascii="Times New Roman" w:eastAsia="Times New Roman" w:hAnsi="Times New Roman" w:cs="Times New Roman"/>
          <w:color w:val="0E101A"/>
        </w:rPr>
        <w:t xml:space="preserve"> duration voltage variation (LDVV) emerged and were used to define four parameters: sag, swell, under voltage and over voltage events. Also, the relationship that exists between them is thereafter presented.  </w:t>
      </w:r>
    </w:p>
    <w:p w:rsidR="00161D6C" w:rsidRDefault="00161D6C">
      <w:pPr>
        <w:spacing w:line="276" w:lineRule="auto"/>
        <w:jc w:val="both"/>
        <w:rPr>
          <w:rFonts w:ascii="Times New Roman" w:eastAsia="Times New Roman" w:hAnsi="Times New Roman" w:cs="Times New Roman"/>
          <w:color w:val="0E101A"/>
        </w:rPr>
      </w:pPr>
    </w:p>
    <w:p w:rsidR="00161D6C" w:rsidRDefault="00283B17">
      <w:pPr>
        <w:spacing w:line="276" w:lineRule="auto"/>
        <w:jc w:val="both"/>
        <w:rPr>
          <w:rFonts w:ascii="Times New Roman" w:eastAsia="Times New Roman" w:hAnsi="Times New Roman" w:cs="Times New Roman"/>
          <w:color w:val="0E101A"/>
        </w:rPr>
      </w:pPr>
      <w:proofErr w:type="spellStart"/>
      <w:r>
        <w:rPr>
          <w:rFonts w:ascii="Times New Roman" w:eastAsia="Times New Roman" w:hAnsi="Times New Roman" w:cs="Times New Roman"/>
          <w:color w:val="0E101A"/>
        </w:rPr>
        <w:t>i</w:t>
      </w:r>
      <w:proofErr w:type="spellEnd"/>
      <w:r>
        <w:rPr>
          <w:rFonts w:ascii="Times New Roman" w:eastAsia="Times New Roman" w:hAnsi="Times New Roman" w:cs="Times New Roman"/>
          <w:color w:val="0E101A"/>
        </w:rPr>
        <w:t>) Sag is an SDVV event in which the magnitud</w:t>
      </w:r>
      <w:r>
        <w:rPr>
          <w:rFonts w:ascii="Times New Roman" w:eastAsia="Times New Roman" w:hAnsi="Times New Roman" w:cs="Times New Roman"/>
          <w:color w:val="0E101A"/>
        </w:rPr>
        <w:t xml:space="preserve">e of the voltage is less than 90% of its nominal value for a period of less than one minute. Thus, a voltage disturbance is in generally considered as sag when the </w:t>
      </w:r>
      <w:proofErr w:type="spellStart"/>
      <w:r>
        <w:rPr>
          <w:rFonts w:ascii="Times New Roman" w:eastAsia="Times New Roman" w:hAnsi="Times New Roman" w:cs="Times New Roman"/>
          <w:color w:val="0E101A"/>
        </w:rPr>
        <w:t>rms</w:t>
      </w:r>
      <w:proofErr w:type="spellEnd"/>
      <w:r>
        <w:rPr>
          <w:rFonts w:ascii="Times New Roman" w:eastAsia="Times New Roman" w:hAnsi="Times New Roman" w:cs="Times New Roman"/>
          <w:color w:val="0E101A"/>
        </w:rPr>
        <w:t xml:space="preserve"> voltage remains below 90 % of nominal voltage for a period not exceeding one minute. Thi</w:t>
      </w:r>
      <w:r>
        <w:rPr>
          <w:rFonts w:ascii="Times New Roman" w:eastAsia="Times New Roman" w:hAnsi="Times New Roman" w:cs="Times New Roman"/>
          <w:color w:val="0E101A"/>
        </w:rPr>
        <w:t xml:space="preserve">s is expressed as (Hussein and </w:t>
      </w:r>
      <w:proofErr w:type="spellStart"/>
      <w:r>
        <w:rPr>
          <w:rFonts w:ascii="Times New Roman" w:eastAsia="Times New Roman" w:hAnsi="Times New Roman" w:cs="Times New Roman"/>
          <w:color w:val="0E101A"/>
        </w:rPr>
        <w:t>Hawa</w:t>
      </w:r>
      <w:proofErr w:type="spellEnd"/>
      <w:r>
        <w:rPr>
          <w:rFonts w:ascii="Times New Roman" w:eastAsia="Times New Roman" w:hAnsi="Times New Roman" w:cs="Times New Roman"/>
          <w:color w:val="0E101A"/>
        </w:rPr>
        <w:t xml:space="preserve">, 2019): </w:t>
      </w:r>
    </w:p>
    <w:p w:rsidR="00161D6C" w:rsidRDefault="00283B17">
      <w:pPr>
        <w:spacing w:before="240" w:line="276" w:lineRule="auto"/>
        <w:jc w:val="both"/>
        <w:rPr>
          <w:rFonts w:cs="Times New Roman" w:hint="eastAsia"/>
        </w:rPr>
      </w:pPr>
      <w:r>
        <w:t xml:space="preserve">  </w:t>
      </w:r>
      <w:r>
        <w:tab/>
      </w:r>
      <w:r>
        <w:tab/>
        <w:t xml:space="preserve">  </w:t>
      </w:r>
      <m:oMath>
        <m:r>
          <w:rPr>
            <w:rFonts w:ascii="Cambria Math" w:hAnsi="Cambria Math"/>
          </w:rPr>
          <m:t>V</m:t>
        </m:r>
        <m:d>
          <m:dPr>
            <m:ctrlPr>
              <w:rPr>
                <w:rFonts w:ascii="Cambria Math" w:hAnsi="Cambria Math"/>
              </w:rPr>
            </m:ctrlPr>
          </m:dPr>
          <m:e>
            <m:r>
              <w:rPr>
                <w:rFonts w:ascii="Cambria Math" w:hAnsi="Cambria Math"/>
              </w:rPr>
              <m:t>t</m:t>
            </m:r>
          </m:e>
        </m:d>
        <m:r>
          <w:rPr>
            <w:rFonts w:ascii="Cambria Math" w:hAnsi="Cambria Math"/>
          </w:rPr>
          <m:t>=</m:t>
        </m:r>
        <m:r>
          <w:rPr>
            <w:rFonts w:ascii="Cambria Math" w:hAnsi="Cambria Math"/>
          </w:rPr>
          <m:t>A</m:t>
        </m:r>
        <m:d>
          <m:dPr>
            <m:begChr m:val="["/>
            <m:endChr m:val="]"/>
            <m:ctrlPr>
              <w:rPr>
                <w:rFonts w:ascii="Cambria Math" w:hAnsi="Cambria Math"/>
              </w:rPr>
            </m:ctrlPr>
          </m:dPr>
          <m:e>
            <m:r>
              <w:rPr>
                <w:rFonts w:ascii="Cambria Math" w:hAnsi="Cambria Math"/>
              </w:rPr>
              <m:t>1-</m:t>
            </m:r>
            <m:r>
              <w:rPr>
                <w:rFonts w:ascii="Cambria Math" w:hAnsi="Cambria Math"/>
              </w:rPr>
              <m:t>α</m:t>
            </m:r>
            <m:d>
              <m:dPr>
                <m:ctrlPr>
                  <w:rPr>
                    <w:rFonts w:ascii="Cambria Math" w:hAnsi="Cambria Math"/>
                  </w:rPr>
                </m:ctrlPr>
              </m:dPr>
              <m:e>
                <m:r>
                  <w:rPr>
                    <w:rFonts w:ascii="Cambria Math" w:hAnsi="Cambria Math"/>
                  </w:rPr>
                  <m:t>u</m:t>
                </m:r>
                <m:d>
                  <m:dPr>
                    <m:ctrlPr>
                      <w:rPr>
                        <w:rFonts w:ascii="Cambria Math" w:hAnsi="Cambria Math"/>
                      </w:rPr>
                    </m:ctrlPr>
                  </m:dPr>
                  <m:e>
                    <m:r>
                      <w:rPr>
                        <w:rFonts w:ascii="Cambria Math" w:hAnsi="Cambria Math"/>
                      </w:rPr>
                      <m:t>t</m:t>
                    </m:r>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r>
                  <w:rPr>
                    <w:rFonts w:ascii="Cambria Math" w:hAnsi="Cambria Math"/>
                  </w:rPr>
                  <m:t>u</m:t>
                </m:r>
                <m:d>
                  <m:dPr>
                    <m:ctrlPr>
                      <w:rPr>
                        <w:rFonts w:ascii="Cambria Math" w:hAnsi="Cambria Math"/>
                      </w:rPr>
                    </m:ctrlPr>
                  </m:dPr>
                  <m:e>
                    <m:r>
                      <w:rPr>
                        <w:rFonts w:ascii="Cambria Math" w:hAnsi="Cambria Math"/>
                      </w:rPr>
                      <m:t>t</m:t>
                    </m:r>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e>
                </m:d>
              </m:e>
            </m:d>
          </m:e>
        </m:d>
        <m:r>
          <m:rPr>
            <m:lit/>
            <m:nor/>
          </m:rPr>
          <w:rPr>
            <w:rFonts w:ascii="Cambria Math" w:hAnsi="Cambria Math"/>
          </w:rPr>
          <m:t>Sin</m:t>
        </m:r>
        <m:d>
          <m:dPr>
            <m:ctrlPr>
              <w:rPr>
                <w:rFonts w:ascii="Cambria Math" w:hAnsi="Cambria Math"/>
              </w:rPr>
            </m:ctrlPr>
          </m:dPr>
          <m:e>
            <m:r>
              <w:rPr>
                <w:rFonts w:ascii="Cambria Math" w:hAnsi="Cambria Math"/>
              </w:rPr>
              <m:t>ωt</m:t>
            </m:r>
          </m:e>
        </m:d>
      </m:oMath>
      <w:r>
        <w:t xml:space="preserve">    </w:t>
      </w:r>
      <w:r>
        <w:tab/>
        <w:t xml:space="preserve">      </w:t>
      </w:r>
      <w:r>
        <w:tab/>
      </w:r>
      <w:r>
        <w:rPr>
          <w:rFonts w:cs="Times New Roman"/>
        </w:rPr>
        <w:t>(2)</w:t>
      </w:r>
    </w:p>
    <w:p w:rsidR="00161D6C" w:rsidRDefault="00283B17">
      <w:pPr>
        <w:spacing w:line="276" w:lineRule="auto"/>
        <w:jc w:val="both"/>
        <w:rPr>
          <w:rFonts w:cs="Times New Roman" w:hint="eastAsia"/>
        </w:rPr>
      </w:pPr>
      <w:proofErr w:type="gramStart"/>
      <w:r>
        <w:t xml:space="preserve">where  </w:t>
      </w:r>
      <w:proofErr w:type="gramEnd"/>
      <m:oMath>
        <m:sSub>
          <m:sSubPr>
            <m:ctrlPr>
              <w:rPr>
                <w:rFonts w:ascii="Cambria Math" w:hAnsi="Cambria Math"/>
              </w:rPr>
            </m:ctrlPr>
          </m:sSubPr>
          <m:e>
            <m:r>
              <w:rPr>
                <w:rFonts w:ascii="Cambria Math" w:hAnsi="Cambria Math"/>
              </w:rPr>
              <m:t>t</m:t>
            </m:r>
          </m:e>
          <m:sub>
            <m:r>
              <w:rPr>
                <w:rFonts w:ascii="Cambria Math" w:hAnsi="Cambria Math"/>
              </w:rPr>
              <m:t>1</m:t>
            </m:r>
          </m:sub>
        </m:sSub>
        <m:r>
          <w:rPr>
            <w:rFonts w:ascii="Cambria Math" w:hAnsi="Cambria Math"/>
          </w:rPr>
          <m:t>&lt;</m:t>
        </m:r>
        <m:sSub>
          <m:sSubPr>
            <m:ctrlPr>
              <w:rPr>
                <w:rFonts w:ascii="Cambria Math" w:hAnsi="Cambria Math"/>
              </w:rPr>
            </m:ctrlPr>
          </m:sSubPr>
          <m:e>
            <m:r>
              <w:rPr>
                <w:rFonts w:ascii="Cambria Math" w:hAnsi="Cambria Math"/>
              </w:rPr>
              <m:t>t</m:t>
            </m:r>
          </m:e>
          <m:sub>
            <m:r>
              <w:rPr>
                <w:rFonts w:ascii="Cambria Math" w:hAnsi="Cambria Math"/>
              </w:rPr>
              <m:t>2</m:t>
            </m:r>
          </m:sub>
        </m:sSub>
      </m:oMath>
      <w:r>
        <w:rPr>
          <w:rFonts w:cs="Times New Roman"/>
        </w:rPr>
        <w:t xml:space="preserve">,  </w:t>
      </w:r>
      <m:oMath>
        <m:eqArr>
          <m:eqArrPr>
            <m:ctrlPr>
              <w:rPr>
                <w:rFonts w:ascii="Cambria Math" w:hAnsi="Cambria Math"/>
              </w:rPr>
            </m:ctrlPr>
          </m:eqArrPr>
          <m:e>
            <m:r>
              <w:rPr>
                <w:rFonts w:ascii="Cambria Math" w:hAnsi="Cambria Math"/>
              </w:rPr>
              <m:t>u</m:t>
            </m:r>
            <m:d>
              <m:dPr>
                <m:ctrlPr>
                  <w:rPr>
                    <w:rFonts w:ascii="Cambria Math" w:hAnsi="Cambria Math"/>
                  </w:rPr>
                </m:ctrlPr>
              </m:dPr>
              <m:e>
                <m:r>
                  <w:rPr>
                    <w:rFonts w:ascii="Cambria Math" w:hAnsi="Cambria Math"/>
                  </w:rPr>
                  <m:t>t</m:t>
                </m:r>
              </m:e>
            </m:d>
            <m:r>
              <w:rPr>
                <w:rFonts w:ascii="Cambria Math" w:hAnsi="Cambria Math"/>
              </w:rPr>
              <m:t>=1</m:t>
            </m:r>
          </m:e>
          <m:e>
            <m:r>
              <w:rPr>
                <w:rFonts w:ascii="Cambria Math" w:hAnsi="Cambria Math"/>
              </w:rPr>
              <m:t>u</m:t>
            </m:r>
            <m:d>
              <m:dPr>
                <m:ctrlPr>
                  <w:rPr>
                    <w:rFonts w:ascii="Cambria Math" w:hAnsi="Cambria Math"/>
                  </w:rPr>
                </m:ctrlPr>
              </m:dPr>
              <m:e>
                <m:r>
                  <w:rPr>
                    <w:rFonts w:ascii="Cambria Math" w:hAnsi="Cambria Math"/>
                  </w:rPr>
                  <m:t>t</m:t>
                </m:r>
              </m:e>
            </m:d>
            <m:r>
              <w:rPr>
                <w:rFonts w:ascii="Cambria Math" w:hAnsi="Cambria Math"/>
              </w:rPr>
              <m:t>=0</m:t>
            </m:r>
          </m:e>
        </m:eqArr>
      </m:oMath>
      <w:r>
        <w:rPr>
          <w:rFonts w:cs="Times New Roman"/>
        </w:rPr>
        <w:t xml:space="preserve">  t &gt;0 &amp; t &lt;0 respectively and α is the magnitude of the sag (0.1- 0.89)</w:t>
      </w:r>
    </w:p>
    <w:p w:rsidR="00161D6C" w:rsidRDefault="00161D6C">
      <w:pPr>
        <w:spacing w:line="276" w:lineRule="auto"/>
        <w:jc w:val="both"/>
        <w:rPr>
          <w:rFonts w:hint="eastAsia"/>
        </w:rPr>
      </w:pPr>
    </w:p>
    <w:p w:rsidR="00161D6C" w:rsidRDefault="00283B17">
      <w:pPr>
        <w:spacing w:line="276" w:lineRule="auto"/>
        <w:contextualSpacing/>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ii). Swell is an SDVV event in which the magnitude of the voltage is greater than 110% of its nominal value for a period of less than one minute. This can also be expressed as (Hussein and </w:t>
      </w:r>
      <w:proofErr w:type="spellStart"/>
      <w:r>
        <w:rPr>
          <w:rFonts w:ascii="Times New Roman" w:eastAsia="Times New Roman" w:hAnsi="Times New Roman" w:cs="Times New Roman"/>
          <w:color w:val="0E101A"/>
        </w:rPr>
        <w:t>Hawa</w:t>
      </w:r>
      <w:proofErr w:type="spellEnd"/>
      <w:r>
        <w:rPr>
          <w:rFonts w:ascii="Times New Roman" w:eastAsia="Times New Roman" w:hAnsi="Times New Roman" w:cs="Times New Roman"/>
          <w:color w:val="0E101A"/>
        </w:rPr>
        <w:t xml:space="preserve">, 2019): </w:t>
      </w:r>
    </w:p>
    <w:p w:rsidR="00161D6C" w:rsidRDefault="00283B17">
      <w:pPr>
        <w:pStyle w:val="ListParagraph"/>
        <w:spacing w:after="0" w:line="276" w:lineRule="auto"/>
        <w:ind w:left="1080" w:firstLine="338"/>
        <w:rPr>
          <w:rFonts w:eastAsia="Times New Roman" w:cs="Times New Roman"/>
          <w:color w:val="0E101A"/>
        </w:rPr>
      </w:pPr>
      <m:oMath>
        <m:r>
          <w:rPr>
            <w:rFonts w:ascii="Cambria Math" w:hAnsi="Cambria Math"/>
          </w:rPr>
          <m:t>V</m:t>
        </m:r>
        <m:d>
          <m:dPr>
            <m:ctrlPr>
              <w:rPr>
                <w:rFonts w:ascii="Cambria Math" w:hAnsi="Cambria Math"/>
              </w:rPr>
            </m:ctrlPr>
          </m:dPr>
          <m:e>
            <m:r>
              <w:rPr>
                <w:rFonts w:ascii="Cambria Math" w:hAnsi="Cambria Math"/>
              </w:rPr>
              <m:t>t</m:t>
            </m:r>
          </m:e>
        </m:d>
        <m:r>
          <w:rPr>
            <w:rFonts w:ascii="Cambria Math" w:hAnsi="Cambria Math"/>
          </w:rPr>
          <m:t>=</m:t>
        </m:r>
        <m:r>
          <w:rPr>
            <w:rFonts w:ascii="Cambria Math" w:hAnsi="Cambria Math"/>
          </w:rPr>
          <m:t>A</m:t>
        </m:r>
        <m:d>
          <m:dPr>
            <m:begChr m:val="["/>
            <m:endChr m:val="]"/>
            <m:ctrlPr>
              <w:rPr>
                <w:rFonts w:ascii="Cambria Math" w:hAnsi="Cambria Math"/>
              </w:rPr>
            </m:ctrlPr>
          </m:dPr>
          <m:e>
            <m:r>
              <w:rPr>
                <w:rFonts w:ascii="Cambria Math" w:hAnsi="Cambria Math"/>
              </w:rPr>
              <m:t>1+</m:t>
            </m:r>
            <m:r>
              <w:rPr>
                <w:rFonts w:ascii="Cambria Math" w:hAnsi="Cambria Math"/>
              </w:rPr>
              <m:t>α</m:t>
            </m:r>
            <m:d>
              <m:dPr>
                <m:ctrlPr>
                  <w:rPr>
                    <w:rFonts w:ascii="Cambria Math" w:hAnsi="Cambria Math"/>
                  </w:rPr>
                </m:ctrlPr>
              </m:dPr>
              <m:e>
                <m:r>
                  <w:rPr>
                    <w:rFonts w:ascii="Cambria Math" w:hAnsi="Cambria Math"/>
                  </w:rPr>
                  <m:t>u</m:t>
                </m:r>
                <m:d>
                  <m:dPr>
                    <m:ctrlPr>
                      <w:rPr>
                        <w:rFonts w:ascii="Cambria Math" w:hAnsi="Cambria Math"/>
                      </w:rPr>
                    </m:ctrlPr>
                  </m:dPr>
                  <m:e>
                    <m:r>
                      <w:rPr>
                        <w:rFonts w:ascii="Cambria Math" w:hAnsi="Cambria Math"/>
                      </w:rPr>
                      <m:t>t</m:t>
                    </m:r>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1</m:t>
                        </m:r>
                      </m:sub>
                    </m:sSub>
                  </m:e>
                </m:d>
                <m:r>
                  <w:rPr>
                    <w:rFonts w:ascii="Cambria Math" w:hAnsi="Cambria Math"/>
                  </w:rPr>
                  <m:t>-</m:t>
                </m:r>
                <m:r>
                  <w:rPr>
                    <w:rFonts w:ascii="Cambria Math" w:hAnsi="Cambria Math"/>
                  </w:rPr>
                  <m:t>u</m:t>
                </m:r>
                <m:d>
                  <m:dPr>
                    <m:ctrlPr>
                      <w:rPr>
                        <w:rFonts w:ascii="Cambria Math" w:hAnsi="Cambria Math"/>
                      </w:rPr>
                    </m:ctrlPr>
                  </m:dPr>
                  <m:e>
                    <m:r>
                      <w:rPr>
                        <w:rFonts w:ascii="Cambria Math" w:hAnsi="Cambria Math"/>
                      </w:rPr>
                      <m:t>t</m:t>
                    </m:r>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2</m:t>
                        </m:r>
                      </m:sub>
                    </m:sSub>
                  </m:e>
                </m:d>
              </m:e>
            </m:d>
          </m:e>
        </m:d>
        <m:r>
          <m:rPr>
            <m:lit/>
            <m:nor/>
          </m:rPr>
          <w:rPr>
            <w:rFonts w:ascii="Cambria Math" w:hAnsi="Cambria Math"/>
          </w:rPr>
          <m:t>Sin</m:t>
        </m:r>
        <m:d>
          <m:dPr>
            <m:ctrlPr>
              <w:rPr>
                <w:rFonts w:ascii="Cambria Math" w:hAnsi="Cambria Math"/>
              </w:rPr>
            </m:ctrlPr>
          </m:dPr>
          <m:e>
            <m:r>
              <w:rPr>
                <w:rFonts w:ascii="Cambria Math" w:hAnsi="Cambria Math"/>
              </w:rPr>
              <m:t>ωt</m:t>
            </m:r>
          </m:e>
        </m:d>
      </m:oMath>
      <w:r>
        <w:t xml:space="preserve">            </w:t>
      </w:r>
      <w:r>
        <w:tab/>
      </w:r>
      <w:r>
        <w:tab/>
      </w:r>
      <w:r>
        <w:rPr>
          <w:rFonts w:cs="Times New Roman"/>
        </w:rPr>
        <w:t>(3)</w:t>
      </w:r>
    </w:p>
    <w:p w:rsidR="00161D6C" w:rsidRDefault="00283B17">
      <w:pPr>
        <w:spacing w:line="276" w:lineRule="auto"/>
        <w:contextualSpacing/>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iii). Under-voltage (UV) is an LDVV event in which the magnitude of the voltage is less than 90% of its nominal value for a period greater than one minute. </w:t>
      </w:r>
    </w:p>
    <w:p w:rsidR="00161D6C" w:rsidRDefault="00283B17">
      <w:pPr>
        <w:spacing w:line="276" w:lineRule="auto"/>
        <w:contextualSpacing/>
        <w:jc w:val="both"/>
        <w:rPr>
          <w:rFonts w:ascii="Times New Roman" w:eastAsia="Times New Roman" w:hAnsi="Times New Roman" w:cs="Times New Roman"/>
          <w:color w:val="0E101A"/>
        </w:rPr>
      </w:pPr>
      <w:r>
        <w:rPr>
          <w:rFonts w:ascii="Times New Roman" w:eastAsia="Times New Roman" w:hAnsi="Times New Roman" w:cs="Times New Roman"/>
          <w:color w:val="0E101A"/>
        </w:rPr>
        <w:t>iv). Overvoltage (OV) is an LDVV event in which the magnitude of the voltage is greater than 110% o</w:t>
      </w:r>
      <w:r>
        <w:rPr>
          <w:rFonts w:ascii="Times New Roman" w:eastAsia="Times New Roman" w:hAnsi="Times New Roman" w:cs="Times New Roman"/>
          <w:color w:val="0E101A"/>
        </w:rPr>
        <w:t xml:space="preserve">f its nominal value for a period greater than one minute. </w:t>
      </w:r>
    </w:p>
    <w:p w:rsidR="00161D6C" w:rsidRDefault="00283B17">
      <w:pPr>
        <w:spacing w:before="240" w:line="276" w:lineRule="auto"/>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In other words, sag and swell are SDVV events of less than one minute while </w:t>
      </w:r>
      <w:proofErr w:type="spellStart"/>
      <w:r>
        <w:rPr>
          <w:rFonts w:ascii="Times New Roman" w:eastAsia="Times New Roman" w:hAnsi="Times New Roman" w:cs="Times New Roman"/>
          <w:color w:val="0E101A"/>
        </w:rPr>
        <w:t>undervoltage</w:t>
      </w:r>
      <w:proofErr w:type="spellEnd"/>
      <w:r>
        <w:rPr>
          <w:rFonts w:ascii="Times New Roman" w:eastAsia="Times New Roman" w:hAnsi="Times New Roman" w:cs="Times New Roman"/>
          <w:color w:val="0E101A"/>
        </w:rPr>
        <w:t xml:space="preserve"> (UV) and overvoltage (OV) are LDVV events of more than one minute. Similarly, sag and UV are low voltage eve</w:t>
      </w:r>
      <w:r>
        <w:rPr>
          <w:rFonts w:ascii="Times New Roman" w:eastAsia="Times New Roman" w:hAnsi="Times New Roman" w:cs="Times New Roman"/>
          <w:color w:val="0E101A"/>
        </w:rPr>
        <w:t>nts of magnitude less than 90% of nominal value. They are only differentiated by the duration of one minute (</w:t>
      </w:r>
      <w:proofErr w:type="spellStart"/>
      <w:r>
        <w:rPr>
          <w:rFonts w:ascii="Times New Roman" w:eastAsia="Times New Roman" w:hAnsi="Times New Roman" w:cs="Times New Roman"/>
          <w:color w:val="0E101A"/>
        </w:rPr>
        <w:t>i</w:t>
      </w:r>
      <w:proofErr w:type="spellEnd"/>
      <w:r>
        <w:rPr>
          <w:rFonts w:ascii="Times New Roman" w:eastAsia="Times New Roman" w:hAnsi="Times New Roman" w:cs="Times New Roman"/>
          <w:color w:val="0E101A"/>
        </w:rPr>
        <w:t xml:space="preserve">. e. less or greater than one minute). When it is less than one minute, it is sag otherwise it is UV. Also, swells and OV are high voltage events </w:t>
      </w:r>
      <w:r>
        <w:rPr>
          <w:rFonts w:ascii="Times New Roman" w:eastAsia="Times New Roman" w:hAnsi="Times New Roman" w:cs="Times New Roman"/>
          <w:color w:val="0E101A"/>
        </w:rPr>
        <w:t xml:space="preserve">of magnitude greater than 110% of nominal value differentiated by the duration of a minute. When it is less, it is </w:t>
      </w:r>
      <w:proofErr w:type="gramStart"/>
      <w:r>
        <w:rPr>
          <w:rFonts w:ascii="Times New Roman" w:eastAsia="Times New Roman" w:hAnsi="Times New Roman" w:cs="Times New Roman"/>
          <w:color w:val="0E101A"/>
        </w:rPr>
        <w:t>swell</w:t>
      </w:r>
      <w:proofErr w:type="gramEnd"/>
      <w:r>
        <w:rPr>
          <w:rFonts w:ascii="Times New Roman" w:eastAsia="Times New Roman" w:hAnsi="Times New Roman" w:cs="Times New Roman"/>
          <w:color w:val="0E101A"/>
        </w:rPr>
        <w:t>, and when greater, it is OV. In summary, sag becomes under-voltage if the period is greater than one minute and swell becomes over-volt</w:t>
      </w:r>
      <w:r>
        <w:rPr>
          <w:rFonts w:ascii="Times New Roman" w:eastAsia="Times New Roman" w:hAnsi="Times New Roman" w:cs="Times New Roman"/>
          <w:color w:val="0E101A"/>
        </w:rPr>
        <w:t xml:space="preserve">age when more than one minute. </w:t>
      </w:r>
      <w:proofErr w:type="gramStart"/>
      <w:r>
        <w:rPr>
          <w:rFonts w:ascii="Times New Roman" w:eastAsia="Times New Roman" w:hAnsi="Times New Roman" w:cs="Times New Roman"/>
          <w:color w:val="0E101A"/>
        </w:rPr>
        <w:t>Figures 3 and 4 show the pictorial and graphical classification for voltage variation events respectively.</w:t>
      </w:r>
      <w:proofErr w:type="gramEnd"/>
      <w:r>
        <w:rPr>
          <w:rFonts w:ascii="Times New Roman" w:eastAsia="Times New Roman" w:hAnsi="Times New Roman" w:cs="Times New Roman"/>
          <w:color w:val="0E101A"/>
        </w:rPr>
        <w:t xml:space="preserve"> </w:t>
      </w:r>
    </w:p>
    <w:p w:rsidR="00161D6C" w:rsidRDefault="00161D6C">
      <w:pPr>
        <w:spacing w:before="240" w:line="276" w:lineRule="auto"/>
        <w:jc w:val="both"/>
        <w:rPr>
          <w:rFonts w:ascii="Times New Roman" w:eastAsia="Times New Roman" w:hAnsi="Times New Roman" w:cs="Times New Roman"/>
          <w:color w:val="0E101A"/>
        </w:rPr>
      </w:pPr>
    </w:p>
    <w:p w:rsidR="00161D6C" w:rsidRDefault="00283B17">
      <w:pPr>
        <w:spacing w:line="276" w:lineRule="auto"/>
        <w:jc w:val="center"/>
        <w:rPr>
          <w:rFonts w:ascii="Times New Roman" w:eastAsia="Calibri" w:hAnsi="Times New Roman" w:cs="Times New Roman"/>
        </w:rPr>
      </w:pPr>
      <w:r>
        <w:rPr>
          <w:noProof/>
          <w:lang w:eastAsia="en-US" w:bidi="ar-SA"/>
        </w:rPr>
        <w:lastRenderedPageBreak/>
        <w:drawing>
          <wp:inline distT="0" distB="0" distL="0" distR="0">
            <wp:extent cx="4145280" cy="2609850"/>
            <wp:effectExtent l="0" t="0" r="0" b="0"/>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pic:cNvPicPr>
                      <a:picLocks noChangeAspect="1" noChangeArrowheads="1"/>
                    </pic:cNvPicPr>
                  </pic:nvPicPr>
                  <pic:blipFill>
                    <a:blip r:embed="rId9"/>
                    <a:stretch>
                      <a:fillRect/>
                    </a:stretch>
                  </pic:blipFill>
                  <pic:spPr bwMode="auto">
                    <a:xfrm>
                      <a:off x="0" y="0"/>
                      <a:ext cx="4145280" cy="2609850"/>
                    </a:xfrm>
                    <a:prstGeom prst="rect">
                      <a:avLst/>
                    </a:prstGeom>
                  </pic:spPr>
                </pic:pic>
              </a:graphicData>
            </a:graphic>
          </wp:inline>
        </w:drawing>
      </w:r>
    </w:p>
    <w:p w:rsidR="00161D6C" w:rsidRDefault="00283B17">
      <w:pPr>
        <w:spacing w:line="276" w:lineRule="auto"/>
        <w:jc w:val="center"/>
        <w:rPr>
          <w:rFonts w:ascii="Times New Roman" w:eastAsia="Calibri" w:hAnsi="Times New Roman" w:cs="Times New Roman"/>
        </w:rPr>
      </w:pPr>
      <w:r>
        <w:rPr>
          <w:rFonts w:ascii="Times New Roman" w:eastAsia="Calibri" w:hAnsi="Times New Roman" w:cs="Times New Roman"/>
        </w:rPr>
        <w:t>Figure 3: Voltage variation events’ classification</w:t>
      </w:r>
    </w:p>
    <w:p w:rsidR="00161D6C" w:rsidRDefault="00161D6C">
      <w:pPr>
        <w:spacing w:line="276" w:lineRule="auto"/>
        <w:jc w:val="both"/>
        <w:rPr>
          <w:rFonts w:ascii="Times New Roman" w:eastAsia="Calibri" w:hAnsi="Times New Roman" w:cs="Times New Roman"/>
        </w:rPr>
      </w:pPr>
    </w:p>
    <w:p w:rsidR="00161D6C" w:rsidRDefault="00283B17">
      <w:pPr>
        <w:spacing w:line="276" w:lineRule="auto"/>
        <w:ind w:firstLine="720"/>
        <w:jc w:val="center"/>
        <w:rPr>
          <w:rFonts w:ascii="Times New Roman" w:eastAsia="Calibri" w:hAnsi="Times New Roman" w:cs="Times New Roman"/>
        </w:rPr>
      </w:pPr>
      <w:r>
        <w:rPr>
          <w:noProof/>
          <w:lang w:eastAsia="en-US" w:bidi="ar-SA"/>
        </w:rPr>
        <w:drawing>
          <wp:inline distT="0" distB="0" distL="0" distR="0">
            <wp:extent cx="3734435" cy="2724150"/>
            <wp:effectExtent l="0" t="0" r="0" b="0"/>
            <wp:docPr id="5"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9"/>
                    <pic:cNvPicPr>
                      <a:picLocks noChangeAspect="1" noChangeArrowheads="1"/>
                    </pic:cNvPicPr>
                  </pic:nvPicPr>
                  <pic:blipFill>
                    <a:blip r:embed="rId10"/>
                    <a:stretch>
                      <a:fillRect/>
                    </a:stretch>
                  </pic:blipFill>
                  <pic:spPr bwMode="auto">
                    <a:xfrm>
                      <a:off x="0" y="0"/>
                      <a:ext cx="3734435" cy="2724150"/>
                    </a:xfrm>
                    <a:prstGeom prst="rect">
                      <a:avLst/>
                    </a:prstGeom>
                  </pic:spPr>
                </pic:pic>
              </a:graphicData>
            </a:graphic>
          </wp:inline>
        </w:drawing>
      </w:r>
    </w:p>
    <w:p w:rsidR="00161D6C" w:rsidRDefault="00283B17">
      <w:pPr>
        <w:spacing w:line="276" w:lineRule="auto"/>
        <w:ind w:left="720" w:firstLine="720"/>
        <w:jc w:val="center"/>
        <w:rPr>
          <w:rFonts w:ascii="Times New Roman" w:eastAsia="Calibri" w:hAnsi="Times New Roman" w:cs="Times New Roman"/>
        </w:rPr>
      </w:pPr>
      <w:r>
        <w:rPr>
          <w:rFonts w:ascii="Times New Roman" w:eastAsia="Calibri" w:hAnsi="Times New Roman" w:cs="Times New Roman"/>
        </w:rPr>
        <w:t>Figure 4: Graphical plot of voltage variation</w:t>
      </w:r>
    </w:p>
    <w:p w:rsidR="00161D6C" w:rsidRDefault="00161D6C">
      <w:pPr>
        <w:tabs>
          <w:tab w:val="left" w:pos="3256"/>
        </w:tabs>
        <w:spacing w:after="200" w:line="276" w:lineRule="auto"/>
        <w:jc w:val="both"/>
        <w:rPr>
          <w:rFonts w:ascii="Times New Roman" w:hAnsi="Times New Roman" w:cs="Times New Roman"/>
        </w:rPr>
      </w:pPr>
    </w:p>
    <w:p w:rsidR="00161D6C" w:rsidRDefault="00161D6C">
      <w:pPr>
        <w:tabs>
          <w:tab w:val="left" w:pos="3256"/>
        </w:tabs>
        <w:spacing w:after="200" w:line="276" w:lineRule="auto"/>
        <w:jc w:val="both"/>
        <w:rPr>
          <w:rFonts w:ascii="Times New Roman" w:hAnsi="Times New Roman" w:cs="Times New Roman"/>
        </w:rPr>
      </w:pPr>
    </w:p>
    <w:p w:rsidR="00161D6C" w:rsidRDefault="00283B17">
      <w:pPr>
        <w:tabs>
          <w:tab w:val="left" w:pos="3256"/>
        </w:tabs>
        <w:spacing w:after="200" w:line="276" w:lineRule="auto"/>
        <w:jc w:val="both"/>
        <w:rPr>
          <w:rFonts w:ascii="Times New Roman" w:hAnsi="Times New Roman" w:cs="Times New Roman"/>
        </w:rPr>
      </w:pPr>
      <w:r>
        <w:rPr>
          <w:rFonts w:ascii="Times New Roman" w:hAnsi="Times New Roman" w:cs="Times New Roman"/>
          <w:b/>
          <w:bCs/>
        </w:rPr>
        <w:t xml:space="preserve">6. Control </w:t>
      </w:r>
      <w:r>
        <w:rPr>
          <w:rFonts w:ascii="Times New Roman" w:hAnsi="Times New Roman" w:cs="Times New Roman"/>
          <w:b/>
          <w:bCs/>
        </w:rPr>
        <w:t>of Voltage Variation</w:t>
      </w:r>
      <w:r>
        <w:rPr>
          <w:rFonts w:ascii="Times New Roman" w:hAnsi="Times New Roman" w:cs="Times New Roman"/>
        </w:rPr>
        <w:t xml:space="preserve"> </w:t>
      </w:r>
    </w:p>
    <w:p w:rsidR="00161D6C" w:rsidRDefault="00283B17">
      <w:pPr>
        <w:spacing w:line="276" w:lineRule="auto"/>
        <w:jc w:val="both"/>
        <w:rPr>
          <w:rFonts w:ascii="Times New Roman" w:eastAsia="Times New Roman" w:hAnsi="Times New Roman" w:cs="Times New Roman"/>
          <w:b/>
          <w:bCs/>
          <w:color w:val="0E101A"/>
        </w:rPr>
      </w:pPr>
      <w:r>
        <w:rPr>
          <w:rFonts w:ascii="Times New Roman" w:eastAsia="Times New Roman" w:hAnsi="Times New Roman" w:cs="Times New Roman"/>
          <w:color w:val="0E101A"/>
        </w:rPr>
        <w:t>Monitoring and mitigating the voltage characteristic of a distribution network is essential for ensuring the reliability, safety, and efficiency of electrical power supply to consumers. Utilities often employ advanced monitoring and c</w:t>
      </w:r>
      <w:r>
        <w:rPr>
          <w:rFonts w:ascii="Times New Roman" w:eastAsia="Times New Roman" w:hAnsi="Times New Roman" w:cs="Times New Roman"/>
          <w:color w:val="0E101A"/>
        </w:rPr>
        <w:t>ontrol systems to maintain optimal voltage levels and address any issues that may arise. Voltage regulators and transformers are used to control and adjust voltage levels as needed. It is always important for the Distribution Network Operator (DNO) to guar</w:t>
      </w:r>
      <w:r>
        <w:rPr>
          <w:rFonts w:ascii="Times New Roman" w:eastAsia="Times New Roman" w:hAnsi="Times New Roman" w:cs="Times New Roman"/>
          <w:color w:val="0E101A"/>
        </w:rPr>
        <w:t>antee power quality compliance with national/international standards since customers connected to the network expect to be supplied with an acceptable voltage quality (Ye, 2017).</w:t>
      </w:r>
    </w:p>
    <w:p w:rsidR="00161D6C" w:rsidRDefault="00283B17">
      <w:pPr>
        <w:spacing w:before="240" w:line="276" w:lineRule="auto"/>
        <w:jc w:val="both"/>
        <w:rPr>
          <w:rFonts w:ascii="Times New Roman" w:eastAsia="Times New Roman" w:hAnsi="Times New Roman" w:cs="Times New Roman"/>
          <w:b/>
          <w:bCs/>
          <w:color w:val="0E101A"/>
        </w:rPr>
      </w:pPr>
      <w:r>
        <w:rPr>
          <w:rFonts w:ascii="Times New Roman" w:eastAsia="Times New Roman" w:hAnsi="Times New Roman" w:cs="Times New Roman"/>
          <w:color w:val="0E101A"/>
        </w:rPr>
        <w:t>Measures to control or mitigate voltage variation effects include reactive</w:t>
      </w:r>
      <w:r>
        <w:rPr>
          <w:rFonts w:ascii="Times New Roman" w:eastAsia="Times New Roman" w:hAnsi="Times New Roman" w:cs="Times New Roman"/>
          <w:color w:val="0E101A"/>
        </w:rPr>
        <w:t xml:space="preserve"> power compensations using capacitors and other devices to improve power factors and stabilize voltage levels. Others include the use of voltage regulation devices such as tap changers, voltage stability analysis to </w:t>
      </w:r>
      <w:r>
        <w:rPr>
          <w:rFonts w:ascii="Times New Roman" w:eastAsia="Times New Roman" w:hAnsi="Times New Roman" w:cs="Times New Roman"/>
          <w:color w:val="0E101A"/>
        </w:rPr>
        <w:lastRenderedPageBreak/>
        <w:t>monitor and manage voltage levels, power</w:t>
      </w:r>
      <w:r>
        <w:rPr>
          <w:rFonts w:ascii="Times New Roman" w:eastAsia="Times New Roman" w:hAnsi="Times New Roman" w:cs="Times New Roman"/>
          <w:color w:val="0E101A"/>
        </w:rPr>
        <w:t xml:space="preserve"> factor correction to improve the power quality, installation of voltage regulators to maintain voltage within specified limits, and the utilization of energy storage systems to stabilize voltage levels during fluctuations. Implementing advanced monitoring</w:t>
      </w:r>
      <w:r>
        <w:rPr>
          <w:rFonts w:ascii="Times New Roman" w:eastAsia="Times New Roman" w:hAnsi="Times New Roman" w:cs="Times New Roman"/>
          <w:color w:val="0E101A"/>
        </w:rPr>
        <w:t xml:space="preserve"> and control systems to detect and address issues proactively and ensuring timely maintenance and upgrade of ageing infrastructure are necessary to control voltage variations. Other measures include load balancing, network reinforcement and fault managemen</w:t>
      </w:r>
      <w:r>
        <w:rPr>
          <w:rFonts w:ascii="Times New Roman" w:eastAsia="Times New Roman" w:hAnsi="Times New Roman" w:cs="Times New Roman"/>
          <w:color w:val="0E101A"/>
        </w:rPr>
        <w:t xml:space="preserve">t.  In Nigeria, efforts being made to address voltage variation issues in the electrical distribution network are embedded in general solutions to combat low-reliability problems. Since, reliability is a subset of power quality, addressing low-reliability </w:t>
      </w:r>
      <w:r>
        <w:rPr>
          <w:rFonts w:ascii="Times New Roman" w:eastAsia="Times New Roman" w:hAnsi="Times New Roman" w:cs="Times New Roman"/>
          <w:color w:val="0E101A"/>
        </w:rPr>
        <w:t xml:space="preserve">problems is essential to mitigate voltage variations.  </w:t>
      </w:r>
    </w:p>
    <w:p w:rsidR="00161D6C" w:rsidRDefault="00161D6C">
      <w:pPr>
        <w:tabs>
          <w:tab w:val="left" w:pos="3256"/>
        </w:tabs>
        <w:spacing w:line="276" w:lineRule="auto"/>
        <w:jc w:val="both"/>
        <w:rPr>
          <w:rFonts w:ascii="Times New Roman" w:hAnsi="Times New Roman" w:cs="Times New Roman"/>
        </w:rPr>
      </w:pPr>
    </w:p>
    <w:p w:rsidR="00161D6C" w:rsidRDefault="00283B17">
      <w:pPr>
        <w:spacing w:line="276" w:lineRule="auto"/>
        <w:jc w:val="both"/>
        <w:rPr>
          <w:rFonts w:ascii="Times New Roman" w:eastAsia="Calibri" w:hAnsi="Times New Roman" w:cs="Times New Roman"/>
          <w:b/>
          <w:bCs/>
        </w:rPr>
      </w:pPr>
      <w:r>
        <w:rPr>
          <w:rFonts w:ascii="Times New Roman" w:eastAsia="Calibri" w:hAnsi="Times New Roman" w:cs="Times New Roman"/>
          <w:b/>
          <w:bCs/>
        </w:rPr>
        <w:t>7. Case Studies</w:t>
      </w:r>
    </w:p>
    <w:p w:rsidR="00161D6C" w:rsidRDefault="00283B17">
      <w:pPr>
        <w:spacing w:line="276" w:lineRule="auto"/>
        <w:jc w:val="both"/>
        <w:rPr>
          <w:rFonts w:ascii="Times New Roman" w:eastAsia="Calibri" w:hAnsi="Times New Roman" w:cs="Times New Roman"/>
        </w:rPr>
      </w:pPr>
      <w:r>
        <w:rPr>
          <w:rFonts w:ascii="Times New Roman" w:eastAsia="Calibri" w:hAnsi="Times New Roman" w:cs="Times New Roman"/>
        </w:rPr>
        <w:t xml:space="preserve">To illustrate the voltage variation of typical low reliability </w:t>
      </w:r>
      <w:proofErr w:type="spellStart"/>
      <w:r>
        <w:rPr>
          <w:rFonts w:ascii="Times New Roman" w:eastAsia="Calibri" w:hAnsi="Times New Roman" w:cs="Times New Roman"/>
        </w:rPr>
        <w:t>characterising</w:t>
      </w:r>
      <w:proofErr w:type="spellEnd"/>
      <w:r>
        <w:rPr>
          <w:rFonts w:ascii="Times New Roman" w:eastAsia="Calibri" w:hAnsi="Times New Roman" w:cs="Times New Roman"/>
        </w:rPr>
        <w:t xml:space="preserve"> Nigerian distribution networks, some measurement surveys were carried out within the distribution networks. The survey was part of power quality studies in the selected section o</w:t>
      </w:r>
      <w:r>
        <w:rPr>
          <w:rFonts w:ascii="Times New Roman" w:eastAsia="Calibri" w:hAnsi="Times New Roman" w:cs="Times New Roman"/>
        </w:rPr>
        <w:t xml:space="preserve">f the Nigerian distribution network which is the Ilaro distribution network. Various power quality parameters were measured using the standard specifications. The equipment used is a Three-phase Power </w:t>
      </w:r>
      <w:proofErr w:type="spellStart"/>
      <w:r>
        <w:rPr>
          <w:rFonts w:ascii="Times New Roman" w:eastAsia="Calibri" w:hAnsi="Times New Roman" w:cs="Times New Roman"/>
        </w:rPr>
        <w:t>Analyser</w:t>
      </w:r>
      <w:proofErr w:type="spellEnd"/>
      <w:r>
        <w:rPr>
          <w:rFonts w:ascii="Times New Roman" w:eastAsia="Calibri" w:hAnsi="Times New Roman" w:cs="Times New Roman"/>
        </w:rPr>
        <w:t xml:space="preserve"> DW 6095 model.    In the first case, the summa</w:t>
      </w:r>
      <w:r>
        <w:rPr>
          <w:rFonts w:ascii="Times New Roman" w:eastAsia="Calibri" w:hAnsi="Times New Roman" w:cs="Times New Roman"/>
        </w:rPr>
        <w:t xml:space="preserve">ry of the data obtained was </w:t>
      </w:r>
      <w:proofErr w:type="spellStart"/>
      <w:r>
        <w:rPr>
          <w:rFonts w:ascii="Times New Roman" w:eastAsia="Calibri" w:hAnsi="Times New Roman" w:cs="Times New Roman"/>
        </w:rPr>
        <w:t>analysed</w:t>
      </w:r>
      <w:proofErr w:type="spellEnd"/>
      <w:r>
        <w:rPr>
          <w:rFonts w:ascii="Times New Roman" w:eastAsia="Calibri" w:hAnsi="Times New Roman" w:cs="Times New Roman"/>
        </w:rPr>
        <w:t xml:space="preserve"> using descriptive statistics. Comparison with the EN50160 standard was presented. In the second case, graphical plot was</w:t>
      </w:r>
      <w:r w:rsidR="00047057">
        <w:rPr>
          <w:rFonts w:ascii="Times New Roman" w:eastAsia="Calibri" w:hAnsi="Times New Roman" w:cs="Times New Roman"/>
        </w:rPr>
        <w:t xml:space="preserve"> </w:t>
      </w:r>
      <w:r>
        <w:rPr>
          <w:rFonts w:ascii="Times New Roman" w:eastAsia="Calibri" w:hAnsi="Times New Roman" w:cs="Times New Roman"/>
        </w:rPr>
        <w:t xml:space="preserve">  employed to present the summary of the data. </w:t>
      </w:r>
    </w:p>
    <w:p w:rsidR="00161D6C" w:rsidRDefault="00161D6C">
      <w:pPr>
        <w:spacing w:line="276" w:lineRule="auto"/>
        <w:jc w:val="both"/>
        <w:rPr>
          <w:rFonts w:ascii="Times New Roman" w:eastAsia="Calibri" w:hAnsi="Times New Roman" w:cs="Times New Roman"/>
        </w:rPr>
      </w:pPr>
    </w:p>
    <w:p w:rsidR="00161D6C" w:rsidRDefault="00283B17">
      <w:pPr>
        <w:spacing w:line="276" w:lineRule="auto"/>
        <w:jc w:val="both"/>
        <w:rPr>
          <w:rFonts w:ascii="Times New Roman" w:eastAsia="Calibri" w:hAnsi="Times New Roman" w:cs="Times New Roman"/>
        </w:rPr>
      </w:pPr>
      <w:r>
        <w:rPr>
          <w:rFonts w:ascii="Times New Roman" w:eastAsia="Calibri" w:hAnsi="Times New Roman" w:cs="Times New Roman"/>
        </w:rPr>
        <w:t>Figure 5 shows the sinusoidal waveform obtained fr</w:t>
      </w:r>
      <w:r>
        <w:rPr>
          <w:rFonts w:ascii="Times New Roman" w:eastAsia="Calibri" w:hAnsi="Times New Roman" w:cs="Times New Roman"/>
        </w:rPr>
        <w:t xml:space="preserve">om the </w:t>
      </w:r>
      <w:proofErr w:type="spellStart"/>
      <w:r>
        <w:rPr>
          <w:rFonts w:ascii="Times New Roman" w:eastAsia="Calibri" w:hAnsi="Times New Roman" w:cs="Times New Roman"/>
        </w:rPr>
        <w:t>analser</w:t>
      </w:r>
      <w:proofErr w:type="spellEnd"/>
      <w:r>
        <w:rPr>
          <w:rFonts w:ascii="Times New Roman" w:eastAsia="Calibri" w:hAnsi="Times New Roman" w:cs="Times New Roman"/>
        </w:rPr>
        <w:t xml:space="preserve"> for a single phase at residential area. </w:t>
      </w:r>
    </w:p>
    <w:p w:rsidR="00161D6C" w:rsidRDefault="00283B17">
      <w:pPr>
        <w:spacing w:line="276" w:lineRule="auto"/>
        <w:jc w:val="both"/>
        <w:rPr>
          <w:rFonts w:ascii="Times New Roman" w:eastAsia="Calibri" w:hAnsi="Times New Roman" w:cs="Times New Roman"/>
        </w:rPr>
      </w:pPr>
      <w:r>
        <w:rPr>
          <w:rFonts w:ascii="Times New Roman" w:eastAsia="Calibri" w:hAnsi="Times New Roman" w:cs="Times New Roman"/>
          <w:noProof/>
          <w:lang w:eastAsia="en-US" w:bidi="ar-SA"/>
        </w:rPr>
        <w:drawing>
          <wp:anchor distT="0" distB="0" distL="0" distR="0" simplePos="0" relativeHeight="6" behindDoc="0" locked="0" layoutInCell="0" allowOverlap="1">
            <wp:simplePos x="0" y="0"/>
            <wp:positionH relativeFrom="column">
              <wp:posOffset>464820</wp:posOffset>
            </wp:positionH>
            <wp:positionV relativeFrom="paragraph">
              <wp:posOffset>26670</wp:posOffset>
            </wp:positionV>
            <wp:extent cx="4352925" cy="3057525"/>
            <wp:effectExtent l="0" t="0" r="0" b="0"/>
            <wp:wrapSquare wrapText="largest"/>
            <wp:docPr id="6"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pic:cNvPicPr>
                      <a:picLocks noChangeAspect="1" noChangeArrowheads="1"/>
                    </pic:cNvPicPr>
                  </pic:nvPicPr>
                  <pic:blipFill>
                    <a:blip r:embed="rId11"/>
                    <a:stretch>
                      <a:fillRect/>
                    </a:stretch>
                  </pic:blipFill>
                  <pic:spPr bwMode="auto">
                    <a:xfrm>
                      <a:off x="0" y="0"/>
                      <a:ext cx="4352925" cy="3057525"/>
                    </a:xfrm>
                    <a:prstGeom prst="rect">
                      <a:avLst/>
                    </a:prstGeom>
                  </pic:spPr>
                </pic:pic>
              </a:graphicData>
            </a:graphic>
          </wp:anchor>
        </w:drawing>
      </w: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283B17">
      <w:pPr>
        <w:spacing w:line="276" w:lineRule="auto"/>
        <w:jc w:val="center"/>
        <w:rPr>
          <w:rFonts w:ascii="Times New Roman" w:hAnsi="Times New Roman" w:cs="Times New Roman"/>
        </w:rPr>
      </w:pPr>
      <w:r>
        <w:rPr>
          <w:rFonts w:ascii="Times New Roman" w:eastAsia="Calibri" w:hAnsi="Times New Roman" w:cs="Times New Roman"/>
        </w:rPr>
        <w:t>Figure 5: Waveform of public power supply from a socket outlet without any load connected at the terminal.</w:t>
      </w:r>
    </w:p>
    <w:p w:rsidR="00161D6C" w:rsidRDefault="00283B17">
      <w:pPr>
        <w:spacing w:beforeAutospacing="1"/>
        <w:jc w:val="both"/>
        <w:rPr>
          <w:rFonts w:eastAsia="Times New Roman" w:cs="Times New Roman"/>
          <w:sz w:val="20"/>
          <w:szCs w:val="20"/>
        </w:rPr>
      </w:pPr>
      <w:r>
        <w:t>Table 1 shows the summary of analysis of nominal and measured values of volt</w:t>
      </w:r>
      <w:r w:rsidR="002C1E0E">
        <w:t xml:space="preserve">age and frequency </w:t>
      </w:r>
      <w:r>
        <w:t xml:space="preserve">during one of the </w:t>
      </w:r>
      <w:r>
        <w:t xml:space="preserve">measurement surveys. </w:t>
      </w:r>
    </w:p>
    <w:p w:rsidR="00161D6C" w:rsidRDefault="00161D6C">
      <w:pPr>
        <w:spacing w:beforeAutospacing="1"/>
        <w:jc w:val="both"/>
        <w:rPr>
          <w:rFonts w:eastAsia="Times New Roman" w:cs="Times New Roman"/>
          <w:sz w:val="20"/>
          <w:szCs w:val="20"/>
        </w:rPr>
      </w:pPr>
    </w:p>
    <w:p w:rsidR="00161D6C" w:rsidRDefault="00283B17">
      <w:pPr>
        <w:spacing w:beforeAutospacing="1"/>
        <w:jc w:val="both"/>
        <w:rPr>
          <w:rFonts w:eastAsia="Times New Roman" w:cs="Times New Roman"/>
          <w:sz w:val="20"/>
          <w:szCs w:val="20"/>
        </w:rPr>
      </w:pPr>
      <w:r>
        <w:lastRenderedPageBreak/>
        <w:t xml:space="preserve"> Table1: </w:t>
      </w:r>
      <w:r>
        <w:t xml:space="preserve">EN 50160 standards with Measured Values of Voltage and Frequency of the selected network. </w:t>
      </w:r>
    </w:p>
    <w:tbl>
      <w:tblPr>
        <w:tblpPr w:leftFromText="180" w:rightFromText="180" w:vertAnchor="text" w:horzAnchor="margin" w:tblpXSpec="center" w:tblpY="883"/>
        <w:tblW w:w="5000" w:type="pct"/>
        <w:jc w:val="center"/>
        <w:tblLayout w:type="fixed"/>
        <w:tblCellMar>
          <w:top w:w="55" w:type="dxa"/>
          <w:left w:w="55" w:type="dxa"/>
          <w:bottom w:w="55" w:type="dxa"/>
          <w:right w:w="55" w:type="dxa"/>
        </w:tblCellMar>
        <w:tblLook w:val="0000" w:firstRow="0" w:lastRow="0" w:firstColumn="0" w:lastColumn="0" w:noHBand="0" w:noVBand="0"/>
      </w:tblPr>
      <w:tblGrid>
        <w:gridCol w:w="1207"/>
        <w:gridCol w:w="1653"/>
        <w:gridCol w:w="1267"/>
        <w:gridCol w:w="2684"/>
        <w:gridCol w:w="1468"/>
        <w:gridCol w:w="1469"/>
      </w:tblGrid>
      <w:tr w:rsidR="00161D6C">
        <w:trPr>
          <w:jc w:val="center"/>
        </w:trPr>
        <w:tc>
          <w:tcPr>
            <w:tcW w:w="2828" w:type="dxa"/>
            <w:gridSpan w:val="2"/>
            <w:tcBorders>
              <w:top w:val="single" w:sz="4" w:space="0" w:color="000000"/>
              <w:left w:val="single" w:sz="4" w:space="0" w:color="000000"/>
              <w:bottom w:val="single" w:sz="4" w:space="0" w:color="000000"/>
            </w:tcBorders>
          </w:tcPr>
          <w:p w:rsidR="00161D6C" w:rsidRDefault="00161D6C">
            <w:pPr>
              <w:pStyle w:val="TableContents"/>
              <w:jc w:val="both"/>
              <w:rPr>
                <w:rFonts w:hint="eastAsia"/>
                <w:color w:val="000000"/>
              </w:rPr>
            </w:pPr>
          </w:p>
          <w:p w:rsidR="00161D6C" w:rsidRDefault="00283B17">
            <w:pPr>
              <w:widowControl w:val="0"/>
              <w:spacing w:beforeAutospacing="1"/>
              <w:jc w:val="both"/>
              <w:rPr>
                <w:rFonts w:eastAsia="Times New Roman" w:cs="Times New Roman"/>
              </w:rPr>
            </w:pPr>
            <w:r>
              <w:rPr>
                <w:rFonts w:eastAsia="Times New Roman" w:cs="Times New Roman"/>
                <w:color w:val="000000"/>
                <w:kern w:val="0"/>
                <w:lang w:eastAsia="en-US" w:bidi="ar-SA"/>
              </w:rPr>
              <w:t>EN 50160 Standard Voltage(V)</w:t>
            </w:r>
          </w:p>
        </w:tc>
        <w:tc>
          <w:tcPr>
            <w:tcW w:w="1253" w:type="dxa"/>
            <w:tcBorders>
              <w:top w:val="single" w:sz="4" w:space="0" w:color="000000"/>
              <w:left w:val="single" w:sz="4" w:space="0" w:color="000000"/>
              <w:bottom w:val="single" w:sz="4" w:space="0" w:color="000000"/>
            </w:tcBorders>
          </w:tcPr>
          <w:p w:rsidR="00161D6C" w:rsidRDefault="00283B17">
            <w:pPr>
              <w:pStyle w:val="TableContents"/>
              <w:jc w:val="both"/>
              <w:rPr>
                <w:rFonts w:hint="eastAsia"/>
                <w:color w:val="000000"/>
              </w:rPr>
            </w:pPr>
            <w:r>
              <w:rPr>
                <w:color w:val="000000"/>
              </w:rPr>
              <w:t>Measured Voltage (V)</w:t>
            </w:r>
          </w:p>
        </w:tc>
        <w:tc>
          <w:tcPr>
            <w:tcW w:w="4104" w:type="dxa"/>
            <w:gridSpan w:val="2"/>
            <w:tcBorders>
              <w:top w:val="single" w:sz="4" w:space="0" w:color="000000"/>
              <w:left w:val="single" w:sz="4" w:space="0" w:color="000000"/>
              <w:bottom w:val="single" w:sz="4" w:space="0" w:color="000000"/>
            </w:tcBorders>
          </w:tcPr>
          <w:p w:rsidR="00161D6C" w:rsidRDefault="00283B17">
            <w:pPr>
              <w:pStyle w:val="TableContents"/>
              <w:jc w:val="both"/>
              <w:rPr>
                <w:rFonts w:hint="eastAsia"/>
                <w:color w:val="000000"/>
              </w:rPr>
            </w:pPr>
            <w:r>
              <w:rPr>
                <w:rFonts w:eastAsia="Times New Roman" w:cs="Times New Roman"/>
                <w:color w:val="000000"/>
                <w:kern w:val="0"/>
                <w:lang w:eastAsia="en-US" w:bidi="ar-SA"/>
              </w:rPr>
              <w:t xml:space="preserve">EN 50160 Standard </w:t>
            </w:r>
            <w:r>
              <w:rPr>
                <w:color w:val="000000"/>
              </w:rPr>
              <w:t>Frequency (Hz)</w:t>
            </w:r>
          </w:p>
        </w:tc>
        <w:tc>
          <w:tcPr>
            <w:tcW w:w="1452" w:type="dxa"/>
            <w:tcBorders>
              <w:top w:val="single" w:sz="4" w:space="0" w:color="000000"/>
              <w:left w:val="single" w:sz="4" w:space="0" w:color="000000"/>
              <w:bottom w:val="single" w:sz="4" w:space="0" w:color="000000"/>
              <w:right w:val="single" w:sz="4" w:space="0" w:color="000000"/>
            </w:tcBorders>
          </w:tcPr>
          <w:p w:rsidR="00161D6C" w:rsidRDefault="00283B17">
            <w:pPr>
              <w:pStyle w:val="TableContents"/>
              <w:jc w:val="both"/>
              <w:rPr>
                <w:rFonts w:hint="eastAsia"/>
                <w:color w:val="000000"/>
              </w:rPr>
            </w:pPr>
            <w:r>
              <w:rPr>
                <w:color w:val="000000"/>
              </w:rPr>
              <w:t>Measured Frequency (Hz)</w:t>
            </w:r>
          </w:p>
        </w:tc>
      </w:tr>
      <w:tr w:rsidR="00161D6C">
        <w:trPr>
          <w:jc w:val="center"/>
        </w:trPr>
        <w:tc>
          <w:tcPr>
            <w:tcW w:w="1194"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Average (Nominal)</w:t>
            </w:r>
          </w:p>
        </w:tc>
        <w:tc>
          <w:tcPr>
            <w:tcW w:w="1634"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230</w:t>
            </w:r>
          </w:p>
        </w:tc>
        <w:tc>
          <w:tcPr>
            <w:tcW w:w="1253"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181.2</w:t>
            </w:r>
          </w:p>
        </w:tc>
        <w:tc>
          <w:tcPr>
            <w:tcW w:w="2653"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Average (Nominal)</w:t>
            </w:r>
          </w:p>
        </w:tc>
        <w:tc>
          <w:tcPr>
            <w:tcW w:w="1451"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50</w:t>
            </w:r>
          </w:p>
        </w:tc>
        <w:tc>
          <w:tcPr>
            <w:tcW w:w="1452" w:type="dxa"/>
            <w:tcBorders>
              <w:left w:val="single" w:sz="4" w:space="0" w:color="000000"/>
              <w:bottom w:val="single" w:sz="4" w:space="0" w:color="000000"/>
              <w:right w:val="single" w:sz="4" w:space="0" w:color="000000"/>
            </w:tcBorders>
          </w:tcPr>
          <w:p w:rsidR="00161D6C" w:rsidRDefault="00283B17">
            <w:pPr>
              <w:pStyle w:val="TableContents"/>
              <w:jc w:val="both"/>
              <w:rPr>
                <w:rFonts w:hint="eastAsia"/>
                <w:color w:val="000000"/>
              </w:rPr>
            </w:pPr>
            <w:r>
              <w:rPr>
                <w:color w:val="000000"/>
              </w:rPr>
              <w:t>50.05</w:t>
            </w:r>
          </w:p>
        </w:tc>
      </w:tr>
      <w:tr w:rsidR="00161D6C">
        <w:trPr>
          <w:jc w:val="center"/>
        </w:trPr>
        <w:tc>
          <w:tcPr>
            <w:tcW w:w="1194"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 xml:space="preserve">Maximum (110% of </w:t>
            </w:r>
            <w:proofErr w:type="spellStart"/>
            <w:r>
              <w:rPr>
                <w:color w:val="000000"/>
              </w:rPr>
              <w:t>noominal</w:t>
            </w:r>
            <w:proofErr w:type="spellEnd"/>
            <w:r>
              <w:rPr>
                <w:color w:val="000000"/>
              </w:rPr>
              <w:t>)</w:t>
            </w:r>
          </w:p>
        </w:tc>
        <w:tc>
          <w:tcPr>
            <w:tcW w:w="1634"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253</w:t>
            </w:r>
          </w:p>
        </w:tc>
        <w:tc>
          <w:tcPr>
            <w:tcW w:w="1253"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183.4</w:t>
            </w:r>
          </w:p>
        </w:tc>
        <w:tc>
          <w:tcPr>
            <w:tcW w:w="2653"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Maximum (+1% of nominal)</w:t>
            </w:r>
          </w:p>
        </w:tc>
        <w:tc>
          <w:tcPr>
            <w:tcW w:w="1451"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50.5</w:t>
            </w:r>
          </w:p>
        </w:tc>
        <w:tc>
          <w:tcPr>
            <w:tcW w:w="1452" w:type="dxa"/>
            <w:tcBorders>
              <w:left w:val="single" w:sz="4" w:space="0" w:color="000000"/>
              <w:bottom w:val="single" w:sz="4" w:space="0" w:color="000000"/>
              <w:right w:val="single" w:sz="4" w:space="0" w:color="000000"/>
            </w:tcBorders>
          </w:tcPr>
          <w:p w:rsidR="00161D6C" w:rsidRDefault="00283B17">
            <w:pPr>
              <w:pStyle w:val="TableContents"/>
              <w:jc w:val="both"/>
              <w:rPr>
                <w:rFonts w:hint="eastAsia"/>
                <w:color w:val="000000"/>
              </w:rPr>
            </w:pPr>
            <w:r>
              <w:rPr>
                <w:color w:val="000000"/>
              </w:rPr>
              <w:t>50.7</w:t>
            </w:r>
          </w:p>
        </w:tc>
      </w:tr>
      <w:tr w:rsidR="00161D6C">
        <w:trPr>
          <w:jc w:val="center"/>
        </w:trPr>
        <w:tc>
          <w:tcPr>
            <w:tcW w:w="1194"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Minimum (90% of nominal)</w:t>
            </w:r>
          </w:p>
        </w:tc>
        <w:tc>
          <w:tcPr>
            <w:tcW w:w="1634"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207</w:t>
            </w:r>
          </w:p>
        </w:tc>
        <w:tc>
          <w:tcPr>
            <w:tcW w:w="1253"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179</w:t>
            </w:r>
          </w:p>
        </w:tc>
        <w:tc>
          <w:tcPr>
            <w:tcW w:w="2653"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Minimum (-1% of nominal)</w:t>
            </w:r>
          </w:p>
        </w:tc>
        <w:tc>
          <w:tcPr>
            <w:tcW w:w="1451" w:type="dxa"/>
            <w:tcBorders>
              <w:left w:val="single" w:sz="4" w:space="0" w:color="000000"/>
              <w:bottom w:val="single" w:sz="4" w:space="0" w:color="000000"/>
            </w:tcBorders>
          </w:tcPr>
          <w:p w:rsidR="00161D6C" w:rsidRDefault="00283B17">
            <w:pPr>
              <w:pStyle w:val="TableContents"/>
              <w:jc w:val="both"/>
              <w:rPr>
                <w:rFonts w:hint="eastAsia"/>
                <w:color w:val="000000"/>
              </w:rPr>
            </w:pPr>
            <w:r>
              <w:rPr>
                <w:color w:val="000000"/>
              </w:rPr>
              <w:t>49.5</w:t>
            </w:r>
          </w:p>
        </w:tc>
        <w:tc>
          <w:tcPr>
            <w:tcW w:w="1452" w:type="dxa"/>
            <w:tcBorders>
              <w:left w:val="single" w:sz="4" w:space="0" w:color="000000"/>
              <w:bottom w:val="single" w:sz="4" w:space="0" w:color="000000"/>
              <w:right w:val="single" w:sz="4" w:space="0" w:color="000000"/>
            </w:tcBorders>
          </w:tcPr>
          <w:p w:rsidR="00161D6C" w:rsidRDefault="00283B17">
            <w:pPr>
              <w:pStyle w:val="TableContents"/>
              <w:jc w:val="both"/>
              <w:rPr>
                <w:rFonts w:hint="eastAsia"/>
                <w:color w:val="000000"/>
              </w:rPr>
            </w:pPr>
            <w:r>
              <w:rPr>
                <w:color w:val="000000"/>
              </w:rPr>
              <w:t>49.4</w:t>
            </w:r>
          </w:p>
        </w:tc>
      </w:tr>
    </w:tbl>
    <w:p w:rsidR="00161D6C" w:rsidRDefault="00283B17">
      <w:pPr>
        <w:spacing w:beforeAutospacing="1"/>
        <w:jc w:val="both"/>
        <w:rPr>
          <w:rFonts w:eastAsia="Times New Roman" w:cs="Times New Roman"/>
          <w:sz w:val="20"/>
          <w:szCs w:val="20"/>
        </w:rPr>
      </w:pPr>
      <w:r>
        <w:t xml:space="preserve"> </w:t>
      </w:r>
    </w:p>
    <w:p w:rsidR="00161D6C" w:rsidRDefault="00161D6C">
      <w:pPr>
        <w:spacing w:line="276" w:lineRule="auto"/>
        <w:jc w:val="both"/>
        <w:rPr>
          <w:rFonts w:ascii="Times New Roman" w:hAnsi="Times New Roman" w:cs="Times New Roman"/>
        </w:rPr>
      </w:pPr>
    </w:p>
    <w:p w:rsidR="00161D6C" w:rsidRDefault="00283B17">
      <w:pPr>
        <w:spacing w:line="276" w:lineRule="auto"/>
        <w:jc w:val="both"/>
        <w:rPr>
          <w:rFonts w:ascii="Times New Roman" w:hAnsi="Times New Roman" w:cs="Times New Roman"/>
        </w:rPr>
      </w:pPr>
      <w:r>
        <w:t xml:space="preserve">Figure 6 shows the graphical </w:t>
      </w:r>
      <w:r>
        <w:t>plot for another survey within the same distribution network.</w:t>
      </w:r>
    </w:p>
    <w:p w:rsidR="00161D6C" w:rsidRDefault="00161D6C">
      <w:pPr>
        <w:spacing w:line="276" w:lineRule="auto"/>
        <w:jc w:val="both"/>
        <w:rPr>
          <w:rFonts w:ascii="Times New Roman" w:hAnsi="Times New Roman" w:cs="Times New Roman"/>
        </w:rPr>
      </w:pPr>
    </w:p>
    <w:p w:rsidR="00161D6C" w:rsidRDefault="00D57142">
      <w:pPr>
        <w:spacing w:line="276" w:lineRule="auto"/>
        <w:jc w:val="both"/>
        <w:rPr>
          <w:rFonts w:ascii="Times New Roman" w:hAnsi="Times New Roman" w:cs="Times New Roman"/>
        </w:rPr>
      </w:pPr>
      <w:r>
        <w:rPr>
          <w:rFonts w:ascii="Times New Roman" w:hAnsi="Times New Roman" w:cs="Times New Roman"/>
          <w:noProof/>
          <w:lang w:eastAsia="en-US" w:bidi="ar-SA"/>
        </w:rPr>
        <w:drawing>
          <wp:anchor distT="0" distB="0" distL="0" distR="0" simplePos="0" relativeHeight="4" behindDoc="0" locked="0" layoutInCell="0" allowOverlap="1" wp14:anchorId="530EA4CC" wp14:editId="73D50A49">
            <wp:simplePos x="0" y="0"/>
            <wp:positionH relativeFrom="column">
              <wp:posOffset>1731010</wp:posOffset>
            </wp:positionH>
            <wp:positionV relativeFrom="paragraph">
              <wp:posOffset>57150</wp:posOffset>
            </wp:positionV>
            <wp:extent cx="3501390" cy="2921635"/>
            <wp:effectExtent l="0" t="0" r="3810" b="0"/>
            <wp:wrapSquare wrapText="largest"/>
            <wp:docPr id="7"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pic:cNvPicPr>
                      <a:picLocks noChangeAspect="1" noChangeArrowheads="1"/>
                    </pic:cNvPicPr>
                  </pic:nvPicPr>
                  <pic:blipFill>
                    <a:blip r:embed="rId12"/>
                    <a:stretch>
                      <a:fillRect/>
                    </a:stretch>
                  </pic:blipFill>
                  <pic:spPr bwMode="auto">
                    <a:xfrm>
                      <a:off x="0" y="0"/>
                      <a:ext cx="3501390" cy="2921635"/>
                    </a:xfrm>
                    <a:prstGeom prst="rect">
                      <a:avLst/>
                    </a:prstGeom>
                  </pic:spPr>
                </pic:pic>
              </a:graphicData>
            </a:graphic>
          </wp:anchor>
        </w:drawing>
      </w: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161D6C">
      <w:pPr>
        <w:spacing w:line="276" w:lineRule="auto"/>
        <w:jc w:val="both"/>
        <w:rPr>
          <w:rFonts w:ascii="Times New Roman" w:hAnsi="Times New Roman" w:cs="Times New Roman"/>
        </w:rPr>
      </w:pPr>
    </w:p>
    <w:p w:rsidR="00161D6C" w:rsidRDefault="00283B17">
      <w:pPr>
        <w:spacing w:line="276" w:lineRule="auto"/>
        <w:jc w:val="both"/>
        <w:rPr>
          <w:rFonts w:ascii="Times New Roman" w:hAnsi="Times New Roman" w:cs="Times New Roman"/>
        </w:rPr>
      </w:pPr>
      <w:r>
        <w:rPr>
          <w:rFonts w:ascii="Times New Roman" w:hAnsi="Times New Roman" w:cs="Times New Roman"/>
        </w:rPr>
        <w:t xml:space="preserve"> </w:t>
      </w:r>
    </w:p>
    <w:p w:rsidR="00161D6C" w:rsidRDefault="00283B17">
      <w:pPr>
        <w:spacing w:line="276" w:lineRule="auto"/>
        <w:jc w:val="both"/>
        <w:rPr>
          <w:rFonts w:ascii="Times New Roman" w:hAnsi="Times New Roman" w:cs="Times New Roman"/>
        </w:rPr>
      </w:pPr>
      <w:r>
        <w:rPr>
          <w:rFonts w:ascii="Times New Roman" w:eastAsia="Calibri" w:hAnsi="Times New Roman" w:cs="Times New Roman"/>
        </w:rPr>
        <w:t xml:space="preserve"> </w:t>
      </w:r>
    </w:p>
    <w:p w:rsidR="00161D6C" w:rsidRDefault="00161D6C">
      <w:pPr>
        <w:spacing w:line="276" w:lineRule="auto"/>
        <w:jc w:val="both"/>
        <w:rPr>
          <w:rFonts w:ascii="Times New Roman" w:hAnsi="Times New Roman" w:cs="Times New Roman"/>
        </w:rPr>
      </w:pPr>
    </w:p>
    <w:p w:rsidR="00161D6C" w:rsidRDefault="00283B17">
      <w:pPr>
        <w:spacing w:line="276" w:lineRule="auto"/>
        <w:jc w:val="both"/>
        <w:rPr>
          <w:rFonts w:ascii="Times New Roman" w:hAnsi="Times New Roman" w:cs="Times New Roman"/>
        </w:rPr>
      </w:pPr>
      <w:r>
        <w:rPr>
          <w:rFonts w:ascii="Times New Roman" w:eastAsia="Calibri" w:hAnsi="Times New Roman" w:cs="Times New Roman"/>
        </w:rPr>
        <w:t xml:space="preserve">Figure 6: Voltage characteristics of a distribution network monitored with power </w:t>
      </w:r>
      <w:proofErr w:type="spellStart"/>
      <w:proofErr w:type="gramStart"/>
      <w:r>
        <w:rPr>
          <w:rFonts w:ascii="Times New Roman" w:eastAsia="Calibri" w:hAnsi="Times New Roman" w:cs="Times New Roman"/>
        </w:rPr>
        <w:t>analyser</w:t>
      </w:r>
      <w:proofErr w:type="spellEnd"/>
      <w:r>
        <w:rPr>
          <w:rFonts w:ascii="Times New Roman" w:eastAsia="Calibri" w:hAnsi="Times New Roman" w:cs="Times New Roman"/>
        </w:rPr>
        <w:t xml:space="preserve"> .</w:t>
      </w:r>
      <w:proofErr w:type="gramEnd"/>
    </w:p>
    <w:p w:rsidR="00161D6C" w:rsidRDefault="00161D6C">
      <w:pPr>
        <w:spacing w:line="276" w:lineRule="auto"/>
        <w:jc w:val="both"/>
        <w:rPr>
          <w:rFonts w:ascii="Times New Roman" w:hAnsi="Times New Roman" w:cs="Times New Roman"/>
        </w:rPr>
      </w:pPr>
    </w:p>
    <w:p w:rsidR="00161D6C" w:rsidRDefault="00283B17">
      <w:pPr>
        <w:spacing w:line="276" w:lineRule="auto"/>
        <w:jc w:val="both"/>
        <w:rPr>
          <w:rFonts w:ascii="Times New Roman" w:hAnsi="Times New Roman" w:cs="Times New Roman"/>
        </w:rPr>
      </w:pPr>
      <w:r>
        <w:rPr>
          <w:rFonts w:eastAsia="Times New Roman" w:cs="Times New Roman"/>
        </w:rPr>
        <w:t xml:space="preserve">From these case studies, </w:t>
      </w:r>
      <w:r>
        <w:rPr>
          <w:rFonts w:eastAsia="Times New Roman" w:cs="Times New Roman"/>
        </w:rPr>
        <w:t xml:space="preserve">it is obvious that the low voltage variation of the selected distribution network is more pronounced and can be </w:t>
      </w:r>
      <w:proofErr w:type="spellStart"/>
      <w:r>
        <w:rPr>
          <w:rFonts w:eastAsia="Times New Roman" w:cs="Times New Roman"/>
        </w:rPr>
        <w:t>characterised</w:t>
      </w:r>
      <w:proofErr w:type="spellEnd"/>
      <w:r>
        <w:rPr>
          <w:rFonts w:eastAsia="Times New Roman" w:cs="Times New Roman"/>
        </w:rPr>
        <w:t xml:space="preserve"> as under-voltage. With the measured voltage magnitude of 179V as the typical value (Figure 5), the deviation from the ideal 230V i</w:t>
      </w:r>
      <w:r>
        <w:rPr>
          <w:rFonts w:eastAsia="Times New Roman" w:cs="Times New Roman"/>
        </w:rPr>
        <w:t xml:space="preserve">s significant. From Table 1, the descriptive statistics of the nominal voltage and frequency are compared with the EN 50160 standards. The same pattern is repeated in Figure 6 </w:t>
      </w:r>
      <w:r>
        <w:rPr>
          <w:rFonts w:eastAsia="Times New Roman" w:cs="Times New Roman"/>
        </w:rPr>
        <w:t>for voltage only. It is obvious that the voltage characteristics of the distr</w:t>
      </w:r>
      <w:r>
        <w:rPr>
          <w:rFonts w:eastAsia="Times New Roman" w:cs="Times New Roman"/>
        </w:rPr>
        <w:t xml:space="preserve">ibution network under consideration which is typical of the Nigerian distribution are </w:t>
      </w:r>
      <w:proofErr w:type="spellStart"/>
      <w:r>
        <w:rPr>
          <w:rFonts w:eastAsia="Times New Roman" w:cs="Times New Roman"/>
        </w:rPr>
        <w:t>undervoltage</w:t>
      </w:r>
      <w:proofErr w:type="spellEnd"/>
      <w:r>
        <w:rPr>
          <w:rFonts w:eastAsia="Times New Roman" w:cs="Times New Roman"/>
        </w:rPr>
        <w:t xml:space="preserve"> and of poor quality. Though more work is required to </w:t>
      </w:r>
      <w:proofErr w:type="spellStart"/>
      <w:r>
        <w:rPr>
          <w:rFonts w:eastAsia="Times New Roman" w:cs="Times New Roman"/>
        </w:rPr>
        <w:t>characterise</w:t>
      </w:r>
      <w:proofErr w:type="spellEnd"/>
      <w:r>
        <w:rPr>
          <w:rFonts w:eastAsia="Times New Roman" w:cs="Times New Roman"/>
        </w:rPr>
        <w:t xml:space="preserve"> the entire distribution network, the results obtained here are indicators of what is obtain</w:t>
      </w:r>
      <w:r>
        <w:rPr>
          <w:rFonts w:eastAsia="Times New Roman" w:cs="Times New Roman"/>
        </w:rPr>
        <w:t xml:space="preserve">able in other parts of the network. Efforts to improve power quality should therefore go along with reliability improvement. </w:t>
      </w:r>
    </w:p>
    <w:p w:rsidR="00161D6C" w:rsidRDefault="00283B17">
      <w:pPr>
        <w:tabs>
          <w:tab w:val="left" w:pos="3256"/>
        </w:tabs>
        <w:spacing w:before="240" w:after="240" w:line="276" w:lineRule="auto"/>
        <w:jc w:val="both"/>
        <w:rPr>
          <w:rFonts w:ascii="Times New Roman" w:hAnsi="Times New Roman" w:cs="Times New Roman"/>
        </w:rPr>
      </w:pPr>
      <w:r>
        <w:rPr>
          <w:rFonts w:ascii="Times New Roman" w:hAnsi="Times New Roman" w:cs="Times New Roman"/>
          <w:b/>
          <w:bCs/>
        </w:rPr>
        <w:lastRenderedPageBreak/>
        <w:t xml:space="preserve">7. Conclusion </w:t>
      </w:r>
    </w:p>
    <w:p w:rsidR="00161D6C" w:rsidRDefault="00283B17">
      <w:pPr>
        <w:tabs>
          <w:tab w:val="left" w:pos="3256"/>
        </w:tabs>
        <w:spacing w:line="276" w:lineRule="auto"/>
        <w:jc w:val="both"/>
        <w:rPr>
          <w:rFonts w:ascii="Times New Roman" w:hAnsi="Times New Roman" w:cs="Times New Roman"/>
        </w:rPr>
      </w:pPr>
      <w:r>
        <w:rPr>
          <w:rFonts w:ascii="Times New Roman" w:eastAsia="Times New Roman" w:hAnsi="Times New Roman" w:cs="Times New Roman"/>
          <w:color w:val="0E101A"/>
          <w:kern w:val="0"/>
        </w:rPr>
        <w:t xml:space="preserve">This work has </w:t>
      </w:r>
      <w:proofErr w:type="spellStart"/>
      <w:r>
        <w:rPr>
          <w:rFonts w:ascii="Times New Roman" w:eastAsia="Times New Roman" w:hAnsi="Times New Roman" w:cs="Times New Roman"/>
          <w:color w:val="0E101A"/>
          <w:kern w:val="0"/>
        </w:rPr>
        <w:t>characterised</w:t>
      </w:r>
      <w:proofErr w:type="spellEnd"/>
      <w:r>
        <w:rPr>
          <w:rFonts w:ascii="Times New Roman" w:eastAsia="Times New Roman" w:hAnsi="Times New Roman" w:cs="Times New Roman"/>
          <w:color w:val="0E101A"/>
          <w:kern w:val="0"/>
        </w:rPr>
        <w:t xml:space="preserve"> voltage variations in the selected area of Nigerian distribution network</w:t>
      </w:r>
      <w:r>
        <w:rPr>
          <w:rFonts w:ascii="Times New Roman" w:eastAsia="Times New Roman" w:hAnsi="Times New Roman" w:cs="Times New Roman"/>
          <w:color w:val="0E101A"/>
          <w:kern w:val="0"/>
        </w:rPr>
        <w:t>. Monitoring and mitigating the voltage characteristic of a distribution network is essential for ensuring the reliability, safety, and efficiency of electrical power supply to consumers. It is imperative to properly classify the voltage characteristics of</w:t>
      </w:r>
      <w:r>
        <w:rPr>
          <w:rFonts w:ascii="Times New Roman" w:eastAsia="Times New Roman" w:hAnsi="Times New Roman" w:cs="Times New Roman"/>
          <w:color w:val="0E101A"/>
          <w:kern w:val="0"/>
        </w:rPr>
        <w:t xml:space="preserve"> a low-reliability distribution network based on real-time data available. Classification of voltage variation into two short-duration voltage variation (SDVV) and long-duration voltage variation (LDVV) to redefine sag, swell, </w:t>
      </w:r>
      <w:proofErr w:type="spellStart"/>
      <w:r>
        <w:rPr>
          <w:rFonts w:ascii="Times New Roman" w:eastAsia="Times New Roman" w:hAnsi="Times New Roman" w:cs="Times New Roman"/>
          <w:color w:val="0E101A"/>
          <w:kern w:val="0"/>
        </w:rPr>
        <w:t>undervoltage</w:t>
      </w:r>
      <w:proofErr w:type="spellEnd"/>
      <w:r>
        <w:rPr>
          <w:rFonts w:ascii="Times New Roman" w:eastAsia="Times New Roman" w:hAnsi="Times New Roman" w:cs="Times New Roman"/>
          <w:color w:val="0E101A"/>
          <w:kern w:val="0"/>
        </w:rPr>
        <w:t xml:space="preserve"> and overvoltage </w:t>
      </w:r>
      <w:r>
        <w:rPr>
          <w:rFonts w:ascii="Times New Roman" w:eastAsia="Times New Roman" w:hAnsi="Times New Roman" w:cs="Times New Roman"/>
          <w:color w:val="0E101A"/>
          <w:kern w:val="0"/>
        </w:rPr>
        <w:t xml:space="preserve">has been presented in this paper. Finally, the case studies involving measurement surveys were presented to illustrate the predominance of voltage variations and poor power quality </w:t>
      </w:r>
      <w:proofErr w:type="spellStart"/>
      <w:r>
        <w:rPr>
          <w:rFonts w:ascii="Times New Roman" w:eastAsia="Times New Roman" w:hAnsi="Times New Roman" w:cs="Times New Roman"/>
          <w:color w:val="0E101A"/>
          <w:kern w:val="0"/>
        </w:rPr>
        <w:t>characterising</w:t>
      </w:r>
      <w:proofErr w:type="spellEnd"/>
      <w:r>
        <w:rPr>
          <w:rFonts w:ascii="Times New Roman" w:eastAsia="Times New Roman" w:hAnsi="Times New Roman" w:cs="Times New Roman"/>
          <w:color w:val="0E101A"/>
          <w:kern w:val="0"/>
        </w:rPr>
        <w:t xml:space="preserve"> a low-reliability distribution network. Therefore, there is </w:t>
      </w:r>
      <w:r>
        <w:rPr>
          <w:rFonts w:ascii="Times New Roman" w:eastAsia="Times New Roman" w:hAnsi="Times New Roman" w:cs="Times New Roman"/>
          <w:color w:val="0E101A"/>
          <w:kern w:val="0"/>
        </w:rPr>
        <w:t xml:space="preserve">a need to make a concerted effort to improve power quality along with reliability improvement. </w:t>
      </w:r>
    </w:p>
    <w:p w:rsidR="00161D6C" w:rsidRDefault="00161D6C">
      <w:pPr>
        <w:tabs>
          <w:tab w:val="left" w:pos="3256"/>
        </w:tabs>
        <w:spacing w:line="276" w:lineRule="auto"/>
        <w:jc w:val="both"/>
        <w:rPr>
          <w:rFonts w:ascii="Times New Roman" w:hAnsi="Times New Roman" w:cs="Times New Roman"/>
        </w:rPr>
      </w:pPr>
    </w:p>
    <w:p w:rsidR="00161D6C" w:rsidRDefault="00161D6C">
      <w:pPr>
        <w:spacing w:line="276" w:lineRule="auto"/>
        <w:jc w:val="both"/>
        <w:rPr>
          <w:rFonts w:ascii="Times New Roman" w:eastAsia="Calibri" w:hAnsi="Times New Roman" w:cs="Times New Roman"/>
          <w:b/>
          <w:bCs/>
        </w:rPr>
      </w:pPr>
    </w:p>
    <w:p w:rsidR="00161D6C" w:rsidRDefault="00283B17">
      <w:pPr>
        <w:spacing w:line="276" w:lineRule="auto"/>
        <w:jc w:val="both"/>
        <w:rPr>
          <w:rFonts w:ascii="Times New Roman" w:eastAsia="Calibri" w:hAnsi="Times New Roman" w:cs="Times New Roman"/>
          <w:b/>
          <w:bCs/>
        </w:rPr>
      </w:pPr>
      <w:r>
        <w:rPr>
          <w:rFonts w:ascii="Times New Roman" w:eastAsia="Calibri" w:hAnsi="Times New Roman" w:cs="Times New Roman"/>
          <w:b/>
          <w:bCs/>
        </w:rPr>
        <w:t xml:space="preserve">References </w:t>
      </w:r>
    </w:p>
    <w:p w:rsidR="00161D6C" w:rsidRDefault="00161D6C">
      <w:pPr>
        <w:spacing w:line="276" w:lineRule="auto"/>
        <w:ind w:left="706" w:hanging="706"/>
        <w:jc w:val="both"/>
        <w:rPr>
          <w:rFonts w:ascii="Times New Roman" w:eastAsia="Calibri" w:hAnsi="Times New Roman" w:cs="Times New Roman"/>
        </w:rPr>
      </w:pPr>
    </w:p>
    <w:p w:rsidR="00161D6C" w:rsidRDefault="00283B17">
      <w:pPr>
        <w:spacing w:line="276" w:lineRule="auto"/>
        <w:ind w:left="706" w:hanging="706"/>
        <w:jc w:val="both"/>
        <w:rPr>
          <w:rFonts w:ascii="Times New Roman" w:eastAsia="Calibri" w:hAnsi="Times New Roman" w:cs="Times New Roman"/>
        </w:rPr>
      </w:pPr>
      <w:r>
        <w:rPr>
          <w:rFonts w:ascii="Times New Roman" w:eastAsia="Calibri" w:hAnsi="Times New Roman" w:cs="Times New Roman"/>
        </w:rPr>
        <w:t xml:space="preserve">Dugan, R. C., </w:t>
      </w:r>
      <w:proofErr w:type="spellStart"/>
      <w:r>
        <w:rPr>
          <w:rFonts w:ascii="Times New Roman" w:eastAsia="Calibri" w:hAnsi="Times New Roman" w:cs="Times New Roman"/>
        </w:rPr>
        <w:t>McGranaghan</w:t>
      </w:r>
      <w:proofErr w:type="spellEnd"/>
      <w:r>
        <w:rPr>
          <w:rFonts w:ascii="Times New Roman" w:eastAsia="Calibri" w:hAnsi="Times New Roman" w:cs="Times New Roman"/>
        </w:rPr>
        <w:t xml:space="preserve">, M. F., </w:t>
      </w:r>
      <w:proofErr w:type="spellStart"/>
      <w:r>
        <w:rPr>
          <w:rFonts w:ascii="Times New Roman" w:eastAsia="Calibri" w:hAnsi="Times New Roman" w:cs="Times New Roman"/>
        </w:rPr>
        <w:t>Santoso</w:t>
      </w:r>
      <w:proofErr w:type="spellEnd"/>
      <w:r>
        <w:rPr>
          <w:rFonts w:ascii="Times New Roman" w:eastAsia="Calibri" w:hAnsi="Times New Roman" w:cs="Times New Roman"/>
        </w:rPr>
        <w:t xml:space="preserve">, S. and </w:t>
      </w:r>
      <w:proofErr w:type="spellStart"/>
      <w:r>
        <w:rPr>
          <w:rFonts w:ascii="Times New Roman" w:eastAsia="Calibri" w:hAnsi="Times New Roman" w:cs="Times New Roman"/>
        </w:rPr>
        <w:t>Beaty</w:t>
      </w:r>
      <w:proofErr w:type="spellEnd"/>
      <w:r>
        <w:rPr>
          <w:rFonts w:ascii="Times New Roman" w:eastAsia="Calibri" w:hAnsi="Times New Roman" w:cs="Times New Roman"/>
        </w:rPr>
        <w:t xml:space="preserve">, H.W. (2004). </w:t>
      </w:r>
      <w:proofErr w:type="gramStart"/>
      <w:r>
        <w:rPr>
          <w:rFonts w:ascii="Times New Roman" w:eastAsia="Calibri" w:hAnsi="Times New Roman" w:cs="Times New Roman"/>
        </w:rPr>
        <w:t>Electrical Power System Quality.</w:t>
      </w:r>
      <w:proofErr w:type="gramEnd"/>
      <w:r>
        <w:rPr>
          <w:rFonts w:ascii="Times New Roman" w:eastAsia="Calibri" w:hAnsi="Times New Roman" w:cs="Times New Roman"/>
        </w:rPr>
        <w:t xml:space="preserve"> 2nd edition New York: McGraw-Hill. </w:t>
      </w:r>
      <w:proofErr w:type="gramStart"/>
      <w:r>
        <w:rPr>
          <w:rFonts w:ascii="Times New Roman" w:eastAsia="Calibri" w:hAnsi="Times New Roman" w:cs="Times New Roman"/>
        </w:rPr>
        <w:t>Downloa</w:t>
      </w:r>
      <w:r>
        <w:rPr>
          <w:rFonts w:ascii="Times New Roman" w:eastAsia="Calibri" w:hAnsi="Times New Roman" w:cs="Times New Roman"/>
        </w:rPr>
        <w:t>ded from Digital Engineering Library @ McGraw-Hill www.digitalengineeringlibrary.com (28/03/2008).</w:t>
      </w:r>
      <w:proofErr w:type="gramEnd"/>
    </w:p>
    <w:p w:rsidR="00161D6C" w:rsidRDefault="00283B17">
      <w:pPr>
        <w:tabs>
          <w:tab w:val="left" w:pos="3256"/>
        </w:tabs>
        <w:spacing w:after="200" w:line="276" w:lineRule="auto"/>
        <w:ind w:left="706" w:hanging="706"/>
        <w:jc w:val="both"/>
        <w:rPr>
          <w:rFonts w:ascii="Times New Roman" w:hAnsi="Times New Roman" w:cs="Times New Roman"/>
        </w:rPr>
      </w:pPr>
      <w:r>
        <w:rPr>
          <w:rFonts w:ascii="Times New Roman" w:hAnsi="Times New Roman" w:cs="Times New Roman"/>
        </w:rPr>
        <w:t xml:space="preserve">EN 50160 1995 Application guide to the European Standard EN 50160 on "voltage characteristics of electricity supplied by public distribution systems". </w:t>
      </w:r>
      <w:r>
        <w:rPr>
          <w:rStyle w:val="Strong"/>
          <w:rFonts w:ascii="Times New Roman" w:hAnsi="Times New Roman" w:cs="Times New Roman"/>
          <w:b w:val="0"/>
          <w:bCs w:val="0"/>
        </w:rPr>
        <w:t>Electr</w:t>
      </w:r>
      <w:r>
        <w:rPr>
          <w:rStyle w:val="Strong"/>
          <w:rFonts w:ascii="Times New Roman" w:hAnsi="Times New Roman" w:cs="Times New Roman"/>
          <w:b w:val="0"/>
          <w:bCs w:val="0"/>
        </w:rPr>
        <w:t xml:space="preserve">icity Product Characteristics and Electromagnetic </w:t>
      </w:r>
      <w:proofErr w:type="spellStart"/>
      <w:r>
        <w:rPr>
          <w:rStyle w:val="Strong"/>
          <w:rFonts w:ascii="Times New Roman" w:hAnsi="Times New Roman" w:cs="Times New Roman"/>
          <w:b w:val="0"/>
          <w:bCs w:val="0"/>
        </w:rPr>
        <w:t>CompatibilityJuly</w:t>
      </w:r>
      <w:proofErr w:type="spellEnd"/>
      <w:r>
        <w:rPr>
          <w:rStyle w:val="Strong"/>
          <w:rFonts w:ascii="Times New Roman" w:hAnsi="Times New Roman" w:cs="Times New Roman"/>
          <w:b w:val="0"/>
          <w:bCs w:val="0"/>
        </w:rPr>
        <w:t xml:space="preserve"> 1995 </w:t>
      </w:r>
      <w:proofErr w:type="gramStart"/>
      <w:r>
        <w:rPr>
          <w:rStyle w:val="Strong"/>
          <w:rFonts w:ascii="Times New Roman" w:hAnsi="Times New Roman" w:cs="Times New Roman"/>
          <w:b w:val="0"/>
          <w:bCs w:val="0"/>
        </w:rPr>
        <w:t>Ref :</w:t>
      </w:r>
      <w:proofErr w:type="gramEnd"/>
      <w:r>
        <w:rPr>
          <w:rStyle w:val="Strong"/>
          <w:rFonts w:ascii="Times New Roman" w:hAnsi="Times New Roman" w:cs="Times New Roman"/>
          <w:b w:val="0"/>
          <w:bCs w:val="0"/>
        </w:rPr>
        <w:t xml:space="preserve"> 23002Ren9530</w:t>
      </w:r>
      <w:r>
        <w:rPr>
          <w:rFonts w:ascii="Times New Roman" w:hAnsi="Times New Roman" w:cs="Times New Roman"/>
        </w:rPr>
        <w:t xml:space="preserve"> </w:t>
      </w:r>
    </w:p>
    <w:p w:rsidR="00161D6C" w:rsidRDefault="00283B17">
      <w:pPr>
        <w:tabs>
          <w:tab w:val="left" w:pos="3256"/>
        </w:tabs>
        <w:spacing w:after="200" w:line="276" w:lineRule="auto"/>
        <w:ind w:left="706" w:hanging="706"/>
        <w:jc w:val="both"/>
        <w:rPr>
          <w:rFonts w:ascii="Times New Roman" w:hAnsi="Times New Roman" w:cs="Times New Roman"/>
        </w:rPr>
      </w:pPr>
      <w:r>
        <w:rPr>
          <w:rFonts w:ascii="Times New Roman" w:hAnsi="Times New Roman" w:cs="Times New Roman"/>
        </w:rPr>
        <w:t xml:space="preserve">FMP, (2015) Renewable Energy Master Plan." </w:t>
      </w:r>
      <w:proofErr w:type="gramStart"/>
      <w:r>
        <w:rPr>
          <w:rFonts w:ascii="Times New Roman" w:hAnsi="Times New Roman" w:cs="Times New Roman"/>
        </w:rPr>
        <w:t>Federal Ministry of Power, Nigeria, 2015.</w:t>
      </w:r>
      <w:proofErr w:type="gramEnd"/>
      <w:r>
        <w:rPr>
          <w:rFonts w:ascii="Times New Roman" w:hAnsi="Times New Roman" w:cs="Times New Roman"/>
        </w:rPr>
        <w:t xml:space="preserve"> </w:t>
      </w:r>
      <w:hyperlink r:id="rId13">
        <w:r>
          <w:rPr>
            <w:rStyle w:val="Hyperlink"/>
            <w:rFonts w:ascii="Times New Roman" w:hAnsi="Times New Roman" w:cs="Times New Roman"/>
          </w:rPr>
          <w:t>www.ecow</w:t>
        </w:r>
        <w:r>
          <w:rPr>
            <w:rStyle w:val="Hyperlink"/>
            <w:rFonts w:ascii="Times New Roman" w:hAnsi="Times New Roman" w:cs="Times New Roman"/>
          </w:rPr>
          <w:t>rex.org/sites/default/files/Nigeria</w:t>
        </w:r>
      </w:hyperlink>
      <w:r>
        <w:rPr>
          <w:rFonts w:ascii="Times New Roman" w:hAnsi="Times New Roman" w:cs="Times New Roman"/>
        </w:rPr>
        <w:t xml:space="preserve"> Renewable Energy Master Plan.pdf)</w:t>
      </w:r>
    </w:p>
    <w:p w:rsidR="00161D6C" w:rsidRDefault="00283B17" w:rsidP="00047057">
      <w:pPr>
        <w:tabs>
          <w:tab w:val="left" w:pos="3256"/>
        </w:tabs>
        <w:spacing w:line="276" w:lineRule="auto"/>
        <w:ind w:left="720" w:hanging="720"/>
        <w:jc w:val="both"/>
        <w:rPr>
          <w:rFonts w:ascii="Times New Roman" w:hAnsi="Times New Roman" w:cs="Times New Roman"/>
        </w:rPr>
      </w:pPr>
      <w:r>
        <w:t xml:space="preserve">Hussein, A. S.  </w:t>
      </w:r>
      <w:proofErr w:type="gramStart"/>
      <w:r>
        <w:t>and</w:t>
      </w:r>
      <w:proofErr w:type="gramEnd"/>
      <w:r>
        <w:t xml:space="preserve"> </w:t>
      </w:r>
      <w:proofErr w:type="spellStart"/>
      <w:r>
        <w:t>Hawa</w:t>
      </w:r>
      <w:proofErr w:type="spellEnd"/>
      <w:r>
        <w:t>, M. N. (2019) Power quality analysis based on simulation and       MATLAB/Simulink. Indonesian Journal of Electrical Engineering and Computer Science</w:t>
      </w:r>
    </w:p>
    <w:p w:rsidR="00161D6C" w:rsidRDefault="00047057" w:rsidP="00047057">
      <w:pPr>
        <w:tabs>
          <w:tab w:val="left" w:pos="3256"/>
        </w:tabs>
        <w:spacing w:line="276" w:lineRule="auto"/>
        <w:ind w:left="720" w:hanging="720"/>
        <w:jc w:val="both"/>
        <w:rPr>
          <w:rFonts w:ascii="Times New Roman" w:hAnsi="Times New Roman" w:cs="Times New Roman"/>
        </w:rPr>
      </w:pPr>
      <w:r>
        <w:rPr>
          <w:rFonts w:ascii="Times New Roman" w:hAnsi="Times New Roman" w:cs="Times New Roman"/>
        </w:rPr>
        <w:tab/>
      </w:r>
      <w:proofErr w:type="gramStart"/>
      <w:r w:rsidR="00283B17">
        <w:rPr>
          <w:rFonts w:ascii="Times New Roman" w:hAnsi="Times New Roman" w:cs="Times New Roman"/>
        </w:rPr>
        <w:t>Vol. 16, No. 3, December 2019, pp. 1144~1153.</w:t>
      </w:r>
      <w:proofErr w:type="gramEnd"/>
      <w:r w:rsidR="00283B17">
        <w:rPr>
          <w:rFonts w:ascii="Times New Roman" w:hAnsi="Times New Roman" w:cs="Times New Roman"/>
        </w:rPr>
        <w:t xml:space="preserve"> ISSN: 2502-4752, DOI: 10.11591/ijeecs.v16.i3.pp1144-1153 </w:t>
      </w:r>
    </w:p>
    <w:p w:rsidR="00161D6C" w:rsidRDefault="00161D6C">
      <w:pPr>
        <w:spacing w:line="276" w:lineRule="auto"/>
        <w:ind w:left="706" w:hanging="706"/>
        <w:jc w:val="both"/>
        <w:rPr>
          <w:rFonts w:ascii="Times New Roman" w:eastAsia="Calibri" w:hAnsi="Times New Roman" w:cs="Times New Roman"/>
        </w:rPr>
      </w:pPr>
    </w:p>
    <w:p w:rsidR="00161D6C" w:rsidRDefault="00283B17">
      <w:pPr>
        <w:spacing w:line="276" w:lineRule="auto"/>
        <w:ind w:left="706" w:hanging="706"/>
        <w:jc w:val="both"/>
        <w:rPr>
          <w:rFonts w:ascii="Times New Roman" w:eastAsia="Calibri" w:hAnsi="Times New Roman" w:cs="Times New Roman"/>
        </w:rPr>
      </w:pPr>
      <w:proofErr w:type="gramStart"/>
      <w:r>
        <w:rPr>
          <w:rFonts w:ascii="Times New Roman" w:eastAsia="Calibri" w:hAnsi="Times New Roman" w:cs="Times New Roman"/>
        </w:rPr>
        <w:t>Johnson, D.O. and Hassan, K. A. (2016).</w:t>
      </w:r>
      <w:proofErr w:type="gramEnd"/>
      <w:r>
        <w:rPr>
          <w:rFonts w:ascii="Times New Roman" w:eastAsia="Calibri" w:hAnsi="Times New Roman" w:cs="Times New Roman"/>
        </w:rPr>
        <w:t xml:space="preserve"> </w:t>
      </w:r>
      <w:proofErr w:type="gramStart"/>
      <w:r>
        <w:rPr>
          <w:rFonts w:ascii="Times New Roman" w:eastAsia="Calibri" w:hAnsi="Times New Roman" w:cs="Times New Roman"/>
        </w:rPr>
        <w:t>Issues of PQ in Electrical systems.</w:t>
      </w:r>
      <w:proofErr w:type="gramEnd"/>
      <w:r>
        <w:rPr>
          <w:rFonts w:ascii="Times New Roman" w:eastAsia="Calibri" w:hAnsi="Times New Roman" w:cs="Times New Roman"/>
        </w:rPr>
        <w:t xml:space="preserve"> </w:t>
      </w:r>
      <w:r>
        <w:rPr>
          <w:rFonts w:ascii="Times New Roman" w:eastAsia="Calibri" w:hAnsi="Times New Roman" w:cs="Times New Roman"/>
          <w:i/>
          <w:iCs/>
        </w:rPr>
        <w:t>International Journal of Energy and Power Engineering</w:t>
      </w:r>
      <w:r>
        <w:rPr>
          <w:rFonts w:ascii="Times New Roman" w:eastAsia="Calibri" w:hAnsi="Times New Roman" w:cs="Times New Roman"/>
        </w:rPr>
        <w:t xml:space="preserve">, 5(4):148-154. </w:t>
      </w:r>
    </w:p>
    <w:p w:rsidR="00161D6C" w:rsidRDefault="00283B17">
      <w:pPr>
        <w:tabs>
          <w:tab w:val="left" w:pos="3256"/>
        </w:tabs>
        <w:spacing w:line="276" w:lineRule="auto"/>
        <w:ind w:left="706" w:hanging="706"/>
        <w:jc w:val="both"/>
        <w:rPr>
          <w:rFonts w:hint="eastAsia"/>
        </w:rPr>
      </w:pPr>
      <w:proofErr w:type="spellStart"/>
      <w:r>
        <w:rPr>
          <w:rStyle w:val="Strong"/>
          <w:rFonts w:ascii="Times New Roman" w:hAnsi="Times New Roman"/>
          <w:b w:val="0"/>
          <w:bCs w:val="0"/>
        </w:rPr>
        <w:t>Klajn</w:t>
      </w:r>
      <w:proofErr w:type="spellEnd"/>
      <w:r>
        <w:rPr>
          <w:rStyle w:val="Strong"/>
          <w:rFonts w:ascii="Times New Roman" w:hAnsi="Times New Roman"/>
          <w:b w:val="0"/>
          <w:bCs w:val="0"/>
        </w:rPr>
        <w:t xml:space="preserve">, A. and </w:t>
      </w:r>
      <w:proofErr w:type="spellStart"/>
      <w:r>
        <w:rPr>
          <w:rStyle w:val="Strong"/>
          <w:rFonts w:ascii="Times New Roman" w:hAnsi="Times New Roman"/>
          <w:b w:val="0"/>
          <w:bCs w:val="0"/>
        </w:rPr>
        <w:t>Bątkiewicz-Pantuła</w:t>
      </w:r>
      <w:proofErr w:type="spellEnd"/>
      <w:r>
        <w:rPr>
          <w:rStyle w:val="Strong"/>
          <w:rFonts w:ascii="Times New Roman" w:hAnsi="Times New Roman"/>
          <w:b w:val="0"/>
          <w:bCs w:val="0"/>
        </w:rPr>
        <w:t xml:space="preserve">, M. (2013) Application Note Standard EN 50160. </w:t>
      </w:r>
      <w:proofErr w:type="gramStart"/>
      <w:r>
        <w:rPr>
          <w:rStyle w:val="Strong"/>
          <w:rFonts w:ascii="Times New Roman" w:hAnsi="Times New Roman"/>
          <w:b w:val="0"/>
          <w:bCs w:val="0"/>
        </w:rPr>
        <w:t>Voltage Characteristics of Electricity Supplied by Public Electricity Networks.</w:t>
      </w:r>
      <w:proofErr w:type="gramEnd"/>
      <w:r>
        <w:rPr>
          <w:rStyle w:val="Strong"/>
          <w:rFonts w:ascii="Times New Roman" w:hAnsi="Times New Roman"/>
          <w:b w:val="0"/>
          <w:bCs w:val="0"/>
        </w:rPr>
        <w:t xml:space="preserve"> Publication No Cu0147</w:t>
      </w:r>
      <w:r>
        <w:t xml:space="preserve"> </w:t>
      </w:r>
      <w:r>
        <w:rPr>
          <w:rStyle w:val="Strong"/>
          <w:rFonts w:ascii="Times New Roman" w:hAnsi="Times New Roman"/>
          <w:b w:val="0"/>
          <w:bCs w:val="0"/>
        </w:rPr>
        <w:t xml:space="preserve">Available from </w:t>
      </w:r>
      <w:hyperlink r:id="rId14">
        <w:r>
          <w:rPr>
            <w:rStyle w:val="Hyperlink"/>
            <w:rFonts w:ascii="Times New Roman" w:hAnsi="Times New Roman"/>
          </w:rPr>
          <w:t>ww</w:t>
        </w:r>
        <w:r>
          <w:rPr>
            <w:rStyle w:val="Hyperlink"/>
            <w:rFonts w:ascii="Times New Roman" w:hAnsi="Times New Roman"/>
          </w:rPr>
          <w:t>w.leonardo-energy.org/node/145851</w:t>
        </w:r>
      </w:hyperlink>
      <w:r>
        <w:rPr>
          <w:rStyle w:val="Strong"/>
          <w:rFonts w:ascii="Times New Roman" w:hAnsi="Times New Roman"/>
          <w:b w:val="0"/>
          <w:bCs w:val="0"/>
        </w:rPr>
        <w:t xml:space="preserve">. </w:t>
      </w:r>
    </w:p>
    <w:p w:rsidR="00161D6C" w:rsidRDefault="00283B17">
      <w:pPr>
        <w:pStyle w:val="NoSpacing"/>
        <w:spacing w:line="276" w:lineRule="auto"/>
        <w:ind w:left="706" w:hanging="706"/>
        <w:jc w:val="both"/>
        <w:rPr>
          <w:rFonts w:ascii="Times New Roman" w:hAnsi="Times New Roman" w:cs="Times New Roman"/>
          <w:sz w:val="24"/>
          <w:szCs w:val="24"/>
        </w:rPr>
      </w:pPr>
      <w:proofErr w:type="spellStart"/>
      <w:r>
        <w:rPr>
          <w:rFonts w:ascii="Times New Roman" w:hAnsi="Times New Roman" w:cs="Times New Roman"/>
          <w:sz w:val="24"/>
          <w:szCs w:val="24"/>
        </w:rPr>
        <w:t>Messtechnik</w:t>
      </w:r>
      <w:proofErr w:type="spellEnd"/>
      <w:r>
        <w:rPr>
          <w:rFonts w:ascii="Times New Roman" w:hAnsi="Times New Roman" w:cs="Times New Roman"/>
          <w:sz w:val="24"/>
          <w:szCs w:val="24"/>
        </w:rPr>
        <w:t xml:space="preserve">, N. (2021). </w:t>
      </w:r>
      <w:proofErr w:type="gramStart"/>
      <w:r>
        <w:rPr>
          <w:rFonts w:ascii="Times New Roman" w:hAnsi="Times New Roman" w:cs="Times New Roman"/>
          <w:sz w:val="24"/>
          <w:szCs w:val="24"/>
        </w:rPr>
        <w:t>Power Quality Explained (</w:t>
      </w:r>
      <w:hyperlink r:id="rId15">
        <w:r>
          <w:rPr>
            <w:rStyle w:val="Hyperlink"/>
            <w:rFonts w:ascii="Times New Roman" w:hAnsi="Times New Roman" w:cs="Times New Roman"/>
            <w:sz w:val="24"/>
            <w:szCs w:val="24"/>
          </w:rPr>
          <w:t>https://www.neo-messtechnik.com/en/power-quality-explained-chapter5-en-50160-report-standard</w:t>
        </w:r>
      </w:hyperlink>
      <w:hyperlink>
        <w:r>
          <w:rPr>
            <w:rFonts w:ascii="Times New Roman" w:hAnsi="Times New Roman" w:cs="Times New Roman"/>
            <w:sz w:val="24"/>
            <w:szCs w:val="24"/>
          </w:rPr>
          <w:t>.</w:t>
        </w:r>
        <w:proofErr w:type="gramEnd"/>
      </w:hyperlink>
    </w:p>
    <w:p w:rsidR="00161D6C" w:rsidRDefault="00283B17" w:rsidP="00587B49">
      <w:pPr>
        <w:tabs>
          <w:tab w:val="left" w:pos="3256"/>
        </w:tabs>
        <w:spacing w:line="276" w:lineRule="auto"/>
        <w:ind w:left="720" w:hanging="720"/>
        <w:jc w:val="both"/>
        <w:rPr>
          <w:rStyle w:val="Strong"/>
          <w:rFonts w:ascii="Times New Roman" w:hAnsi="Times New Roman" w:cs="Times New Roman"/>
          <w:b w:val="0"/>
          <w:bCs w:val="0"/>
        </w:rPr>
      </w:pPr>
      <w:proofErr w:type="spellStart"/>
      <w:r>
        <w:rPr>
          <w:rStyle w:val="Strong"/>
          <w:rFonts w:ascii="Times New Roman" w:hAnsi="Times New Roman" w:cs="Times New Roman"/>
          <w:b w:val="0"/>
          <w:bCs w:val="0"/>
        </w:rPr>
        <w:t>Mokryani</w:t>
      </w:r>
      <w:proofErr w:type="spellEnd"/>
      <w:r>
        <w:rPr>
          <w:rStyle w:val="Strong"/>
          <w:rFonts w:ascii="Times New Roman" w:hAnsi="Times New Roman" w:cs="Times New Roman"/>
          <w:b w:val="0"/>
          <w:bCs w:val="0"/>
        </w:rPr>
        <w:t xml:space="preserve">, G. (2022) Future Distribution Networks: Planning, Operation, and Control. </w:t>
      </w:r>
      <w:proofErr w:type="gramStart"/>
      <w:r>
        <w:rPr>
          <w:rStyle w:val="Strong"/>
          <w:rFonts w:ascii="Times New Roman" w:hAnsi="Times New Roman" w:cs="Times New Roman"/>
          <w:b w:val="0"/>
          <w:bCs w:val="0"/>
        </w:rPr>
        <w:t>AIP Publishing.</w:t>
      </w:r>
      <w:proofErr w:type="gramEnd"/>
      <w:r>
        <w:rPr>
          <w:rStyle w:val="Strong"/>
          <w:rFonts w:ascii="Times New Roman" w:hAnsi="Times New Roman" w:cs="Times New Roman"/>
          <w:b w:val="0"/>
          <w:bCs w:val="0"/>
        </w:rPr>
        <w:t xml:space="preserve"> https://doi.org/10.1063/9780735422339_001 </w:t>
      </w:r>
    </w:p>
    <w:p w:rsidR="00161D6C" w:rsidRDefault="00283B17">
      <w:pPr>
        <w:tabs>
          <w:tab w:val="left" w:pos="3256"/>
        </w:tabs>
        <w:spacing w:after="200" w:line="276" w:lineRule="auto"/>
        <w:ind w:left="706" w:hanging="706"/>
        <w:jc w:val="both"/>
        <w:rPr>
          <w:rFonts w:hint="eastAsia"/>
        </w:rPr>
      </w:pPr>
      <w:r>
        <w:rPr>
          <w:rFonts w:ascii="Times New Roman" w:eastAsia="Times New Roman" w:hAnsi="Times New Roman" w:cs="Times New Roman"/>
          <w:color w:val="0E101A"/>
          <w:kern w:val="0"/>
        </w:rPr>
        <w:t xml:space="preserve">NESG (2020) </w:t>
      </w:r>
      <w:r>
        <w:rPr>
          <w:rFonts w:ascii="Times New Roman" w:hAnsi="Times New Roman" w:cs="Times New Roman"/>
        </w:rPr>
        <w:t xml:space="preserve">Nigeria's Power Sector: An Overview and Recommendations for the Future." </w:t>
      </w:r>
      <w:proofErr w:type="gramStart"/>
      <w:r>
        <w:rPr>
          <w:rFonts w:ascii="Times New Roman" w:hAnsi="Times New Roman" w:cs="Times New Roman"/>
        </w:rPr>
        <w:t>The Nigerian Economic Summit Group, 2020.</w:t>
      </w:r>
      <w:proofErr w:type="gramEnd"/>
      <w:r>
        <w:rPr>
          <w:rFonts w:ascii="Times New Roman" w:hAnsi="Times New Roman" w:cs="Times New Roman"/>
        </w:rPr>
        <w:t xml:space="preserve"> (</w:t>
      </w:r>
      <w:hyperlink r:id="rId16">
        <w:r>
          <w:rPr>
            <w:rStyle w:val="Hyperlink"/>
            <w:rFonts w:ascii="Times New Roman" w:hAnsi="Times New Roman" w:cs="Times New Roman"/>
          </w:rPr>
          <w:t>www.nesgroup.org/wp-cont</w:t>
        </w:r>
        <w:r>
          <w:rPr>
            <w:rStyle w:val="Hyperlink"/>
            <w:rFonts w:ascii="Times New Roman" w:hAnsi="Times New Roman" w:cs="Times New Roman"/>
          </w:rPr>
          <w:t>ent/uploads/2020/09/NESG-Power-Sector-Report-2020.pdf</w:t>
        </w:r>
      </w:hyperlink>
      <w:r>
        <w:rPr>
          <w:rFonts w:ascii="Times New Roman" w:hAnsi="Times New Roman" w:cs="Times New Roman"/>
        </w:rPr>
        <w:t>)</w:t>
      </w:r>
    </w:p>
    <w:p w:rsidR="00161D6C" w:rsidRDefault="00283B17">
      <w:pPr>
        <w:tabs>
          <w:tab w:val="left" w:pos="3256"/>
        </w:tabs>
        <w:spacing w:after="200" w:line="276" w:lineRule="auto"/>
        <w:ind w:left="706" w:hanging="706"/>
        <w:jc w:val="both"/>
        <w:rPr>
          <w:rFonts w:ascii="Times New Roman" w:hAnsi="Times New Roman" w:cs="Times New Roman"/>
        </w:rPr>
      </w:pPr>
      <w:r>
        <w:rPr>
          <w:rFonts w:ascii="Times New Roman" w:hAnsi="Times New Roman" w:cs="Times New Roman"/>
        </w:rPr>
        <w:t>Nigerian Electricity Distribution Companies (</w:t>
      </w:r>
      <w:proofErr w:type="spellStart"/>
      <w:r>
        <w:rPr>
          <w:rFonts w:ascii="Times New Roman" w:hAnsi="Times New Roman" w:cs="Times New Roman"/>
        </w:rPr>
        <w:t>DisCos</w:t>
      </w:r>
      <w:proofErr w:type="spellEnd"/>
      <w:r>
        <w:rPr>
          <w:rFonts w:ascii="Times New Roman" w:hAnsi="Times New Roman" w:cs="Times New Roman"/>
        </w:rPr>
        <w:t xml:space="preserve">): Challenges and Prospects." </w:t>
      </w:r>
      <w:proofErr w:type="gramStart"/>
      <w:r>
        <w:rPr>
          <w:rFonts w:ascii="Times New Roman" w:hAnsi="Times New Roman" w:cs="Times New Roman"/>
        </w:rPr>
        <w:t>Energy Commission of Nigeria, 2018.</w:t>
      </w:r>
      <w:proofErr w:type="gramEnd"/>
      <w:r>
        <w:rPr>
          <w:rFonts w:ascii="Times New Roman" w:hAnsi="Times New Roman" w:cs="Times New Roman"/>
        </w:rPr>
        <w:t xml:space="preserve"> (</w:t>
      </w:r>
      <w:hyperlink r:id="rId17">
        <w:r>
          <w:rPr>
            <w:rStyle w:val="Hyperlink"/>
            <w:rFonts w:ascii="Times New Roman" w:hAnsi="Times New Roman" w:cs="Times New Roman"/>
          </w:rPr>
          <w:t>www.energy.gov.ng/wp-content/uploads/2019/07/Nigerian-Electricity-Distribution-Companies-Discos-Challenges-and-Prospects.pdf</w:t>
        </w:r>
      </w:hyperlink>
      <w:r>
        <w:rPr>
          <w:rFonts w:ascii="Times New Roman" w:hAnsi="Times New Roman" w:cs="Times New Roman"/>
        </w:rPr>
        <w:t>)</w:t>
      </w:r>
    </w:p>
    <w:p w:rsidR="00161D6C" w:rsidRDefault="00283B17">
      <w:pPr>
        <w:spacing w:line="276" w:lineRule="auto"/>
        <w:ind w:left="706" w:hanging="706"/>
        <w:jc w:val="both"/>
        <w:rPr>
          <w:rFonts w:ascii="Times New Roman" w:eastAsia="Calibri" w:hAnsi="Times New Roman" w:cs="Times New Roman"/>
        </w:rPr>
      </w:pPr>
      <w:proofErr w:type="spellStart"/>
      <w:r>
        <w:rPr>
          <w:rFonts w:ascii="Times New Roman" w:eastAsia="Calibri" w:hAnsi="Times New Roman" w:cs="Times New Roman"/>
          <w:bCs/>
        </w:rPr>
        <w:lastRenderedPageBreak/>
        <w:t>Ogunyemi</w:t>
      </w:r>
      <w:proofErr w:type="spellEnd"/>
      <w:r>
        <w:rPr>
          <w:rFonts w:ascii="Times New Roman" w:eastAsia="Calibri" w:hAnsi="Times New Roman" w:cs="Times New Roman"/>
          <w:bCs/>
        </w:rPr>
        <w:t xml:space="preserve">, J. </w:t>
      </w:r>
      <w:r w:rsidR="000213C6">
        <w:rPr>
          <w:rFonts w:ascii="Times New Roman" w:eastAsia="Calibri" w:hAnsi="Times New Roman" w:cs="Times New Roman"/>
          <w:bCs/>
        </w:rPr>
        <w:t>and</w:t>
      </w:r>
      <w:r>
        <w:rPr>
          <w:rFonts w:ascii="Times New Roman" w:eastAsia="Calibri" w:hAnsi="Times New Roman" w:cs="Times New Roman"/>
          <w:bCs/>
        </w:rPr>
        <w:t xml:space="preserve"> </w:t>
      </w:r>
      <w:proofErr w:type="spellStart"/>
      <w:r>
        <w:rPr>
          <w:rFonts w:ascii="Times New Roman" w:eastAsia="Calibri" w:hAnsi="Times New Roman" w:cs="Times New Roman"/>
        </w:rPr>
        <w:t>Adejumobi</w:t>
      </w:r>
      <w:proofErr w:type="spellEnd"/>
      <w:r>
        <w:rPr>
          <w:rFonts w:ascii="Times New Roman" w:eastAsia="Calibri" w:hAnsi="Times New Roman" w:cs="Times New Roman"/>
        </w:rPr>
        <w:t>, I.A. (2016) Combating The Fundamenta</w:t>
      </w:r>
      <w:r>
        <w:rPr>
          <w:rFonts w:ascii="Times New Roman" w:eastAsia="Calibri" w:hAnsi="Times New Roman" w:cs="Times New Roman"/>
        </w:rPr>
        <w:t>l Problems Affecting Power Quality Issues in Nigeria. Journal of Academic Staff Union of Polytechnic (ASUP) Vol.1 No. 2 ISSN: 2504-9216</w:t>
      </w:r>
    </w:p>
    <w:p w:rsidR="00161D6C" w:rsidRDefault="00283B17">
      <w:pPr>
        <w:spacing w:after="200" w:line="276" w:lineRule="auto"/>
        <w:ind w:left="706" w:hanging="706"/>
        <w:contextualSpacing/>
        <w:jc w:val="both"/>
        <w:rPr>
          <w:rFonts w:ascii="Times New Roman" w:eastAsia="Calibri" w:hAnsi="Times New Roman" w:cs="Times New Roman"/>
        </w:rPr>
      </w:pPr>
      <w:proofErr w:type="spellStart"/>
      <w:r>
        <w:rPr>
          <w:rFonts w:ascii="Times New Roman" w:eastAsia="Calibri" w:hAnsi="Times New Roman" w:cs="Times New Roman"/>
          <w:bCs/>
        </w:rPr>
        <w:t>Ogunyemi</w:t>
      </w:r>
      <w:proofErr w:type="spellEnd"/>
      <w:r>
        <w:rPr>
          <w:rFonts w:ascii="Times New Roman" w:eastAsia="Calibri" w:hAnsi="Times New Roman" w:cs="Times New Roman"/>
          <w:bCs/>
        </w:rPr>
        <w:t>, J.</w:t>
      </w:r>
      <w:r>
        <w:rPr>
          <w:rFonts w:ascii="Times New Roman" w:eastAsia="Calibri" w:hAnsi="Times New Roman" w:cs="Times New Roman"/>
          <w:b/>
        </w:rPr>
        <w:t xml:space="preserve"> </w:t>
      </w:r>
      <w:r>
        <w:rPr>
          <w:rFonts w:ascii="Times New Roman" w:eastAsia="Calibri" w:hAnsi="Times New Roman" w:cs="Times New Roman"/>
        </w:rPr>
        <w:t>(2016) GSM Based Reliability Assessment and Service Quality Improvement Measures in Electricity Distributio</w:t>
      </w:r>
      <w:r>
        <w:rPr>
          <w:rFonts w:ascii="Times New Roman" w:eastAsia="Calibri" w:hAnsi="Times New Roman" w:cs="Times New Roman"/>
        </w:rPr>
        <w:t xml:space="preserve">n Network. Paper presented at Nigerian Society of Engineers’ National Conference, Exhibition and Annual General Meeting, </w:t>
      </w:r>
      <w:proofErr w:type="spellStart"/>
      <w:r>
        <w:rPr>
          <w:rFonts w:ascii="Times New Roman" w:eastAsia="Calibri" w:hAnsi="Times New Roman" w:cs="Times New Roman"/>
        </w:rPr>
        <w:t>Uyo</w:t>
      </w:r>
      <w:proofErr w:type="spellEnd"/>
      <w:r>
        <w:rPr>
          <w:rFonts w:ascii="Times New Roman" w:eastAsia="Calibri" w:hAnsi="Times New Roman" w:cs="Times New Roman"/>
        </w:rPr>
        <w:t xml:space="preserve">, </w:t>
      </w:r>
      <w:proofErr w:type="spellStart"/>
      <w:r>
        <w:rPr>
          <w:rFonts w:ascii="Times New Roman" w:eastAsia="Calibri" w:hAnsi="Times New Roman" w:cs="Times New Roman"/>
        </w:rPr>
        <w:t>Akwa</w:t>
      </w:r>
      <w:proofErr w:type="spellEnd"/>
      <w:r>
        <w:rPr>
          <w:rFonts w:ascii="Times New Roman" w:eastAsia="Calibri" w:hAnsi="Times New Roman" w:cs="Times New Roman"/>
        </w:rPr>
        <w:t>-Ibom State. 21</w:t>
      </w:r>
      <w:r>
        <w:rPr>
          <w:rFonts w:ascii="Times New Roman" w:eastAsia="Calibri" w:hAnsi="Times New Roman" w:cs="Times New Roman"/>
          <w:vertAlign w:val="superscript"/>
        </w:rPr>
        <w:t>st</w:t>
      </w:r>
      <w:r>
        <w:rPr>
          <w:rFonts w:ascii="Times New Roman" w:eastAsia="Calibri" w:hAnsi="Times New Roman" w:cs="Times New Roman"/>
        </w:rPr>
        <w:t>- 25</w:t>
      </w:r>
      <w:r>
        <w:rPr>
          <w:rFonts w:ascii="Times New Roman" w:eastAsia="Calibri" w:hAnsi="Times New Roman" w:cs="Times New Roman"/>
          <w:vertAlign w:val="superscript"/>
        </w:rPr>
        <w:t>th</w:t>
      </w:r>
      <w:r>
        <w:rPr>
          <w:rFonts w:ascii="Times New Roman" w:eastAsia="Calibri" w:hAnsi="Times New Roman" w:cs="Times New Roman"/>
        </w:rPr>
        <w:t xml:space="preserve">, Nov. 2016. </w:t>
      </w:r>
    </w:p>
    <w:p w:rsidR="00161D6C" w:rsidRDefault="00283B17">
      <w:pPr>
        <w:spacing w:line="360" w:lineRule="auto"/>
        <w:rPr>
          <w:rFonts w:cs="Times New Roman" w:hint="eastAsia"/>
        </w:rPr>
      </w:pPr>
      <w:proofErr w:type="spellStart"/>
      <w:r>
        <w:rPr>
          <w:rFonts w:ascii="Times New Roman" w:eastAsia="Calibri" w:hAnsi="Times New Roman" w:cs="Times New Roman"/>
        </w:rPr>
        <w:t>Olatoke</w:t>
      </w:r>
      <w:proofErr w:type="spellEnd"/>
      <w:r>
        <w:rPr>
          <w:rFonts w:ascii="Times New Roman" w:eastAsia="Calibri" w:hAnsi="Times New Roman" w:cs="Times New Roman"/>
        </w:rPr>
        <w:t xml:space="preserve">, A. O. 2011. </w:t>
      </w:r>
      <w:proofErr w:type="gramStart"/>
      <w:r>
        <w:rPr>
          <w:rFonts w:ascii="Times New Roman" w:eastAsia="Calibri" w:hAnsi="Times New Roman" w:cs="Times New Roman"/>
        </w:rPr>
        <w:t>Investigations of Power Quality Problems in Modern Buildings.</w:t>
      </w:r>
      <w:proofErr w:type="gramEnd"/>
      <w:r>
        <w:rPr>
          <w:rFonts w:ascii="Times New Roman" w:eastAsia="Calibri" w:hAnsi="Times New Roman" w:cs="Times New Roman"/>
        </w:rPr>
        <w:t xml:space="preserve"> M Phil</w:t>
      </w:r>
      <w:r>
        <w:rPr>
          <w:rFonts w:ascii="Times New Roman" w:eastAsia="Calibri" w:hAnsi="Times New Roman" w:cs="Times New Roman"/>
        </w:rPr>
        <w:t xml:space="preserve"> Thesis </w:t>
      </w:r>
      <w:r>
        <w:rPr>
          <w:rFonts w:ascii="Times New Roman" w:eastAsia="Calibri" w:hAnsi="Times New Roman" w:cs="Times New Roman"/>
        </w:rPr>
        <w:tab/>
        <w:t xml:space="preserve">(Unpublished), Brunel University School of Engineering and Design. 109pp.  </w:t>
      </w:r>
    </w:p>
    <w:p w:rsidR="00161D6C" w:rsidRDefault="00283B17">
      <w:pPr>
        <w:tabs>
          <w:tab w:val="left" w:pos="3256"/>
        </w:tabs>
        <w:spacing w:line="276" w:lineRule="auto"/>
        <w:ind w:left="706" w:hanging="706"/>
        <w:rPr>
          <w:rFonts w:hint="eastAsia"/>
        </w:rPr>
      </w:pPr>
      <w:proofErr w:type="gramStart"/>
      <w:r>
        <w:rPr>
          <w:rStyle w:val="Strong"/>
          <w:rFonts w:ascii="Times New Roman" w:hAnsi="Times New Roman" w:cs="Times New Roman"/>
          <w:b w:val="0"/>
          <w:bCs w:val="0"/>
        </w:rPr>
        <w:t>SIST EN 50160:2023 EN 50160 (2022E) Voltage characteristics of electricity supplied by public electricity networks.</w:t>
      </w:r>
      <w:proofErr w:type="gramEnd"/>
      <w:r>
        <w:rPr>
          <w:rStyle w:val="Strong"/>
          <w:rFonts w:ascii="Times New Roman" w:hAnsi="Times New Roman" w:cs="Times New Roman"/>
          <w:b w:val="0"/>
          <w:bCs w:val="0"/>
        </w:rPr>
        <w:t xml:space="preserve"> (https://cdn.standards.iteh.ai/samples/71003/490b981fbe</w:t>
      </w:r>
      <w:r>
        <w:rPr>
          <w:rStyle w:val="Strong"/>
          <w:rFonts w:ascii="Times New Roman" w:hAnsi="Times New Roman" w:cs="Times New Roman"/>
          <w:b w:val="0"/>
          <w:bCs w:val="0"/>
        </w:rPr>
        <w:t>c343edb9db83f8ce4b2b3d/SIST-EN-50160-2023.pdf)</w:t>
      </w:r>
    </w:p>
    <w:p w:rsidR="00161D6C" w:rsidRDefault="00283B17">
      <w:pPr>
        <w:tabs>
          <w:tab w:val="left" w:pos="3256"/>
        </w:tabs>
        <w:spacing w:after="200" w:line="276" w:lineRule="auto"/>
        <w:ind w:left="706" w:hanging="706"/>
        <w:jc w:val="both"/>
        <w:rPr>
          <w:rFonts w:hint="eastAsia"/>
        </w:rPr>
      </w:pPr>
      <w:r>
        <w:t>World Bank Report (2019) Nigeria: Overview of the Power Sector and Challenges." (</w:t>
      </w:r>
      <w:hyperlink r:id="rId18">
        <w:r>
          <w:rPr>
            <w:rStyle w:val="Hyperlink"/>
          </w:rPr>
          <w:t>w</w:t>
        </w:r>
        <w:r>
          <w:rPr>
            <w:rStyle w:val="Hyperlink"/>
          </w:rPr>
          <w:t>ww.worldbank.org/en/country/nigeria/publication/nigeria-overview-of-the-power-sector-and-challenges</w:t>
        </w:r>
      </w:hyperlink>
      <w:r>
        <w:t>)</w:t>
      </w:r>
    </w:p>
    <w:p w:rsidR="00161D6C" w:rsidRDefault="00283B17">
      <w:pPr>
        <w:tabs>
          <w:tab w:val="left" w:pos="3256"/>
        </w:tabs>
        <w:spacing w:line="276" w:lineRule="auto"/>
        <w:jc w:val="both"/>
        <w:rPr>
          <w:rFonts w:ascii="Times New Roman" w:hAnsi="Times New Roman" w:cs="Times New Roman"/>
        </w:rPr>
      </w:pPr>
      <w:proofErr w:type="gramStart"/>
      <w:r>
        <w:rPr>
          <w:rFonts w:ascii="Times New Roman" w:hAnsi="Times New Roman" w:cs="Times New Roman"/>
        </w:rPr>
        <w:t>Ravi T</w:t>
      </w:r>
      <w:r w:rsidR="000213C6">
        <w:rPr>
          <w:rFonts w:ascii="Times New Roman" w:hAnsi="Times New Roman" w:cs="Times New Roman"/>
        </w:rPr>
        <w:t>.</w:t>
      </w:r>
      <w:r>
        <w:rPr>
          <w:rFonts w:ascii="Times New Roman" w:hAnsi="Times New Roman" w:cs="Times New Roman"/>
        </w:rPr>
        <w:t xml:space="preserve"> and </w:t>
      </w:r>
      <w:proofErr w:type="spellStart"/>
      <w:r>
        <w:rPr>
          <w:rFonts w:ascii="Times New Roman" w:hAnsi="Times New Roman" w:cs="Times New Roman"/>
        </w:rPr>
        <w:t>Sathish</w:t>
      </w:r>
      <w:proofErr w:type="spellEnd"/>
      <w:r>
        <w:rPr>
          <w:rFonts w:ascii="Times New Roman" w:hAnsi="Times New Roman" w:cs="Times New Roman"/>
        </w:rPr>
        <w:t xml:space="preserve"> Kumar K (2022), Analysis, Monitoring, and Mitigation of Power Quality Disturbances in a Distributed Generation System.</w:t>
      </w:r>
      <w:proofErr w:type="gramEnd"/>
      <w:r>
        <w:rPr>
          <w:rFonts w:ascii="Times New Roman" w:hAnsi="Times New Roman" w:cs="Times New Roman"/>
        </w:rPr>
        <w:t xml:space="preserve"> Front. Energy Res</w:t>
      </w:r>
      <w:r>
        <w:rPr>
          <w:rFonts w:ascii="Times New Roman" w:hAnsi="Times New Roman" w:cs="Times New Roman"/>
        </w:rPr>
        <w:t xml:space="preserve">. 10:989474. </w:t>
      </w:r>
      <w:proofErr w:type="spellStart"/>
      <w:proofErr w:type="gramStart"/>
      <w:r>
        <w:rPr>
          <w:rFonts w:ascii="Times New Roman" w:hAnsi="Times New Roman" w:cs="Times New Roman"/>
        </w:rPr>
        <w:t>doi</w:t>
      </w:r>
      <w:proofErr w:type="spellEnd"/>
      <w:proofErr w:type="gramEnd"/>
      <w:r>
        <w:rPr>
          <w:rFonts w:ascii="Times New Roman" w:hAnsi="Times New Roman" w:cs="Times New Roman"/>
        </w:rPr>
        <w:t>: 10.3389/fenrg.2022.989474</w:t>
      </w:r>
    </w:p>
    <w:p w:rsidR="00161D6C" w:rsidRDefault="00161D6C">
      <w:pPr>
        <w:tabs>
          <w:tab w:val="left" w:pos="3256"/>
        </w:tabs>
        <w:spacing w:line="276" w:lineRule="auto"/>
        <w:jc w:val="both"/>
        <w:rPr>
          <w:rFonts w:ascii="Times New Roman" w:hAnsi="Times New Roman" w:cs="Times New Roman"/>
        </w:rPr>
      </w:pPr>
    </w:p>
    <w:p w:rsidR="00161D6C" w:rsidRDefault="00283B17">
      <w:pPr>
        <w:tabs>
          <w:tab w:val="left" w:pos="3256"/>
        </w:tabs>
        <w:spacing w:after="200" w:line="276" w:lineRule="auto"/>
        <w:ind w:left="706" w:hanging="706"/>
        <w:jc w:val="both"/>
        <w:rPr>
          <w:rFonts w:hint="eastAsia"/>
        </w:rPr>
      </w:pPr>
      <w:proofErr w:type="gramStart"/>
      <w:r>
        <w:t>Ye, G. (2017).</w:t>
      </w:r>
      <w:proofErr w:type="gramEnd"/>
      <w:r>
        <w:t xml:space="preserve"> </w:t>
      </w:r>
      <w:r>
        <w:rPr>
          <w:rStyle w:val="Emphasis"/>
        </w:rPr>
        <w:t>Power quality in distribution networks: estimation and measurement of harmonic distortion and voltage dips</w:t>
      </w:r>
      <w:r w:rsidR="004E55A7">
        <w:t xml:space="preserve">. </w:t>
      </w:r>
      <w:proofErr w:type="spellStart"/>
      <w:proofErr w:type="gramStart"/>
      <w:r>
        <w:t>Phd</w:t>
      </w:r>
      <w:proofErr w:type="spellEnd"/>
      <w:r>
        <w:t xml:space="preserve"> Thesis 1 (Research TU/e / Graduation TU/e), Electrical Engineering].</w:t>
      </w:r>
      <w:proofErr w:type="gramEnd"/>
      <w:r>
        <w:t xml:space="preserve"> </w:t>
      </w:r>
      <w:proofErr w:type="spellStart"/>
      <w:proofErr w:type="gramStart"/>
      <w:r>
        <w:t>Technische</w:t>
      </w:r>
      <w:proofErr w:type="spellEnd"/>
      <w:r>
        <w:t xml:space="preserve"> </w:t>
      </w:r>
      <w:proofErr w:type="spellStart"/>
      <w:r>
        <w:t>Uni</w:t>
      </w:r>
      <w:r>
        <w:t>versiteit</w:t>
      </w:r>
      <w:proofErr w:type="spellEnd"/>
      <w:r>
        <w:t xml:space="preserve"> Eindhoven.</w:t>
      </w:r>
      <w:proofErr w:type="gramEnd"/>
    </w:p>
    <w:p w:rsidR="00161D6C" w:rsidRDefault="00283B17">
      <w:pPr>
        <w:tabs>
          <w:tab w:val="left" w:pos="3256"/>
        </w:tabs>
        <w:spacing w:after="200" w:line="276" w:lineRule="auto"/>
        <w:ind w:left="706" w:hanging="706"/>
        <w:jc w:val="both"/>
        <w:rPr>
          <w:rFonts w:ascii="Times New Roman" w:hAnsi="Times New Roman" w:cs="Times New Roman"/>
        </w:rPr>
      </w:pPr>
      <w:proofErr w:type="spellStart"/>
      <w:r>
        <w:rPr>
          <w:rFonts w:ascii="Times New Roman" w:hAnsi="Times New Roman" w:cs="Times New Roman"/>
        </w:rPr>
        <w:t>Zhong</w:t>
      </w:r>
      <w:proofErr w:type="spellEnd"/>
      <w:r>
        <w:rPr>
          <w:rFonts w:ascii="Times New Roman" w:hAnsi="Times New Roman" w:cs="Times New Roman"/>
        </w:rPr>
        <w:t>, Z., Zhang, H., Wang, J.</w:t>
      </w:r>
      <w:proofErr w:type="gramStart"/>
      <w:r>
        <w:rPr>
          <w:rFonts w:ascii="Times New Roman" w:hAnsi="Times New Roman" w:cs="Times New Roman"/>
        </w:rPr>
        <w:t>,  Ma</w:t>
      </w:r>
      <w:proofErr w:type="gramEnd"/>
      <w:r>
        <w:rPr>
          <w:rFonts w:ascii="Times New Roman" w:hAnsi="Times New Roman" w:cs="Times New Roman"/>
        </w:rPr>
        <w:t xml:space="preserve">, G., </w:t>
      </w:r>
      <w:proofErr w:type="spellStart"/>
      <w:r>
        <w:rPr>
          <w:rFonts w:ascii="Times New Roman" w:hAnsi="Times New Roman" w:cs="Times New Roman"/>
        </w:rPr>
        <w:t>Qiu</w:t>
      </w:r>
      <w:proofErr w:type="spellEnd"/>
      <w:r>
        <w:rPr>
          <w:rFonts w:ascii="Times New Roman" w:hAnsi="Times New Roman" w:cs="Times New Roman"/>
        </w:rPr>
        <w:t xml:space="preserve">, W. and Wang, Y. (2019) </w:t>
      </w:r>
      <w:r>
        <w:rPr>
          <w:rFonts w:ascii="Times New Roman" w:hAnsi="Times New Roman" w:cs="Times New Roman"/>
        </w:rPr>
        <w:t xml:space="preserve">Study on Voltage Characteristics of Distributed Power Supply Connected to Distribution Network. American Journal of Electrical and Electronic Engineering, 2019, Vol. 7, No. 4, 99-104. </w:t>
      </w:r>
      <w:proofErr w:type="gramStart"/>
      <w:r>
        <w:rPr>
          <w:rFonts w:ascii="Times New Roman" w:hAnsi="Times New Roman" w:cs="Times New Roman"/>
        </w:rPr>
        <w:t xml:space="preserve">Available online at </w:t>
      </w:r>
      <w:hyperlink r:id="rId19">
        <w:r>
          <w:rPr>
            <w:rStyle w:val="Hyperlink"/>
            <w:rFonts w:ascii="Times New Roman" w:hAnsi="Times New Roman" w:cs="Times New Roman"/>
          </w:rPr>
          <w:t>http://pubs.sciepub.com/ajeee/7/4/3</w:t>
        </w:r>
      </w:hyperlink>
      <w:r>
        <w:rPr>
          <w:rFonts w:ascii="Times New Roman" w:hAnsi="Times New Roman" w:cs="Times New Roman"/>
        </w:rPr>
        <w:t>.</w:t>
      </w:r>
      <w:proofErr w:type="gramEnd"/>
      <w:r>
        <w:rPr>
          <w:rFonts w:ascii="Times New Roman" w:hAnsi="Times New Roman" w:cs="Times New Roman"/>
        </w:rPr>
        <w:t xml:space="preserve">  Published by Science and Education Publishing DOI</w:t>
      </w:r>
      <w:proofErr w:type="gramStart"/>
      <w:r>
        <w:rPr>
          <w:rFonts w:ascii="Times New Roman" w:hAnsi="Times New Roman" w:cs="Times New Roman"/>
        </w:rPr>
        <w:t>:10.12691</w:t>
      </w:r>
      <w:proofErr w:type="gramEnd"/>
      <w:r>
        <w:rPr>
          <w:rFonts w:ascii="Times New Roman" w:hAnsi="Times New Roman" w:cs="Times New Roman"/>
        </w:rPr>
        <w:t>/ajeee-7-4-3</w:t>
      </w:r>
    </w:p>
    <w:p w:rsidR="00161D6C" w:rsidRDefault="00161D6C">
      <w:pPr>
        <w:tabs>
          <w:tab w:val="left" w:pos="3256"/>
        </w:tabs>
        <w:spacing w:line="276" w:lineRule="auto"/>
        <w:jc w:val="both"/>
        <w:rPr>
          <w:rStyle w:val="Strong"/>
          <w:rFonts w:ascii="Times New Roman" w:hAnsi="Times New Roman" w:cs="Times New Roman"/>
          <w:b w:val="0"/>
          <w:bCs w:val="0"/>
        </w:rPr>
      </w:pPr>
    </w:p>
    <w:p w:rsidR="00161D6C" w:rsidRDefault="00161D6C">
      <w:pPr>
        <w:tabs>
          <w:tab w:val="left" w:pos="3256"/>
        </w:tabs>
        <w:spacing w:line="276" w:lineRule="auto"/>
        <w:jc w:val="both"/>
        <w:rPr>
          <w:rStyle w:val="Strong"/>
          <w:rFonts w:ascii="Times New Roman" w:hAnsi="Times New Roman" w:cs="Times New Roman"/>
          <w:b w:val="0"/>
          <w:bCs w:val="0"/>
        </w:rPr>
      </w:pPr>
    </w:p>
    <w:p w:rsidR="00161D6C" w:rsidRDefault="00161D6C">
      <w:pPr>
        <w:tabs>
          <w:tab w:val="left" w:pos="3256"/>
        </w:tabs>
        <w:spacing w:line="276" w:lineRule="auto"/>
        <w:jc w:val="both"/>
        <w:rPr>
          <w:rFonts w:ascii="Times New Roman" w:hAnsi="Times New Roman" w:cs="Times New Roman"/>
        </w:rPr>
      </w:pPr>
    </w:p>
    <w:p w:rsidR="00161D6C" w:rsidRDefault="00161D6C">
      <w:pPr>
        <w:tabs>
          <w:tab w:val="left" w:pos="3256"/>
        </w:tabs>
        <w:spacing w:line="276" w:lineRule="auto"/>
        <w:jc w:val="both"/>
        <w:rPr>
          <w:rFonts w:ascii="Times New Roman" w:hAnsi="Times New Roman" w:cs="Times New Roman"/>
        </w:rPr>
      </w:pPr>
    </w:p>
    <w:sectPr w:rsidR="00161D6C">
      <w:pgSz w:w="11906" w:h="16838"/>
      <w:pgMar w:top="1134" w:right="1134" w:bottom="1134" w:left="1134" w:header="0" w:footer="0" w:gutter="0"/>
      <w:cols w:space="720"/>
      <w:formProt w:val="0"/>
      <w:docGrid w:linePitch="100"/>
    </w:sectPr>
  </w:body>
</w:document>
</file>

<file path=word/commentsExtended.xml><?xml version="1.0" encoding="utf-8"?>
<w15:commentsEx xmlns:mc="http://schemas.openxmlformats.org/markup-compatibility/2006" xmlns:w15="http://schemas.microsoft.com/office/word/2012/wordml" mc:Ignorable="w15">
  <w15:commentEx w15:paraId="01000000" w15:done="1"/>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0A87" w:usb1="00000000" w:usb2="00000000" w:usb3="00000000" w:csb0="000001B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F46F3"/>
    <w:multiLevelType w:val="multilevel"/>
    <w:tmpl w:val="48E6274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1A07BD4"/>
    <w:multiLevelType w:val="multilevel"/>
    <w:tmpl w:val="978E996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characterSpacingControl w:val="doNotCompress"/>
  <w:compat>
    <w:useFELayout/>
    <w:compatSetting w:name="compatibilityMode" w:uri="http://schemas.microsoft.com/office/word" w:val="14"/>
  </w:compat>
  <w:rsids>
    <w:rsidRoot w:val="00161D6C"/>
    <w:rsid w:val="000213C6"/>
    <w:rsid w:val="00047057"/>
    <w:rsid w:val="00161D6C"/>
    <w:rsid w:val="0018730D"/>
    <w:rsid w:val="00283B17"/>
    <w:rsid w:val="002C1E0E"/>
    <w:rsid w:val="00467D7C"/>
    <w:rsid w:val="004A59BD"/>
    <w:rsid w:val="004E55A7"/>
    <w:rsid w:val="00562C65"/>
    <w:rsid w:val="00587B49"/>
    <w:rsid w:val="00673671"/>
    <w:rsid w:val="00D5714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qFormat/>
    <w:pPr>
      <w:keepNext/>
      <w:keepLines/>
      <w:spacing w:before="200" w:line="480" w:lineRule="auto"/>
      <w:jc w:val="center"/>
      <w:outlineLvl w:val="2"/>
    </w:pPr>
    <w:rPr>
      <w:rFonts w:ascii="Times New Roman" w:eastAsiaTheme="majorEastAsia" w:hAnsi="Times New Roman"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80"/>
      <w:u w:val="single"/>
    </w:rPr>
  </w:style>
  <w:style w:type="character" w:styleId="Emphasis">
    <w:name w:val="Emphasis"/>
    <w:qFormat/>
    <w:rPr>
      <w:i/>
      <w:iCs/>
    </w:rPr>
  </w:style>
  <w:style w:type="character" w:customStyle="1" w:styleId="BalloonTextChar">
    <w:name w:val="Balloon Text Char"/>
    <w:basedOn w:val="DefaultParagraphFont"/>
    <w:link w:val="BalloonText"/>
    <w:uiPriority w:val="99"/>
    <w:semiHidden/>
    <w:qFormat/>
    <w:rsid w:val="009C354B"/>
    <w:rPr>
      <w:rFonts w:ascii="Tahoma" w:hAnsi="Tahoma"/>
      <w:sz w:val="16"/>
      <w:szCs w:val="14"/>
    </w:rPr>
  </w:style>
  <w:style w:type="character" w:styleId="CommentReference">
    <w:name w:val="annotation reference"/>
    <w:basedOn w:val="DefaultParagraphFont"/>
    <w:uiPriority w:val="99"/>
    <w:semiHidden/>
    <w:unhideWhenUsed/>
    <w:qFormat/>
    <w:rsid w:val="00E129A0"/>
    <w:rPr>
      <w:sz w:val="16"/>
      <w:szCs w:val="16"/>
    </w:rPr>
  </w:style>
  <w:style w:type="character" w:customStyle="1" w:styleId="CommentTextChar">
    <w:name w:val="Comment Text Char"/>
    <w:basedOn w:val="DefaultParagraphFont"/>
    <w:link w:val="CommentText"/>
    <w:uiPriority w:val="99"/>
    <w:semiHidden/>
    <w:qFormat/>
    <w:rsid w:val="00E129A0"/>
    <w:rPr>
      <w:sz w:val="20"/>
      <w:szCs w:val="18"/>
    </w:rPr>
  </w:style>
  <w:style w:type="character" w:customStyle="1" w:styleId="CommentSubjectChar">
    <w:name w:val="Comment Subject Char"/>
    <w:basedOn w:val="CommentTextChar"/>
    <w:link w:val="CommentSubject"/>
    <w:uiPriority w:val="99"/>
    <w:semiHidden/>
    <w:qFormat/>
    <w:rsid w:val="00E129A0"/>
    <w:rPr>
      <w:b/>
      <w:bCs/>
      <w:sz w:val="20"/>
      <w:szCs w:val="18"/>
    </w:rPr>
  </w:style>
  <w:style w:type="paragraph" w:customStyle="1" w:styleId="Heading">
    <w:name w:val="Heading"/>
    <w:basedOn w:val="Normal"/>
    <w:next w:val="BodyText"/>
    <w:qFormat/>
    <w:pPr>
      <w:keepNext/>
      <w:spacing w:before="240" w:after="120"/>
    </w:pPr>
    <w:rPr>
      <w:rFonts w:ascii="Liberation Sans" w:eastAsia="Arial Unicode M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spacing w:after="200" w:line="480" w:lineRule="auto"/>
      <w:ind w:left="720"/>
      <w:contextualSpacing/>
      <w:jc w:val="both"/>
    </w:pPr>
    <w:rPr>
      <w:rFonts w:ascii="Times New Roman" w:hAnsi="Times New Roman"/>
    </w:rPr>
  </w:style>
  <w:style w:type="paragraph" w:customStyle="1" w:styleId="TableContents">
    <w:name w:val="Table Contents"/>
    <w:basedOn w:val="Normal"/>
    <w:qFormat/>
    <w:pPr>
      <w:widowControl w:val="0"/>
      <w:suppressLineNumbers/>
    </w:pPr>
  </w:style>
  <w:style w:type="paragraph" w:styleId="NoSpacing">
    <w:name w:val="No Spacing"/>
    <w:qFormat/>
    <w:rPr>
      <w:rFonts w:asciiTheme="minorHAnsi" w:eastAsiaTheme="minorHAnsi" w:hAnsiTheme="minorHAnsi" w:cstheme="minorBidi"/>
      <w:sz w:val="22"/>
      <w:szCs w:val="22"/>
      <w:lang w:eastAsia="en-US" w:bidi="ar-SA"/>
    </w:rPr>
  </w:style>
  <w:style w:type="paragraph" w:styleId="BalloonText">
    <w:name w:val="Balloon Text"/>
    <w:basedOn w:val="Normal"/>
    <w:link w:val="BalloonTextChar"/>
    <w:uiPriority w:val="99"/>
    <w:semiHidden/>
    <w:unhideWhenUsed/>
    <w:qFormat/>
    <w:rsid w:val="009C354B"/>
    <w:rPr>
      <w:rFonts w:ascii="Tahoma" w:hAnsi="Tahoma"/>
      <w:sz w:val="16"/>
      <w:szCs w:val="14"/>
    </w:rPr>
  </w:style>
  <w:style w:type="paragraph" w:styleId="CommentText">
    <w:name w:val="annotation text"/>
    <w:basedOn w:val="Normal"/>
    <w:link w:val="CommentTextChar"/>
    <w:uiPriority w:val="99"/>
    <w:semiHidden/>
    <w:unhideWhenUsed/>
    <w:qFormat/>
    <w:rsid w:val="00E129A0"/>
    <w:rPr>
      <w:sz w:val="20"/>
      <w:szCs w:val="18"/>
    </w:rPr>
  </w:style>
  <w:style w:type="paragraph" w:styleId="CommentSubject">
    <w:name w:val="annotation subject"/>
    <w:basedOn w:val="CommentText"/>
    <w:next w:val="CommentText"/>
    <w:link w:val="CommentSubjectChar"/>
    <w:uiPriority w:val="99"/>
    <w:semiHidden/>
    <w:unhideWhenUsed/>
    <w:qFormat/>
    <w:rsid w:val="00E129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qFormat/>
    <w:pPr>
      <w:keepNext/>
      <w:keepLines/>
      <w:spacing w:before="200" w:line="480" w:lineRule="auto"/>
      <w:jc w:val="center"/>
      <w:outlineLvl w:val="2"/>
    </w:pPr>
    <w:rPr>
      <w:rFonts w:ascii="Times New Roman" w:eastAsiaTheme="majorEastAsia" w:hAnsi="Times New Roman" w:cstheme="majorBidi"/>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80"/>
      <w:u w:val="single"/>
    </w:rPr>
  </w:style>
  <w:style w:type="character" w:styleId="Emphasis">
    <w:name w:val="Emphasis"/>
    <w:qFormat/>
    <w:rPr>
      <w:i/>
      <w:iCs/>
    </w:rPr>
  </w:style>
  <w:style w:type="character" w:customStyle="1" w:styleId="BalloonTextChar">
    <w:name w:val="Balloon Text Char"/>
    <w:basedOn w:val="DefaultParagraphFont"/>
    <w:link w:val="BalloonText"/>
    <w:uiPriority w:val="99"/>
    <w:semiHidden/>
    <w:qFormat/>
    <w:rsid w:val="009C354B"/>
    <w:rPr>
      <w:rFonts w:ascii="Tahoma" w:hAnsi="Tahoma"/>
      <w:sz w:val="16"/>
      <w:szCs w:val="14"/>
    </w:rPr>
  </w:style>
  <w:style w:type="character" w:styleId="CommentReference">
    <w:name w:val="annotation reference"/>
    <w:basedOn w:val="DefaultParagraphFont"/>
    <w:uiPriority w:val="99"/>
    <w:semiHidden/>
    <w:unhideWhenUsed/>
    <w:qFormat/>
    <w:rsid w:val="00E129A0"/>
    <w:rPr>
      <w:sz w:val="16"/>
      <w:szCs w:val="16"/>
    </w:rPr>
  </w:style>
  <w:style w:type="character" w:customStyle="1" w:styleId="CommentTextChar">
    <w:name w:val="Comment Text Char"/>
    <w:basedOn w:val="DefaultParagraphFont"/>
    <w:link w:val="CommentText"/>
    <w:uiPriority w:val="99"/>
    <w:semiHidden/>
    <w:qFormat/>
    <w:rsid w:val="00E129A0"/>
    <w:rPr>
      <w:sz w:val="20"/>
      <w:szCs w:val="18"/>
    </w:rPr>
  </w:style>
  <w:style w:type="character" w:customStyle="1" w:styleId="CommentSubjectChar">
    <w:name w:val="Comment Subject Char"/>
    <w:basedOn w:val="CommentTextChar"/>
    <w:link w:val="CommentSubject"/>
    <w:uiPriority w:val="99"/>
    <w:semiHidden/>
    <w:qFormat/>
    <w:rsid w:val="00E129A0"/>
    <w:rPr>
      <w:b/>
      <w:bCs/>
      <w:sz w:val="20"/>
      <w:szCs w:val="18"/>
    </w:rPr>
  </w:style>
  <w:style w:type="paragraph" w:customStyle="1" w:styleId="Heading">
    <w:name w:val="Heading"/>
    <w:basedOn w:val="Normal"/>
    <w:next w:val="BodyText"/>
    <w:qFormat/>
    <w:pPr>
      <w:keepNext/>
      <w:spacing w:before="240" w:after="120"/>
    </w:pPr>
    <w:rPr>
      <w:rFonts w:ascii="Liberation Sans" w:eastAsia="Arial Unicode MS"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spacing w:after="200" w:line="480" w:lineRule="auto"/>
      <w:ind w:left="720"/>
      <w:contextualSpacing/>
      <w:jc w:val="both"/>
    </w:pPr>
    <w:rPr>
      <w:rFonts w:ascii="Times New Roman" w:hAnsi="Times New Roman"/>
    </w:rPr>
  </w:style>
  <w:style w:type="paragraph" w:customStyle="1" w:styleId="TableContents">
    <w:name w:val="Table Contents"/>
    <w:basedOn w:val="Normal"/>
    <w:qFormat/>
    <w:pPr>
      <w:widowControl w:val="0"/>
      <w:suppressLineNumbers/>
    </w:pPr>
  </w:style>
  <w:style w:type="paragraph" w:styleId="NoSpacing">
    <w:name w:val="No Spacing"/>
    <w:qFormat/>
    <w:rPr>
      <w:rFonts w:asciiTheme="minorHAnsi" w:eastAsiaTheme="minorHAnsi" w:hAnsiTheme="minorHAnsi" w:cstheme="minorBidi"/>
      <w:sz w:val="22"/>
      <w:szCs w:val="22"/>
      <w:lang w:eastAsia="en-US" w:bidi="ar-SA"/>
    </w:rPr>
  </w:style>
  <w:style w:type="paragraph" w:styleId="BalloonText">
    <w:name w:val="Balloon Text"/>
    <w:basedOn w:val="Normal"/>
    <w:link w:val="BalloonTextChar"/>
    <w:uiPriority w:val="99"/>
    <w:semiHidden/>
    <w:unhideWhenUsed/>
    <w:qFormat/>
    <w:rsid w:val="009C354B"/>
    <w:rPr>
      <w:rFonts w:ascii="Tahoma" w:hAnsi="Tahoma"/>
      <w:sz w:val="16"/>
      <w:szCs w:val="14"/>
    </w:rPr>
  </w:style>
  <w:style w:type="paragraph" w:styleId="CommentText">
    <w:name w:val="annotation text"/>
    <w:basedOn w:val="Normal"/>
    <w:link w:val="CommentTextChar"/>
    <w:uiPriority w:val="99"/>
    <w:semiHidden/>
    <w:unhideWhenUsed/>
    <w:qFormat/>
    <w:rsid w:val="00E129A0"/>
    <w:rPr>
      <w:sz w:val="20"/>
      <w:szCs w:val="18"/>
    </w:rPr>
  </w:style>
  <w:style w:type="paragraph" w:styleId="CommentSubject">
    <w:name w:val="annotation subject"/>
    <w:basedOn w:val="CommentText"/>
    <w:next w:val="CommentText"/>
    <w:link w:val="CommentSubjectChar"/>
    <w:uiPriority w:val="99"/>
    <w:semiHidden/>
    <w:unhideWhenUsed/>
    <w:qFormat/>
    <w:rsid w:val="00E129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ecowrex.org/sites/default/files/Nigeria" TargetMode="External"/><Relationship Id="rId18" Type="http://schemas.openxmlformats.org/officeDocument/2006/relationships/hyperlink" Target="http://www.worldbank.org/en/country/nigeria/publication/nigeria-overview-of-the-power-sector-and-challenge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energy.gov.ng/wp-content/uploads/2019/07/Nigerian-Electricity-Distribution-Companies-Discos-Challenges-and-Prospects.pdf" TargetMode="External"/><Relationship Id="rId2" Type="http://schemas.openxmlformats.org/officeDocument/2006/relationships/styles" Target="styles.xml"/><Relationship Id="rId16" Type="http://schemas.openxmlformats.org/officeDocument/2006/relationships/hyperlink" Target="http://www.nesgroup.org/wp-content/uploads/2020/09/NESG-Power-Sector-Report-2020.pd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www.neo-messtechnik.com/en/power-quality-explained-chapter5-en-50160-report-standard" TargetMode="External"/><Relationship Id="rId10" Type="http://schemas.openxmlformats.org/officeDocument/2006/relationships/image" Target="media/image5.png"/><Relationship Id="rId19" Type="http://schemas.openxmlformats.org/officeDocument/2006/relationships/hyperlink" Target="http://pubs.sciepub.com/ajeee/7/4/3"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leonardo-energy.org/node/145851"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4291030032</TotalTime>
  <Pages>11</Pages>
  <Words>4035</Words>
  <Characters>23003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dc:description/>
  <cp:lastModifiedBy>Test</cp:lastModifiedBy>
  <cp:revision>46</cp:revision>
  <dcterms:created xsi:type="dcterms:W3CDTF">2012-11-25T23:47:00Z</dcterms:created>
  <dcterms:modified xsi:type="dcterms:W3CDTF">2024-07-13T14:30:00Z</dcterms:modified>
  <dc:language>en-NG</dc:language>
</cp:coreProperties>
</file>