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70C18" w:rsidRPr="00251961" w:rsidRDefault="00370C18" w:rsidP="00251961">
      <w:pPr>
        <w:spacing w:line="360" w:lineRule="auto"/>
        <w:rPr>
          <w:rFonts w:ascii="Times New Roman" w:hAnsi="Times New Roman" w:cs="Times New Roman"/>
          <w:sz w:val="32"/>
          <w:szCs w:val="32"/>
        </w:rPr>
      </w:pPr>
    </w:p>
    <w:p w:rsidR="00370C18" w:rsidRPr="00251961" w:rsidRDefault="00370C18" w:rsidP="00251961">
      <w:pPr>
        <w:spacing w:line="360" w:lineRule="auto"/>
        <w:jc w:val="center"/>
        <w:rPr>
          <w:rFonts w:ascii="Times New Roman" w:hAnsi="Times New Roman" w:cs="Times New Roman"/>
          <w:b/>
          <w:bCs/>
          <w:sz w:val="32"/>
          <w:szCs w:val="32"/>
        </w:rPr>
      </w:pPr>
      <w:r w:rsidRPr="00251961">
        <w:rPr>
          <w:rFonts w:ascii="Times New Roman" w:hAnsi="Times New Roman" w:cs="Times New Roman"/>
          <w:b/>
          <w:bCs/>
          <w:sz w:val="32"/>
          <w:szCs w:val="32"/>
        </w:rPr>
        <w:t>A Paper on Financial Analysis through Non – preforming Assets in Canara Bank , Kaikaluru</w:t>
      </w:r>
    </w:p>
    <w:p w:rsidR="00370C18" w:rsidRPr="00251961" w:rsidRDefault="00A17633" w:rsidP="00251961">
      <w:pPr>
        <w:spacing w:line="360" w:lineRule="auto"/>
        <w:jc w:val="center"/>
        <w:rPr>
          <w:rFonts w:ascii="Times New Roman" w:hAnsi="Times New Roman" w:cs="Times New Roman"/>
          <w:i/>
          <w:iCs/>
          <w:sz w:val="26"/>
          <w:szCs w:val="26"/>
        </w:rPr>
      </w:pPr>
      <w:r w:rsidRPr="00251961">
        <w:rPr>
          <w:rFonts w:ascii="Times New Roman" w:hAnsi="Times New Roman" w:cs="Times New Roman"/>
          <w:i/>
          <w:iCs/>
          <w:sz w:val="24"/>
          <w:szCs w:val="24"/>
        </w:rPr>
        <w:t>Babitha</w:t>
      </w:r>
      <w:r w:rsidR="00370C18" w:rsidRPr="00251961">
        <w:rPr>
          <w:rFonts w:ascii="Times New Roman" w:hAnsi="Times New Roman" w:cs="Times New Roman"/>
          <w:i/>
          <w:iCs/>
          <w:sz w:val="24"/>
          <w:szCs w:val="24"/>
        </w:rPr>
        <w:t xml:space="preserve"> Naga Bindu k ,roll no:22481E0026,</w:t>
      </w:r>
      <w:r w:rsidR="00370C18" w:rsidRPr="00251961">
        <w:rPr>
          <w:rFonts w:ascii="Times New Roman" w:hAnsi="Times New Roman" w:cs="Times New Roman"/>
          <w:i/>
          <w:iCs/>
          <w:sz w:val="26"/>
          <w:szCs w:val="26"/>
        </w:rPr>
        <w:t xml:space="preserve"> </w:t>
      </w:r>
      <w:r w:rsidRPr="00251961">
        <w:rPr>
          <w:rFonts w:ascii="Times New Roman" w:hAnsi="Times New Roman" w:cs="Times New Roman"/>
          <w:i/>
          <w:iCs/>
          <w:sz w:val="26"/>
          <w:szCs w:val="26"/>
        </w:rPr>
        <w:t>Department</w:t>
      </w:r>
      <w:r w:rsidR="00370C18" w:rsidRPr="00251961">
        <w:rPr>
          <w:rFonts w:ascii="Times New Roman" w:hAnsi="Times New Roman" w:cs="Times New Roman"/>
          <w:i/>
          <w:iCs/>
          <w:sz w:val="26"/>
          <w:szCs w:val="26"/>
        </w:rPr>
        <w:t xml:space="preserve"> of Business and Management Studies, Seshadri Rao Gudlavalleru Engineering College</w:t>
      </w:r>
    </w:p>
    <w:p w:rsidR="00A17633" w:rsidRPr="00251961" w:rsidRDefault="00A17633" w:rsidP="00251961">
      <w:pPr>
        <w:spacing w:line="360" w:lineRule="auto"/>
        <w:jc w:val="both"/>
        <w:rPr>
          <w:rFonts w:ascii="Times New Roman" w:hAnsi="Times New Roman" w:cs="Times New Roman"/>
          <w:b/>
          <w:bCs/>
          <w:sz w:val="32"/>
          <w:szCs w:val="32"/>
        </w:rPr>
      </w:pPr>
      <w:r w:rsidRPr="00251961">
        <w:rPr>
          <w:rFonts w:ascii="Times New Roman" w:hAnsi="Times New Roman" w:cs="Times New Roman"/>
          <w:b/>
          <w:bCs/>
          <w:sz w:val="32"/>
          <w:szCs w:val="32"/>
        </w:rPr>
        <w:t>Abstract:</w:t>
      </w:r>
    </w:p>
    <w:p w:rsidR="00A17633" w:rsidRPr="00251961" w:rsidRDefault="00A17633" w:rsidP="00251961">
      <w:pPr>
        <w:spacing w:line="360" w:lineRule="auto"/>
        <w:jc w:val="both"/>
        <w:rPr>
          <w:rFonts w:ascii="Times New Roman" w:hAnsi="Times New Roman" w:cs="Times New Roman"/>
          <w:sz w:val="24"/>
          <w:szCs w:val="24"/>
        </w:rPr>
      </w:pPr>
      <w:r w:rsidRPr="00251961">
        <w:rPr>
          <w:rFonts w:ascii="Times New Roman" w:hAnsi="Times New Roman" w:cs="Times New Roman"/>
          <w:sz w:val="24"/>
          <w:szCs w:val="24"/>
        </w:rPr>
        <w:t>Non-performing assets (NPA‘s) are loans that are classified as non-performing when interest and principal payments have not been made for a specified period. The entire loan portfolio is to be classified into four parts: standard, substandard, doubtful, and loss assets. Standard assets are performing assets, whereas the remaining three are called non-performing assets (NPA‘s). This study focus on the performance of the Canara Bank Ltd. for the period 2018–19 to 2022–23. It also throws light on Gross NPA and Net NPA of Canara Bank for the past five years. The study found that Gross NPA as well as Net NPA increased continuously, and in the years 2019- 20, there was a boom in NPAs. As a result of this, it adversely affected the profits of the Canara Bank Ltd., and on the other hand, it also affects the bank's reputation, which means banks may lose public confidence, etc</w:t>
      </w:r>
    </w:p>
    <w:p w:rsidR="00A17633" w:rsidRPr="00251961" w:rsidRDefault="00A17633" w:rsidP="00251961">
      <w:pPr>
        <w:spacing w:line="360" w:lineRule="auto"/>
        <w:jc w:val="both"/>
        <w:rPr>
          <w:rFonts w:ascii="Times New Roman" w:hAnsi="Times New Roman" w:cs="Times New Roman"/>
          <w:sz w:val="24"/>
          <w:szCs w:val="24"/>
        </w:rPr>
      </w:pPr>
      <w:r w:rsidRPr="00251961">
        <w:rPr>
          <w:rFonts w:ascii="Times New Roman" w:hAnsi="Times New Roman" w:cs="Times New Roman"/>
          <w:sz w:val="24"/>
          <w:szCs w:val="24"/>
        </w:rPr>
        <w:t xml:space="preserve">. </w:t>
      </w:r>
      <w:r w:rsidRPr="00251961">
        <w:rPr>
          <w:rFonts w:ascii="Times New Roman" w:hAnsi="Times New Roman" w:cs="Times New Roman"/>
          <w:b/>
          <w:bCs/>
          <w:sz w:val="24"/>
          <w:szCs w:val="24"/>
        </w:rPr>
        <w:t>Keywords</w:t>
      </w:r>
      <w:r w:rsidRPr="00251961">
        <w:rPr>
          <w:rFonts w:ascii="Times New Roman" w:hAnsi="Times New Roman" w:cs="Times New Roman"/>
          <w:sz w:val="24"/>
          <w:szCs w:val="24"/>
        </w:rPr>
        <w:t>: Co-operative bank, Gross NPA, Net NPA, Non-Performing Assets</w:t>
      </w:r>
    </w:p>
    <w:p w:rsidR="00A17633" w:rsidRPr="00251961" w:rsidRDefault="00A17633" w:rsidP="00251961">
      <w:pPr>
        <w:spacing w:line="360" w:lineRule="auto"/>
        <w:jc w:val="both"/>
        <w:rPr>
          <w:rFonts w:ascii="Times New Roman" w:hAnsi="Times New Roman" w:cs="Times New Roman"/>
          <w:sz w:val="24"/>
          <w:szCs w:val="24"/>
        </w:rPr>
      </w:pPr>
    </w:p>
    <w:p w:rsidR="00A17633" w:rsidRPr="00251961" w:rsidRDefault="00A17633" w:rsidP="00251961">
      <w:pPr>
        <w:spacing w:line="360" w:lineRule="auto"/>
        <w:jc w:val="both"/>
        <w:rPr>
          <w:rFonts w:ascii="Times New Roman" w:hAnsi="Times New Roman" w:cs="Times New Roman"/>
          <w:b/>
          <w:bCs/>
          <w:sz w:val="32"/>
          <w:szCs w:val="32"/>
        </w:rPr>
      </w:pPr>
      <w:r w:rsidRPr="00251961">
        <w:rPr>
          <w:rFonts w:ascii="Times New Roman" w:hAnsi="Times New Roman" w:cs="Times New Roman"/>
          <w:b/>
          <w:bCs/>
          <w:sz w:val="32"/>
          <w:szCs w:val="32"/>
        </w:rPr>
        <w:t>Introduction:</w:t>
      </w:r>
    </w:p>
    <w:p w:rsidR="00DC5341" w:rsidRPr="00251961" w:rsidRDefault="00DC5341" w:rsidP="00251961">
      <w:pPr>
        <w:spacing w:line="360" w:lineRule="auto"/>
        <w:jc w:val="both"/>
        <w:rPr>
          <w:rFonts w:ascii="Times New Roman" w:hAnsi="Times New Roman" w:cs="Times New Roman"/>
          <w:sz w:val="24"/>
          <w:szCs w:val="24"/>
        </w:rPr>
      </w:pPr>
      <w:r w:rsidRPr="00251961">
        <w:rPr>
          <w:rFonts w:ascii="Times New Roman" w:hAnsi="Times New Roman" w:cs="Times New Roman"/>
          <w:sz w:val="24"/>
          <w:szCs w:val="24"/>
        </w:rPr>
        <w:t>A non-performing asset (NPA) is a classification used by financial institutions for loans and advances on which the principal is past due and on which no interest payments have been    made for a period of time.</w:t>
      </w:r>
    </w:p>
    <w:p w:rsidR="00DC5341" w:rsidRPr="00251961" w:rsidRDefault="00DC5341" w:rsidP="00251961">
      <w:pPr>
        <w:spacing w:line="360" w:lineRule="auto"/>
        <w:jc w:val="both"/>
        <w:rPr>
          <w:rFonts w:ascii="Times New Roman" w:hAnsi="Times New Roman" w:cs="Times New Roman"/>
          <w:sz w:val="24"/>
          <w:szCs w:val="24"/>
        </w:rPr>
      </w:pPr>
      <w:r w:rsidRPr="00251961">
        <w:rPr>
          <w:rFonts w:ascii="Times New Roman" w:hAnsi="Times New Roman" w:cs="Times New Roman"/>
          <w:sz w:val="24"/>
          <w:szCs w:val="24"/>
        </w:rPr>
        <w:t>In general, loans become NPAs when they are outstanding for 90 days or more, though some lenders use a shorter window in considering a loan or advance past due.</w:t>
      </w:r>
    </w:p>
    <w:p w:rsidR="00DC5341" w:rsidRPr="00251961" w:rsidRDefault="00DC5341" w:rsidP="00251961">
      <w:pPr>
        <w:spacing w:line="360" w:lineRule="auto"/>
        <w:jc w:val="both"/>
        <w:rPr>
          <w:rFonts w:ascii="Times New Roman" w:hAnsi="Times New Roman" w:cs="Times New Roman"/>
          <w:sz w:val="24"/>
          <w:szCs w:val="24"/>
        </w:rPr>
      </w:pPr>
      <w:r w:rsidRPr="00251961">
        <w:rPr>
          <w:rFonts w:ascii="Times New Roman" w:hAnsi="Times New Roman" w:cs="Times New Roman"/>
          <w:sz w:val="24"/>
          <w:szCs w:val="24"/>
        </w:rPr>
        <w:t>NPA expands to non performing assets. Reserve Bank of India defines Non Performing Assets in India as any advance or loan that is overdue for more than 90 days.</w:t>
      </w:r>
    </w:p>
    <w:p w:rsidR="00DC5341" w:rsidRPr="00251961" w:rsidRDefault="00DC5341" w:rsidP="00251961">
      <w:pPr>
        <w:pStyle w:val="BodyText"/>
        <w:spacing w:before="73" w:line="360" w:lineRule="auto"/>
        <w:ind w:right="396"/>
        <w:jc w:val="both"/>
      </w:pPr>
      <w:r w:rsidRPr="00251961">
        <w:rPr>
          <w:color w:val="212121"/>
        </w:rPr>
        <w:t>The objectives were opening of branches, extending network, development of rural areas,</w:t>
      </w:r>
      <w:r w:rsidRPr="00251961">
        <w:rPr>
          <w:color w:val="212121"/>
          <w:spacing w:val="1"/>
        </w:rPr>
        <w:t xml:space="preserve"> </w:t>
      </w:r>
      <w:r w:rsidRPr="00251961">
        <w:rPr>
          <w:color w:val="212121"/>
        </w:rPr>
        <w:lastRenderedPageBreak/>
        <w:t>implementation of govt. sponsored schemes and increase in employment generation. Banks</w:t>
      </w:r>
      <w:r w:rsidRPr="00251961">
        <w:rPr>
          <w:color w:val="212121"/>
          <w:spacing w:val="1"/>
        </w:rPr>
        <w:t xml:space="preserve"> </w:t>
      </w:r>
      <w:r w:rsidRPr="00251961">
        <w:rPr>
          <w:color w:val="212121"/>
        </w:rPr>
        <w:t>are advised to provide loans to industry and agriculture along with personal &amp; housing loans</w:t>
      </w:r>
      <w:r w:rsidRPr="00251961">
        <w:rPr>
          <w:color w:val="212121"/>
          <w:spacing w:val="1"/>
        </w:rPr>
        <w:t xml:space="preserve"> </w:t>
      </w:r>
      <w:r w:rsidRPr="00251961">
        <w:rPr>
          <w:color w:val="212121"/>
        </w:rPr>
        <w:t>and</w:t>
      </w:r>
      <w:r w:rsidRPr="00251961">
        <w:rPr>
          <w:color w:val="212121"/>
          <w:spacing w:val="1"/>
        </w:rPr>
        <w:t xml:space="preserve"> </w:t>
      </w:r>
      <w:r w:rsidRPr="00251961">
        <w:rPr>
          <w:color w:val="212121"/>
        </w:rPr>
        <w:t>loans</w:t>
      </w:r>
      <w:r w:rsidRPr="00251961">
        <w:rPr>
          <w:color w:val="212121"/>
          <w:spacing w:val="1"/>
        </w:rPr>
        <w:t xml:space="preserve"> </w:t>
      </w:r>
      <w:r w:rsidRPr="00251961">
        <w:rPr>
          <w:color w:val="212121"/>
        </w:rPr>
        <w:t>to</w:t>
      </w:r>
      <w:r w:rsidRPr="00251961">
        <w:rPr>
          <w:color w:val="212121"/>
          <w:spacing w:val="1"/>
        </w:rPr>
        <w:t xml:space="preserve"> </w:t>
      </w:r>
      <w:r w:rsidRPr="00251961">
        <w:rPr>
          <w:color w:val="212121"/>
        </w:rPr>
        <w:t>weaker</w:t>
      </w:r>
      <w:r w:rsidRPr="00251961">
        <w:rPr>
          <w:color w:val="212121"/>
          <w:spacing w:val="1"/>
        </w:rPr>
        <w:t xml:space="preserve"> </w:t>
      </w:r>
      <w:r w:rsidRPr="00251961">
        <w:rPr>
          <w:color w:val="212121"/>
        </w:rPr>
        <w:t>sections</w:t>
      </w:r>
      <w:r w:rsidRPr="00251961">
        <w:rPr>
          <w:color w:val="212121"/>
          <w:spacing w:val="1"/>
        </w:rPr>
        <w:t xml:space="preserve"> </w:t>
      </w:r>
      <w:r w:rsidRPr="00251961">
        <w:rPr>
          <w:color w:val="212121"/>
        </w:rPr>
        <w:t>of the society.</w:t>
      </w:r>
      <w:r w:rsidRPr="00251961">
        <w:rPr>
          <w:color w:val="212121"/>
          <w:spacing w:val="1"/>
        </w:rPr>
        <w:t xml:space="preserve"> </w:t>
      </w:r>
      <w:r w:rsidRPr="00251961">
        <w:rPr>
          <w:color w:val="212121"/>
        </w:rPr>
        <w:t>After</w:t>
      </w:r>
      <w:r w:rsidRPr="00251961">
        <w:rPr>
          <w:color w:val="212121"/>
          <w:spacing w:val="1"/>
        </w:rPr>
        <w:t xml:space="preserve"> </w:t>
      </w:r>
      <w:r w:rsidRPr="00251961">
        <w:rPr>
          <w:color w:val="212121"/>
        </w:rPr>
        <w:t>implementation</w:t>
      </w:r>
      <w:r w:rsidRPr="00251961">
        <w:rPr>
          <w:color w:val="212121"/>
          <w:spacing w:val="1"/>
        </w:rPr>
        <w:t xml:space="preserve"> </w:t>
      </w:r>
      <w:r w:rsidRPr="00251961">
        <w:rPr>
          <w:color w:val="212121"/>
        </w:rPr>
        <w:t>of</w:t>
      </w:r>
      <w:r w:rsidRPr="00251961">
        <w:rPr>
          <w:color w:val="212121"/>
          <w:spacing w:val="1"/>
        </w:rPr>
        <w:t xml:space="preserve"> </w:t>
      </w:r>
      <w:r w:rsidRPr="00251961">
        <w:rPr>
          <w:color w:val="212121"/>
        </w:rPr>
        <w:t>the first</w:t>
      </w:r>
      <w:r w:rsidRPr="00251961">
        <w:rPr>
          <w:color w:val="212121"/>
          <w:spacing w:val="1"/>
        </w:rPr>
        <w:t xml:space="preserve"> </w:t>
      </w:r>
      <w:r w:rsidRPr="00251961">
        <w:rPr>
          <w:color w:val="212121"/>
        </w:rPr>
        <w:t>phase of</w:t>
      </w:r>
      <w:r w:rsidRPr="00251961">
        <w:rPr>
          <w:color w:val="212121"/>
          <w:spacing w:val="1"/>
        </w:rPr>
        <w:t xml:space="preserve"> </w:t>
      </w:r>
      <w:r w:rsidRPr="00251961">
        <w:rPr>
          <w:color w:val="212121"/>
        </w:rPr>
        <w:t>economic liberalization in 1991, banks became more cautious in lending as the concept of</w:t>
      </w:r>
      <w:r w:rsidRPr="00251961">
        <w:rPr>
          <w:color w:val="212121"/>
          <w:spacing w:val="1"/>
        </w:rPr>
        <w:t xml:space="preserve"> </w:t>
      </w:r>
      <w:r w:rsidRPr="00251961">
        <w:rPr>
          <w:color w:val="212121"/>
        </w:rPr>
        <w:t>income recognition changed fromaccrualbasis to actual recovery basis. It means if interest</w:t>
      </w:r>
      <w:r w:rsidRPr="00251961">
        <w:rPr>
          <w:color w:val="212121"/>
          <w:spacing w:val="1"/>
        </w:rPr>
        <w:t xml:space="preserve"> </w:t>
      </w:r>
      <w:r w:rsidRPr="00251961">
        <w:rPr>
          <w:color w:val="212121"/>
        </w:rPr>
        <w:t>really</w:t>
      </w:r>
      <w:r w:rsidRPr="00251961">
        <w:rPr>
          <w:color w:val="212121"/>
          <w:spacing w:val="-6"/>
        </w:rPr>
        <w:t xml:space="preserve"> </w:t>
      </w:r>
      <w:r w:rsidRPr="00251961">
        <w:rPr>
          <w:color w:val="212121"/>
        </w:rPr>
        <w:t>recovered then only</w:t>
      </w:r>
      <w:r w:rsidRPr="00251961">
        <w:rPr>
          <w:color w:val="212121"/>
          <w:spacing w:val="-1"/>
        </w:rPr>
        <w:t xml:space="preserve"> </w:t>
      </w:r>
      <w:r w:rsidRPr="00251961">
        <w:rPr>
          <w:color w:val="212121"/>
        </w:rPr>
        <w:t>it</w:t>
      </w:r>
      <w:r w:rsidRPr="00251961">
        <w:rPr>
          <w:color w:val="212121"/>
          <w:spacing w:val="2"/>
        </w:rPr>
        <w:t xml:space="preserve"> </w:t>
      </w:r>
      <w:r w:rsidRPr="00251961">
        <w:rPr>
          <w:color w:val="212121"/>
        </w:rPr>
        <w:t>goes to income.</w:t>
      </w:r>
    </w:p>
    <w:p w:rsidR="00A17633" w:rsidRPr="00251961" w:rsidRDefault="00DC5341" w:rsidP="00251961">
      <w:pPr>
        <w:spacing w:line="360" w:lineRule="auto"/>
        <w:jc w:val="both"/>
        <w:rPr>
          <w:rFonts w:ascii="Times New Roman" w:hAnsi="Times New Roman" w:cs="Times New Roman"/>
          <w:color w:val="212121"/>
          <w:sz w:val="24"/>
          <w:szCs w:val="24"/>
        </w:rPr>
      </w:pPr>
      <w:r w:rsidRPr="00251961">
        <w:rPr>
          <w:rFonts w:ascii="Times New Roman" w:hAnsi="Times New Roman" w:cs="Times New Roman"/>
          <w:color w:val="212121"/>
          <w:sz w:val="24"/>
          <w:szCs w:val="24"/>
        </w:rPr>
        <w:t>Nowadays</w:t>
      </w:r>
      <w:r w:rsidRPr="00251961">
        <w:rPr>
          <w:rFonts w:ascii="Times New Roman" w:hAnsi="Times New Roman" w:cs="Times New Roman"/>
          <w:color w:val="212121"/>
          <w:spacing w:val="13"/>
          <w:sz w:val="24"/>
          <w:szCs w:val="24"/>
        </w:rPr>
        <w:t xml:space="preserve"> </w:t>
      </w:r>
      <w:r w:rsidRPr="00251961">
        <w:rPr>
          <w:rFonts w:ascii="Times New Roman" w:hAnsi="Times New Roman" w:cs="Times New Roman"/>
          <w:color w:val="212121"/>
          <w:sz w:val="24"/>
          <w:szCs w:val="24"/>
        </w:rPr>
        <w:t>the</w:t>
      </w:r>
      <w:r w:rsidRPr="00251961">
        <w:rPr>
          <w:rFonts w:ascii="Times New Roman" w:hAnsi="Times New Roman" w:cs="Times New Roman"/>
          <w:color w:val="212121"/>
          <w:spacing w:val="13"/>
          <w:sz w:val="24"/>
          <w:szCs w:val="24"/>
        </w:rPr>
        <w:t xml:space="preserve"> </w:t>
      </w:r>
      <w:r w:rsidRPr="00251961">
        <w:rPr>
          <w:rFonts w:ascii="Times New Roman" w:hAnsi="Times New Roman" w:cs="Times New Roman"/>
          <w:color w:val="212121"/>
          <w:sz w:val="24"/>
          <w:szCs w:val="24"/>
        </w:rPr>
        <w:t>late</w:t>
      </w:r>
      <w:r w:rsidRPr="00251961">
        <w:rPr>
          <w:rFonts w:ascii="Times New Roman" w:hAnsi="Times New Roman" w:cs="Times New Roman"/>
          <w:color w:val="212121"/>
          <w:spacing w:val="12"/>
          <w:sz w:val="24"/>
          <w:szCs w:val="24"/>
        </w:rPr>
        <w:t xml:space="preserve"> </w:t>
      </w:r>
      <w:r w:rsidRPr="00251961">
        <w:rPr>
          <w:rFonts w:ascii="Times New Roman" w:hAnsi="Times New Roman" w:cs="Times New Roman"/>
          <w:color w:val="212121"/>
          <w:sz w:val="24"/>
          <w:szCs w:val="24"/>
        </w:rPr>
        <w:t>payment</w:t>
      </w:r>
      <w:r w:rsidRPr="00251961">
        <w:rPr>
          <w:rFonts w:ascii="Times New Roman" w:hAnsi="Times New Roman" w:cs="Times New Roman"/>
          <w:color w:val="212121"/>
          <w:spacing w:val="13"/>
          <w:sz w:val="24"/>
          <w:szCs w:val="24"/>
        </w:rPr>
        <w:t xml:space="preserve"> </w:t>
      </w:r>
      <w:r w:rsidRPr="00251961">
        <w:rPr>
          <w:rFonts w:ascii="Times New Roman" w:hAnsi="Times New Roman" w:cs="Times New Roman"/>
          <w:color w:val="212121"/>
          <w:sz w:val="24"/>
          <w:szCs w:val="24"/>
        </w:rPr>
        <w:t>of</w:t>
      </w:r>
      <w:r w:rsidRPr="00251961">
        <w:rPr>
          <w:rFonts w:ascii="Times New Roman" w:hAnsi="Times New Roman" w:cs="Times New Roman"/>
          <w:color w:val="212121"/>
          <w:spacing w:val="13"/>
          <w:sz w:val="24"/>
          <w:szCs w:val="24"/>
        </w:rPr>
        <w:t xml:space="preserve"> </w:t>
      </w:r>
      <w:r w:rsidRPr="00251961">
        <w:rPr>
          <w:rFonts w:ascii="Times New Roman" w:hAnsi="Times New Roman" w:cs="Times New Roman"/>
          <w:color w:val="212121"/>
          <w:sz w:val="24"/>
          <w:szCs w:val="24"/>
        </w:rPr>
        <w:t>interest</w:t>
      </w:r>
      <w:r w:rsidRPr="00251961">
        <w:rPr>
          <w:rFonts w:ascii="Times New Roman" w:hAnsi="Times New Roman" w:cs="Times New Roman"/>
          <w:color w:val="212121"/>
          <w:spacing w:val="13"/>
          <w:sz w:val="24"/>
          <w:szCs w:val="24"/>
        </w:rPr>
        <w:t xml:space="preserve"> </w:t>
      </w:r>
      <w:r w:rsidRPr="00251961">
        <w:rPr>
          <w:rFonts w:ascii="Times New Roman" w:hAnsi="Times New Roman" w:cs="Times New Roman"/>
          <w:color w:val="212121"/>
          <w:sz w:val="24"/>
          <w:szCs w:val="24"/>
        </w:rPr>
        <w:t>and</w:t>
      </w:r>
      <w:r w:rsidRPr="00251961">
        <w:rPr>
          <w:rFonts w:ascii="Times New Roman" w:hAnsi="Times New Roman" w:cs="Times New Roman"/>
          <w:color w:val="212121"/>
          <w:spacing w:val="17"/>
          <w:sz w:val="24"/>
          <w:szCs w:val="24"/>
        </w:rPr>
        <w:t xml:space="preserve"> </w:t>
      </w:r>
      <w:r w:rsidRPr="00251961">
        <w:rPr>
          <w:rFonts w:ascii="Times New Roman" w:hAnsi="Times New Roman" w:cs="Times New Roman"/>
          <w:color w:val="212121"/>
          <w:sz w:val="24"/>
          <w:szCs w:val="24"/>
        </w:rPr>
        <w:t>installment</w:t>
      </w:r>
      <w:r w:rsidRPr="00251961">
        <w:rPr>
          <w:rFonts w:ascii="Times New Roman" w:hAnsi="Times New Roman" w:cs="Times New Roman"/>
          <w:color w:val="212121"/>
          <w:spacing w:val="13"/>
          <w:sz w:val="24"/>
          <w:szCs w:val="24"/>
        </w:rPr>
        <w:t xml:space="preserve"> </w:t>
      </w:r>
      <w:r w:rsidRPr="00251961">
        <w:rPr>
          <w:rFonts w:ascii="Times New Roman" w:hAnsi="Times New Roman" w:cs="Times New Roman"/>
          <w:color w:val="212121"/>
          <w:sz w:val="24"/>
          <w:szCs w:val="24"/>
        </w:rPr>
        <w:t>of</w:t>
      </w:r>
      <w:r w:rsidRPr="00251961">
        <w:rPr>
          <w:rFonts w:ascii="Times New Roman" w:hAnsi="Times New Roman" w:cs="Times New Roman"/>
          <w:color w:val="212121"/>
          <w:spacing w:val="14"/>
          <w:sz w:val="24"/>
          <w:szCs w:val="24"/>
        </w:rPr>
        <w:t xml:space="preserve"> </w:t>
      </w:r>
      <w:r w:rsidRPr="00251961">
        <w:rPr>
          <w:rFonts w:ascii="Times New Roman" w:hAnsi="Times New Roman" w:cs="Times New Roman"/>
          <w:color w:val="212121"/>
          <w:sz w:val="24"/>
          <w:szCs w:val="24"/>
        </w:rPr>
        <w:t>loans</w:t>
      </w:r>
      <w:r w:rsidRPr="00251961">
        <w:rPr>
          <w:rFonts w:ascii="Times New Roman" w:hAnsi="Times New Roman" w:cs="Times New Roman"/>
          <w:color w:val="212121"/>
          <w:spacing w:val="13"/>
          <w:sz w:val="24"/>
          <w:szCs w:val="24"/>
        </w:rPr>
        <w:t xml:space="preserve"> </w:t>
      </w:r>
      <w:r w:rsidRPr="00251961">
        <w:rPr>
          <w:rFonts w:ascii="Times New Roman" w:hAnsi="Times New Roman" w:cs="Times New Roman"/>
          <w:color w:val="212121"/>
          <w:sz w:val="24"/>
          <w:szCs w:val="24"/>
        </w:rPr>
        <w:t>Remain</w:t>
      </w:r>
      <w:r w:rsidRPr="00251961">
        <w:rPr>
          <w:rFonts w:ascii="Times New Roman" w:hAnsi="Times New Roman" w:cs="Times New Roman"/>
          <w:color w:val="212121"/>
          <w:spacing w:val="14"/>
          <w:sz w:val="24"/>
          <w:szCs w:val="24"/>
        </w:rPr>
        <w:t xml:space="preserve"> </w:t>
      </w:r>
      <w:r w:rsidRPr="00251961">
        <w:rPr>
          <w:rFonts w:ascii="Times New Roman" w:hAnsi="Times New Roman" w:cs="Times New Roman"/>
          <w:color w:val="212121"/>
          <w:sz w:val="24"/>
          <w:szCs w:val="24"/>
        </w:rPr>
        <w:t>overdue</w:t>
      </w:r>
      <w:r w:rsidRPr="00251961">
        <w:rPr>
          <w:rFonts w:ascii="Times New Roman" w:hAnsi="Times New Roman" w:cs="Times New Roman"/>
          <w:color w:val="212121"/>
          <w:spacing w:val="12"/>
          <w:sz w:val="24"/>
          <w:szCs w:val="24"/>
        </w:rPr>
        <w:t xml:space="preserve"> </w:t>
      </w:r>
      <w:r w:rsidRPr="00251961">
        <w:rPr>
          <w:rFonts w:ascii="Times New Roman" w:hAnsi="Times New Roman" w:cs="Times New Roman"/>
          <w:color w:val="212121"/>
          <w:sz w:val="24"/>
          <w:szCs w:val="24"/>
        </w:rPr>
        <w:t>for</w:t>
      </w:r>
      <w:r w:rsidRPr="00251961">
        <w:rPr>
          <w:rFonts w:ascii="Times New Roman" w:hAnsi="Times New Roman" w:cs="Times New Roman"/>
          <w:color w:val="212121"/>
          <w:spacing w:val="13"/>
          <w:sz w:val="24"/>
          <w:szCs w:val="24"/>
        </w:rPr>
        <w:t xml:space="preserve"> </w:t>
      </w:r>
      <w:r w:rsidRPr="00251961">
        <w:rPr>
          <w:rFonts w:ascii="Times New Roman" w:hAnsi="Times New Roman" w:cs="Times New Roman"/>
          <w:color w:val="212121"/>
          <w:sz w:val="24"/>
          <w:szCs w:val="24"/>
        </w:rPr>
        <w:t>90</w:t>
      </w:r>
      <w:r w:rsidRPr="00251961">
        <w:rPr>
          <w:rFonts w:ascii="Times New Roman" w:hAnsi="Times New Roman" w:cs="Times New Roman"/>
          <w:color w:val="212121"/>
          <w:spacing w:val="13"/>
          <w:sz w:val="24"/>
          <w:szCs w:val="24"/>
        </w:rPr>
        <w:t xml:space="preserve"> </w:t>
      </w:r>
      <w:r w:rsidRPr="00251961">
        <w:rPr>
          <w:rFonts w:ascii="Times New Roman" w:hAnsi="Times New Roman" w:cs="Times New Roman"/>
          <w:color w:val="212121"/>
          <w:sz w:val="24"/>
          <w:szCs w:val="24"/>
        </w:rPr>
        <w:t>days</w:t>
      </w:r>
      <w:r w:rsidRPr="00251961">
        <w:rPr>
          <w:rFonts w:ascii="Times New Roman" w:hAnsi="Times New Roman" w:cs="Times New Roman"/>
          <w:color w:val="212121"/>
          <w:spacing w:val="-57"/>
          <w:sz w:val="24"/>
          <w:szCs w:val="24"/>
        </w:rPr>
        <w:t xml:space="preserve"> </w:t>
      </w:r>
      <w:r w:rsidRPr="00251961">
        <w:rPr>
          <w:rFonts w:ascii="Times New Roman" w:hAnsi="Times New Roman" w:cs="Times New Roman"/>
          <w:color w:val="212121"/>
          <w:sz w:val="24"/>
          <w:szCs w:val="24"/>
        </w:rPr>
        <w:t>or more then loan becomes NPA (Non- performing Assets) in bank books which are called</w:t>
      </w:r>
      <w:r w:rsidRPr="00251961">
        <w:rPr>
          <w:rFonts w:ascii="Times New Roman" w:hAnsi="Times New Roman" w:cs="Times New Roman"/>
          <w:color w:val="212121"/>
          <w:spacing w:val="1"/>
          <w:sz w:val="24"/>
          <w:szCs w:val="24"/>
        </w:rPr>
        <w:t xml:space="preserve"> </w:t>
      </w:r>
      <w:r w:rsidRPr="00251961">
        <w:rPr>
          <w:rFonts w:ascii="Times New Roman" w:hAnsi="Times New Roman" w:cs="Times New Roman"/>
          <w:color w:val="212121"/>
          <w:sz w:val="24"/>
          <w:szCs w:val="24"/>
        </w:rPr>
        <w:t>bad assets. After the loan becomes NPA, it‘s transferred to a separate category,</w:t>
      </w:r>
      <w:r w:rsidR="0033007E" w:rsidRPr="00251961">
        <w:rPr>
          <w:rFonts w:ascii="Times New Roman" w:hAnsi="Times New Roman" w:cs="Times New Roman"/>
          <w:color w:val="212121"/>
        </w:rPr>
        <w:t xml:space="preserve"> norms for</w:t>
      </w:r>
      <w:r w:rsidR="0033007E" w:rsidRPr="00251961">
        <w:rPr>
          <w:rFonts w:ascii="Times New Roman" w:hAnsi="Times New Roman" w:cs="Times New Roman"/>
          <w:color w:val="212121"/>
          <w:spacing w:val="1"/>
        </w:rPr>
        <w:t xml:space="preserve"> </w:t>
      </w:r>
      <w:r w:rsidR="0033007E" w:rsidRPr="00251961">
        <w:rPr>
          <w:rFonts w:ascii="Times New Roman" w:hAnsi="Times New Roman" w:cs="Times New Roman"/>
          <w:color w:val="212121"/>
        </w:rPr>
        <w:t>classification</w:t>
      </w:r>
      <w:r w:rsidR="0033007E" w:rsidRPr="00251961">
        <w:rPr>
          <w:rFonts w:ascii="Times New Roman" w:hAnsi="Times New Roman" w:cs="Times New Roman"/>
          <w:color w:val="212121"/>
          <w:spacing w:val="1"/>
        </w:rPr>
        <w:t xml:space="preserve"> </w:t>
      </w:r>
      <w:r w:rsidR="0033007E" w:rsidRPr="00251961">
        <w:rPr>
          <w:rFonts w:ascii="Times New Roman" w:hAnsi="Times New Roman" w:cs="Times New Roman"/>
          <w:color w:val="212121"/>
        </w:rPr>
        <w:t>of</w:t>
      </w:r>
      <w:r w:rsidR="0033007E" w:rsidRPr="00251961">
        <w:rPr>
          <w:rFonts w:ascii="Times New Roman" w:hAnsi="Times New Roman" w:cs="Times New Roman"/>
          <w:color w:val="212121"/>
          <w:spacing w:val="1"/>
        </w:rPr>
        <w:t xml:space="preserve"> </w:t>
      </w:r>
      <w:r w:rsidR="0033007E" w:rsidRPr="00251961">
        <w:rPr>
          <w:rFonts w:ascii="Times New Roman" w:hAnsi="Times New Roman" w:cs="Times New Roman"/>
          <w:color w:val="212121"/>
        </w:rPr>
        <w:t>NPA,</w:t>
      </w:r>
      <w:r w:rsidR="0033007E" w:rsidRPr="00251961">
        <w:rPr>
          <w:rFonts w:ascii="Times New Roman" w:hAnsi="Times New Roman" w:cs="Times New Roman"/>
          <w:color w:val="212121"/>
          <w:spacing w:val="1"/>
        </w:rPr>
        <w:t xml:space="preserve"> </w:t>
      </w:r>
      <w:r w:rsidR="0033007E" w:rsidRPr="00251961">
        <w:rPr>
          <w:rFonts w:ascii="Times New Roman" w:hAnsi="Times New Roman" w:cs="Times New Roman"/>
          <w:color w:val="212121"/>
        </w:rPr>
        <w:t>Income</w:t>
      </w:r>
      <w:r w:rsidR="0033007E" w:rsidRPr="00251961">
        <w:rPr>
          <w:rFonts w:ascii="Times New Roman" w:hAnsi="Times New Roman" w:cs="Times New Roman"/>
          <w:color w:val="212121"/>
          <w:spacing w:val="1"/>
        </w:rPr>
        <w:t xml:space="preserve"> </w:t>
      </w:r>
      <w:r w:rsidR="0033007E" w:rsidRPr="00251961">
        <w:rPr>
          <w:rFonts w:ascii="Times New Roman" w:hAnsi="Times New Roman" w:cs="Times New Roman"/>
          <w:color w:val="212121"/>
        </w:rPr>
        <w:t>recognition,</w:t>
      </w:r>
      <w:r w:rsidR="0033007E" w:rsidRPr="00251961">
        <w:rPr>
          <w:rFonts w:ascii="Times New Roman" w:hAnsi="Times New Roman" w:cs="Times New Roman"/>
          <w:color w:val="212121"/>
          <w:spacing w:val="1"/>
        </w:rPr>
        <w:t xml:space="preserve"> </w:t>
      </w:r>
      <w:r w:rsidR="0033007E" w:rsidRPr="00251961">
        <w:rPr>
          <w:rFonts w:ascii="Times New Roman" w:hAnsi="Times New Roman" w:cs="Times New Roman"/>
          <w:color w:val="212121"/>
        </w:rPr>
        <w:t>Asset</w:t>
      </w:r>
      <w:r w:rsidR="0033007E" w:rsidRPr="00251961">
        <w:rPr>
          <w:rFonts w:ascii="Times New Roman" w:hAnsi="Times New Roman" w:cs="Times New Roman"/>
          <w:color w:val="212121"/>
          <w:spacing w:val="1"/>
        </w:rPr>
        <w:t xml:space="preserve"> </w:t>
      </w:r>
      <w:r w:rsidR="0033007E" w:rsidRPr="00251961">
        <w:rPr>
          <w:rFonts w:ascii="Times New Roman" w:hAnsi="Times New Roman" w:cs="Times New Roman"/>
          <w:color w:val="212121"/>
        </w:rPr>
        <w:t>classification,</w:t>
      </w:r>
      <w:r w:rsidR="0033007E" w:rsidRPr="00251961">
        <w:rPr>
          <w:rFonts w:ascii="Times New Roman" w:hAnsi="Times New Roman" w:cs="Times New Roman"/>
          <w:color w:val="212121"/>
          <w:spacing w:val="1"/>
        </w:rPr>
        <w:t xml:space="preserve"> </w:t>
      </w:r>
      <w:r w:rsidR="0033007E" w:rsidRPr="00251961">
        <w:rPr>
          <w:rFonts w:ascii="Times New Roman" w:hAnsi="Times New Roman" w:cs="Times New Roman"/>
          <w:color w:val="212121"/>
        </w:rPr>
        <w:t>Provisioning,</w:t>
      </w:r>
      <w:r w:rsidR="0033007E" w:rsidRPr="00251961">
        <w:rPr>
          <w:rFonts w:ascii="Times New Roman" w:hAnsi="Times New Roman" w:cs="Times New Roman"/>
          <w:color w:val="212121"/>
          <w:spacing w:val="1"/>
        </w:rPr>
        <w:t xml:space="preserve"> </w:t>
      </w:r>
      <w:r w:rsidR="0033007E" w:rsidRPr="00251961">
        <w:rPr>
          <w:rFonts w:ascii="Times New Roman" w:hAnsi="Times New Roman" w:cs="Times New Roman"/>
          <w:color w:val="212121"/>
        </w:rPr>
        <w:t>uniformly</w:t>
      </w:r>
      <w:r w:rsidR="0033007E" w:rsidRPr="00251961">
        <w:rPr>
          <w:rFonts w:ascii="Times New Roman" w:hAnsi="Times New Roman" w:cs="Times New Roman"/>
          <w:color w:val="212121"/>
          <w:spacing w:val="1"/>
        </w:rPr>
        <w:t xml:space="preserve"> </w:t>
      </w:r>
      <w:r w:rsidR="0033007E" w:rsidRPr="00251961">
        <w:rPr>
          <w:rFonts w:ascii="Times New Roman" w:hAnsi="Times New Roman" w:cs="Times New Roman"/>
          <w:color w:val="212121"/>
        </w:rPr>
        <w:t>applicable to all the banks working in India. Reserve Bank of India has given recovery accounting etc</w:t>
      </w:r>
    </w:p>
    <w:p w:rsidR="0033007E" w:rsidRPr="00251961" w:rsidRDefault="0033007E" w:rsidP="00251961">
      <w:pPr>
        <w:spacing w:after="0" w:line="360" w:lineRule="auto"/>
        <w:jc w:val="both"/>
        <w:rPr>
          <w:rFonts w:ascii="Times New Roman" w:hAnsi="Times New Roman" w:cs="Times New Roman"/>
          <w:b/>
          <w:bCs/>
          <w:sz w:val="26"/>
          <w:szCs w:val="26"/>
        </w:rPr>
      </w:pPr>
      <w:r w:rsidRPr="00251961">
        <w:rPr>
          <w:rFonts w:ascii="Times New Roman" w:hAnsi="Times New Roman" w:cs="Times New Roman"/>
          <w:b/>
          <w:bCs/>
          <w:sz w:val="26"/>
          <w:szCs w:val="26"/>
        </w:rPr>
        <w:t>Definition:</w:t>
      </w:r>
    </w:p>
    <w:p w:rsidR="0033007E" w:rsidRPr="00251961" w:rsidRDefault="0033007E" w:rsidP="00251961">
      <w:p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251961">
        <w:rPr>
          <w:rFonts w:ascii="Times New Roman" w:eastAsia="Times New Roman" w:hAnsi="Times New Roman" w:cs="Times New Roman"/>
          <w:kern w:val="0"/>
          <w:sz w:val="24"/>
          <w:szCs w:val="24"/>
          <w:lang w:eastAsia="en-IN"/>
          <w14:ligatures w14:val="none"/>
        </w:rPr>
        <w:t>Non-performing assets (NPAs) are loans or advances that are in default or in arrears. In banking terms, an asset, including a loan, is classified as non-performing when it ceases to generate income for the bank. This typically occurs when:</w:t>
      </w:r>
    </w:p>
    <w:p w:rsidR="0033007E" w:rsidRPr="00251961" w:rsidRDefault="0033007E" w:rsidP="00251961">
      <w:pPr>
        <w:numPr>
          <w:ilvl w:val="0"/>
          <w:numId w:val="1"/>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251961">
        <w:rPr>
          <w:rFonts w:ascii="Times New Roman" w:eastAsia="Times New Roman" w:hAnsi="Times New Roman" w:cs="Times New Roman"/>
          <w:kern w:val="0"/>
          <w:sz w:val="24"/>
          <w:szCs w:val="24"/>
          <w:lang w:eastAsia="en-IN"/>
          <w14:ligatures w14:val="none"/>
        </w:rPr>
        <w:t>Interest and/or principal payments remain overdue for a period of 90 days.</w:t>
      </w:r>
    </w:p>
    <w:p w:rsidR="0033007E" w:rsidRPr="00251961" w:rsidRDefault="0033007E" w:rsidP="00251961">
      <w:pPr>
        <w:numPr>
          <w:ilvl w:val="0"/>
          <w:numId w:val="1"/>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251961">
        <w:rPr>
          <w:rFonts w:ascii="Times New Roman" w:eastAsia="Times New Roman" w:hAnsi="Times New Roman" w:cs="Times New Roman"/>
          <w:kern w:val="0"/>
          <w:sz w:val="24"/>
          <w:szCs w:val="24"/>
          <w:lang w:eastAsia="en-IN"/>
          <w14:ligatures w14:val="none"/>
        </w:rPr>
        <w:t>The borrower is unable to meet agreed repayment terms, resulting in a substantial likelihood that the loan will not be repaid.</w:t>
      </w:r>
    </w:p>
    <w:p w:rsidR="00F32F90" w:rsidRPr="00251961" w:rsidRDefault="00F32F90" w:rsidP="00251961">
      <w:pPr>
        <w:spacing w:line="360" w:lineRule="auto"/>
        <w:ind w:left="360"/>
        <w:jc w:val="both"/>
        <w:rPr>
          <w:rFonts w:ascii="Times New Roman" w:hAnsi="Times New Roman" w:cs="Times New Roman"/>
          <w:b/>
          <w:bCs/>
          <w:sz w:val="32"/>
          <w:szCs w:val="32"/>
        </w:rPr>
      </w:pPr>
      <w:r w:rsidRPr="00251961">
        <w:rPr>
          <w:rFonts w:ascii="Times New Roman" w:hAnsi="Times New Roman" w:cs="Times New Roman"/>
          <w:b/>
          <w:bCs/>
          <w:sz w:val="32"/>
          <w:szCs w:val="32"/>
        </w:rPr>
        <w:t>Objectives:</w:t>
      </w:r>
    </w:p>
    <w:p w:rsidR="0033007E" w:rsidRPr="00251961" w:rsidRDefault="0033007E" w:rsidP="00251961">
      <w:pPr>
        <w:spacing w:line="360" w:lineRule="auto"/>
        <w:ind w:left="360"/>
        <w:jc w:val="both"/>
        <w:rPr>
          <w:rFonts w:ascii="Times New Roman" w:hAnsi="Times New Roman" w:cs="Times New Roman"/>
          <w:b/>
          <w:bCs/>
          <w:sz w:val="32"/>
          <w:szCs w:val="32"/>
        </w:rPr>
      </w:pPr>
      <w:r w:rsidRPr="00251961">
        <w:rPr>
          <w:rFonts w:ascii="Times New Roman" w:hAnsi="Times New Roman" w:cs="Times New Roman"/>
        </w:rPr>
        <w:t>The</w:t>
      </w:r>
      <w:r w:rsidRPr="00251961">
        <w:rPr>
          <w:rFonts w:ascii="Times New Roman" w:hAnsi="Times New Roman" w:cs="Times New Roman"/>
          <w:spacing w:val="-2"/>
        </w:rPr>
        <w:t xml:space="preserve"> </w:t>
      </w:r>
      <w:r w:rsidRPr="00251961">
        <w:rPr>
          <w:rFonts w:ascii="Times New Roman" w:hAnsi="Times New Roman" w:cs="Times New Roman"/>
        </w:rPr>
        <w:t>main objectives</w:t>
      </w:r>
      <w:r w:rsidRPr="00251961">
        <w:rPr>
          <w:rFonts w:ascii="Times New Roman" w:hAnsi="Times New Roman" w:cs="Times New Roman"/>
          <w:spacing w:val="-1"/>
        </w:rPr>
        <w:t xml:space="preserve"> </w:t>
      </w:r>
      <w:r w:rsidRPr="00251961">
        <w:rPr>
          <w:rFonts w:ascii="Times New Roman" w:hAnsi="Times New Roman" w:cs="Times New Roman"/>
        </w:rPr>
        <w:t>of the</w:t>
      </w:r>
      <w:r w:rsidRPr="00251961">
        <w:rPr>
          <w:rFonts w:ascii="Times New Roman" w:hAnsi="Times New Roman" w:cs="Times New Roman"/>
          <w:spacing w:val="-1"/>
        </w:rPr>
        <w:t xml:space="preserve"> </w:t>
      </w:r>
      <w:r w:rsidRPr="00251961">
        <w:rPr>
          <w:rFonts w:ascii="Times New Roman" w:hAnsi="Times New Roman" w:cs="Times New Roman"/>
        </w:rPr>
        <w:t>study</w:t>
      </w:r>
      <w:r w:rsidRPr="00251961">
        <w:rPr>
          <w:rFonts w:ascii="Times New Roman" w:hAnsi="Times New Roman" w:cs="Times New Roman"/>
          <w:spacing w:val="-5"/>
        </w:rPr>
        <w:t xml:space="preserve"> </w:t>
      </w:r>
      <w:r w:rsidRPr="00251961">
        <w:rPr>
          <w:rFonts w:ascii="Times New Roman" w:hAnsi="Times New Roman" w:cs="Times New Roman"/>
        </w:rPr>
        <w:t>are given</w:t>
      </w:r>
      <w:r w:rsidRPr="00251961">
        <w:rPr>
          <w:rFonts w:ascii="Times New Roman" w:hAnsi="Times New Roman" w:cs="Times New Roman"/>
          <w:spacing w:val="1"/>
        </w:rPr>
        <w:t xml:space="preserve"> </w:t>
      </w:r>
      <w:r w:rsidRPr="00251961">
        <w:rPr>
          <w:rFonts w:ascii="Times New Roman" w:hAnsi="Times New Roman" w:cs="Times New Roman"/>
        </w:rPr>
        <w:t>below:</w:t>
      </w:r>
    </w:p>
    <w:p w:rsidR="0033007E" w:rsidRPr="00251961" w:rsidRDefault="0033007E" w:rsidP="00251961">
      <w:pPr>
        <w:pStyle w:val="ListParagraph"/>
        <w:numPr>
          <w:ilvl w:val="2"/>
          <w:numId w:val="2"/>
        </w:numPr>
        <w:tabs>
          <w:tab w:val="left" w:pos="1003"/>
        </w:tabs>
        <w:spacing w:before="212" w:line="360" w:lineRule="auto"/>
        <w:ind w:left="1002" w:hanging="361"/>
        <w:jc w:val="both"/>
        <w:rPr>
          <w:sz w:val="24"/>
          <w:szCs w:val="24"/>
        </w:rPr>
      </w:pPr>
      <w:r w:rsidRPr="00251961">
        <w:rPr>
          <w:sz w:val="24"/>
          <w:szCs w:val="24"/>
        </w:rPr>
        <w:t>To</w:t>
      </w:r>
      <w:r w:rsidRPr="00251961">
        <w:rPr>
          <w:spacing w:val="-1"/>
          <w:sz w:val="24"/>
          <w:szCs w:val="24"/>
        </w:rPr>
        <w:t xml:space="preserve"> </w:t>
      </w:r>
      <w:r w:rsidRPr="00251961">
        <w:rPr>
          <w:sz w:val="24"/>
          <w:szCs w:val="24"/>
        </w:rPr>
        <w:t>study</w:t>
      </w:r>
      <w:r w:rsidRPr="00251961">
        <w:rPr>
          <w:spacing w:val="-5"/>
          <w:sz w:val="24"/>
          <w:szCs w:val="24"/>
        </w:rPr>
        <w:t xml:space="preserve"> </w:t>
      </w:r>
      <w:r w:rsidRPr="00251961">
        <w:rPr>
          <w:sz w:val="24"/>
          <w:szCs w:val="24"/>
        </w:rPr>
        <w:t>the conceptual framework</w:t>
      </w:r>
      <w:r w:rsidRPr="00251961">
        <w:rPr>
          <w:spacing w:val="-1"/>
          <w:sz w:val="24"/>
          <w:szCs w:val="24"/>
        </w:rPr>
        <w:t xml:space="preserve"> </w:t>
      </w:r>
      <w:r w:rsidRPr="00251961">
        <w:rPr>
          <w:sz w:val="24"/>
          <w:szCs w:val="24"/>
        </w:rPr>
        <w:t>of Non-</w:t>
      </w:r>
      <w:r w:rsidRPr="00251961">
        <w:rPr>
          <w:spacing w:val="-1"/>
          <w:sz w:val="24"/>
          <w:szCs w:val="24"/>
        </w:rPr>
        <w:t xml:space="preserve"> </w:t>
      </w:r>
      <w:r w:rsidRPr="00251961">
        <w:rPr>
          <w:sz w:val="24"/>
          <w:szCs w:val="24"/>
        </w:rPr>
        <w:t>Performing</w:t>
      </w:r>
      <w:r w:rsidRPr="00251961">
        <w:rPr>
          <w:spacing w:val="-3"/>
          <w:sz w:val="24"/>
          <w:szCs w:val="24"/>
        </w:rPr>
        <w:t xml:space="preserve"> </w:t>
      </w:r>
      <w:r w:rsidRPr="00251961">
        <w:rPr>
          <w:sz w:val="24"/>
          <w:szCs w:val="24"/>
        </w:rPr>
        <w:t>Assets</w:t>
      </w:r>
      <w:r w:rsidRPr="00251961">
        <w:rPr>
          <w:spacing w:val="-1"/>
          <w:sz w:val="24"/>
          <w:szCs w:val="24"/>
        </w:rPr>
        <w:t xml:space="preserve"> </w:t>
      </w:r>
      <w:r w:rsidRPr="00251961">
        <w:rPr>
          <w:sz w:val="24"/>
          <w:szCs w:val="24"/>
        </w:rPr>
        <w:t>in the banking</w:t>
      </w:r>
      <w:r w:rsidRPr="00251961">
        <w:rPr>
          <w:spacing w:val="-3"/>
          <w:sz w:val="24"/>
          <w:szCs w:val="24"/>
        </w:rPr>
        <w:t xml:space="preserve"> </w:t>
      </w:r>
      <w:r w:rsidRPr="00251961">
        <w:rPr>
          <w:sz w:val="24"/>
          <w:szCs w:val="24"/>
        </w:rPr>
        <w:t>sector.</w:t>
      </w:r>
    </w:p>
    <w:p w:rsidR="0033007E" w:rsidRPr="00251961" w:rsidRDefault="0033007E" w:rsidP="00251961">
      <w:pPr>
        <w:pStyle w:val="ListParagraph"/>
        <w:numPr>
          <w:ilvl w:val="2"/>
          <w:numId w:val="2"/>
        </w:numPr>
        <w:tabs>
          <w:tab w:val="left" w:pos="1003"/>
        </w:tabs>
        <w:spacing w:before="137" w:line="360" w:lineRule="auto"/>
        <w:ind w:left="1002" w:hanging="361"/>
        <w:jc w:val="both"/>
        <w:rPr>
          <w:sz w:val="24"/>
          <w:szCs w:val="24"/>
        </w:rPr>
      </w:pPr>
      <w:r w:rsidRPr="00251961">
        <w:rPr>
          <w:sz w:val="24"/>
          <w:szCs w:val="24"/>
        </w:rPr>
        <w:t>To</w:t>
      </w:r>
      <w:r w:rsidRPr="00251961">
        <w:rPr>
          <w:spacing w:val="-1"/>
          <w:sz w:val="24"/>
          <w:szCs w:val="24"/>
        </w:rPr>
        <w:t xml:space="preserve"> </w:t>
      </w:r>
      <w:r w:rsidRPr="00251961">
        <w:rPr>
          <w:sz w:val="24"/>
          <w:szCs w:val="24"/>
        </w:rPr>
        <w:t>understand</w:t>
      </w:r>
      <w:r w:rsidRPr="00251961">
        <w:rPr>
          <w:spacing w:val="-1"/>
          <w:sz w:val="24"/>
          <w:szCs w:val="24"/>
        </w:rPr>
        <w:t xml:space="preserve"> </w:t>
      </w:r>
      <w:r w:rsidRPr="00251961">
        <w:rPr>
          <w:sz w:val="24"/>
          <w:szCs w:val="24"/>
        </w:rPr>
        <w:t>the</w:t>
      </w:r>
      <w:r w:rsidRPr="00251961">
        <w:rPr>
          <w:spacing w:val="-2"/>
          <w:sz w:val="24"/>
          <w:szCs w:val="24"/>
        </w:rPr>
        <w:t xml:space="preserve"> </w:t>
      </w:r>
      <w:r w:rsidRPr="00251961">
        <w:rPr>
          <w:sz w:val="24"/>
          <w:szCs w:val="24"/>
        </w:rPr>
        <w:t>performance</w:t>
      </w:r>
      <w:r w:rsidRPr="00251961">
        <w:rPr>
          <w:spacing w:val="-1"/>
          <w:sz w:val="24"/>
          <w:szCs w:val="24"/>
        </w:rPr>
        <w:t xml:space="preserve"> </w:t>
      </w:r>
      <w:r w:rsidRPr="00251961">
        <w:rPr>
          <w:sz w:val="24"/>
          <w:szCs w:val="24"/>
        </w:rPr>
        <w:t>of</w:t>
      </w:r>
      <w:r w:rsidRPr="00251961">
        <w:rPr>
          <w:spacing w:val="-1"/>
          <w:sz w:val="24"/>
          <w:szCs w:val="24"/>
        </w:rPr>
        <w:t xml:space="preserve"> </w:t>
      </w:r>
      <w:r w:rsidRPr="00251961">
        <w:rPr>
          <w:sz w:val="24"/>
          <w:szCs w:val="24"/>
        </w:rPr>
        <w:t>Canara Bank</w:t>
      </w:r>
      <w:r w:rsidRPr="00251961">
        <w:rPr>
          <w:spacing w:val="-1"/>
          <w:sz w:val="24"/>
          <w:szCs w:val="24"/>
        </w:rPr>
        <w:t xml:space="preserve"> </w:t>
      </w:r>
      <w:r w:rsidRPr="00251961">
        <w:rPr>
          <w:sz w:val="24"/>
          <w:szCs w:val="24"/>
        </w:rPr>
        <w:t>in</w:t>
      </w:r>
      <w:r w:rsidRPr="00251961">
        <w:rPr>
          <w:spacing w:val="1"/>
          <w:sz w:val="24"/>
          <w:szCs w:val="24"/>
        </w:rPr>
        <w:t xml:space="preserve"> </w:t>
      </w:r>
      <w:r w:rsidRPr="00251961">
        <w:rPr>
          <w:sz w:val="24"/>
          <w:szCs w:val="24"/>
        </w:rPr>
        <w:t>terms</w:t>
      </w:r>
      <w:r w:rsidRPr="00251961">
        <w:rPr>
          <w:spacing w:val="-1"/>
          <w:sz w:val="24"/>
          <w:szCs w:val="24"/>
        </w:rPr>
        <w:t xml:space="preserve"> </w:t>
      </w:r>
      <w:r w:rsidRPr="00251961">
        <w:rPr>
          <w:sz w:val="24"/>
          <w:szCs w:val="24"/>
        </w:rPr>
        <w:t>of</w:t>
      </w:r>
      <w:r w:rsidRPr="00251961">
        <w:rPr>
          <w:spacing w:val="-1"/>
          <w:sz w:val="24"/>
          <w:szCs w:val="24"/>
        </w:rPr>
        <w:t xml:space="preserve"> </w:t>
      </w:r>
      <w:r w:rsidRPr="00251961">
        <w:rPr>
          <w:sz w:val="24"/>
          <w:szCs w:val="24"/>
        </w:rPr>
        <w:t>NPAs.</w:t>
      </w:r>
    </w:p>
    <w:p w:rsidR="0033007E" w:rsidRPr="00251961" w:rsidRDefault="0033007E" w:rsidP="00251961">
      <w:pPr>
        <w:pStyle w:val="ListParagraph"/>
        <w:numPr>
          <w:ilvl w:val="2"/>
          <w:numId w:val="2"/>
        </w:numPr>
        <w:tabs>
          <w:tab w:val="left" w:pos="1003"/>
        </w:tabs>
        <w:spacing w:before="139" w:line="360" w:lineRule="auto"/>
        <w:ind w:left="1002" w:hanging="361"/>
        <w:jc w:val="both"/>
        <w:rPr>
          <w:sz w:val="24"/>
          <w:szCs w:val="24"/>
        </w:rPr>
      </w:pPr>
      <w:r w:rsidRPr="00251961">
        <w:rPr>
          <w:sz w:val="24"/>
          <w:szCs w:val="24"/>
        </w:rPr>
        <w:t>To</w:t>
      </w:r>
      <w:r w:rsidRPr="00251961">
        <w:rPr>
          <w:spacing w:val="-1"/>
          <w:sz w:val="24"/>
          <w:szCs w:val="24"/>
        </w:rPr>
        <w:t xml:space="preserve"> </w:t>
      </w:r>
      <w:r w:rsidRPr="00251961">
        <w:rPr>
          <w:sz w:val="24"/>
          <w:szCs w:val="24"/>
        </w:rPr>
        <w:t>elicit</w:t>
      </w:r>
      <w:r w:rsidRPr="00251961">
        <w:rPr>
          <w:spacing w:val="-1"/>
          <w:sz w:val="24"/>
          <w:szCs w:val="24"/>
        </w:rPr>
        <w:t xml:space="preserve"> </w:t>
      </w:r>
      <w:r w:rsidRPr="00251961">
        <w:rPr>
          <w:sz w:val="24"/>
          <w:szCs w:val="24"/>
        </w:rPr>
        <w:t>the</w:t>
      </w:r>
      <w:r w:rsidRPr="00251961">
        <w:rPr>
          <w:spacing w:val="-1"/>
          <w:sz w:val="24"/>
          <w:szCs w:val="24"/>
        </w:rPr>
        <w:t xml:space="preserve"> </w:t>
      </w:r>
      <w:r w:rsidRPr="00251961">
        <w:rPr>
          <w:sz w:val="24"/>
          <w:szCs w:val="24"/>
        </w:rPr>
        <w:t>reasons</w:t>
      </w:r>
      <w:r w:rsidRPr="00251961">
        <w:rPr>
          <w:spacing w:val="-1"/>
          <w:sz w:val="24"/>
          <w:szCs w:val="24"/>
        </w:rPr>
        <w:t xml:space="preserve"> </w:t>
      </w:r>
      <w:r w:rsidRPr="00251961">
        <w:rPr>
          <w:sz w:val="24"/>
          <w:szCs w:val="24"/>
        </w:rPr>
        <w:t>for NPA</w:t>
      </w:r>
      <w:r w:rsidRPr="00251961">
        <w:rPr>
          <w:spacing w:val="-1"/>
          <w:sz w:val="24"/>
          <w:szCs w:val="24"/>
        </w:rPr>
        <w:t xml:space="preserve"> </w:t>
      </w:r>
      <w:r w:rsidRPr="00251961">
        <w:rPr>
          <w:sz w:val="24"/>
          <w:szCs w:val="24"/>
        </w:rPr>
        <w:t>in</w:t>
      </w:r>
      <w:r w:rsidRPr="00251961">
        <w:rPr>
          <w:spacing w:val="-1"/>
          <w:sz w:val="24"/>
          <w:szCs w:val="24"/>
        </w:rPr>
        <w:t xml:space="preserve"> </w:t>
      </w:r>
      <w:r w:rsidRPr="00251961">
        <w:rPr>
          <w:sz w:val="24"/>
          <w:szCs w:val="24"/>
        </w:rPr>
        <w:t>the</w:t>
      </w:r>
      <w:r w:rsidRPr="00251961">
        <w:rPr>
          <w:spacing w:val="-2"/>
          <w:sz w:val="24"/>
          <w:szCs w:val="24"/>
        </w:rPr>
        <w:t xml:space="preserve"> </w:t>
      </w:r>
      <w:r w:rsidRPr="00251961">
        <w:rPr>
          <w:sz w:val="24"/>
          <w:szCs w:val="24"/>
        </w:rPr>
        <w:t>Canara</w:t>
      </w:r>
      <w:r w:rsidRPr="00251961">
        <w:rPr>
          <w:spacing w:val="-1"/>
          <w:sz w:val="24"/>
          <w:szCs w:val="24"/>
        </w:rPr>
        <w:t xml:space="preserve"> </w:t>
      </w:r>
      <w:r w:rsidRPr="00251961">
        <w:rPr>
          <w:sz w:val="24"/>
          <w:szCs w:val="24"/>
        </w:rPr>
        <w:t>Bank.</w:t>
      </w:r>
    </w:p>
    <w:p w:rsidR="0033007E" w:rsidRPr="00251961" w:rsidRDefault="0033007E" w:rsidP="00251961">
      <w:pPr>
        <w:pStyle w:val="ListParagraph"/>
        <w:numPr>
          <w:ilvl w:val="2"/>
          <w:numId w:val="2"/>
        </w:numPr>
        <w:tabs>
          <w:tab w:val="left" w:pos="1003"/>
        </w:tabs>
        <w:spacing w:before="137" w:line="360" w:lineRule="auto"/>
        <w:ind w:left="1002" w:hanging="361"/>
        <w:jc w:val="both"/>
        <w:rPr>
          <w:sz w:val="24"/>
          <w:szCs w:val="24"/>
        </w:rPr>
      </w:pPr>
      <w:r w:rsidRPr="00251961">
        <w:rPr>
          <w:sz w:val="24"/>
          <w:szCs w:val="24"/>
        </w:rPr>
        <w:t>To</w:t>
      </w:r>
      <w:r w:rsidRPr="00251961">
        <w:rPr>
          <w:spacing w:val="-1"/>
          <w:sz w:val="24"/>
          <w:szCs w:val="24"/>
        </w:rPr>
        <w:t xml:space="preserve"> </w:t>
      </w:r>
      <w:r w:rsidRPr="00251961">
        <w:rPr>
          <w:sz w:val="24"/>
          <w:szCs w:val="24"/>
        </w:rPr>
        <w:t>analyze</w:t>
      </w:r>
      <w:r w:rsidRPr="00251961">
        <w:rPr>
          <w:spacing w:val="-2"/>
          <w:sz w:val="24"/>
          <w:szCs w:val="24"/>
        </w:rPr>
        <w:t xml:space="preserve"> </w:t>
      </w:r>
      <w:r w:rsidRPr="00251961">
        <w:rPr>
          <w:sz w:val="24"/>
          <w:szCs w:val="24"/>
        </w:rPr>
        <w:t>the</w:t>
      </w:r>
      <w:r w:rsidRPr="00251961">
        <w:rPr>
          <w:spacing w:val="-1"/>
          <w:sz w:val="24"/>
          <w:szCs w:val="24"/>
        </w:rPr>
        <w:t xml:space="preserve"> </w:t>
      </w:r>
      <w:r w:rsidRPr="00251961">
        <w:rPr>
          <w:sz w:val="24"/>
          <w:szCs w:val="24"/>
        </w:rPr>
        <w:t>relationship</w:t>
      </w:r>
      <w:r w:rsidRPr="00251961">
        <w:rPr>
          <w:spacing w:val="-1"/>
          <w:sz w:val="24"/>
          <w:szCs w:val="24"/>
        </w:rPr>
        <w:t xml:space="preserve"> </w:t>
      </w:r>
      <w:r w:rsidRPr="00251961">
        <w:rPr>
          <w:sz w:val="24"/>
          <w:szCs w:val="24"/>
        </w:rPr>
        <w:t>between</w:t>
      </w:r>
      <w:r w:rsidRPr="00251961">
        <w:rPr>
          <w:spacing w:val="-1"/>
          <w:sz w:val="24"/>
          <w:szCs w:val="24"/>
        </w:rPr>
        <w:t xml:space="preserve"> </w:t>
      </w:r>
      <w:r w:rsidRPr="00251961">
        <w:rPr>
          <w:sz w:val="24"/>
          <w:szCs w:val="24"/>
        </w:rPr>
        <w:t>Net NPAs</w:t>
      </w:r>
      <w:r w:rsidRPr="00251961">
        <w:rPr>
          <w:spacing w:val="-1"/>
          <w:sz w:val="24"/>
          <w:szCs w:val="24"/>
        </w:rPr>
        <w:t xml:space="preserve"> </w:t>
      </w:r>
      <w:r w:rsidRPr="00251961">
        <w:rPr>
          <w:sz w:val="24"/>
          <w:szCs w:val="24"/>
        </w:rPr>
        <w:t>and other</w:t>
      </w:r>
      <w:r w:rsidRPr="00251961">
        <w:rPr>
          <w:spacing w:val="-3"/>
          <w:sz w:val="24"/>
          <w:szCs w:val="24"/>
        </w:rPr>
        <w:t xml:space="preserve"> </w:t>
      </w:r>
      <w:r w:rsidRPr="00251961">
        <w:rPr>
          <w:sz w:val="24"/>
          <w:szCs w:val="24"/>
        </w:rPr>
        <w:t>variables</w:t>
      </w:r>
      <w:r w:rsidRPr="00251961">
        <w:rPr>
          <w:spacing w:val="-1"/>
          <w:sz w:val="24"/>
          <w:szCs w:val="24"/>
        </w:rPr>
        <w:t xml:space="preserve"> </w:t>
      </w:r>
      <w:r w:rsidRPr="00251961">
        <w:rPr>
          <w:sz w:val="24"/>
          <w:szCs w:val="24"/>
        </w:rPr>
        <w:t>of Canara</w:t>
      </w:r>
      <w:r w:rsidRPr="00251961">
        <w:rPr>
          <w:spacing w:val="-1"/>
          <w:sz w:val="24"/>
          <w:szCs w:val="24"/>
        </w:rPr>
        <w:t xml:space="preserve"> </w:t>
      </w:r>
      <w:r w:rsidRPr="00251961">
        <w:rPr>
          <w:sz w:val="24"/>
          <w:szCs w:val="24"/>
        </w:rPr>
        <w:t>Bank</w:t>
      </w:r>
    </w:p>
    <w:p w:rsidR="0033007E" w:rsidRPr="00251961" w:rsidRDefault="0033007E" w:rsidP="00251961">
      <w:pPr>
        <w:pStyle w:val="ListParagraph"/>
        <w:numPr>
          <w:ilvl w:val="2"/>
          <w:numId w:val="2"/>
        </w:numPr>
        <w:tabs>
          <w:tab w:val="left" w:pos="1003"/>
        </w:tabs>
        <w:spacing w:before="139" w:line="360" w:lineRule="auto"/>
        <w:ind w:left="1002" w:right="401"/>
        <w:jc w:val="both"/>
        <w:rPr>
          <w:sz w:val="24"/>
          <w:szCs w:val="24"/>
        </w:rPr>
      </w:pPr>
      <w:r w:rsidRPr="00251961">
        <w:rPr>
          <w:sz w:val="24"/>
          <w:szCs w:val="24"/>
        </w:rPr>
        <w:t>To</w:t>
      </w:r>
      <w:r w:rsidRPr="00251961">
        <w:rPr>
          <w:spacing w:val="29"/>
          <w:sz w:val="24"/>
          <w:szCs w:val="24"/>
        </w:rPr>
        <w:t xml:space="preserve"> </w:t>
      </w:r>
      <w:r w:rsidRPr="00251961">
        <w:rPr>
          <w:sz w:val="24"/>
          <w:szCs w:val="24"/>
        </w:rPr>
        <w:t>implement</w:t>
      </w:r>
      <w:r w:rsidRPr="00251961">
        <w:rPr>
          <w:spacing w:val="30"/>
          <w:sz w:val="24"/>
          <w:szCs w:val="24"/>
        </w:rPr>
        <w:t xml:space="preserve"> </w:t>
      </w:r>
      <w:r w:rsidRPr="00251961">
        <w:rPr>
          <w:sz w:val="24"/>
          <w:szCs w:val="24"/>
        </w:rPr>
        <w:t>strategies</w:t>
      </w:r>
      <w:r w:rsidRPr="00251961">
        <w:rPr>
          <w:spacing w:val="32"/>
          <w:sz w:val="24"/>
          <w:szCs w:val="24"/>
        </w:rPr>
        <w:t xml:space="preserve"> </w:t>
      </w:r>
      <w:r w:rsidRPr="00251961">
        <w:rPr>
          <w:sz w:val="24"/>
          <w:szCs w:val="24"/>
        </w:rPr>
        <w:t>and</w:t>
      </w:r>
      <w:r w:rsidRPr="00251961">
        <w:rPr>
          <w:spacing w:val="29"/>
          <w:sz w:val="24"/>
          <w:szCs w:val="24"/>
        </w:rPr>
        <w:t xml:space="preserve"> </w:t>
      </w:r>
      <w:r w:rsidRPr="00251961">
        <w:rPr>
          <w:sz w:val="24"/>
          <w:szCs w:val="24"/>
        </w:rPr>
        <w:t>various</w:t>
      </w:r>
      <w:r w:rsidRPr="00251961">
        <w:rPr>
          <w:spacing w:val="32"/>
          <w:sz w:val="24"/>
          <w:szCs w:val="24"/>
        </w:rPr>
        <w:t xml:space="preserve"> </w:t>
      </w:r>
      <w:r w:rsidRPr="00251961">
        <w:rPr>
          <w:sz w:val="24"/>
          <w:szCs w:val="24"/>
        </w:rPr>
        <w:t>recovery</w:t>
      </w:r>
      <w:r w:rsidRPr="00251961">
        <w:rPr>
          <w:spacing w:val="28"/>
          <w:sz w:val="24"/>
          <w:szCs w:val="24"/>
        </w:rPr>
        <w:t xml:space="preserve"> </w:t>
      </w:r>
      <w:r w:rsidRPr="00251961">
        <w:rPr>
          <w:sz w:val="24"/>
          <w:szCs w:val="24"/>
        </w:rPr>
        <w:t>channels</w:t>
      </w:r>
      <w:r w:rsidRPr="00251961">
        <w:rPr>
          <w:spacing w:val="30"/>
          <w:sz w:val="24"/>
          <w:szCs w:val="24"/>
        </w:rPr>
        <w:t xml:space="preserve"> </w:t>
      </w:r>
      <w:r w:rsidRPr="00251961">
        <w:rPr>
          <w:sz w:val="24"/>
          <w:szCs w:val="24"/>
        </w:rPr>
        <w:t>in</w:t>
      </w:r>
      <w:r w:rsidRPr="00251961">
        <w:rPr>
          <w:spacing w:val="30"/>
          <w:sz w:val="24"/>
          <w:szCs w:val="24"/>
        </w:rPr>
        <w:t xml:space="preserve"> </w:t>
      </w:r>
      <w:r w:rsidRPr="00251961">
        <w:rPr>
          <w:sz w:val="24"/>
          <w:szCs w:val="24"/>
        </w:rPr>
        <w:t>order</w:t>
      </w:r>
      <w:r w:rsidRPr="00251961">
        <w:rPr>
          <w:spacing w:val="30"/>
          <w:sz w:val="24"/>
          <w:szCs w:val="24"/>
        </w:rPr>
        <w:t xml:space="preserve"> </w:t>
      </w:r>
      <w:r w:rsidRPr="00251961">
        <w:rPr>
          <w:sz w:val="24"/>
          <w:szCs w:val="24"/>
        </w:rPr>
        <w:t>to</w:t>
      </w:r>
      <w:r w:rsidRPr="00251961">
        <w:rPr>
          <w:spacing w:val="30"/>
          <w:sz w:val="24"/>
          <w:szCs w:val="24"/>
        </w:rPr>
        <w:t xml:space="preserve"> </w:t>
      </w:r>
      <w:r w:rsidRPr="00251961">
        <w:rPr>
          <w:sz w:val="24"/>
          <w:szCs w:val="24"/>
        </w:rPr>
        <w:t>management</w:t>
      </w:r>
      <w:r w:rsidRPr="00251961">
        <w:rPr>
          <w:spacing w:val="31"/>
          <w:sz w:val="24"/>
          <w:szCs w:val="24"/>
        </w:rPr>
        <w:t xml:space="preserve"> </w:t>
      </w:r>
      <w:r w:rsidRPr="00251961">
        <w:rPr>
          <w:sz w:val="24"/>
          <w:szCs w:val="24"/>
        </w:rPr>
        <w:t>of</w:t>
      </w:r>
      <w:r w:rsidRPr="00251961">
        <w:rPr>
          <w:spacing w:val="-57"/>
          <w:sz w:val="24"/>
          <w:szCs w:val="24"/>
        </w:rPr>
        <w:t xml:space="preserve"> </w:t>
      </w:r>
      <w:r w:rsidRPr="00251961">
        <w:rPr>
          <w:sz w:val="24"/>
          <w:szCs w:val="24"/>
        </w:rPr>
        <w:t>NPAs</w:t>
      </w:r>
      <w:r w:rsidRPr="00251961">
        <w:rPr>
          <w:spacing w:val="-1"/>
          <w:sz w:val="24"/>
          <w:szCs w:val="24"/>
        </w:rPr>
        <w:t xml:space="preserve"> </w:t>
      </w:r>
      <w:r w:rsidRPr="00251961">
        <w:rPr>
          <w:sz w:val="24"/>
          <w:szCs w:val="24"/>
        </w:rPr>
        <w:t>in banking</w:t>
      </w:r>
      <w:r w:rsidRPr="00251961">
        <w:rPr>
          <w:spacing w:val="-2"/>
          <w:sz w:val="24"/>
          <w:szCs w:val="24"/>
        </w:rPr>
        <w:t xml:space="preserve"> </w:t>
      </w:r>
      <w:r w:rsidRPr="00251961">
        <w:rPr>
          <w:sz w:val="24"/>
          <w:szCs w:val="24"/>
        </w:rPr>
        <w:t>sector.</w:t>
      </w:r>
    </w:p>
    <w:p w:rsidR="00F32F90" w:rsidRPr="00251961" w:rsidRDefault="00F32F90" w:rsidP="00251961">
      <w:pPr>
        <w:pStyle w:val="ListParagraph"/>
        <w:spacing w:line="360" w:lineRule="auto"/>
        <w:ind w:left="782" w:firstLine="0"/>
        <w:jc w:val="both"/>
        <w:rPr>
          <w:b/>
          <w:bCs/>
          <w:sz w:val="32"/>
          <w:szCs w:val="32"/>
        </w:rPr>
      </w:pPr>
      <w:r w:rsidRPr="00251961">
        <w:rPr>
          <w:b/>
          <w:bCs/>
          <w:sz w:val="32"/>
          <w:szCs w:val="32"/>
        </w:rPr>
        <w:t xml:space="preserve">Methodology: </w:t>
      </w:r>
    </w:p>
    <w:p w:rsidR="00F32F90" w:rsidRPr="00251961" w:rsidRDefault="00F32F90" w:rsidP="00251961">
      <w:pPr>
        <w:pStyle w:val="BodyText"/>
        <w:spacing w:before="97" w:line="360" w:lineRule="auto"/>
        <w:ind w:left="220" w:right="399"/>
        <w:jc w:val="both"/>
      </w:pPr>
      <w:r w:rsidRPr="00251961">
        <w:t>The</w:t>
      </w:r>
      <w:r w:rsidRPr="00251961">
        <w:rPr>
          <w:spacing w:val="4"/>
        </w:rPr>
        <w:t xml:space="preserve"> </w:t>
      </w:r>
      <w:r w:rsidRPr="00251961">
        <w:t>methods</w:t>
      </w:r>
      <w:r w:rsidRPr="00251961">
        <w:rPr>
          <w:spacing w:val="7"/>
        </w:rPr>
        <w:t xml:space="preserve"> </w:t>
      </w:r>
      <w:r w:rsidRPr="00251961">
        <w:t>which</w:t>
      </w:r>
      <w:r w:rsidRPr="00251961">
        <w:rPr>
          <w:spacing w:val="6"/>
        </w:rPr>
        <w:t xml:space="preserve"> </w:t>
      </w:r>
      <w:r w:rsidRPr="00251961">
        <w:t>are</w:t>
      </w:r>
      <w:r w:rsidRPr="00251961">
        <w:rPr>
          <w:spacing w:val="4"/>
        </w:rPr>
        <w:t xml:space="preserve"> </w:t>
      </w:r>
      <w:r w:rsidRPr="00251961">
        <w:t>to</w:t>
      </w:r>
      <w:r w:rsidRPr="00251961">
        <w:rPr>
          <w:spacing w:val="6"/>
        </w:rPr>
        <w:t xml:space="preserve"> </w:t>
      </w:r>
      <w:r w:rsidRPr="00251961">
        <w:t>use</w:t>
      </w:r>
      <w:r w:rsidRPr="00251961">
        <w:rPr>
          <w:spacing w:val="6"/>
        </w:rPr>
        <w:t xml:space="preserve"> </w:t>
      </w:r>
      <w:r w:rsidRPr="00251961">
        <w:t>for</w:t>
      </w:r>
      <w:r w:rsidRPr="00251961">
        <w:rPr>
          <w:spacing w:val="5"/>
        </w:rPr>
        <w:t xml:space="preserve"> </w:t>
      </w:r>
      <w:r w:rsidRPr="00251961">
        <w:t>collect</w:t>
      </w:r>
      <w:r w:rsidRPr="00251961">
        <w:rPr>
          <w:spacing w:val="9"/>
        </w:rPr>
        <w:t xml:space="preserve"> </w:t>
      </w:r>
      <w:r w:rsidRPr="00251961">
        <w:t>the</w:t>
      </w:r>
      <w:r w:rsidRPr="00251961">
        <w:rPr>
          <w:spacing w:val="6"/>
        </w:rPr>
        <w:t xml:space="preserve"> </w:t>
      </w:r>
      <w:r w:rsidRPr="00251961">
        <w:t>information</w:t>
      </w:r>
      <w:r w:rsidRPr="00251961">
        <w:rPr>
          <w:spacing w:val="7"/>
        </w:rPr>
        <w:t xml:space="preserve"> </w:t>
      </w:r>
      <w:r w:rsidRPr="00251961">
        <w:t>to</w:t>
      </w:r>
      <w:r w:rsidRPr="00251961">
        <w:rPr>
          <w:spacing w:val="7"/>
        </w:rPr>
        <w:t xml:space="preserve"> </w:t>
      </w:r>
      <w:r w:rsidRPr="00251961">
        <w:t>study</w:t>
      </w:r>
      <w:r w:rsidRPr="00251961">
        <w:rPr>
          <w:spacing w:val="-2"/>
        </w:rPr>
        <w:t xml:space="preserve"> </w:t>
      </w:r>
      <w:r w:rsidRPr="00251961">
        <w:t>and</w:t>
      </w:r>
      <w:r w:rsidRPr="00251961">
        <w:rPr>
          <w:spacing w:val="9"/>
        </w:rPr>
        <w:t xml:space="preserve"> </w:t>
      </w:r>
      <w:r w:rsidRPr="00251961">
        <w:t>analyze</w:t>
      </w:r>
      <w:r w:rsidRPr="00251961">
        <w:rPr>
          <w:spacing w:val="6"/>
        </w:rPr>
        <w:t xml:space="preserve"> </w:t>
      </w:r>
      <w:r w:rsidRPr="00251961">
        <w:t>that</w:t>
      </w:r>
      <w:r w:rsidRPr="00251961">
        <w:rPr>
          <w:spacing w:val="7"/>
        </w:rPr>
        <w:t xml:space="preserve"> </w:t>
      </w:r>
      <w:r w:rsidRPr="00251961">
        <w:lastRenderedPageBreak/>
        <w:t>procedure</w:t>
      </w:r>
      <w:r w:rsidRPr="00251961">
        <w:rPr>
          <w:spacing w:val="-57"/>
        </w:rPr>
        <w:t xml:space="preserve"> </w:t>
      </w:r>
      <w:r w:rsidRPr="00251961">
        <w:t>of</w:t>
      </w:r>
      <w:r w:rsidRPr="00251961">
        <w:rPr>
          <w:spacing w:val="-1"/>
        </w:rPr>
        <w:t xml:space="preserve"> </w:t>
      </w:r>
      <w:r w:rsidRPr="00251961">
        <w:t>methods is called methodology.</w:t>
      </w:r>
    </w:p>
    <w:p w:rsidR="00F32F90" w:rsidRPr="00251961" w:rsidRDefault="00F32F90" w:rsidP="00251961">
      <w:pPr>
        <w:pStyle w:val="BodyText"/>
        <w:spacing w:before="72" w:line="360" w:lineRule="auto"/>
        <w:ind w:left="1060" w:right="6373"/>
        <w:jc w:val="both"/>
      </w:pPr>
      <w:r w:rsidRPr="00251961">
        <w:t>Primary data</w:t>
      </w:r>
      <w:r w:rsidRPr="00251961">
        <w:rPr>
          <w:spacing w:val="1"/>
        </w:rPr>
        <w:t xml:space="preserve"> </w:t>
      </w:r>
      <w:r w:rsidRPr="00251961">
        <w:rPr>
          <w:spacing w:val="-1"/>
        </w:rPr>
        <w:t>Secondary</w:t>
      </w:r>
      <w:r w:rsidRPr="00251961">
        <w:rPr>
          <w:spacing w:val="-9"/>
        </w:rPr>
        <w:t xml:space="preserve"> </w:t>
      </w:r>
      <w:r w:rsidRPr="00251961">
        <w:t>data</w:t>
      </w:r>
    </w:p>
    <w:p w:rsidR="00F32F90" w:rsidRPr="00251961" w:rsidRDefault="00F32F90" w:rsidP="00251961">
      <w:pPr>
        <w:pStyle w:val="Heading4"/>
        <w:spacing w:before="5" w:line="360" w:lineRule="auto"/>
        <w:jc w:val="both"/>
        <w:rPr>
          <w:rFonts w:ascii="Times New Roman" w:hAnsi="Times New Roman" w:cs="Times New Roman"/>
          <w:b/>
          <w:bCs/>
          <w:sz w:val="24"/>
          <w:szCs w:val="24"/>
        </w:rPr>
      </w:pPr>
      <w:r w:rsidRPr="00251961">
        <w:rPr>
          <w:rFonts w:ascii="Times New Roman" w:hAnsi="Times New Roman" w:cs="Times New Roman"/>
          <w:b/>
          <w:bCs/>
          <w:sz w:val="24"/>
          <w:szCs w:val="24"/>
        </w:rPr>
        <w:t>Primary</w:t>
      </w:r>
      <w:r w:rsidRPr="00251961">
        <w:rPr>
          <w:rFonts w:ascii="Times New Roman" w:hAnsi="Times New Roman" w:cs="Times New Roman"/>
          <w:b/>
          <w:bCs/>
          <w:spacing w:val="-2"/>
          <w:sz w:val="24"/>
          <w:szCs w:val="24"/>
        </w:rPr>
        <w:t xml:space="preserve"> </w:t>
      </w:r>
      <w:r w:rsidRPr="00251961">
        <w:rPr>
          <w:rFonts w:ascii="Times New Roman" w:hAnsi="Times New Roman" w:cs="Times New Roman"/>
          <w:b/>
          <w:bCs/>
          <w:sz w:val="24"/>
          <w:szCs w:val="24"/>
        </w:rPr>
        <w:t>data</w:t>
      </w:r>
    </w:p>
    <w:p w:rsidR="00F32F90" w:rsidRPr="00251961" w:rsidRDefault="00F32F90" w:rsidP="00251961">
      <w:pPr>
        <w:pStyle w:val="BodyText"/>
        <w:spacing w:before="89" w:line="360" w:lineRule="auto"/>
        <w:ind w:left="220"/>
        <w:jc w:val="both"/>
      </w:pPr>
      <w:r w:rsidRPr="00251961">
        <w:t>The</w:t>
      </w:r>
      <w:r w:rsidRPr="00251961">
        <w:rPr>
          <w:spacing w:val="-2"/>
        </w:rPr>
        <w:t xml:space="preserve"> </w:t>
      </w:r>
      <w:r w:rsidRPr="00251961">
        <w:t>d</w:t>
      </w:r>
      <w:r w:rsidRPr="00251961">
        <w:rPr>
          <w:spacing w:val="-1"/>
        </w:rPr>
        <w:t>a</w:t>
      </w:r>
      <w:r w:rsidRPr="00251961">
        <w:t>ta</w:t>
      </w:r>
      <w:r w:rsidRPr="00251961">
        <w:rPr>
          <w:spacing w:val="-1"/>
        </w:rPr>
        <w:t xml:space="preserve"> c</w:t>
      </w:r>
      <w:r w:rsidRPr="00251961">
        <w:t>oll</w:t>
      </w:r>
      <w:r w:rsidRPr="00251961">
        <w:rPr>
          <w:spacing w:val="1"/>
        </w:rPr>
        <w:t>e</w:t>
      </w:r>
      <w:r w:rsidRPr="00251961">
        <w:rPr>
          <w:spacing w:val="-1"/>
        </w:rPr>
        <w:t>c</w:t>
      </w:r>
      <w:r w:rsidRPr="00251961">
        <w:t>ted th</w:t>
      </w:r>
      <w:r w:rsidRPr="00251961">
        <w:rPr>
          <w:spacing w:val="-1"/>
        </w:rPr>
        <w:t>r</w:t>
      </w:r>
      <w:r w:rsidRPr="00251961">
        <w:t>o</w:t>
      </w:r>
      <w:r w:rsidRPr="00251961">
        <w:rPr>
          <w:spacing w:val="2"/>
        </w:rPr>
        <w:t>u</w:t>
      </w:r>
      <w:r w:rsidRPr="00251961">
        <w:t>gh p</w:t>
      </w:r>
      <w:r w:rsidRPr="00251961">
        <w:rPr>
          <w:spacing w:val="-1"/>
        </w:rPr>
        <w:t>e</w:t>
      </w:r>
      <w:r w:rsidRPr="00251961">
        <w:t>rson</w:t>
      </w:r>
      <w:r w:rsidRPr="00251961">
        <w:rPr>
          <w:spacing w:val="-2"/>
        </w:rPr>
        <w:t>a</w:t>
      </w:r>
      <w:r w:rsidRPr="00251961">
        <w:t>l inte</w:t>
      </w:r>
      <w:r w:rsidRPr="00251961">
        <w:rPr>
          <w:spacing w:val="-2"/>
        </w:rPr>
        <w:t>r</w:t>
      </w:r>
      <w:r w:rsidRPr="00251961">
        <w:t>vie</w:t>
      </w:r>
      <w:r w:rsidRPr="00251961">
        <w:rPr>
          <w:spacing w:val="-1"/>
        </w:rPr>
        <w:t>w</w:t>
      </w:r>
      <w:r w:rsidRPr="00251961">
        <w:rPr>
          <w:w w:val="99"/>
        </w:rPr>
        <w:t>s</w:t>
      </w:r>
      <w:r w:rsidRPr="00251961">
        <w:rPr>
          <w:spacing w:val="4"/>
        </w:rPr>
        <w:t xml:space="preserve"> </w:t>
      </w:r>
      <w:r w:rsidRPr="00251961">
        <w:rPr>
          <w:spacing w:val="-1"/>
        </w:rPr>
        <w:t>ca</w:t>
      </w:r>
      <w:r w:rsidRPr="00251961">
        <w:rPr>
          <w:spacing w:val="2"/>
        </w:rPr>
        <w:t>l</w:t>
      </w:r>
      <w:r w:rsidRPr="00251961">
        <w:t xml:space="preserve">led </w:t>
      </w:r>
      <w:r w:rsidRPr="00251961">
        <w:rPr>
          <w:spacing w:val="-2"/>
          <w:w w:val="44"/>
        </w:rPr>
        <w:t>―</w:t>
      </w:r>
      <w:r w:rsidRPr="00251961">
        <w:t>prim</w:t>
      </w:r>
      <w:r w:rsidRPr="00251961">
        <w:rPr>
          <w:spacing w:val="-1"/>
        </w:rPr>
        <w:t>a</w:t>
      </w:r>
      <w:r w:rsidRPr="00251961">
        <w:rPr>
          <w:spacing w:val="3"/>
        </w:rPr>
        <w:t>r</w:t>
      </w:r>
      <w:r w:rsidRPr="00251961">
        <w:t>y</w:t>
      </w:r>
      <w:r w:rsidRPr="00251961">
        <w:rPr>
          <w:spacing w:val="-5"/>
        </w:rPr>
        <w:t xml:space="preserve"> </w:t>
      </w:r>
      <w:r w:rsidRPr="00251961">
        <w:rPr>
          <w:spacing w:val="2"/>
        </w:rPr>
        <w:t>d</w:t>
      </w:r>
      <w:r w:rsidRPr="00251961">
        <w:rPr>
          <w:spacing w:val="-1"/>
        </w:rPr>
        <w:t>a</w:t>
      </w:r>
      <w:r w:rsidRPr="00251961">
        <w:rPr>
          <w:w w:val="116"/>
        </w:rPr>
        <w:t>ta‖</w:t>
      </w:r>
      <w:r w:rsidRPr="00251961">
        <w:rPr>
          <w:spacing w:val="-1"/>
        </w:rPr>
        <w:t xml:space="preserve"> </w:t>
      </w:r>
      <w:r w:rsidRPr="00251961">
        <w:rPr>
          <w:w w:val="99"/>
        </w:rPr>
        <w:t>wh</w:t>
      </w:r>
      <w:r w:rsidRPr="00251961">
        <w:rPr>
          <w:spacing w:val="2"/>
          <w:w w:val="99"/>
        </w:rPr>
        <w:t>i</w:t>
      </w:r>
      <w:r w:rsidRPr="00251961">
        <w:rPr>
          <w:spacing w:val="-1"/>
        </w:rPr>
        <w:t>c</w:t>
      </w:r>
      <w:r w:rsidRPr="00251961">
        <w:t>h</w:t>
      </w:r>
      <w:r w:rsidRPr="00251961">
        <w:rPr>
          <w:spacing w:val="2"/>
        </w:rPr>
        <w:t xml:space="preserve"> </w:t>
      </w:r>
      <w:r w:rsidRPr="00251961">
        <w:t>include;</w:t>
      </w:r>
    </w:p>
    <w:p w:rsidR="00F32F90" w:rsidRPr="00251961" w:rsidRDefault="00F32F90" w:rsidP="00251961">
      <w:pPr>
        <w:pStyle w:val="ListParagraph"/>
        <w:numPr>
          <w:ilvl w:val="2"/>
          <w:numId w:val="2"/>
        </w:numPr>
        <w:tabs>
          <w:tab w:val="left" w:pos="941"/>
        </w:tabs>
        <w:spacing w:before="209" w:line="360" w:lineRule="auto"/>
        <w:ind w:hanging="361"/>
        <w:jc w:val="both"/>
        <w:rPr>
          <w:sz w:val="24"/>
          <w:szCs w:val="24"/>
        </w:rPr>
      </w:pPr>
      <w:r w:rsidRPr="00251961">
        <w:rPr>
          <w:sz w:val="24"/>
          <w:szCs w:val="24"/>
        </w:rPr>
        <w:t>Conducting</w:t>
      </w:r>
      <w:r w:rsidRPr="00251961">
        <w:rPr>
          <w:spacing w:val="-4"/>
          <w:sz w:val="24"/>
          <w:szCs w:val="24"/>
        </w:rPr>
        <w:t xml:space="preserve"> </w:t>
      </w:r>
      <w:r w:rsidRPr="00251961">
        <w:rPr>
          <w:sz w:val="24"/>
          <w:szCs w:val="24"/>
        </w:rPr>
        <w:t>personal</w:t>
      </w:r>
      <w:r w:rsidRPr="00251961">
        <w:rPr>
          <w:spacing w:val="-1"/>
          <w:sz w:val="24"/>
          <w:szCs w:val="24"/>
        </w:rPr>
        <w:t xml:space="preserve"> </w:t>
      </w:r>
      <w:r w:rsidRPr="00251961">
        <w:rPr>
          <w:sz w:val="24"/>
          <w:szCs w:val="24"/>
        </w:rPr>
        <w:t>interview</w:t>
      </w:r>
      <w:r w:rsidRPr="00251961">
        <w:rPr>
          <w:spacing w:val="-2"/>
          <w:sz w:val="24"/>
          <w:szCs w:val="24"/>
        </w:rPr>
        <w:t xml:space="preserve"> </w:t>
      </w:r>
      <w:r w:rsidRPr="00251961">
        <w:rPr>
          <w:sz w:val="24"/>
          <w:szCs w:val="24"/>
        </w:rPr>
        <w:t>to the officers</w:t>
      </w:r>
      <w:r w:rsidRPr="00251961">
        <w:rPr>
          <w:spacing w:val="-1"/>
          <w:sz w:val="24"/>
          <w:szCs w:val="24"/>
        </w:rPr>
        <w:t xml:space="preserve"> </w:t>
      </w:r>
      <w:r w:rsidRPr="00251961">
        <w:rPr>
          <w:sz w:val="24"/>
          <w:szCs w:val="24"/>
        </w:rPr>
        <w:t>of</w:t>
      </w:r>
      <w:r w:rsidRPr="00251961">
        <w:rPr>
          <w:spacing w:val="-3"/>
          <w:sz w:val="24"/>
          <w:szCs w:val="24"/>
        </w:rPr>
        <w:t xml:space="preserve"> </w:t>
      </w:r>
      <w:r w:rsidRPr="00251961">
        <w:rPr>
          <w:sz w:val="24"/>
          <w:szCs w:val="24"/>
        </w:rPr>
        <w:t>the</w:t>
      </w:r>
      <w:r w:rsidRPr="00251961">
        <w:rPr>
          <w:spacing w:val="-2"/>
          <w:sz w:val="24"/>
          <w:szCs w:val="24"/>
        </w:rPr>
        <w:t xml:space="preserve"> </w:t>
      </w:r>
      <w:r w:rsidRPr="00251961">
        <w:rPr>
          <w:sz w:val="24"/>
          <w:szCs w:val="24"/>
        </w:rPr>
        <w:t>company.</w:t>
      </w:r>
    </w:p>
    <w:p w:rsidR="00F32F90" w:rsidRPr="00251961" w:rsidRDefault="00F32F90" w:rsidP="00251961">
      <w:pPr>
        <w:pStyle w:val="ListParagraph"/>
        <w:numPr>
          <w:ilvl w:val="2"/>
          <w:numId w:val="2"/>
        </w:numPr>
        <w:tabs>
          <w:tab w:val="left" w:pos="941"/>
        </w:tabs>
        <w:spacing w:before="139" w:line="360" w:lineRule="auto"/>
        <w:ind w:hanging="361"/>
        <w:jc w:val="both"/>
        <w:rPr>
          <w:sz w:val="24"/>
          <w:szCs w:val="24"/>
        </w:rPr>
      </w:pPr>
      <w:r w:rsidRPr="00251961">
        <w:rPr>
          <w:sz w:val="24"/>
          <w:szCs w:val="24"/>
        </w:rPr>
        <w:t>Individually</w:t>
      </w:r>
      <w:r w:rsidRPr="00251961">
        <w:rPr>
          <w:spacing w:val="-7"/>
          <w:sz w:val="24"/>
          <w:szCs w:val="24"/>
        </w:rPr>
        <w:t xml:space="preserve"> </w:t>
      </w:r>
      <w:r w:rsidRPr="00251961">
        <w:rPr>
          <w:sz w:val="24"/>
          <w:szCs w:val="24"/>
        </w:rPr>
        <w:t>observations</w:t>
      </w:r>
      <w:r w:rsidRPr="00251961">
        <w:rPr>
          <w:spacing w:val="-1"/>
          <w:sz w:val="24"/>
          <w:szCs w:val="24"/>
        </w:rPr>
        <w:t xml:space="preserve"> </w:t>
      </w:r>
      <w:r w:rsidRPr="00251961">
        <w:rPr>
          <w:sz w:val="24"/>
          <w:szCs w:val="24"/>
        </w:rPr>
        <w:t>and</w:t>
      </w:r>
      <w:r w:rsidRPr="00251961">
        <w:rPr>
          <w:spacing w:val="-1"/>
          <w:sz w:val="24"/>
          <w:szCs w:val="24"/>
        </w:rPr>
        <w:t xml:space="preserve"> </w:t>
      </w:r>
      <w:r w:rsidRPr="00251961">
        <w:rPr>
          <w:sz w:val="24"/>
          <w:szCs w:val="24"/>
        </w:rPr>
        <w:t>inferences.</w:t>
      </w:r>
    </w:p>
    <w:p w:rsidR="00F32F90" w:rsidRPr="00251961" w:rsidRDefault="00F32F90" w:rsidP="00251961">
      <w:pPr>
        <w:pStyle w:val="Heading4"/>
        <w:spacing w:before="215" w:line="360" w:lineRule="auto"/>
        <w:jc w:val="both"/>
        <w:rPr>
          <w:rFonts w:ascii="Times New Roman" w:hAnsi="Times New Roman" w:cs="Times New Roman"/>
          <w:b/>
          <w:bCs/>
          <w:sz w:val="24"/>
          <w:szCs w:val="24"/>
        </w:rPr>
      </w:pPr>
      <w:r w:rsidRPr="00251961">
        <w:rPr>
          <w:rFonts w:ascii="Times New Roman" w:hAnsi="Times New Roman" w:cs="Times New Roman"/>
          <w:b/>
          <w:bCs/>
          <w:sz w:val="24"/>
          <w:szCs w:val="24"/>
        </w:rPr>
        <w:t>Secondary</w:t>
      </w:r>
      <w:r w:rsidRPr="00251961">
        <w:rPr>
          <w:rFonts w:ascii="Times New Roman" w:hAnsi="Times New Roman" w:cs="Times New Roman"/>
          <w:b/>
          <w:bCs/>
          <w:spacing w:val="-2"/>
          <w:sz w:val="24"/>
          <w:szCs w:val="24"/>
        </w:rPr>
        <w:t xml:space="preserve"> </w:t>
      </w:r>
      <w:r w:rsidRPr="00251961">
        <w:rPr>
          <w:rFonts w:ascii="Times New Roman" w:hAnsi="Times New Roman" w:cs="Times New Roman"/>
          <w:b/>
          <w:bCs/>
          <w:sz w:val="24"/>
          <w:szCs w:val="24"/>
        </w:rPr>
        <w:t>data</w:t>
      </w:r>
    </w:p>
    <w:p w:rsidR="00F32F90" w:rsidRPr="00251961" w:rsidRDefault="00F32F90" w:rsidP="00251961">
      <w:pPr>
        <w:pStyle w:val="BodyText"/>
        <w:spacing w:before="88" w:line="360" w:lineRule="auto"/>
        <w:ind w:left="640"/>
        <w:jc w:val="both"/>
      </w:pPr>
      <w:r w:rsidRPr="00251961">
        <w:t>The</w:t>
      </w:r>
      <w:r w:rsidRPr="00251961">
        <w:rPr>
          <w:spacing w:val="-2"/>
        </w:rPr>
        <w:t xml:space="preserve"> </w:t>
      </w:r>
      <w:r w:rsidRPr="00251961">
        <w:t>d</w:t>
      </w:r>
      <w:r w:rsidRPr="00251961">
        <w:rPr>
          <w:spacing w:val="-1"/>
        </w:rPr>
        <w:t>a</w:t>
      </w:r>
      <w:r w:rsidRPr="00251961">
        <w:t>ta</w:t>
      </w:r>
      <w:r w:rsidRPr="00251961">
        <w:rPr>
          <w:spacing w:val="-1"/>
        </w:rPr>
        <w:t xml:space="preserve"> </w:t>
      </w:r>
      <w:r w:rsidRPr="00251961">
        <w:t>whi</w:t>
      </w:r>
      <w:r w:rsidRPr="00251961">
        <w:rPr>
          <w:spacing w:val="-1"/>
        </w:rPr>
        <w:t>c</w:t>
      </w:r>
      <w:r w:rsidRPr="00251961">
        <w:t xml:space="preserve">h </w:t>
      </w:r>
      <w:r w:rsidRPr="00251961">
        <w:rPr>
          <w:w w:val="99"/>
        </w:rPr>
        <w:t>is</w:t>
      </w:r>
      <w:r w:rsidRPr="00251961">
        <w:rPr>
          <w:spacing w:val="2"/>
        </w:rPr>
        <w:t xml:space="preserve"> </w:t>
      </w:r>
      <w:r w:rsidRPr="00251961">
        <w:rPr>
          <w:spacing w:val="-1"/>
        </w:rPr>
        <w:t>a</w:t>
      </w:r>
      <w:r w:rsidRPr="00251961">
        <w:t>l</w:t>
      </w:r>
      <w:r w:rsidRPr="00251961">
        <w:rPr>
          <w:spacing w:val="1"/>
        </w:rPr>
        <w:t>r</w:t>
      </w:r>
      <w:r w:rsidRPr="00251961">
        <w:rPr>
          <w:spacing w:val="-1"/>
        </w:rPr>
        <w:t>ea</w:t>
      </w:r>
      <w:r w:rsidRPr="00251961">
        <w:rPr>
          <w:spacing w:val="4"/>
        </w:rPr>
        <w:t>d</w:t>
      </w:r>
      <w:r w:rsidRPr="00251961">
        <w:t>y</w:t>
      </w:r>
      <w:r w:rsidRPr="00251961">
        <w:rPr>
          <w:spacing w:val="-5"/>
        </w:rPr>
        <w:t xml:space="preserve"> </w:t>
      </w:r>
      <w:r w:rsidRPr="00251961">
        <w:t>publi</w:t>
      </w:r>
      <w:r w:rsidRPr="00251961">
        <w:rPr>
          <w:w w:val="99"/>
        </w:rPr>
        <w:t>sh</w:t>
      </w:r>
      <w:r w:rsidRPr="00251961">
        <w:rPr>
          <w:spacing w:val="-1"/>
          <w:w w:val="99"/>
        </w:rPr>
        <w:t>e</w:t>
      </w:r>
      <w:r w:rsidRPr="00251961">
        <w:t>d</w:t>
      </w:r>
      <w:r w:rsidRPr="00251961">
        <w:rPr>
          <w:spacing w:val="1"/>
        </w:rPr>
        <w:t xml:space="preserve"> </w:t>
      </w:r>
      <w:r w:rsidRPr="00251961">
        <w:rPr>
          <w:w w:val="99"/>
        </w:rPr>
        <w:t>is</w:t>
      </w:r>
      <w:r w:rsidRPr="00251961">
        <w:t xml:space="preserve"> c</w:t>
      </w:r>
      <w:r w:rsidRPr="00251961">
        <w:rPr>
          <w:spacing w:val="-2"/>
        </w:rPr>
        <w:t>a</w:t>
      </w:r>
      <w:r w:rsidRPr="00251961">
        <w:t>ll</w:t>
      </w:r>
      <w:r w:rsidRPr="00251961">
        <w:rPr>
          <w:spacing w:val="-1"/>
        </w:rPr>
        <w:t>e</w:t>
      </w:r>
      <w:r w:rsidRPr="00251961">
        <w:t>d</w:t>
      </w:r>
      <w:r w:rsidRPr="00251961">
        <w:rPr>
          <w:spacing w:val="2"/>
        </w:rPr>
        <w:t xml:space="preserve"> </w:t>
      </w:r>
      <w:r w:rsidRPr="00251961">
        <w:rPr>
          <w:spacing w:val="-1"/>
          <w:w w:val="44"/>
        </w:rPr>
        <w:t>―</w:t>
      </w:r>
      <w:r w:rsidRPr="00251961">
        <w:rPr>
          <w:spacing w:val="-1"/>
        </w:rPr>
        <w:t>sec</w:t>
      </w:r>
      <w:r w:rsidRPr="00251961">
        <w:t>ond</w:t>
      </w:r>
      <w:r w:rsidRPr="00251961">
        <w:rPr>
          <w:spacing w:val="1"/>
        </w:rPr>
        <w:t>a</w:t>
      </w:r>
      <w:r w:rsidRPr="00251961">
        <w:rPr>
          <w:spacing w:val="3"/>
        </w:rPr>
        <w:t>r</w:t>
      </w:r>
      <w:r w:rsidRPr="00251961">
        <w:t>y</w:t>
      </w:r>
      <w:r w:rsidRPr="00251961">
        <w:rPr>
          <w:spacing w:val="-5"/>
        </w:rPr>
        <w:t xml:space="preserve"> </w:t>
      </w:r>
      <w:r w:rsidRPr="00251961">
        <w:t>d</w:t>
      </w:r>
      <w:r w:rsidRPr="00251961">
        <w:rPr>
          <w:spacing w:val="-1"/>
        </w:rPr>
        <w:t>a</w:t>
      </w:r>
      <w:r w:rsidRPr="00251961">
        <w:t>t</w:t>
      </w:r>
      <w:r w:rsidRPr="00251961">
        <w:rPr>
          <w:spacing w:val="1"/>
        </w:rPr>
        <w:t>a</w:t>
      </w:r>
      <w:r w:rsidRPr="00251961">
        <w:rPr>
          <w:spacing w:val="-1"/>
          <w:w w:val="158"/>
        </w:rPr>
        <w:t>‖</w:t>
      </w:r>
      <w:r w:rsidRPr="00251961">
        <w:t xml:space="preserve">. </w:t>
      </w:r>
      <w:r w:rsidRPr="00251961">
        <w:rPr>
          <w:spacing w:val="1"/>
        </w:rPr>
        <w:t>W</w:t>
      </w:r>
      <w:r w:rsidRPr="00251961">
        <w:t>hich in</w:t>
      </w:r>
      <w:r w:rsidRPr="00251961">
        <w:rPr>
          <w:spacing w:val="-1"/>
        </w:rPr>
        <w:t>c</w:t>
      </w:r>
      <w:r w:rsidRPr="00251961">
        <w:t>lude;</w:t>
      </w:r>
    </w:p>
    <w:p w:rsidR="00F32F90" w:rsidRPr="00251961" w:rsidRDefault="00F32F90" w:rsidP="00251961">
      <w:pPr>
        <w:pStyle w:val="ListParagraph"/>
        <w:numPr>
          <w:ilvl w:val="2"/>
          <w:numId w:val="2"/>
        </w:numPr>
        <w:tabs>
          <w:tab w:val="left" w:pos="941"/>
        </w:tabs>
        <w:spacing w:before="212" w:line="360" w:lineRule="auto"/>
        <w:ind w:hanging="361"/>
        <w:jc w:val="both"/>
        <w:rPr>
          <w:sz w:val="24"/>
          <w:szCs w:val="24"/>
        </w:rPr>
      </w:pPr>
      <w:r w:rsidRPr="00251961">
        <w:rPr>
          <w:sz w:val="24"/>
          <w:szCs w:val="24"/>
        </w:rPr>
        <w:t>Web</w:t>
      </w:r>
      <w:r w:rsidRPr="00251961">
        <w:rPr>
          <w:spacing w:val="-1"/>
          <w:sz w:val="24"/>
          <w:szCs w:val="24"/>
        </w:rPr>
        <w:t xml:space="preserve"> </w:t>
      </w:r>
      <w:r w:rsidRPr="00251961">
        <w:rPr>
          <w:sz w:val="24"/>
          <w:szCs w:val="24"/>
        </w:rPr>
        <w:t>sites</w:t>
      </w:r>
    </w:p>
    <w:p w:rsidR="00F32F90" w:rsidRPr="00251961" w:rsidRDefault="00F32F90" w:rsidP="00251961">
      <w:pPr>
        <w:pStyle w:val="ListParagraph"/>
        <w:numPr>
          <w:ilvl w:val="2"/>
          <w:numId w:val="2"/>
        </w:numPr>
        <w:tabs>
          <w:tab w:val="left" w:pos="941"/>
        </w:tabs>
        <w:spacing w:before="136" w:line="360" w:lineRule="auto"/>
        <w:ind w:hanging="361"/>
        <w:jc w:val="both"/>
        <w:rPr>
          <w:sz w:val="24"/>
          <w:szCs w:val="24"/>
        </w:rPr>
      </w:pPr>
      <w:r w:rsidRPr="00251961">
        <w:rPr>
          <w:sz w:val="24"/>
          <w:szCs w:val="24"/>
        </w:rPr>
        <w:t>Annual</w:t>
      </w:r>
      <w:r w:rsidRPr="00251961">
        <w:rPr>
          <w:spacing w:val="-1"/>
          <w:sz w:val="24"/>
          <w:szCs w:val="24"/>
        </w:rPr>
        <w:t xml:space="preserve"> </w:t>
      </w:r>
      <w:r w:rsidRPr="00251961">
        <w:rPr>
          <w:sz w:val="24"/>
          <w:szCs w:val="24"/>
        </w:rPr>
        <w:t>reports</w:t>
      </w:r>
      <w:r w:rsidRPr="00251961">
        <w:rPr>
          <w:spacing w:val="-1"/>
          <w:sz w:val="24"/>
          <w:szCs w:val="24"/>
        </w:rPr>
        <w:t xml:space="preserve"> </w:t>
      </w:r>
      <w:r w:rsidRPr="00251961">
        <w:rPr>
          <w:sz w:val="24"/>
          <w:szCs w:val="24"/>
        </w:rPr>
        <w:t>of</w:t>
      </w:r>
      <w:r w:rsidRPr="00251961">
        <w:rPr>
          <w:spacing w:val="-2"/>
          <w:sz w:val="24"/>
          <w:szCs w:val="24"/>
        </w:rPr>
        <w:t xml:space="preserve"> </w:t>
      </w:r>
      <w:r w:rsidRPr="00251961">
        <w:rPr>
          <w:sz w:val="24"/>
          <w:szCs w:val="24"/>
        </w:rPr>
        <w:t>the</w:t>
      </w:r>
      <w:r w:rsidRPr="00251961">
        <w:rPr>
          <w:spacing w:val="-2"/>
          <w:sz w:val="24"/>
          <w:szCs w:val="24"/>
        </w:rPr>
        <w:t xml:space="preserve"> </w:t>
      </w:r>
      <w:r w:rsidRPr="00251961">
        <w:rPr>
          <w:sz w:val="24"/>
          <w:szCs w:val="24"/>
        </w:rPr>
        <w:t>company.</w:t>
      </w:r>
    </w:p>
    <w:p w:rsidR="00F32F90" w:rsidRPr="00251961" w:rsidRDefault="00F32F90" w:rsidP="00251961">
      <w:pPr>
        <w:pStyle w:val="BodyText"/>
        <w:spacing w:before="1" w:line="360" w:lineRule="auto"/>
        <w:ind w:left="220" w:right="395"/>
        <w:jc w:val="both"/>
      </w:pPr>
      <w:r w:rsidRPr="00251961">
        <w:t>To</w:t>
      </w:r>
      <w:r w:rsidRPr="00251961">
        <w:rPr>
          <w:spacing w:val="1"/>
        </w:rPr>
        <w:t xml:space="preserve"> </w:t>
      </w:r>
      <w:r w:rsidRPr="00251961">
        <w:t>accomplish</w:t>
      </w:r>
      <w:r w:rsidRPr="00251961">
        <w:rPr>
          <w:spacing w:val="1"/>
        </w:rPr>
        <w:t xml:space="preserve"> </w:t>
      </w:r>
      <w:r w:rsidRPr="00251961">
        <w:t>the</w:t>
      </w:r>
      <w:r w:rsidRPr="00251961">
        <w:rPr>
          <w:spacing w:val="1"/>
        </w:rPr>
        <w:t xml:space="preserve"> </w:t>
      </w:r>
      <w:r w:rsidRPr="00251961">
        <w:t>given</w:t>
      </w:r>
      <w:r w:rsidRPr="00251961">
        <w:rPr>
          <w:spacing w:val="1"/>
        </w:rPr>
        <w:t xml:space="preserve"> </w:t>
      </w:r>
      <w:r w:rsidRPr="00251961">
        <w:t>objectives,</w:t>
      </w:r>
      <w:r w:rsidRPr="00251961">
        <w:rPr>
          <w:spacing w:val="1"/>
        </w:rPr>
        <w:t xml:space="preserve"> </w:t>
      </w:r>
      <w:r w:rsidRPr="00251961">
        <w:t>data</w:t>
      </w:r>
      <w:r w:rsidRPr="00251961">
        <w:rPr>
          <w:spacing w:val="1"/>
        </w:rPr>
        <w:t xml:space="preserve"> </w:t>
      </w:r>
      <w:r w:rsidRPr="00251961">
        <w:t>have</w:t>
      </w:r>
      <w:r w:rsidRPr="00251961">
        <w:rPr>
          <w:spacing w:val="1"/>
        </w:rPr>
        <w:t xml:space="preserve"> </w:t>
      </w:r>
      <w:r w:rsidRPr="00251961">
        <w:t>gathered</w:t>
      </w:r>
      <w:r w:rsidRPr="00251961">
        <w:rPr>
          <w:spacing w:val="1"/>
        </w:rPr>
        <w:t xml:space="preserve"> </w:t>
      </w:r>
      <w:r w:rsidRPr="00251961">
        <w:t>from</w:t>
      </w:r>
      <w:r w:rsidRPr="00251961">
        <w:rPr>
          <w:spacing w:val="1"/>
        </w:rPr>
        <w:t xml:space="preserve"> </w:t>
      </w:r>
      <w:r w:rsidRPr="00251961">
        <w:t>different</w:t>
      </w:r>
      <w:r w:rsidRPr="00251961">
        <w:rPr>
          <w:spacing w:val="1"/>
        </w:rPr>
        <w:t xml:space="preserve"> </w:t>
      </w:r>
      <w:r w:rsidRPr="00251961">
        <w:t>sources</w:t>
      </w:r>
      <w:r w:rsidRPr="00251961">
        <w:rPr>
          <w:spacing w:val="1"/>
        </w:rPr>
        <w:t xml:space="preserve"> </w:t>
      </w:r>
      <w:r w:rsidRPr="00251961">
        <w:t>and</w:t>
      </w:r>
      <w:r w:rsidRPr="00251961">
        <w:rPr>
          <w:spacing w:val="1"/>
        </w:rPr>
        <w:t xml:space="preserve"> </w:t>
      </w:r>
      <w:r w:rsidRPr="00251961">
        <w:t>it‘s</w:t>
      </w:r>
      <w:r w:rsidRPr="00251961">
        <w:rPr>
          <w:spacing w:val="-57"/>
        </w:rPr>
        <w:t xml:space="preserve"> </w:t>
      </w:r>
      <w:r w:rsidRPr="00251961">
        <w:t>included;</w:t>
      </w:r>
    </w:p>
    <w:p w:rsidR="00F32F90" w:rsidRPr="00251961" w:rsidRDefault="00F32F90" w:rsidP="00251961">
      <w:pPr>
        <w:pStyle w:val="ListParagraph"/>
        <w:numPr>
          <w:ilvl w:val="2"/>
          <w:numId w:val="2"/>
        </w:numPr>
        <w:tabs>
          <w:tab w:val="left" w:pos="941"/>
        </w:tabs>
        <w:spacing w:before="72" w:line="360" w:lineRule="auto"/>
        <w:ind w:right="406"/>
        <w:jc w:val="both"/>
        <w:rPr>
          <w:sz w:val="24"/>
          <w:szCs w:val="24"/>
        </w:rPr>
      </w:pPr>
      <w:r w:rsidRPr="00251961">
        <w:rPr>
          <w:sz w:val="24"/>
          <w:szCs w:val="24"/>
        </w:rPr>
        <w:t>The research is basically found on secondary data where it‘s in descriptive analysis.</w:t>
      </w:r>
      <w:r w:rsidRPr="00251961">
        <w:rPr>
          <w:spacing w:val="1"/>
          <w:sz w:val="24"/>
          <w:szCs w:val="24"/>
        </w:rPr>
        <w:t xml:space="preserve"> </w:t>
      </w:r>
      <w:r w:rsidRPr="00251961">
        <w:rPr>
          <w:sz w:val="24"/>
          <w:szCs w:val="24"/>
        </w:rPr>
        <w:t>And the</w:t>
      </w:r>
      <w:r w:rsidRPr="00251961">
        <w:rPr>
          <w:spacing w:val="-1"/>
          <w:sz w:val="24"/>
          <w:szCs w:val="24"/>
        </w:rPr>
        <w:t xml:space="preserve"> </w:t>
      </w:r>
      <w:r w:rsidRPr="00251961">
        <w:rPr>
          <w:sz w:val="24"/>
          <w:szCs w:val="24"/>
        </w:rPr>
        <w:t>source</w:t>
      </w:r>
      <w:r w:rsidRPr="00251961">
        <w:rPr>
          <w:spacing w:val="-1"/>
          <w:sz w:val="24"/>
          <w:szCs w:val="24"/>
        </w:rPr>
        <w:t xml:space="preserve"> </w:t>
      </w:r>
      <w:r w:rsidRPr="00251961">
        <w:rPr>
          <w:sz w:val="24"/>
          <w:szCs w:val="24"/>
        </w:rPr>
        <w:t>of the</w:t>
      </w:r>
      <w:r w:rsidRPr="00251961">
        <w:rPr>
          <w:spacing w:val="-2"/>
          <w:sz w:val="24"/>
          <w:szCs w:val="24"/>
        </w:rPr>
        <w:t xml:space="preserve"> </w:t>
      </w:r>
      <w:r w:rsidRPr="00251961">
        <w:rPr>
          <w:sz w:val="24"/>
          <w:szCs w:val="24"/>
        </w:rPr>
        <w:t>data.</w:t>
      </w:r>
    </w:p>
    <w:p w:rsidR="00F32F90" w:rsidRPr="00251961" w:rsidRDefault="00F32F90" w:rsidP="00251961">
      <w:pPr>
        <w:pStyle w:val="ListParagraph"/>
        <w:numPr>
          <w:ilvl w:val="2"/>
          <w:numId w:val="2"/>
        </w:numPr>
        <w:tabs>
          <w:tab w:val="left" w:pos="941"/>
        </w:tabs>
        <w:spacing w:line="360" w:lineRule="auto"/>
        <w:ind w:right="395"/>
        <w:jc w:val="both"/>
        <w:rPr>
          <w:sz w:val="24"/>
          <w:szCs w:val="24"/>
        </w:rPr>
      </w:pPr>
      <w:r w:rsidRPr="00251961">
        <w:rPr>
          <w:sz w:val="24"/>
          <w:szCs w:val="24"/>
        </w:rPr>
        <w:t>The information is obtained from the Canara bank, by branch managers, promoting</w:t>
      </w:r>
      <w:r w:rsidRPr="00251961">
        <w:rPr>
          <w:spacing w:val="1"/>
          <w:sz w:val="24"/>
          <w:szCs w:val="24"/>
        </w:rPr>
        <w:t xml:space="preserve"> </w:t>
      </w:r>
      <w:r w:rsidRPr="00251961">
        <w:rPr>
          <w:sz w:val="24"/>
          <w:szCs w:val="24"/>
        </w:rPr>
        <w:t>research,</w:t>
      </w:r>
      <w:r w:rsidRPr="00251961">
        <w:rPr>
          <w:spacing w:val="-1"/>
          <w:sz w:val="24"/>
          <w:szCs w:val="24"/>
        </w:rPr>
        <w:t xml:space="preserve"> </w:t>
      </w:r>
      <w:r w:rsidRPr="00251961">
        <w:rPr>
          <w:sz w:val="24"/>
          <w:szCs w:val="24"/>
        </w:rPr>
        <w:t>research reports,</w:t>
      </w:r>
      <w:r w:rsidRPr="00251961">
        <w:rPr>
          <w:spacing w:val="2"/>
          <w:sz w:val="24"/>
          <w:szCs w:val="24"/>
        </w:rPr>
        <w:t xml:space="preserve"> </w:t>
      </w:r>
      <w:r w:rsidRPr="00251961">
        <w:rPr>
          <w:sz w:val="24"/>
          <w:szCs w:val="24"/>
        </w:rPr>
        <w:t>and published</w:t>
      </w:r>
      <w:r w:rsidRPr="00251961">
        <w:rPr>
          <w:spacing w:val="-1"/>
          <w:sz w:val="24"/>
          <w:szCs w:val="24"/>
        </w:rPr>
        <w:t xml:space="preserve"> </w:t>
      </w:r>
      <w:r w:rsidRPr="00251961">
        <w:rPr>
          <w:sz w:val="24"/>
          <w:szCs w:val="24"/>
        </w:rPr>
        <w:t>articles related to NPA.</w:t>
      </w:r>
    </w:p>
    <w:p w:rsidR="00F32F90" w:rsidRPr="00251961" w:rsidRDefault="00F32F90" w:rsidP="00251961">
      <w:pPr>
        <w:pStyle w:val="ListParagraph"/>
        <w:spacing w:line="360" w:lineRule="auto"/>
        <w:ind w:left="782" w:firstLine="0"/>
        <w:jc w:val="both"/>
        <w:rPr>
          <w:sz w:val="24"/>
          <w:szCs w:val="24"/>
        </w:rPr>
      </w:pPr>
      <w:r w:rsidRPr="00251961">
        <w:rPr>
          <w:sz w:val="24"/>
          <w:szCs w:val="24"/>
        </w:rPr>
        <w:t>The statistical information on NPA, bank- explicit and economic indicators have been</w:t>
      </w:r>
      <w:r w:rsidRPr="00251961">
        <w:rPr>
          <w:spacing w:val="1"/>
          <w:sz w:val="24"/>
          <w:szCs w:val="24"/>
        </w:rPr>
        <w:t xml:space="preserve"> </w:t>
      </w:r>
      <w:r w:rsidRPr="00251961">
        <w:rPr>
          <w:sz w:val="24"/>
          <w:szCs w:val="24"/>
        </w:rPr>
        <w:t>collected</w:t>
      </w:r>
      <w:r w:rsidRPr="00251961">
        <w:rPr>
          <w:spacing w:val="1"/>
          <w:sz w:val="24"/>
          <w:szCs w:val="24"/>
        </w:rPr>
        <w:t xml:space="preserve"> </w:t>
      </w:r>
      <w:r w:rsidRPr="00251961">
        <w:rPr>
          <w:sz w:val="24"/>
          <w:szCs w:val="24"/>
        </w:rPr>
        <w:t>mainly</w:t>
      </w:r>
      <w:r w:rsidRPr="00251961">
        <w:rPr>
          <w:spacing w:val="1"/>
          <w:sz w:val="24"/>
          <w:szCs w:val="24"/>
        </w:rPr>
        <w:t xml:space="preserve"> </w:t>
      </w:r>
      <w:r w:rsidRPr="00251961">
        <w:rPr>
          <w:sz w:val="24"/>
          <w:szCs w:val="24"/>
        </w:rPr>
        <w:t>from</w:t>
      </w:r>
    </w:p>
    <w:p w:rsidR="00F32F90" w:rsidRPr="00251961" w:rsidRDefault="00F32F90" w:rsidP="00251961">
      <w:pPr>
        <w:pStyle w:val="ListParagraph"/>
        <w:spacing w:line="360" w:lineRule="auto"/>
        <w:ind w:left="782" w:firstLine="0"/>
        <w:jc w:val="both"/>
        <w:rPr>
          <w:sz w:val="24"/>
          <w:szCs w:val="24"/>
        </w:rPr>
      </w:pPr>
    </w:p>
    <w:p w:rsidR="00F32F90" w:rsidRPr="00251961" w:rsidRDefault="00F32F90" w:rsidP="00251961">
      <w:pPr>
        <w:spacing w:line="360" w:lineRule="auto"/>
        <w:jc w:val="both"/>
        <w:rPr>
          <w:rFonts w:ascii="Times New Roman" w:hAnsi="Times New Roman" w:cs="Times New Roman"/>
          <w:b/>
          <w:bCs/>
          <w:sz w:val="32"/>
          <w:szCs w:val="32"/>
        </w:rPr>
      </w:pPr>
      <w:r w:rsidRPr="00251961">
        <w:rPr>
          <w:rFonts w:ascii="Times New Roman" w:hAnsi="Times New Roman" w:cs="Times New Roman"/>
          <w:b/>
          <w:bCs/>
          <w:sz w:val="32"/>
          <w:szCs w:val="32"/>
        </w:rPr>
        <w:t>Analysis of Data:</w:t>
      </w:r>
    </w:p>
    <w:p w:rsidR="00F32F90" w:rsidRPr="00251961" w:rsidRDefault="00F32F90" w:rsidP="00251961">
      <w:pPr>
        <w:spacing w:after="120" w:line="360" w:lineRule="auto"/>
        <w:ind w:left="-5"/>
        <w:jc w:val="both"/>
        <w:rPr>
          <w:rFonts w:ascii="Times New Roman" w:hAnsi="Times New Roman" w:cs="Times New Roman"/>
          <w:sz w:val="24"/>
          <w:szCs w:val="24"/>
        </w:rPr>
      </w:pPr>
      <w:r w:rsidRPr="00251961">
        <w:rPr>
          <w:rFonts w:ascii="Times New Roman" w:hAnsi="Times New Roman" w:cs="Times New Roman"/>
          <w:b/>
          <w:sz w:val="24"/>
          <w:szCs w:val="24"/>
        </w:rPr>
        <w:t>Gross NPA Ratio</w:t>
      </w:r>
    </w:p>
    <w:p w:rsidR="00F32F90" w:rsidRPr="00251961" w:rsidRDefault="00F32F90" w:rsidP="00251961">
      <w:pPr>
        <w:spacing w:after="145" w:line="360" w:lineRule="auto"/>
        <w:ind w:left="-5"/>
        <w:jc w:val="both"/>
        <w:rPr>
          <w:rFonts w:ascii="Times New Roman" w:hAnsi="Times New Roman" w:cs="Times New Roman"/>
          <w:b/>
          <w:sz w:val="24"/>
          <w:szCs w:val="24"/>
        </w:rPr>
      </w:pPr>
      <w:r w:rsidRPr="00251961">
        <w:rPr>
          <w:rFonts w:ascii="Times New Roman" w:hAnsi="Times New Roman" w:cs="Times New Roman"/>
          <w:b/>
          <w:sz w:val="24"/>
          <w:szCs w:val="24"/>
        </w:rPr>
        <w:t xml:space="preserve">Gross NPA = Gross NPA / Gross Advance * 100 </w:t>
      </w:r>
    </w:p>
    <w:p w:rsidR="00F32F90" w:rsidRPr="00251961" w:rsidRDefault="00F32F90" w:rsidP="00251961">
      <w:pPr>
        <w:spacing w:after="145" w:line="360" w:lineRule="auto"/>
        <w:ind w:left="-5"/>
        <w:jc w:val="both"/>
        <w:rPr>
          <w:rFonts w:ascii="Times New Roman" w:hAnsi="Times New Roman" w:cs="Times New Roman"/>
          <w:sz w:val="24"/>
          <w:szCs w:val="24"/>
        </w:rPr>
      </w:pPr>
      <w:r w:rsidRPr="00251961">
        <w:rPr>
          <w:rFonts w:ascii="Times New Roman" w:hAnsi="Times New Roman" w:cs="Times New Roman"/>
          <w:b/>
          <w:sz w:val="24"/>
          <w:szCs w:val="24"/>
        </w:rPr>
        <w:t>5.1.1. Table showing the percentage of Gross NPA</w:t>
      </w:r>
    </w:p>
    <w:p w:rsidR="00F32F90" w:rsidRPr="00251961" w:rsidRDefault="00F32F90" w:rsidP="00251961">
      <w:pPr>
        <w:spacing w:after="0" w:line="360" w:lineRule="auto"/>
        <w:ind w:right="576"/>
        <w:jc w:val="both"/>
        <w:rPr>
          <w:rFonts w:ascii="Times New Roman" w:hAnsi="Times New Roman" w:cs="Times New Roman"/>
          <w:sz w:val="24"/>
          <w:szCs w:val="24"/>
        </w:rPr>
      </w:pPr>
    </w:p>
    <w:tbl>
      <w:tblPr>
        <w:tblStyle w:val="TableGrid"/>
        <w:tblW w:w="8088" w:type="dxa"/>
        <w:tblInd w:w="612" w:type="dxa"/>
        <w:tblCellMar>
          <w:top w:w="7" w:type="dxa"/>
          <w:left w:w="336" w:type="dxa"/>
          <w:right w:w="115" w:type="dxa"/>
        </w:tblCellMar>
        <w:tblLook w:val="04A0" w:firstRow="1" w:lastRow="0" w:firstColumn="1" w:lastColumn="0" w:noHBand="0" w:noVBand="1"/>
      </w:tblPr>
      <w:tblGrid>
        <w:gridCol w:w="2095"/>
        <w:gridCol w:w="2134"/>
        <w:gridCol w:w="1533"/>
        <w:gridCol w:w="2326"/>
      </w:tblGrid>
      <w:tr w:rsidR="00F32F90" w:rsidRPr="00251961" w:rsidTr="004C34B1">
        <w:trPr>
          <w:trHeight w:val="838"/>
        </w:trPr>
        <w:tc>
          <w:tcPr>
            <w:tcW w:w="2095"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ind w:right="224"/>
              <w:jc w:val="both"/>
              <w:rPr>
                <w:rFonts w:ascii="Times New Roman" w:hAnsi="Times New Roman" w:cs="Times New Roman"/>
              </w:rPr>
            </w:pPr>
            <w:r w:rsidRPr="00251961">
              <w:rPr>
                <w:rFonts w:ascii="Times New Roman" w:hAnsi="Times New Roman" w:cs="Times New Roman"/>
              </w:rPr>
              <w:t xml:space="preserve">Years </w:t>
            </w:r>
          </w:p>
        </w:tc>
        <w:tc>
          <w:tcPr>
            <w:tcW w:w="2134"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ind w:right="223"/>
              <w:jc w:val="both"/>
              <w:rPr>
                <w:rFonts w:ascii="Times New Roman" w:hAnsi="Times New Roman" w:cs="Times New Roman"/>
              </w:rPr>
            </w:pPr>
            <w:r w:rsidRPr="00251961">
              <w:rPr>
                <w:rFonts w:ascii="Times New Roman" w:hAnsi="Times New Roman" w:cs="Times New Roman"/>
              </w:rPr>
              <w:t xml:space="preserve">Gross NPA </w:t>
            </w:r>
          </w:p>
        </w:tc>
        <w:tc>
          <w:tcPr>
            <w:tcW w:w="1533"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ind w:right="220"/>
              <w:jc w:val="both"/>
              <w:rPr>
                <w:rFonts w:ascii="Times New Roman" w:hAnsi="Times New Roman" w:cs="Times New Roman"/>
              </w:rPr>
            </w:pPr>
            <w:r w:rsidRPr="00251961">
              <w:rPr>
                <w:rFonts w:ascii="Times New Roman" w:hAnsi="Times New Roman" w:cs="Times New Roman"/>
              </w:rPr>
              <w:t xml:space="preserve">Gross Advance </w:t>
            </w:r>
          </w:p>
        </w:tc>
        <w:tc>
          <w:tcPr>
            <w:tcW w:w="2326"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ind w:left="211" w:hanging="82"/>
              <w:jc w:val="both"/>
              <w:rPr>
                <w:rFonts w:ascii="Times New Roman" w:hAnsi="Times New Roman" w:cs="Times New Roman"/>
              </w:rPr>
            </w:pPr>
            <w:r w:rsidRPr="00251961">
              <w:rPr>
                <w:rFonts w:ascii="Times New Roman" w:hAnsi="Times New Roman" w:cs="Times New Roman"/>
              </w:rPr>
              <w:t xml:space="preserve">Gross NPA Percentage </w:t>
            </w:r>
          </w:p>
        </w:tc>
      </w:tr>
      <w:tr w:rsidR="00F32F90" w:rsidRPr="00251961" w:rsidTr="004C34B1">
        <w:trPr>
          <w:trHeight w:val="631"/>
        </w:trPr>
        <w:tc>
          <w:tcPr>
            <w:tcW w:w="2095"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ind w:right="224"/>
              <w:jc w:val="both"/>
              <w:rPr>
                <w:rFonts w:ascii="Times New Roman" w:hAnsi="Times New Roman" w:cs="Times New Roman"/>
              </w:rPr>
            </w:pPr>
            <w:r w:rsidRPr="00251961">
              <w:rPr>
                <w:rFonts w:ascii="Times New Roman" w:hAnsi="Times New Roman" w:cs="Times New Roman"/>
              </w:rPr>
              <w:t>2018- 2019</w:t>
            </w:r>
          </w:p>
        </w:tc>
        <w:tc>
          <w:tcPr>
            <w:tcW w:w="2134"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ind w:right="226"/>
              <w:jc w:val="both"/>
              <w:rPr>
                <w:rFonts w:ascii="Times New Roman" w:hAnsi="Times New Roman" w:cs="Times New Roman"/>
              </w:rPr>
            </w:pPr>
            <w:r w:rsidRPr="00251961">
              <w:rPr>
                <w:rFonts w:ascii="Times New Roman" w:hAnsi="Times New Roman" w:cs="Times New Roman"/>
              </w:rPr>
              <w:t>39224.12</w:t>
            </w:r>
          </w:p>
        </w:tc>
        <w:tc>
          <w:tcPr>
            <w:tcW w:w="1533"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ind w:right="221"/>
              <w:jc w:val="both"/>
              <w:rPr>
                <w:rFonts w:ascii="Times New Roman" w:hAnsi="Times New Roman" w:cs="Times New Roman"/>
              </w:rPr>
            </w:pPr>
            <w:r w:rsidRPr="00251961">
              <w:rPr>
                <w:rFonts w:ascii="Times New Roman" w:hAnsi="Times New Roman" w:cs="Times New Roman"/>
              </w:rPr>
              <w:t>44421</w:t>
            </w:r>
          </w:p>
        </w:tc>
        <w:tc>
          <w:tcPr>
            <w:tcW w:w="2326"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ind w:right="221"/>
              <w:jc w:val="both"/>
              <w:rPr>
                <w:rFonts w:ascii="Times New Roman" w:hAnsi="Times New Roman" w:cs="Times New Roman"/>
              </w:rPr>
            </w:pPr>
            <w:r w:rsidRPr="00251961">
              <w:rPr>
                <w:rFonts w:ascii="Times New Roman" w:hAnsi="Times New Roman" w:cs="Times New Roman"/>
              </w:rPr>
              <w:t>9.00%</w:t>
            </w:r>
          </w:p>
        </w:tc>
      </w:tr>
      <w:tr w:rsidR="00F32F90" w:rsidRPr="00251961" w:rsidTr="004C34B1">
        <w:trPr>
          <w:trHeight w:val="388"/>
        </w:trPr>
        <w:tc>
          <w:tcPr>
            <w:tcW w:w="2095"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ind w:right="224"/>
              <w:jc w:val="both"/>
              <w:rPr>
                <w:rFonts w:ascii="Times New Roman" w:hAnsi="Times New Roman" w:cs="Times New Roman"/>
              </w:rPr>
            </w:pPr>
            <w:r w:rsidRPr="00251961">
              <w:rPr>
                <w:rFonts w:ascii="Times New Roman" w:hAnsi="Times New Roman" w:cs="Times New Roman"/>
              </w:rPr>
              <w:lastRenderedPageBreak/>
              <w:t>2019- 2020</w:t>
            </w:r>
          </w:p>
        </w:tc>
        <w:tc>
          <w:tcPr>
            <w:tcW w:w="2134"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ind w:right="226"/>
              <w:jc w:val="both"/>
              <w:rPr>
                <w:rFonts w:ascii="Times New Roman" w:hAnsi="Times New Roman" w:cs="Times New Roman"/>
              </w:rPr>
            </w:pPr>
            <w:r w:rsidRPr="00251961">
              <w:rPr>
                <w:rFonts w:ascii="Times New Roman" w:hAnsi="Times New Roman" w:cs="Times New Roman"/>
              </w:rPr>
              <w:t>37041.15</w:t>
            </w:r>
          </w:p>
        </w:tc>
        <w:tc>
          <w:tcPr>
            <w:tcW w:w="1533"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ind w:right="221"/>
              <w:jc w:val="both"/>
              <w:rPr>
                <w:rFonts w:ascii="Times New Roman" w:hAnsi="Times New Roman" w:cs="Times New Roman"/>
              </w:rPr>
            </w:pPr>
            <w:r w:rsidRPr="00251961">
              <w:rPr>
                <w:rFonts w:ascii="Times New Roman" w:hAnsi="Times New Roman" w:cs="Times New Roman"/>
              </w:rPr>
              <w:t>451223</w:t>
            </w:r>
          </w:p>
        </w:tc>
        <w:tc>
          <w:tcPr>
            <w:tcW w:w="2326"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ind w:right="221"/>
              <w:jc w:val="both"/>
              <w:rPr>
                <w:rFonts w:ascii="Times New Roman" w:hAnsi="Times New Roman" w:cs="Times New Roman"/>
              </w:rPr>
            </w:pPr>
            <w:r w:rsidRPr="00251961">
              <w:rPr>
                <w:rFonts w:ascii="Times New Roman" w:hAnsi="Times New Roman" w:cs="Times New Roman"/>
              </w:rPr>
              <w:t xml:space="preserve">        8.20%                                                                                                                                                                                                                                                     </w:t>
            </w:r>
          </w:p>
          <w:p w:rsidR="00F32F90" w:rsidRPr="00251961" w:rsidRDefault="00F32F90" w:rsidP="00251961">
            <w:pPr>
              <w:spacing w:line="360" w:lineRule="auto"/>
              <w:ind w:right="221"/>
              <w:jc w:val="both"/>
              <w:rPr>
                <w:rFonts w:ascii="Times New Roman" w:hAnsi="Times New Roman" w:cs="Times New Roman"/>
              </w:rPr>
            </w:pPr>
          </w:p>
        </w:tc>
      </w:tr>
      <w:tr w:rsidR="00F32F90" w:rsidRPr="00251961" w:rsidTr="004C34B1">
        <w:trPr>
          <w:trHeight w:val="631"/>
        </w:trPr>
        <w:tc>
          <w:tcPr>
            <w:tcW w:w="2095"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ind w:right="222"/>
              <w:jc w:val="both"/>
              <w:rPr>
                <w:rFonts w:ascii="Times New Roman" w:hAnsi="Times New Roman" w:cs="Times New Roman"/>
              </w:rPr>
            </w:pPr>
            <w:r w:rsidRPr="00251961">
              <w:rPr>
                <w:rFonts w:ascii="Times New Roman" w:hAnsi="Times New Roman" w:cs="Times New Roman"/>
              </w:rPr>
              <w:t>2020 - 2021</w:t>
            </w:r>
          </w:p>
        </w:tc>
        <w:tc>
          <w:tcPr>
            <w:tcW w:w="2134"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ind w:right="226"/>
              <w:jc w:val="both"/>
              <w:rPr>
                <w:rFonts w:ascii="Times New Roman" w:hAnsi="Times New Roman" w:cs="Times New Roman"/>
              </w:rPr>
            </w:pPr>
            <w:r w:rsidRPr="00251961">
              <w:rPr>
                <w:rFonts w:ascii="Times New Roman" w:hAnsi="Times New Roman" w:cs="Times New Roman"/>
              </w:rPr>
              <w:t xml:space="preserve">     63228.00</w:t>
            </w:r>
          </w:p>
        </w:tc>
        <w:tc>
          <w:tcPr>
            <w:tcW w:w="1533"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ind w:right="221"/>
              <w:jc w:val="both"/>
              <w:rPr>
                <w:rFonts w:ascii="Times New Roman" w:hAnsi="Times New Roman" w:cs="Times New Roman"/>
              </w:rPr>
            </w:pPr>
            <w:r w:rsidRPr="00251961">
              <w:rPr>
                <w:rFonts w:ascii="Times New Roman" w:hAnsi="Times New Roman" w:cs="Times New Roman"/>
              </w:rPr>
              <w:t>9467.00</w:t>
            </w:r>
          </w:p>
          <w:p w:rsidR="00F32F90" w:rsidRPr="00251961" w:rsidRDefault="00F32F90" w:rsidP="00251961">
            <w:pPr>
              <w:spacing w:line="360" w:lineRule="auto"/>
              <w:ind w:right="221"/>
              <w:jc w:val="both"/>
              <w:rPr>
                <w:rFonts w:ascii="Times New Roman" w:hAnsi="Times New Roman" w:cs="Times New Roman"/>
              </w:rPr>
            </w:pPr>
          </w:p>
        </w:tc>
        <w:tc>
          <w:tcPr>
            <w:tcW w:w="2326"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ind w:right="221"/>
              <w:jc w:val="both"/>
              <w:rPr>
                <w:rFonts w:ascii="Times New Roman" w:hAnsi="Times New Roman" w:cs="Times New Roman"/>
              </w:rPr>
            </w:pPr>
            <w:r w:rsidRPr="00251961">
              <w:rPr>
                <w:rFonts w:ascii="Times New Roman" w:hAnsi="Times New Roman" w:cs="Times New Roman"/>
              </w:rPr>
              <w:t>9.10%</w:t>
            </w:r>
          </w:p>
        </w:tc>
      </w:tr>
      <w:tr w:rsidR="00F32F90" w:rsidRPr="00251961" w:rsidTr="004C34B1">
        <w:trPr>
          <w:trHeight w:val="256"/>
        </w:trPr>
        <w:tc>
          <w:tcPr>
            <w:tcW w:w="2095"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ind w:right="224"/>
              <w:jc w:val="both"/>
              <w:rPr>
                <w:rFonts w:ascii="Times New Roman" w:hAnsi="Times New Roman" w:cs="Times New Roman"/>
              </w:rPr>
            </w:pPr>
            <w:r w:rsidRPr="00251961">
              <w:rPr>
                <w:rFonts w:ascii="Times New Roman" w:hAnsi="Times New Roman" w:cs="Times New Roman"/>
              </w:rPr>
              <w:t>2021- 2022</w:t>
            </w:r>
          </w:p>
        </w:tc>
        <w:tc>
          <w:tcPr>
            <w:tcW w:w="2134"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ind w:right="226"/>
              <w:jc w:val="both"/>
              <w:rPr>
                <w:rFonts w:ascii="Times New Roman" w:hAnsi="Times New Roman" w:cs="Times New Roman"/>
              </w:rPr>
            </w:pPr>
            <w:r w:rsidRPr="00251961">
              <w:rPr>
                <w:rFonts w:ascii="Times New Roman" w:hAnsi="Times New Roman" w:cs="Times New Roman"/>
              </w:rPr>
              <w:t xml:space="preserve">    55652.00</w:t>
            </w:r>
          </w:p>
        </w:tc>
        <w:tc>
          <w:tcPr>
            <w:tcW w:w="1533"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ind w:right="221"/>
              <w:jc w:val="both"/>
              <w:rPr>
                <w:rFonts w:ascii="Times New Roman" w:hAnsi="Times New Roman" w:cs="Times New Roman"/>
              </w:rPr>
            </w:pPr>
            <w:r w:rsidRPr="00251961">
              <w:rPr>
                <w:rFonts w:ascii="Times New Roman" w:hAnsi="Times New Roman" w:cs="Times New Roman"/>
              </w:rPr>
              <w:t xml:space="preserve">         9879</w:t>
            </w:r>
          </w:p>
        </w:tc>
        <w:tc>
          <w:tcPr>
            <w:tcW w:w="2326"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ind w:right="221"/>
              <w:jc w:val="both"/>
              <w:rPr>
                <w:rFonts w:ascii="Times New Roman" w:hAnsi="Times New Roman" w:cs="Times New Roman"/>
              </w:rPr>
            </w:pPr>
            <w:r w:rsidRPr="00251961">
              <w:rPr>
                <w:rFonts w:ascii="Times New Roman" w:hAnsi="Times New Roman" w:cs="Times New Roman"/>
              </w:rPr>
              <w:t>8.30%</w:t>
            </w:r>
          </w:p>
        </w:tc>
      </w:tr>
      <w:tr w:rsidR="00F32F90" w:rsidRPr="00251961" w:rsidTr="004C34B1">
        <w:trPr>
          <w:trHeight w:val="51"/>
        </w:trPr>
        <w:tc>
          <w:tcPr>
            <w:tcW w:w="2095"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ind w:right="222"/>
              <w:jc w:val="both"/>
              <w:rPr>
                <w:rFonts w:ascii="Times New Roman" w:hAnsi="Times New Roman" w:cs="Times New Roman"/>
              </w:rPr>
            </w:pPr>
            <w:r w:rsidRPr="00251961">
              <w:rPr>
                <w:rFonts w:ascii="Times New Roman" w:hAnsi="Times New Roman" w:cs="Times New Roman"/>
              </w:rPr>
              <w:t>2022 - 2023</w:t>
            </w:r>
          </w:p>
        </w:tc>
        <w:tc>
          <w:tcPr>
            <w:tcW w:w="2134"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ind w:right="226"/>
              <w:jc w:val="both"/>
              <w:rPr>
                <w:rFonts w:ascii="Times New Roman" w:hAnsi="Times New Roman" w:cs="Times New Roman"/>
              </w:rPr>
            </w:pPr>
            <w:r w:rsidRPr="00251961">
              <w:rPr>
                <w:rFonts w:ascii="Times New Roman" w:hAnsi="Times New Roman" w:cs="Times New Roman"/>
              </w:rPr>
              <w:t xml:space="preserve">   46160.00</w:t>
            </w:r>
          </w:p>
        </w:tc>
        <w:tc>
          <w:tcPr>
            <w:tcW w:w="1533"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ind w:right="221"/>
              <w:jc w:val="both"/>
              <w:rPr>
                <w:rFonts w:ascii="Times New Roman" w:hAnsi="Times New Roman" w:cs="Times New Roman"/>
              </w:rPr>
            </w:pPr>
            <w:r w:rsidRPr="00251961">
              <w:rPr>
                <w:rFonts w:ascii="Times New Roman" w:hAnsi="Times New Roman" w:cs="Times New Roman"/>
              </w:rPr>
              <w:t>7399</w:t>
            </w:r>
          </w:p>
        </w:tc>
        <w:tc>
          <w:tcPr>
            <w:tcW w:w="2326"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ind w:right="221"/>
              <w:jc w:val="both"/>
              <w:rPr>
                <w:rFonts w:ascii="Times New Roman" w:hAnsi="Times New Roman" w:cs="Times New Roman"/>
              </w:rPr>
            </w:pPr>
            <w:r w:rsidRPr="00251961">
              <w:rPr>
                <w:rFonts w:ascii="Times New Roman" w:hAnsi="Times New Roman" w:cs="Times New Roman"/>
              </w:rPr>
              <w:t>6.2%</w:t>
            </w:r>
          </w:p>
        </w:tc>
      </w:tr>
    </w:tbl>
    <w:p w:rsidR="00F32F90" w:rsidRPr="00251961" w:rsidRDefault="00F32F90" w:rsidP="00251961">
      <w:pPr>
        <w:spacing w:line="360" w:lineRule="auto"/>
        <w:jc w:val="both"/>
        <w:rPr>
          <w:rFonts w:ascii="Times New Roman" w:hAnsi="Times New Roman" w:cs="Times New Roman"/>
          <w:sz w:val="24"/>
          <w:szCs w:val="24"/>
          <w:lang w:val="en-US"/>
        </w:rPr>
      </w:pPr>
    </w:p>
    <w:p w:rsidR="00F32F90" w:rsidRPr="00251961" w:rsidRDefault="00F32F90" w:rsidP="00251961">
      <w:pPr>
        <w:spacing w:after="167" w:line="360" w:lineRule="auto"/>
        <w:jc w:val="both"/>
        <w:rPr>
          <w:rFonts w:ascii="Times New Roman" w:hAnsi="Times New Roman" w:cs="Times New Roman"/>
          <w:sz w:val="24"/>
          <w:szCs w:val="24"/>
        </w:rPr>
      </w:pPr>
      <w:r w:rsidRPr="00251961">
        <w:rPr>
          <w:rFonts w:ascii="Times New Roman" w:hAnsi="Times New Roman" w:cs="Times New Roman"/>
          <w:b/>
          <w:sz w:val="24"/>
          <w:szCs w:val="24"/>
        </w:rPr>
        <w:t xml:space="preserve">       5.1.2 Graph representing the percentage of Gross NPA </w:t>
      </w:r>
    </w:p>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noProof/>
          <w:sz w:val="24"/>
          <w:szCs w:val="24"/>
          <w:lang w:eastAsia="en-IN"/>
        </w:rPr>
        <w:drawing>
          <wp:inline distT="0" distB="0" distL="0" distR="0" wp14:anchorId="708F54E1" wp14:editId="45B8272F">
            <wp:extent cx="5154930" cy="2095500"/>
            <wp:effectExtent l="0" t="0" r="762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F32F90" w:rsidRPr="00251961" w:rsidRDefault="00F32F90" w:rsidP="00251961">
      <w:pPr>
        <w:spacing w:line="360" w:lineRule="auto"/>
        <w:jc w:val="both"/>
        <w:rPr>
          <w:rFonts w:ascii="Times New Roman" w:hAnsi="Times New Roman" w:cs="Times New Roman"/>
          <w:b/>
          <w:bCs/>
          <w:sz w:val="24"/>
          <w:szCs w:val="24"/>
          <w:lang w:val="en-US"/>
        </w:rPr>
      </w:pPr>
      <w:r w:rsidRPr="00251961">
        <w:rPr>
          <w:rFonts w:ascii="Times New Roman" w:hAnsi="Times New Roman" w:cs="Times New Roman"/>
          <w:b/>
          <w:bCs/>
          <w:sz w:val="24"/>
          <w:szCs w:val="24"/>
          <w:lang w:val="en-US"/>
        </w:rPr>
        <w:t xml:space="preserve">  Interpretation:-</w:t>
      </w:r>
    </w:p>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rPr>
        <w:t xml:space="preserve"> Canara bank's gross advances increased between 2019 and 2023, driven by a focus on the agricultural sector and lending to farmers for various purposes. During this period, there was also a rise in gross non-performing assets (NPA's) due to difficulties in loan recovery, such as limited legal recourse and delayed resolution processes. However, in 2021, the bank implemented improved strategies, including legal recourse and alternative methods, resulting in a reduction in the gross NPA ratio</w:t>
      </w:r>
      <w:r w:rsidRPr="00251961">
        <w:rPr>
          <w:rFonts w:ascii="Times New Roman" w:hAnsi="Times New Roman" w:cs="Times New Roman"/>
          <w:sz w:val="24"/>
          <w:szCs w:val="24"/>
          <w:lang w:val="en-US"/>
        </w:rPr>
        <w:t>.</w:t>
      </w:r>
    </w:p>
    <w:p w:rsidR="00F32F90" w:rsidRPr="00251961" w:rsidRDefault="00F32F90" w:rsidP="00251961">
      <w:pPr>
        <w:spacing w:after="255" w:line="360" w:lineRule="auto"/>
        <w:jc w:val="both"/>
        <w:rPr>
          <w:rFonts w:ascii="Times New Roman" w:hAnsi="Times New Roman" w:cs="Times New Roman"/>
          <w:b/>
          <w:sz w:val="24"/>
          <w:szCs w:val="24"/>
        </w:rPr>
      </w:pPr>
    </w:p>
    <w:p w:rsidR="00F32F90" w:rsidRPr="00251961" w:rsidRDefault="00F32F90" w:rsidP="00251961">
      <w:pPr>
        <w:spacing w:after="255" w:line="360" w:lineRule="auto"/>
        <w:jc w:val="both"/>
        <w:rPr>
          <w:rFonts w:ascii="Times New Roman" w:hAnsi="Times New Roman" w:cs="Times New Roman"/>
          <w:sz w:val="24"/>
          <w:szCs w:val="24"/>
        </w:rPr>
      </w:pPr>
      <w:r w:rsidRPr="00251961">
        <w:rPr>
          <w:rFonts w:ascii="Times New Roman" w:hAnsi="Times New Roman" w:cs="Times New Roman"/>
          <w:b/>
          <w:sz w:val="24"/>
          <w:szCs w:val="24"/>
        </w:rPr>
        <w:t>5.2. Net NPA Ratio</w:t>
      </w:r>
    </w:p>
    <w:p w:rsidR="00F32F90" w:rsidRPr="00251961" w:rsidRDefault="00F32F90" w:rsidP="00251961">
      <w:pPr>
        <w:spacing w:line="360" w:lineRule="auto"/>
        <w:ind w:left="-5" w:right="1349"/>
        <w:jc w:val="both"/>
        <w:rPr>
          <w:rFonts w:ascii="Times New Roman" w:hAnsi="Times New Roman" w:cs="Times New Roman"/>
          <w:sz w:val="24"/>
          <w:szCs w:val="24"/>
        </w:rPr>
      </w:pPr>
      <w:r w:rsidRPr="00251961">
        <w:rPr>
          <w:rFonts w:ascii="Times New Roman" w:hAnsi="Times New Roman" w:cs="Times New Roman"/>
          <w:sz w:val="24"/>
          <w:szCs w:val="24"/>
        </w:rPr>
        <w:t xml:space="preserve">% of Net NPA = Gross NPA – Provisions / gross advances*100 </w:t>
      </w:r>
    </w:p>
    <w:p w:rsidR="00F32F90" w:rsidRPr="00251961" w:rsidRDefault="00F32F90" w:rsidP="00251961">
      <w:pPr>
        <w:spacing w:line="360" w:lineRule="auto"/>
        <w:ind w:left="-5" w:right="1349"/>
        <w:jc w:val="both"/>
        <w:rPr>
          <w:rFonts w:ascii="Times New Roman" w:hAnsi="Times New Roman" w:cs="Times New Roman"/>
          <w:sz w:val="24"/>
          <w:szCs w:val="24"/>
        </w:rPr>
      </w:pPr>
    </w:p>
    <w:p w:rsidR="00F32F90" w:rsidRPr="00251961" w:rsidRDefault="00F32F90" w:rsidP="00251961">
      <w:pPr>
        <w:spacing w:line="360" w:lineRule="auto"/>
        <w:ind w:left="-5" w:right="1349"/>
        <w:jc w:val="both"/>
        <w:rPr>
          <w:rFonts w:ascii="Times New Roman" w:hAnsi="Times New Roman" w:cs="Times New Roman"/>
          <w:sz w:val="24"/>
          <w:szCs w:val="24"/>
        </w:rPr>
      </w:pPr>
      <w:r w:rsidRPr="00251961">
        <w:rPr>
          <w:rFonts w:ascii="Times New Roman" w:hAnsi="Times New Roman" w:cs="Times New Roman"/>
          <w:sz w:val="24"/>
          <w:szCs w:val="24"/>
        </w:rPr>
        <w:t>5.2.1. Table showing the percentage of net NPA</w:t>
      </w:r>
    </w:p>
    <w:p w:rsidR="00F32F90" w:rsidRPr="00251961" w:rsidRDefault="00F32F90" w:rsidP="00251961">
      <w:pPr>
        <w:spacing w:line="360" w:lineRule="auto"/>
        <w:ind w:left="-5" w:right="1349"/>
        <w:jc w:val="both"/>
        <w:rPr>
          <w:rFonts w:ascii="Times New Roman" w:hAnsi="Times New Roman" w:cs="Times New Roman"/>
          <w:sz w:val="24"/>
          <w:szCs w:val="24"/>
        </w:rPr>
      </w:pPr>
    </w:p>
    <w:tbl>
      <w:tblPr>
        <w:tblStyle w:val="TableGrid"/>
        <w:tblW w:w="9422" w:type="dxa"/>
        <w:tblInd w:w="-108" w:type="dxa"/>
        <w:tblCellMar>
          <w:top w:w="7" w:type="dxa"/>
          <w:left w:w="108" w:type="dxa"/>
          <w:right w:w="115" w:type="dxa"/>
        </w:tblCellMar>
        <w:tblLook w:val="04A0" w:firstRow="1" w:lastRow="0" w:firstColumn="1" w:lastColumn="0" w:noHBand="0" w:noVBand="1"/>
      </w:tblPr>
      <w:tblGrid>
        <w:gridCol w:w="1884"/>
        <w:gridCol w:w="1882"/>
        <w:gridCol w:w="1887"/>
        <w:gridCol w:w="1884"/>
        <w:gridCol w:w="1885"/>
      </w:tblGrid>
      <w:tr w:rsidR="00F32F90" w:rsidRPr="00251961" w:rsidTr="004C34B1">
        <w:trPr>
          <w:trHeight w:val="931"/>
        </w:trPr>
        <w:tc>
          <w:tcPr>
            <w:tcW w:w="1884"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b/>
              </w:rPr>
              <w:t xml:space="preserve">Years </w:t>
            </w:r>
          </w:p>
        </w:tc>
        <w:tc>
          <w:tcPr>
            <w:tcW w:w="1882"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b/>
              </w:rPr>
              <w:t xml:space="preserve">Gross NPA </w:t>
            </w:r>
          </w:p>
        </w:tc>
        <w:tc>
          <w:tcPr>
            <w:tcW w:w="1887"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b/>
              </w:rPr>
              <w:t xml:space="preserve">Provisions </w:t>
            </w:r>
          </w:p>
        </w:tc>
        <w:tc>
          <w:tcPr>
            <w:tcW w:w="1884"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b/>
              </w:rPr>
              <w:t xml:space="preserve">Gross advances </w:t>
            </w:r>
          </w:p>
        </w:tc>
        <w:tc>
          <w:tcPr>
            <w:tcW w:w="1885"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b/>
              </w:rPr>
              <w:t xml:space="preserve"> Percentage of </w:t>
            </w:r>
          </w:p>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b/>
              </w:rPr>
              <w:t xml:space="preserve">Net NPA </w:t>
            </w:r>
          </w:p>
        </w:tc>
      </w:tr>
      <w:tr w:rsidR="00F32F90" w:rsidRPr="00251961" w:rsidTr="004C34B1">
        <w:trPr>
          <w:trHeight w:val="689"/>
        </w:trPr>
        <w:tc>
          <w:tcPr>
            <w:tcW w:w="1884"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2018 -2019</w:t>
            </w:r>
          </w:p>
        </w:tc>
        <w:tc>
          <w:tcPr>
            <w:tcW w:w="1882"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39224.12</w:t>
            </w:r>
          </w:p>
        </w:tc>
        <w:tc>
          <w:tcPr>
            <w:tcW w:w="1887"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12722.82</w:t>
            </w:r>
          </w:p>
        </w:tc>
        <w:tc>
          <w:tcPr>
            <w:tcW w:w="1884"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444216</w:t>
            </w:r>
          </w:p>
        </w:tc>
        <w:tc>
          <w:tcPr>
            <w:tcW w:w="1885"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5.37%</w:t>
            </w:r>
          </w:p>
        </w:tc>
      </w:tr>
      <w:tr w:rsidR="00F32F90" w:rsidRPr="00251961" w:rsidTr="004C34B1">
        <w:trPr>
          <w:trHeight w:val="686"/>
        </w:trPr>
        <w:tc>
          <w:tcPr>
            <w:tcW w:w="1884"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2019- 2020</w:t>
            </w:r>
          </w:p>
        </w:tc>
        <w:tc>
          <w:tcPr>
            <w:tcW w:w="1882"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37041.15</w:t>
            </w:r>
          </w:p>
        </w:tc>
        <w:tc>
          <w:tcPr>
            <w:tcW w:w="1887"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11696.51</w:t>
            </w:r>
          </w:p>
        </w:tc>
        <w:tc>
          <w:tcPr>
            <w:tcW w:w="1884"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451223</w:t>
            </w:r>
          </w:p>
        </w:tc>
        <w:tc>
          <w:tcPr>
            <w:tcW w:w="1885"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4.22%</w:t>
            </w:r>
          </w:p>
        </w:tc>
      </w:tr>
      <w:tr w:rsidR="00F32F90" w:rsidRPr="00251961" w:rsidTr="004C34B1">
        <w:trPr>
          <w:trHeight w:val="589"/>
        </w:trPr>
        <w:tc>
          <w:tcPr>
            <w:tcW w:w="1884"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2020 - 2021</w:t>
            </w:r>
          </w:p>
        </w:tc>
        <w:tc>
          <w:tcPr>
            <w:tcW w:w="1882"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63228.00</w:t>
            </w:r>
          </w:p>
        </w:tc>
        <w:tc>
          <w:tcPr>
            <w:tcW w:w="1887"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17490.37</w:t>
            </w:r>
          </w:p>
        </w:tc>
        <w:tc>
          <w:tcPr>
            <w:tcW w:w="1884"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675155</w:t>
            </w:r>
          </w:p>
        </w:tc>
        <w:tc>
          <w:tcPr>
            <w:tcW w:w="1885"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3.82%</w:t>
            </w:r>
          </w:p>
        </w:tc>
      </w:tr>
      <w:tr w:rsidR="00F32F90" w:rsidRPr="00251961" w:rsidTr="004C34B1">
        <w:trPr>
          <w:trHeight w:val="686"/>
        </w:trPr>
        <w:tc>
          <w:tcPr>
            <w:tcW w:w="1884"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2021 – 2022</w:t>
            </w:r>
          </w:p>
        </w:tc>
        <w:tc>
          <w:tcPr>
            <w:tcW w:w="1882"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55652.00</w:t>
            </w:r>
          </w:p>
        </w:tc>
        <w:tc>
          <w:tcPr>
            <w:tcW w:w="1887"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17502.62</w:t>
            </w:r>
          </w:p>
        </w:tc>
        <w:tc>
          <w:tcPr>
            <w:tcW w:w="1884"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741147</w:t>
            </w:r>
          </w:p>
        </w:tc>
        <w:tc>
          <w:tcPr>
            <w:tcW w:w="1885"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2.65%</w:t>
            </w:r>
          </w:p>
        </w:tc>
      </w:tr>
      <w:tr w:rsidR="00F32F90" w:rsidRPr="00251961" w:rsidTr="004C34B1">
        <w:trPr>
          <w:trHeight w:val="689"/>
        </w:trPr>
        <w:tc>
          <w:tcPr>
            <w:tcW w:w="1884"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2022 - 2023</w:t>
            </w:r>
          </w:p>
        </w:tc>
        <w:tc>
          <w:tcPr>
            <w:tcW w:w="1882"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46160.00</w:t>
            </w:r>
          </w:p>
        </w:tc>
        <w:tc>
          <w:tcPr>
            <w:tcW w:w="1887"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17166.48</w:t>
            </w:r>
          </w:p>
        </w:tc>
        <w:tc>
          <w:tcPr>
            <w:tcW w:w="1884"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862782</w:t>
            </w:r>
          </w:p>
        </w:tc>
        <w:tc>
          <w:tcPr>
            <w:tcW w:w="1885"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1.73%</w:t>
            </w:r>
          </w:p>
        </w:tc>
      </w:tr>
    </w:tbl>
    <w:p w:rsidR="00F32F90" w:rsidRPr="00251961" w:rsidRDefault="00F32F90" w:rsidP="00251961">
      <w:pPr>
        <w:spacing w:after="156" w:line="360" w:lineRule="auto"/>
        <w:jc w:val="both"/>
        <w:rPr>
          <w:rFonts w:ascii="Times New Roman" w:hAnsi="Times New Roman" w:cs="Times New Roman"/>
          <w:sz w:val="24"/>
          <w:szCs w:val="24"/>
        </w:rPr>
      </w:pPr>
    </w:p>
    <w:p w:rsidR="00F32F90" w:rsidRPr="00251961" w:rsidRDefault="00F32F90" w:rsidP="00251961">
      <w:pPr>
        <w:spacing w:after="0" w:line="360" w:lineRule="auto"/>
        <w:ind w:left="-5"/>
        <w:jc w:val="both"/>
        <w:rPr>
          <w:rFonts w:ascii="Times New Roman" w:hAnsi="Times New Roman" w:cs="Times New Roman"/>
          <w:b/>
          <w:sz w:val="24"/>
          <w:szCs w:val="24"/>
        </w:rPr>
      </w:pPr>
      <w:r w:rsidRPr="00251961">
        <w:rPr>
          <w:rFonts w:ascii="Times New Roman" w:hAnsi="Times New Roman" w:cs="Times New Roman"/>
          <w:b/>
          <w:sz w:val="24"/>
          <w:szCs w:val="24"/>
        </w:rPr>
        <w:t>5.3.2. Graph showing the Provisions Ratio</w:t>
      </w:r>
    </w:p>
    <w:p w:rsidR="00F32F90" w:rsidRPr="00251961" w:rsidRDefault="00F32F90" w:rsidP="00251961">
      <w:pPr>
        <w:spacing w:after="0" w:line="360" w:lineRule="auto"/>
        <w:jc w:val="both"/>
        <w:rPr>
          <w:rFonts w:ascii="Times New Roman" w:hAnsi="Times New Roman" w:cs="Times New Roman"/>
          <w:b/>
          <w:sz w:val="24"/>
          <w:szCs w:val="24"/>
        </w:rPr>
      </w:pPr>
    </w:p>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noProof/>
          <w:sz w:val="24"/>
          <w:szCs w:val="24"/>
          <w:lang w:eastAsia="en-IN"/>
        </w:rPr>
        <w:drawing>
          <wp:inline distT="0" distB="0" distL="0" distR="0" wp14:anchorId="44C42232" wp14:editId="3360B620">
            <wp:extent cx="5741670" cy="2743200"/>
            <wp:effectExtent l="19050" t="0" r="1143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Interpretation:-</w:t>
      </w:r>
    </w:p>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rPr>
        <w:t>The data from the above table show a consistent increase in Gross NPA and provisions over the years, along with a gradual rise in gross advances. The net NPA percentage increased from 2020 to 2023, indicating a lack of efficient loan recovery mechanisms. However, it decreased in the subsequent year due to effective recovery strategies.</w:t>
      </w:r>
    </w:p>
    <w:p w:rsidR="00F32F90" w:rsidRPr="00251961" w:rsidRDefault="00F32F90" w:rsidP="00251961">
      <w:pPr>
        <w:spacing w:after="0" w:line="360" w:lineRule="auto"/>
        <w:jc w:val="both"/>
        <w:rPr>
          <w:rFonts w:ascii="Times New Roman" w:hAnsi="Times New Roman" w:cs="Times New Roman"/>
          <w:b/>
          <w:sz w:val="24"/>
          <w:szCs w:val="24"/>
        </w:rPr>
      </w:pPr>
      <w:r w:rsidRPr="00251961">
        <w:rPr>
          <w:rFonts w:ascii="Times New Roman" w:hAnsi="Times New Roman" w:cs="Times New Roman"/>
          <w:b/>
          <w:sz w:val="24"/>
          <w:szCs w:val="24"/>
        </w:rPr>
        <w:t>5.3 Provisions Ratio (%)</w:t>
      </w:r>
    </w:p>
    <w:p w:rsidR="00F32F90" w:rsidRPr="00251961" w:rsidRDefault="00F32F90" w:rsidP="00251961">
      <w:pPr>
        <w:spacing w:after="0" w:line="360" w:lineRule="auto"/>
        <w:jc w:val="both"/>
        <w:rPr>
          <w:rFonts w:ascii="Times New Roman" w:hAnsi="Times New Roman" w:cs="Times New Roman"/>
          <w:b/>
          <w:sz w:val="24"/>
          <w:szCs w:val="24"/>
        </w:rPr>
      </w:pPr>
    </w:p>
    <w:p w:rsidR="00F32F90" w:rsidRPr="00251961" w:rsidRDefault="00F32F90" w:rsidP="00251961">
      <w:pPr>
        <w:spacing w:after="0" w:line="360" w:lineRule="auto"/>
        <w:ind w:left="360"/>
        <w:jc w:val="both"/>
        <w:rPr>
          <w:rFonts w:ascii="Times New Roman" w:hAnsi="Times New Roman" w:cs="Times New Roman"/>
          <w:sz w:val="24"/>
          <w:szCs w:val="24"/>
        </w:rPr>
      </w:pPr>
      <w:r w:rsidRPr="00251961">
        <w:rPr>
          <w:rFonts w:ascii="Times New Roman" w:hAnsi="Times New Roman" w:cs="Times New Roman"/>
          <w:sz w:val="24"/>
          <w:szCs w:val="24"/>
        </w:rPr>
        <w:t>Provision Ratio = provisions / Gross NPA’s *100</w:t>
      </w:r>
    </w:p>
    <w:p w:rsidR="00F32F90" w:rsidRPr="00251961" w:rsidRDefault="00F32F90" w:rsidP="00251961">
      <w:pPr>
        <w:spacing w:after="0" w:line="360" w:lineRule="auto"/>
        <w:ind w:left="360"/>
        <w:jc w:val="both"/>
        <w:rPr>
          <w:rFonts w:ascii="Times New Roman" w:hAnsi="Times New Roman" w:cs="Times New Roman"/>
          <w:sz w:val="24"/>
          <w:szCs w:val="24"/>
        </w:rPr>
      </w:pPr>
    </w:p>
    <w:p w:rsidR="00F32F90" w:rsidRPr="00251961" w:rsidRDefault="00F32F90" w:rsidP="00251961">
      <w:pPr>
        <w:spacing w:after="0" w:line="360" w:lineRule="auto"/>
        <w:jc w:val="both"/>
        <w:rPr>
          <w:rFonts w:ascii="Times New Roman" w:hAnsi="Times New Roman" w:cs="Times New Roman"/>
          <w:sz w:val="24"/>
          <w:szCs w:val="24"/>
        </w:rPr>
      </w:pPr>
      <w:r w:rsidRPr="00251961">
        <w:rPr>
          <w:rFonts w:ascii="Times New Roman" w:hAnsi="Times New Roman" w:cs="Times New Roman"/>
          <w:sz w:val="24"/>
          <w:szCs w:val="24"/>
        </w:rPr>
        <w:t>5.3.1. Table showing the percentage of provisions Ratio</w:t>
      </w:r>
    </w:p>
    <w:p w:rsidR="00F32F90" w:rsidRPr="00251961" w:rsidRDefault="00F32F90" w:rsidP="00251961">
      <w:pPr>
        <w:spacing w:after="0" w:line="360" w:lineRule="auto"/>
        <w:jc w:val="both"/>
        <w:rPr>
          <w:rFonts w:ascii="Times New Roman" w:hAnsi="Times New Roman" w:cs="Times New Roman"/>
          <w:sz w:val="24"/>
          <w:szCs w:val="24"/>
        </w:rPr>
      </w:pPr>
    </w:p>
    <w:tbl>
      <w:tblPr>
        <w:tblStyle w:val="TableGrid0"/>
        <w:tblW w:w="0" w:type="auto"/>
        <w:tblInd w:w="10" w:type="dxa"/>
        <w:tblLook w:val="04A0" w:firstRow="1" w:lastRow="0" w:firstColumn="1" w:lastColumn="0" w:noHBand="0" w:noVBand="1"/>
      </w:tblPr>
      <w:tblGrid>
        <w:gridCol w:w="2237"/>
        <w:gridCol w:w="2258"/>
        <w:gridCol w:w="2253"/>
        <w:gridCol w:w="2258"/>
      </w:tblGrid>
      <w:tr w:rsidR="00F32F90" w:rsidRPr="00251961" w:rsidTr="004C34B1">
        <w:trPr>
          <w:trHeight w:val="362"/>
        </w:trPr>
        <w:tc>
          <w:tcPr>
            <w:tcW w:w="2305" w:type="dxa"/>
          </w:tcPr>
          <w:p w:rsidR="00F32F90" w:rsidRPr="00251961" w:rsidRDefault="00F32F90" w:rsidP="00251961">
            <w:pPr>
              <w:spacing w:line="360" w:lineRule="auto"/>
              <w:jc w:val="both"/>
              <w:rPr>
                <w:rFonts w:ascii="Times New Roman" w:hAnsi="Times New Roman" w:cs="Times New Roman"/>
                <w:sz w:val="24"/>
                <w:szCs w:val="24"/>
              </w:rPr>
            </w:pPr>
            <w:r w:rsidRPr="00251961">
              <w:rPr>
                <w:rFonts w:ascii="Times New Roman" w:hAnsi="Times New Roman" w:cs="Times New Roman"/>
                <w:sz w:val="24"/>
                <w:szCs w:val="24"/>
              </w:rPr>
              <w:t>Years</w:t>
            </w:r>
          </w:p>
          <w:p w:rsidR="00F32F90" w:rsidRPr="00251961" w:rsidRDefault="00F32F90" w:rsidP="00251961">
            <w:pPr>
              <w:spacing w:line="360" w:lineRule="auto"/>
              <w:ind w:firstLine="720"/>
              <w:jc w:val="both"/>
              <w:rPr>
                <w:rFonts w:ascii="Times New Roman" w:hAnsi="Times New Roman" w:cs="Times New Roman"/>
                <w:sz w:val="24"/>
                <w:szCs w:val="24"/>
              </w:rPr>
            </w:pPr>
          </w:p>
        </w:tc>
        <w:tc>
          <w:tcPr>
            <w:tcW w:w="2305" w:type="dxa"/>
          </w:tcPr>
          <w:p w:rsidR="00F32F90" w:rsidRPr="00251961" w:rsidRDefault="00F32F90" w:rsidP="00251961">
            <w:pPr>
              <w:spacing w:line="360" w:lineRule="auto"/>
              <w:jc w:val="both"/>
              <w:rPr>
                <w:rFonts w:ascii="Times New Roman" w:hAnsi="Times New Roman" w:cs="Times New Roman"/>
                <w:sz w:val="24"/>
                <w:szCs w:val="24"/>
              </w:rPr>
            </w:pPr>
            <w:r w:rsidRPr="00251961">
              <w:rPr>
                <w:rFonts w:ascii="Times New Roman" w:hAnsi="Times New Roman" w:cs="Times New Roman"/>
                <w:sz w:val="24"/>
                <w:szCs w:val="24"/>
              </w:rPr>
              <w:t>Provisions</w:t>
            </w:r>
          </w:p>
        </w:tc>
        <w:tc>
          <w:tcPr>
            <w:tcW w:w="2305" w:type="dxa"/>
          </w:tcPr>
          <w:p w:rsidR="00F32F90" w:rsidRPr="00251961" w:rsidRDefault="00F32F90" w:rsidP="00251961">
            <w:pPr>
              <w:spacing w:line="360" w:lineRule="auto"/>
              <w:jc w:val="both"/>
              <w:rPr>
                <w:rFonts w:ascii="Times New Roman" w:hAnsi="Times New Roman" w:cs="Times New Roman"/>
                <w:sz w:val="24"/>
                <w:szCs w:val="24"/>
              </w:rPr>
            </w:pPr>
            <w:r w:rsidRPr="00251961">
              <w:rPr>
                <w:rFonts w:ascii="Times New Roman" w:hAnsi="Times New Roman" w:cs="Times New Roman"/>
                <w:sz w:val="24"/>
                <w:szCs w:val="24"/>
              </w:rPr>
              <w:t>Gross NPA’s</w:t>
            </w:r>
          </w:p>
        </w:tc>
        <w:tc>
          <w:tcPr>
            <w:tcW w:w="2305" w:type="dxa"/>
          </w:tcPr>
          <w:p w:rsidR="00F32F90" w:rsidRPr="00251961" w:rsidRDefault="00F32F90" w:rsidP="00251961">
            <w:pPr>
              <w:spacing w:line="360" w:lineRule="auto"/>
              <w:jc w:val="both"/>
              <w:rPr>
                <w:rFonts w:ascii="Times New Roman" w:hAnsi="Times New Roman" w:cs="Times New Roman"/>
                <w:sz w:val="24"/>
                <w:szCs w:val="24"/>
              </w:rPr>
            </w:pPr>
            <w:r w:rsidRPr="00251961">
              <w:rPr>
                <w:rFonts w:ascii="Times New Roman" w:hAnsi="Times New Roman" w:cs="Times New Roman"/>
                <w:sz w:val="24"/>
                <w:szCs w:val="24"/>
              </w:rPr>
              <w:t>Provisions Ratio</w:t>
            </w:r>
          </w:p>
        </w:tc>
      </w:tr>
      <w:tr w:rsidR="00F32F90" w:rsidRPr="00251961" w:rsidTr="004C34B1">
        <w:trPr>
          <w:trHeight w:val="376"/>
        </w:trPr>
        <w:tc>
          <w:tcPr>
            <w:tcW w:w="2305" w:type="dxa"/>
          </w:tcPr>
          <w:p w:rsidR="00F32F90" w:rsidRPr="00251961" w:rsidRDefault="00F32F90" w:rsidP="00251961">
            <w:pPr>
              <w:spacing w:line="360" w:lineRule="auto"/>
              <w:jc w:val="both"/>
              <w:rPr>
                <w:rFonts w:ascii="Times New Roman" w:hAnsi="Times New Roman" w:cs="Times New Roman"/>
                <w:sz w:val="24"/>
                <w:szCs w:val="24"/>
              </w:rPr>
            </w:pPr>
            <w:r w:rsidRPr="00251961">
              <w:rPr>
                <w:rFonts w:ascii="Times New Roman" w:hAnsi="Times New Roman" w:cs="Times New Roman"/>
                <w:sz w:val="24"/>
                <w:szCs w:val="24"/>
              </w:rPr>
              <w:t>2018-2019</w:t>
            </w:r>
          </w:p>
          <w:p w:rsidR="00F32F90" w:rsidRPr="00251961" w:rsidRDefault="00F32F90" w:rsidP="00251961">
            <w:pPr>
              <w:spacing w:line="360" w:lineRule="auto"/>
              <w:jc w:val="both"/>
              <w:rPr>
                <w:rFonts w:ascii="Times New Roman" w:hAnsi="Times New Roman" w:cs="Times New Roman"/>
                <w:sz w:val="24"/>
                <w:szCs w:val="24"/>
              </w:rPr>
            </w:pPr>
          </w:p>
        </w:tc>
        <w:tc>
          <w:tcPr>
            <w:tcW w:w="2305" w:type="dxa"/>
          </w:tcPr>
          <w:p w:rsidR="00F32F90" w:rsidRPr="00251961" w:rsidRDefault="00F32F90" w:rsidP="00251961">
            <w:pPr>
              <w:spacing w:line="360" w:lineRule="auto"/>
              <w:jc w:val="both"/>
              <w:rPr>
                <w:rFonts w:ascii="Times New Roman" w:hAnsi="Times New Roman" w:cs="Times New Roman"/>
                <w:sz w:val="24"/>
                <w:szCs w:val="24"/>
              </w:rPr>
            </w:pPr>
            <w:r w:rsidRPr="00251961">
              <w:rPr>
                <w:rFonts w:ascii="Times New Roman" w:hAnsi="Times New Roman" w:cs="Times New Roman"/>
                <w:sz w:val="24"/>
                <w:szCs w:val="24"/>
              </w:rPr>
              <w:t>12722.82</w:t>
            </w:r>
          </w:p>
        </w:tc>
        <w:tc>
          <w:tcPr>
            <w:tcW w:w="2305" w:type="dxa"/>
          </w:tcPr>
          <w:p w:rsidR="00F32F90" w:rsidRPr="00251961" w:rsidRDefault="00F32F90" w:rsidP="00251961">
            <w:pPr>
              <w:spacing w:line="360" w:lineRule="auto"/>
              <w:jc w:val="both"/>
              <w:rPr>
                <w:rFonts w:ascii="Times New Roman" w:hAnsi="Times New Roman" w:cs="Times New Roman"/>
                <w:sz w:val="24"/>
                <w:szCs w:val="24"/>
              </w:rPr>
            </w:pPr>
            <w:r w:rsidRPr="00251961">
              <w:rPr>
                <w:rFonts w:ascii="Times New Roman" w:hAnsi="Times New Roman" w:cs="Times New Roman"/>
                <w:sz w:val="24"/>
                <w:szCs w:val="24"/>
              </w:rPr>
              <w:t>39224.12</w:t>
            </w:r>
          </w:p>
        </w:tc>
        <w:tc>
          <w:tcPr>
            <w:tcW w:w="2305" w:type="dxa"/>
          </w:tcPr>
          <w:p w:rsidR="00F32F90" w:rsidRPr="00251961" w:rsidRDefault="00F32F90" w:rsidP="00251961">
            <w:pPr>
              <w:spacing w:line="360" w:lineRule="auto"/>
              <w:jc w:val="both"/>
              <w:rPr>
                <w:rFonts w:ascii="Times New Roman" w:hAnsi="Times New Roman" w:cs="Times New Roman"/>
                <w:sz w:val="24"/>
                <w:szCs w:val="24"/>
              </w:rPr>
            </w:pPr>
            <w:r w:rsidRPr="00251961">
              <w:rPr>
                <w:rFonts w:ascii="Times New Roman" w:hAnsi="Times New Roman" w:cs="Times New Roman"/>
                <w:sz w:val="24"/>
                <w:szCs w:val="24"/>
              </w:rPr>
              <w:t>32.43%</w:t>
            </w:r>
          </w:p>
        </w:tc>
      </w:tr>
      <w:tr w:rsidR="00F32F90" w:rsidRPr="00251961" w:rsidTr="004C34B1">
        <w:trPr>
          <w:trHeight w:val="376"/>
        </w:trPr>
        <w:tc>
          <w:tcPr>
            <w:tcW w:w="2305" w:type="dxa"/>
          </w:tcPr>
          <w:p w:rsidR="00F32F90" w:rsidRPr="00251961" w:rsidRDefault="00F32F90" w:rsidP="00251961">
            <w:pPr>
              <w:spacing w:line="360" w:lineRule="auto"/>
              <w:jc w:val="both"/>
              <w:rPr>
                <w:rFonts w:ascii="Times New Roman" w:hAnsi="Times New Roman" w:cs="Times New Roman"/>
                <w:sz w:val="24"/>
                <w:szCs w:val="24"/>
              </w:rPr>
            </w:pPr>
            <w:r w:rsidRPr="00251961">
              <w:rPr>
                <w:rFonts w:ascii="Times New Roman" w:hAnsi="Times New Roman" w:cs="Times New Roman"/>
                <w:sz w:val="24"/>
                <w:szCs w:val="24"/>
              </w:rPr>
              <w:t>2019-2020</w:t>
            </w:r>
          </w:p>
          <w:p w:rsidR="00F32F90" w:rsidRPr="00251961" w:rsidRDefault="00F32F90" w:rsidP="00251961">
            <w:pPr>
              <w:spacing w:line="360" w:lineRule="auto"/>
              <w:jc w:val="both"/>
              <w:rPr>
                <w:rFonts w:ascii="Times New Roman" w:hAnsi="Times New Roman" w:cs="Times New Roman"/>
                <w:sz w:val="24"/>
                <w:szCs w:val="24"/>
              </w:rPr>
            </w:pPr>
          </w:p>
        </w:tc>
        <w:tc>
          <w:tcPr>
            <w:tcW w:w="2305" w:type="dxa"/>
          </w:tcPr>
          <w:p w:rsidR="00F32F90" w:rsidRPr="00251961" w:rsidRDefault="00F32F90" w:rsidP="00251961">
            <w:pPr>
              <w:spacing w:line="360" w:lineRule="auto"/>
              <w:jc w:val="both"/>
              <w:rPr>
                <w:rFonts w:ascii="Times New Roman" w:hAnsi="Times New Roman" w:cs="Times New Roman"/>
                <w:sz w:val="24"/>
                <w:szCs w:val="24"/>
              </w:rPr>
            </w:pPr>
            <w:r w:rsidRPr="00251961">
              <w:rPr>
                <w:rFonts w:ascii="Times New Roman" w:hAnsi="Times New Roman" w:cs="Times New Roman"/>
                <w:sz w:val="24"/>
                <w:szCs w:val="24"/>
              </w:rPr>
              <w:t>11696.51</w:t>
            </w:r>
          </w:p>
          <w:p w:rsidR="00F32F90" w:rsidRPr="00251961" w:rsidRDefault="00F32F90" w:rsidP="00251961">
            <w:pPr>
              <w:spacing w:line="360" w:lineRule="auto"/>
              <w:jc w:val="both"/>
              <w:rPr>
                <w:rFonts w:ascii="Times New Roman" w:hAnsi="Times New Roman" w:cs="Times New Roman"/>
                <w:sz w:val="24"/>
                <w:szCs w:val="24"/>
              </w:rPr>
            </w:pPr>
          </w:p>
        </w:tc>
        <w:tc>
          <w:tcPr>
            <w:tcW w:w="2305" w:type="dxa"/>
          </w:tcPr>
          <w:p w:rsidR="00F32F90" w:rsidRPr="00251961" w:rsidRDefault="00F32F90" w:rsidP="00251961">
            <w:pPr>
              <w:spacing w:line="360" w:lineRule="auto"/>
              <w:jc w:val="both"/>
              <w:rPr>
                <w:rFonts w:ascii="Times New Roman" w:hAnsi="Times New Roman" w:cs="Times New Roman"/>
                <w:sz w:val="24"/>
                <w:szCs w:val="24"/>
              </w:rPr>
            </w:pPr>
            <w:r w:rsidRPr="00251961">
              <w:rPr>
                <w:rFonts w:ascii="Times New Roman" w:hAnsi="Times New Roman" w:cs="Times New Roman"/>
                <w:sz w:val="24"/>
                <w:szCs w:val="24"/>
              </w:rPr>
              <w:t>37041.15</w:t>
            </w:r>
          </w:p>
        </w:tc>
        <w:tc>
          <w:tcPr>
            <w:tcW w:w="2305" w:type="dxa"/>
          </w:tcPr>
          <w:p w:rsidR="00F32F90" w:rsidRPr="00251961" w:rsidRDefault="00F32F90" w:rsidP="00251961">
            <w:pPr>
              <w:spacing w:line="360" w:lineRule="auto"/>
              <w:jc w:val="both"/>
              <w:rPr>
                <w:rFonts w:ascii="Times New Roman" w:hAnsi="Times New Roman" w:cs="Times New Roman"/>
                <w:sz w:val="24"/>
                <w:szCs w:val="24"/>
              </w:rPr>
            </w:pPr>
            <w:r w:rsidRPr="00251961">
              <w:rPr>
                <w:rFonts w:ascii="Times New Roman" w:hAnsi="Times New Roman" w:cs="Times New Roman"/>
                <w:sz w:val="24"/>
                <w:szCs w:val="24"/>
              </w:rPr>
              <w:t>31.58%</w:t>
            </w:r>
          </w:p>
        </w:tc>
      </w:tr>
      <w:tr w:rsidR="00F32F90" w:rsidRPr="00251961" w:rsidTr="004C34B1">
        <w:trPr>
          <w:trHeight w:val="376"/>
        </w:trPr>
        <w:tc>
          <w:tcPr>
            <w:tcW w:w="2305" w:type="dxa"/>
          </w:tcPr>
          <w:p w:rsidR="00F32F90" w:rsidRPr="00251961" w:rsidRDefault="00F32F90" w:rsidP="00251961">
            <w:pPr>
              <w:spacing w:line="360" w:lineRule="auto"/>
              <w:jc w:val="both"/>
              <w:rPr>
                <w:rFonts w:ascii="Times New Roman" w:hAnsi="Times New Roman" w:cs="Times New Roman"/>
                <w:sz w:val="24"/>
                <w:szCs w:val="24"/>
              </w:rPr>
            </w:pPr>
            <w:r w:rsidRPr="00251961">
              <w:rPr>
                <w:rFonts w:ascii="Times New Roman" w:hAnsi="Times New Roman" w:cs="Times New Roman"/>
                <w:sz w:val="24"/>
                <w:szCs w:val="24"/>
              </w:rPr>
              <w:t>2020-2021</w:t>
            </w:r>
          </w:p>
          <w:p w:rsidR="00F32F90" w:rsidRPr="00251961" w:rsidRDefault="00F32F90" w:rsidP="00251961">
            <w:pPr>
              <w:spacing w:line="360" w:lineRule="auto"/>
              <w:jc w:val="both"/>
              <w:rPr>
                <w:rFonts w:ascii="Times New Roman" w:hAnsi="Times New Roman" w:cs="Times New Roman"/>
                <w:sz w:val="24"/>
                <w:szCs w:val="24"/>
              </w:rPr>
            </w:pPr>
          </w:p>
        </w:tc>
        <w:tc>
          <w:tcPr>
            <w:tcW w:w="2305" w:type="dxa"/>
          </w:tcPr>
          <w:p w:rsidR="00F32F90" w:rsidRPr="00251961" w:rsidRDefault="00F32F90" w:rsidP="00251961">
            <w:pPr>
              <w:spacing w:line="360" w:lineRule="auto"/>
              <w:jc w:val="both"/>
              <w:rPr>
                <w:rFonts w:ascii="Times New Roman" w:hAnsi="Times New Roman" w:cs="Times New Roman"/>
                <w:sz w:val="24"/>
                <w:szCs w:val="24"/>
              </w:rPr>
            </w:pPr>
            <w:r w:rsidRPr="00251961">
              <w:rPr>
                <w:rFonts w:ascii="Times New Roman" w:hAnsi="Times New Roman" w:cs="Times New Roman"/>
                <w:sz w:val="24"/>
                <w:szCs w:val="24"/>
              </w:rPr>
              <w:t>17490.37</w:t>
            </w:r>
          </w:p>
        </w:tc>
        <w:tc>
          <w:tcPr>
            <w:tcW w:w="2305" w:type="dxa"/>
          </w:tcPr>
          <w:p w:rsidR="00F32F90" w:rsidRPr="00251961" w:rsidRDefault="00F32F90" w:rsidP="00251961">
            <w:pPr>
              <w:spacing w:line="360" w:lineRule="auto"/>
              <w:jc w:val="both"/>
              <w:rPr>
                <w:rFonts w:ascii="Times New Roman" w:hAnsi="Times New Roman" w:cs="Times New Roman"/>
                <w:sz w:val="24"/>
                <w:szCs w:val="24"/>
              </w:rPr>
            </w:pPr>
            <w:r w:rsidRPr="00251961">
              <w:rPr>
                <w:rFonts w:ascii="Times New Roman" w:hAnsi="Times New Roman" w:cs="Times New Roman"/>
                <w:sz w:val="24"/>
                <w:szCs w:val="24"/>
              </w:rPr>
              <w:t>63228.00</w:t>
            </w:r>
          </w:p>
        </w:tc>
        <w:tc>
          <w:tcPr>
            <w:tcW w:w="2305" w:type="dxa"/>
          </w:tcPr>
          <w:p w:rsidR="00F32F90" w:rsidRPr="00251961" w:rsidRDefault="00F32F90" w:rsidP="00251961">
            <w:pPr>
              <w:spacing w:line="360" w:lineRule="auto"/>
              <w:jc w:val="both"/>
              <w:rPr>
                <w:rFonts w:ascii="Times New Roman" w:hAnsi="Times New Roman" w:cs="Times New Roman"/>
                <w:sz w:val="24"/>
                <w:szCs w:val="24"/>
              </w:rPr>
            </w:pPr>
            <w:r w:rsidRPr="00251961">
              <w:rPr>
                <w:rFonts w:ascii="Times New Roman" w:hAnsi="Times New Roman" w:cs="Times New Roman"/>
                <w:sz w:val="24"/>
                <w:szCs w:val="24"/>
              </w:rPr>
              <w:t>27.66%</w:t>
            </w:r>
          </w:p>
        </w:tc>
      </w:tr>
      <w:tr w:rsidR="00F32F90" w:rsidRPr="00251961" w:rsidTr="004C34B1">
        <w:trPr>
          <w:trHeight w:val="376"/>
        </w:trPr>
        <w:tc>
          <w:tcPr>
            <w:tcW w:w="2305" w:type="dxa"/>
          </w:tcPr>
          <w:p w:rsidR="00F32F90" w:rsidRPr="00251961" w:rsidRDefault="00F32F90" w:rsidP="00251961">
            <w:pPr>
              <w:spacing w:line="360" w:lineRule="auto"/>
              <w:jc w:val="both"/>
              <w:rPr>
                <w:rFonts w:ascii="Times New Roman" w:hAnsi="Times New Roman" w:cs="Times New Roman"/>
                <w:sz w:val="24"/>
                <w:szCs w:val="24"/>
              </w:rPr>
            </w:pPr>
            <w:r w:rsidRPr="00251961">
              <w:rPr>
                <w:rFonts w:ascii="Times New Roman" w:hAnsi="Times New Roman" w:cs="Times New Roman"/>
                <w:sz w:val="24"/>
                <w:szCs w:val="24"/>
              </w:rPr>
              <w:t>2021-2022</w:t>
            </w:r>
          </w:p>
          <w:p w:rsidR="00F32F90" w:rsidRPr="00251961" w:rsidRDefault="00F32F90" w:rsidP="00251961">
            <w:pPr>
              <w:spacing w:line="360" w:lineRule="auto"/>
              <w:jc w:val="both"/>
              <w:rPr>
                <w:rFonts w:ascii="Times New Roman" w:hAnsi="Times New Roman" w:cs="Times New Roman"/>
                <w:sz w:val="24"/>
                <w:szCs w:val="24"/>
              </w:rPr>
            </w:pPr>
          </w:p>
        </w:tc>
        <w:tc>
          <w:tcPr>
            <w:tcW w:w="2305" w:type="dxa"/>
          </w:tcPr>
          <w:p w:rsidR="00F32F90" w:rsidRPr="00251961" w:rsidRDefault="00F32F90" w:rsidP="00251961">
            <w:pPr>
              <w:spacing w:line="360" w:lineRule="auto"/>
              <w:jc w:val="both"/>
              <w:rPr>
                <w:rFonts w:ascii="Times New Roman" w:hAnsi="Times New Roman" w:cs="Times New Roman"/>
                <w:sz w:val="24"/>
                <w:szCs w:val="24"/>
              </w:rPr>
            </w:pPr>
            <w:r w:rsidRPr="00251961">
              <w:rPr>
                <w:rFonts w:ascii="Times New Roman" w:hAnsi="Times New Roman" w:cs="Times New Roman"/>
                <w:sz w:val="24"/>
                <w:szCs w:val="24"/>
              </w:rPr>
              <w:t>17502.62</w:t>
            </w:r>
          </w:p>
        </w:tc>
        <w:tc>
          <w:tcPr>
            <w:tcW w:w="2305" w:type="dxa"/>
          </w:tcPr>
          <w:p w:rsidR="00F32F90" w:rsidRPr="00251961" w:rsidRDefault="00F32F90" w:rsidP="00251961">
            <w:pPr>
              <w:spacing w:line="360" w:lineRule="auto"/>
              <w:jc w:val="both"/>
              <w:rPr>
                <w:rFonts w:ascii="Times New Roman" w:hAnsi="Times New Roman" w:cs="Times New Roman"/>
                <w:sz w:val="24"/>
                <w:szCs w:val="24"/>
              </w:rPr>
            </w:pPr>
            <w:r w:rsidRPr="00251961">
              <w:rPr>
                <w:rFonts w:ascii="Times New Roman" w:hAnsi="Times New Roman" w:cs="Times New Roman"/>
                <w:sz w:val="24"/>
                <w:szCs w:val="24"/>
              </w:rPr>
              <w:t>55652.00</w:t>
            </w:r>
          </w:p>
        </w:tc>
        <w:tc>
          <w:tcPr>
            <w:tcW w:w="2305" w:type="dxa"/>
          </w:tcPr>
          <w:p w:rsidR="00F32F90" w:rsidRPr="00251961" w:rsidRDefault="00F32F90" w:rsidP="00251961">
            <w:pPr>
              <w:spacing w:line="360" w:lineRule="auto"/>
              <w:jc w:val="both"/>
              <w:rPr>
                <w:rFonts w:ascii="Times New Roman" w:hAnsi="Times New Roman" w:cs="Times New Roman"/>
                <w:sz w:val="24"/>
                <w:szCs w:val="24"/>
              </w:rPr>
            </w:pPr>
            <w:r w:rsidRPr="00251961">
              <w:rPr>
                <w:rFonts w:ascii="Times New Roman" w:hAnsi="Times New Roman" w:cs="Times New Roman"/>
                <w:sz w:val="24"/>
                <w:szCs w:val="24"/>
              </w:rPr>
              <w:t>31.45%</w:t>
            </w:r>
          </w:p>
        </w:tc>
      </w:tr>
      <w:tr w:rsidR="00F32F90" w:rsidRPr="00251961" w:rsidTr="004C34B1">
        <w:trPr>
          <w:trHeight w:val="376"/>
        </w:trPr>
        <w:tc>
          <w:tcPr>
            <w:tcW w:w="2305" w:type="dxa"/>
          </w:tcPr>
          <w:p w:rsidR="00F32F90" w:rsidRPr="00251961" w:rsidRDefault="00F32F90" w:rsidP="00251961">
            <w:pPr>
              <w:spacing w:line="360" w:lineRule="auto"/>
              <w:jc w:val="both"/>
              <w:rPr>
                <w:rFonts w:ascii="Times New Roman" w:hAnsi="Times New Roman" w:cs="Times New Roman"/>
                <w:sz w:val="24"/>
                <w:szCs w:val="24"/>
              </w:rPr>
            </w:pPr>
            <w:r w:rsidRPr="00251961">
              <w:rPr>
                <w:rFonts w:ascii="Times New Roman" w:hAnsi="Times New Roman" w:cs="Times New Roman"/>
                <w:sz w:val="24"/>
                <w:szCs w:val="24"/>
              </w:rPr>
              <w:t>2022-2023</w:t>
            </w:r>
          </w:p>
          <w:p w:rsidR="00F32F90" w:rsidRPr="00251961" w:rsidRDefault="00F32F90" w:rsidP="00251961">
            <w:pPr>
              <w:spacing w:line="360" w:lineRule="auto"/>
              <w:jc w:val="both"/>
              <w:rPr>
                <w:rFonts w:ascii="Times New Roman" w:hAnsi="Times New Roman" w:cs="Times New Roman"/>
                <w:sz w:val="24"/>
                <w:szCs w:val="24"/>
              </w:rPr>
            </w:pPr>
          </w:p>
        </w:tc>
        <w:tc>
          <w:tcPr>
            <w:tcW w:w="2305" w:type="dxa"/>
          </w:tcPr>
          <w:p w:rsidR="00F32F90" w:rsidRPr="00251961" w:rsidRDefault="00F32F90" w:rsidP="00251961">
            <w:pPr>
              <w:spacing w:line="360" w:lineRule="auto"/>
              <w:jc w:val="both"/>
              <w:rPr>
                <w:rFonts w:ascii="Times New Roman" w:hAnsi="Times New Roman" w:cs="Times New Roman"/>
                <w:sz w:val="24"/>
                <w:szCs w:val="24"/>
              </w:rPr>
            </w:pPr>
            <w:r w:rsidRPr="00251961">
              <w:rPr>
                <w:rFonts w:ascii="Times New Roman" w:hAnsi="Times New Roman" w:cs="Times New Roman"/>
                <w:sz w:val="24"/>
                <w:szCs w:val="24"/>
              </w:rPr>
              <w:t>17166.48</w:t>
            </w:r>
          </w:p>
        </w:tc>
        <w:tc>
          <w:tcPr>
            <w:tcW w:w="2305" w:type="dxa"/>
          </w:tcPr>
          <w:p w:rsidR="00F32F90" w:rsidRPr="00251961" w:rsidRDefault="00F32F90" w:rsidP="00251961">
            <w:pPr>
              <w:spacing w:line="360" w:lineRule="auto"/>
              <w:jc w:val="both"/>
              <w:rPr>
                <w:rFonts w:ascii="Times New Roman" w:hAnsi="Times New Roman" w:cs="Times New Roman"/>
                <w:sz w:val="24"/>
                <w:szCs w:val="24"/>
              </w:rPr>
            </w:pPr>
            <w:r w:rsidRPr="00251961">
              <w:rPr>
                <w:rFonts w:ascii="Times New Roman" w:hAnsi="Times New Roman" w:cs="Times New Roman"/>
                <w:sz w:val="24"/>
                <w:szCs w:val="24"/>
              </w:rPr>
              <w:t>46160.00</w:t>
            </w:r>
          </w:p>
        </w:tc>
        <w:tc>
          <w:tcPr>
            <w:tcW w:w="2305" w:type="dxa"/>
          </w:tcPr>
          <w:p w:rsidR="00F32F90" w:rsidRPr="00251961" w:rsidRDefault="00F32F90" w:rsidP="00251961">
            <w:pPr>
              <w:spacing w:line="360" w:lineRule="auto"/>
              <w:jc w:val="both"/>
              <w:rPr>
                <w:rFonts w:ascii="Times New Roman" w:hAnsi="Times New Roman" w:cs="Times New Roman"/>
                <w:sz w:val="24"/>
                <w:szCs w:val="24"/>
              </w:rPr>
            </w:pPr>
            <w:r w:rsidRPr="00251961">
              <w:rPr>
                <w:rFonts w:ascii="Times New Roman" w:hAnsi="Times New Roman" w:cs="Times New Roman"/>
                <w:sz w:val="24"/>
                <w:szCs w:val="24"/>
              </w:rPr>
              <w:t>37.19%</w:t>
            </w:r>
          </w:p>
        </w:tc>
      </w:tr>
    </w:tbl>
    <w:p w:rsidR="00F32F90" w:rsidRPr="00251961" w:rsidRDefault="00F32F90" w:rsidP="00251961">
      <w:pPr>
        <w:spacing w:line="360" w:lineRule="auto"/>
        <w:jc w:val="both"/>
        <w:rPr>
          <w:rFonts w:ascii="Times New Roman" w:hAnsi="Times New Roman" w:cs="Times New Roman"/>
          <w:sz w:val="24"/>
          <w:szCs w:val="24"/>
          <w:lang w:val="en-US"/>
        </w:rPr>
      </w:pPr>
    </w:p>
    <w:p w:rsidR="00F32F90" w:rsidRPr="00251961" w:rsidRDefault="00F32F90" w:rsidP="00251961">
      <w:pPr>
        <w:spacing w:after="0" w:line="360" w:lineRule="auto"/>
        <w:ind w:left="-5"/>
        <w:jc w:val="both"/>
        <w:rPr>
          <w:rFonts w:ascii="Times New Roman" w:hAnsi="Times New Roman" w:cs="Times New Roman"/>
          <w:b/>
          <w:sz w:val="24"/>
          <w:szCs w:val="24"/>
        </w:rPr>
      </w:pPr>
      <w:r w:rsidRPr="00251961">
        <w:rPr>
          <w:rFonts w:ascii="Times New Roman" w:hAnsi="Times New Roman" w:cs="Times New Roman"/>
          <w:b/>
          <w:sz w:val="24"/>
          <w:szCs w:val="24"/>
        </w:rPr>
        <w:t>5.3.2. Graph showing the Provisions Ratio</w:t>
      </w:r>
    </w:p>
    <w:p w:rsidR="00F32F90" w:rsidRPr="00251961" w:rsidRDefault="00F32F90" w:rsidP="00251961">
      <w:pPr>
        <w:spacing w:after="0" w:line="360" w:lineRule="auto"/>
        <w:ind w:left="-5"/>
        <w:jc w:val="both"/>
        <w:rPr>
          <w:rFonts w:ascii="Times New Roman" w:hAnsi="Times New Roman" w:cs="Times New Roman"/>
          <w:b/>
          <w:sz w:val="24"/>
          <w:szCs w:val="24"/>
        </w:rPr>
      </w:pPr>
      <w:r w:rsidRPr="00251961">
        <w:rPr>
          <w:rFonts w:ascii="Times New Roman" w:hAnsi="Times New Roman" w:cs="Times New Roman"/>
          <w:noProof/>
          <w:sz w:val="24"/>
          <w:szCs w:val="24"/>
          <w:lang w:eastAsia="en-IN"/>
        </w:rPr>
        <w:drawing>
          <wp:inline distT="0" distB="0" distL="0" distR="0" wp14:anchorId="2037BAED" wp14:editId="150ACCA6">
            <wp:extent cx="5731510" cy="2731097"/>
            <wp:effectExtent l="0" t="0" r="2540" b="12700"/>
            <wp:docPr id="96951481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b/>
          <w:bCs/>
          <w:sz w:val="24"/>
          <w:szCs w:val="24"/>
          <w:lang w:val="en-US"/>
        </w:rPr>
        <w:t>Interpretation:</w:t>
      </w:r>
      <w:r w:rsidRPr="00251961">
        <w:rPr>
          <w:rFonts w:ascii="Times New Roman" w:hAnsi="Times New Roman" w:cs="Times New Roman"/>
          <w:sz w:val="24"/>
          <w:szCs w:val="24"/>
          <w:lang w:val="en-US"/>
        </w:rPr>
        <w:t>-</w:t>
      </w:r>
    </w:p>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rPr>
        <w:t xml:space="preserve">As per the above graph, the bank consistently increased its provisions during this period, which can be attributed to the economic indicators in each year. In times of economic uncertainty, </w:t>
      </w:r>
      <w:r w:rsidRPr="00251961">
        <w:rPr>
          <w:rFonts w:ascii="Times New Roman" w:hAnsi="Times New Roman" w:cs="Times New Roman"/>
          <w:sz w:val="24"/>
          <w:szCs w:val="24"/>
        </w:rPr>
        <w:lastRenderedPageBreak/>
        <w:t>characterized by low GDP growth, high inflation, or poor business confidence, the bank likely made higher provisions to safeguard against potential loan defaults or market volatility.</w:t>
      </w:r>
    </w:p>
    <w:p w:rsidR="00F32F90" w:rsidRPr="00251961" w:rsidRDefault="00F32F90" w:rsidP="00251961">
      <w:pPr>
        <w:spacing w:after="167" w:line="360" w:lineRule="auto"/>
        <w:jc w:val="both"/>
        <w:rPr>
          <w:rFonts w:ascii="Times New Roman" w:hAnsi="Times New Roman" w:cs="Times New Roman"/>
          <w:b/>
          <w:sz w:val="24"/>
          <w:szCs w:val="24"/>
        </w:rPr>
      </w:pPr>
      <w:r w:rsidRPr="00251961">
        <w:rPr>
          <w:rFonts w:ascii="Times New Roman" w:hAnsi="Times New Roman" w:cs="Times New Roman"/>
          <w:b/>
          <w:sz w:val="24"/>
          <w:szCs w:val="24"/>
        </w:rPr>
        <w:t>5.4. Standard Assets Ratio (%)</w:t>
      </w:r>
    </w:p>
    <w:p w:rsidR="00F32F90" w:rsidRPr="00251961" w:rsidRDefault="00F32F90" w:rsidP="00251961">
      <w:pPr>
        <w:spacing w:after="167" w:line="360" w:lineRule="auto"/>
        <w:jc w:val="both"/>
        <w:rPr>
          <w:rFonts w:ascii="Times New Roman" w:hAnsi="Times New Roman" w:cs="Times New Roman"/>
          <w:sz w:val="24"/>
          <w:szCs w:val="24"/>
        </w:rPr>
      </w:pPr>
      <w:r w:rsidRPr="00251961">
        <w:rPr>
          <w:rFonts w:ascii="Times New Roman" w:hAnsi="Times New Roman" w:cs="Times New Roman"/>
          <w:sz w:val="24"/>
          <w:szCs w:val="24"/>
        </w:rPr>
        <w:t xml:space="preserve">Standard Assets Ratio = Total Standard Assets / Gross NPA’s </w:t>
      </w:r>
    </w:p>
    <w:p w:rsidR="00F32F90" w:rsidRPr="00251961" w:rsidRDefault="00F32F90" w:rsidP="00251961">
      <w:pPr>
        <w:spacing w:after="167" w:line="360" w:lineRule="auto"/>
        <w:jc w:val="both"/>
        <w:rPr>
          <w:rFonts w:ascii="Times New Roman" w:hAnsi="Times New Roman" w:cs="Times New Roman"/>
          <w:sz w:val="24"/>
          <w:szCs w:val="24"/>
        </w:rPr>
      </w:pPr>
      <w:r w:rsidRPr="00251961">
        <w:rPr>
          <w:rFonts w:ascii="Times New Roman" w:hAnsi="Times New Roman" w:cs="Times New Roman"/>
          <w:sz w:val="24"/>
          <w:szCs w:val="24"/>
        </w:rPr>
        <w:t>5.4.1. Table showing the percentage of Standard Assets Ratio</w:t>
      </w:r>
    </w:p>
    <w:p w:rsidR="00F32F90" w:rsidRPr="00251961" w:rsidRDefault="00F32F90" w:rsidP="00251961">
      <w:pPr>
        <w:spacing w:after="0" w:line="360" w:lineRule="auto"/>
        <w:jc w:val="both"/>
        <w:rPr>
          <w:rFonts w:ascii="Times New Roman" w:hAnsi="Times New Roman" w:cs="Times New Roman"/>
          <w:sz w:val="24"/>
          <w:szCs w:val="24"/>
        </w:rPr>
      </w:pPr>
    </w:p>
    <w:tbl>
      <w:tblPr>
        <w:tblStyle w:val="TableGrid"/>
        <w:tblW w:w="9067" w:type="dxa"/>
        <w:tblInd w:w="0" w:type="dxa"/>
        <w:tblCellMar>
          <w:top w:w="7" w:type="dxa"/>
          <w:left w:w="108" w:type="dxa"/>
          <w:right w:w="115" w:type="dxa"/>
        </w:tblCellMar>
        <w:tblLook w:val="04A0" w:firstRow="1" w:lastRow="0" w:firstColumn="1" w:lastColumn="0" w:noHBand="0" w:noVBand="1"/>
      </w:tblPr>
      <w:tblGrid>
        <w:gridCol w:w="2248"/>
        <w:gridCol w:w="2264"/>
        <w:gridCol w:w="2360"/>
        <w:gridCol w:w="2195"/>
      </w:tblGrid>
      <w:tr w:rsidR="00F32F90" w:rsidRPr="00251961" w:rsidTr="004C34B1">
        <w:trPr>
          <w:trHeight w:val="782"/>
        </w:trPr>
        <w:tc>
          <w:tcPr>
            <w:tcW w:w="2248"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eastAsia="Calibri" w:hAnsi="Times New Roman" w:cs="Times New Roman"/>
              </w:rPr>
              <w:t xml:space="preserve">Years </w:t>
            </w:r>
          </w:p>
        </w:tc>
        <w:tc>
          <w:tcPr>
            <w:tcW w:w="2264"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eastAsia="Calibri" w:hAnsi="Times New Roman" w:cs="Times New Roman"/>
              </w:rPr>
            </w:pPr>
            <w:r w:rsidRPr="00251961">
              <w:rPr>
                <w:rFonts w:ascii="Times New Roman" w:eastAsia="Calibri" w:hAnsi="Times New Roman" w:cs="Times New Roman"/>
              </w:rPr>
              <w:t>Standard Assets</w:t>
            </w:r>
          </w:p>
        </w:tc>
        <w:tc>
          <w:tcPr>
            <w:tcW w:w="2360"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eastAsia="Calibri" w:hAnsi="Times New Roman" w:cs="Times New Roman"/>
              </w:rPr>
              <w:t>Gross NPA’s</w:t>
            </w:r>
          </w:p>
        </w:tc>
        <w:tc>
          <w:tcPr>
            <w:tcW w:w="2195"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eastAsia="Calibri" w:hAnsi="Times New Roman" w:cs="Times New Roman"/>
              </w:rPr>
            </w:pPr>
            <w:r w:rsidRPr="00251961">
              <w:rPr>
                <w:rFonts w:ascii="Times New Roman" w:eastAsia="Calibri" w:hAnsi="Times New Roman" w:cs="Times New Roman"/>
              </w:rPr>
              <w:t>Standard Assets Ratio</w:t>
            </w:r>
          </w:p>
        </w:tc>
      </w:tr>
      <w:tr w:rsidR="00F32F90" w:rsidRPr="00251961" w:rsidTr="004C34B1">
        <w:trPr>
          <w:trHeight w:val="643"/>
        </w:trPr>
        <w:tc>
          <w:tcPr>
            <w:tcW w:w="2248"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2018- 2019</w:t>
            </w:r>
          </w:p>
        </w:tc>
        <w:tc>
          <w:tcPr>
            <w:tcW w:w="2264"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308887</w:t>
            </w:r>
          </w:p>
        </w:tc>
        <w:tc>
          <w:tcPr>
            <w:tcW w:w="2360"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39224.12</w:t>
            </w:r>
          </w:p>
        </w:tc>
        <w:tc>
          <w:tcPr>
            <w:tcW w:w="2195"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7.87%</w:t>
            </w:r>
          </w:p>
          <w:p w:rsidR="00F32F90" w:rsidRPr="00251961" w:rsidRDefault="00F32F90" w:rsidP="00251961">
            <w:pPr>
              <w:spacing w:line="360" w:lineRule="auto"/>
              <w:jc w:val="both"/>
              <w:rPr>
                <w:rFonts w:ascii="Times New Roman" w:hAnsi="Times New Roman" w:cs="Times New Roman"/>
              </w:rPr>
            </w:pPr>
          </w:p>
        </w:tc>
      </w:tr>
      <w:tr w:rsidR="00F32F90" w:rsidRPr="00251961" w:rsidTr="004C34B1">
        <w:trPr>
          <w:trHeight w:val="645"/>
        </w:trPr>
        <w:tc>
          <w:tcPr>
            <w:tcW w:w="2248"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2019 - 2020</w:t>
            </w:r>
          </w:p>
        </w:tc>
        <w:tc>
          <w:tcPr>
            <w:tcW w:w="2264"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313848</w:t>
            </w:r>
          </w:p>
        </w:tc>
        <w:tc>
          <w:tcPr>
            <w:tcW w:w="2360"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37041.15</w:t>
            </w:r>
          </w:p>
        </w:tc>
        <w:tc>
          <w:tcPr>
            <w:tcW w:w="2195"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8.47%</w:t>
            </w:r>
          </w:p>
        </w:tc>
      </w:tr>
      <w:tr w:rsidR="00F32F90" w:rsidRPr="00251961" w:rsidTr="004C34B1">
        <w:trPr>
          <w:trHeight w:val="643"/>
        </w:trPr>
        <w:tc>
          <w:tcPr>
            <w:tcW w:w="2248"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2020 - 2021</w:t>
            </w:r>
          </w:p>
        </w:tc>
        <w:tc>
          <w:tcPr>
            <w:tcW w:w="2264"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eastAsia="Calibri" w:hAnsi="Times New Roman" w:cs="Times New Roman"/>
              </w:rPr>
            </w:pPr>
            <w:r w:rsidRPr="00251961">
              <w:rPr>
                <w:rFonts w:ascii="Times New Roman" w:eastAsia="Calibri" w:hAnsi="Times New Roman" w:cs="Times New Roman"/>
              </w:rPr>
              <w:t>590090</w:t>
            </w:r>
          </w:p>
        </w:tc>
        <w:tc>
          <w:tcPr>
            <w:tcW w:w="2360"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63228.00</w:t>
            </w:r>
          </w:p>
        </w:tc>
        <w:tc>
          <w:tcPr>
            <w:tcW w:w="2195"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eastAsia="Calibri" w:hAnsi="Times New Roman" w:cs="Times New Roman"/>
              </w:rPr>
            </w:pPr>
            <w:r w:rsidRPr="00251961">
              <w:rPr>
                <w:rFonts w:ascii="Times New Roman" w:eastAsia="Calibri" w:hAnsi="Times New Roman" w:cs="Times New Roman"/>
              </w:rPr>
              <w:t>9.33%</w:t>
            </w:r>
          </w:p>
        </w:tc>
      </w:tr>
      <w:tr w:rsidR="00F32F90" w:rsidRPr="00251961" w:rsidTr="004C34B1">
        <w:trPr>
          <w:trHeight w:val="553"/>
        </w:trPr>
        <w:tc>
          <w:tcPr>
            <w:tcW w:w="2248"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2021 - 2022</w:t>
            </w:r>
          </w:p>
        </w:tc>
        <w:tc>
          <w:tcPr>
            <w:tcW w:w="2264"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614867</w:t>
            </w:r>
          </w:p>
        </w:tc>
        <w:tc>
          <w:tcPr>
            <w:tcW w:w="2360"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55652.00</w:t>
            </w:r>
          </w:p>
        </w:tc>
        <w:tc>
          <w:tcPr>
            <w:tcW w:w="2195"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11.04%</w:t>
            </w:r>
          </w:p>
        </w:tc>
      </w:tr>
      <w:tr w:rsidR="00F32F90" w:rsidRPr="00251961" w:rsidTr="004C34B1">
        <w:trPr>
          <w:trHeight w:val="645"/>
        </w:trPr>
        <w:tc>
          <w:tcPr>
            <w:tcW w:w="2248"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2022 - 2023</w:t>
            </w:r>
          </w:p>
        </w:tc>
        <w:tc>
          <w:tcPr>
            <w:tcW w:w="2264"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685495</w:t>
            </w:r>
          </w:p>
        </w:tc>
        <w:tc>
          <w:tcPr>
            <w:tcW w:w="2360"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46160.00</w:t>
            </w:r>
          </w:p>
        </w:tc>
        <w:tc>
          <w:tcPr>
            <w:tcW w:w="2195"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14.75%</w:t>
            </w:r>
          </w:p>
        </w:tc>
      </w:tr>
    </w:tbl>
    <w:p w:rsidR="00F32F90" w:rsidRPr="00251961" w:rsidRDefault="00F32F90" w:rsidP="00251961">
      <w:pPr>
        <w:spacing w:after="155" w:line="360" w:lineRule="auto"/>
        <w:jc w:val="both"/>
        <w:rPr>
          <w:rFonts w:ascii="Times New Roman" w:hAnsi="Times New Roman" w:cs="Times New Roman"/>
          <w:sz w:val="24"/>
          <w:szCs w:val="24"/>
        </w:rPr>
      </w:pPr>
    </w:p>
    <w:p w:rsidR="00F32F90" w:rsidRPr="00251961" w:rsidRDefault="00F32F90" w:rsidP="00251961">
      <w:pPr>
        <w:spacing w:after="167" w:line="360" w:lineRule="auto"/>
        <w:ind w:left="-5"/>
        <w:jc w:val="both"/>
        <w:rPr>
          <w:rFonts w:ascii="Times New Roman" w:hAnsi="Times New Roman" w:cs="Times New Roman"/>
          <w:b/>
          <w:sz w:val="24"/>
          <w:szCs w:val="24"/>
        </w:rPr>
      </w:pPr>
      <w:r w:rsidRPr="00251961">
        <w:rPr>
          <w:rFonts w:ascii="Times New Roman" w:hAnsi="Times New Roman" w:cs="Times New Roman"/>
          <w:b/>
          <w:sz w:val="24"/>
          <w:szCs w:val="24"/>
        </w:rPr>
        <w:t>5.4.2. Graph showing the percentage of Standard Assets Ratio</w:t>
      </w:r>
    </w:p>
    <w:p w:rsidR="00F32F90" w:rsidRPr="00251961" w:rsidRDefault="00F32F90" w:rsidP="00251961">
      <w:pPr>
        <w:spacing w:line="360" w:lineRule="auto"/>
        <w:jc w:val="both"/>
        <w:rPr>
          <w:rFonts w:ascii="Times New Roman" w:hAnsi="Times New Roman" w:cs="Times New Roman"/>
          <w:sz w:val="24"/>
          <w:szCs w:val="24"/>
        </w:rPr>
      </w:pPr>
      <w:r w:rsidRPr="00251961">
        <w:rPr>
          <w:rFonts w:ascii="Times New Roman" w:hAnsi="Times New Roman" w:cs="Times New Roman"/>
          <w:noProof/>
          <w:sz w:val="24"/>
          <w:szCs w:val="24"/>
          <w:lang w:eastAsia="en-IN"/>
        </w:rPr>
        <w:drawing>
          <wp:inline distT="0" distB="0" distL="0" distR="0" wp14:anchorId="5A59B8C5" wp14:editId="3F124DCF">
            <wp:extent cx="5731510" cy="2293620"/>
            <wp:effectExtent l="0" t="0" r="2540" b="11430"/>
            <wp:docPr id="90925000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32F90" w:rsidRPr="00251961" w:rsidRDefault="00F32F90" w:rsidP="00251961">
      <w:pPr>
        <w:spacing w:line="360" w:lineRule="auto"/>
        <w:jc w:val="both"/>
        <w:rPr>
          <w:rFonts w:ascii="Times New Roman" w:hAnsi="Times New Roman" w:cs="Times New Roman"/>
          <w:sz w:val="24"/>
          <w:szCs w:val="24"/>
          <w:lang w:val="en-US"/>
        </w:rPr>
      </w:pPr>
    </w:p>
    <w:p w:rsidR="00F32F90" w:rsidRPr="00251961" w:rsidRDefault="00F32F90" w:rsidP="00251961">
      <w:pPr>
        <w:spacing w:line="360" w:lineRule="auto"/>
        <w:jc w:val="both"/>
        <w:rPr>
          <w:rFonts w:ascii="Times New Roman" w:hAnsi="Times New Roman" w:cs="Times New Roman"/>
          <w:b/>
          <w:bCs/>
          <w:sz w:val="24"/>
          <w:szCs w:val="24"/>
          <w:lang w:val="en-US"/>
        </w:rPr>
      </w:pPr>
      <w:r w:rsidRPr="00251961">
        <w:rPr>
          <w:rFonts w:ascii="Times New Roman" w:hAnsi="Times New Roman" w:cs="Times New Roman"/>
          <w:b/>
          <w:bCs/>
          <w:sz w:val="24"/>
          <w:szCs w:val="24"/>
          <w:lang w:val="en-US"/>
        </w:rPr>
        <w:t>Interpretation:-</w:t>
      </w:r>
    </w:p>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rPr>
        <w:lastRenderedPageBreak/>
        <w:t>As per the above graph, shows that the performance of standard assets relative to NPA is increasing year after year. In FY 2019, the assets were 308887. In the year 2020, they were raised to 313848. They also raise the years 2020 and 2021, and by 2023, they had been raised to 685495. So as the performance of the bank on the standard assets has been raised annually, the advice to the bank is to maintain the same.</w:t>
      </w:r>
    </w:p>
    <w:p w:rsidR="00F32F90" w:rsidRPr="00251961" w:rsidRDefault="00F32F90" w:rsidP="00251961">
      <w:pPr>
        <w:spacing w:line="360" w:lineRule="auto"/>
        <w:ind w:right="1349"/>
        <w:jc w:val="both"/>
        <w:rPr>
          <w:rFonts w:ascii="Times New Roman" w:hAnsi="Times New Roman" w:cs="Times New Roman"/>
          <w:b/>
          <w:sz w:val="24"/>
          <w:szCs w:val="24"/>
        </w:rPr>
      </w:pPr>
      <w:r w:rsidRPr="00251961">
        <w:rPr>
          <w:rFonts w:ascii="Times New Roman" w:hAnsi="Times New Roman" w:cs="Times New Roman"/>
          <w:b/>
          <w:sz w:val="24"/>
          <w:szCs w:val="24"/>
        </w:rPr>
        <w:t>5.5Sub- Standard Assets Ratio</w:t>
      </w:r>
    </w:p>
    <w:p w:rsidR="00F32F90" w:rsidRPr="00251961" w:rsidRDefault="00F32F90" w:rsidP="00251961">
      <w:pPr>
        <w:spacing w:line="360" w:lineRule="auto"/>
        <w:ind w:left="348" w:right="1349"/>
        <w:jc w:val="both"/>
        <w:rPr>
          <w:rFonts w:ascii="Times New Roman" w:hAnsi="Times New Roman" w:cs="Times New Roman"/>
          <w:b/>
          <w:sz w:val="24"/>
          <w:szCs w:val="24"/>
        </w:rPr>
      </w:pPr>
    </w:p>
    <w:p w:rsidR="00F32F90" w:rsidRPr="00251961" w:rsidRDefault="00F32F90" w:rsidP="00251961">
      <w:pPr>
        <w:spacing w:line="360" w:lineRule="auto"/>
        <w:ind w:left="-5" w:right="1349"/>
        <w:jc w:val="both"/>
        <w:rPr>
          <w:rFonts w:ascii="Times New Roman" w:hAnsi="Times New Roman" w:cs="Times New Roman"/>
          <w:sz w:val="24"/>
          <w:szCs w:val="24"/>
        </w:rPr>
      </w:pPr>
      <w:r w:rsidRPr="00251961">
        <w:rPr>
          <w:rFonts w:ascii="Times New Roman" w:hAnsi="Times New Roman" w:cs="Times New Roman"/>
          <w:sz w:val="24"/>
          <w:szCs w:val="24"/>
        </w:rPr>
        <w:t xml:space="preserve">Substandard Assets Ratio = Total sub- standard Assets / Gross NPA’s </w:t>
      </w:r>
    </w:p>
    <w:p w:rsidR="00F32F90" w:rsidRPr="00251961" w:rsidRDefault="00F32F90" w:rsidP="00251961">
      <w:pPr>
        <w:spacing w:line="360" w:lineRule="auto"/>
        <w:ind w:left="-5" w:right="1349"/>
        <w:jc w:val="both"/>
        <w:rPr>
          <w:rFonts w:ascii="Times New Roman" w:hAnsi="Times New Roman" w:cs="Times New Roman"/>
          <w:sz w:val="24"/>
          <w:szCs w:val="24"/>
        </w:rPr>
      </w:pPr>
    </w:p>
    <w:p w:rsidR="00F32F90" w:rsidRPr="00251961" w:rsidRDefault="00F32F90" w:rsidP="00251961">
      <w:pPr>
        <w:spacing w:line="360" w:lineRule="auto"/>
        <w:ind w:left="-5" w:right="1349"/>
        <w:jc w:val="both"/>
        <w:rPr>
          <w:rFonts w:ascii="Times New Roman" w:hAnsi="Times New Roman" w:cs="Times New Roman"/>
          <w:sz w:val="24"/>
          <w:szCs w:val="24"/>
        </w:rPr>
      </w:pPr>
      <w:r w:rsidRPr="00251961">
        <w:rPr>
          <w:rFonts w:ascii="Times New Roman" w:hAnsi="Times New Roman" w:cs="Times New Roman"/>
          <w:sz w:val="24"/>
          <w:szCs w:val="24"/>
        </w:rPr>
        <w:t>5.5.1. Table showing the percentage of Sub-standard Assets Ratio</w:t>
      </w:r>
    </w:p>
    <w:p w:rsidR="00F32F90" w:rsidRPr="00251961" w:rsidRDefault="00F32F90" w:rsidP="00251961">
      <w:pPr>
        <w:spacing w:line="360" w:lineRule="auto"/>
        <w:ind w:left="-5" w:right="1349"/>
        <w:jc w:val="both"/>
        <w:rPr>
          <w:rFonts w:ascii="Times New Roman" w:hAnsi="Times New Roman" w:cs="Times New Roman"/>
          <w:sz w:val="24"/>
          <w:szCs w:val="24"/>
        </w:rPr>
      </w:pPr>
    </w:p>
    <w:p w:rsidR="00F32F90" w:rsidRPr="00251961" w:rsidRDefault="00F32F90" w:rsidP="00251961">
      <w:pPr>
        <w:spacing w:after="0" w:line="360" w:lineRule="auto"/>
        <w:jc w:val="both"/>
        <w:rPr>
          <w:rFonts w:ascii="Times New Roman" w:hAnsi="Times New Roman" w:cs="Times New Roman"/>
          <w:sz w:val="24"/>
          <w:szCs w:val="24"/>
        </w:rPr>
      </w:pPr>
    </w:p>
    <w:tbl>
      <w:tblPr>
        <w:tblStyle w:val="TableGrid"/>
        <w:tblW w:w="9277" w:type="dxa"/>
        <w:tblInd w:w="-108" w:type="dxa"/>
        <w:tblCellMar>
          <w:top w:w="46" w:type="dxa"/>
          <w:left w:w="108" w:type="dxa"/>
          <w:right w:w="115" w:type="dxa"/>
        </w:tblCellMar>
        <w:tblLook w:val="04A0" w:firstRow="1" w:lastRow="0" w:firstColumn="1" w:lastColumn="0" w:noHBand="0" w:noVBand="1"/>
      </w:tblPr>
      <w:tblGrid>
        <w:gridCol w:w="2316"/>
        <w:gridCol w:w="2239"/>
        <w:gridCol w:w="2361"/>
        <w:gridCol w:w="2361"/>
      </w:tblGrid>
      <w:tr w:rsidR="00F32F90" w:rsidRPr="00251961" w:rsidTr="004C34B1">
        <w:trPr>
          <w:trHeight w:val="964"/>
        </w:trPr>
        <w:tc>
          <w:tcPr>
            <w:tcW w:w="2316"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eastAsia="Calibri" w:hAnsi="Times New Roman" w:cs="Times New Roman"/>
              </w:rPr>
              <w:t xml:space="preserve">Years </w:t>
            </w:r>
          </w:p>
        </w:tc>
        <w:tc>
          <w:tcPr>
            <w:tcW w:w="2239"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eastAsia="Calibri" w:hAnsi="Times New Roman" w:cs="Times New Roman"/>
              </w:rPr>
            </w:pPr>
            <w:r w:rsidRPr="00251961">
              <w:rPr>
                <w:rFonts w:ascii="Times New Roman" w:eastAsia="Calibri" w:hAnsi="Times New Roman" w:cs="Times New Roman"/>
              </w:rPr>
              <w:t>Sub- Standard Assets</w:t>
            </w:r>
          </w:p>
        </w:tc>
        <w:tc>
          <w:tcPr>
            <w:tcW w:w="2361"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eastAsia="Calibri" w:hAnsi="Times New Roman" w:cs="Times New Roman"/>
              </w:rPr>
              <w:t xml:space="preserve">Gross NPA’s </w:t>
            </w:r>
          </w:p>
        </w:tc>
        <w:tc>
          <w:tcPr>
            <w:tcW w:w="2361"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eastAsia="Calibri" w:hAnsi="Times New Roman" w:cs="Times New Roman"/>
              </w:rPr>
            </w:pPr>
            <w:r w:rsidRPr="00251961">
              <w:rPr>
                <w:rFonts w:ascii="Times New Roman" w:eastAsia="Calibri" w:hAnsi="Times New Roman" w:cs="Times New Roman"/>
              </w:rPr>
              <w:t>Percentage of Sub-Standard Assets Ratio</w:t>
            </w:r>
          </w:p>
        </w:tc>
      </w:tr>
      <w:tr w:rsidR="00F32F90" w:rsidRPr="00251961" w:rsidTr="004C34B1">
        <w:trPr>
          <w:trHeight w:val="641"/>
        </w:trPr>
        <w:tc>
          <w:tcPr>
            <w:tcW w:w="2316"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eastAsia="Calibri" w:hAnsi="Times New Roman" w:cs="Times New Roman"/>
              </w:rPr>
              <w:t>2018 - 2019</w:t>
            </w:r>
          </w:p>
        </w:tc>
        <w:tc>
          <w:tcPr>
            <w:tcW w:w="2239"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eastAsia="Calibri" w:hAnsi="Times New Roman" w:cs="Times New Roman"/>
              </w:rPr>
            </w:pPr>
            <w:r w:rsidRPr="00251961">
              <w:rPr>
                <w:rFonts w:ascii="Times New Roman" w:eastAsia="Calibri" w:hAnsi="Times New Roman" w:cs="Times New Roman"/>
              </w:rPr>
              <w:t>15073</w:t>
            </w:r>
          </w:p>
        </w:tc>
        <w:tc>
          <w:tcPr>
            <w:tcW w:w="2361"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39224.12</w:t>
            </w:r>
          </w:p>
        </w:tc>
        <w:tc>
          <w:tcPr>
            <w:tcW w:w="2361"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eastAsia="Calibri" w:hAnsi="Times New Roman" w:cs="Times New Roman"/>
              </w:rPr>
            </w:pPr>
            <w:r w:rsidRPr="00251961">
              <w:rPr>
                <w:rFonts w:ascii="Times New Roman" w:eastAsia="Calibri" w:hAnsi="Times New Roman" w:cs="Times New Roman"/>
              </w:rPr>
              <w:t>0.38%</w:t>
            </w:r>
          </w:p>
        </w:tc>
      </w:tr>
      <w:tr w:rsidR="00F32F90" w:rsidRPr="00251961" w:rsidTr="004C34B1">
        <w:trPr>
          <w:trHeight w:val="643"/>
        </w:trPr>
        <w:tc>
          <w:tcPr>
            <w:tcW w:w="2316"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eastAsia="Calibri" w:hAnsi="Times New Roman" w:cs="Times New Roman"/>
              </w:rPr>
              <w:t>2019 - 2020</w:t>
            </w:r>
          </w:p>
        </w:tc>
        <w:tc>
          <w:tcPr>
            <w:tcW w:w="2239"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eastAsia="Calibri" w:hAnsi="Times New Roman" w:cs="Times New Roman"/>
              </w:rPr>
            </w:pPr>
            <w:r w:rsidRPr="00251961">
              <w:rPr>
                <w:rFonts w:ascii="Times New Roman" w:eastAsia="Calibri" w:hAnsi="Times New Roman" w:cs="Times New Roman"/>
              </w:rPr>
              <w:t>13692</w:t>
            </w:r>
          </w:p>
        </w:tc>
        <w:tc>
          <w:tcPr>
            <w:tcW w:w="2361"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37041.15</w:t>
            </w:r>
          </w:p>
        </w:tc>
        <w:tc>
          <w:tcPr>
            <w:tcW w:w="2361"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eastAsia="Calibri" w:hAnsi="Times New Roman" w:cs="Times New Roman"/>
              </w:rPr>
            </w:pPr>
            <w:r w:rsidRPr="00251961">
              <w:rPr>
                <w:rFonts w:ascii="Times New Roman" w:eastAsia="Calibri" w:hAnsi="Times New Roman" w:cs="Times New Roman"/>
              </w:rPr>
              <w:t>0.36%</w:t>
            </w:r>
          </w:p>
        </w:tc>
      </w:tr>
      <w:tr w:rsidR="00F32F90" w:rsidRPr="00251961" w:rsidTr="004C34B1">
        <w:trPr>
          <w:trHeight w:val="641"/>
        </w:trPr>
        <w:tc>
          <w:tcPr>
            <w:tcW w:w="2316"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eastAsia="Calibri" w:hAnsi="Times New Roman" w:cs="Times New Roman"/>
              </w:rPr>
              <w:t>2020 - 2021</w:t>
            </w:r>
          </w:p>
        </w:tc>
        <w:tc>
          <w:tcPr>
            <w:tcW w:w="2239"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eastAsia="Calibri" w:hAnsi="Times New Roman" w:cs="Times New Roman"/>
              </w:rPr>
            </w:pPr>
            <w:r w:rsidRPr="00251961">
              <w:rPr>
                <w:rFonts w:ascii="Times New Roman" w:eastAsia="Calibri" w:hAnsi="Times New Roman" w:cs="Times New Roman"/>
              </w:rPr>
              <w:t>15347</w:t>
            </w:r>
          </w:p>
        </w:tc>
        <w:tc>
          <w:tcPr>
            <w:tcW w:w="2361"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9467.00</w:t>
            </w:r>
          </w:p>
        </w:tc>
        <w:tc>
          <w:tcPr>
            <w:tcW w:w="2361"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eastAsia="Calibri" w:hAnsi="Times New Roman" w:cs="Times New Roman"/>
              </w:rPr>
            </w:pPr>
            <w:r w:rsidRPr="00251961">
              <w:rPr>
                <w:rFonts w:ascii="Times New Roman" w:eastAsia="Calibri" w:hAnsi="Times New Roman" w:cs="Times New Roman"/>
              </w:rPr>
              <w:t>1.62%</w:t>
            </w:r>
          </w:p>
        </w:tc>
      </w:tr>
      <w:tr w:rsidR="00F32F90" w:rsidRPr="00251961" w:rsidTr="004C34B1">
        <w:trPr>
          <w:trHeight w:val="644"/>
        </w:trPr>
        <w:tc>
          <w:tcPr>
            <w:tcW w:w="2316"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eastAsia="Calibri" w:hAnsi="Times New Roman" w:cs="Times New Roman"/>
              </w:rPr>
              <w:t xml:space="preserve">2021- 2022 </w:t>
            </w:r>
          </w:p>
        </w:tc>
        <w:tc>
          <w:tcPr>
            <w:tcW w:w="2239"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eastAsia="Calibri" w:hAnsi="Times New Roman" w:cs="Times New Roman"/>
              </w:rPr>
            </w:pPr>
            <w:r w:rsidRPr="00251961">
              <w:rPr>
                <w:rFonts w:ascii="Times New Roman" w:eastAsia="Calibri" w:hAnsi="Times New Roman" w:cs="Times New Roman"/>
              </w:rPr>
              <w:t>14222</w:t>
            </w:r>
          </w:p>
        </w:tc>
        <w:tc>
          <w:tcPr>
            <w:tcW w:w="2361"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9879</w:t>
            </w:r>
          </w:p>
        </w:tc>
        <w:tc>
          <w:tcPr>
            <w:tcW w:w="2361"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eastAsia="Calibri" w:hAnsi="Times New Roman" w:cs="Times New Roman"/>
              </w:rPr>
            </w:pPr>
            <w:r w:rsidRPr="00251961">
              <w:rPr>
                <w:rFonts w:ascii="Times New Roman" w:eastAsia="Calibri" w:hAnsi="Times New Roman" w:cs="Times New Roman"/>
              </w:rPr>
              <w:t>1.4%</w:t>
            </w:r>
          </w:p>
        </w:tc>
      </w:tr>
      <w:tr w:rsidR="00F32F90" w:rsidRPr="00251961" w:rsidTr="004C34B1">
        <w:trPr>
          <w:trHeight w:val="641"/>
        </w:trPr>
        <w:tc>
          <w:tcPr>
            <w:tcW w:w="2316"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eastAsia="Calibri" w:hAnsi="Times New Roman" w:cs="Times New Roman"/>
              </w:rPr>
              <w:t>2022 - 2023</w:t>
            </w:r>
          </w:p>
        </w:tc>
        <w:tc>
          <w:tcPr>
            <w:tcW w:w="2239"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eastAsia="Calibri" w:hAnsi="Times New Roman" w:cs="Times New Roman"/>
              </w:rPr>
            </w:pPr>
            <w:r w:rsidRPr="00251961">
              <w:rPr>
                <w:rFonts w:ascii="Times New Roman" w:eastAsia="Calibri" w:hAnsi="Times New Roman" w:cs="Times New Roman"/>
              </w:rPr>
              <w:t>9130</w:t>
            </w:r>
          </w:p>
        </w:tc>
        <w:tc>
          <w:tcPr>
            <w:tcW w:w="2361"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hAnsi="Times New Roman" w:cs="Times New Roman"/>
              </w:rPr>
            </w:pPr>
            <w:r w:rsidRPr="00251961">
              <w:rPr>
                <w:rFonts w:ascii="Times New Roman" w:hAnsi="Times New Roman" w:cs="Times New Roman"/>
              </w:rPr>
              <w:t>7399</w:t>
            </w:r>
          </w:p>
        </w:tc>
        <w:tc>
          <w:tcPr>
            <w:tcW w:w="2361" w:type="dxa"/>
            <w:tcBorders>
              <w:top w:val="single" w:sz="4" w:space="0" w:color="000000"/>
              <w:left w:val="single" w:sz="4" w:space="0" w:color="000000"/>
              <w:bottom w:val="single" w:sz="4" w:space="0" w:color="000000"/>
              <w:right w:val="single" w:sz="4" w:space="0" w:color="000000"/>
            </w:tcBorders>
          </w:tcPr>
          <w:p w:rsidR="00F32F90" w:rsidRPr="00251961" w:rsidRDefault="00F32F90" w:rsidP="00251961">
            <w:pPr>
              <w:spacing w:line="360" w:lineRule="auto"/>
              <w:jc w:val="both"/>
              <w:rPr>
                <w:rFonts w:ascii="Times New Roman" w:eastAsia="Calibri" w:hAnsi="Times New Roman" w:cs="Times New Roman"/>
              </w:rPr>
            </w:pPr>
            <w:r w:rsidRPr="00251961">
              <w:rPr>
                <w:rFonts w:ascii="Times New Roman" w:eastAsia="Calibri" w:hAnsi="Times New Roman" w:cs="Times New Roman"/>
              </w:rPr>
              <w:t>1.2%</w:t>
            </w:r>
          </w:p>
        </w:tc>
      </w:tr>
    </w:tbl>
    <w:p w:rsidR="00F32F90" w:rsidRPr="00251961" w:rsidRDefault="00F32F90" w:rsidP="00251961">
      <w:pPr>
        <w:spacing w:after="157" w:line="360" w:lineRule="auto"/>
        <w:jc w:val="both"/>
        <w:rPr>
          <w:rFonts w:ascii="Times New Roman" w:hAnsi="Times New Roman" w:cs="Times New Roman"/>
          <w:sz w:val="24"/>
          <w:szCs w:val="24"/>
        </w:rPr>
      </w:pPr>
    </w:p>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b/>
          <w:sz w:val="24"/>
          <w:szCs w:val="24"/>
        </w:rPr>
        <w:t>5.5.2 Graph showing the percentage of Sub-standard Assets ratio</w:t>
      </w:r>
    </w:p>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noProof/>
          <w:sz w:val="24"/>
          <w:szCs w:val="24"/>
          <w:lang w:eastAsia="en-IN"/>
        </w:rPr>
        <w:lastRenderedPageBreak/>
        <w:drawing>
          <wp:inline distT="0" distB="0" distL="0" distR="0" wp14:anchorId="3C3FDBC9" wp14:editId="78DF82D6">
            <wp:extent cx="5680710" cy="2743200"/>
            <wp:effectExtent l="19050" t="0" r="1524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32F90" w:rsidRPr="00251961" w:rsidRDefault="00F32F90" w:rsidP="00251961">
      <w:pPr>
        <w:spacing w:line="360" w:lineRule="auto"/>
        <w:jc w:val="both"/>
        <w:rPr>
          <w:rFonts w:ascii="Times New Roman" w:hAnsi="Times New Roman" w:cs="Times New Roman"/>
          <w:b/>
          <w:bCs/>
          <w:sz w:val="24"/>
          <w:szCs w:val="24"/>
          <w:lang w:val="en-US"/>
        </w:rPr>
      </w:pPr>
      <w:r w:rsidRPr="00251961">
        <w:rPr>
          <w:rFonts w:ascii="Times New Roman" w:hAnsi="Times New Roman" w:cs="Times New Roman"/>
          <w:b/>
          <w:bCs/>
          <w:sz w:val="24"/>
          <w:szCs w:val="24"/>
          <w:lang w:val="en-US"/>
        </w:rPr>
        <w:t>Interpretation:-</w:t>
      </w:r>
    </w:p>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rPr>
        <w:t>As per the table shows slightly increasing sub-standard assets in 2018-19 due to challenges in the agricultural sector. However, in 2023, the decline was due to improved recovery mechanisms and efficient processes. Canara Bank resolved sub-standard assets and raised them in 2022, transforming them from sub-standard to doubtful assets.</w:t>
      </w:r>
    </w:p>
    <w:p w:rsidR="00F32F90" w:rsidRPr="00251961" w:rsidRDefault="00F32F90" w:rsidP="00251961">
      <w:pPr>
        <w:spacing w:after="0" w:line="360" w:lineRule="auto"/>
        <w:jc w:val="both"/>
        <w:rPr>
          <w:rFonts w:ascii="Times New Roman" w:hAnsi="Times New Roman" w:cs="Times New Roman"/>
          <w:b/>
          <w:sz w:val="24"/>
          <w:szCs w:val="24"/>
        </w:rPr>
      </w:pPr>
      <w:r w:rsidRPr="00251961">
        <w:rPr>
          <w:rFonts w:ascii="Times New Roman" w:hAnsi="Times New Roman" w:cs="Times New Roman"/>
          <w:b/>
          <w:sz w:val="24"/>
          <w:szCs w:val="24"/>
        </w:rPr>
        <w:t>5.6. Doubtful Assets Ratio (%)</w:t>
      </w:r>
    </w:p>
    <w:p w:rsidR="00F32F90" w:rsidRPr="00251961" w:rsidRDefault="00F32F90" w:rsidP="00251961">
      <w:pPr>
        <w:spacing w:after="0" w:line="360" w:lineRule="auto"/>
        <w:jc w:val="both"/>
        <w:rPr>
          <w:rFonts w:ascii="Times New Roman" w:hAnsi="Times New Roman" w:cs="Times New Roman"/>
          <w:b/>
          <w:sz w:val="24"/>
          <w:szCs w:val="24"/>
        </w:rPr>
      </w:pPr>
    </w:p>
    <w:p w:rsidR="00F32F90" w:rsidRPr="00251961" w:rsidRDefault="00F32F90" w:rsidP="00251961">
      <w:pPr>
        <w:spacing w:after="0" w:line="360" w:lineRule="auto"/>
        <w:jc w:val="both"/>
        <w:rPr>
          <w:rFonts w:ascii="Times New Roman" w:hAnsi="Times New Roman" w:cs="Times New Roman"/>
          <w:sz w:val="24"/>
          <w:szCs w:val="24"/>
        </w:rPr>
      </w:pPr>
      <w:r w:rsidRPr="00251961">
        <w:rPr>
          <w:rFonts w:ascii="Times New Roman" w:hAnsi="Times New Roman" w:cs="Times New Roman"/>
          <w:sz w:val="24"/>
          <w:szCs w:val="24"/>
        </w:rPr>
        <w:t>Doubtful Assets Ratio = Total doubtful assets / Gross NPA’s</w:t>
      </w:r>
    </w:p>
    <w:p w:rsidR="00F32F90" w:rsidRPr="00251961" w:rsidRDefault="00F32F90" w:rsidP="00251961">
      <w:pPr>
        <w:spacing w:after="0" w:line="360" w:lineRule="auto"/>
        <w:jc w:val="both"/>
        <w:rPr>
          <w:rFonts w:ascii="Times New Roman" w:hAnsi="Times New Roman" w:cs="Times New Roman"/>
          <w:sz w:val="24"/>
          <w:szCs w:val="24"/>
        </w:rPr>
      </w:pPr>
    </w:p>
    <w:p w:rsidR="00F32F90" w:rsidRPr="00251961" w:rsidRDefault="00F32F90" w:rsidP="00251961">
      <w:pPr>
        <w:spacing w:after="0" w:line="360" w:lineRule="auto"/>
        <w:jc w:val="both"/>
        <w:rPr>
          <w:rFonts w:ascii="Times New Roman" w:hAnsi="Times New Roman" w:cs="Times New Roman"/>
          <w:b/>
          <w:sz w:val="24"/>
          <w:szCs w:val="24"/>
        </w:rPr>
      </w:pPr>
      <w:r w:rsidRPr="00251961">
        <w:rPr>
          <w:rFonts w:ascii="Times New Roman" w:hAnsi="Times New Roman" w:cs="Times New Roman"/>
          <w:b/>
          <w:sz w:val="24"/>
          <w:szCs w:val="24"/>
        </w:rPr>
        <w:t>5.6.1. Table showing the percentage of Doubtful Assets Ratio</w:t>
      </w:r>
    </w:p>
    <w:p w:rsidR="00F32F90" w:rsidRPr="00251961" w:rsidRDefault="00F32F90" w:rsidP="00251961">
      <w:pPr>
        <w:spacing w:after="0" w:line="360" w:lineRule="auto"/>
        <w:jc w:val="both"/>
        <w:rPr>
          <w:rFonts w:ascii="Times New Roman" w:hAnsi="Times New Roman" w:cs="Times New Roman"/>
          <w:sz w:val="24"/>
          <w:szCs w:val="24"/>
        </w:rPr>
      </w:pPr>
    </w:p>
    <w:tbl>
      <w:tblPr>
        <w:tblStyle w:val="TableGrid0"/>
        <w:tblW w:w="0" w:type="auto"/>
        <w:tblLook w:val="04A0" w:firstRow="1" w:lastRow="0" w:firstColumn="1" w:lastColumn="0" w:noHBand="0" w:noVBand="1"/>
      </w:tblPr>
      <w:tblGrid>
        <w:gridCol w:w="2240"/>
        <w:gridCol w:w="2255"/>
        <w:gridCol w:w="2257"/>
        <w:gridCol w:w="2264"/>
      </w:tblGrid>
      <w:tr w:rsidR="00F32F90" w:rsidRPr="00251961" w:rsidTr="004C34B1">
        <w:tc>
          <w:tcPr>
            <w:tcW w:w="2310"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Years</w:t>
            </w:r>
          </w:p>
        </w:tc>
        <w:tc>
          <w:tcPr>
            <w:tcW w:w="2310"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Doubtful Assets</w:t>
            </w:r>
          </w:p>
        </w:tc>
        <w:tc>
          <w:tcPr>
            <w:tcW w:w="2311"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Gross NPA’s</w:t>
            </w:r>
          </w:p>
        </w:tc>
        <w:tc>
          <w:tcPr>
            <w:tcW w:w="2311"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 xml:space="preserve">Percentage of </w:t>
            </w:r>
          </w:p>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Doubtful Ratio</w:t>
            </w:r>
          </w:p>
        </w:tc>
      </w:tr>
      <w:tr w:rsidR="00F32F90" w:rsidRPr="00251961" w:rsidTr="004C34B1">
        <w:tc>
          <w:tcPr>
            <w:tcW w:w="2310"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2018-2019</w:t>
            </w:r>
          </w:p>
          <w:p w:rsidR="00F32F90" w:rsidRPr="00251961" w:rsidRDefault="00F32F90" w:rsidP="00251961">
            <w:pPr>
              <w:spacing w:line="360" w:lineRule="auto"/>
              <w:jc w:val="both"/>
              <w:rPr>
                <w:rFonts w:ascii="Times New Roman" w:hAnsi="Times New Roman" w:cs="Times New Roman"/>
                <w:sz w:val="24"/>
                <w:szCs w:val="24"/>
                <w:lang w:val="en-US"/>
              </w:rPr>
            </w:pPr>
          </w:p>
        </w:tc>
        <w:tc>
          <w:tcPr>
            <w:tcW w:w="2310"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72670</w:t>
            </w:r>
          </w:p>
        </w:tc>
        <w:tc>
          <w:tcPr>
            <w:tcW w:w="2311"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39224.12</w:t>
            </w:r>
          </w:p>
        </w:tc>
        <w:tc>
          <w:tcPr>
            <w:tcW w:w="2311"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1.8%</w:t>
            </w:r>
          </w:p>
        </w:tc>
      </w:tr>
      <w:tr w:rsidR="00F32F90" w:rsidRPr="00251961" w:rsidTr="004C34B1">
        <w:tc>
          <w:tcPr>
            <w:tcW w:w="2310"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2019-2020</w:t>
            </w:r>
          </w:p>
          <w:p w:rsidR="00F32F90" w:rsidRPr="00251961" w:rsidRDefault="00F32F90" w:rsidP="00251961">
            <w:pPr>
              <w:spacing w:line="360" w:lineRule="auto"/>
              <w:jc w:val="both"/>
              <w:rPr>
                <w:rFonts w:ascii="Times New Roman" w:hAnsi="Times New Roman" w:cs="Times New Roman"/>
                <w:sz w:val="24"/>
                <w:szCs w:val="24"/>
                <w:lang w:val="en-US"/>
              </w:rPr>
            </w:pPr>
          </w:p>
        </w:tc>
        <w:tc>
          <w:tcPr>
            <w:tcW w:w="2310"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55209</w:t>
            </w:r>
          </w:p>
        </w:tc>
        <w:tc>
          <w:tcPr>
            <w:tcW w:w="2311"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37041.15</w:t>
            </w:r>
          </w:p>
        </w:tc>
        <w:tc>
          <w:tcPr>
            <w:tcW w:w="2311"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1.4%</w:t>
            </w:r>
          </w:p>
        </w:tc>
      </w:tr>
      <w:tr w:rsidR="00F32F90" w:rsidRPr="00251961" w:rsidTr="004C34B1">
        <w:tc>
          <w:tcPr>
            <w:tcW w:w="2310"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2020-2021</w:t>
            </w:r>
          </w:p>
          <w:p w:rsidR="00F32F90" w:rsidRPr="00251961" w:rsidRDefault="00F32F90" w:rsidP="00251961">
            <w:pPr>
              <w:spacing w:line="360" w:lineRule="auto"/>
              <w:jc w:val="both"/>
              <w:rPr>
                <w:rFonts w:ascii="Times New Roman" w:hAnsi="Times New Roman" w:cs="Times New Roman"/>
                <w:sz w:val="24"/>
                <w:szCs w:val="24"/>
                <w:lang w:val="en-US"/>
              </w:rPr>
            </w:pPr>
          </w:p>
        </w:tc>
        <w:tc>
          <w:tcPr>
            <w:tcW w:w="2310"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37304</w:t>
            </w:r>
          </w:p>
        </w:tc>
        <w:tc>
          <w:tcPr>
            <w:tcW w:w="2311"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9467.00</w:t>
            </w:r>
          </w:p>
        </w:tc>
        <w:tc>
          <w:tcPr>
            <w:tcW w:w="2311"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3.9%</w:t>
            </w:r>
          </w:p>
        </w:tc>
      </w:tr>
      <w:tr w:rsidR="00F32F90" w:rsidRPr="00251961" w:rsidTr="004C34B1">
        <w:tc>
          <w:tcPr>
            <w:tcW w:w="2310"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2021-2022</w:t>
            </w:r>
          </w:p>
          <w:p w:rsidR="00F32F90" w:rsidRPr="00251961" w:rsidRDefault="00F32F90" w:rsidP="00251961">
            <w:pPr>
              <w:spacing w:line="360" w:lineRule="auto"/>
              <w:jc w:val="both"/>
              <w:rPr>
                <w:rFonts w:ascii="Times New Roman" w:hAnsi="Times New Roman" w:cs="Times New Roman"/>
                <w:sz w:val="24"/>
                <w:szCs w:val="24"/>
                <w:lang w:val="en-US"/>
              </w:rPr>
            </w:pPr>
          </w:p>
        </w:tc>
        <w:tc>
          <w:tcPr>
            <w:tcW w:w="2310"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36670</w:t>
            </w:r>
          </w:p>
        </w:tc>
        <w:tc>
          <w:tcPr>
            <w:tcW w:w="2311"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9879</w:t>
            </w:r>
          </w:p>
        </w:tc>
        <w:tc>
          <w:tcPr>
            <w:tcW w:w="2311"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3.7%</w:t>
            </w:r>
          </w:p>
        </w:tc>
      </w:tr>
      <w:tr w:rsidR="00F32F90" w:rsidRPr="00251961" w:rsidTr="004C34B1">
        <w:tc>
          <w:tcPr>
            <w:tcW w:w="2310"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lastRenderedPageBreak/>
              <w:t>2022-2023</w:t>
            </w:r>
          </w:p>
          <w:p w:rsidR="00F32F90" w:rsidRPr="00251961" w:rsidRDefault="00F32F90" w:rsidP="00251961">
            <w:pPr>
              <w:spacing w:line="360" w:lineRule="auto"/>
              <w:jc w:val="both"/>
              <w:rPr>
                <w:rFonts w:ascii="Times New Roman" w:hAnsi="Times New Roman" w:cs="Times New Roman"/>
                <w:sz w:val="24"/>
                <w:szCs w:val="24"/>
                <w:lang w:val="en-US"/>
              </w:rPr>
            </w:pPr>
          </w:p>
        </w:tc>
        <w:tc>
          <w:tcPr>
            <w:tcW w:w="2310"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34868</w:t>
            </w:r>
          </w:p>
        </w:tc>
        <w:tc>
          <w:tcPr>
            <w:tcW w:w="2311"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7309</w:t>
            </w:r>
          </w:p>
        </w:tc>
        <w:tc>
          <w:tcPr>
            <w:tcW w:w="2311"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4.7%</w:t>
            </w:r>
          </w:p>
        </w:tc>
      </w:tr>
    </w:tbl>
    <w:p w:rsidR="00F32F90" w:rsidRPr="00251961" w:rsidRDefault="00F32F90" w:rsidP="00251961">
      <w:pPr>
        <w:spacing w:line="360" w:lineRule="auto"/>
        <w:jc w:val="both"/>
        <w:rPr>
          <w:rFonts w:ascii="Times New Roman" w:hAnsi="Times New Roman" w:cs="Times New Roman"/>
          <w:sz w:val="24"/>
          <w:szCs w:val="24"/>
          <w:lang w:val="en-US"/>
        </w:rPr>
      </w:pPr>
    </w:p>
    <w:p w:rsidR="00F32F90" w:rsidRPr="00251961" w:rsidRDefault="00F32F90" w:rsidP="00251961">
      <w:pPr>
        <w:spacing w:after="0" w:line="360" w:lineRule="auto"/>
        <w:ind w:left="-5"/>
        <w:jc w:val="both"/>
        <w:rPr>
          <w:rFonts w:ascii="Times New Roman" w:hAnsi="Times New Roman" w:cs="Times New Roman"/>
          <w:b/>
          <w:sz w:val="24"/>
          <w:szCs w:val="24"/>
        </w:rPr>
      </w:pPr>
      <w:r w:rsidRPr="00251961">
        <w:rPr>
          <w:rFonts w:ascii="Times New Roman" w:hAnsi="Times New Roman" w:cs="Times New Roman"/>
          <w:b/>
          <w:sz w:val="24"/>
          <w:szCs w:val="24"/>
        </w:rPr>
        <w:t>5.6.2. Graph showing the performance Doubtful assets Ratio</w:t>
      </w:r>
    </w:p>
    <w:p w:rsidR="00F32F90" w:rsidRPr="00251961" w:rsidRDefault="00F32F90" w:rsidP="00251961">
      <w:pPr>
        <w:spacing w:after="0" w:line="360" w:lineRule="auto"/>
        <w:ind w:left="-5"/>
        <w:jc w:val="both"/>
        <w:rPr>
          <w:rFonts w:ascii="Times New Roman" w:hAnsi="Times New Roman" w:cs="Times New Roman"/>
          <w:b/>
          <w:sz w:val="24"/>
          <w:szCs w:val="24"/>
        </w:rPr>
      </w:pPr>
    </w:p>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noProof/>
          <w:sz w:val="24"/>
          <w:szCs w:val="24"/>
          <w:lang w:eastAsia="en-IN"/>
        </w:rPr>
        <w:drawing>
          <wp:inline distT="0" distB="0" distL="0" distR="0" wp14:anchorId="31AB3D42" wp14:editId="1159EE03">
            <wp:extent cx="5749290" cy="2743200"/>
            <wp:effectExtent l="19050" t="0" r="22860" b="0"/>
            <wp:docPr id="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b/>
          <w:bCs/>
          <w:sz w:val="24"/>
          <w:szCs w:val="24"/>
          <w:lang w:val="en-US"/>
        </w:rPr>
        <w:t>Interpretation:</w:t>
      </w:r>
      <w:r w:rsidRPr="00251961">
        <w:rPr>
          <w:rFonts w:ascii="Times New Roman" w:hAnsi="Times New Roman" w:cs="Times New Roman"/>
          <w:sz w:val="24"/>
          <w:szCs w:val="24"/>
          <w:lang w:val="en-US"/>
        </w:rPr>
        <w:t>-</w:t>
      </w:r>
    </w:p>
    <w:p w:rsidR="00F32F90" w:rsidRPr="00251961" w:rsidRDefault="00F32F90" w:rsidP="00251961">
      <w:pPr>
        <w:spacing w:line="360" w:lineRule="auto"/>
        <w:jc w:val="both"/>
        <w:rPr>
          <w:rFonts w:ascii="Times New Roman" w:hAnsi="Times New Roman" w:cs="Times New Roman"/>
          <w:sz w:val="24"/>
          <w:szCs w:val="24"/>
        </w:rPr>
      </w:pPr>
      <w:r w:rsidRPr="00251961">
        <w:rPr>
          <w:rFonts w:ascii="Times New Roman" w:hAnsi="Times New Roman" w:cs="Times New Roman"/>
          <w:sz w:val="24"/>
          <w:szCs w:val="24"/>
        </w:rPr>
        <w:t>As per the above graph reveals the fact that Doubtful assets increased from 2018 to 2019 but Ddeclined in the year 2020 because Canara strengthened its risk management practices in 2020. This include enhanced due diligence processes, stricter evaluation of borrowers' creditworthiness or improved monitoring of loan performance and again raised in 22 and 23.</w:t>
      </w:r>
    </w:p>
    <w:p w:rsidR="00F32F90" w:rsidRPr="00251961" w:rsidRDefault="00F32F90" w:rsidP="00251961">
      <w:pPr>
        <w:spacing w:after="0" w:line="360" w:lineRule="auto"/>
        <w:jc w:val="both"/>
        <w:rPr>
          <w:rFonts w:ascii="Times New Roman" w:hAnsi="Times New Roman" w:cs="Times New Roman"/>
          <w:b/>
          <w:sz w:val="24"/>
          <w:szCs w:val="24"/>
        </w:rPr>
      </w:pPr>
      <w:r w:rsidRPr="00251961">
        <w:rPr>
          <w:rFonts w:ascii="Times New Roman" w:hAnsi="Times New Roman" w:cs="Times New Roman"/>
          <w:sz w:val="24"/>
          <w:szCs w:val="24"/>
        </w:rPr>
        <w:t xml:space="preserve">5.7 </w:t>
      </w:r>
      <w:r w:rsidRPr="00251961">
        <w:rPr>
          <w:rFonts w:ascii="Times New Roman" w:hAnsi="Times New Roman" w:cs="Times New Roman"/>
          <w:b/>
          <w:sz w:val="24"/>
          <w:szCs w:val="24"/>
        </w:rPr>
        <w:t>Loss Assets Ratio</w:t>
      </w:r>
    </w:p>
    <w:p w:rsidR="00F32F90" w:rsidRPr="00251961" w:rsidRDefault="00F32F90" w:rsidP="00251961">
      <w:pPr>
        <w:spacing w:after="0" w:line="360" w:lineRule="auto"/>
        <w:jc w:val="both"/>
        <w:rPr>
          <w:rFonts w:ascii="Times New Roman" w:hAnsi="Times New Roman" w:cs="Times New Roman"/>
          <w:b/>
          <w:sz w:val="24"/>
          <w:szCs w:val="24"/>
        </w:rPr>
      </w:pPr>
    </w:p>
    <w:p w:rsidR="00F32F90" w:rsidRPr="00251961" w:rsidRDefault="00F32F90" w:rsidP="00251961">
      <w:pPr>
        <w:spacing w:after="0" w:line="360" w:lineRule="auto"/>
        <w:jc w:val="both"/>
        <w:rPr>
          <w:rFonts w:ascii="Times New Roman" w:hAnsi="Times New Roman" w:cs="Times New Roman"/>
          <w:sz w:val="24"/>
          <w:szCs w:val="24"/>
        </w:rPr>
      </w:pPr>
      <w:r w:rsidRPr="00251961">
        <w:rPr>
          <w:rFonts w:ascii="Times New Roman" w:hAnsi="Times New Roman" w:cs="Times New Roman"/>
          <w:sz w:val="24"/>
          <w:szCs w:val="24"/>
        </w:rPr>
        <w:t xml:space="preserve">Loss Assets Ratio = Total loss assets / Gross NPA’s </w:t>
      </w:r>
    </w:p>
    <w:p w:rsidR="00F32F90" w:rsidRPr="00251961" w:rsidRDefault="00F32F90" w:rsidP="00251961">
      <w:pPr>
        <w:spacing w:after="0" w:line="360" w:lineRule="auto"/>
        <w:jc w:val="both"/>
        <w:rPr>
          <w:rFonts w:ascii="Times New Roman" w:hAnsi="Times New Roman" w:cs="Times New Roman"/>
          <w:b/>
          <w:sz w:val="24"/>
          <w:szCs w:val="24"/>
        </w:rPr>
      </w:pPr>
      <w:r w:rsidRPr="00251961">
        <w:rPr>
          <w:rFonts w:ascii="Times New Roman" w:hAnsi="Times New Roman" w:cs="Times New Roman"/>
          <w:b/>
          <w:sz w:val="24"/>
          <w:szCs w:val="24"/>
        </w:rPr>
        <w:t>5.7.1. Table showing the percentage of Loss Assets Ratio</w:t>
      </w:r>
    </w:p>
    <w:p w:rsidR="00F32F90" w:rsidRPr="00251961" w:rsidRDefault="00F32F90" w:rsidP="00251961">
      <w:pPr>
        <w:spacing w:after="0" w:line="360" w:lineRule="auto"/>
        <w:ind w:left="1282"/>
        <w:jc w:val="both"/>
        <w:rPr>
          <w:rFonts w:ascii="Times New Roman" w:hAnsi="Times New Roman" w:cs="Times New Roman"/>
          <w:sz w:val="24"/>
          <w:szCs w:val="24"/>
        </w:rPr>
      </w:pPr>
    </w:p>
    <w:tbl>
      <w:tblPr>
        <w:tblStyle w:val="TableGrid0"/>
        <w:tblW w:w="0" w:type="auto"/>
        <w:tblLook w:val="04A0" w:firstRow="1" w:lastRow="0" w:firstColumn="1" w:lastColumn="0" w:noHBand="0" w:noVBand="1"/>
      </w:tblPr>
      <w:tblGrid>
        <w:gridCol w:w="2244"/>
        <w:gridCol w:w="1720"/>
        <w:gridCol w:w="1985"/>
        <w:gridCol w:w="2070"/>
      </w:tblGrid>
      <w:tr w:rsidR="00F32F90" w:rsidRPr="00251961" w:rsidTr="004C34B1">
        <w:trPr>
          <w:trHeight w:val="325"/>
        </w:trPr>
        <w:tc>
          <w:tcPr>
            <w:tcW w:w="2244"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Years</w:t>
            </w:r>
          </w:p>
        </w:tc>
        <w:tc>
          <w:tcPr>
            <w:tcW w:w="1720"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Loss Assets</w:t>
            </w:r>
          </w:p>
        </w:tc>
        <w:tc>
          <w:tcPr>
            <w:tcW w:w="1985"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Gross NPA’s</w:t>
            </w:r>
          </w:p>
        </w:tc>
        <w:tc>
          <w:tcPr>
            <w:tcW w:w="2070"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Percentage of Loss Assets Ratio</w:t>
            </w:r>
          </w:p>
        </w:tc>
      </w:tr>
      <w:tr w:rsidR="00F32F90" w:rsidRPr="00251961" w:rsidTr="004C34B1">
        <w:tc>
          <w:tcPr>
            <w:tcW w:w="2244"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2018-2019</w:t>
            </w:r>
          </w:p>
          <w:p w:rsidR="00F32F90" w:rsidRPr="00251961" w:rsidRDefault="00F32F90" w:rsidP="00251961">
            <w:pPr>
              <w:spacing w:line="360" w:lineRule="auto"/>
              <w:jc w:val="both"/>
              <w:rPr>
                <w:rFonts w:ascii="Times New Roman" w:hAnsi="Times New Roman" w:cs="Times New Roman"/>
                <w:sz w:val="24"/>
                <w:szCs w:val="24"/>
                <w:lang w:val="en-US"/>
              </w:rPr>
            </w:pPr>
          </w:p>
        </w:tc>
        <w:tc>
          <w:tcPr>
            <w:tcW w:w="1720"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16111</w:t>
            </w:r>
          </w:p>
        </w:tc>
        <w:tc>
          <w:tcPr>
            <w:tcW w:w="1985"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39224.12</w:t>
            </w:r>
          </w:p>
        </w:tc>
        <w:tc>
          <w:tcPr>
            <w:tcW w:w="2070"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0.4%</w:t>
            </w:r>
          </w:p>
        </w:tc>
      </w:tr>
      <w:tr w:rsidR="00F32F90" w:rsidRPr="00251961" w:rsidTr="004C34B1">
        <w:tc>
          <w:tcPr>
            <w:tcW w:w="2244"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2019-2020</w:t>
            </w:r>
          </w:p>
          <w:p w:rsidR="00F32F90" w:rsidRPr="00251961" w:rsidRDefault="00F32F90" w:rsidP="00251961">
            <w:pPr>
              <w:spacing w:line="360" w:lineRule="auto"/>
              <w:jc w:val="both"/>
              <w:rPr>
                <w:rFonts w:ascii="Times New Roman" w:hAnsi="Times New Roman" w:cs="Times New Roman"/>
                <w:sz w:val="24"/>
                <w:szCs w:val="24"/>
                <w:lang w:val="en-US"/>
              </w:rPr>
            </w:pPr>
          </w:p>
        </w:tc>
        <w:tc>
          <w:tcPr>
            <w:tcW w:w="1720"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4543</w:t>
            </w:r>
          </w:p>
        </w:tc>
        <w:tc>
          <w:tcPr>
            <w:tcW w:w="1985"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37041.15</w:t>
            </w:r>
          </w:p>
        </w:tc>
        <w:tc>
          <w:tcPr>
            <w:tcW w:w="2070"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0.12%</w:t>
            </w:r>
          </w:p>
        </w:tc>
      </w:tr>
      <w:tr w:rsidR="00F32F90" w:rsidRPr="00251961" w:rsidTr="004C34B1">
        <w:tc>
          <w:tcPr>
            <w:tcW w:w="2244"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lastRenderedPageBreak/>
              <w:t>2020-2021</w:t>
            </w:r>
          </w:p>
          <w:p w:rsidR="00F32F90" w:rsidRPr="00251961" w:rsidRDefault="00F32F90" w:rsidP="00251961">
            <w:pPr>
              <w:spacing w:line="360" w:lineRule="auto"/>
              <w:jc w:val="both"/>
              <w:rPr>
                <w:rFonts w:ascii="Times New Roman" w:hAnsi="Times New Roman" w:cs="Times New Roman"/>
                <w:sz w:val="24"/>
                <w:szCs w:val="24"/>
                <w:lang w:val="en-US"/>
              </w:rPr>
            </w:pPr>
          </w:p>
        </w:tc>
        <w:tc>
          <w:tcPr>
            <w:tcW w:w="1720"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8476</w:t>
            </w:r>
          </w:p>
        </w:tc>
        <w:tc>
          <w:tcPr>
            <w:tcW w:w="1985"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9667.00</w:t>
            </w:r>
          </w:p>
        </w:tc>
        <w:tc>
          <w:tcPr>
            <w:tcW w:w="2070"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0.8%</w:t>
            </w:r>
          </w:p>
        </w:tc>
      </w:tr>
      <w:tr w:rsidR="00F32F90" w:rsidRPr="00251961" w:rsidTr="004C34B1">
        <w:tc>
          <w:tcPr>
            <w:tcW w:w="2244"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2021-2022</w:t>
            </w:r>
          </w:p>
          <w:p w:rsidR="00F32F90" w:rsidRPr="00251961" w:rsidRDefault="00F32F90" w:rsidP="00251961">
            <w:pPr>
              <w:spacing w:line="360" w:lineRule="auto"/>
              <w:jc w:val="both"/>
              <w:rPr>
                <w:rFonts w:ascii="Times New Roman" w:hAnsi="Times New Roman" w:cs="Times New Roman"/>
                <w:sz w:val="24"/>
                <w:szCs w:val="24"/>
                <w:lang w:val="en-US"/>
              </w:rPr>
            </w:pPr>
          </w:p>
        </w:tc>
        <w:tc>
          <w:tcPr>
            <w:tcW w:w="1720"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9396</w:t>
            </w:r>
          </w:p>
        </w:tc>
        <w:tc>
          <w:tcPr>
            <w:tcW w:w="1985"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9879</w:t>
            </w:r>
          </w:p>
        </w:tc>
        <w:tc>
          <w:tcPr>
            <w:tcW w:w="2070"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0.9%</w:t>
            </w:r>
          </w:p>
        </w:tc>
      </w:tr>
      <w:tr w:rsidR="00F32F90" w:rsidRPr="00251961" w:rsidTr="004C34B1">
        <w:trPr>
          <w:trHeight w:val="63"/>
        </w:trPr>
        <w:tc>
          <w:tcPr>
            <w:tcW w:w="2244"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2022-2023</w:t>
            </w:r>
          </w:p>
          <w:p w:rsidR="00F32F90" w:rsidRPr="00251961" w:rsidRDefault="00F32F90" w:rsidP="00251961">
            <w:pPr>
              <w:spacing w:line="360" w:lineRule="auto"/>
              <w:jc w:val="both"/>
              <w:rPr>
                <w:rFonts w:ascii="Times New Roman" w:hAnsi="Times New Roman" w:cs="Times New Roman"/>
                <w:sz w:val="24"/>
                <w:szCs w:val="24"/>
                <w:lang w:val="en-US"/>
              </w:rPr>
            </w:pPr>
          </w:p>
        </w:tc>
        <w:tc>
          <w:tcPr>
            <w:tcW w:w="1720"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11654</w:t>
            </w:r>
          </w:p>
        </w:tc>
        <w:tc>
          <w:tcPr>
            <w:tcW w:w="1985"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7399</w:t>
            </w:r>
          </w:p>
        </w:tc>
        <w:tc>
          <w:tcPr>
            <w:tcW w:w="2070" w:type="dxa"/>
          </w:tcPr>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1.5%</w:t>
            </w:r>
          </w:p>
        </w:tc>
      </w:tr>
    </w:tbl>
    <w:p w:rsidR="00F32F90" w:rsidRPr="00251961" w:rsidRDefault="00F32F90" w:rsidP="00251961">
      <w:pPr>
        <w:spacing w:line="360" w:lineRule="auto"/>
        <w:jc w:val="both"/>
        <w:rPr>
          <w:rFonts w:ascii="Times New Roman" w:hAnsi="Times New Roman" w:cs="Times New Roman"/>
          <w:sz w:val="24"/>
          <w:szCs w:val="24"/>
          <w:lang w:val="en-US"/>
        </w:rPr>
      </w:pPr>
    </w:p>
    <w:p w:rsidR="00F32F90" w:rsidRPr="00251961" w:rsidRDefault="00F32F90" w:rsidP="00251961">
      <w:pPr>
        <w:spacing w:after="0" w:line="360" w:lineRule="auto"/>
        <w:ind w:left="-5"/>
        <w:jc w:val="both"/>
        <w:rPr>
          <w:rFonts w:ascii="Times New Roman" w:hAnsi="Times New Roman" w:cs="Times New Roman"/>
          <w:sz w:val="24"/>
          <w:szCs w:val="24"/>
        </w:rPr>
      </w:pPr>
      <w:r w:rsidRPr="00251961">
        <w:rPr>
          <w:rFonts w:ascii="Times New Roman" w:hAnsi="Times New Roman" w:cs="Times New Roman"/>
          <w:b/>
          <w:sz w:val="24"/>
          <w:szCs w:val="24"/>
        </w:rPr>
        <w:t>5.7.2Graph showing the percentage of  loss assets ratio</w:t>
      </w:r>
    </w:p>
    <w:p w:rsidR="00F32F90" w:rsidRPr="00251961" w:rsidRDefault="00F32F90" w:rsidP="00251961">
      <w:pPr>
        <w:spacing w:line="360" w:lineRule="auto"/>
        <w:jc w:val="both"/>
        <w:rPr>
          <w:rFonts w:ascii="Times New Roman" w:hAnsi="Times New Roman" w:cs="Times New Roman"/>
          <w:sz w:val="24"/>
          <w:szCs w:val="24"/>
          <w:lang w:val="en-US"/>
        </w:rPr>
      </w:pPr>
      <w:r w:rsidRPr="00251961">
        <w:rPr>
          <w:rFonts w:ascii="Times New Roman" w:hAnsi="Times New Roman" w:cs="Times New Roman"/>
          <w:noProof/>
          <w:sz w:val="24"/>
          <w:szCs w:val="24"/>
          <w:lang w:eastAsia="en-IN"/>
        </w:rPr>
        <w:drawing>
          <wp:inline distT="0" distB="0" distL="0" distR="0" wp14:anchorId="420CA52F" wp14:editId="7A29C979">
            <wp:extent cx="5619750" cy="2743200"/>
            <wp:effectExtent l="19050" t="0" r="19050" b="0"/>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32F90" w:rsidRPr="00251961" w:rsidRDefault="00F32F90" w:rsidP="00251961">
      <w:pPr>
        <w:spacing w:line="360" w:lineRule="auto"/>
        <w:jc w:val="both"/>
        <w:rPr>
          <w:rFonts w:ascii="Times New Roman" w:hAnsi="Times New Roman" w:cs="Times New Roman"/>
          <w:b/>
          <w:bCs/>
          <w:sz w:val="24"/>
          <w:szCs w:val="24"/>
          <w:lang w:val="en-US"/>
        </w:rPr>
      </w:pPr>
      <w:r w:rsidRPr="00251961">
        <w:rPr>
          <w:rFonts w:ascii="Times New Roman" w:hAnsi="Times New Roman" w:cs="Times New Roman"/>
          <w:b/>
          <w:bCs/>
          <w:sz w:val="24"/>
          <w:szCs w:val="24"/>
          <w:lang w:val="en-US"/>
        </w:rPr>
        <w:t>Interpretation:-</w:t>
      </w:r>
    </w:p>
    <w:p w:rsidR="00F32F90" w:rsidRPr="00251961" w:rsidRDefault="00F32F90" w:rsidP="00251961">
      <w:pPr>
        <w:spacing w:line="360" w:lineRule="auto"/>
        <w:jc w:val="both"/>
        <w:rPr>
          <w:rFonts w:ascii="Times New Roman" w:hAnsi="Times New Roman" w:cs="Times New Roman"/>
          <w:sz w:val="24"/>
          <w:szCs w:val="24"/>
        </w:rPr>
      </w:pPr>
      <w:r w:rsidRPr="00251961">
        <w:rPr>
          <w:rFonts w:ascii="Times New Roman" w:hAnsi="Times New Roman" w:cs="Times New Roman"/>
          <w:sz w:val="24"/>
          <w:szCs w:val="24"/>
        </w:rPr>
        <w:t xml:space="preserve"> As per the graph above shows fluctuating trends in loss assets, with both increases and decreases over the years. The bank's ability to recover interest and principal from these assets is critical. It's essential to consider overall economic conditions during this period, as they can significantly impact the occurrence of loss assets. Factors like economic downturns, recessions, industry-specific challenges, or policy changes within the region or country can directly affect borrowers' ability to repay loans, thus influencing the occurrence of loss assets.</w:t>
      </w:r>
    </w:p>
    <w:p w:rsidR="00F32F90" w:rsidRPr="00251961" w:rsidRDefault="00F32F90" w:rsidP="00251961">
      <w:pPr>
        <w:spacing w:after="0" w:line="360" w:lineRule="auto"/>
        <w:jc w:val="both"/>
        <w:rPr>
          <w:rFonts w:ascii="Times New Roman" w:hAnsi="Times New Roman" w:cs="Times New Roman"/>
          <w:b/>
          <w:bCs/>
          <w:sz w:val="28"/>
          <w:szCs w:val="28"/>
        </w:rPr>
      </w:pPr>
      <w:r w:rsidRPr="00251961">
        <w:rPr>
          <w:rFonts w:ascii="Times New Roman" w:hAnsi="Times New Roman" w:cs="Times New Roman"/>
          <w:b/>
          <w:bCs/>
          <w:sz w:val="28"/>
          <w:szCs w:val="28"/>
        </w:rPr>
        <w:t>Findings:-</w:t>
      </w:r>
    </w:p>
    <w:p w:rsidR="00F32F90" w:rsidRPr="00251961" w:rsidRDefault="00F32F90" w:rsidP="00251961">
      <w:pPr>
        <w:pStyle w:val="ListParagraph"/>
        <w:widowControl/>
        <w:numPr>
          <w:ilvl w:val="0"/>
          <w:numId w:val="3"/>
        </w:numPr>
        <w:autoSpaceDE/>
        <w:autoSpaceDN/>
        <w:spacing w:line="360" w:lineRule="auto"/>
        <w:ind w:left="0"/>
        <w:contextualSpacing/>
        <w:jc w:val="both"/>
        <w:rPr>
          <w:sz w:val="24"/>
          <w:szCs w:val="24"/>
        </w:rPr>
      </w:pPr>
      <w:r w:rsidRPr="00251961">
        <w:rPr>
          <w:sz w:val="24"/>
          <w:szCs w:val="24"/>
        </w:rPr>
        <w:t>Gross NPA decrease in Canara bank indicate that the bank’s loan portfolio is healthier.</w:t>
      </w:r>
    </w:p>
    <w:p w:rsidR="00F32F90" w:rsidRPr="00251961" w:rsidRDefault="00F32F90" w:rsidP="00251961">
      <w:pPr>
        <w:pStyle w:val="ListParagraph"/>
        <w:widowControl/>
        <w:numPr>
          <w:ilvl w:val="0"/>
          <w:numId w:val="3"/>
        </w:numPr>
        <w:autoSpaceDE/>
        <w:autoSpaceDN/>
        <w:spacing w:line="360" w:lineRule="auto"/>
        <w:ind w:left="0"/>
        <w:contextualSpacing/>
        <w:jc w:val="both"/>
        <w:rPr>
          <w:sz w:val="24"/>
          <w:szCs w:val="24"/>
        </w:rPr>
      </w:pPr>
      <w:r w:rsidRPr="00251961">
        <w:rPr>
          <w:sz w:val="24"/>
          <w:szCs w:val="24"/>
        </w:rPr>
        <w:t>Net NPA decrease in Canara bank indicate that the bank is effectively</w:t>
      </w:r>
    </w:p>
    <w:p w:rsidR="00F32F90" w:rsidRPr="00251961" w:rsidRDefault="00F32F90" w:rsidP="00251961">
      <w:pPr>
        <w:pStyle w:val="ListParagraph"/>
        <w:spacing w:line="360" w:lineRule="auto"/>
        <w:ind w:left="0" w:firstLine="0"/>
        <w:jc w:val="both"/>
        <w:rPr>
          <w:sz w:val="24"/>
          <w:szCs w:val="24"/>
        </w:rPr>
      </w:pPr>
      <w:r w:rsidRPr="00251961">
        <w:rPr>
          <w:sz w:val="24"/>
          <w:szCs w:val="24"/>
        </w:rPr>
        <w:t>Managing its bad loans and reducing its exposure to risky assets.</w:t>
      </w:r>
    </w:p>
    <w:p w:rsidR="00F32F90" w:rsidRPr="00251961" w:rsidRDefault="00F32F90" w:rsidP="00251961">
      <w:pPr>
        <w:pStyle w:val="ListParagraph"/>
        <w:widowControl/>
        <w:numPr>
          <w:ilvl w:val="0"/>
          <w:numId w:val="3"/>
        </w:numPr>
        <w:autoSpaceDE/>
        <w:autoSpaceDN/>
        <w:spacing w:line="360" w:lineRule="auto"/>
        <w:ind w:left="0"/>
        <w:contextualSpacing/>
        <w:jc w:val="both"/>
        <w:rPr>
          <w:sz w:val="24"/>
          <w:szCs w:val="24"/>
        </w:rPr>
      </w:pPr>
      <w:r w:rsidRPr="00251961">
        <w:rPr>
          <w:sz w:val="24"/>
          <w:szCs w:val="24"/>
        </w:rPr>
        <w:t>An increase in the provisions ratio in canara bank indicates that the bank is experiencing higher losses from bad loans or other risks.</w:t>
      </w:r>
    </w:p>
    <w:p w:rsidR="00F32F90" w:rsidRPr="00251961" w:rsidRDefault="00F32F90" w:rsidP="00251961">
      <w:pPr>
        <w:pStyle w:val="ListParagraph"/>
        <w:widowControl/>
        <w:numPr>
          <w:ilvl w:val="0"/>
          <w:numId w:val="3"/>
        </w:numPr>
        <w:autoSpaceDE/>
        <w:autoSpaceDN/>
        <w:spacing w:line="360" w:lineRule="auto"/>
        <w:ind w:left="0"/>
        <w:contextualSpacing/>
        <w:jc w:val="both"/>
        <w:rPr>
          <w:sz w:val="24"/>
          <w:szCs w:val="24"/>
        </w:rPr>
      </w:pPr>
      <w:r w:rsidRPr="00251961">
        <w:rPr>
          <w:sz w:val="24"/>
          <w:szCs w:val="24"/>
        </w:rPr>
        <w:lastRenderedPageBreak/>
        <w:t>Standard assets ratio increase in Canara bank indicate a healthy loan portfolio.</w:t>
      </w:r>
    </w:p>
    <w:p w:rsidR="00F32F90" w:rsidRPr="00251961" w:rsidRDefault="00F32F90" w:rsidP="00251961">
      <w:pPr>
        <w:pStyle w:val="ListParagraph"/>
        <w:widowControl/>
        <w:numPr>
          <w:ilvl w:val="0"/>
          <w:numId w:val="3"/>
        </w:numPr>
        <w:autoSpaceDE/>
        <w:autoSpaceDN/>
        <w:spacing w:line="360" w:lineRule="auto"/>
        <w:ind w:left="0"/>
        <w:contextualSpacing/>
        <w:jc w:val="both"/>
        <w:rPr>
          <w:sz w:val="24"/>
          <w:szCs w:val="24"/>
        </w:rPr>
      </w:pPr>
      <w:r w:rsidRPr="00251961">
        <w:rPr>
          <w:sz w:val="24"/>
          <w:szCs w:val="24"/>
        </w:rPr>
        <w:t>Doubtful assets ratio increase in Canara bank indicate financial stability by diversifying its revenue streams.</w:t>
      </w:r>
    </w:p>
    <w:p w:rsidR="00F32F90" w:rsidRPr="00251961" w:rsidRDefault="00F32F90" w:rsidP="00251961">
      <w:pPr>
        <w:pStyle w:val="ListParagraph"/>
        <w:widowControl/>
        <w:numPr>
          <w:ilvl w:val="0"/>
          <w:numId w:val="3"/>
        </w:numPr>
        <w:autoSpaceDE/>
        <w:autoSpaceDN/>
        <w:spacing w:line="360" w:lineRule="auto"/>
        <w:ind w:left="0"/>
        <w:contextualSpacing/>
        <w:jc w:val="both"/>
        <w:rPr>
          <w:sz w:val="24"/>
          <w:szCs w:val="24"/>
        </w:rPr>
      </w:pPr>
      <w:r w:rsidRPr="00251961">
        <w:rPr>
          <w:sz w:val="24"/>
          <w:szCs w:val="24"/>
        </w:rPr>
        <w:t>Sub-Standard assets ratio decrease in Canara bank indicate an improvement in the bank portfolio.</w:t>
      </w:r>
    </w:p>
    <w:p w:rsidR="00F32F90" w:rsidRPr="00251961" w:rsidRDefault="00F32F90" w:rsidP="00251961">
      <w:pPr>
        <w:pStyle w:val="ListParagraph"/>
        <w:widowControl/>
        <w:numPr>
          <w:ilvl w:val="0"/>
          <w:numId w:val="3"/>
        </w:numPr>
        <w:autoSpaceDE/>
        <w:autoSpaceDN/>
        <w:spacing w:line="360" w:lineRule="auto"/>
        <w:ind w:left="0"/>
        <w:contextualSpacing/>
        <w:jc w:val="both"/>
        <w:rPr>
          <w:sz w:val="24"/>
          <w:szCs w:val="24"/>
        </w:rPr>
      </w:pPr>
      <w:r w:rsidRPr="00251961">
        <w:rPr>
          <w:sz w:val="24"/>
          <w:szCs w:val="24"/>
        </w:rPr>
        <w:t>Loss assets ratio increase in Canara bank poses significant challenges .</w:t>
      </w:r>
    </w:p>
    <w:p w:rsidR="00F32F90" w:rsidRPr="00251961" w:rsidRDefault="00F32F90" w:rsidP="00251961">
      <w:pPr>
        <w:spacing w:after="0" w:line="360" w:lineRule="auto"/>
        <w:jc w:val="both"/>
        <w:rPr>
          <w:rFonts w:ascii="Times New Roman" w:hAnsi="Times New Roman" w:cs="Times New Roman"/>
          <w:b/>
          <w:bCs/>
          <w:sz w:val="28"/>
          <w:szCs w:val="28"/>
          <w:lang w:val="en-US"/>
        </w:rPr>
      </w:pPr>
      <w:r w:rsidRPr="00251961">
        <w:rPr>
          <w:rFonts w:ascii="Times New Roman" w:hAnsi="Times New Roman" w:cs="Times New Roman"/>
          <w:b/>
          <w:bCs/>
          <w:sz w:val="28"/>
          <w:szCs w:val="28"/>
          <w:lang w:val="en-US"/>
        </w:rPr>
        <w:t>Suggestions:</w:t>
      </w:r>
    </w:p>
    <w:p w:rsidR="00F32F90" w:rsidRPr="00251961" w:rsidRDefault="00F32F90" w:rsidP="00251961">
      <w:pPr>
        <w:pStyle w:val="ListParagraph"/>
        <w:widowControl/>
        <w:numPr>
          <w:ilvl w:val="0"/>
          <w:numId w:val="4"/>
        </w:numPr>
        <w:autoSpaceDE/>
        <w:autoSpaceDN/>
        <w:spacing w:line="360" w:lineRule="auto"/>
        <w:ind w:left="0"/>
        <w:contextualSpacing/>
        <w:jc w:val="both"/>
        <w:rPr>
          <w:sz w:val="24"/>
          <w:szCs w:val="24"/>
        </w:rPr>
      </w:pPr>
      <w:r w:rsidRPr="00251961">
        <w:rPr>
          <w:sz w:val="24"/>
          <w:szCs w:val="24"/>
        </w:rPr>
        <w:t>A decrease in gross NPA assets in canara bank signals improved asset quality and financial health, boosting investor confidence.</w:t>
      </w:r>
    </w:p>
    <w:p w:rsidR="00F32F90" w:rsidRPr="00251961" w:rsidRDefault="00F32F90" w:rsidP="00251961">
      <w:pPr>
        <w:pStyle w:val="ListParagraph"/>
        <w:widowControl/>
        <w:numPr>
          <w:ilvl w:val="0"/>
          <w:numId w:val="4"/>
        </w:numPr>
        <w:autoSpaceDE/>
        <w:autoSpaceDN/>
        <w:spacing w:line="360" w:lineRule="auto"/>
        <w:ind w:left="0"/>
        <w:contextualSpacing/>
        <w:jc w:val="both"/>
        <w:rPr>
          <w:sz w:val="24"/>
          <w:szCs w:val="24"/>
        </w:rPr>
      </w:pPr>
      <w:r w:rsidRPr="00251961">
        <w:rPr>
          <w:sz w:val="24"/>
          <w:szCs w:val="24"/>
        </w:rPr>
        <w:t>A decrease in net NPA in canara bank indicates better recovery and provisioning strategies, reflecting stronger financial stability.</w:t>
      </w:r>
    </w:p>
    <w:p w:rsidR="00F32F90" w:rsidRPr="00251961" w:rsidRDefault="00F32F90" w:rsidP="00251961">
      <w:pPr>
        <w:pStyle w:val="ListParagraph"/>
        <w:widowControl/>
        <w:numPr>
          <w:ilvl w:val="0"/>
          <w:numId w:val="4"/>
        </w:numPr>
        <w:autoSpaceDE/>
        <w:autoSpaceDN/>
        <w:spacing w:line="360" w:lineRule="auto"/>
        <w:ind w:left="0"/>
        <w:contextualSpacing/>
        <w:jc w:val="both"/>
        <w:rPr>
          <w:sz w:val="24"/>
          <w:szCs w:val="24"/>
        </w:rPr>
      </w:pPr>
      <w:r w:rsidRPr="00251961">
        <w:rPr>
          <w:sz w:val="24"/>
          <w:szCs w:val="24"/>
        </w:rPr>
        <w:t>An increase in the provisions ratio in canara bank implies to leverage this , the bank should maintain credit risk evaluations, ensure regular stress testing.</w:t>
      </w:r>
    </w:p>
    <w:p w:rsidR="00F32F90" w:rsidRPr="00251961" w:rsidRDefault="00F32F90" w:rsidP="00251961">
      <w:pPr>
        <w:pStyle w:val="ListParagraph"/>
        <w:widowControl/>
        <w:numPr>
          <w:ilvl w:val="0"/>
          <w:numId w:val="4"/>
        </w:numPr>
        <w:autoSpaceDE/>
        <w:autoSpaceDN/>
        <w:spacing w:line="360" w:lineRule="auto"/>
        <w:ind w:left="0"/>
        <w:contextualSpacing/>
        <w:jc w:val="both"/>
        <w:rPr>
          <w:sz w:val="24"/>
          <w:szCs w:val="24"/>
        </w:rPr>
      </w:pPr>
      <w:r w:rsidRPr="00251961">
        <w:rPr>
          <w:sz w:val="24"/>
          <w:szCs w:val="24"/>
        </w:rPr>
        <w:t>The standard assets increase in canara bank indicates a higher proportion of loans that are quality.</w:t>
      </w:r>
    </w:p>
    <w:p w:rsidR="00F32F90" w:rsidRPr="00251961" w:rsidRDefault="00F32F90" w:rsidP="00251961">
      <w:pPr>
        <w:pStyle w:val="ListParagraph"/>
        <w:widowControl/>
        <w:numPr>
          <w:ilvl w:val="0"/>
          <w:numId w:val="4"/>
        </w:numPr>
        <w:autoSpaceDE/>
        <w:autoSpaceDN/>
        <w:spacing w:line="360" w:lineRule="auto"/>
        <w:ind w:left="0"/>
        <w:contextualSpacing/>
        <w:jc w:val="both"/>
        <w:rPr>
          <w:sz w:val="24"/>
          <w:szCs w:val="24"/>
        </w:rPr>
      </w:pPr>
      <w:r w:rsidRPr="00251961">
        <w:rPr>
          <w:sz w:val="24"/>
          <w:szCs w:val="24"/>
        </w:rPr>
        <w:t>An increase in doubtful assets in canara bank signals rising credit risk and potential future losses.</w:t>
      </w:r>
    </w:p>
    <w:p w:rsidR="00F32F90" w:rsidRPr="00251961" w:rsidRDefault="00F32F90" w:rsidP="00251961">
      <w:pPr>
        <w:pStyle w:val="ListParagraph"/>
        <w:widowControl/>
        <w:numPr>
          <w:ilvl w:val="0"/>
          <w:numId w:val="4"/>
        </w:numPr>
        <w:autoSpaceDE/>
        <w:autoSpaceDN/>
        <w:spacing w:line="360" w:lineRule="auto"/>
        <w:ind w:left="0"/>
        <w:contextualSpacing/>
        <w:jc w:val="both"/>
        <w:rPr>
          <w:sz w:val="24"/>
          <w:szCs w:val="24"/>
        </w:rPr>
      </w:pPr>
      <w:r w:rsidRPr="00251961">
        <w:rPr>
          <w:sz w:val="24"/>
          <w:szCs w:val="24"/>
        </w:rPr>
        <w:t>A decrease in sub-standard assets in canara bank indicates improved asset quality and successful resolution of previously troubled loans.</w:t>
      </w:r>
    </w:p>
    <w:p w:rsidR="00F32F90" w:rsidRPr="00251961" w:rsidRDefault="00F32F90" w:rsidP="00251961">
      <w:pPr>
        <w:pStyle w:val="ListParagraph"/>
        <w:widowControl/>
        <w:numPr>
          <w:ilvl w:val="0"/>
          <w:numId w:val="4"/>
        </w:numPr>
        <w:autoSpaceDE/>
        <w:autoSpaceDN/>
        <w:spacing w:line="360" w:lineRule="auto"/>
        <w:ind w:left="0"/>
        <w:contextualSpacing/>
        <w:jc w:val="both"/>
        <w:rPr>
          <w:sz w:val="24"/>
          <w:szCs w:val="24"/>
        </w:rPr>
      </w:pPr>
      <w:r w:rsidRPr="00251961">
        <w:rPr>
          <w:sz w:val="24"/>
          <w:szCs w:val="24"/>
        </w:rPr>
        <w:t>An increase in loss assets in canara bank suggests a rise in loans demand unrecoverable, negatively impacting profitability.</w:t>
      </w:r>
    </w:p>
    <w:p w:rsidR="00167EF6" w:rsidRPr="00251961" w:rsidRDefault="00167EF6" w:rsidP="00251961">
      <w:pPr>
        <w:pStyle w:val="ListParagraph"/>
        <w:widowControl/>
        <w:autoSpaceDE/>
        <w:autoSpaceDN/>
        <w:spacing w:line="360" w:lineRule="auto"/>
        <w:ind w:left="0" w:firstLine="0"/>
        <w:contextualSpacing/>
        <w:jc w:val="both"/>
        <w:rPr>
          <w:sz w:val="24"/>
          <w:szCs w:val="24"/>
        </w:rPr>
      </w:pPr>
    </w:p>
    <w:p w:rsidR="00167EF6" w:rsidRPr="00251961" w:rsidRDefault="00167EF6" w:rsidP="00251961">
      <w:pPr>
        <w:pStyle w:val="ListParagraph"/>
        <w:spacing w:line="360" w:lineRule="auto"/>
        <w:ind w:left="720" w:firstLine="0"/>
        <w:rPr>
          <w:b/>
          <w:bCs/>
          <w:sz w:val="32"/>
          <w:szCs w:val="32"/>
        </w:rPr>
      </w:pPr>
      <w:r w:rsidRPr="00251961">
        <w:rPr>
          <w:b/>
          <w:bCs/>
          <w:sz w:val="32"/>
          <w:szCs w:val="32"/>
        </w:rPr>
        <w:t>Conclusion:</w:t>
      </w:r>
    </w:p>
    <w:p w:rsidR="00167EF6" w:rsidRPr="00251961" w:rsidRDefault="00167EF6" w:rsidP="00251961">
      <w:pPr>
        <w:pStyle w:val="ListParagraph"/>
        <w:widowControl/>
        <w:autoSpaceDE/>
        <w:autoSpaceDN/>
        <w:spacing w:line="360" w:lineRule="auto"/>
        <w:ind w:left="0" w:firstLine="0"/>
        <w:contextualSpacing/>
        <w:rPr>
          <w:sz w:val="24"/>
          <w:szCs w:val="24"/>
        </w:rPr>
      </w:pPr>
    </w:p>
    <w:p w:rsidR="00F32F90" w:rsidRPr="00251961" w:rsidRDefault="00F32F90" w:rsidP="00251961">
      <w:pPr>
        <w:spacing w:after="0" w:line="360" w:lineRule="auto"/>
        <w:ind w:firstLine="720"/>
        <w:jc w:val="both"/>
        <w:rPr>
          <w:rFonts w:ascii="Times New Roman" w:hAnsi="Times New Roman" w:cs="Times New Roman"/>
          <w:sz w:val="24"/>
          <w:szCs w:val="24"/>
        </w:rPr>
      </w:pPr>
      <w:r w:rsidRPr="00251961">
        <w:rPr>
          <w:rFonts w:ascii="Times New Roman" w:hAnsi="Times New Roman" w:cs="Times New Roman"/>
          <w:sz w:val="24"/>
          <w:szCs w:val="24"/>
        </w:rPr>
        <w:t>The NPA’s are one of the biggest problems Indian Banks are facing today. If  proper management of the NPA’s is not undertaken it would hamper the business of the banks. If the concept of NPA’s is taken very lightly it would be dangerous for the Indian banking sector. The NPA’s would destroy the current profit; interest income due to large provisions of the NPA’s, and would affect the smooth functioning of the recycling of the funds. Banks also redistribute losses to other borrowers by charging higher interest rates. Lower deposit rates and higher lending rates repress savings and financial markets, which in turn hampers economic growth of the company. Thus, it is highly essential for the banks to focus their attention on growth of NPA‘s and take appropriate measures to regulate their growth.</w:t>
      </w:r>
    </w:p>
    <w:p w:rsidR="00F32F90" w:rsidRPr="00251961" w:rsidRDefault="00F32F90" w:rsidP="00251961">
      <w:pPr>
        <w:spacing w:line="360" w:lineRule="auto"/>
        <w:jc w:val="both"/>
        <w:rPr>
          <w:rFonts w:ascii="Times New Roman" w:hAnsi="Times New Roman" w:cs="Times New Roman"/>
          <w:b/>
          <w:bCs/>
          <w:sz w:val="32"/>
          <w:szCs w:val="32"/>
        </w:rPr>
      </w:pPr>
      <w:r w:rsidRPr="00251961">
        <w:rPr>
          <w:rFonts w:ascii="Times New Roman" w:hAnsi="Times New Roman" w:cs="Times New Roman"/>
          <w:b/>
          <w:bCs/>
          <w:sz w:val="32"/>
          <w:szCs w:val="32"/>
        </w:rPr>
        <w:lastRenderedPageBreak/>
        <w:t>References:</w:t>
      </w:r>
    </w:p>
    <w:p w:rsidR="00167EF6" w:rsidRPr="00251961" w:rsidRDefault="00167EF6" w:rsidP="00251961">
      <w:pPr>
        <w:spacing w:after="0" w:line="360" w:lineRule="auto"/>
        <w:ind w:firstLine="720"/>
        <w:jc w:val="both"/>
        <w:rPr>
          <w:rFonts w:ascii="Times New Roman" w:hAnsi="Times New Roman" w:cs="Times New Roman"/>
          <w:sz w:val="24"/>
          <w:szCs w:val="24"/>
          <w:lang w:val="en-US"/>
        </w:rPr>
      </w:pPr>
      <w:r w:rsidRPr="00251961">
        <w:rPr>
          <w:rFonts w:ascii="Times New Roman" w:hAnsi="Times New Roman" w:cs="Times New Roman"/>
          <w:sz w:val="24"/>
          <w:szCs w:val="24"/>
          <w:lang w:val="en-US"/>
        </w:rPr>
        <w:t>Please find the attachments</w:t>
      </w:r>
    </w:p>
    <w:p w:rsidR="006B4CFC" w:rsidRPr="00251961" w:rsidRDefault="00167EF6" w:rsidP="00251961">
      <w:pPr>
        <w:pStyle w:val="ListParagraph"/>
        <w:numPr>
          <w:ilvl w:val="0"/>
          <w:numId w:val="8"/>
        </w:numPr>
        <w:spacing w:line="360" w:lineRule="auto"/>
        <w:jc w:val="both"/>
        <w:rPr>
          <w:sz w:val="24"/>
          <w:szCs w:val="24"/>
        </w:rPr>
      </w:pPr>
      <w:r w:rsidRPr="00251961">
        <w:rPr>
          <w:sz w:val="24"/>
          <w:szCs w:val="24"/>
        </w:rPr>
        <w:t> Adapting to Change: Change Management Strategies and Challenges in Modern Pharmacy Organizations - International Journal of Chemical and Biochemical Sciences (Scopus Indexed) (IJCBS), 25(13) (2024), (ISSN 2226-9614) pp. 340-347.</w:t>
      </w:r>
    </w:p>
    <w:p w:rsidR="009E6D52" w:rsidRPr="00251961" w:rsidRDefault="00167EF6" w:rsidP="00251961">
      <w:pPr>
        <w:pStyle w:val="ListParagraph"/>
        <w:numPr>
          <w:ilvl w:val="0"/>
          <w:numId w:val="9"/>
        </w:numPr>
        <w:spacing w:line="360" w:lineRule="auto"/>
        <w:jc w:val="both"/>
        <w:rPr>
          <w:sz w:val="24"/>
          <w:szCs w:val="24"/>
        </w:rPr>
      </w:pPr>
      <w:r w:rsidRPr="00251961">
        <w:rPr>
          <w:sz w:val="24"/>
          <w:szCs w:val="24"/>
        </w:rPr>
        <w:t> The Impact of Pandemic on Brand Promotion Management in India - A Review. Journal for Basic Sciences. ISSN NO: 1006-8341 Volume 23, Issue 5, 2023. pp. 159-167.</w:t>
      </w:r>
    </w:p>
    <w:p w:rsidR="009E6D52" w:rsidRPr="00251961" w:rsidRDefault="00167EF6" w:rsidP="00251961">
      <w:pPr>
        <w:pStyle w:val="ListParagraph"/>
        <w:numPr>
          <w:ilvl w:val="0"/>
          <w:numId w:val="9"/>
        </w:numPr>
        <w:spacing w:line="360" w:lineRule="auto"/>
        <w:jc w:val="both"/>
        <w:rPr>
          <w:sz w:val="24"/>
          <w:szCs w:val="24"/>
        </w:rPr>
      </w:pPr>
      <w:r w:rsidRPr="00251961">
        <w:rPr>
          <w:sz w:val="24"/>
          <w:szCs w:val="24"/>
        </w:rPr>
        <w:t>  An Empirical Study on Consumers Buying Patterns and Perceptual Factors with Respect to Private Label Brands (PLB’s). Journal of Management &amp; Entrepreneurship ISSN: 2229-5348 UGC Care Group 1 Journal. Vol. 16, No.4 (II), October - December 2022. pp. 151-163.</w:t>
      </w:r>
    </w:p>
    <w:p w:rsidR="00167EF6" w:rsidRPr="00251961" w:rsidRDefault="00167EF6" w:rsidP="00251961">
      <w:pPr>
        <w:pStyle w:val="ListParagraph"/>
        <w:numPr>
          <w:ilvl w:val="0"/>
          <w:numId w:val="9"/>
        </w:numPr>
        <w:spacing w:line="360" w:lineRule="auto"/>
        <w:jc w:val="both"/>
        <w:rPr>
          <w:sz w:val="24"/>
          <w:szCs w:val="24"/>
        </w:rPr>
      </w:pPr>
      <w:r w:rsidRPr="00251961">
        <w:rPr>
          <w:sz w:val="24"/>
          <w:szCs w:val="24"/>
        </w:rPr>
        <w:t>  A Study on Determinants of Consumer’s Purchase Intention towards PLB’s of FMCG/ Grocery Retail. Neuro Quantology | August 2022 | Volume 20 | Issue 10 | Page 1591-1595 | doi: 10.14704/nq.2022.20.10.NQ55142.</w:t>
      </w:r>
    </w:p>
    <w:p w:rsidR="009E6D52" w:rsidRPr="00251961" w:rsidRDefault="00167EF6" w:rsidP="00251961">
      <w:pPr>
        <w:pStyle w:val="ListParagraph"/>
        <w:numPr>
          <w:ilvl w:val="0"/>
          <w:numId w:val="9"/>
        </w:numPr>
        <w:spacing w:line="360" w:lineRule="auto"/>
        <w:jc w:val="both"/>
        <w:rPr>
          <w:sz w:val="24"/>
          <w:szCs w:val="24"/>
        </w:rPr>
      </w:pPr>
      <w:r w:rsidRPr="00251961">
        <w:rPr>
          <w:sz w:val="24"/>
          <w:szCs w:val="24"/>
        </w:rPr>
        <w:t> Role of Artificial Intelligence in Digital Marketing- A Review. Neuro Quantology | August 2022 | Volume 20 | Issue 8 | Page 4188-4194 | doi: 10.14704/nq.2022.20.8.NQ44452.</w:t>
      </w:r>
    </w:p>
    <w:p w:rsidR="009E6D52" w:rsidRPr="00251961" w:rsidRDefault="009E6D52" w:rsidP="00251961">
      <w:pPr>
        <w:pStyle w:val="ListParagraph"/>
        <w:numPr>
          <w:ilvl w:val="0"/>
          <w:numId w:val="9"/>
        </w:numPr>
        <w:spacing w:before="100" w:beforeAutospacing="1" w:after="100" w:afterAutospacing="1" w:line="360" w:lineRule="auto"/>
        <w:rPr>
          <w:sz w:val="24"/>
          <w:szCs w:val="24"/>
        </w:rPr>
      </w:pPr>
      <w:r w:rsidRPr="00251961">
        <w:rPr>
          <w:sz w:val="24"/>
          <w:szCs w:val="24"/>
        </w:rPr>
        <w:t>"Non-Performing Assets: A Comparative Study of the Indian Banking Sector" by Rajaraman, I. and Vasishtha, G. (2002):</w:t>
      </w:r>
    </w:p>
    <w:p w:rsidR="009E6D52" w:rsidRPr="00251961" w:rsidRDefault="009E6D52" w:rsidP="00251961">
      <w:pPr>
        <w:pStyle w:val="ListParagraph"/>
        <w:numPr>
          <w:ilvl w:val="0"/>
          <w:numId w:val="9"/>
        </w:numPr>
        <w:spacing w:before="100" w:beforeAutospacing="1" w:after="100" w:afterAutospacing="1" w:line="360" w:lineRule="auto"/>
        <w:rPr>
          <w:sz w:val="24"/>
          <w:szCs w:val="24"/>
        </w:rPr>
      </w:pPr>
      <w:r w:rsidRPr="00251961">
        <w:rPr>
          <w:sz w:val="24"/>
          <w:szCs w:val="24"/>
        </w:rPr>
        <w:t>The Determinants of Non-Performing Loans: An Econometric Case Study of Guyana" by Victor, A. and Nawaz, A. (2019):</w:t>
      </w:r>
    </w:p>
    <w:p w:rsidR="009E6D52" w:rsidRPr="00251961" w:rsidRDefault="009E6D52" w:rsidP="00251961">
      <w:pPr>
        <w:pStyle w:val="ListParagraph"/>
        <w:numPr>
          <w:ilvl w:val="0"/>
          <w:numId w:val="9"/>
        </w:numPr>
        <w:spacing w:before="100" w:beforeAutospacing="1" w:after="100" w:afterAutospacing="1" w:line="360" w:lineRule="auto"/>
        <w:rPr>
          <w:sz w:val="24"/>
          <w:szCs w:val="24"/>
        </w:rPr>
      </w:pPr>
      <w:r w:rsidRPr="00251961">
        <w:rPr>
          <w:sz w:val="24"/>
          <w:szCs w:val="24"/>
        </w:rPr>
        <w:t>This journal publishes research articles on banking and finance, including studies on NPAs, their impact on banks, and mitigation strategies.</w:t>
      </w:r>
    </w:p>
    <w:p w:rsidR="009E6D52" w:rsidRPr="00251961" w:rsidRDefault="009E6D52" w:rsidP="00251961">
      <w:pPr>
        <w:pStyle w:val="ListParagraph"/>
        <w:numPr>
          <w:ilvl w:val="0"/>
          <w:numId w:val="9"/>
        </w:numPr>
        <w:spacing w:line="360" w:lineRule="auto"/>
        <w:jc w:val="both"/>
        <w:rPr>
          <w:sz w:val="24"/>
          <w:szCs w:val="24"/>
        </w:rPr>
      </w:pPr>
      <w:r w:rsidRPr="00251961">
        <w:rPr>
          <w:sz w:val="24"/>
          <w:szCs w:val="24"/>
        </w:rPr>
        <w:t>This journal covers various aspects of banking and finance, including the analysis of non-performing loans and their management</w:t>
      </w:r>
    </w:p>
    <w:p w:rsidR="006B4CFC" w:rsidRPr="00251961" w:rsidRDefault="006B4CFC" w:rsidP="00251961">
      <w:pPr>
        <w:spacing w:before="100" w:beforeAutospacing="1" w:after="100" w:afterAutospacing="1" w:line="360" w:lineRule="auto"/>
        <w:rPr>
          <w:rFonts w:ascii="Times New Roman" w:hAnsi="Times New Roman" w:cs="Times New Roman"/>
          <w:sz w:val="24"/>
          <w:szCs w:val="24"/>
        </w:rPr>
      </w:pPr>
    </w:p>
    <w:p w:rsidR="006B4CFC" w:rsidRPr="00251961" w:rsidRDefault="006B4CFC" w:rsidP="00251961">
      <w:pPr>
        <w:pStyle w:val="ListParagraph"/>
        <w:numPr>
          <w:ilvl w:val="0"/>
          <w:numId w:val="8"/>
        </w:numPr>
        <w:spacing w:line="360" w:lineRule="auto"/>
        <w:jc w:val="both"/>
        <w:rPr>
          <w:bCs/>
        </w:rPr>
      </w:pPr>
      <w:r w:rsidRPr="00251961">
        <w:rPr>
          <w:bCs/>
        </w:rPr>
        <w:t xml:space="preserve">G.Kamal, A Study on Financial Performance using Ratios of KCP Sugars and I C Limited, Andhra Pradesh”.  The International Journal of Analytical and Experimental Model Analysis. Volume XIII, Issue VIII, August/2021, </w:t>
      </w:r>
      <w:r w:rsidRPr="00251961">
        <w:rPr>
          <w:bCs/>
          <w:lang w:val="en-IN"/>
        </w:rPr>
        <w:t>pp 1356-1363,</w:t>
      </w:r>
      <w:r w:rsidRPr="00251961">
        <w:rPr>
          <w:bCs/>
        </w:rPr>
        <w:t xml:space="preserve"> ISSN: 0886-9367.</w:t>
      </w:r>
    </w:p>
    <w:p w:rsidR="006B4CFC" w:rsidRPr="00251961" w:rsidRDefault="006B4CFC" w:rsidP="00251961">
      <w:pPr>
        <w:pStyle w:val="ListParagraph"/>
        <w:numPr>
          <w:ilvl w:val="0"/>
          <w:numId w:val="8"/>
        </w:numPr>
        <w:spacing w:line="360" w:lineRule="auto"/>
        <w:jc w:val="both"/>
        <w:rPr>
          <w:bCs/>
        </w:rPr>
      </w:pPr>
      <w:r w:rsidRPr="00251961">
        <w:rPr>
          <w:bCs/>
        </w:rPr>
        <w:t xml:space="preserve">G.Kamal, A Study on Funds Flow Statement in and Organization using Data Analysis” Journal of Education: Rabindrabharati University, Vol.: XXIII, No. : 7, 2020– 2021, </w:t>
      </w:r>
      <w:r w:rsidRPr="00251961">
        <w:rPr>
          <w:bCs/>
          <w:lang w:val="en-IN"/>
        </w:rPr>
        <w:t>pp 187-</w:t>
      </w:r>
      <w:r w:rsidRPr="00251961">
        <w:rPr>
          <w:bCs/>
          <w:lang w:val="en-IN"/>
        </w:rPr>
        <w:lastRenderedPageBreak/>
        <w:t>192</w:t>
      </w:r>
      <w:r w:rsidRPr="00251961">
        <w:rPr>
          <w:bCs/>
        </w:rPr>
        <w:t>, ISSN: 0972-7175.</w:t>
      </w:r>
    </w:p>
    <w:p w:rsidR="006B4CFC" w:rsidRPr="00251961" w:rsidRDefault="006B4CFC" w:rsidP="00251961">
      <w:pPr>
        <w:pStyle w:val="ListParagraph"/>
        <w:numPr>
          <w:ilvl w:val="0"/>
          <w:numId w:val="8"/>
        </w:numPr>
        <w:spacing w:line="360" w:lineRule="auto"/>
        <w:jc w:val="both"/>
        <w:rPr>
          <w:bCs/>
        </w:rPr>
      </w:pPr>
      <w:r w:rsidRPr="00251961">
        <w:rPr>
          <w:bCs/>
        </w:rPr>
        <w:t>G. Kamal and Kumar, T. Hemanth and Susmitha, K., Linkage of Indian Equity Market with Developed Economies Equity Markets (September 14, 2022). Available at SSRN: </w:t>
      </w:r>
      <w:hyperlink r:id="rId12" w:tgtFrame="_blank" w:history="1">
        <w:r w:rsidRPr="00251961">
          <w:rPr>
            <w:rStyle w:val="Hyperlink"/>
            <w:bCs/>
            <w:lang w:val="en-IN"/>
          </w:rPr>
          <w:t>https://ssrn.com/abstract=4218617</w:t>
        </w:r>
      </w:hyperlink>
      <w:r w:rsidRPr="00251961">
        <w:rPr>
          <w:bCs/>
        </w:rPr>
        <w:t> or </w:t>
      </w:r>
      <w:hyperlink r:id="rId13" w:tgtFrame="_blank" w:history="1">
        <w:r w:rsidRPr="00251961">
          <w:rPr>
            <w:rStyle w:val="Hyperlink"/>
            <w:bCs/>
            <w:lang w:val="en-IN"/>
          </w:rPr>
          <w:t>http://dx.doi.org/10.2139/ssrn.4218617</w:t>
        </w:r>
      </w:hyperlink>
      <w:r w:rsidRPr="00251961">
        <w:rPr>
          <w:bCs/>
        </w:rPr>
        <w:t>.</w:t>
      </w:r>
    </w:p>
    <w:p w:rsidR="006B4CFC" w:rsidRPr="00251961" w:rsidRDefault="006B4CFC" w:rsidP="00251961">
      <w:pPr>
        <w:pStyle w:val="ListParagraph"/>
        <w:numPr>
          <w:ilvl w:val="0"/>
          <w:numId w:val="8"/>
        </w:numPr>
        <w:spacing w:line="360" w:lineRule="auto"/>
        <w:jc w:val="both"/>
        <w:rPr>
          <w:rFonts w:eastAsiaTheme="minorEastAsia"/>
        </w:rPr>
      </w:pPr>
      <w:r w:rsidRPr="00251961">
        <w:t>G.Kamal, Role of SHGs in Empowering Women in Marine Fishing Community, International Journal of Emerging Technologies and Innovative Research (</w:t>
      </w:r>
      <w:hyperlink r:id="rId14" w:tgtFrame="_blank" w:history="1">
        <w:r w:rsidRPr="00251961">
          <w:rPr>
            <w:rStyle w:val="Hyperlink"/>
            <w:bCs/>
            <w:lang w:val="en-IN"/>
          </w:rPr>
          <w:t>www.jetir.org</w:t>
        </w:r>
      </w:hyperlink>
      <w:r w:rsidRPr="00251961">
        <w:t>), ISSN:2349-5162, Vol.5, Issue:9, page no. 169-173, September-2018.</w:t>
      </w:r>
    </w:p>
    <w:p w:rsidR="006B4CFC" w:rsidRPr="00251961" w:rsidRDefault="006B4CFC" w:rsidP="00251961">
      <w:pPr>
        <w:pStyle w:val="ListParagraph"/>
        <w:numPr>
          <w:ilvl w:val="0"/>
          <w:numId w:val="8"/>
        </w:numPr>
        <w:spacing w:line="360" w:lineRule="auto"/>
        <w:jc w:val="both"/>
      </w:pPr>
      <w:r w:rsidRPr="00251961">
        <w:t>G.Kamal, Prof. T.Umamaheswara Rao,</w:t>
      </w:r>
      <w:r w:rsidRPr="00251961">
        <w:rPr>
          <w:color w:val="222222"/>
          <w:shd w:val="clear" w:color="auto" w:fill="FFFFFF"/>
          <w:lang w:eastAsia="zh-CN"/>
        </w:rPr>
        <w:t xml:space="preserve"> </w:t>
      </w:r>
      <w:r w:rsidRPr="00251961">
        <w:t xml:space="preserve">Credit Issues Encountered by Women in Marine Fishing Community in Coastal Districts of Andhra Pradesh”. The International Journal of Analytical and Experimental Modal Analysis, </w:t>
      </w:r>
      <w:r w:rsidRPr="00251961">
        <w:rPr>
          <w:lang w:val="en-IN"/>
        </w:rPr>
        <w:t xml:space="preserve">Volume XII, Issue X, October/2020, pp: 296:301, </w:t>
      </w:r>
      <w:r w:rsidRPr="00251961">
        <w:t>ISSN: 0886-9367.</w:t>
      </w:r>
    </w:p>
    <w:p w:rsidR="006B4CFC" w:rsidRPr="00251961" w:rsidRDefault="006B4CFC" w:rsidP="00251961">
      <w:pPr>
        <w:pStyle w:val="ListParagraph"/>
        <w:numPr>
          <w:ilvl w:val="0"/>
          <w:numId w:val="8"/>
        </w:numPr>
        <w:spacing w:line="360" w:lineRule="auto"/>
        <w:jc w:val="both"/>
      </w:pPr>
      <w:r w:rsidRPr="00251961">
        <w:t>Kumar K., Rao N., Kamal G., Vinod M., Leelavathi T., Sripathi M., Kumari N. (2023) The role of organizational citizenship behavior as an intervening variable in the relationship between employee engagement and gig workers’ productivity in India. </w:t>
      </w:r>
      <w:r w:rsidRPr="00251961">
        <w:rPr>
          <w:i/>
          <w:iCs/>
        </w:rPr>
        <w:t>Organizational Psychology</w:t>
      </w:r>
      <w:r w:rsidRPr="00251961">
        <w:t>, vol. 13, no 4, pp. 183-198.</w:t>
      </w:r>
    </w:p>
    <w:p w:rsidR="006B4CFC" w:rsidRPr="00251961" w:rsidRDefault="006B4CFC" w:rsidP="00251961">
      <w:pPr>
        <w:pStyle w:val="ListParagraph"/>
        <w:numPr>
          <w:ilvl w:val="0"/>
          <w:numId w:val="8"/>
        </w:numPr>
        <w:spacing w:line="360" w:lineRule="auto"/>
        <w:jc w:val="both"/>
      </w:pPr>
      <w:r w:rsidRPr="00251961">
        <w:t>Kumar, T. H., Kumari, Y. N., Rao, A. N., Kumari, C. L. M., Janaki, G., Lakshmi, P. A., &amp; Krishna, J. S. S. (2022). HR Analytics as a ModeratingRole in Effective Employee Engagement and its Outcomes. </w:t>
      </w:r>
      <w:r w:rsidRPr="00251961">
        <w:rPr>
          <w:i/>
          <w:iCs/>
        </w:rPr>
        <w:t>NeuroQuantology</w:t>
      </w:r>
      <w:r w:rsidRPr="00251961">
        <w:t>, </w:t>
      </w:r>
      <w:r w:rsidRPr="00251961">
        <w:rPr>
          <w:i/>
          <w:iCs/>
        </w:rPr>
        <w:t>20</w:t>
      </w:r>
      <w:r w:rsidRPr="00251961">
        <w:t>(8), 4913.</w:t>
      </w:r>
    </w:p>
    <w:p w:rsidR="006B4CFC" w:rsidRPr="00251961" w:rsidRDefault="006B4CFC" w:rsidP="00542503">
      <w:pPr>
        <w:pStyle w:val="ListParagraph"/>
        <w:spacing w:line="360" w:lineRule="auto"/>
        <w:ind w:left="828" w:firstLine="0"/>
      </w:pPr>
    </w:p>
    <w:p w:rsidR="006B4CFC" w:rsidRPr="00251961" w:rsidRDefault="006B4CFC" w:rsidP="00251961">
      <w:pPr>
        <w:spacing w:before="100" w:beforeAutospacing="1" w:after="100" w:afterAutospacing="1" w:line="360" w:lineRule="auto"/>
        <w:ind w:left="1440"/>
        <w:rPr>
          <w:rFonts w:ascii="Times New Roman" w:hAnsi="Times New Roman" w:cs="Times New Roman"/>
          <w:sz w:val="24"/>
          <w:szCs w:val="24"/>
        </w:rPr>
      </w:pPr>
    </w:p>
    <w:p w:rsidR="00F32F90" w:rsidRPr="00251961" w:rsidRDefault="00F32F90" w:rsidP="00251961">
      <w:pPr>
        <w:spacing w:after="0" w:line="360" w:lineRule="auto"/>
        <w:ind w:firstLine="720"/>
        <w:jc w:val="both"/>
        <w:rPr>
          <w:rFonts w:ascii="Times New Roman" w:hAnsi="Times New Roman" w:cs="Times New Roman"/>
          <w:sz w:val="24"/>
          <w:szCs w:val="24"/>
          <w:lang w:val="en-US"/>
        </w:rPr>
      </w:pPr>
    </w:p>
    <w:p w:rsidR="00370C18" w:rsidRPr="00251961" w:rsidRDefault="00370C18" w:rsidP="00251961">
      <w:pPr>
        <w:spacing w:line="360" w:lineRule="auto"/>
        <w:jc w:val="center"/>
        <w:rPr>
          <w:rFonts w:ascii="Times New Roman" w:hAnsi="Times New Roman" w:cs="Times New Roman"/>
          <w:i/>
          <w:iCs/>
          <w:sz w:val="24"/>
          <w:szCs w:val="24"/>
        </w:rPr>
      </w:pPr>
    </w:p>
    <w:sectPr w:rsidR="00370C18" w:rsidRPr="002519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E749D7"/>
    <w:multiLevelType w:val="hybridMultilevel"/>
    <w:tmpl w:val="E1609F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2F07CA9"/>
    <w:multiLevelType w:val="hybridMultilevel"/>
    <w:tmpl w:val="6854EF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0432F72"/>
    <w:multiLevelType w:val="hybridMultilevel"/>
    <w:tmpl w:val="0922AEDA"/>
    <w:lvl w:ilvl="0" w:tplc="4009000B">
      <w:start w:val="1"/>
      <w:numFmt w:val="bullet"/>
      <w:lvlText w:val=""/>
      <w:lvlJc w:val="left"/>
      <w:pPr>
        <w:ind w:left="828" w:hanging="360"/>
      </w:pPr>
      <w:rPr>
        <w:rFonts w:ascii="Wingdings" w:hAnsi="Wingdings" w:hint="default"/>
      </w:rPr>
    </w:lvl>
    <w:lvl w:ilvl="1" w:tplc="40090003" w:tentative="1">
      <w:start w:val="1"/>
      <w:numFmt w:val="bullet"/>
      <w:lvlText w:val="o"/>
      <w:lvlJc w:val="left"/>
      <w:pPr>
        <w:ind w:left="1548" w:hanging="360"/>
      </w:pPr>
      <w:rPr>
        <w:rFonts w:ascii="Courier New" w:hAnsi="Courier New" w:cs="Courier New" w:hint="default"/>
      </w:rPr>
    </w:lvl>
    <w:lvl w:ilvl="2" w:tplc="40090005" w:tentative="1">
      <w:start w:val="1"/>
      <w:numFmt w:val="bullet"/>
      <w:lvlText w:val=""/>
      <w:lvlJc w:val="left"/>
      <w:pPr>
        <w:ind w:left="2268" w:hanging="360"/>
      </w:pPr>
      <w:rPr>
        <w:rFonts w:ascii="Wingdings" w:hAnsi="Wingdings" w:hint="default"/>
      </w:rPr>
    </w:lvl>
    <w:lvl w:ilvl="3" w:tplc="40090001" w:tentative="1">
      <w:start w:val="1"/>
      <w:numFmt w:val="bullet"/>
      <w:lvlText w:val=""/>
      <w:lvlJc w:val="left"/>
      <w:pPr>
        <w:ind w:left="2988" w:hanging="360"/>
      </w:pPr>
      <w:rPr>
        <w:rFonts w:ascii="Symbol" w:hAnsi="Symbol" w:hint="default"/>
      </w:rPr>
    </w:lvl>
    <w:lvl w:ilvl="4" w:tplc="40090003" w:tentative="1">
      <w:start w:val="1"/>
      <w:numFmt w:val="bullet"/>
      <w:lvlText w:val="o"/>
      <w:lvlJc w:val="left"/>
      <w:pPr>
        <w:ind w:left="3708" w:hanging="360"/>
      </w:pPr>
      <w:rPr>
        <w:rFonts w:ascii="Courier New" w:hAnsi="Courier New" w:cs="Courier New" w:hint="default"/>
      </w:rPr>
    </w:lvl>
    <w:lvl w:ilvl="5" w:tplc="40090005" w:tentative="1">
      <w:start w:val="1"/>
      <w:numFmt w:val="bullet"/>
      <w:lvlText w:val=""/>
      <w:lvlJc w:val="left"/>
      <w:pPr>
        <w:ind w:left="4428" w:hanging="360"/>
      </w:pPr>
      <w:rPr>
        <w:rFonts w:ascii="Wingdings" w:hAnsi="Wingdings" w:hint="default"/>
      </w:rPr>
    </w:lvl>
    <w:lvl w:ilvl="6" w:tplc="40090001" w:tentative="1">
      <w:start w:val="1"/>
      <w:numFmt w:val="bullet"/>
      <w:lvlText w:val=""/>
      <w:lvlJc w:val="left"/>
      <w:pPr>
        <w:ind w:left="5148" w:hanging="360"/>
      </w:pPr>
      <w:rPr>
        <w:rFonts w:ascii="Symbol" w:hAnsi="Symbol" w:hint="default"/>
      </w:rPr>
    </w:lvl>
    <w:lvl w:ilvl="7" w:tplc="40090003" w:tentative="1">
      <w:start w:val="1"/>
      <w:numFmt w:val="bullet"/>
      <w:lvlText w:val="o"/>
      <w:lvlJc w:val="left"/>
      <w:pPr>
        <w:ind w:left="5868" w:hanging="360"/>
      </w:pPr>
      <w:rPr>
        <w:rFonts w:ascii="Courier New" w:hAnsi="Courier New" w:cs="Courier New" w:hint="default"/>
      </w:rPr>
    </w:lvl>
    <w:lvl w:ilvl="8" w:tplc="40090005" w:tentative="1">
      <w:start w:val="1"/>
      <w:numFmt w:val="bullet"/>
      <w:lvlText w:val=""/>
      <w:lvlJc w:val="left"/>
      <w:pPr>
        <w:ind w:left="6588" w:hanging="360"/>
      </w:pPr>
      <w:rPr>
        <w:rFonts w:ascii="Wingdings" w:hAnsi="Wingdings" w:hint="default"/>
      </w:rPr>
    </w:lvl>
  </w:abstractNum>
  <w:abstractNum w:abstractNumId="3" w15:restartNumberingAfterBreak="0">
    <w:nsid w:val="3B8B7409"/>
    <w:multiLevelType w:val="multilevel"/>
    <w:tmpl w:val="BFA48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A94F41"/>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52012A71"/>
    <w:multiLevelType w:val="hybridMultilevel"/>
    <w:tmpl w:val="F6443B06"/>
    <w:lvl w:ilvl="0" w:tplc="4009000B">
      <w:start w:val="1"/>
      <w:numFmt w:val="bullet"/>
      <w:lvlText w:val=""/>
      <w:lvlJc w:val="left"/>
      <w:pPr>
        <w:ind w:left="828" w:hanging="360"/>
      </w:pPr>
      <w:rPr>
        <w:rFonts w:ascii="Wingdings" w:hAnsi="Wingdings" w:hint="default"/>
      </w:rPr>
    </w:lvl>
    <w:lvl w:ilvl="1" w:tplc="40090003" w:tentative="1">
      <w:start w:val="1"/>
      <w:numFmt w:val="bullet"/>
      <w:lvlText w:val="o"/>
      <w:lvlJc w:val="left"/>
      <w:pPr>
        <w:ind w:left="1548" w:hanging="360"/>
      </w:pPr>
      <w:rPr>
        <w:rFonts w:ascii="Courier New" w:hAnsi="Courier New" w:cs="Courier New" w:hint="default"/>
      </w:rPr>
    </w:lvl>
    <w:lvl w:ilvl="2" w:tplc="40090005">
      <w:start w:val="1"/>
      <w:numFmt w:val="bullet"/>
      <w:lvlText w:val=""/>
      <w:lvlJc w:val="left"/>
      <w:pPr>
        <w:ind w:left="2268" w:hanging="360"/>
      </w:pPr>
      <w:rPr>
        <w:rFonts w:ascii="Wingdings" w:hAnsi="Wingdings" w:hint="default"/>
      </w:rPr>
    </w:lvl>
    <w:lvl w:ilvl="3" w:tplc="40090001">
      <w:start w:val="1"/>
      <w:numFmt w:val="bullet"/>
      <w:lvlText w:val=""/>
      <w:lvlJc w:val="left"/>
      <w:pPr>
        <w:ind w:left="2988" w:hanging="360"/>
      </w:pPr>
      <w:rPr>
        <w:rFonts w:ascii="Symbol" w:hAnsi="Symbol" w:hint="default"/>
      </w:rPr>
    </w:lvl>
    <w:lvl w:ilvl="4" w:tplc="40090003">
      <w:start w:val="1"/>
      <w:numFmt w:val="bullet"/>
      <w:lvlText w:val="o"/>
      <w:lvlJc w:val="left"/>
      <w:pPr>
        <w:ind w:left="3708" w:hanging="360"/>
      </w:pPr>
      <w:rPr>
        <w:rFonts w:ascii="Courier New" w:hAnsi="Courier New" w:cs="Courier New" w:hint="default"/>
      </w:rPr>
    </w:lvl>
    <w:lvl w:ilvl="5" w:tplc="40090005" w:tentative="1">
      <w:start w:val="1"/>
      <w:numFmt w:val="bullet"/>
      <w:lvlText w:val=""/>
      <w:lvlJc w:val="left"/>
      <w:pPr>
        <w:ind w:left="4428" w:hanging="360"/>
      </w:pPr>
      <w:rPr>
        <w:rFonts w:ascii="Wingdings" w:hAnsi="Wingdings" w:hint="default"/>
      </w:rPr>
    </w:lvl>
    <w:lvl w:ilvl="6" w:tplc="40090001" w:tentative="1">
      <w:start w:val="1"/>
      <w:numFmt w:val="bullet"/>
      <w:lvlText w:val=""/>
      <w:lvlJc w:val="left"/>
      <w:pPr>
        <w:ind w:left="5148" w:hanging="360"/>
      </w:pPr>
      <w:rPr>
        <w:rFonts w:ascii="Symbol" w:hAnsi="Symbol" w:hint="default"/>
      </w:rPr>
    </w:lvl>
    <w:lvl w:ilvl="7" w:tplc="40090003" w:tentative="1">
      <w:start w:val="1"/>
      <w:numFmt w:val="bullet"/>
      <w:lvlText w:val="o"/>
      <w:lvlJc w:val="left"/>
      <w:pPr>
        <w:ind w:left="5868" w:hanging="360"/>
      </w:pPr>
      <w:rPr>
        <w:rFonts w:ascii="Courier New" w:hAnsi="Courier New" w:cs="Courier New" w:hint="default"/>
      </w:rPr>
    </w:lvl>
    <w:lvl w:ilvl="8" w:tplc="40090005" w:tentative="1">
      <w:start w:val="1"/>
      <w:numFmt w:val="bullet"/>
      <w:lvlText w:val=""/>
      <w:lvlJc w:val="left"/>
      <w:pPr>
        <w:ind w:left="6588" w:hanging="360"/>
      </w:pPr>
      <w:rPr>
        <w:rFonts w:ascii="Wingdings" w:hAnsi="Wingdings" w:hint="default"/>
      </w:rPr>
    </w:lvl>
  </w:abstractNum>
  <w:abstractNum w:abstractNumId="6" w15:restartNumberingAfterBreak="0">
    <w:nsid w:val="66BF6BAE"/>
    <w:multiLevelType w:val="multilevel"/>
    <w:tmpl w:val="65DE6DF8"/>
    <w:lvl w:ilvl="0">
      <w:start w:val="1"/>
      <w:numFmt w:val="decimal"/>
      <w:lvlText w:val="%1"/>
      <w:lvlJc w:val="left"/>
      <w:pPr>
        <w:ind w:left="782" w:hanging="562"/>
      </w:pPr>
      <w:rPr>
        <w:rFonts w:hint="default"/>
        <w:lang w:val="en-US" w:eastAsia="en-US" w:bidi="ar-SA"/>
      </w:rPr>
    </w:lvl>
    <w:lvl w:ilvl="1">
      <w:start w:val="1"/>
      <w:numFmt w:val="decimal"/>
      <w:lvlText w:val="%1.%2"/>
      <w:lvlJc w:val="left"/>
      <w:pPr>
        <w:ind w:left="782" w:hanging="562"/>
        <w:jc w:val="right"/>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940" w:hanging="360"/>
      </w:pPr>
      <w:rPr>
        <w:rFonts w:hint="default"/>
        <w:w w:val="100"/>
        <w:lang w:val="en-US" w:eastAsia="en-US" w:bidi="ar-SA"/>
      </w:rPr>
    </w:lvl>
    <w:lvl w:ilvl="3">
      <w:numFmt w:val="bullet"/>
      <w:lvlText w:val="•"/>
      <w:lvlJc w:val="left"/>
      <w:pPr>
        <w:ind w:left="1160" w:hanging="360"/>
      </w:pPr>
      <w:rPr>
        <w:rFonts w:hint="default"/>
        <w:lang w:val="en-US" w:eastAsia="en-US" w:bidi="ar-SA"/>
      </w:rPr>
    </w:lvl>
    <w:lvl w:ilvl="4">
      <w:numFmt w:val="bullet"/>
      <w:lvlText w:val="•"/>
      <w:lvlJc w:val="left"/>
      <w:pPr>
        <w:ind w:left="2372" w:hanging="360"/>
      </w:pPr>
      <w:rPr>
        <w:rFonts w:hint="default"/>
        <w:lang w:val="en-US" w:eastAsia="en-US" w:bidi="ar-SA"/>
      </w:rPr>
    </w:lvl>
    <w:lvl w:ilvl="5">
      <w:numFmt w:val="bullet"/>
      <w:lvlText w:val="•"/>
      <w:lvlJc w:val="left"/>
      <w:pPr>
        <w:ind w:left="3584" w:hanging="360"/>
      </w:pPr>
      <w:rPr>
        <w:rFonts w:hint="default"/>
        <w:lang w:val="en-US" w:eastAsia="en-US" w:bidi="ar-SA"/>
      </w:rPr>
    </w:lvl>
    <w:lvl w:ilvl="6">
      <w:numFmt w:val="bullet"/>
      <w:lvlText w:val="•"/>
      <w:lvlJc w:val="left"/>
      <w:pPr>
        <w:ind w:left="4797" w:hanging="360"/>
      </w:pPr>
      <w:rPr>
        <w:rFonts w:hint="default"/>
        <w:lang w:val="en-US" w:eastAsia="en-US" w:bidi="ar-SA"/>
      </w:rPr>
    </w:lvl>
    <w:lvl w:ilvl="7">
      <w:numFmt w:val="bullet"/>
      <w:lvlText w:val="•"/>
      <w:lvlJc w:val="left"/>
      <w:pPr>
        <w:ind w:left="6009" w:hanging="360"/>
      </w:pPr>
      <w:rPr>
        <w:rFonts w:hint="default"/>
        <w:lang w:val="en-US" w:eastAsia="en-US" w:bidi="ar-SA"/>
      </w:rPr>
    </w:lvl>
    <w:lvl w:ilvl="8">
      <w:numFmt w:val="bullet"/>
      <w:lvlText w:val="•"/>
      <w:lvlJc w:val="left"/>
      <w:pPr>
        <w:ind w:left="7221" w:hanging="360"/>
      </w:pPr>
      <w:rPr>
        <w:rFonts w:hint="default"/>
        <w:lang w:val="en-US" w:eastAsia="en-US" w:bidi="ar-SA"/>
      </w:rPr>
    </w:lvl>
  </w:abstractNum>
  <w:abstractNum w:abstractNumId="7" w15:restartNumberingAfterBreak="0">
    <w:nsid w:val="76817F58"/>
    <w:multiLevelType w:val="multilevel"/>
    <w:tmpl w:val="73028A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AD71F6"/>
    <w:multiLevelType w:val="multilevel"/>
    <w:tmpl w:val="4F3AD6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5248818">
    <w:abstractNumId w:val="3"/>
  </w:num>
  <w:num w:numId="2" w16cid:durableId="374428818">
    <w:abstractNumId w:val="6"/>
  </w:num>
  <w:num w:numId="3" w16cid:durableId="1437751885">
    <w:abstractNumId w:val="2"/>
  </w:num>
  <w:num w:numId="4" w16cid:durableId="205072093">
    <w:abstractNumId w:val="1"/>
  </w:num>
  <w:num w:numId="5" w16cid:durableId="677583804">
    <w:abstractNumId w:val="7"/>
  </w:num>
  <w:num w:numId="6" w16cid:durableId="484394044">
    <w:abstractNumId w:val="8"/>
  </w:num>
  <w:num w:numId="7" w16cid:durableId="1261060028">
    <w:abstractNumId w:val="4"/>
  </w:num>
  <w:num w:numId="8" w16cid:durableId="160778166">
    <w:abstractNumId w:val="5"/>
  </w:num>
  <w:num w:numId="9" w16cid:durableId="1796870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C18"/>
    <w:rsid w:val="001005A3"/>
    <w:rsid w:val="00167EF6"/>
    <w:rsid w:val="00251961"/>
    <w:rsid w:val="0033007E"/>
    <w:rsid w:val="00370C18"/>
    <w:rsid w:val="00542503"/>
    <w:rsid w:val="006B4CFC"/>
    <w:rsid w:val="009E6D52"/>
    <w:rsid w:val="00A17633"/>
    <w:rsid w:val="00DC5341"/>
    <w:rsid w:val="00F32F90"/>
    <w:rsid w:val="00F554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13971"/>
  <w15:chartTrackingRefBased/>
  <w15:docId w15:val="{AFAFEDC9-5A00-4CCF-94E8-DD848A8E2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DC5341"/>
    <w:pPr>
      <w:widowControl w:val="0"/>
      <w:autoSpaceDE w:val="0"/>
      <w:autoSpaceDN w:val="0"/>
      <w:spacing w:after="0" w:line="240" w:lineRule="auto"/>
      <w:ind w:left="220"/>
      <w:outlineLvl w:val="1"/>
    </w:pPr>
    <w:rPr>
      <w:rFonts w:ascii="Times New Roman" w:eastAsia="Times New Roman" w:hAnsi="Times New Roman" w:cs="Times New Roman"/>
      <w:b/>
      <w:bCs/>
      <w:kern w:val="0"/>
      <w:sz w:val="28"/>
      <w:szCs w:val="28"/>
      <w:lang w:val="en-US"/>
      <w14:ligatures w14:val="none"/>
    </w:rPr>
  </w:style>
  <w:style w:type="paragraph" w:styleId="Heading3">
    <w:name w:val="heading 3"/>
    <w:basedOn w:val="Normal"/>
    <w:next w:val="Normal"/>
    <w:link w:val="Heading3Char"/>
    <w:uiPriority w:val="9"/>
    <w:semiHidden/>
    <w:unhideWhenUsed/>
    <w:qFormat/>
    <w:rsid w:val="00F32F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32F9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5341"/>
    <w:rPr>
      <w:rFonts w:ascii="Times New Roman" w:eastAsia="Times New Roman" w:hAnsi="Times New Roman" w:cs="Times New Roman"/>
      <w:b/>
      <w:bCs/>
      <w:kern w:val="0"/>
      <w:sz w:val="28"/>
      <w:szCs w:val="28"/>
      <w:lang w:val="en-US"/>
      <w14:ligatures w14:val="none"/>
    </w:rPr>
  </w:style>
  <w:style w:type="paragraph" w:styleId="BodyText">
    <w:name w:val="Body Text"/>
    <w:basedOn w:val="Normal"/>
    <w:link w:val="BodyTextChar"/>
    <w:uiPriority w:val="1"/>
    <w:qFormat/>
    <w:rsid w:val="00DC5341"/>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DC5341"/>
    <w:rPr>
      <w:rFonts w:ascii="Times New Roman" w:eastAsia="Times New Roman" w:hAnsi="Times New Roman" w:cs="Times New Roman"/>
      <w:kern w:val="0"/>
      <w:sz w:val="24"/>
      <w:szCs w:val="24"/>
      <w:lang w:val="en-US"/>
      <w14:ligatures w14:val="none"/>
    </w:rPr>
  </w:style>
  <w:style w:type="paragraph" w:styleId="NormalWeb">
    <w:name w:val="Normal (Web)"/>
    <w:basedOn w:val="Normal"/>
    <w:uiPriority w:val="99"/>
    <w:semiHidden/>
    <w:unhideWhenUsed/>
    <w:rsid w:val="0033007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33007E"/>
    <w:pPr>
      <w:widowControl w:val="0"/>
      <w:autoSpaceDE w:val="0"/>
      <w:autoSpaceDN w:val="0"/>
      <w:spacing w:after="0" w:line="240" w:lineRule="auto"/>
      <w:ind w:left="940" w:hanging="361"/>
    </w:pPr>
    <w:rPr>
      <w:rFonts w:ascii="Times New Roman" w:eastAsia="Times New Roman" w:hAnsi="Times New Roman" w:cs="Times New Roman"/>
      <w:kern w:val="0"/>
      <w:lang w:val="en-US"/>
      <w14:ligatures w14:val="none"/>
    </w:rPr>
  </w:style>
  <w:style w:type="character" w:customStyle="1" w:styleId="Heading4Char">
    <w:name w:val="Heading 4 Char"/>
    <w:basedOn w:val="DefaultParagraphFont"/>
    <w:link w:val="Heading4"/>
    <w:uiPriority w:val="9"/>
    <w:semiHidden/>
    <w:rsid w:val="00F32F90"/>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F32F90"/>
    <w:rPr>
      <w:rFonts w:asciiTheme="majorHAnsi" w:eastAsiaTheme="majorEastAsia" w:hAnsiTheme="majorHAnsi" w:cstheme="majorBidi"/>
      <w:color w:val="1F3763" w:themeColor="accent1" w:themeShade="7F"/>
      <w:sz w:val="24"/>
      <w:szCs w:val="24"/>
    </w:rPr>
  </w:style>
  <w:style w:type="table" w:customStyle="1" w:styleId="TableGrid">
    <w:name w:val="TableGrid"/>
    <w:rsid w:val="00F32F90"/>
    <w:pPr>
      <w:spacing w:after="0" w:line="240" w:lineRule="auto"/>
    </w:pPr>
    <w:rPr>
      <w:rFonts w:eastAsiaTheme="minorEastAsia"/>
      <w:sz w:val="24"/>
      <w:szCs w:val="24"/>
      <w14:ligatures w14:val="none"/>
    </w:rPr>
    <w:tblPr>
      <w:tblCellMar>
        <w:top w:w="0" w:type="dxa"/>
        <w:left w:w="0" w:type="dxa"/>
        <w:bottom w:w="0" w:type="dxa"/>
        <w:right w:w="0" w:type="dxa"/>
      </w:tblCellMar>
    </w:tblPr>
  </w:style>
  <w:style w:type="table" w:styleId="TableGrid0">
    <w:name w:val="Table Grid"/>
    <w:basedOn w:val="TableNormal"/>
    <w:uiPriority w:val="39"/>
    <w:rsid w:val="00F32F90"/>
    <w:pPr>
      <w:spacing w:after="0" w:line="240" w:lineRule="auto"/>
    </w:pPr>
    <w:rPr>
      <w:rFonts w:eastAsiaTheme="minorEastAsia"/>
      <w:kern w:val="0"/>
      <w:lang w:eastAsia="en-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F32F90"/>
    <w:rPr>
      <w:b/>
      <w:bCs/>
    </w:rPr>
  </w:style>
  <w:style w:type="character" w:styleId="Hyperlink">
    <w:name w:val="Hyperlink"/>
    <w:basedOn w:val="DefaultParagraphFont"/>
    <w:uiPriority w:val="99"/>
    <w:semiHidden/>
    <w:unhideWhenUsed/>
    <w:rsid w:val="006B4C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804997">
      <w:bodyDiv w:val="1"/>
      <w:marLeft w:val="0"/>
      <w:marRight w:val="0"/>
      <w:marTop w:val="0"/>
      <w:marBottom w:val="0"/>
      <w:divBdr>
        <w:top w:val="none" w:sz="0" w:space="0" w:color="auto"/>
        <w:left w:val="none" w:sz="0" w:space="0" w:color="auto"/>
        <w:bottom w:val="none" w:sz="0" w:space="0" w:color="auto"/>
        <w:right w:val="none" w:sz="0" w:space="0" w:color="auto"/>
      </w:divBdr>
    </w:div>
    <w:div w:id="158040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hyperlink" Target="http://dx.doi.org/10.2139/ssrn.4218617" TargetMode="Externa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hyperlink" Target="https://ssrn.com/abstract=421861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fontTable" Target="fontTable.xml"/><Relationship Id="rId10" Type="http://schemas.openxmlformats.org/officeDocument/2006/relationships/chart" Target="charts/chart6.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hyperlink" Target="http://www.jetir.org/"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Gross</a:t>
            </a:r>
            <a:r>
              <a:rPr lang="en-US" baseline="0"/>
              <a:t> NPA</a:t>
            </a:r>
            <a:endParaRPr lang="en-US"/>
          </a:p>
        </c:rich>
      </c:tx>
      <c:overlay val="0"/>
    </c:title>
    <c:autoTitleDeleted val="0"/>
    <c:plotArea>
      <c:layout/>
      <c:barChart>
        <c:barDir val="col"/>
        <c:grouping val="clustered"/>
        <c:varyColors val="0"/>
        <c:ser>
          <c:idx val="0"/>
          <c:order val="0"/>
          <c:tx>
            <c:strRef>
              <c:f>Sheet1!$B$1</c:f>
              <c:strCache>
                <c:ptCount val="1"/>
                <c:pt idx="0">
                  <c:v>Gross NPA </c:v>
                </c:pt>
              </c:strCache>
            </c:strRef>
          </c:tx>
          <c:invertIfNegative val="0"/>
          <c:cat>
            <c:strRef>
              <c:f>Sheet1!$A$2:$A$7</c:f>
              <c:strCache>
                <c:ptCount val="6"/>
                <c:pt idx="0">
                  <c:v>2018- 2019</c:v>
                </c:pt>
                <c:pt idx="1">
                  <c:v>2019- 2020</c:v>
                </c:pt>
                <c:pt idx="2">
                  <c:v>2020 - 2021</c:v>
                </c:pt>
                <c:pt idx="4">
                  <c:v>2021- 2022</c:v>
                </c:pt>
                <c:pt idx="5">
                  <c:v>2022 - 2023</c:v>
                </c:pt>
              </c:strCache>
            </c:strRef>
          </c:cat>
          <c:val>
            <c:numRef>
              <c:f>Sheet1!$B$2:$B$7</c:f>
              <c:numCache>
                <c:formatCode>General</c:formatCode>
                <c:ptCount val="6"/>
                <c:pt idx="0">
                  <c:v>39224.119999999995</c:v>
                </c:pt>
                <c:pt idx="1">
                  <c:v>37041.15</c:v>
                </c:pt>
                <c:pt idx="2">
                  <c:v>63228</c:v>
                </c:pt>
                <c:pt idx="4">
                  <c:v>55652</c:v>
                </c:pt>
                <c:pt idx="5">
                  <c:v>46160</c:v>
                </c:pt>
              </c:numCache>
            </c:numRef>
          </c:val>
          <c:extLst>
            <c:ext xmlns:c16="http://schemas.microsoft.com/office/drawing/2014/chart" uri="{C3380CC4-5D6E-409C-BE32-E72D297353CC}">
              <c16:uniqueId val="{00000000-B2DB-4B71-9A55-2C9BD5F212B0}"/>
            </c:ext>
          </c:extLst>
        </c:ser>
        <c:ser>
          <c:idx val="1"/>
          <c:order val="1"/>
          <c:tx>
            <c:strRef>
              <c:f>Sheet1!$C$1</c:f>
              <c:strCache>
                <c:ptCount val="1"/>
                <c:pt idx="0">
                  <c:v>Gross Advance </c:v>
                </c:pt>
              </c:strCache>
            </c:strRef>
          </c:tx>
          <c:invertIfNegative val="0"/>
          <c:cat>
            <c:strRef>
              <c:f>Sheet1!$A$2:$A$7</c:f>
              <c:strCache>
                <c:ptCount val="6"/>
                <c:pt idx="0">
                  <c:v>2018- 2019</c:v>
                </c:pt>
                <c:pt idx="1">
                  <c:v>2019- 2020</c:v>
                </c:pt>
                <c:pt idx="2">
                  <c:v>2020 - 2021</c:v>
                </c:pt>
                <c:pt idx="4">
                  <c:v>2021- 2022</c:v>
                </c:pt>
                <c:pt idx="5">
                  <c:v>2022 - 2023</c:v>
                </c:pt>
              </c:strCache>
            </c:strRef>
          </c:cat>
          <c:val>
            <c:numRef>
              <c:f>Sheet1!$C$2:$C$7</c:f>
              <c:numCache>
                <c:formatCode>General</c:formatCode>
                <c:ptCount val="6"/>
                <c:pt idx="0">
                  <c:v>44421</c:v>
                </c:pt>
                <c:pt idx="1">
                  <c:v>451223</c:v>
                </c:pt>
                <c:pt idx="2">
                  <c:v>9467</c:v>
                </c:pt>
                <c:pt idx="4">
                  <c:v>9879</c:v>
                </c:pt>
                <c:pt idx="5">
                  <c:v>7399</c:v>
                </c:pt>
              </c:numCache>
            </c:numRef>
          </c:val>
          <c:extLst>
            <c:ext xmlns:c16="http://schemas.microsoft.com/office/drawing/2014/chart" uri="{C3380CC4-5D6E-409C-BE32-E72D297353CC}">
              <c16:uniqueId val="{00000001-B2DB-4B71-9A55-2C9BD5F212B0}"/>
            </c:ext>
          </c:extLst>
        </c:ser>
        <c:dLbls>
          <c:showLegendKey val="0"/>
          <c:showVal val="0"/>
          <c:showCatName val="0"/>
          <c:showSerName val="0"/>
          <c:showPercent val="0"/>
          <c:showBubbleSize val="0"/>
        </c:dLbls>
        <c:gapWidth val="150"/>
        <c:axId val="180755968"/>
        <c:axId val="134911616"/>
      </c:barChart>
      <c:catAx>
        <c:axId val="180755968"/>
        <c:scaling>
          <c:orientation val="minMax"/>
        </c:scaling>
        <c:delete val="0"/>
        <c:axPos val="b"/>
        <c:numFmt formatCode="General" sourceLinked="0"/>
        <c:majorTickMark val="none"/>
        <c:minorTickMark val="none"/>
        <c:tickLblPos val="nextTo"/>
        <c:crossAx val="134911616"/>
        <c:crosses val="autoZero"/>
        <c:auto val="1"/>
        <c:lblAlgn val="ctr"/>
        <c:lblOffset val="100"/>
        <c:noMultiLvlLbl val="0"/>
      </c:catAx>
      <c:valAx>
        <c:axId val="134911616"/>
        <c:scaling>
          <c:orientation val="minMax"/>
        </c:scaling>
        <c:delete val="0"/>
        <c:axPos val="l"/>
        <c:majorGridlines/>
        <c:numFmt formatCode="General" sourceLinked="1"/>
        <c:majorTickMark val="none"/>
        <c:minorTickMark val="none"/>
        <c:tickLblPos val="nextTo"/>
        <c:crossAx val="18075596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Net</a:t>
            </a:r>
            <a:r>
              <a:rPr lang="en-US" baseline="0"/>
              <a:t> NPA</a:t>
            </a:r>
            <a:endParaRPr lang="en-US"/>
          </a:p>
        </c:rich>
      </c:tx>
      <c:overlay val="0"/>
    </c:title>
    <c:autoTitleDeleted val="0"/>
    <c:plotArea>
      <c:layout/>
      <c:barChart>
        <c:barDir val="col"/>
        <c:grouping val="clustered"/>
        <c:varyColors val="0"/>
        <c:ser>
          <c:idx val="0"/>
          <c:order val="0"/>
          <c:tx>
            <c:strRef>
              <c:f>Sheet1!$O$28</c:f>
              <c:strCache>
                <c:ptCount val="1"/>
                <c:pt idx="0">
                  <c:v>Gross NPA </c:v>
                </c:pt>
              </c:strCache>
            </c:strRef>
          </c:tx>
          <c:invertIfNegative val="0"/>
          <c:cat>
            <c:strRef>
              <c:f>Sheet1!$N$29:$N$33</c:f>
              <c:strCache>
                <c:ptCount val="5"/>
                <c:pt idx="0">
                  <c:v>2018 -2019</c:v>
                </c:pt>
                <c:pt idx="1">
                  <c:v>2019- 2020</c:v>
                </c:pt>
                <c:pt idx="2">
                  <c:v>2020 - 2021</c:v>
                </c:pt>
                <c:pt idx="3">
                  <c:v>2021 – 2022</c:v>
                </c:pt>
                <c:pt idx="4">
                  <c:v>2022 - 2023</c:v>
                </c:pt>
              </c:strCache>
            </c:strRef>
          </c:cat>
          <c:val>
            <c:numRef>
              <c:f>Sheet1!$O$29:$O$33</c:f>
              <c:numCache>
                <c:formatCode>General</c:formatCode>
                <c:ptCount val="5"/>
                <c:pt idx="0">
                  <c:v>39224.119999999995</c:v>
                </c:pt>
                <c:pt idx="1">
                  <c:v>37041.15</c:v>
                </c:pt>
                <c:pt idx="2">
                  <c:v>63228</c:v>
                </c:pt>
                <c:pt idx="3">
                  <c:v>55652</c:v>
                </c:pt>
                <c:pt idx="4">
                  <c:v>46160</c:v>
                </c:pt>
              </c:numCache>
            </c:numRef>
          </c:val>
          <c:extLst>
            <c:ext xmlns:c16="http://schemas.microsoft.com/office/drawing/2014/chart" uri="{C3380CC4-5D6E-409C-BE32-E72D297353CC}">
              <c16:uniqueId val="{00000000-CC18-414D-AEBE-ADA2A3B284A6}"/>
            </c:ext>
          </c:extLst>
        </c:ser>
        <c:ser>
          <c:idx val="1"/>
          <c:order val="1"/>
          <c:tx>
            <c:strRef>
              <c:f>Sheet1!$P$28</c:f>
              <c:strCache>
                <c:ptCount val="1"/>
                <c:pt idx="0">
                  <c:v>Provisions </c:v>
                </c:pt>
              </c:strCache>
            </c:strRef>
          </c:tx>
          <c:invertIfNegative val="0"/>
          <c:cat>
            <c:strRef>
              <c:f>Sheet1!$N$29:$N$33</c:f>
              <c:strCache>
                <c:ptCount val="5"/>
                <c:pt idx="0">
                  <c:v>2018 -2019</c:v>
                </c:pt>
                <c:pt idx="1">
                  <c:v>2019- 2020</c:v>
                </c:pt>
                <c:pt idx="2">
                  <c:v>2020 - 2021</c:v>
                </c:pt>
                <c:pt idx="3">
                  <c:v>2021 – 2022</c:v>
                </c:pt>
                <c:pt idx="4">
                  <c:v>2022 - 2023</c:v>
                </c:pt>
              </c:strCache>
            </c:strRef>
          </c:cat>
          <c:val>
            <c:numRef>
              <c:f>Sheet1!$P$29:$P$33</c:f>
              <c:numCache>
                <c:formatCode>General</c:formatCode>
                <c:ptCount val="5"/>
                <c:pt idx="0">
                  <c:v>12722.82</c:v>
                </c:pt>
                <c:pt idx="1">
                  <c:v>11696.51</c:v>
                </c:pt>
                <c:pt idx="2">
                  <c:v>17490.37</c:v>
                </c:pt>
                <c:pt idx="3">
                  <c:v>17502.62</c:v>
                </c:pt>
                <c:pt idx="4">
                  <c:v>17166.480000000018</c:v>
                </c:pt>
              </c:numCache>
            </c:numRef>
          </c:val>
          <c:extLst>
            <c:ext xmlns:c16="http://schemas.microsoft.com/office/drawing/2014/chart" uri="{C3380CC4-5D6E-409C-BE32-E72D297353CC}">
              <c16:uniqueId val="{00000001-CC18-414D-AEBE-ADA2A3B284A6}"/>
            </c:ext>
          </c:extLst>
        </c:ser>
        <c:ser>
          <c:idx val="2"/>
          <c:order val="2"/>
          <c:tx>
            <c:strRef>
              <c:f>Sheet1!$Q$28</c:f>
              <c:strCache>
                <c:ptCount val="1"/>
                <c:pt idx="0">
                  <c:v>Gross advances </c:v>
                </c:pt>
              </c:strCache>
            </c:strRef>
          </c:tx>
          <c:invertIfNegative val="0"/>
          <c:cat>
            <c:strRef>
              <c:f>Sheet1!$N$29:$N$33</c:f>
              <c:strCache>
                <c:ptCount val="5"/>
                <c:pt idx="0">
                  <c:v>2018 -2019</c:v>
                </c:pt>
                <c:pt idx="1">
                  <c:v>2019- 2020</c:v>
                </c:pt>
                <c:pt idx="2">
                  <c:v>2020 - 2021</c:v>
                </c:pt>
                <c:pt idx="3">
                  <c:v>2021 – 2022</c:v>
                </c:pt>
                <c:pt idx="4">
                  <c:v>2022 - 2023</c:v>
                </c:pt>
              </c:strCache>
            </c:strRef>
          </c:cat>
          <c:val>
            <c:numRef>
              <c:f>Sheet1!$Q$29:$Q$33</c:f>
              <c:numCache>
                <c:formatCode>General</c:formatCode>
                <c:ptCount val="5"/>
                <c:pt idx="0">
                  <c:v>444216</c:v>
                </c:pt>
                <c:pt idx="1">
                  <c:v>451223</c:v>
                </c:pt>
                <c:pt idx="2">
                  <c:v>675155</c:v>
                </c:pt>
                <c:pt idx="3">
                  <c:v>741147</c:v>
                </c:pt>
                <c:pt idx="4">
                  <c:v>862782</c:v>
                </c:pt>
              </c:numCache>
            </c:numRef>
          </c:val>
          <c:extLst>
            <c:ext xmlns:c16="http://schemas.microsoft.com/office/drawing/2014/chart" uri="{C3380CC4-5D6E-409C-BE32-E72D297353CC}">
              <c16:uniqueId val="{00000002-CC18-414D-AEBE-ADA2A3B284A6}"/>
            </c:ext>
          </c:extLst>
        </c:ser>
        <c:dLbls>
          <c:showLegendKey val="0"/>
          <c:showVal val="0"/>
          <c:showCatName val="0"/>
          <c:showSerName val="0"/>
          <c:showPercent val="0"/>
          <c:showBubbleSize val="0"/>
        </c:dLbls>
        <c:gapWidth val="150"/>
        <c:axId val="172296704"/>
        <c:axId val="138970816"/>
      </c:barChart>
      <c:catAx>
        <c:axId val="172296704"/>
        <c:scaling>
          <c:orientation val="minMax"/>
        </c:scaling>
        <c:delete val="0"/>
        <c:axPos val="b"/>
        <c:numFmt formatCode="General" sourceLinked="0"/>
        <c:majorTickMark val="none"/>
        <c:minorTickMark val="none"/>
        <c:tickLblPos val="nextTo"/>
        <c:crossAx val="138970816"/>
        <c:crosses val="autoZero"/>
        <c:auto val="1"/>
        <c:lblAlgn val="ctr"/>
        <c:lblOffset val="100"/>
        <c:noMultiLvlLbl val="0"/>
      </c:catAx>
      <c:valAx>
        <c:axId val="138970816"/>
        <c:scaling>
          <c:orientation val="minMax"/>
        </c:scaling>
        <c:delete val="0"/>
        <c:axPos val="l"/>
        <c:majorGridlines/>
        <c:numFmt formatCode="General" sourceLinked="1"/>
        <c:majorTickMark val="none"/>
        <c:minorTickMark val="none"/>
        <c:tickLblPos val="nextTo"/>
        <c:crossAx val="17229670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Provisions</a:t>
            </a:r>
            <a:r>
              <a:rPr lang="en-US" baseline="0"/>
              <a:t> Ratio</a:t>
            </a:r>
            <a:endParaRPr lang="en-US"/>
          </a:p>
        </c:rich>
      </c:tx>
      <c:overlay val="0"/>
    </c:title>
    <c:autoTitleDeleted val="0"/>
    <c:plotArea>
      <c:layout/>
      <c:barChart>
        <c:barDir val="col"/>
        <c:grouping val="clustered"/>
        <c:varyColors val="0"/>
        <c:ser>
          <c:idx val="0"/>
          <c:order val="0"/>
          <c:tx>
            <c:strRef>
              <c:f>Sheet1!$L$33</c:f>
              <c:strCache>
                <c:ptCount val="1"/>
                <c:pt idx="0">
                  <c:v>provisons </c:v>
                </c:pt>
              </c:strCache>
            </c:strRef>
          </c:tx>
          <c:invertIfNegative val="0"/>
          <c:cat>
            <c:strRef>
              <c:f>Sheet1!$K$34:$K$38</c:f>
              <c:strCache>
                <c:ptCount val="5"/>
                <c:pt idx="0">
                  <c:v>2018-2019</c:v>
                </c:pt>
                <c:pt idx="1">
                  <c:v>2019-2020</c:v>
                </c:pt>
                <c:pt idx="2">
                  <c:v>2020-2021</c:v>
                </c:pt>
                <c:pt idx="3">
                  <c:v>2021-2022</c:v>
                </c:pt>
                <c:pt idx="4">
                  <c:v>2022-2023</c:v>
                </c:pt>
              </c:strCache>
            </c:strRef>
          </c:cat>
          <c:val>
            <c:numRef>
              <c:f>Sheet1!$L$34:$L$38</c:f>
              <c:numCache>
                <c:formatCode>General</c:formatCode>
                <c:ptCount val="5"/>
                <c:pt idx="0">
                  <c:v>12722.82</c:v>
                </c:pt>
                <c:pt idx="1">
                  <c:v>11696.51</c:v>
                </c:pt>
                <c:pt idx="2">
                  <c:v>17490.37</c:v>
                </c:pt>
                <c:pt idx="3">
                  <c:v>17502.62</c:v>
                </c:pt>
                <c:pt idx="4">
                  <c:v>17166.48000000001</c:v>
                </c:pt>
              </c:numCache>
            </c:numRef>
          </c:val>
          <c:extLst>
            <c:ext xmlns:c16="http://schemas.microsoft.com/office/drawing/2014/chart" uri="{C3380CC4-5D6E-409C-BE32-E72D297353CC}">
              <c16:uniqueId val="{00000000-6408-4291-A087-29873CEF618D}"/>
            </c:ext>
          </c:extLst>
        </c:ser>
        <c:ser>
          <c:idx val="1"/>
          <c:order val="1"/>
          <c:tx>
            <c:strRef>
              <c:f>Sheet1!$M$33</c:f>
              <c:strCache>
                <c:ptCount val="1"/>
                <c:pt idx="0">
                  <c:v>Gross NPA's</c:v>
                </c:pt>
              </c:strCache>
            </c:strRef>
          </c:tx>
          <c:invertIfNegative val="0"/>
          <c:cat>
            <c:strRef>
              <c:f>Sheet1!$K$34:$K$38</c:f>
              <c:strCache>
                <c:ptCount val="5"/>
                <c:pt idx="0">
                  <c:v>2018-2019</c:v>
                </c:pt>
                <c:pt idx="1">
                  <c:v>2019-2020</c:v>
                </c:pt>
                <c:pt idx="2">
                  <c:v>2020-2021</c:v>
                </c:pt>
                <c:pt idx="3">
                  <c:v>2021-2022</c:v>
                </c:pt>
                <c:pt idx="4">
                  <c:v>2022-2023</c:v>
                </c:pt>
              </c:strCache>
            </c:strRef>
          </c:cat>
          <c:val>
            <c:numRef>
              <c:f>Sheet1!$M$34:$M$38</c:f>
              <c:numCache>
                <c:formatCode>General</c:formatCode>
                <c:ptCount val="5"/>
                <c:pt idx="0">
                  <c:v>39224.119999999995</c:v>
                </c:pt>
                <c:pt idx="1">
                  <c:v>37041.15</c:v>
                </c:pt>
                <c:pt idx="2">
                  <c:v>63228</c:v>
                </c:pt>
                <c:pt idx="3">
                  <c:v>55652</c:v>
                </c:pt>
                <c:pt idx="4">
                  <c:v>46160</c:v>
                </c:pt>
              </c:numCache>
            </c:numRef>
          </c:val>
          <c:extLst>
            <c:ext xmlns:c16="http://schemas.microsoft.com/office/drawing/2014/chart" uri="{C3380CC4-5D6E-409C-BE32-E72D297353CC}">
              <c16:uniqueId val="{00000001-6408-4291-A087-29873CEF618D}"/>
            </c:ext>
          </c:extLst>
        </c:ser>
        <c:dLbls>
          <c:showLegendKey val="0"/>
          <c:showVal val="0"/>
          <c:showCatName val="0"/>
          <c:showSerName val="0"/>
          <c:showPercent val="0"/>
          <c:showBubbleSize val="0"/>
        </c:dLbls>
        <c:gapWidth val="75"/>
        <c:overlap val="-25"/>
        <c:axId val="172299776"/>
        <c:axId val="138973696"/>
      </c:barChart>
      <c:catAx>
        <c:axId val="172299776"/>
        <c:scaling>
          <c:orientation val="minMax"/>
        </c:scaling>
        <c:delete val="0"/>
        <c:axPos val="b"/>
        <c:numFmt formatCode="General" sourceLinked="0"/>
        <c:majorTickMark val="none"/>
        <c:minorTickMark val="none"/>
        <c:tickLblPos val="nextTo"/>
        <c:crossAx val="138973696"/>
        <c:crosses val="autoZero"/>
        <c:auto val="1"/>
        <c:lblAlgn val="ctr"/>
        <c:lblOffset val="100"/>
        <c:noMultiLvlLbl val="0"/>
      </c:catAx>
      <c:valAx>
        <c:axId val="138973696"/>
        <c:scaling>
          <c:orientation val="minMax"/>
        </c:scaling>
        <c:delete val="0"/>
        <c:axPos val="l"/>
        <c:majorGridlines/>
        <c:numFmt formatCode="General" sourceLinked="1"/>
        <c:majorTickMark val="none"/>
        <c:minorTickMark val="none"/>
        <c:tickLblPos val="nextTo"/>
        <c:spPr>
          <a:ln w="9525">
            <a:noFill/>
          </a:ln>
        </c:spPr>
        <c:crossAx val="172299776"/>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Standard</a:t>
            </a:r>
            <a:r>
              <a:rPr lang="en-US" baseline="0"/>
              <a:t> Assets Ratio</a:t>
            </a:r>
            <a:endParaRPr lang="en-US"/>
          </a:p>
        </c:rich>
      </c:tx>
      <c:overlay val="0"/>
    </c:title>
    <c:autoTitleDeleted val="0"/>
    <c:plotArea>
      <c:layout/>
      <c:barChart>
        <c:barDir val="col"/>
        <c:grouping val="clustered"/>
        <c:varyColors val="0"/>
        <c:ser>
          <c:idx val="0"/>
          <c:order val="0"/>
          <c:tx>
            <c:strRef>
              <c:f>Sheet1!$M$56</c:f>
              <c:strCache>
                <c:ptCount val="1"/>
                <c:pt idx="0">
                  <c:v>Standard Assets</c:v>
                </c:pt>
              </c:strCache>
            </c:strRef>
          </c:tx>
          <c:invertIfNegative val="0"/>
          <c:cat>
            <c:strRef>
              <c:f>Sheet1!$L$57:$L$61</c:f>
              <c:strCache>
                <c:ptCount val="5"/>
                <c:pt idx="0">
                  <c:v>2018- 2019</c:v>
                </c:pt>
                <c:pt idx="1">
                  <c:v>2019 - 2020</c:v>
                </c:pt>
                <c:pt idx="2">
                  <c:v>2020 - 2021</c:v>
                </c:pt>
                <c:pt idx="3">
                  <c:v>2021 - 2022</c:v>
                </c:pt>
                <c:pt idx="4">
                  <c:v>2022 - 2023</c:v>
                </c:pt>
              </c:strCache>
            </c:strRef>
          </c:cat>
          <c:val>
            <c:numRef>
              <c:f>Sheet1!$M$57:$M$61</c:f>
              <c:numCache>
                <c:formatCode>General</c:formatCode>
                <c:ptCount val="5"/>
                <c:pt idx="0">
                  <c:v>308887</c:v>
                </c:pt>
                <c:pt idx="1">
                  <c:v>313848</c:v>
                </c:pt>
                <c:pt idx="2">
                  <c:v>590090</c:v>
                </c:pt>
                <c:pt idx="3">
                  <c:v>614867</c:v>
                </c:pt>
                <c:pt idx="4">
                  <c:v>685495</c:v>
                </c:pt>
              </c:numCache>
            </c:numRef>
          </c:val>
          <c:extLst>
            <c:ext xmlns:c16="http://schemas.microsoft.com/office/drawing/2014/chart" uri="{C3380CC4-5D6E-409C-BE32-E72D297353CC}">
              <c16:uniqueId val="{00000000-6FC9-4BBB-BFFE-A527DDA454DB}"/>
            </c:ext>
          </c:extLst>
        </c:ser>
        <c:ser>
          <c:idx val="1"/>
          <c:order val="1"/>
          <c:tx>
            <c:strRef>
              <c:f>Sheet1!$N$56</c:f>
              <c:strCache>
                <c:ptCount val="1"/>
                <c:pt idx="0">
                  <c:v>Gross NPA’s</c:v>
                </c:pt>
              </c:strCache>
            </c:strRef>
          </c:tx>
          <c:invertIfNegative val="0"/>
          <c:cat>
            <c:strRef>
              <c:f>Sheet1!$L$57:$L$61</c:f>
              <c:strCache>
                <c:ptCount val="5"/>
                <c:pt idx="0">
                  <c:v>2018- 2019</c:v>
                </c:pt>
                <c:pt idx="1">
                  <c:v>2019 - 2020</c:v>
                </c:pt>
                <c:pt idx="2">
                  <c:v>2020 - 2021</c:v>
                </c:pt>
                <c:pt idx="3">
                  <c:v>2021 - 2022</c:v>
                </c:pt>
                <c:pt idx="4">
                  <c:v>2022 - 2023</c:v>
                </c:pt>
              </c:strCache>
            </c:strRef>
          </c:cat>
          <c:val>
            <c:numRef>
              <c:f>Sheet1!$N$57:$N$61</c:f>
              <c:numCache>
                <c:formatCode>General</c:formatCode>
                <c:ptCount val="5"/>
                <c:pt idx="0">
                  <c:v>39224.119999999995</c:v>
                </c:pt>
                <c:pt idx="1">
                  <c:v>37041.15</c:v>
                </c:pt>
                <c:pt idx="2">
                  <c:v>63228</c:v>
                </c:pt>
                <c:pt idx="3">
                  <c:v>55652</c:v>
                </c:pt>
                <c:pt idx="4">
                  <c:v>46160</c:v>
                </c:pt>
              </c:numCache>
            </c:numRef>
          </c:val>
          <c:extLst>
            <c:ext xmlns:c16="http://schemas.microsoft.com/office/drawing/2014/chart" uri="{C3380CC4-5D6E-409C-BE32-E72D297353CC}">
              <c16:uniqueId val="{00000001-6FC9-4BBB-BFFE-A527DDA454DB}"/>
            </c:ext>
          </c:extLst>
        </c:ser>
        <c:dLbls>
          <c:showLegendKey val="0"/>
          <c:showVal val="0"/>
          <c:showCatName val="0"/>
          <c:showSerName val="0"/>
          <c:showPercent val="0"/>
          <c:showBubbleSize val="0"/>
        </c:dLbls>
        <c:gapWidth val="75"/>
        <c:overlap val="-25"/>
        <c:axId val="181709312"/>
        <c:axId val="138975424"/>
      </c:barChart>
      <c:catAx>
        <c:axId val="181709312"/>
        <c:scaling>
          <c:orientation val="minMax"/>
        </c:scaling>
        <c:delete val="0"/>
        <c:axPos val="b"/>
        <c:numFmt formatCode="General" sourceLinked="0"/>
        <c:majorTickMark val="none"/>
        <c:minorTickMark val="none"/>
        <c:tickLblPos val="nextTo"/>
        <c:crossAx val="138975424"/>
        <c:crosses val="autoZero"/>
        <c:auto val="1"/>
        <c:lblAlgn val="ctr"/>
        <c:lblOffset val="100"/>
        <c:noMultiLvlLbl val="0"/>
      </c:catAx>
      <c:valAx>
        <c:axId val="138975424"/>
        <c:scaling>
          <c:orientation val="minMax"/>
        </c:scaling>
        <c:delete val="0"/>
        <c:axPos val="l"/>
        <c:majorGridlines/>
        <c:numFmt formatCode="General" sourceLinked="1"/>
        <c:majorTickMark val="none"/>
        <c:minorTickMark val="none"/>
        <c:tickLblPos val="nextTo"/>
        <c:spPr>
          <a:ln w="9525">
            <a:noFill/>
          </a:ln>
        </c:spPr>
        <c:crossAx val="181709312"/>
        <c:crosses val="autoZero"/>
        <c:crossBetween val="between"/>
      </c:valAx>
    </c:plotArea>
    <c:legend>
      <c:legendPos val="b"/>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Sub-Standard</a:t>
            </a:r>
            <a:r>
              <a:rPr lang="en-US" baseline="0"/>
              <a:t> Ratio</a:t>
            </a:r>
            <a:endParaRPr lang="en-US"/>
          </a:p>
        </c:rich>
      </c:tx>
      <c:overlay val="0"/>
    </c:title>
    <c:autoTitleDeleted val="0"/>
    <c:plotArea>
      <c:layout/>
      <c:barChart>
        <c:barDir val="col"/>
        <c:grouping val="clustered"/>
        <c:varyColors val="0"/>
        <c:ser>
          <c:idx val="0"/>
          <c:order val="0"/>
          <c:tx>
            <c:strRef>
              <c:f>Sheet1!$B$54</c:f>
              <c:strCache>
                <c:ptCount val="1"/>
                <c:pt idx="0">
                  <c:v>Sub- Standard Assets</c:v>
                </c:pt>
              </c:strCache>
            </c:strRef>
          </c:tx>
          <c:invertIfNegative val="0"/>
          <c:cat>
            <c:strRef>
              <c:f>Sheet1!$A$55:$A$59</c:f>
              <c:strCache>
                <c:ptCount val="5"/>
                <c:pt idx="0">
                  <c:v>2018 - 2019</c:v>
                </c:pt>
                <c:pt idx="1">
                  <c:v>2019 - 2020</c:v>
                </c:pt>
                <c:pt idx="2">
                  <c:v>2020 - 2021</c:v>
                </c:pt>
                <c:pt idx="3">
                  <c:v>2021- 2022 </c:v>
                </c:pt>
                <c:pt idx="4">
                  <c:v>2022 - 2023</c:v>
                </c:pt>
              </c:strCache>
            </c:strRef>
          </c:cat>
          <c:val>
            <c:numRef>
              <c:f>Sheet1!$B$55:$B$59</c:f>
              <c:numCache>
                <c:formatCode>General</c:formatCode>
                <c:ptCount val="5"/>
                <c:pt idx="0">
                  <c:v>15073</c:v>
                </c:pt>
                <c:pt idx="1">
                  <c:v>13692</c:v>
                </c:pt>
                <c:pt idx="2">
                  <c:v>15347</c:v>
                </c:pt>
                <c:pt idx="3">
                  <c:v>14222</c:v>
                </c:pt>
                <c:pt idx="4">
                  <c:v>9130</c:v>
                </c:pt>
              </c:numCache>
            </c:numRef>
          </c:val>
          <c:extLst>
            <c:ext xmlns:c16="http://schemas.microsoft.com/office/drawing/2014/chart" uri="{C3380CC4-5D6E-409C-BE32-E72D297353CC}">
              <c16:uniqueId val="{00000000-CA35-460B-9227-D3BC66D4182E}"/>
            </c:ext>
          </c:extLst>
        </c:ser>
        <c:ser>
          <c:idx val="1"/>
          <c:order val="1"/>
          <c:tx>
            <c:strRef>
              <c:f>Sheet1!$C$54</c:f>
              <c:strCache>
                <c:ptCount val="1"/>
                <c:pt idx="0">
                  <c:v>Gross NPA’s </c:v>
                </c:pt>
              </c:strCache>
            </c:strRef>
          </c:tx>
          <c:invertIfNegative val="0"/>
          <c:cat>
            <c:strRef>
              <c:f>Sheet1!$A$55:$A$59</c:f>
              <c:strCache>
                <c:ptCount val="5"/>
                <c:pt idx="0">
                  <c:v>2018 - 2019</c:v>
                </c:pt>
                <c:pt idx="1">
                  <c:v>2019 - 2020</c:v>
                </c:pt>
                <c:pt idx="2">
                  <c:v>2020 - 2021</c:v>
                </c:pt>
                <c:pt idx="3">
                  <c:v>2021- 2022 </c:v>
                </c:pt>
                <c:pt idx="4">
                  <c:v>2022 - 2023</c:v>
                </c:pt>
              </c:strCache>
            </c:strRef>
          </c:cat>
          <c:val>
            <c:numRef>
              <c:f>Sheet1!$C$55:$C$59</c:f>
              <c:numCache>
                <c:formatCode>General</c:formatCode>
                <c:ptCount val="5"/>
                <c:pt idx="0">
                  <c:v>39224.119999999995</c:v>
                </c:pt>
                <c:pt idx="1">
                  <c:v>37041.15</c:v>
                </c:pt>
                <c:pt idx="2">
                  <c:v>9467</c:v>
                </c:pt>
                <c:pt idx="3">
                  <c:v>9879</c:v>
                </c:pt>
                <c:pt idx="4">
                  <c:v>7399</c:v>
                </c:pt>
              </c:numCache>
            </c:numRef>
          </c:val>
          <c:extLst>
            <c:ext xmlns:c16="http://schemas.microsoft.com/office/drawing/2014/chart" uri="{C3380CC4-5D6E-409C-BE32-E72D297353CC}">
              <c16:uniqueId val="{00000001-CA35-460B-9227-D3BC66D4182E}"/>
            </c:ext>
          </c:extLst>
        </c:ser>
        <c:dLbls>
          <c:showLegendKey val="0"/>
          <c:showVal val="0"/>
          <c:showCatName val="0"/>
          <c:showSerName val="0"/>
          <c:showPercent val="0"/>
          <c:showBubbleSize val="0"/>
        </c:dLbls>
        <c:gapWidth val="75"/>
        <c:overlap val="-25"/>
        <c:axId val="246660608"/>
        <c:axId val="138984768"/>
      </c:barChart>
      <c:catAx>
        <c:axId val="246660608"/>
        <c:scaling>
          <c:orientation val="minMax"/>
        </c:scaling>
        <c:delete val="0"/>
        <c:axPos val="b"/>
        <c:numFmt formatCode="General" sourceLinked="0"/>
        <c:majorTickMark val="none"/>
        <c:minorTickMark val="none"/>
        <c:tickLblPos val="nextTo"/>
        <c:crossAx val="138984768"/>
        <c:crosses val="autoZero"/>
        <c:auto val="1"/>
        <c:lblAlgn val="ctr"/>
        <c:lblOffset val="100"/>
        <c:noMultiLvlLbl val="0"/>
      </c:catAx>
      <c:valAx>
        <c:axId val="138984768"/>
        <c:scaling>
          <c:orientation val="minMax"/>
        </c:scaling>
        <c:delete val="0"/>
        <c:axPos val="l"/>
        <c:majorGridlines/>
        <c:numFmt formatCode="General" sourceLinked="1"/>
        <c:majorTickMark val="none"/>
        <c:minorTickMark val="none"/>
        <c:tickLblPos val="nextTo"/>
        <c:spPr>
          <a:ln w="9525">
            <a:noFill/>
          </a:ln>
        </c:spPr>
        <c:crossAx val="246660608"/>
        <c:crosses val="autoZero"/>
        <c:crossBetween val="between"/>
      </c:valAx>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Doubtful</a:t>
            </a:r>
            <a:r>
              <a:rPr lang="en-US" baseline="0"/>
              <a:t> Ratio</a:t>
            </a:r>
            <a:endParaRPr lang="en-US"/>
          </a:p>
        </c:rich>
      </c:tx>
      <c:overlay val="0"/>
    </c:title>
    <c:autoTitleDeleted val="0"/>
    <c:plotArea>
      <c:layout/>
      <c:barChart>
        <c:barDir val="col"/>
        <c:grouping val="clustered"/>
        <c:varyColors val="0"/>
        <c:ser>
          <c:idx val="0"/>
          <c:order val="0"/>
          <c:tx>
            <c:strRef>
              <c:f>Sheet1!$K$70</c:f>
              <c:strCache>
                <c:ptCount val="1"/>
                <c:pt idx="0">
                  <c:v>Doubtful Assets</c:v>
                </c:pt>
              </c:strCache>
            </c:strRef>
          </c:tx>
          <c:invertIfNegative val="0"/>
          <c:cat>
            <c:strRef>
              <c:f>Sheet1!$J$71:$J$75</c:f>
              <c:strCache>
                <c:ptCount val="5"/>
                <c:pt idx="0">
                  <c:v>2018-2019</c:v>
                </c:pt>
                <c:pt idx="1">
                  <c:v>2019-2020</c:v>
                </c:pt>
                <c:pt idx="2">
                  <c:v>2020-2021</c:v>
                </c:pt>
                <c:pt idx="3">
                  <c:v>2021-2022</c:v>
                </c:pt>
                <c:pt idx="4">
                  <c:v>2022-2023</c:v>
                </c:pt>
              </c:strCache>
            </c:strRef>
          </c:cat>
          <c:val>
            <c:numRef>
              <c:f>Sheet1!$K$71:$K$75</c:f>
              <c:numCache>
                <c:formatCode>General</c:formatCode>
                <c:ptCount val="5"/>
                <c:pt idx="0">
                  <c:v>72670</c:v>
                </c:pt>
                <c:pt idx="1">
                  <c:v>55209</c:v>
                </c:pt>
                <c:pt idx="2">
                  <c:v>37304</c:v>
                </c:pt>
                <c:pt idx="3">
                  <c:v>36670</c:v>
                </c:pt>
                <c:pt idx="4">
                  <c:v>34868</c:v>
                </c:pt>
              </c:numCache>
            </c:numRef>
          </c:val>
          <c:extLst>
            <c:ext xmlns:c16="http://schemas.microsoft.com/office/drawing/2014/chart" uri="{C3380CC4-5D6E-409C-BE32-E72D297353CC}">
              <c16:uniqueId val="{00000000-47F4-49FE-8E83-8364A646D147}"/>
            </c:ext>
          </c:extLst>
        </c:ser>
        <c:ser>
          <c:idx val="1"/>
          <c:order val="1"/>
          <c:tx>
            <c:strRef>
              <c:f>Sheet1!$L$70</c:f>
              <c:strCache>
                <c:ptCount val="1"/>
                <c:pt idx="0">
                  <c:v>Gross NPA’s</c:v>
                </c:pt>
              </c:strCache>
            </c:strRef>
          </c:tx>
          <c:invertIfNegative val="0"/>
          <c:cat>
            <c:strRef>
              <c:f>Sheet1!$J$71:$J$75</c:f>
              <c:strCache>
                <c:ptCount val="5"/>
                <c:pt idx="0">
                  <c:v>2018-2019</c:v>
                </c:pt>
                <c:pt idx="1">
                  <c:v>2019-2020</c:v>
                </c:pt>
                <c:pt idx="2">
                  <c:v>2020-2021</c:v>
                </c:pt>
                <c:pt idx="3">
                  <c:v>2021-2022</c:v>
                </c:pt>
                <c:pt idx="4">
                  <c:v>2022-2023</c:v>
                </c:pt>
              </c:strCache>
            </c:strRef>
          </c:cat>
          <c:val>
            <c:numRef>
              <c:f>Sheet1!$L$71:$L$75</c:f>
              <c:numCache>
                <c:formatCode>General</c:formatCode>
                <c:ptCount val="5"/>
                <c:pt idx="0">
                  <c:v>39224.119999999995</c:v>
                </c:pt>
                <c:pt idx="1">
                  <c:v>37041.15</c:v>
                </c:pt>
                <c:pt idx="2">
                  <c:v>9467</c:v>
                </c:pt>
                <c:pt idx="3">
                  <c:v>9879</c:v>
                </c:pt>
                <c:pt idx="4">
                  <c:v>7309</c:v>
                </c:pt>
              </c:numCache>
            </c:numRef>
          </c:val>
          <c:extLst>
            <c:ext xmlns:c16="http://schemas.microsoft.com/office/drawing/2014/chart" uri="{C3380CC4-5D6E-409C-BE32-E72D297353CC}">
              <c16:uniqueId val="{00000001-47F4-49FE-8E83-8364A646D147}"/>
            </c:ext>
          </c:extLst>
        </c:ser>
        <c:dLbls>
          <c:showLegendKey val="0"/>
          <c:showVal val="0"/>
          <c:showCatName val="0"/>
          <c:showSerName val="0"/>
          <c:showPercent val="0"/>
          <c:showBubbleSize val="0"/>
        </c:dLbls>
        <c:gapWidth val="75"/>
        <c:overlap val="-25"/>
        <c:axId val="173583360"/>
        <c:axId val="345991424"/>
      </c:barChart>
      <c:catAx>
        <c:axId val="173583360"/>
        <c:scaling>
          <c:orientation val="minMax"/>
        </c:scaling>
        <c:delete val="0"/>
        <c:axPos val="b"/>
        <c:numFmt formatCode="General" sourceLinked="0"/>
        <c:majorTickMark val="none"/>
        <c:minorTickMark val="none"/>
        <c:tickLblPos val="nextTo"/>
        <c:crossAx val="345991424"/>
        <c:crosses val="autoZero"/>
        <c:auto val="1"/>
        <c:lblAlgn val="ctr"/>
        <c:lblOffset val="100"/>
        <c:noMultiLvlLbl val="0"/>
      </c:catAx>
      <c:valAx>
        <c:axId val="345991424"/>
        <c:scaling>
          <c:orientation val="minMax"/>
        </c:scaling>
        <c:delete val="0"/>
        <c:axPos val="l"/>
        <c:majorGridlines/>
        <c:numFmt formatCode="General" sourceLinked="1"/>
        <c:majorTickMark val="none"/>
        <c:minorTickMark val="none"/>
        <c:tickLblPos val="nextTo"/>
        <c:spPr>
          <a:ln w="9525">
            <a:noFill/>
          </a:ln>
        </c:spPr>
        <c:crossAx val="173583360"/>
        <c:crosses val="autoZero"/>
        <c:crossBetween val="between"/>
      </c:valAx>
    </c:plotArea>
    <c:legend>
      <c:legendPos val="b"/>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Loss</a:t>
            </a:r>
            <a:r>
              <a:rPr lang="en-US" baseline="0"/>
              <a:t> Assets Ratio</a:t>
            </a:r>
            <a:endParaRPr lang="en-US"/>
          </a:p>
        </c:rich>
      </c:tx>
      <c:overlay val="0"/>
    </c:title>
    <c:autoTitleDeleted val="0"/>
    <c:plotArea>
      <c:layout/>
      <c:barChart>
        <c:barDir val="col"/>
        <c:grouping val="clustered"/>
        <c:varyColors val="0"/>
        <c:ser>
          <c:idx val="0"/>
          <c:order val="0"/>
          <c:tx>
            <c:strRef>
              <c:f>Sheet1!$K$138</c:f>
              <c:strCache>
                <c:ptCount val="1"/>
                <c:pt idx="0">
                  <c:v>Loss Assets</c:v>
                </c:pt>
              </c:strCache>
            </c:strRef>
          </c:tx>
          <c:invertIfNegative val="0"/>
          <c:cat>
            <c:strRef>
              <c:f>Sheet1!$J$139:$J$143</c:f>
              <c:strCache>
                <c:ptCount val="5"/>
                <c:pt idx="0">
                  <c:v>2018-2019</c:v>
                </c:pt>
                <c:pt idx="1">
                  <c:v>2019-2020</c:v>
                </c:pt>
                <c:pt idx="2">
                  <c:v>2020-2021</c:v>
                </c:pt>
                <c:pt idx="3">
                  <c:v>2021-2022</c:v>
                </c:pt>
                <c:pt idx="4">
                  <c:v>2022-2023</c:v>
                </c:pt>
              </c:strCache>
            </c:strRef>
          </c:cat>
          <c:val>
            <c:numRef>
              <c:f>Sheet1!$K$139:$K$143</c:f>
              <c:numCache>
                <c:formatCode>General</c:formatCode>
                <c:ptCount val="5"/>
                <c:pt idx="0">
                  <c:v>16111</c:v>
                </c:pt>
                <c:pt idx="1">
                  <c:v>4543</c:v>
                </c:pt>
                <c:pt idx="2">
                  <c:v>8476</c:v>
                </c:pt>
                <c:pt idx="3">
                  <c:v>9396</c:v>
                </c:pt>
                <c:pt idx="4">
                  <c:v>11654</c:v>
                </c:pt>
              </c:numCache>
            </c:numRef>
          </c:val>
          <c:extLst>
            <c:ext xmlns:c16="http://schemas.microsoft.com/office/drawing/2014/chart" uri="{C3380CC4-5D6E-409C-BE32-E72D297353CC}">
              <c16:uniqueId val="{00000000-2EE9-4B95-8154-A5527CC1A06B}"/>
            </c:ext>
          </c:extLst>
        </c:ser>
        <c:ser>
          <c:idx val="1"/>
          <c:order val="1"/>
          <c:tx>
            <c:strRef>
              <c:f>Sheet1!$L$138</c:f>
              <c:strCache>
                <c:ptCount val="1"/>
                <c:pt idx="0">
                  <c:v>Gross NPA’s</c:v>
                </c:pt>
              </c:strCache>
            </c:strRef>
          </c:tx>
          <c:invertIfNegative val="0"/>
          <c:cat>
            <c:strRef>
              <c:f>Sheet1!$J$139:$J$143</c:f>
              <c:strCache>
                <c:ptCount val="5"/>
                <c:pt idx="0">
                  <c:v>2018-2019</c:v>
                </c:pt>
                <c:pt idx="1">
                  <c:v>2019-2020</c:v>
                </c:pt>
                <c:pt idx="2">
                  <c:v>2020-2021</c:v>
                </c:pt>
                <c:pt idx="3">
                  <c:v>2021-2022</c:v>
                </c:pt>
                <c:pt idx="4">
                  <c:v>2022-2023</c:v>
                </c:pt>
              </c:strCache>
            </c:strRef>
          </c:cat>
          <c:val>
            <c:numRef>
              <c:f>Sheet1!$L$139:$L$143</c:f>
              <c:numCache>
                <c:formatCode>General</c:formatCode>
                <c:ptCount val="5"/>
                <c:pt idx="0">
                  <c:v>39224.119999999995</c:v>
                </c:pt>
                <c:pt idx="1">
                  <c:v>37041.15</c:v>
                </c:pt>
                <c:pt idx="2">
                  <c:v>9667</c:v>
                </c:pt>
                <c:pt idx="3">
                  <c:v>9879</c:v>
                </c:pt>
                <c:pt idx="4">
                  <c:v>7399</c:v>
                </c:pt>
              </c:numCache>
            </c:numRef>
          </c:val>
          <c:extLst>
            <c:ext xmlns:c16="http://schemas.microsoft.com/office/drawing/2014/chart" uri="{C3380CC4-5D6E-409C-BE32-E72D297353CC}">
              <c16:uniqueId val="{00000001-2EE9-4B95-8154-A5527CC1A06B}"/>
            </c:ext>
          </c:extLst>
        </c:ser>
        <c:dLbls>
          <c:showLegendKey val="0"/>
          <c:showVal val="0"/>
          <c:showCatName val="0"/>
          <c:showSerName val="0"/>
          <c:showPercent val="0"/>
          <c:showBubbleSize val="0"/>
        </c:dLbls>
        <c:gapWidth val="75"/>
        <c:overlap val="-25"/>
        <c:axId val="173652992"/>
        <c:axId val="346012992"/>
      </c:barChart>
      <c:catAx>
        <c:axId val="173652992"/>
        <c:scaling>
          <c:orientation val="minMax"/>
        </c:scaling>
        <c:delete val="0"/>
        <c:axPos val="b"/>
        <c:numFmt formatCode="General" sourceLinked="0"/>
        <c:majorTickMark val="none"/>
        <c:minorTickMark val="none"/>
        <c:tickLblPos val="nextTo"/>
        <c:crossAx val="346012992"/>
        <c:crosses val="autoZero"/>
        <c:auto val="1"/>
        <c:lblAlgn val="ctr"/>
        <c:lblOffset val="100"/>
        <c:noMultiLvlLbl val="0"/>
      </c:catAx>
      <c:valAx>
        <c:axId val="346012992"/>
        <c:scaling>
          <c:orientation val="minMax"/>
        </c:scaling>
        <c:delete val="0"/>
        <c:axPos val="l"/>
        <c:majorGridlines/>
        <c:numFmt formatCode="General" sourceLinked="1"/>
        <c:majorTickMark val="none"/>
        <c:minorTickMark val="none"/>
        <c:tickLblPos val="nextTo"/>
        <c:spPr>
          <a:ln w="9525">
            <a:noFill/>
          </a:ln>
        </c:spPr>
        <c:crossAx val="173652992"/>
        <c:crosses val="autoZero"/>
        <c:crossBetween val="between"/>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2522</Words>
  <Characters>14380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NADHA BABITHA BINDU KOTIKALAPUDI</dc:creator>
  <cp:keywords/>
  <dc:description/>
  <cp:lastModifiedBy>NADHA BABITHA BINDU KOTIKALAPUDI</cp:lastModifiedBy>
  <cp:revision>2</cp:revision>
  <dcterms:created xsi:type="dcterms:W3CDTF">2024-07-08T14:42:00Z</dcterms:created>
  <dcterms:modified xsi:type="dcterms:W3CDTF">2024-07-08T14:42:00Z</dcterms:modified>
</cp:coreProperties>
</file>