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3D96A" w14:textId="0E97EF48" w:rsidR="006D5D7E" w:rsidRPr="006D5D7E" w:rsidRDefault="006D5D7E" w:rsidP="006D5D7E">
      <w:pPr>
        <w:jc w:val="center"/>
        <w:rPr>
          <w:rFonts w:ascii="Times New Roman" w:hAnsi="Times New Roman" w:cs="Times New Roman"/>
          <w:b/>
          <w:bCs/>
          <w:sz w:val="32"/>
          <w:szCs w:val="32"/>
        </w:rPr>
      </w:pPr>
      <w:r w:rsidRPr="006D5D7E">
        <w:rPr>
          <w:rFonts w:ascii="Times New Roman" w:hAnsi="Times New Roman" w:cs="Times New Roman"/>
          <w:b/>
          <w:bCs/>
          <w:sz w:val="32"/>
          <w:szCs w:val="32"/>
        </w:rPr>
        <w:t xml:space="preserve">Performance </w:t>
      </w:r>
      <w:r w:rsidR="00C9022F" w:rsidRPr="006D5D7E">
        <w:rPr>
          <w:rFonts w:ascii="Times New Roman" w:hAnsi="Times New Roman" w:cs="Times New Roman"/>
          <w:b/>
          <w:bCs/>
          <w:sz w:val="32"/>
          <w:szCs w:val="32"/>
        </w:rPr>
        <w:t>Analysis of Selected Mutual Funds with Respect to Growt</w:t>
      </w:r>
      <w:r w:rsidR="00C9022F">
        <w:rPr>
          <w:rFonts w:ascii="Times New Roman" w:hAnsi="Times New Roman" w:cs="Times New Roman"/>
          <w:b/>
          <w:bCs/>
          <w:sz w:val="32"/>
          <w:szCs w:val="32"/>
        </w:rPr>
        <w:t xml:space="preserve">h </w:t>
      </w:r>
      <w:r w:rsidR="00C9022F" w:rsidRPr="006D5D7E">
        <w:rPr>
          <w:rFonts w:ascii="Times New Roman" w:hAnsi="Times New Roman" w:cs="Times New Roman"/>
          <w:b/>
          <w:bCs/>
          <w:sz w:val="32"/>
          <w:szCs w:val="32"/>
        </w:rPr>
        <w:t>and Dividend Options.</w:t>
      </w:r>
    </w:p>
    <w:p w14:paraId="167C46F6" w14:textId="2014A16B" w:rsidR="00DB6C07" w:rsidRPr="00BF4CDE" w:rsidRDefault="00DB6C07" w:rsidP="009C08EE">
      <w:pPr>
        <w:suppressAutoHyphens w:val="0"/>
        <w:spacing w:before="100" w:beforeAutospacing="1" w:after="0" w:line="360" w:lineRule="auto"/>
        <w:rPr>
          <w:rFonts w:ascii="Times New Roman" w:eastAsia="Times New Roman" w:hAnsi="Times New Roman" w:cs="Times New Roman"/>
          <w:b/>
          <w:bCs/>
          <w:i/>
          <w:iCs/>
          <w:sz w:val="28"/>
          <w:szCs w:val="28"/>
        </w:rPr>
      </w:pPr>
      <w:proofErr w:type="spellStart"/>
      <w:r>
        <w:rPr>
          <w:rFonts w:ascii="Times New Roman" w:eastAsia="Times New Roman" w:hAnsi="Times New Roman" w:cs="Times New Roman"/>
          <w:b/>
          <w:bCs/>
          <w:i/>
          <w:iCs/>
          <w:sz w:val="28"/>
          <w:szCs w:val="28"/>
        </w:rPr>
        <w:t>M.Vinod</w:t>
      </w:r>
      <w:proofErr w:type="spellEnd"/>
      <w:r w:rsidR="00BF4CDE">
        <w:rPr>
          <w:rFonts w:ascii="Times New Roman" w:eastAsia="Times New Roman" w:hAnsi="Times New Roman" w:cs="Times New Roman"/>
          <w:b/>
          <w:bCs/>
          <w:i/>
          <w:iCs/>
          <w:sz w:val="28"/>
          <w:szCs w:val="28"/>
          <w:vertAlign w:val="superscript"/>
        </w:rPr>
        <w:t>*</w:t>
      </w:r>
      <w:r w:rsidR="00BF4CDE">
        <w:rPr>
          <w:rFonts w:ascii="Times New Roman" w:eastAsia="Times New Roman" w:hAnsi="Times New Roman" w:cs="Times New Roman"/>
          <w:b/>
          <w:bCs/>
          <w:i/>
          <w:iCs/>
          <w:sz w:val="28"/>
          <w:szCs w:val="28"/>
        </w:rPr>
        <w:t xml:space="preserve">, </w:t>
      </w:r>
      <w:r w:rsidR="00BF4CDE" w:rsidRPr="007A5625">
        <w:rPr>
          <w:rFonts w:ascii="Times New Roman" w:eastAsia="Times New Roman" w:hAnsi="Times New Roman" w:cs="Times New Roman"/>
          <w:b/>
          <w:bCs/>
          <w:i/>
          <w:iCs/>
          <w:sz w:val="24"/>
          <w:szCs w:val="24"/>
        </w:rPr>
        <w:t>Assistant Professor</w:t>
      </w:r>
      <w:r w:rsidR="00BF4CDE" w:rsidRPr="007A5625">
        <w:rPr>
          <w:rFonts w:ascii="Times New Roman" w:eastAsia="Times New Roman" w:hAnsi="Times New Roman" w:cs="Times New Roman"/>
          <w:b/>
          <w:bCs/>
          <w:i/>
          <w:iCs/>
          <w:sz w:val="28"/>
          <w:szCs w:val="28"/>
        </w:rPr>
        <w:t xml:space="preserve">     </w:t>
      </w:r>
      <w:r w:rsidR="00BF4CDE">
        <w:rPr>
          <w:rFonts w:ascii="Times New Roman" w:eastAsia="Times New Roman" w:hAnsi="Times New Roman" w:cs="Times New Roman"/>
          <w:b/>
          <w:bCs/>
          <w:i/>
          <w:iCs/>
          <w:sz w:val="28"/>
          <w:szCs w:val="28"/>
        </w:rPr>
        <w:t>B. Kavya</w:t>
      </w:r>
      <w:r w:rsidR="00BF4CDE">
        <w:rPr>
          <w:rFonts w:ascii="Times New Roman" w:eastAsia="Times New Roman" w:hAnsi="Times New Roman" w:cs="Times New Roman"/>
          <w:b/>
          <w:bCs/>
          <w:i/>
          <w:iCs/>
          <w:sz w:val="28"/>
          <w:szCs w:val="28"/>
          <w:vertAlign w:val="superscript"/>
        </w:rPr>
        <w:t>**</w:t>
      </w:r>
    </w:p>
    <w:p w14:paraId="5E4BF26B" w14:textId="32B1BDEF" w:rsidR="00DB6C07" w:rsidRDefault="00BF4CDE" w:rsidP="009C08EE">
      <w:pPr>
        <w:suppressAutoHyphens w:val="0"/>
        <w:spacing w:before="100" w:beforeAutospacing="1" w:after="0" w:line="360" w:lineRule="auto"/>
        <w:rPr>
          <w:rFonts w:ascii="Times New Roman" w:eastAsia="Times New Roman" w:hAnsi="Times New Roman" w:cs="Times New Roman"/>
          <w:b/>
          <w:bCs/>
          <w:i/>
          <w:iCs/>
          <w:sz w:val="28"/>
          <w:szCs w:val="28"/>
        </w:rPr>
      </w:pPr>
      <w:r>
        <w:rPr>
          <w:rFonts w:ascii="Times New Roman" w:eastAsia="Times New Roman" w:hAnsi="Times New Roman" w:cs="Times New Roman"/>
          <w:b/>
          <w:bCs/>
          <w:i/>
          <w:iCs/>
          <w:sz w:val="24"/>
          <w:szCs w:val="24"/>
        </w:rPr>
        <w:t>*</w:t>
      </w:r>
      <w:r w:rsidR="00DB6C07" w:rsidRPr="00DB6C07">
        <w:rPr>
          <w:rFonts w:ascii="Times New Roman" w:eastAsia="Times New Roman" w:hAnsi="Times New Roman" w:cs="Times New Roman"/>
          <w:b/>
          <w:bCs/>
          <w:i/>
          <w:iCs/>
          <w:sz w:val="24"/>
          <w:szCs w:val="24"/>
        </w:rPr>
        <w:t>Department of Business and Management Studies, SR Gudlavalleru Engineering College</w:t>
      </w:r>
      <w:r w:rsidR="00DB6C07" w:rsidRPr="00DB6C07">
        <w:rPr>
          <w:rFonts w:ascii="Times New Roman" w:eastAsia="Times New Roman" w:hAnsi="Times New Roman" w:cs="Times New Roman"/>
          <w:b/>
          <w:bCs/>
          <w:i/>
          <w:iCs/>
          <w:sz w:val="28"/>
          <w:szCs w:val="28"/>
        </w:rPr>
        <w:t>.</w:t>
      </w:r>
    </w:p>
    <w:p w14:paraId="48E70A83" w14:textId="2675F672" w:rsidR="004A4676" w:rsidRPr="009974FD" w:rsidRDefault="006D5D7E" w:rsidP="009C08EE">
      <w:pPr>
        <w:suppressAutoHyphens w:val="0"/>
        <w:spacing w:before="100" w:beforeAutospacing="1" w:after="0" w:line="360" w:lineRule="auto"/>
        <w:rPr>
          <w:rFonts w:ascii="Times New Roman" w:eastAsia="Times New Roman" w:hAnsi="Times New Roman" w:cs="Times New Roman"/>
          <w:i/>
          <w:iCs/>
          <w:sz w:val="28"/>
          <w:szCs w:val="28"/>
        </w:rPr>
      </w:pPr>
      <w:r w:rsidRPr="009974FD">
        <w:rPr>
          <w:rFonts w:ascii="Times New Roman" w:eastAsia="Times New Roman" w:hAnsi="Times New Roman" w:cs="Times New Roman"/>
          <w:b/>
          <w:bCs/>
          <w:i/>
          <w:iCs/>
          <w:sz w:val="28"/>
          <w:szCs w:val="28"/>
        </w:rPr>
        <w:t>Abstract:</w:t>
      </w:r>
    </w:p>
    <w:p w14:paraId="57560BCF" w14:textId="2B5A792A" w:rsidR="006D5D7E" w:rsidRPr="00CF41C1" w:rsidRDefault="006D5D7E" w:rsidP="006414AA">
      <w:pPr>
        <w:suppressAutoHyphens w:val="0"/>
        <w:spacing w:before="100" w:beforeAutospacing="1" w:after="0" w:line="360" w:lineRule="auto"/>
        <w:jc w:val="both"/>
        <w:rPr>
          <w:rFonts w:ascii="Times New Roman" w:eastAsia="Times New Roman" w:hAnsi="Times New Roman" w:cs="Times New Roman"/>
          <w:sz w:val="28"/>
          <w:szCs w:val="28"/>
        </w:rPr>
      </w:pPr>
      <w:r w:rsidRPr="00CF41C1">
        <w:rPr>
          <w:rFonts w:ascii="Times New Roman" w:hAnsi="Times New Roman" w:cs="Times New Roman"/>
          <w:sz w:val="24"/>
          <w:szCs w:val="24"/>
        </w:rPr>
        <w:t>This study investigates the performance dynamics of selected mutual funds categorized into growth and dividend options. The analysis aims to provide insights into how these funds perform relative to each other across various metrics including total return, capital growth, dividend yield, risk profiles, expense ratios, and tax implications. By comparing historical data and using financial metrics such as Standard deviation, Sharpe ratio and Treynor’s ratio., the study assesses the effectiveness of each option in different market conditions and over various time frames. Factors such as fund manager tenure, investment strategy consistency, and sector diversification are also considered to understand the underlying drivers of performance. The findings contribute to a comprehensive understanding of the trade-offs between growth and dividend-focused mutual funds, assisting investors in making informed decisions aligned with their financial objectives and risk preferences.</w:t>
      </w:r>
    </w:p>
    <w:p w14:paraId="79BEBB54" w14:textId="77777777" w:rsidR="006D5D7E" w:rsidRDefault="006D5D7E" w:rsidP="006D5D7E">
      <w:pPr>
        <w:suppressAutoHyphens w:val="0"/>
        <w:spacing w:before="100" w:beforeAutospacing="1" w:after="100" w:afterAutospacing="1" w:line="360" w:lineRule="auto"/>
        <w:jc w:val="both"/>
        <w:rPr>
          <w:rFonts w:ascii="Times New Roman" w:eastAsia="Times New Roman" w:hAnsi="Times New Roman" w:cs="Times New Roman"/>
          <w:i/>
          <w:iCs/>
          <w:sz w:val="24"/>
          <w:szCs w:val="24"/>
        </w:rPr>
      </w:pPr>
      <w:r w:rsidRPr="006D5D7E">
        <w:rPr>
          <w:rFonts w:ascii="Times New Roman" w:eastAsia="Times New Roman" w:hAnsi="Times New Roman" w:cs="Times New Roman"/>
          <w:b/>
          <w:bCs/>
          <w:sz w:val="28"/>
          <w:szCs w:val="28"/>
        </w:rPr>
        <w:t>Introduction</w:t>
      </w:r>
      <w:r>
        <w:rPr>
          <w:rFonts w:ascii="Times New Roman" w:eastAsia="Times New Roman" w:hAnsi="Times New Roman" w:cs="Times New Roman"/>
          <w:b/>
          <w:bCs/>
          <w:sz w:val="28"/>
          <w:szCs w:val="28"/>
        </w:rPr>
        <w:t>:</w:t>
      </w:r>
    </w:p>
    <w:p w14:paraId="4D8C6329" w14:textId="00C54E30" w:rsidR="006D5D7E" w:rsidRPr="006D5D7E" w:rsidRDefault="006D5D7E" w:rsidP="006D5D7E">
      <w:pPr>
        <w:suppressAutoHyphens w:val="0"/>
        <w:spacing w:before="100" w:beforeAutospacing="1" w:after="100" w:afterAutospacing="1" w:line="360" w:lineRule="auto"/>
        <w:jc w:val="both"/>
        <w:rPr>
          <w:rFonts w:ascii="Times New Roman" w:eastAsia="Times New Roman" w:hAnsi="Times New Roman" w:cs="Times New Roman"/>
          <w:i/>
          <w:iCs/>
          <w:sz w:val="24"/>
          <w:szCs w:val="24"/>
        </w:rPr>
      </w:pPr>
      <w:r>
        <w:rPr>
          <w:rFonts w:ascii="Times New Roman" w:eastAsia="Times New Roman" w:hAnsi="Times New Roman" w:cs="Times New Roman"/>
          <w:sz w:val="24"/>
          <w:szCs w:val="24"/>
        </w:rPr>
        <w:t>A mutual fund acts as a vehicle to mobilize money from people to different markets in the form of investments. While investing in mutual funds the common investment objectives are agreed between investors and mutual fund companies. Equities, bonds, and other securities can be accessed through mutual funds. Even small and individual investors gain access to professionally managed portfolios of invested equities, bonds etc. Mutual funds act as a platform to invest in various securities and the performance of funds are tracked because the total market cap of the fund is changing. Mutual funds are managed by professionals who possess expertise in analysing financial performance and they are known as fund managers. The fund manager’s role is to collect funds from investors to invest in various financial assets. which are stocks, securities, and bonds. This portfolio is built in alignment with the investment</w:t>
      </w:r>
      <w:r w:rsidR="003E644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objective. Besides, they also decide when to invest, these aspects are also taken care by fund managers. AMC’s pay fund managers for their efforts by collecting fee from investors in the name of expense ratio. Where the fee collected is not a fixed, they vary for various mutual </w:t>
      </w:r>
      <w:r>
        <w:rPr>
          <w:rFonts w:ascii="Times New Roman" w:eastAsia="Times New Roman" w:hAnsi="Times New Roman" w:cs="Times New Roman"/>
          <w:sz w:val="24"/>
          <w:szCs w:val="24"/>
        </w:rPr>
        <w:lastRenderedPageBreak/>
        <w:t>fund. Based on total assets of the fund the monitory authority SEBI defines the maximum limit of the expense ratio that can be charged.</w:t>
      </w:r>
    </w:p>
    <w:p w14:paraId="50C72BDF" w14:textId="77777777" w:rsidR="003E644B" w:rsidRDefault="003E644B" w:rsidP="003E64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Mutual funds offer two broad types of options – Growth and Dividend. There are several misconceptions about these options among lay investors.</w:t>
      </w:r>
    </w:p>
    <w:p w14:paraId="03EAF158" w14:textId="77777777" w:rsidR="003E644B" w:rsidRDefault="003E644B" w:rsidP="003E644B">
      <w:pPr>
        <w:spacing w:line="360" w:lineRule="auto"/>
        <w:jc w:val="both"/>
        <w:rPr>
          <w:rFonts w:ascii="Times New Roman" w:eastAsia="Times New Roman" w:hAnsi="Times New Roman" w:cs="Times New Roman"/>
          <w:sz w:val="24"/>
          <w:szCs w:val="24"/>
        </w:rPr>
      </w:pPr>
      <w:r w:rsidRPr="004A4676">
        <w:rPr>
          <w:rFonts w:ascii="Times New Roman" w:eastAsia="Times New Roman" w:hAnsi="Times New Roman" w:cs="Times New Roman"/>
          <w:b/>
          <w:bCs/>
          <w:sz w:val="24"/>
          <w:szCs w:val="24"/>
        </w:rPr>
        <w:t xml:space="preserve"> GROWTH OPTION:</w:t>
      </w:r>
      <w:r>
        <w:rPr>
          <w:rFonts w:ascii="Times New Roman" w:eastAsia="Times New Roman" w:hAnsi="Times New Roman" w:cs="Times New Roman"/>
          <w:sz w:val="24"/>
          <w:szCs w:val="24"/>
        </w:rPr>
        <w:t xml:space="preserve"> In growth option profits made by the scheme are re-invested in the scheme instead of being paid out to investors. since profits are re-invested in the scheme, you may earn profits on profit and there by benefit from compounding.</w:t>
      </w:r>
    </w:p>
    <w:p w14:paraId="67395C96" w14:textId="77777777" w:rsidR="003E644B" w:rsidRDefault="003E644B" w:rsidP="003E64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DIVIDEND OPTION:</w:t>
      </w:r>
      <w:r>
        <w:rPr>
          <w:rFonts w:ascii="Times New Roman" w:eastAsia="Times New Roman" w:hAnsi="Times New Roman" w:cs="Times New Roman"/>
          <w:sz w:val="24"/>
          <w:szCs w:val="24"/>
        </w:rPr>
        <w:t xml:space="preserve"> In dividend option, profits made by the mutual fund scheme are paid out to investors at certain intervals. The most common dividend pay-out interval is annual. However, some schemes also offer other pay-out intervals e.g. daily, monthly, quarterly etc. some scheme may offer multiple pay-out options.</w:t>
      </w:r>
    </w:p>
    <w:p w14:paraId="421C635B" w14:textId="77777777" w:rsidR="003E644B" w:rsidRPr="006414AA" w:rsidRDefault="003E644B" w:rsidP="006414AA">
      <w:pPr>
        <w:jc w:val="center"/>
        <w:rPr>
          <w:rFonts w:ascii="Times New Roman" w:eastAsia="Times New Roman" w:hAnsi="Times New Roman" w:cs="Times New Roman"/>
          <w:b/>
          <w:sz w:val="28"/>
          <w:szCs w:val="28"/>
        </w:rPr>
      </w:pPr>
      <w:r w:rsidRPr="006414AA">
        <w:rPr>
          <w:rFonts w:ascii="Times New Roman" w:eastAsia="Times New Roman" w:hAnsi="Times New Roman" w:cs="Times New Roman"/>
          <w:b/>
          <w:sz w:val="28"/>
          <w:szCs w:val="28"/>
        </w:rPr>
        <w:t>DIFFERENCES BETWEEN GROWTH AND DIVIDEND OPTION:</w:t>
      </w:r>
    </w:p>
    <w:tbl>
      <w:tblPr>
        <w:tblW w:w="9209" w:type="dxa"/>
        <w:tblLayout w:type="fixed"/>
        <w:tblLook w:val="0400" w:firstRow="0" w:lastRow="0" w:firstColumn="0" w:lastColumn="0" w:noHBand="0" w:noVBand="1"/>
      </w:tblPr>
      <w:tblGrid>
        <w:gridCol w:w="2547"/>
        <w:gridCol w:w="3325"/>
        <w:gridCol w:w="3337"/>
      </w:tblGrid>
      <w:tr w:rsidR="003E644B" w14:paraId="468ABA72" w14:textId="77777777" w:rsidTr="00197235">
        <w:trPr>
          <w:trHeight w:val="321"/>
        </w:trPr>
        <w:tc>
          <w:tcPr>
            <w:tcW w:w="2547" w:type="dxa"/>
            <w:tcBorders>
              <w:top w:val="single" w:sz="4" w:space="0" w:color="000000"/>
              <w:left w:val="single" w:sz="4" w:space="0" w:color="000000"/>
              <w:bottom w:val="single" w:sz="4" w:space="0" w:color="000000"/>
              <w:right w:val="single" w:sz="4" w:space="0" w:color="000000"/>
            </w:tcBorders>
          </w:tcPr>
          <w:p w14:paraId="561C7818" w14:textId="77777777" w:rsidR="003E644B" w:rsidRDefault="003E644B" w:rsidP="00197235">
            <w:pPr>
              <w:widowControl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DIFFERENCES</w:t>
            </w:r>
          </w:p>
        </w:tc>
        <w:tc>
          <w:tcPr>
            <w:tcW w:w="3325" w:type="dxa"/>
            <w:tcBorders>
              <w:top w:val="single" w:sz="4" w:space="0" w:color="000000"/>
              <w:left w:val="single" w:sz="4" w:space="0" w:color="000000"/>
              <w:bottom w:val="single" w:sz="4" w:space="0" w:color="000000"/>
              <w:right w:val="single" w:sz="4" w:space="0" w:color="000000"/>
            </w:tcBorders>
          </w:tcPr>
          <w:p w14:paraId="1D3808FD" w14:textId="77777777" w:rsidR="003E644B" w:rsidRDefault="003E644B" w:rsidP="00197235">
            <w:pPr>
              <w:widowControl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GROWTH OPTION</w:t>
            </w:r>
          </w:p>
        </w:tc>
        <w:tc>
          <w:tcPr>
            <w:tcW w:w="3337" w:type="dxa"/>
            <w:tcBorders>
              <w:top w:val="single" w:sz="4" w:space="0" w:color="000000"/>
              <w:left w:val="single" w:sz="4" w:space="0" w:color="000000"/>
              <w:bottom w:val="single" w:sz="4" w:space="0" w:color="000000"/>
              <w:right w:val="single" w:sz="4" w:space="0" w:color="000000"/>
            </w:tcBorders>
          </w:tcPr>
          <w:p w14:paraId="09BD8457" w14:textId="77777777" w:rsidR="003E644B" w:rsidRDefault="003E644B" w:rsidP="00197235">
            <w:pPr>
              <w:widowControl w:val="0"/>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DVIDEND OPTION</w:t>
            </w:r>
          </w:p>
        </w:tc>
      </w:tr>
      <w:tr w:rsidR="003E644B" w14:paraId="0290A080" w14:textId="77777777" w:rsidTr="00197235">
        <w:trPr>
          <w:trHeight w:val="978"/>
        </w:trPr>
        <w:tc>
          <w:tcPr>
            <w:tcW w:w="2547" w:type="dxa"/>
            <w:tcBorders>
              <w:top w:val="single" w:sz="4" w:space="0" w:color="000000"/>
              <w:left w:val="single" w:sz="4" w:space="0" w:color="000000"/>
              <w:bottom w:val="single" w:sz="4" w:space="0" w:color="000000"/>
              <w:right w:val="single" w:sz="4" w:space="0" w:color="000000"/>
            </w:tcBorders>
          </w:tcPr>
          <w:p w14:paraId="531F9422" w14:textId="77777777" w:rsidR="003E644B" w:rsidRDefault="003E644B" w:rsidP="00197235">
            <w:pPr>
              <w:widowControl w:val="0"/>
              <w:spacing w:after="0" w:line="360" w:lineRule="auto"/>
              <w:rPr>
                <w:rFonts w:ascii="Times New Roman" w:eastAsia="Times New Roman" w:hAnsi="Times New Roman" w:cs="Times New Roman"/>
                <w:sz w:val="24"/>
                <w:szCs w:val="24"/>
              </w:rPr>
            </w:pPr>
          </w:p>
          <w:p w14:paraId="7D82CBB1" w14:textId="77777777" w:rsidR="003E644B" w:rsidRDefault="003E644B" w:rsidP="00197235">
            <w:pPr>
              <w:widowControl w:val="0"/>
              <w:spacing w:after="0" w:line="360" w:lineRule="auto"/>
              <w:rPr>
                <w:rFonts w:ascii="Times New Roman" w:eastAsia="Times New Roman" w:hAnsi="Times New Roman" w:cs="Times New Roman"/>
                <w:sz w:val="24"/>
                <w:szCs w:val="24"/>
              </w:rPr>
            </w:pPr>
          </w:p>
          <w:p w14:paraId="1DCD425C"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Net asset value (NAV)</w:t>
            </w:r>
          </w:p>
        </w:tc>
        <w:tc>
          <w:tcPr>
            <w:tcW w:w="3325" w:type="dxa"/>
            <w:tcBorders>
              <w:top w:val="single" w:sz="4" w:space="0" w:color="000000"/>
              <w:left w:val="single" w:sz="4" w:space="0" w:color="000000"/>
              <w:bottom w:val="single" w:sz="4" w:space="0" w:color="000000"/>
              <w:right w:val="single" w:sz="4" w:space="0" w:color="000000"/>
            </w:tcBorders>
          </w:tcPr>
          <w:p w14:paraId="66777D0A"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NAV of the growth will always be higher than the dividend option because the profits re-invested in the growth option may grow in value over time.</w:t>
            </w:r>
          </w:p>
        </w:tc>
        <w:tc>
          <w:tcPr>
            <w:tcW w:w="3337" w:type="dxa"/>
            <w:tcBorders>
              <w:top w:val="single" w:sz="4" w:space="0" w:color="000000"/>
              <w:left w:val="single" w:sz="4" w:space="0" w:color="000000"/>
              <w:bottom w:val="single" w:sz="4" w:space="0" w:color="000000"/>
              <w:right w:val="single" w:sz="4" w:space="0" w:color="000000"/>
            </w:tcBorders>
          </w:tcPr>
          <w:p w14:paraId="1104DCA0"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dividend paid to investors is adjusted from scheme NAV. Therefore, you will see a drop in NAV (ex-dividend NAV) of your schemes after you receive dividend.</w:t>
            </w:r>
          </w:p>
        </w:tc>
      </w:tr>
      <w:tr w:rsidR="003E644B" w14:paraId="3BAE5033" w14:textId="77777777" w:rsidTr="00197235">
        <w:trPr>
          <w:trHeight w:val="632"/>
        </w:trPr>
        <w:tc>
          <w:tcPr>
            <w:tcW w:w="2547" w:type="dxa"/>
            <w:tcBorders>
              <w:top w:val="single" w:sz="4" w:space="0" w:color="000000"/>
              <w:left w:val="single" w:sz="4" w:space="0" w:color="000000"/>
              <w:bottom w:val="single" w:sz="4" w:space="0" w:color="000000"/>
              <w:right w:val="single" w:sz="4" w:space="0" w:color="000000"/>
            </w:tcBorders>
          </w:tcPr>
          <w:p w14:paraId="0169EEB9"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Profits booked by fund manager</w:t>
            </w:r>
          </w:p>
        </w:tc>
        <w:tc>
          <w:tcPr>
            <w:tcW w:w="3325" w:type="dxa"/>
            <w:tcBorders>
              <w:top w:val="single" w:sz="4" w:space="0" w:color="000000"/>
              <w:left w:val="single" w:sz="4" w:space="0" w:color="000000"/>
              <w:bottom w:val="single" w:sz="4" w:space="0" w:color="000000"/>
              <w:right w:val="single" w:sz="4" w:space="0" w:color="000000"/>
            </w:tcBorders>
          </w:tcPr>
          <w:p w14:paraId="57F7E6BB"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Re-invested in the scheme.</w:t>
            </w:r>
          </w:p>
        </w:tc>
        <w:tc>
          <w:tcPr>
            <w:tcW w:w="3337" w:type="dxa"/>
            <w:tcBorders>
              <w:top w:val="single" w:sz="4" w:space="0" w:color="000000"/>
              <w:left w:val="single" w:sz="4" w:space="0" w:color="000000"/>
              <w:bottom w:val="single" w:sz="4" w:space="0" w:color="000000"/>
              <w:right w:val="single" w:sz="4" w:space="0" w:color="000000"/>
            </w:tcBorders>
          </w:tcPr>
          <w:p w14:paraId="5C5B7542"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Distributed to investors.</w:t>
            </w:r>
          </w:p>
        </w:tc>
      </w:tr>
      <w:tr w:rsidR="003E644B" w14:paraId="73883AC9" w14:textId="77777777" w:rsidTr="00197235">
        <w:tc>
          <w:tcPr>
            <w:tcW w:w="2547" w:type="dxa"/>
            <w:tcBorders>
              <w:top w:val="single" w:sz="4" w:space="0" w:color="000000"/>
              <w:left w:val="single" w:sz="4" w:space="0" w:color="000000"/>
              <w:bottom w:val="single" w:sz="4" w:space="0" w:color="000000"/>
              <w:right w:val="single" w:sz="4" w:space="0" w:color="000000"/>
            </w:tcBorders>
          </w:tcPr>
          <w:p w14:paraId="29478B99" w14:textId="77777777" w:rsidR="003E644B" w:rsidRDefault="003E644B" w:rsidP="00197235">
            <w:pPr>
              <w:widowControl w:val="0"/>
              <w:spacing w:after="0" w:line="360" w:lineRule="auto"/>
              <w:rPr>
                <w:rFonts w:ascii="Times New Roman" w:eastAsia="Times New Roman" w:hAnsi="Times New Roman" w:cs="Times New Roman"/>
                <w:sz w:val="24"/>
                <w:szCs w:val="24"/>
              </w:rPr>
            </w:pPr>
          </w:p>
          <w:p w14:paraId="38C3229B"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Total Returns </w:t>
            </w:r>
          </w:p>
        </w:tc>
        <w:tc>
          <w:tcPr>
            <w:tcW w:w="3325" w:type="dxa"/>
            <w:tcBorders>
              <w:top w:val="single" w:sz="4" w:space="0" w:color="000000"/>
              <w:left w:val="single" w:sz="4" w:space="0" w:color="000000"/>
              <w:bottom w:val="single" w:sz="4" w:space="0" w:color="000000"/>
              <w:right w:val="single" w:sz="4" w:space="0" w:color="000000"/>
            </w:tcBorders>
          </w:tcPr>
          <w:p w14:paraId="31136CBA"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returns will usually be higher compared to dividend option over sufficient long investment horizon.</w:t>
            </w:r>
          </w:p>
        </w:tc>
        <w:tc>
          <w:tcPr>
            <w:tcW w:w="3337" w:type="dxa"/>
            <w:tcBorders>
              <w:top w:val="single" w:sz="4" w:space="0" w:color="000000"/>
              <w:left w:val="single" w:sz="4" w:space="0" w:color="000000"/>
              <w:bottom w:val="single" w:sz="4" w:space="0" w:color="000000"/>
              <w:right w:val="single" w:sz="4" w:space="0" w:color="000000"/>
            </w:tcBorders>
          </w:tcPr>
          <w:p w14:paraId="513EDBEF"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Total returns will be lower compared to growth option in the long term due to periodic pay-outs.</w:t>
            </w:r>
          </w:p>
        </w:tc>
      </w:tr>
      <w:tr w:rsidR="003E644B" w14:paraId="79A86B2F" w14:textId="77777777" w:rsidTr="00197235">
        <w:tc>
          <w:tcPr>
            <w:tcW w:w="2547" w:type="dxa"/>
            <w:tcBorders>
              <w:top w:val="single" w:sz="4" w:space="0" w:color="000000"/>
              <w:left w:val="single" w:sz="4" w:space="0" w:color="000000"/>
              <w:bottom w:val="single" w:sz="4" w:space="0" w:color="000000"/>
              <w:right w:val="single" w:sz="4" w:space="0" w:color="000000"/>
            </w:tcBorders>
          </w:tcPr>
          <w:p w14:paraId="4C441E7D" w14:textId="77777777" w:rsidR="003E644B" w:rsidRDefault="003E644B" w:rsidP="00197235">
            <w:pPr>
              <w:widowControl w:val="0"/>
              <w:spacing w:after="0" w:line="360" w:lineRule="auto"/>
              <w:rPr>
                <w:rFonts w:ascii="Times New Roman" w:eastAsia="Times New Roman" w:hAnsi="Times New Roman" w:cs="Times New Roman"/>
                <w:sz w:val="24"/>
                <w:szCs w:val="24"/>
              </w:rPr>
            </w:pPr>
          </w:p>
          <w:p w14:paraId="6C5289C8"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Taxation </w:t>
            </w:r>
          </w:p>
        </w:tc>
        <w:tc>
          <w:tcPr>
            <w:tcW w:w="3325" w:type="dxa"/>
            <w:tcBorders>
              <w:top w:val="single" w:sz="4" w:space="0" w:color="000000"/>
              <w:left w:val="single" w:sz="4" w:space="0" w:color="000000"/>
              <w:bottom w:val="single" w:sz="4" w:space="0" w:color="000000"/>
              <w:right w:val="single" w:sz="4" w:space="0" w:color="000000"/>
            </w:tcBorders>
          </w:tcPr>
          <w:p w14:paraId="357CBED5"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Short term and long-term capital gains tax applies depending on when you redeem.</w:t>
            </w:r>
          </w:p>
        </w:tc>
        <w:tc>
          <w:tcPr>
            <w:tcW w:w="3337" w:type="dxa"/>
            <w:tcBorders>
              <w:top w:val="single" w:sz="4" w:space="0" w:color="000000"/>
              <w:left w:val="single" w:sz="4" w:space="0" w:color="000000"/>
              <w:bottom w:val="single" w:sz="4" w:space="0" w:color="000000"/>
              <w:right w:val="single" w:sz="4" w:space="0" w:color="000000"/>
            </w:tcBorders>
          </w:tcPr>
          <w:p w14:paraId="0DB1D0EA"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Taxed as per the income tax slab rate of the investor.</w:t>
            </w:r>
          </w:p>
        </w:tc>
      </w:tr>
      <w:tr w:rsidR="003E644B" w14:paraId="38DABCA8" w14:textId="77777777" w:rsidTr="00197235">
        <w:tc>
          <w:tcPr>
            <w:tcW w:w="2547" w:type="dxa"/>
            <w:tcBorders>
              <w:top w:val="single" w:sz="4" w:space="0" w:color="000000"/>
              <w:left w:val="single" w:sz="4" w:space="0" w:color="000000"/>
              <w:bottom w:val="single" w:sz="4" w:space="0" w:color="000000"/>
              <w:right w:val="single" w:sz="4" w:space="0" w:color="000000"/>
            </w:tcBorders>
          </w:tcPr>
          <w:p w14:paraId="4D24E388" w14:textId="77777777" w:rsidR="003E644B" w:rsidRDefault="003E644B" w:rsidP="00197235">
            <w:pPr>
              <w:widowControl w:val="0"/>
              <w:spacing w:after="0" w:line="360" w:lineRule="auto"/>
              <w:rPr>
                <w:rFonts w:ascii="Times New Roman" w:eastAsia="Times New Roman" w:hAnsi="Times New Roman" w:cs="Times New Roman"/>
                <w:sz w:val="24"/>
                <w:szCs w:val="24"/>
              </w:rPr>
            </w:pPr>
          </w:p>
          <w:p w14:paraId="1B39C32E"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Who should invest</w:t>
            </w:r>
          </w:p>
        </w:tc>
        <w:tc>
          <w:tcPr>
            <w:tcW w:w="3325" w:type="dxa"/>
            <w:tcBorders>
              <w:top w:val="single" w:sz="4" w:space="0" w:color="000000"/>
              <w:left w:val="single" w:sz="4" w:space="0" w:color="000000"/>
              <w:bottom w:val="single" w:sz="4" w:space="0" w:color="000000"/>
              <w:right w:val="single" w:sz="4" w:space="0" w:color="000000"/>
            </w:tcBorders>
          </w:tcPr>
          <w:p w14:paraId="12018F56"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do not need regular cash-flows, invest in growth option since your total returns may be higher.</w:t>
            </w:r>
          </w:p>
        </w:tc>
        <w:tc>
          <w:tcPr>
            <w:tcW w:w="3337" w:type="dxa"/>
            <w:tcBorders>
              <w:top w:val="single" w:sz="4" w:space="0" w:color="000000"/>
              <w:left w:val="single" w:sz="4" w:space="0" w:color="000000"/>
              <w:bottom w:val="single" w:sz="4" w:space="0" w:color="000000"/>
              <w:right w:val="single" w:sz="4" w:space="0" w:color="000000"/>
            </w:tcBorders>
          </w:tcPr>
          <w:p w14:paraId="60E47EA0" w14:textId="77777777" w:rsidR="003E644B" w:rsidRDefault="003E644B" w:rsidP="00197235">
            <w:pPr>
              <w:widowControl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If you need regular cash-flow from your investment, then you can invest in dividend option.</w:t>
            </w:r>
          </w:p>
        </w:tc>
      </w:tr>
    </w:tbl>
    <w:p w14:paraId="794966ED" w14:textId="77777777" w:rsidR="003E644B" w:rsidRDefault="003E644B" w:rsidP="003E644B">
      <w:pPr>
        <w:jc w:val="both"/>
        <w:rPr>
          <w:rFonts w:ascii="Times New Roman" w:eastAsia="Times New Roman" w:hAnsi="Times New Roman" w:cs="Times New Roman"/>
          <w:b/>
          <w:bCs/>
          <w:sz w:val="28"/>
          <w:szCs w:val="28"/>
        </w:rPr>
      </w:pPr>
    </w:p>
    <w:p w14:paraId="23E8BC98" w14:textId="0FFE96F3" w:rsidR="003E644B" w:rsidRDefault="003E644B" w:rsidP="003E644B">
      <w:pPr>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Comparative Analysis:</w:t>
      </w:r>
    </w:p>
    <w:p w14:paraId="3297CA98" w14:textId="77777777" w:rsidR="003E644B" w:rsidRDefault="003E644B" w:rsidP="003E64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Comparative analysis is a valuable tool in the field of finance that plays a crucial role in evaluating investment options. It involves comparing the performance of different indices or securities to gain insights into their relative strengths and weaknesses. By conducting a comparative analysis, investors can make informed decisions and allocate their resources effectively. One of the primary objectives of comparative analysis is to assess the performance of various investment options and identify the most favourable choices. This analysis helps investors understand how different indices or indexes have performed historically, allowing them to gauge potential risks and returns associated with each option. </w:t>
      </w:r>
    </w:p>
    <w:p w14:paraId="0443E59D" w14:textId="77777777" w:rsidR="003E644B" w:rsidRDefault="003E644B" w:rsidP="003E64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field of finance, comparative analysis helps investors identify trends and patterns that may influence their investment decisions. Furthermore, comparative analysis allows investors to evaluate the relative strengths and weaknesses of different fund options. By comparing key performance indicators such as returns, risk measures, volatility, and other financial metrics, investors can gain insights into the comparative advantages and disadvantages of various investment options.</w:t>
      </w:r>
    </w:p>
    <w:p w14:paraId="3BCC7AF2" w14:textId="77777777" w:rsidR="003E644B" w:rsidRDefault="003E644B" w:rsidP="003E644B">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Overall, comparative analysis empowers investors to make well-informed decisions by providing a comprehensive view of different indices and their performance. It enhances their ability to identify investment opportunities, manage risks, and align their investment strategies with their financial goals.</w:t>
      </w:r>
    </w:p>
    <w:p w14:paraId="2E95779F" w14:textId="77777777" w:rsidR="003E644B" w:rsidRDefault="003E644B" w:rsidP="003E644B">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There are several misconceptions about these options among lay investors</w:t>
      </w:r>
      <w:r>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7"/>
          <w:szCs w:val="27"/>
          <w:highlight w:val="white"/>
        </w:rPr>
        <w:t xml:space="preserve"> </w:t>
      </w:r>
      <w:r>
        <w:rPr>
          <w:rFonts w:ascii="Times New Roman" w:eastAsia="Times New Roman" w:hAnsi="Times New Roman" w:cs="Times New Roman"/>
          <w:color w:val="000000"/>
          <w:sz w:val="24"/>
          <w:szCs w:val="24"/>
          <w:highlight w:val="white"/>
        </w:rPr>
        <w:t>Every mutual fund scheme is divided into two types: growth and dividend.</w:t>
      </w:r>
    </w:p>
    <w:p w14:paraId="2A5CDA0F" w14:textId="77777777" w:rsidR="009974FD" w:rsidRDefault="009974FD" w:rsidP="009974FD">
      <w:pPr>
        <w:suppressAutoHyphens w:val="0"/>
        <w:rPr>
          <w:rFonts w:ascii="Times New Roman" w:eastAsia="Times New Roman" w:hAnsi="Times New Roman" w:cs="Times New Roman"/>
          <w:b/>
          <w:bCs/>
          <w:sz w:val="28"/>
          <w:szCs w:val="28"/>
        </w:rPr>
      </w:pPr>
    </w:p>
    <w:p w14:paraId="161518ED" w14:textId="09EB7E67" w:rsidR="00073FCD" w:rsidRPr="00AB2060" w:rsidRDefault="00073FCD" w:rsidP="009974FD">
      <w:pPr>
        <w:suppressAutoHyphens w:val="0"/>
        <w:rPr>
          <w:rFonts w:ascii="Times New Roman" w:eastAsia="Times New Roman" w:hAnsi="Times New Roman" w:cs="Times New Roman"/>
          <w:b/>
          <w:bCs/>
          <w:sz w:val="28"/>
          <w:szCs w:val="28"/>
        </w:rPr>
      </w:pPr>
      <w:r w:rsidRPr="00AB2060">
        <w:rPr>
          <w:rFonts w:ascii="Times New Roman" w:eastAsia="Times New Roman" w:hAnsi="Times New Roman" w:cs="Times New Roman"/>
          <w:b/>
          <w:bCs/>
          <w:sz w:val="28"/>
          <w:szCs w:val="28"/>
        </w:rPr>
        <w:t xml:space="preserve">Need </w:t>
      </w:r>
      <w:r w:rsidR="00793BCD">
        <w:rPr>
          <w:rFonts w:ascii="Times New Roman" w:eastAsia="Times New Roman" w:hAnsi="Times New Roman" w:cs="Times New Roman"/>
          <w:b/>
          <w:bCs/>
          <w:sz w:val="28"/>
          <w:szCs w:val="28"/>
        </w:rPr>
        <w:t>f</w:t>
      </w:r>
      <w:r w:rsidR="00793BCD" w:rsidRPr="00AB2060">
        <w:rPr>
          <w:rFonts w:ascii="Times New Roman" w:eastAsia="Times New Roman" w:hAnsi="Times New Roman" w:cs="Times New Roman"/>
          <w:b/>
          <w:bCs/>
          <w:sz w:val="28"/>
          <w:szCs w:val="28"/>
        </w:rPr>
        <w:t xml:space="preserve">or Analysing Performance </w:t>
      </w:r>
      <w:r w:rsidR="00793BCD">
        <w:rPr>
          <w:rFonts w:ascii="Times New Roman" w:eastAsia="Times New Roman" w:hAnsi="Times New Roman" w:cs="Times New Roman"/>
          <w:b/>
          <w:bCs/>
          <w:sz w:val="28"/>
          <w:szCs w:val="28"/>
        </w:rPr>
        <w:t>o</w:t>
      </w:r>
      <w:r w:rsidR="00793BCD" w:rsidRPr="00AB2060">
        <w:rPr>
          <w:rFonts w:ascii="Times New Roman" w:eastAsia="Times New Roman" w:hAnsi="Times New Roman" w:cs="Times New Roman"/>
          <w:b/>
          <w:bCs/>
          <w:sz w:val="28"/>
          <w:szCs w:val="28"/>
        </w:rPr>
        <w:t xml:space="preserve">f </w:t>
      </w:r>
      <w:r w:rsidRPr="00AB2060">
        <w:rPr>
          <w:rFonts w:ascii="Times New Roman" w:eastAsia="Times New Roman" w:hAnsi="Times New Roman" w:cs="Times New Roman"/>
          <w:b/>
          <w:bCs/>
          <w:sz w:val="28"/>
          <w:szCs w:val="28"/>
        </w:rPr>
        <w:t xml:space="preserve">Growth </w:t>
      </w:r>
      <w:r w:rsidR="00793BCD">
        <w:rPr>
          <w:rFonts w:ascii="Times New Roman" w:eastAsia="Times New Roman" w:hAnsi="Times New Roman" w:cs="Times New Roman"/>
          <w:b/>
          <w:bCs/>
          <w:sz w:val="28"/>
          <w:szCs w:val="28"/>
        </w:rPr>
        <w:t>a</w:t>
      </w:r>
      <w:r w:rsidR="00793BCD" w:rsidRPr="00AB2060">
        <w:rPr>
          <w:rFonts w:ascii="Times New Roman" w:eastAsia="Times New Roman" w:hAnsi="Times New Roman" w:cs="Times New Roman"/>
          <w:b/>
          <w:bCs/>
          <w:sz w:val="28"/>
          <w:szCs w:val="28"/>
        </w:rPr>
        <w:t xml:space="preserve">nd </w:t>
      </w:r>
      <w:r w:rsidRPr="00AB2060">
        <w:rPr>
          <w:rFonts w:ascii="Times New Roman" w:eastAsia="Times New Roman" w:hAnsi="Times New Roman" w:cs="Times New Roman"/>
          <w:b/>
          <w:bCs/>
          <w:sz w:val="28"/>
          <w:szCs w:val="28"/>
        </w:rPr>
        <w:t>Dividend Options</w:t>
      </w:r>
      <w:r w:rsidR="00793BCD" w:rsidRPr="00AB2060">
        <w:rPr>
          <w:rFonts w:ascii="Times New Roman" w:eastAsia="Times New Roman" w:hAnsi="Times New Roman" w:cs="Times New Roman"/>
          <w:b/>
          <w:bCs/>
          <w:sz w:val="28"/>
          <w:szCs w:val="28"/>
        </w:rPr>
        <w:t>:</w:t>
      </w:r>
    </w:p>
    <w:p w14:paraId="25ECA65F" w14:textId="77777777" w:rsidR="00AB2060" w:rsidRDefault="00073FCD" w:rsidP="00AB2060">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study on Growth and dividend option funds available in mutual funds is essential for a variety of stakeholders, including individual investors, financial professionals, policy makers, and researchers. Primarily, Investors need a thorough understanding of both Growth option funds and dividend option funds to make informed choices aligning with their financial goals So, the study helps investors assess the historical performance of these funds, allowing them to gauge potential returns and risk levels. Such studies also enable investors to evaluate the risk profiles associated with each type of fund, aiding in risk-adjusted decision-making. Studying the performance of Growth funds and IDCW funds in mutual funds is crucial for various reasons. Firstly, it provides investors with critical insights into the historical returns, risk profiles, and </w:t>
      </w:r>
      <w:r>
        <w:rPr>
          <w:rFonts w:ascii="Times New Roman" w:eastAsia="Times New Roman" w:hAnsi="Times New Roman" w:cs="Times New Roman"/>
          <w:sz w:val="24"/>
          <w:szCs w:val="24"/>
        </w:rPr>
        <w:lastRenderedPageBreak/>
        <w:t>cost-effectiveness of these funds, helping them make informed investment decisions that align with their financial goals and risk tolerance. This study aims to present investors with the historical performances of both Growth funds as well as Dividend option funds to help investors gain a clear understanding of their investment decision-making.</w:t>
      </w:r>
    </w:p>
    <w:p w14:paraId="221D9353" w14:textId="77777777" w:rsidR="009974FD" w:rsidRDefault="009974FD" w:rsidP="00793BCD">
      <w:pPr>
        <w:spacing w:line="360" w:lineRule="auto"/>
        <w:jc w:val="both"/>
        <w:rPr>
          <w:rFonts w:ascii="Times New Roman" w:eastAsia="Times New Roman" w:hAnsi="Times New Roman" w:cs="Times New Roman"/>
          <w:b/>
          <w:bCs/>
          <w:sz w:val="28"/>
          <w:szCs w:val="28"/>
        </w:rPr>
      </w:pPr>
    </w:p>
    <w:p w14:paraId="558F1797" w14:textId="47264478" w:rsidR="00793BCD" w:rsidRDefault="00793BCD" w:rsidP="00793BCD">
      <w:pPr>
        <w:spacing w:line="360" w:lineRule="auto"/>
        <w:jc w:val="both"/>
        <w:rPr>
          <w:rFonts w:ascii="Times New Roman" w:eastAsia="Times New Roman" w:hAnsi="Times New Roman" w:cs="Times New Roman"/>
          <w:sz w:val="24"/>
          <w:szCs w:val="24"/>
        </w:rPr>
      </w:pPr>
      <w:r w:rsidRPr="00326214">
        <w:rPr>
          <w:rFonts w:ascii="Times New Roman" w:eastAsia="Times New Roman" w:hAnsi="Times New Roman" w:cs="Times New Roman"/>
          <w:b/>
          <w:bCs/>
          <w:sz w:val="28"/>
          <w:szCs w:val="28"/>
        </w:rPr>
        <w:t xml:space="preserve">Objectives </w:t>
      </w:r>
      <w:r>
        <w:rPr>
          <w:rFonts w:ascii="Times New Roman" w:eastAsia="Times New Roman" w:hAnsi="Times New Roman" w:cs="Times New Roman"/>
          <w:b/>
          <w:bCs/>
          <w:sz w:val="28"/>
          <w:szCs w:val="28"/>
        </w:rPr>
        <w:t>o</w:t>
      </w:r>
      <w:r w:rsidRPr="00326214">
        <w:rPr>
          <w:rFonts w:ascii="Times New Roman" w:eastAsia="Times New Roman" w:hAnsi="Times New Roman" w:cs="Times New Roman"/>
          <w:b/>
          <w:bCs/>
          <w:sz w:val="28"/>
          <w:szCs w:val="28"/>
        </w:rPr>
        <w:t xml:space="preserve">f </w:t>
      </w:r>
      <w:r>
        <w:rPr>
          <w:rFonts w:ascii="Times New Roman" w:eastAsia="Times New Roman" w:hAnsi="Times New Roman" w:cs="Times New Roman"/>
          <w:b/>
          <w:bCs/>
          <w:sz w:val="28"/>
          <w:szCs w:val="28"/>
        </w:rPr>
        <w:t>t</w:t>
      </w:r>
      <w:r w:rsidRPr="00326214">
        <w:rPr>
          <w:rFonts w:ascii="Times New Roman" w:eastAsia="Times New Roman" w:hAnsi="Times New Roman" w:cs="Times New Roman"/>
          <w:b/>
          <w:bCs/>
          <w:sz w:val="28"/>
          <w:szCs w:val="28"/>
        </w:rPr>
        <w:t>he Study</w:t>
      </w:r>
    </w:p>
    <w:p w14:paraId="483C48F7" w14:textId="426FC96C" w:rsidR="00073FCD" w:rsidRPr="00793BCD" w:rsidRDefault="00073FCD" w:rsidP="00793BCD">
      <w:pPr>
        <w:pStyle w:val="ListParagraph"/>
        <w:numPr>
          <w:ilvl w:val="0"/>
          <w:numId w:val="7"/>
        </w:numPr>
        <w:spacing w:line="360" w:lineRule="auto"/>
        <w:jc w:val="both"/>
        <w:rPr>
          <w:rFonts w:ascii="Times New Roman" w:eastAsia="Times New Roman" w:hAnsi="Times New Roman" w:cs="Times New Roman"/>
          <w:sz w:val="24"/>
          <w:szCs w:val="24"/>
        </w:rPr>
      </w:pPr>
      <w:r w:rsidRPr="00793BCD">
        <w:rPr>
          <w:rFonts w:ascii="Times New Roman" w:eastAsia="Times New Roman" w:hAnsi="Times New Roman" w:cs="Times New Roman"/>
          <w:color w:val="222222"/>
          <w:sz w:val="24"/>
          <w:szCs w:val="24"/>
        </w:rPr>
        <w:t xml:space="preserve">To study the performance of selected growth and dividend options in </w:t>
      </w:r>
      <w:r w:rsidR="006414AA" w:rsidRPr="00793BCD">
        <w:rPr>
          <w:rFonts w:ascii="Times New Roman" w:eastAsia="Times New Roman" w:hAnsi="Times New Roman" w:cs="Times New Roman"/>
          <w:color w:val="222222"/>
          <w:sz w:val="24"/>
          <w:szCs w:val="24"/>
        </w:rPr>
        <w:t>M</w:t>
      </w:r>
      <w:r w:rsidRPr="00793BCD">
        <w:rPr>
          <w:rFonts w:ascii="Times New Roman" w:eastAsia="Times New Roman" w:hAnsi="Times New Roman" w:cs="Times New Roman"/>
          <w:color w:val="222222"/>
          <w:sz w:val="24"/>
          <w:szCs w:val="24"/>
        </w:rPr>
        <w:t xml:space="preserve">utual </w:t>
      </w:r>
      <w:r w:rsidR="006414AA" w:rsidRPr="00793BCD">
        <w:rPr>
          <w:rFonts w:ascii="Times New Roman" w:eastAsia="Times New Roman" w:hAnsi="Times New Roman" w:cs="Times New Roman"/>
          <w:color w:val="222222"/>
          <w:sz w:val="24"/>
          <w:szCs w:val="24"/>
        </w:rPr>
        <w:t>F</w:t>
      </w:r>
      <w:r w:rsidRPr="00793BCD">
        <w:rPr>
          <w:rFonts w:ascii="Times New Roman" w:eastAsia="Times New Roman" w:hAnsi="Times New Roman" w:cs="Times New Roman"/>
          <w:color w:val="222222"/>
          <w:sz w:val="24"/>
          <w:szCs w:val="24"/>
        </w:rPr>
        <w:t xml:space="preserve">unds. </w:t>
      </w:r>
    </w:p>
    <w:p w14:paraId="5A49E1B1" w14:textId="77777777" w:rsidR="00793BCD" w:rsidRPr="00793BCD" w:rsidRDefault="00793BCD" w:rsidP="00793BCD">
      <w:pPr>
        <w:pStyle w:val="ListParagraph"/>
        <w:numPr>
          <w:ilvl w:val="0"/>
          <w:numId w:val="7"/>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color w:val="222222"/>
          <w:sz w:val="24"/>
          <w:szCs w:val="24"/>
        </w:rPr>
        <w:t>To analyse the comparative performance of growth option and dividend option in mutual funds.</w:t>
      </w:r>
    </w:p>
    <w:p w14:paraId="526A33B0" w14:textId="77777777" w:rsidR="00793BCD" w:rsidRPr="00793BCD" w:rsidRDefault="00073FCD" w:rsidP="00793BCD">
      <w:pPr>
        <w:pStyle w:val="ListParagraph"/>
        <w:numPr>
          <w:ilvl w:val="0"/>
          <w:numId w:val="7"/>
        </w:numPr>
        <w:spacing w:line="360" w:lineRule="auto"/>
        <w:jc w:val="both"/>
        <w:rPr>
          <w:rFonts w:ascii="Times New Roman" w:eastAsia="Times New Roman" w:hAnsi="Times New Roman" w:cs="Times New Roman"/>
          <w:sz w:val="24"/>
          <w:szCs w:val="24"/>
        </w:rPr>
      </w:pPr>
      <w:r w:rsidRPr="00793BCD">
        <w:rPr>
          <w:rFonts w:ascii="Times New Roman" w:eastAsia="Times New Roman" w:hAnsi="Times New Roman" w:cs="Times New Roman"/>
          <w:color w:val="222222"/>
          <w:sz w:val="24"/>
          <w:szCs w:val="24"/>
        </w:rPr>
        <w:t xml:space="preserve">To </w:t>
      </w:r>
      <w:r w:rsidR="00793BCD">
        <w:rPr>
          <w:rFonts w:ascii="Times New Roman" w:eastAsia="Times New Roman" w:hAnsi="Times New Roman" w:cs="Times New Roman"/>
          <w:color w:val="222222"/>
          <w:sz w:val="24"/>
          <w:szCs w:val="24"/>
        </w:rPr>
        <w:t>evaluate</w:t>
      </w:r>
      <w:r w:rsidRPr="00793BCD">
        <w:rPr>
          <w:rFonts w:ascii="Times New Roman" w:eastAsia="Times New Roman" w:hAnsi="Times New Roman" w:cs="Times New Roman"/>
          <w:color w:val="222222"/>
          <w:sz w:val="24"/>
          <w:szCs w:val="24"/>
        </w:rPr>
        <w:t xml:space="preserve"> the risk and return factors of selected fund options in mutual funds. </w:t>
      </w:r>
    </w:p>
    <w:p w14:paraId="1A8CE497" w14:textId="16B5AAE8" w:rsidR="00073FCD" w:rsidRPr="00793BCD" w:rsidRDefault="00073FCD" w:rsidP="00793BCD">
      <w:pPr>
        <w:pStyle w:val="ListParagraph"/>
        <w:numPr>
          <w:ilvl w:val="0"/>
          <w:numId w:val="7"/>
        </w:numPr>
        <w:spacing w:line="360" w:lineRule="auto"/>
        <w:jc w:val="both"/>
        <w:rPr>
          <w:rFonts w:ascii="Times New Roman" w:eastAsia="Times New Roman" w:hAnsi="Times New Roman" w:cs="Times New Roman"/>
          <w:sz w:val="24"/>
          <w:szCs w:val="24"/>
        </w:rPr>
      </w:pPr>
      <w:r w:rsidRPr="00793BCD">
        <w:rPr>
          <w:rFonts w:ascii="Times New Roman" w:eastAsia="Times New Roman" w:hAnsi="Times New Roman" w:cs="Times New Roman"/>
          <w:color w:val="222222"/>
          <w:sz w:val="24"/>
          <w:szCs w:val="24"/>
        </w:rPr>
        <w:t>To provide insights into how investors can optimize their portfolios by strategically allocating funds between growth and dividend options based on their individual financial objectives and market conditions.</w:t>
      </w:r>
    </w:p>
    <w:p w14:paraId="0E29AD15" w14:textId="5802BB4B" w:rsidR="00073FCD" w:rsidRPr="00793BCD" w:rsidRDefault="00073FCD" w:rsidP="00073FCD">
      <w:pPr>
        <w:shd w:val="clear" w:color="auto" w:fill="FFFFFF"/>
        <w:spacing w:after="0" w:line="360" w:lineRule="auto"/>
        <w:jc w:val="both"/>
        <w:rPr>
          <w:rFonts w:ascii="Times New Roman" w:eastAsia="Times New Roman" w:hAnsi="Times New Roman" w:cs="Times New Roman"/>
          <w:b/>
          <w:bCs/>
          <w:sz w:val="28"/>
          <w:szCs w:val="28"/>
        </w:rPr>
      </w:pPr>
      <w:r w:rsidRPr="00793BCD">
        <w:rPr>
          <w:rFonts w:ascii="Times New Roman" w:eastAsia="Times New Roman" w:hAnsi="Times New Roman" w:cs="Times New Roman"/>
          <w:b/>
          <w:bCs/>
          <w:sz w:val="28"/>
          <w:szCs w:val="28"/>
        </w:rPr>
        <w:t xml:space="preserve">Tools for </w:t>
      </w:r>
      <w:r w:rsidR="00131A3D" w:rsidRPr="00793BCD">
        <w:rPr>
          <w:rFonts w:ascii="Times New Roman" w:eastAsia="Times New Roman" w:hAnsi="Times New Roman" w:cs="Times New Roman"/>
          <w:b/>
          <w:bCs/>
          <w:sz w:val="28"/>
          <w:szCs w:val="28"/>
        </w:rPr>
        <w:t>performance analysis:</w:t>
      </w:r>
    </w:p>
    <w:p w14:paraId="03FAD2BE" w14:textId="77777777" w:rsidR="00131A3D" w:rsidRPr="00793BCD" w:rsidRDefault="00131A3D" w:rsidP="00131A3D">
      <w:pPr>
        <w:spacing w:line="360" w:lineRule="auto"/>
        <w:jc w:val="both"/>
        <w:rPr>
          <w:rFonts w:ascii="Times New Roman" w:eastAsia="Times New Roman" w:hAnsi="Times New Roman" w:cs="Times New Roman"/>
          <w:sz w:val="24"/>
          <w:szCs w:val="24"/>
        </w:rPr>
      </w:pPr>
      <w:r w:rsidRPr="00793BCD">
        <w:rPr>
          <w:rFonts w:ascii="Times New Roman" w:eastAsia="Times New Roman" w:hAnsi="Times New Roman" w:cs="Times New Roman"/>
          <w:sz w:val="24"/>
          <w:szCs w:val="24"/>
        </w:rPr>
        <w:t>To analyse and interpret the data gathered for the project the following tools have been used for finding or measuring the risk and return of funds selected. They are statistical methods or tools for analysis such as Mean, Standard Deviation, Sharp Ratio, and Variance.</w:t>
      </w:r>
    </w:p>
    <w:p w14:paraId="487367D0" w14:textId="77777777" w:rsidR="00131A3D" w:rsidRPr="00793BCD" w:rsidRDefault="00131A3D" w:rsidP="00131A3D">
      <w:pPr>
        <w:spacing w:line="360" w:lineRule="auto"/>
        <w:jc w:val="both"/>
        <w:rPr>
          <w:rFonts w:ascii="Times New Roman" w:eastAsia="Times New Roman" w:hAnsi="Times New Roman" w:cs="Times New Roman"/>
          <w:sz w:val="24"/>
          <w:szCs w:val="24"/>
        </w:rPr>
      </w:pPr>
      <w:r w:rsidRPr="00793BCD">
        <w:rPr>
          <w:rFonts w:ascii="Times New Roman" w:eastAsia="Times New Roman" w:hAnsi="Times New Roman" w:cs="Times New Roman"/>
          <w:b/>
          <w:bCs/>
          <w:sz w:val="24"/>
          <w:szCs w:val="24"/>
        </w:rPr>
        <w:t>1. Mean:</w:t>
      </w:r>
      <w:r w:rsidRPr="00793BCD">
        <w:rPr>
          <w:rFonts w:ascii="Times New Roman" w:eastAsia="Times New Roman" w:hAnsi="Times New Roman" w:cs="Times New Roman"/>
          <w:sz w:val="24"/>
          <w:szCs w:val="24"/>
        </w:rPr>
        <w:t xml:space="preserve"> Represents the average of a set of data points. It is utilized to understand the central tendency of the fund's performance.</w:t>
      </w:r>
    </w:p>
    <w:p w14:paraId="0E627786" w14:textId="77777777" w:rsidR="00131A3D" w:rsidRPr="00793BCD" w:rsidRDefault="00131A3D" w:rsidP="00131A3D">
      <w:pPr>
        <w:spacing w:line="360" w:lineRule="auto"/>
        <w:jc w:val="both"/>
        <w:rPr>
          <w:rFonts w:ascii="Times New Roman" w:eastAsia="Times New Roman" w:hAnsi="Times New Roman" w:cs="Times New Roman"/>
          <w:sz w:val="24"/>
          <w:szCs w:val="24"/>
        </w:rPr>
      </w:pPr>
      <w:r w:rsidRPr="00793BCD">
        <w:rPr>
          <w:rFonts w:ascii="Times New Roman" w:eastAsia="Times New Roman" w:hAnsi="Times New Roman" w:cs="Times New Roman"/>
          <w:b/>
          <w:bCs/>
          <w:sz w:val="24"/>
          <w:szCs w:val="24"/>
        </w:rPr>
        <w:t>2. Standard Deviation:</w:t>
      </w:r>
      <w:r w:rsidRPr="00793BCD">
        <w:rPr>
          <w:rFonts w:ascii="Times New Roman" w:eastAsia="Times New Roman" w:hAnsi="Times New Roman" w:cs="Times New Roman"/>
          <w:sz w:val="24"/>
          <w:szCs w:val="24"/>
        </w:rPr>
        <w:t xml:space="preserve"> A set of data's dispersion of data from its mean can be measured by standard deviation. Involves calculation of the variance between each data point from the mean, standard deviation is just described as the square root of variance. There is a bigger deviation within the data set if the data points are farther away from the mean.</w:t>
      </w:r>
    </w:p>
    <w:p w14:paraId="1C976343" w14:textId="77777777" w:rsidR="00131A3D" w:rsidRPr="00793BCD" w:rsidRDefault="00131A3D" w:rsidP="00131A3D">
      <w:pPr>
        <w:spacing w:before="280" w:after="280" w:line="360" w:lineRule="auto"/>
        <w:jc w:val="both"/>
        <w:rPr>
          <w:rFonts w:ascii="Times New Roman" w:eastAsia="Times New Roman" w:hAnsi="Times New Roman" w:cs="Times New Roman"/>
          <w:sz w:val="24"/>
          <w:szCs w:val="24"/>
        </w:rPr>
      </w:pPr>
      <w:r w:rsidRPr="00793BCD">
        <w:rPr>
          <w:rFonts w:ascii="Times New Roman" w:eastAsia="Times New Roman" w:hAnsi="Times New Roman" w:cs="Times New Roman"/>
          <w:b/>
          <w:bCs/>
          <w:sz w:val="24"/>
          <w:szCs w:val="24"/>
        </w:rPr>
        <w:t>3. Variance:</w:t>
      </w:r>
      <w:r w:rsidRPr="00793BCD">
        <w:rPr>
          <w:rFonts w:ascii="Times New Roman" w:eastAsia="Times New Roman" w:hAnsi="Times New Roman" w:cs="Times New Roman"/>
          <w:sz w:val="24"/>
          <w:szCs w:val="24"/>
        </w:rPr>
        <w:t xml:space="preserve"> The difference between all the numbers in a data is measured to be variance. Each number’s variance is expressed as a deviation of the number from their mean. By taking the differences between each value the mean, squaring to make them positive and then dividing the sum of the obtained squares by the number of values in the data existing gives variation.</w:t>
      </w:r>
    </w:p>
    <w:p w14:paraId="61B89D3D" w14:textId="4646938D" w:rsidR="00131A3D" w:rsidRPr="00793BCD" w:rsidRDefault="00131A3D" w:rsidP="00131A3D">
      <w:pPr>
        <w:spacing w:before="280" w:after="280" w:line="360" w:lineRule="auto"/>
        <w:jc w:val="both"/>
        <w:rPr>
          <w:rFonts w:ascii="Times New Roman" w:eastAsia="Times New Roman" w:hAnsi="Times New Roman" w:cs="Times New Roman"/>
          <w:sz w:val="24"/>
          <w:szCs w:val="24"/>
        </w:rPr>
      </w:pPr>
      <w:r w:rsidRPr="00793BCD">
        <w:rPr>
          <w:rFonts w:ascii="Times New Roman" w:eastAsia="Times New Roman" w:hAnsi="Times New Roman" w:cs="Times New Roman"/>
          <w:b/>
          <w:bCs/>
          <w:sz w:val="24"/>
          <w:szCs w:val="24"/>
        </w:rPr>
        <w:t>4. Sharpe Ratio:</w:t>
      </w:r>
      <w:r w:rsidRPr="00793BCD">
        <w:rPr>
          <w:rFonts w:ascii="Times New Roman" w:eastAsia="Times New Roman" w:hAnsi="Times New Roman" w:cs="Times New Roman"/>
          <w:sz w:val="24"/>
          <w:szCs w:val="24"/>
        </w:rPr>
        <w:t xml:space="preserve"> The Sharpe Ratio, a ratio of returns created by the fund over and beyond the risk-free rate of return and the entire risk attached to it, is used in this model to assess a fund's performance. Investors' main concern, according to Sharpe, is the fund's overall level of risk. </w:t>
      </w:r>
      <w:r w:rsidRPr="00793BCD">
        <w:rPr>
          <w:rFonts w:ascii="Times New Roman" w:eastAsia="Times New Roman" w:hAnsi="Times New Roman" w:cs="Times New Roman"/>
          <w:sz w:val="24"/>
          <w:szCs w:val="24"/>
        </w:rPr>
        <w:lastRenderedPageBreak/>
        <w:t>The model therefore estimated funds based on return they have obtained per unit of total risk. It can be expressed symbolically</w:t>
      </w:r>
      <w:r w:rsidRPr="00793BCD">
        <w:rPr>
          <w:rFonts w:ascii="Times New Roman" w:eastAsia="Times New Roman" w:hAnsi="Times New Roman" w:cs="Times New Roman"/>
        </w:rPr>
        <w:t xml:space="preserve">. </w:t>
      </w:r>
    </w:p>
    <w:p w14:paraId="2448765A" w14:textId="5D48DFE1" w:rsidR="00131A3D" w:rsidRPr="00793BCD" w:rsidRDefault="00131A3D" w:rsidP="00131A3D">
      <w:pPr>
        <w:spacing w:before="280" w:after="0" w:line="360" w:lineRule="auto"/>
        <w:jc w:val="both"/>
        <w:rPr>
          <w:rFonts w:ascii="Times New Roman" w:eastAsia="Times New Roman" w:hAnsi="Times New Roman" w:cs="Times New Roman"/>
          <w:sz w:val="24"/>
          <w:szCs w:val="24"/>
        </w:rPr>
      </w:pPr>
      <w:r w:rsidRPr="00793BCD">
        <w:rPr>
          <w:rFonts w:ascii="Times New Roman" w:eastAsia="Times New Roman" w:hAnsi="Times New Roman" w:cs="Times New Roman"/>
          <w:b/>
          <w:bCs/>
          <w:sz w:val="24"/>
          <w:szCs w:val="24"/>
        </w:rPr>
        <w:t>5.Treynor Ratio:</w:t>
      </w:r>
      <w:r w:rsidRPr="00793BCD">
        <w:rPr>
          <w:rFonts w:ascii="Times New Roman" w:eastAsia="Times New Roman" w:hAnsi="Times New Roman" w:cs="Times New Roman"/>
          <w:sz w:val="24"/>
          <w:szCs w:val="24"/>
        </w:rPr>
        <w:t xml:space="preserve"> The </w:t>
      </w:r>
      <w:r w:rsidRPr="00793BCD">
        <w:rPr>
          <w:rFonts w:ascii="Times New Roman" w:eastAsia="Times New Roman" w:hAnsi="Times New Roman" w:cs="Times New Roman"/>
          <w:sz w:val="24"/>
          <w:szCs w:val="24"/>
          <w:bdr w:val="none" w:sz="0" w:space="0" w:color="auto" w:frame="1"/>
        </w:rPr>
        <w:t>Treynor Ratio</w:t>
      </w:r>
      <w:r w:rsidRPr="00793BCD">
        <w:rPr>
          <w:rFonts w:ascii="Times New Roman" w:eastAsia="Times New Roman" w:hAnsi="Times New Roman" w:cs="Times New Roman"/>
          <w:sz w:val="24"/>
          <w:szCs w:val="24"/>
        </w:rPr>
        <w:t> is a measure of a portfolio’s excess return per unit of systematic risk, or the market volatility of the portfolio. Often referred to as the “reward-to-volatility ratio”, the Treynor ratio attempts to gauge the risk attributable to a portfolio (and the expected returns) in the context of the total non-diversifiable risk inherent to the market.</w:t>
      </w:r>
    </w:p>
    <w:p w14:paraId="536FEC4B" w14:textId="41F5FD89" w:rsidR="003E644B" w:rsidRDefault="003E644B" w:rsidP="003E644B">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Why Growth Mutual Fund</w:t>
      </w:r>
      <w:r w:rsidR="009974FD">
        <w:rPr>
          <w:rFonts w:ascii="Times New Roman" w:eastAsia="Times New Roman" w:hAnsi="Times New Roman" w:cs="Times New Roman"/>
          <w:b/>
          <w:bCs/>
          <w:color w:val="000000"/>
          <w:sz w:val="28"/>
          <w:szCs w:val="28"/>
        </w:rPr>
        <w:t>s</w:t>
      </w:r>
      <w:r w:rsidR="00AB2060">
        <w:rPr>
          <w:rFonts w:ascii="Times New Roman" w:eastAsia="Times New Roman" w:hAnsi="Times New Roman" w:cs="Times New Roman"/>
          <w:b/>
          <w:bCs/>
          <w:color w:val="000000"/>
          <w:sz w:val="28"/>
          <w:szCs w:val="28"/>
        </w:rPr>
        <w:t>:</w:t>
      </w:r>
    </w:p>
    <w:p w14:paraId="76EFF510" w14:textId="77777777" w:rsidR="003E644B" w:rsidRDefault="003E644B" w:rsidP="003E644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Growth option mutual fund have one very considerable advantage over dividend mutual funds: compounding. Every time the investments of a growth mutual fund make money, it is reinvested. This cycle continues until the point you, as an investor, decide to pull out. Over an extended period, growth mutual funds can work wonders for your money. However, this requires patience. If you depend on this money, you will have to sell units of your mutual fund. That will reduce the amount you have invested. Since the amount you have invested is reduced, the effect of compounding could be improved.</w:t>
      </w:r>
    </w:p>
    <w:p w14:paraId="4EB927AF" w14:textId="7E9C0197" w:rsidR="003E644B" w:rsidRPr="003E644B" w:rsidRDefault="003E644B" w:rsidP="003E644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8"/>
          <w:szCs w:val="28"/>
        </w:rPr>
        <w:t>Why Dividend Mutual Fund</w:t>
      </w:r>
      <w:r w:rsidR="009974FD">
        <w:rPr>
          <w:rFonts w:ascii="Times New Roman" w:eastAsia="Times New Roman" w:hAnsi="Times New Roman" w:cs="Times New Roman"/>
          <w:b/>
          <w:bCs/>
          <w:color w:val="000000"/>
          <w:sz w:val="28"/>
          <w:szCs w:val="28"/>
        </w:rPr>
        <w:t>s</w:t>
      </w:r>
      <w:r w:rsidR="00AB2060">
        <w:rPr>
          <w:rFonts w:ascii="Times New Roman" w:eastAsia="Times New Roman" w:hAnsi="Times New Roman" w:cs="Times New Roman"/>
          <w:b/>
          <w:bCs/>
          <w:color w:val="000000"/>
          <w:sz w:val="28"/>
          <w:szCs w:val="28"/>
        </w:rPr>
        <w:t>:</w:t>
      </w:r>
    </w:p>
    <w:p w14:paraId="30344F20" w14:textId="77777777" w:rsidR="003E644B" w:rsidRDefault="003E644B" w:rsidP="003E644B">
      <w:pPr>
        <w:shd w:val="clear" w:color="auto" w:fill="FFFFFF"/>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Dividend mutual funds offer regular dividends that the fund managers decide. Dividend mutual funds take longer to show the same results as a growth mutual fund. However, one significant advantage dividend mutual funds have is that they start paying back much more quickly. It offers a certain peace of mind to the investors. However, confident investors would trade peace of mind for higher returns, and dividend mutual funds suit them best.</w:t>
      </w:r>
    </w:p>
    <w:p w14:paraId="4FA88F10" w14:textId="2BA78F5C" w:rsidR="003E644B" w:rsidRDefault="003E644B" w:rsidP="003E644B">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Taxation on Growth Mutual Fund vs Dividend Mutual Fund:</w:t>
      </w:r>
    </w:p>
    <w:p w14:paraId="42B2BD25" w14:textId="71621F54" w:rsidR="003E644B" w:rsidRPr="003E644B" w:rsidRDefault="003E644B" w:rsidP="003E644B">
      <w:pPr>
        <w:shd w:val="clear" w:color="auto" w:fill="FFFFFF"/>
        <w:spacing w:after="0" w:line="360" w:lineRule="auto"/>
        <w:jc w:val="both"/>
        <w:rPr>
          <w:rFonts w:ascii="Times New Roman" w:eastAsia="Times New Roman" w:hAnsi="Times New Roman" w:cs="Times New Roman"/>
          <w:b/>
          <w:bCs/>
          <w:color w:val="000000"/>
          <w:sz w:val="28"/>
          <w:szCs w:val="28"/>
        </w:rPr>
      </w:pPr>
      <w:r>
        <w:rPr>
          <w:rFonts w:ascii="Times New Roman" w:eastAsia="Times New Roman" w:hAnsi="Times New Roman" w:cs="Times New Roman"/>
          <w:color w:val="000000"/>
          <w:sz w:val="24"/>
          <w:szCs w:val="24"/>
        </w:rPr>
        <w:t xml:space="preserve">Growth mutual funds are subject to tax on redemption. However, you are only charged tax once </w:t>
      </w:r>
      <w:r>
        <w:rPr>
          <w:rFonts w:ascii="Times New Roman" w:eastAsia="Times New Roman" w:hAnsi="Times New Roman" w:cs="Times New Roman"/>
          <w:color w:val="000000"/>
          <w:sz w:val="24"/>
          <w:szCs w:val="24"/>
          <w:highlight w:val="white"/>
        </w:rPr>
        <w:t>withdraw money from a mutual fund.</w:t>
      </w:r>
      <w:r>
        <w:rPr>
          <w:rFonts w:ascii="Times New Roman" w:eastAsia="Times New Roman" w:hAnsi="Times New Roman" w:cs="Times New Roman"/>
          <w:color w:val="000000"/>
          <w:sz w:val="24"/>
          <w:szCs w:val="24"/>
        </w:rPr>
        <w:t xml:space="preserve"> For most equity mutual funds, you do not have to pay any taxes if the investment is redeemed after a year. For most debt funds, there is no tax liability after three years. Dividend mutual funds are taxed differently. You do not have to pay any taxes upon receiving your dividend. However, the tax is paid by the mutual fund houses even before the dividend reaches you. So, in that sense, dividend mutual funds could be more tax efficient.</w:t>
      </w:r>
    </w:p>
    <w:p w14:paraId="40E84459" w14:textId="0146EA61" w:rsidR="00976AF5" w:rsidRPr="00E72B64" w:rsidRDefault="000A46E0" w:rsidP="00976AF5">
      <w:pPr>
        <w:jc w:val="both"/>
        <w:rPr>
          <w:rFonts w:ascii="Times New Roman" w:eastAsia="Times New Roman" w:hAnsi="Times New Roman" w:cs="Times New Roman"/>
          <w:b/>
          <w:sz w:val="32"/>
          <w:szCs w:val="32"/>
        </w:rPr>
      </w:pPr>
      <w:r>
        <w:rPr>
          <w:rFonts w:ascii="Times New Roman" w:eastAsia="Times New Roman" w:hAnsi="Times New Roman" w:cs="Times New Roman"/>
          <w:b/>
          <w:sz w:val="24"/>
          <w:szCs w:val="24"/>
        </w:rPr>
        <w:t xml:space="preserve">                                                   </w:t>
      </w:r>
      <w:r w:rsidR="00E72B64" w:rsidRPr="00E72B64">
        <w:rPr>
          <w:rFonts w:ascii="Times New Roman" w:eastAsia="Times New Roman" w:hAnsi="Times New Roman" w:cs="Times New Roman"/>
          <w:b/>
          <w:sz w:val="32"/>
          <w:szCs w:val="32"/>
        </w:rPr>
        <w:t>D</w:t>
      </w:r>
      <w:r>
        <w:rPr>
          <w:rFonts w:ascii="Times New Roman" w:eastAsia="Times New Roman" w:hAnsi="Times New Roman" w:cs="Times New Roman"/>
          <w:b/>
          <w:sz w:val="32"/>
          <w:szCs w:val="32"/>
        </w:rPr>
        <w:t>ata Analysis:</w:t>
      </w:r>
    </w:p>
    <w:p w14:paraId="0D530E56" w14:textId="26345687" w:rsidR="00976AF5" w:rsidRDefault="00976AF5" w:rsidP="006414A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Performance of both Growth option and Dividend option for the year of 2019</w:t>
      </w:r>
    </w:p>
    <w:tbl>
      <w:tblPr>
        <w:tblW w:w="9584" w:type="dxa"/>
        <w:tblLayout w:type="fixed"/>
        <w:tblLook w:val="0400" w:firstRow="0" w:lastRow="0" w:firstColumn="0" w:lastColumn="0" w:noHBand="0" w:noVBand="1"/>
      </w:tblPr>
      <w:tblGrid>
        <w:gridCol w:w="1980"/>
        <w:gridCol w:w="1708"/>
        <w:gridCol w:w="1815"/>
        <w:gridCol w:w="1952"/>
        <w:gridCol w:w="2129"/>
      </w:tblGrid>
      <w:tr w:rsidR="00976AF5" w14:paraId="6ED26B2D" w14:textId="77777777" w:rsidTr="006414AA">
        <w:trPr>
          <w:trHeight w:val="246"/>
        </w:trPr>
        <w:tc>
          <w:tcPr>
            <w:tcW w:w="9584" w:type="dxa"/>
            <w:gridSpan w:val="5"/>
            <w:tcBorders>
              <w:top w:val="single" w:sz="4" w:space="0" w:color="000000"/>
              <w:left w:val="single" w:sz="4" w:space="0" w:color="000000"/>
              <w:right w:val="single" w:sz="4" w:space="0" w:color="000000"/>
            </w:tcBorders>
          </w:tcPr>
          <w:p w14:paraId="7BBF23EE"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of change in NAV-2019</w:t>
            </w:r>
          </w:p>
        </w:tc>
      </w:tr>
      <w:tr w:rsidR="00976AF5" w14:paraId="7CAE6771" w14:textId="77777777" w:rsidTr="00E70C0A">
        <w:tc>
          <w:tcPr>
            <w:tcW w:w="1980" w:type="dxa"/>
            <w:vMerge w:val="restart"/>
            <w:tcBorders>
              <w:top w:val="single" w:sz="4" w:space="0" w:color="000000"/>
              <w:left w:val="single" w:sz="4" w:space="0" w:color="000000"/>
              <w:bottom w:val="single" w:sz="4" w:space="0" w:color="000000"/>
              <w:right w:val="single" w:sz="4" w:space="0" w:color="000000"/>
            </w:tcBorders>
          </w:tcPr>
          <w:p w14:paraId="19669828" w14:textId="77777777" w:rsidR="00976AF5" w:rsidRDefault="00976AF5" w:rsidP="00E70C0A">
            <w:pPr>
              <w:widowControl w:val="0"/>
              <w:rPr>
                <w:rFonts w:ascii="Times New Roman" w:eastAsia="Times New Roman" w:hAnsi="Times New Roman" w:cs="Times New Roman"/>
                <w:color w:val="000000"/>
                <w:sz w:val="24"/>
                <w:szCs w:val="24"/>
              </w:rPr>
            </w:pPr>
          </w:p>
          <w:p w14:paraId="0FE80549"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3523" w:type="dxa"/>
            <w:gridSpan w:val="2"/>
            <w:tcBorders>
              <w:top w:val="single" w:sz="4" w:space="0" w:color="000000"/>
              <w:left w:val="single" w:sz="4" w:space="0" w:color="000000"/>
              <w:right w:val="single" w:sz="4" w:space="0" w:color="000000"/>
            </w:tcBorders>
          </w:tcPr>
          <w:p w14:paraId="531F7153"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Growth option</w:t>
            </w:r>
          </w:p>
        </w:tc>
        <w:tc>
          <w:tcPr>
            <w:tcW w:w="4081" w:type="dxa"/>
            <w:gridSpan w:val="2"/>
            <w:tcBorders>
              <w:top w:val="single" w:sz="4" w:space="0" w:color="000000"/>
              <w:left w:val="single" w:sz="4" w:space="0" w:color="000000"/>
              <w:right w:val="single" w:sz="4" w:space="0" w:color="000000"/>
            </w:tcBorders>
          </w:tcPr>
          <w:p w14:paraId="784B52A4"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Dividend Option</w:t>
            </w:r>
          </w:p>
        </w:tc>
      </w:tr>
      <w:tr w:rsidR="00976AF5" w14:paraId="2A0A5C13" w14:textId="77777777" w:rsidTr="00E70C0A">
        <w:trPr>
          <w:trHeight w:val="966"/>
        </w:trPr>
        <w:tc>
          <w:tcPr>
            <w:tcW w:w="1980" w:type="dxa"/>
            <w:vMerge/>
            <w:tcBorders>
              <w:top w:val="single" w:sz="4" w:space="0" w:color="000000"/>
              <w:left w:val="single" w:sz="4" w:space="0" w:color="000000"/>
              <w:bottom w:val="single" w:sz="4" w:space="0" w:color="000000"/>
              <w:right w:val="single" w:sz="4" w:space="0" w:color="000000"/>
            </w:tcBorders>
          </w:tcPr>
          <w:p w14:paraId="49C362A5" w14:textId="77777777" w:rsidR="00976AF5" w:rsidRDefault="00976AF5" w:rsidP="00E70C0A">
            <w:pPr>
              <w:widowControl w:val="0"/>
              <w:spacing w:after="0" w:line="276" w:lineRule="auto"/>
              <w:rPr>
                <w:rFonts w:ascii="Times New Roman" w:eastAsia="Times New Roman" w:hAnsi="Times New Roman" w:cs="Times New Roman"/>
                <w:b/>
                <w:color w:val="000000"/>
              </w:rPr>
            </w:pPr>
          </w:p>
        </w:tc>
        <w:tc>
          <w:tcPr>
            <w:tcW w:w="1708" w:type="dxa"/>
            <w:tcBorders>
              <w:top w:val="single" w:sz="4" w:space="0" w:color="000000"/>
              <w:left w:val="single" w:sz="4" w:space="0" w:color="000000"/>
              <w:bottom w:val="single" w:sz="4" w:space="0" w:color="000000"/>
              <w:right w:val="single" w:sz="4" w:space="0" w:color="000000"/>
            </w:tcBorders>
          </w:tcPr>
          <w:p w14:paraId="67AC32E0"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SBI Magnum Mid fund -Gr</w:t>
            </w:r>
          </w:p>
        </w:tc>
        <w:tc>
          <w:tcPr>
            <w:tcW w:w="1815" w:type="dxa"/>
            <w:tcBorders>
              <w:top w:val="single" w:sz="4" w:space="0" w:color="000000"/>
              <w:left w:val="single" w:sz="4" w:space="0" w:color="000000"/>
              <w:bottom w:val="single" w:sz="4" w:space="0" w:color="000000"/>
              <w:right w:val="single" w:sz="4" w:space="0" w:color="000000"/>
            </w:tcBorders>
          </w:tcPr>
          <w:p w14:paraId="54289A88"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Franklin India Smaller companies-Gr</w:t>
            </w:r>
          </w:p>
        </w:tc>
        <w:tc>
          <w:tcPr>
            <w:tcW w:w="1952" w:type="dxa"/>
            <w:tcBorders>
              <w:top w:val="single" w:sz="4" w:space="0" w:color="000000"/>
              <w:left w:val="single" w:sz="4" w:space="0" w:color="000000"/>
              <w:bottom w:val="single" w:sz="4" w:space="0" w:color="000000"/>
              <w:right w:val="single" w:sz="4" w:space="0" w:color="000000"/>
            </w:tcBorders>
          </w:tcPr>
          <w:p w14:paraId="34BD4779"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SBI Magnum Mid fund - IDCW</w:t>
            </w:r>
          </w:p>
        </w:tc>
        <w:tc>
          <w:tcPr>
            <w:tcW w:w="2129" w:type="dxa"/>
            <w:tcBorders>
              <w:top w:val="single" w:sz="4" w:space="0" w:color="000000"/>
              <w:left w:val="single" w:sz="4" w:space="0" w:color="000000"/>
              <w:bottom w:val="single" w:sz="4" w:space="0" w:color="000000"/>
              <w:right w:val="single" w:sz="4" w:space="0" w:color="000000"/>
            </w:tcBorders>
          </w:tcPr>
          <w:p w14:paraId="5C6BAE4B"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Franklin India Smaller companies- IDCW</w:t>
            </w:r>
          </w:p>
        </w:tc>
      </w:tr>
      <w:tr w:rsidR="00976AF5" w14:paraId="621A8E49"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6A7AFCCC" w14:textId="77777777" w:rsidR="00976AF5" w:rsidRDefault="00976AF5" w:rsidP="00E70C0A">
            <w:pPr>
              <w:widowControl w:val="0"/>
              <w:jc w:val="center"/>
              <w:rPr>
                <w:color w:val="000000"/>
                <w:sz w:val="20"/>
                <w:szCs w:val="20"/>
              </w:rPr>
            </w:pPr>
            <w:r>
              <w:rPr>
                <w:color w:val="000000"/>
                <w:sz w:val="20"/>
                <w:szCs w:val="20"/>
              </w:rPr>
              <w:lastRenderedPageBreak/>
              <w:t>01-01-2019</w:t>
            </w:r>
          </w:p>
        </w:tc>
        <w:tc>
          <w:tcPr>
            <w:tcW w:w="1708" w:type="dxa"/>
            <w:tcBorders>
              <w:top w:val="single" w:sz="4" w:space="0" w:color="000000"/>
              <w:left w:val="single" w:sz="4" w:space="0" w:color="000000"/>
              <w:bottom w:val="single" w:sz="4" w:space="0" w:color="000000"/>
              <w:right w:val="single" w:sz="4" w:space="0" w:color="000000"/>
            </w:tcBorders>
          </w:tcPr>
          <w:p w14:paraId="0B410B49" w14:textId="77777777" w:rsidR="00976AF5" w:rsidRDefault="00976AF5" w:rsidP="00E70C0A">
            <w:pPr>
              <w:widowControl w:val="0"/>
              <w:jc w:val="right"/>
              <w:rPr>
                <w:color w:val="000000"/>
                <w:sz w:val="20"/>
                <w:szCs w:val="20"/>
              </w:rPr>
            </w:pPr>
            <w:r>
              <w:rPr>
                <w:color w:val="000000"/>
                <w:sz w:val="20"/>
                <w:szCs w:val="20"/>
              </w:rPr>
              <w:t>1.2470</w:t>
            </w:r>
          </w:p>
        </w:tc>
        <w:tc>
          <w:tcPr>
            <w:tcW w:w="1815" w:type="dxa"/>
            <w:tcBorders>
              <w:top w:val="single" w:sz="4" w:space="0" w:color="000000"/>
              <w:left w:val="single" w:sz="4" w:space="0" w:color="000000"/>
              <w:bottom w:val="single" w:sz="4" w:space="0" w:color="000000"/>
              <w:right w:val="single" w:sz="4" w:space="0" w:color="000000"/>
            </w:tcBorders>
          </w:tcPr>
          <w:p w14:paraId="595A9595" w14:textId="77777777" w:rsidR="00976AF5" w:rsidRDefault="00976AF5" w:rsidP="00E70C0A">
            <w:pPr>
              <w:widowControl w:val="0"/>
              <w:jc w:val="right"/>
              <w:rPr>
                <w:color w:val="000000"/>
                <w:sz w:val="20"/>
                <w:szCs w:val="20"/>
              </w:rPr>
            </w:pPr>
            <w:r>
              <w:rPr>
                <w:color w:val="000000"/>
                <w:sz w:val="20"/>
                <w:szCs w:val="20"/>
              </w:rPr>
              <w:t>1.2930</w:t>
            </w:r>
          </w:p>
        </w:tc>
        <w:tc>
          <w:tcPr>
            <w:tcW w:w="1952" w:type="dxa"/>
            <w:tcBorders>
              <w:top w:val="single" w:sz="4" w:space="0" w:color="000000"/>
              <w:left w:val="single" w:sz="4" w:space="0" w:color="000000"/>
              <w:bottom w:val="single" w:sz="4" w:space="0" w:color="000000"/>
              <w:right w:val="single" w:sz="4" w:space="0" w:color="000000"/>
            </w:tcBorders>
          </w:tcPr>
          <w:p w14:paraId="03295976" w14:textId="77777777" w:rsidR="00976AF5" w:rsidRDefault="00976AF5" w:rsidP="00E70C0A">
            <w:pPr>
              <w:widowControl w:val="0"/>
              <w:jc w:val="right"/>
              <w:rPr>
                <w:color w:val="000000"/>
                <w:sz w:val="20"/>
                <w:szCs w:val="20"/>
              </w:rPr>
            </w:pPr>
            <w:r>
              <w:rPr>
                <w:color w:val="000000"/>
                <w:sz w:val="20"/>
                <w:szCs w:val="20"/>
              </w:rPr>
              <w:t>0.5095</w:t>
            </w:r>
          </w:p>
        </w:tc>
        <w:tc>
          <w:tcPr>
            <w:tcW w:w="2129" w:type="dxa"/>
            <w:tcBorders>
              <w:top w:val="single" w:sz="4" w:space="0" w:color="000000"/>
              <w:left w:val="single" w:sz="4" w:space="0" w:color="000000"/>
              <w:bottom w:val="single" w:sz="4" w:space="0" w:color="000000"/>
              <w:right w:val="single" w:sz="4" w:space="0" w:color="000000"/>
            </w:tcBorders>
          </w:tcPr>
          <w:p w14:paraId="6459BFA8" w14:textId="77777777" w:rsidR="00976AF5" w:rsidRDefault="00976AF5" w:rsidP="00E70C0A">
            <w:pPr>
              <w:widowControl w:val="0"/>
              <w:jc w:val="right"/>
              <w:rPr>
                <w:color w:val="000000"/>
                <w:sz w:val="20"/>
                <w:szCs w:val="20"/>
              </w:rPr>
            </w:pPr>
            <w:r>
              <w:rPr>
                <w:color w:val="000000"/>
                <w:sz w:val="20"/>
                <w:szCs w:val="20"/>
              </w:rPr>
              <w:t>0.6331</w:t>
            </w:r>
          </w:p>
        </w:tc>
      </w:tr>
      <w:tr w:rsidR="00976AF5" w14:paraId="674E9670"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2FD179D6" w14:textId="77777777" w:rsidR="00976AF5" w:rsidRDefault="00976AF5" w:rsidP="00E70C0A">
            <w:pPr>
              <w:widowControl w:val="0"/>
              <w:jc w:val="center"/>
              <w:rPr>
                <w:color w:val="000000"/>
                <w:sz w:val="20"/>
                <w:szCs w:val="20"/>
              </w:rPr>
            </w:pPr>
            <w:r>
              <w:rPr>
                <w:color w:val="000000"/>
                <w:sz w:val="20"/>
                <w:szCs w:val="20"/>
              </w:rPr>
              <w:t>01-02-2019</w:t>
            </w:r>
          </w:p>
        </w:tc>
        <w:tc>
          <w:tcPr>
            <w:tcW w:w="1708" w:type="dxa"/>
            <w:tcBorders>
              <w:top w:val="single" w:sz="4" w:space="0" w:color="000000"/>
              <w:left w:val="single" w:sz="4" w:space="0" w:color="000000"/>
              <w:bottom w:val="single" w:sz="4" w:space="0" w:color="000000"/>
              <w:right w:val="single" w:sz="4" w:space="0" w:color="000000"/>
            </w:tcBorders>
          </w:tcPr>
          <w:p w14:paraId="123BCF20" w14:textId="77777777" w:rsidR="00976AF5" w:rsidRDefault="00976AF5" w:rsidP="00E70C0A">
            <w:pPr>
              <w:widowControl w:val="0"/>
              <w:jc w:val="right"/>
              <w:rPr>
                <w:color w:val="000000"/>
                <w:sz w:val="20"/>
                <w:szCs w:val="20"/>
              </w:rPr>
            </w:pPr>
            <w:r>
              <w:rPr>
                <w:color w:val="000000"/>
                <w:sz w:val="20"/>
                <w:szCs w:val="20"/>
              </w:rPr>
              <w:t>-1.3334</w:t>
            </w:r>
          </w:p>
        </w:tc>
        <w:tc>
          <w:tcPr>
            <w:tcW w:w="1815" w:type="dxa"/>
            <w:tcBorders>
              <w:top w:val="single" w:sz="4" w:space="0" w:color="000000"/>
              <w:left w:val="single" w:sz="4" w:space="0" w:color="000000"/>
              <w:bottom w:val="single" w:sz="4" w:space="0" w:color="000000"/>
              <w:right w:val="single" w:sz="4" w:space="0" w:color="000000"/>
            </w:tcBorders>
          </w:tcPr>
          <w:p w14:paraId="1B85C3F0" w14:textId="77777777" w:rsidR="00976AF5" w:rsidRDefault="00976AF5" w:rsidP="00E70C0A">
            <w:pPr>
              <w:widowControl w:val="0"/>
              <w:jc w:val="right"/>
              <w:rPr>
                <w:color w:val="000000"/>
                <w:sz w:val="20"/>
                <w:szCs w:val="20"/>
              </w:rPr>
            </w:pPr>
            <w:r>
              <w:rPr>
                <w:color w:val="000000"/>
                <w:sz w:val="20"/>
                <w:szCs w:val="20"/>
              </w:rPr>
              <w:t>-1.3240</w:t>
            </w:r>
          </w:p>
        </w:tc>
        <w:tc>
          <w:tcPr>
            <w:tcW w:w="1952" w:type="dxa"/>
            <w:tcBorders>
              <w:top w:val="single" w:sz="4" w:space="0" w:color="000000"/>
              <w:left w:val="single" w:sz="4" w:space="0" w:color="000000"/>
              <w:bottom w:val="single" w:sz="4" w:space="0" w:color="000000"/>
              <w:right w:val="single" w:sz="4" w:space="0" w:color="000000"/>
            </w:tcBorders>
          </w:tcPr>
          <w:p w14:paraId="75BA8256" w14:textId="77777777" w:rsidR="00976AF5" w:rsidRDefault="00976AF5" w:rsidP="00E70C0A">
            <w:pPr>
              <w:widowControl w:val="0"/>
              <w:jc w:val="right"/>
              <w:rPr>
                <w:color w:val="000000"/>
                <w:sz w:val="20"/>
                <w:szCs w:val="20"/>
              </w:rPr>
            </w:pPr>
            <w:r>
              <w:rPr>
                <w:color w:val="000000"/>
                <w:sz w:val="20"/>
                <w:szCs w:val="20"/>
              </w:rPr>
              <w:t>-0.5448</w:t>
            </w:r>
          </w:p>
        </w:tc>
        <w:tc>
          <w:tcPr>
            <w:tcW w:w="2129" w:type="dxa"/>
            <w:tcBorders>
              <w:top w:val="single" w:sz="4" w:space="0" w:color="000000"/>
              <w:left w:val="single" w:sz="4" w:space="0" w:color="000000"/>
              <w:bottom w:val="single" w:sz="4" w:space="0" w:color="000000"/>
              <w:right w:val="single" w:sz="4" w:space="0" w:color="000000"/>
            </w:tcBorders>
          </w:tcPr>
          <w:p w14:paraId="0F270745" w14:textId="77777777" w:rsidR="00976AF5" w:rsidRDefault="00976AF5" w:rsidP="00E70C0A">
            <w:pPr>
              <w:widowControl w:val="0"/>
              <w:jc w:val="right"/>
              <w:rPr>
                <w:color w:val="000000"/>
                <w:sz w:val="20"/>
                <w:szCs w:val="20"/>
              </w:rPr>
            </w:pPr>
            <w:r>
              <w:rPr>
                <w:color w:val="000000"/>
                <w:sz w:val="20"/>
                <w:szCs w:val="20"/>
              </w:rPr>
              <w:t>-0.6482</w:t>
            </w:r>
          </w:p>
        </w:tc>
      </w:tr>
      <w:tr w:rsidR="00976AF5" w14:paraId="563094AC" w14:textId="77777777" w:rsidTr="009974FD">
        <w:tc>
          <w:tcPr>
            <w:tcW w:w="1980" w:type="dxa"/>
            <w:tcBorders>
              <w:top w:val="single" w:sz="4" w:space="0" w:color="000000"/>
              <w:left w:val="single" w:sz="4" w:space="0" w:color="000000"/>
              <w:bottom w:val="single" w:sz="4" w:space="0" w:color="000000"/>
              <w:right w:val="single" w:sz="4" w:space="0" w:color="000000"/>
            </w:tcBorders>
          </w:tcPr>
          <w:p w14:paraId="4CEE459E" w14:textId="77777777" w:rsidR="00976AF5" w:rsidRDefault="00976AF5" w:rsidP="00E70C0A">
            <w:pPr>
              <w:widowControl w:val="0"/>
              <w:jc w:val="center"/>
              <w:rPr>
                <w:color w:val="000000"/>
                <w:sz w:val="20"/>
                <w:szCs w:val="20"/>
              </w:rPr>
            </w:pPr>
            <w:r>
              <w:rPr>
                <w:color w:val="000000"/>
                <w:sz w:val="20"/>
                <w:szCs w:val="20"/>
              </w:rPr>
              <w:t>01-03-2019</w:t>
            </w:r>
          </w:p>
        </w:tc>
        <w:tc>
          <w:tcPr>
            <w:tcW w:w="1708" w:type="dxa"/>
            <w:tcBorders>
              <w:top w:val="single" w:sz="4" w:space="0" w:color="000000"/>
              <w:left w:val="single" w:sz="4" w:space="0" w:color="000000"/>
              <w:bottom w:val="single" w:sz="4" w:space="0" w:color="000000"/>
              <w:right w:val="single" w:sz="4" w:space="0" w:color="000000"/>
            </w:tcBorders>
          </w:tcPr>
          <w:p w14:paraId="6BF18CB2" w14:textId="77777777" w:rsidR="00976AF5" w:rsidRDefault="00976AF5" w:rsidP="00E70C0A">
            <w:pPr>
              <w:widowControl w:val="0"/>
              <w:jc w:val="right"/>
              <w:rPr>
                <w:color w:val="000000"/>
                <w:sz w:val="20"/>
                <w:szCs w:val="20"/>
              </w:rPr>
            </w:pPr>
            <w:r>
              <w:rPr>
                <w:color w:val="000000"/>
                <w:sz w:val="20"/>
                <w:szCs w:val="20"/>
              </w:rPr>
              <w:t>0.1042</w:t>
            </w:r>
          </w:p>
        </w:tc>
        <w:tc>
          <w:tcPr>
            <w:tcW w:w="1815" w:type="dxa"/>
            <w:tcBorders>
              <w:top w:val="single" w:sz="4" w:space="0" w:color="000000"/>
              <w:left w:val="single" w:sz="4" w:space="0" w:color="000000"/>
              <w:bottom w:val="single" w:sz="4" w:space="0" w:color="000000"/>
              <w:right w:val="single" w:sz="4" w:space="0" w:color="000000"/>
            </w:tcBorders>
          </w:tcPr>
          <w:p w14:paraId="2CAF81C0" w14:textId="77777777" w:rsidR="00976AF5" w:rsidRDefault="00976AF5" w:rsidP="00E70C0A">
            <w:pPr>
              <w:widowControl w:val="0"/>
              <w:jc w:val="right"/>
              <w:rPr>
                <w:color w:val="000000"/>
                <w:sz w:val="20"/>
                <w:szCs w:val="20"/>
              </w:rPr>
            </w:pPr>
            <w:r>
              <w:rPr>
                <w:color w:val="000000"/>
                <w:sz w:val="20"/>
                <w:szCs w:val="20"/>
              </w:rPr>
              <w:t>-0.5248</w:t>
            </w:r>
          </w:p>
        </w:tc>
        <w:tc>
          <w:tcPr>
            <w:tcW w:w="1952" w:type="dxa"/>
            <w:tcBorders>
              <w:top w:val="single" w:sz="4" w:space="0" w:color="000000"/>
              <w:left w:val="single" w:sz="4" w:space="0" w:color="000000"/>
              <w:bottom w:val="single" w:sz="4" w:space="0" w:color="000000"/>
              <w:right w:val="single" w:sz="4" w:space="0" w:color="000000"/>
            </w:tcBorders>
          </w:tcPr>
          <w:p w14:paraId="64116A9B" w14:textId="77777777" w:rsidR="00976AF5" w:rsidRDefault="00976AF5" w:rsidP="00E70C0A">
            <w:pPr>
              <w:widowControl w:val="0"/>
              <w:jc w:val="right"/>
              <w:rPr>
                <w:color w:val="000000"/>
                <w:sz w:val="20"/>
                <w:szCs w:val="20"/>
              </w:rPr>
            </w:pPr>
            <w:r>
              <w:rPr>
                <w:color w:val="000000"/>
                <w:sz w:val="20"/>
                <w:szCs w:val="20"/>
              </w:rPr>
              <w:t>0.0426</w:t>
            </w:r>
          </w:p>
        </w:tc>
        <w:tc>
          <w:tcPr>
            <w:tcW w:w="2129" w:type="dxa"/>
            <w:tcBorders>
              <w:top w:val="single" w:sz="4" w:space="0" w:color="000000"/>
              <w:left w:val="single" w:sz="4" w:space="0" w:color="000000"/>
              <w:bottom w:val="single" w:sz="4" w:space="0" w:color="auto"/>
              <w:right w:val="single" w:sz="4" w:space="0" w:color="000000"/>
            </w:tcBorders>
          </w:tcPr>
          <w:p w14:paraId="0B339D92" w14:textId="77777777" w:rsidR="00976AF5" w:rsidRDefault="00976AF5" w:rsidP="00E70C0A">
            <w:pPr>
              <w:widowControl w:val="0"/>
              <w:jc w:val="right"/>
              <w:rPr>
                <w:color w:val="000000"/>
                <w:sz w:val="20"/>
                <w:szCs w:val="20"/>
              </w:rPr>
            </w:pPr>
            <w:r>
              <w:rPr>
                <w:color w:val="000000"/>
                <w:sz w:val="20"/>
                <w:szCs w:val="20"/>
              </w:rPr>
              <w:t>-0.2569</w:t>
            </w:r>
          </w:p>
        </w:tc>
      </w:tr>
      <w:tr w:rsidR="00976AF5" w14:paraId="6093F7C7" w14:textId="77777777" w:rsidTr="009974FD">
        <w:tc>
          <w:tcPr>
            <w:tcW w:w="1980" w:type="dxa"/>
            <w:tcBorders>
              <w:top w:val="single" w:sz="4" w:space="0" w:color="000000"/>
              <w:left w:val="single" w:sz="4" w:space="0" w:color="000000"/>
              <w:bottom w:val="single" w:sz="4" w:space="0" w:color="000000"/>
              <w:right w:val="single" w:sz="4" w:space="0" w:color="000000"/>
            </w:tcBorders>
          </w:tcPr>
          <w:p w14:paraId="20C471E3" w14:textId="77777777" w:rsidR="00976AF5" w:rsidRDefault="00976AF5" w:rsidP="00E70C0A">
            <w:pPr>
              <w:widowControl w:val="0"/>
              <w:jc w:val="center"/>
              <w:rPr>
                <w:color w:val="000000"/>
                <w:sz w:val="20"/>
                <w:szCs w:val="20"/>
              </w:rPr>
            </w:pPr>
            <w:r>
              <w:rPr>
                <w:color w:val="000000"/>
                <w:sz w:val="20"/>
                <w:szCs w:val="20"/>
              </w:rPr>
              <w:t>01-04-2019</w:t>
            </w:r>
          </w:p>
        </w:tc>
        <w:tc>
          <w:tcPr>
            <w:tcW w:w="1708" w:type="dxa"/>
            <w:tcBorders>
              <w:top w:val="single" w:sz="4" w:space="0" w:color="000000"/>
              <w:left w:val="single" w:sz="4" w:space="0" w:color="000000"/>
              <w:bottom w:val="single" w:sz="4" w:space="0" w:color="000000"/>
              <w:right w:val="single" w:sz="4" w:space="0" w:color="000000"/>
            </w:tcBorders>
          </w:tcPr>
          <w:p w14:paraId="2B51DE6B" w14:textId="77777777" w:rsidR="00976AF5" w:rsidRDefault="00976AF5" w:rsidP="00E70C0A">
            <w:pPr>
              <w:widowControl w:val="0"/>
              <w:jc w:val="right"/>
              <w:rPr>
                <w:color w:val="000000"/>
                <w:sz w:val="20"/>
                <w:szCs w:val="20"/>
              </w:rPr>
            </w:pPr>
            <w:r>
              <w:rPr>
                <w:color w:val="000000"/>
                <w:sz w:val="20"/>
                <w:szCs w:val="20"/>
              </w:rPr>
              <w:t>5.3639</w:t>
            </w:r>
          </w:p>
        </w:tc>
        <w:tc>
          <w:tcPr>
            <w:tcW w:w="1815" w:type="dxa"/>
            <w:tcBorders>
              <w:top w:val="single" w:sz="4" w:space="0" w:color="000000"/>
              <w:left w:val="single" w:sz="4" w:space="0" w:color="000000"/>
              <w:bottom w:val="single" w:sz="4" w:space="0" w:color="000000"/>
              <w:right w:val="single" w:sz="4" w:space="0" w:color="000000"/>
            </w:tcBorders>
          </w:tcPr>
          <w:p w14:paraId="7ECE7740" w14:textId="77777777" w:rsidR="00976AF5" w:rsidRDefault="00976AF5" w:rsidP="00E70C0A">
            <w:pPr>
              <w:widowControl w:val="0"/>
              <w:jc w:val="right"/>
              <w:rPr>
                <w:color w:val="000000"/>
                <w:sz w:val="20"/>
                <w:szCs w:val="20"/>
              </w:rPr>
            </w:pPr>
            <w:r>
              <w:rPr>
                <w:color w:val="000000"/>
                <w:sz w:val="20"/>
                <w:szCs w:val="20"/>
              </w:rPr>
              <w:t>4.4892</w:t>
            </w:r>
          </w:p>
        </w:tc>
        <w:tc>
          <w:tcPr>
            <w:tcW w:w="1952" w:type="dxa"/>
            <w:tcBorders>
              <w:top w:val="single" w:sz="4" w:space="0" w:color="000000"/>
              <w:left w:val="single" w:sz="4" w:space="0" w:color="000000"/>
              <w:bottom w:val="single" w:sz="4" w:space="0" w:color="000000"/>
              <w:right w:val="single" w:sz="4" w:space="0" w:color="auto"/>
            </w:tcBorders>
          </w:tcPr>
          <w:p w14:paraId="51C1BDEC" w14:textId="77777777" w:rsidR="00976AF5" w:rsidRDefault="00976AF5" w:rsidP="00E70C0A">
            <w:pPr>
              <w:widowControl w:val="0"/>
              <w:jc w:val="right"/>
              <w:rPr>
                <w:color w:val="000000"/>
                <w:sz w:val="20"/>
                <w:szCs w:val="20"/>
              </w:rPr>
            </w:pPr>
            <w:r>
              <w:rPr>
                <w:color w:val="000000"/>
                <w:sz w:val="20"/>
                <w:szCs w:val="20"/>
              </w:rPr>
              <w:t>2.1916</w:t>
            </w:r>
          </w:p>
        </w:tc>
        <w:tc>
          <w:tcPr>
            <w:tcW w:w="2129" w:type="dxa"/>
            <w:tcBorders>
              <w:top w:val="single" w:sz="4" w:space="0" w:color="auto"/>
              <w:left w:val="single" w:sz="4" w:space="0" w:color="auto"/>
              <w:bottom w:val="single" w:sz="4" w:space="0" w:color="auto"/>
              <w:right w:val="single" w:sz="4" w:space="0" w:color="auto"/>
            </w:tcBorders>
          </w:tcPr>
          <w:p w14:paraId="109FE153" w14:textId="77777777" w:rsidR="00976AF5" w:rsidRDefault="00976AF5" w:rsidP="00E70C0A">
            <w:pPr>
              <w:widowControl w:val="0"/>
              <w:jc w:val="right"/>
              <w:rPr>
                <w:color w:val="000000"/>
                <w:sz w:val="20"/>
                <w:szCs w:val="20"/>
              </w:rPr>
            </w:pPr>
            <w:r>
              <w:rPr>
                <w:color w:val="000000"/>
                <w:sz w:val="20"/>
                <w:szCs w:val="20"/>
              </w:rPr>
              <w:t>0.1528</w:t>
            </w:r>
          </w:p>
        </w:tc>
      </w:tr>
      <w:tr w:rsidR="00976AF5" w14:paraId="5077B7C5" w14:textId="77777777" w:rsidTr="009974FD">
        <w:tc>
          <w:tcPr>
            <w:tcW w:w="1980" w:type="dxa"/>
            <w:tcBorders>
              <w:top w:val="single" w:sz="4" w:space="0" w:color="000000"/>
              <w:left w:val="single" w:sz="4" w:space="0" w:color="000000"/>
              <w:bottom w:val="single" w:sz="4" w:space="0" w:color="000000"/>
              <w:right w:val="single" w:sz="4" w:space="0" w:color="000000"/>
            </w:tcBorders>
          </w:tcPr>
          <w:p w14:paraId="27958A33" w14:textId="77777777" w:rsidR="00976AF5" w:rsidRDefault="00976AF5" w:rsidP="00E70C0A">
            <w:pPr>
              <w:widowControl w:val="0"/>
              <w:jc w:val="center"/>
              <w:rPr>
                <w:color w:val="000000"/>
                <w:sz w:val="20"/>
                <w:szCs w:val="20"/>
              </w:rPr>
            </w:pPr>
            <w:r>
              <w:rPr>
                <w:color w:val="000000"/>
                <w:sz w:val="20"/>
                <w:szCs w:val="20"/>
              </w:rPr>
              <w:t>02-05-2019</w:t>
            </w:r>
          </w:p>
        </w:tc>
        <w:tc>
          <w:tcPr>
            <w:tcW w:w="1708" w:type="dxa"/>
            <w:tcBorders>
              <w:top w:val="single" w:sz="4" w:space="0" w:color="000000"/>
              <w:left w:val="single" w:sz="4" w:space="0" w:color="000000"/>
              <w:bottom w:val="single" w:sz="4" w:space="0" w:color="000000"/>
              <w:right w:val="single" w:sz="4" w:space="0" w:color="000000"/>
            </w:tcBorders>
          </w:tcPr>
          <w:p w14:paraId="2EE39880" w14:textId="77777777" w:rsidR="00976AF5" w:rsidRDefault="00976AF5" w:rsidP="00E70C0A">
            <w:pPr>
              <w:widowControl w:val="0"/>
              <w:jc w:val="right"/>
              <w:rPr>
                <w:color w:val="000000"/>
                <w:sz w:val="20"/>
                <w:szCs w:val="20"/>
              </w:rPr>
            </w:pPr>
            <w:r>
              <w:rPr>
                <w:color w:val="000000"/>
                <w:sz w:val="20"/>
                <w:szCs w:val="20"/>
              </w:rPr>
              <w:t>-3.1401</w:t>
            </w:r>
          </w:p>
        </w:tc>
        <w:tc>
          <w:tcPr>
            <w:tcW w:w="1815" w:type="dxa"/>
            <w:tcBorders>
              <w:top w:val="single" w:sz="4" w:space="0" w:color="000000"/>
              <w:left w:val="single" w:sz="4" w:space="0" w:color="000000"/>
              <w:bottom w:val="single" w:sz="4" w:space="0" w:color="000000"/>
              <w:right w:val="single" w:sz="4" w:space="0" w:color="000000"/>
            </w:tcBorders>
          </w:tcPr>
          <w:p w14:paraId="6C5E3566" w14:textId="77777777" w:rsidR="00976AF5" w:rsidRDefault="00976AF5" w:rsidP="00E70C0A">
            <w:pPr>
              <w:widowControl w:val="0"/>
              <w:jc w:val="right"/>
              <w:rPr>
                <w:color w:val="000000"/>
                <w:sz w:val="20"/>
                <w:szCs w:val="20"/>
              </w:rPr>
            </w:pPr>
            <w:r>
              <w:rPr>
                <w:color w:val="000000"/>
                <w:sz w:val="20"/>
                <w:szCs w:val="20"/>
              </w:rPr>
              <w:t>-1.6568</w:t>
            </w:r>
          </w:p>
        </w:tc>
        <w:tc>
          <w:tcPr>
            <w:tcW w:w="1952" w:type="dxa"/>
            <w:tcBorders>
              <w:top w:val="single" w:sz="4" w:space="0" w:color="000000"/>
              <w:left w:val="single" w:sz="4" w:space="0" w:color="000000"/>
              <w:bottom w:val="single" w:sz="4" w:space="0" w:color="auto"/>
              <w:right w:val="single" w:sz="4" w:space="0" w:color="auto"/>
            </w:tcBorders>
          </w:tcPr>
          <w:p w14:paraId="75336E28" w14:textId="77777777" w:rsidR="00976AF5" w:rsidRDefault="00976AF5" w:rsidP="00E70C0A">
            <w:pPr>
              <w:widowControl w:val="0"/>
              <w:jc w:val="right"/>
              <w:rPr>
                <w:color w:val="000000"/>
                <w:sz w:val="20"/>
                <w:szCs w:val="20"/>
              </w:rPr>
            </w:pPr>
            <w:r>
              <w:rPr>
                <w:color w:val="000000"/>
                <w:sz w:val="20"/>
                <w:szCs w:val="20"/>
              </w:rPr>
              <w:t>-1.2830</w:t>
            </w:r>
          </w:p>
        </w:tc>
        <w:tc>
          <w:tcPr>
            <w:tcW w:w="2129" w:type="dxa"/>
            <w:tcBorders>
              <w:top w:val="single" w:sz="4" w:space="0" w:color="auto"/>
              <w:left w:val="single" w:sz="4" w:space="0" w:color="auto"/>
              <w:bottom w:val="single" w:sz="4" w:space="0" w:color="auto"/>
              <w:right w:val="single" w:sz="4" w:space="0" w:color="auto"/>
            </w:tcBorders>
          </w:tcPr>
          <w:p w14:paraId="5115E825" w14:textId="77777777" w:rsidR="00976AF5" w:rsidRDefault="00976AF5" w:rsidP="00E70C0A">
            <w:pPr>
              <w:widowControl w:val="0"/>
              <w:jc w:val="right"/>
              <w:rPr>
                <w:color w:val="000000"/>
                <w:sz w:val="20"/>
                <w:szCs w:val="20"/>
              </w:rPr>
            </w:pPr>
            <w:r>
              <w:rPr>
                <w:color w:val="000000"/>
                <w:sz w:val="20"/>
                <w:szCs w:val="20"/>
              </w:rPr>
              <w:t>-0.7497</w:t>
            </w:r>
          </w:p>
        </w:tc>
      </w:tr>
      <w:tr w:rsidR="00976AF5" w14:paraId="7A0E89E6" w14:textId="77777777" w:rsidTr="009974FD">
        <w:tc>
          <w:tcPr>
            <w:tcW w:w="1980" w:type="dxa"/>
            <w:tcBorders>
              <w:top w:val="single" w:sz="4" w:space="0" w:color="000000"/>
              <w:left w:val="single" w:sz="4" w:space="0" w:color="000000"/>
              <w:bottom w:val="single" w:sz="4" w:space="0" w:color="000000"/>
              <w:right w:val="single" w:sz="4" w:space="0" w:color="000000"/>
            </w:tcBorders>
          </w:tcPr>
          <w:p w14:paraId="1BD1E2BA" w14:textId="77777777" w:rsidR="00976AF5" w:rsidRDefault="00976AF5" w:rsidP="00E70C0A">
            <w:pPr>
              <w:widowControl w:val="0"/>
              <w:jc w:val="center"/>
              <w:rPr>
                <w:color w:val="000000"/>
                <w:sz w:val="20"/>
                <w:szCs w:val="20"/>
              </w:rPr>
            </w:pPr>
            <w:r>
              <w:rPr>
                <w:color w:val="000000"/>
                <w:sz w:val="20"/>
                <w:szCs w:val="20"/>
              </w:rPr>
              <w:t>03-06-2019</w:t>
            </w:r>
          </w:p>
        </w:tc>
        <w:tc>
          <w:tcPr>
            <w:tcW w:w="1708" w:type="dxa"/>
            <w:tcBorders>
              <w:top w:val="single" w:sz="4" w:space="0" w:color="000000"/>
              <w:left w:val="single" w:sz="4" w:space="0" w:color="000000"/>
              <w:bottom w:val="single" w:sz="4" w:space="0" w:color="000000"/>
              <w:right w:val="single" w:sz="4" w:space="0" w:color="000000"/>
            </w:tcBorders>
          </w:tcPr>
          <w:p w14:paraId="5DF3AB19" w14:textId="77777777" w:rsidR="00976AF5" w:rsidRDefault="00976AF5" w:rsidP="00E70C0A">
            <w:pPr>
              <w:widowControl w:val="0"/>
              <w:jc w:val="right"/>
              <w:rPr>
                <w:color w:val="000000"/>
                <w:sz w:val="20"/>
                <w:szCs w:val="20"/>
              </w:rPr>
            </w:pPr>
            <w:r>
              <w:rPr>
                <w:color w:val="000000"/>
                <w:sz w:val="20"/>
                <w:szCs w:val="20"/>
              </w:rPr>
              <w:t>1.6704</w:t>
            </w:r>
          </w:p>
        </w:tc>
        <w:tc>
          <w:tcPr>
            <w:tcW w:w="1815" w:type="dxa"/>
            <w:tcBorders>
              <w:top w:val="single" w:sz="4" w:space="0" w:color="000000"/>
              <w:left w:val="single" w:sz="4" w:space="0" w:color="000000"/>
              <w:bottom w:val="single" w:sz="4" w:space="0" w:color="000000"/>
              <w:right w:val="single" w:sz="4" w:space="0" w:color="auto"/>
            </w:tcBorders>
          </w:tcPr>
          <w:p w14:paraId="67F7BA64" w14:textId="77777777" w:rsidR="00976AF5" w:rsidRDefault="00976AF5" w:rsidP="00E70C0A">
            <w:pPr>
              <w:widowControl w:val="0"/>
              <w:jc w:val="right"/>
              <w:rPr>
                <w:color w:val="000000"/>
                <w:sz w:val="20"/>
                <w:szCs w:val="20"/>
              </w:rPr>
            </w:pPr>
            <w:r>
              <w:rPr>
                <w:color w:val="000000"/>
                <w:sz w:val="20"/>
                <w:szCs w:val="20"/>
              </w:rPr>
              <w:t>1.3757</w:t>
            </w:r>
          </w:p>
        </w:tc>
        <w:tc>
          <w:tcPr>
            <w:tcW w:w="1952" w:type="dxa"/>
            <w:tcBorders>
              <w:top w:val="single" w:sz="4" w:space="0" w:color="auto"/>
              <w:left w:val="single" w:sz="4" w:space="0" w:color="auto"/>
              <w:bottom w:val="single" w:sz="4" w:space="0" w:color="auto"/>
              <w:right w:val="single" w:sz="4" w:space="0" w:color="auto"/>
            </w:tcBorders>
          </w:tcPr>
          <w:p w14:paraId="25B68624" w14:textId="77777777" w:rsidR="00976AF5" w:rsidRDefault="00976AF5" w:rsidP="00E70C0A">
            <w:pPr>
              <w:widowControl w:val="0"/>
              <w:jc w:val="right"/>
              <w:rPr>
                <w:color w:val="000000"/>
                <w:sz w:val="20"/>
                <w:szCs w:val="20"/>
              </w:rPr>
            </w:pPr>
            <w:r>
              <w:rPr>
                <w:color w:val="000000"/>
                <w:sz w:val="20"/>
                <w:szCs w:val="20"/>
              </w:rPr>
              <w:t>0.6826</w:t>
            </w:r>
          </w:p>
        </w:tc>
        <w:tc>
          <w:tcPr>
            <w:tcW w:w="2129" w:type="dxa"/>
            <w:tcBorders>
              <w:top w:val="single" w:sz="4" w:space="0" w:color="auto"/>
              <w:left w:val="single" w:sz="4" w:space="0" w:color="auto"/>
              <w:bottom w:val="single" w:sz="4" w:space="0" w:color="auto"/>
              <w:right w:val="single" w:sz="4" w:space="0" w:color="auto"/>
            </w:tcBorders>
          </w:tcPr>
          <w:p w14:paraId="6644D790" w14:textId="77777777" w:rsidR="00976AF5" w:rsidRDefault="00976AF5" w:rsidP="00E70C0A">
            <w:pPr>
              <w:widowControl w:val="0"/>
              <w:jc w:val="right"/>
              <w:rPr>
                <w:color w:val="000000"/>
                <w:sz w:val="20"/>
                <w:szCs w:val="20"/>
              </w:rPr>
            </w:pPr>
            <w:r>
              <w:rPr>
                <w:color w:val="000000"/>
                <w:sz w:val="20"/>
                <w:szCs w:val="20"/>
              </w:rPr>
              <w:t>0.6226</w:t>
            </w:r>
          </w:p>
        </w:tc>
      </w:tr>
      <w:tr w:rsidR="00976AF5" w14:paraId="0AC09E9A" w14:textId="77777777" w:rsidTr="009974FD">
        <w:tc>
          <w:tcPr>
            <w:tcW w:w="1980" w:type="dxa"/>
            <w:tcBorders>
              <w:top w:val="single" w:sz="4" w:space="0" w:color="000000"/>
              <w:left w:val="single" w:sz="4" w:space="0" w:color="000000"/>
              <w:bottom w:val="single" w:sz="4" w:space="0" w:color="000000"/>
              <w:right w:val="single" w:sz="4" w:space="0" w:color="000000"/>
            </w:tcBorders>
          </w:tcPr>
          <w:p w14:paraId="1ACD2D8D" w14:textId="77777777" w:rsidR="00976AF5" w:rsidRDefault="00976AF5" w:rsidP="00E70C0A">
            <w:pPr>
              <w:widowControl w:val="0"/>
              <w:jc w:val="center"/>
              <w:rPr>
                <w:color w:val="000000"/>
                <w:sz w:val="20"/>
                <w:szCs w:val="20"/>
              </w:rPr>
            </w:pPr>
            <w:r>
              <w:rPr>
                <w:color w:val="000000"/>
                <w:sz w:val="20"/>
                <w:szCs w:val="20"/>
              </w:rPr>
              <w:t>01-07-2019</w:t>
            </w:r>
          </w:p>
        </w:tc>
        <w:tc>
          <w:tcPr>
            <w:tcW w:w="1708" w:type="dxa"/>
            <w:tcBorders>
              <w:top w:val="single" w:sz="4" w:space="0" w:color="000000"/>
              <w:left w:val="single" w:sz="4" w:space="0" w:color="000000"/>
              <w:bottom w:val="single" w:sz="4" w:space="0" w:color="000000"/>
              <w:right w:val="single" w:sz="4" w:space="0" w:color="000000"/>
            </w:tcBorders>
          </w:tcPr>
          <w:p w14:paraId="4C592A67" w14:textId="77777777" w:rsidR="00976AF5" w:rsidRDefault="00976AF5" w:rsidP="00E70C0A">
            <w:pPr>
              <w:widowControl w:val="0"/>
              <w:jc w:val="right"/>
              <w:rPr>
                <w:color w:val="000000"/>
                <w:sz w:val="20"/>
                <w:szCs w:val="20"/>
              </w:rPr>
            </w:pPr>
            <w:r>
              <w:rPr>
                <w:color w:val="000000"/>
                <w:sz w:val="20"/>
                <w:szCs w:val="20"/>
              </w:rPr>
              <w:t>-0.5985</w:t>
            </w:r>
          </w:p>
        </w:tc>
        <w:tc>
          <w:tcPr>
            <w:tcW w:w="1815" w:type="dxa"/>
            <w:tcBorders>
              <w:top w:val="single" w:sz="4" w:space="0" w:color="000000"/>
              <w:left w:val="single" w:sz="4" w:space="0" w:color="000000"/>
              <w:bottom w:val="single" w:sz="4" w:space="0" w:color="000000"/>
              <w:right w:val="single" w:sz="4" w:space="0" w:color="auto"/>
            </w:tcBorders>
          </w:tcPr>
          <w:p w14:paraId="13BC8364" w14:textId="77777777" w:rsidR="00976AF5" w:rsidRDefault="00976AF5" w:rsidP="00E70C0A">
            <w:pPr>
              <w:widowControl w:val="0"/>
              <w:jc w:val="right"/>
              <w:rPr>
                <w:color w:val="000000"/>
                <w:sz w:val="20"/>
                <w:szCs w:val="20"/>
              </w:rPr>
            </w:pPr>
            <w:r>
              <w:rPr>
                <w:color w:val="000000"/>
                <w:sz w:val="20"/>
                <w:szCs w:val="20"/>
              </w:rPr>
              <w:t>-1.8641</w:t>
            </w:r>
          </w:p>
        </w:tc>
        <w:tc>
          <w:tcPr>
            <w:tcW w:w="1952" w:type="dxa"/>
            <w:tcBorders>
              <w:top w:val="single" w:sz="4" w:space="0" w:color="auto"/>
              <w:left w:val="single" w:sz="4" w:space="0" w:color="auto"/>
              <w:bottom w:val="single" w:sz="4" w:space="0" w:color="auto"/>
              <w:right w:val="single" w:sz="4" w:space="0" w:color="auto"/>
            </w:tcBorders>
          </w:tcPr>
          <w:p w14:paraId="4209623A" w14:textId="77777777" w:rsidR="00976AF5" w:rsidRDefault="00976AF5" w:rsidP="00E70C0A">
            <w:pPr>
              <w:widowControl w:val="0"/>
              <w:jc w:val="right"/>
              <w:rPr>
                <w:color w:val="000000"/>
                <w:sz w:val="20"/>
                <w:szCs w:val="20"/>
              </w:rPr>
            </w:pPr>
            <w:r>
              <w:rPr>
                <w:color w:val="000000"/>
                <w:sz w:val="20"/>
                <w:szCs w:val="20"/>
              </w:rPr>
              <w:t>-0.2446</w:t>
            </w:r>
          </w:p>
        </w:tc>
        <w:tc>
          <w:tcPr>
            <w:tcW w:w="2129" w:type="dxa"/>
            <w:tcBorders>
              <w:top w:val="single" w:sz="4" w:space="0" w:color="auto"/>
              <w:left w:val="single" w:sz="4" w:space="0" w:color="auto"/>
              <w:bottom w:val="single" w:sz="4" w:space="0" w:color="auto"/>
              <w:right w:val="single" w:sz="4" w:space="0" w:color="auto"/>
            </w:tcBorders>
          </w:tcPr>
          <w:p w14:paraId="7D0A2F2C" w14:textId="77777777" w:rsidR="00976AF5" w:rsidRDefault="00976AF5" w:rsidP="00E70C0A">
            <w:pPr>
              <w:widowControl w:val="0"/>
              <w:jc w:val="right"/>
              <w:rPr>
                <w:color w:val="000000"/>
                <w:sz w:val="20"/>
                <w:szCs w:val="20"/>
              </w:rPr>
            </w:pPr>
            <w:r>
              <w:rPr>
                <w:color w:val="000000"/>
                <w:sz w:val="20"/>
                <w:szCs w:val="20"/>
              </w:rPr>
              <w:t>-0.8437</w:t>
            </w:r>
          </w:p>
        </w:tc>
      </w:tr>
      <w:tr w:rsidR="00976AF5" w14:paraId="7672E8E3" w14:textId="77777777" w:rsidTr="009974FD">
        <w:tc>
          <w:tcPr>
            <w:tcW w:w="1980" w:type="dxa"/>
            <w:tcBorders>
              <w:top w:val="single" w:sz="4" w:space="0" w:color="000000"/>
              <w:left w:val="single" w:sz="4" w:space="0" w:color="000000"/>
              <w:bottom w:val="single" w:sz="4" w:space="0" w:color="000000"/>
              <w:right w:val="single" w:sz="4" w:space="0" w:color="000000"/>
            </w:tcBorders>
          </w:tcPr>
          <w:p w14:paraId="1A9137EA" w14:textId="77777777" w:rsidR="00976AF5" w:rsidRDefault="00976AF5" w:rsidP="00E70C0A">
            <w:pPr>
              <w:widowControl w:val="0"/>
              <w:jc w:val="center"/>
              <w:rPr>
                <w:color w:val="000000"/>
                <w:sz w:val="20"/>
                <w:szCs w:val="20"/>
              </w:rPr>
            </w:pPr>
            <w:r>
              <w:rPr>
                <w:color w:val="000000"/>
                <w:sz w:val="20"/>
                <w:szCs w:val="20"/>
              </w:rPr>
              <w:t>01-08-2019</w:t>
            </w:r>
          </w:p>
        </w:tc>
        <w:tc>
          <w:tcPr>
            <w:tcW w:w="1708" w:type="dxa"/>
            <w:tcBorders>
              <w:top w:val="single" w:sz="4" w:space="0" w:color="000000"/>
              <w:left w:val="single" w:sz="4" w:space="0" w:color="000000"/>
              <w:bottom w:val="single" w:sz="4" w:space="0" w:color="000000"/>
              <w:right w:val="single" w:sz="4" w:space="0" w:color="000000"/>
            </w:tcBorders>
          </w:tcPr>
          <w:p w14:paraId="501AC7CD" w14:textId="77777777" w:rsidR="00976AF5" w:rsidRDefault="00976AF5" w:rsidP="00E70C0A">
            <w:pPr>
              <w:widowControl w:val="0"/>
              <w:jc w:val="right"/>
              <w:rPr>
                <w:color w:val="000000"/>
                <w:sz w:val="20"/>
                <w:szCs w:val="20"/>
              </w:rPr>
            </w:pPr>
            <w:r>
              <w:rPr>
                <w:color w:val="000000"/>
                <w:sz w:val="20"/>
                <w:szCs w:val="20"/>
              </w:rPr>
              <w:t>-7.2056</w:t>
            </w:r>
          </w:p>
        </w:tc>
        <w:tc>
          <w:tcPr>
            <w:tcW w:w="1815" w:type="dxa"/>
            <w:tcBorders>
              <w:top w:val="single" w:sz="4" w:space="0" w:color="000000"/>
              <w:left w:val="single" w:sz="4" w:space="0" w:color="000000"/>
              <w:bottom w:val="single" w:sz="4" w:space="0" w:color="000000"/>
              <w:right w:val="single" w:sz="4" w:space="0" w:color="auto"/>
            </w:tcBorders>
          </w:tcPr>
          <w:p w14:paraId="2E6FDB5D" w14:textId="77777777" w:rsidR="00976AF5" w:rsidRDefault="00976AF5" w:rsidP="00E70C0A">
            <w:pPr>
              <w:widowControl w:val="0"/>
              <w:jc w:val="right"/>
              <w:rPr>
                <w:color w:val="000000"/>
                <w:sz w:val="20"/>
                <w:szCs w:val="20"/>
              </w:rPr>
            </w:pPr>
            <w:r>
              <w:rPr>
                <w:color w:val="000000"/>
                <w:sz w:val="20"/>
                <w:szCs w:val="20"/>
              </w:rPr>
              <w:t>-5.6326</w:t>
            </w:r>
          </w:p>
        </w:tc>
        <w:tc>
          <w:tcPr>
            <w:tcW w:w="1952" w:type="dxa"/>
            <w:tcBorders>
              <w:top w:val="single" w:sz="4" w:space="0" w:color="auto"/>
              <w:left w:val="single" w:sz="4" w:space="0" w:color="auto"/>
              <w:bottom w:val="single" w:sz="4" w:space="0" w:color="auto"/>
              <w:right w:val="single" w:sz="4" w:space="0" w:color="auto"/>
            </w:tcBorders>
          </w:tcPr>
          <w:p w14:paraId="143F5B1A" w14:textId="77777777" w:rsidR="00976AF5" w:rsidRDefault="00976AF5" w:rsidP="00E70C0A">
            <w:pPr>
              <w:widowControl w:val="0"/>
              <w:jc w:val="right"/>
              <w:rPr>
                <w:color w:val="000000"/>
                <w:sz w:val="20"/>
                <w:szCs w:val="20"/>
              </w:rPr>
            </w:pPr>
            <w:r>
              <w:rPr>
                <w:color w:val="000000"/>
                <w:sz w:val="20"/>
                <w:szCs w:val="20"/>
              </w:rPr>
              <w:t>-2.9443</w:t>
            </w:r>
          </w:p>
        </w:tc>
        <w:tc>
          <w:tcPr>
            <w:tcW w:w="2129" w:type="dxa"/>
            <w:tcBorders>
              <w:top w:val="single" w:sz="4" w:space="0" w:color="auto"/>
              <w:left w:val="single" w:sz="4" w:space="0" w:color="auto"/>
              <w:bottom w:val="single" w:sz="4" w:space="0" w:color="auto"/>
              <w:right w:val="single" w:sz="4" w:space="0" w:color="auto"/>
            </w:tcBorders>
          </w:tcPr>
          <w:p w14:paraId="5D969F87" w14:textId="77777777" w:rsidR="00976AF5" w:rsidRDefault="00976AF5" w:rsidP="00E70C0A">
            <w:pPr>
              <w:widowControl w:val="0"/>
              <w:jc w:val="right"/>
              <w:rPr>
                <w:color w:val="000000"/>
                <w:sz w:val="20"/>
                <w:szCs w:val="20"/>
              </w:rPr>
            </w:pPr>
            <w:r>
              <w:rPr>
                <w:color w:val="000000"/>
                <w:sz w:val="20"/>
                <w:szCs w:val="20"/>
              </w:rPr>
              <w:t>-2.5491</w:t>
            </w:r>
          </w:p>
        </w:tc>
      </w:tr>
      <w:tr w:rsidR="00976AF5" w14:paraId="76E2F7E5" w14:textId="77777777" w:rsidTr="009974FD">
        <w:tc>
          <w:tcPr>
            <w:tcW w:w="1980" w:type="dxa"/>
            <w:tcBorders>
              <w:top w:val="single" w:sz="4" w:space="0" w:color="000000"/>
              <w:left w:val="single" w:sz="4" w:space="0" w:color="000000"/>
              <w:bottom w:val="single" w:sz="4" w:space="0" w:color="000000"/>
              <w:right w:val="single" w:sz="4" w:space="0" w:color="000000"/>
            </w:tcBorders>
          </w:tcPr>
          <w:p w14:paraId="315D4D6B" w14:textId="77777777" w:rsidR="00976AF5" w:rsidRDefault="00976AF5" w:rsidP="00E70C0A">
            <w:pPr>
              <w:widowControl w:val="0"/>
              <w:jc w:val="center"/>
              <w:rPr>
                <w:color w:val="000000"/>
                <w:sz w:val="20"/>
                <w:szCs w:val="20"/>
              </w:rPr>
            </w:pPr>
            <w:r>
              <w:rPr>
                <w:color w:val="000000"/>
                <w:sz w:val="20"/>
                <w:szCs w:val="20"/>
              </w:rPr>
              <w:t>03-09-2019</w:t>
            </w:r>
          </w:p>
        </w:tc>
        <w:tc>
          <w:tcPr>
            <w:tcW w:w="1708" w:type="dxa"/>
            <w:tcBorders>
              <w:top w:val="single" w:sz="4" w:space="0" w:color="000000"/>
              <w:left w:val="single" w:sz="4" w:space="0" w:color="000000"/>
              <w:bottom w:val="single" w:sz="4" w:space="0" w:color="000000"/>
              <w:right w:val="single" w:sz="4" w:space="0" w:color="000000"/>
            </w:tcBorders>
          </w:tcPr>
          <w:p w14:paraId="636FCC93" w14:textId="77777777" w:rsidR="00976AF5" w:rsidRDefault="00976AF5" w:rsidP="00E70C0A">
            <w:pPr>
              <w:widowControl w:val="0"/>
              <w:jc w:val="right"/>
              <w:rPr>
                <w:color w:val="000000"/>
                <w:sz w:val="20"/>
                <w:szCs w:val="20"/>
              </w:rPr>
            </w:pPr>
            <w:r>
              <w:rPr>
                <w:color w:val="000000"/>
                <w:sz w:val="20"/>
                <w:szCs w:val="20"/>
              </w:rPr>
              <w:t>-0.8181</w:t>
            </w:r>
          </w:p>
        </w:tc>
        <w:tc>
          <w:tcPr>
            <w:tcW w:w="1815" w:type="dxa"/>
            <w:tcBorders>
              <w:top w:val="single" w:sz="4" w:space="0" w:color="000000"/>
              <w:left w:val="single" w:sz="4" w:space="0" w:color="000000"/>
              <w:bottom w:val="single" w:sz="4" w:space="0" w:color="000000"/>
              <w:right w:val="single" w:sz="4" w:space="0" w:color="auto"/>
            </w:tcBorders>
          </w:tcPr>
          <w:p w14:paraId="530800E9" w14:textId="77777777" w:rsidR="00976AF5" w:rsidRDefault="00976AF5" w:rsidP="00E70C0A">
            <w:pPr>
              <w:widowControl w:val="0"/>
              <w:jc w:val="right"/>
              <w:rPr>
                <w:color w:val="000000"/>
                <w:sz w:val="20"/>
                <w:szCs w:val="20"/>
              </w:rPr>
            </w:pPr>
            <w:r>
              <w:rPr>
                <w:color w:val="000000"/>
                <w:sz w:val="20"/>
                <w:szCs w:val="20"/>
              </w:rPr>
              <w:t>-1.1659</w:t>
            </w:r>
          </w:p>
        </w:tc>
        <w:tc>
          <w:tcPr>
            <w:tcW w:w="1952" w:type="dxa"/>
            <w:tcBorders>
              <w:top w:val="single" w:sz="4" w:space="0" w:color="auto"/>
              <w:left w:val="single" w:sz="4" w:space="0" w:color="auto"/>
              <w:bottom w:val="single" w:sz="4" w:space="0" w:color="auto"/>
              <w:right w:val="single" w:sz="4" w:space="0" w:color="auto"/>
            </w:tcBorders>
          </w:tcPr>
          <w:p w14:paraId="7517DEDB" w14:textId="77777777" w:rsidR="00976AF5" w:rsidRDefault="00976AF5" w:rsidP="00E70C0A">
            <w:pPr>
              <w:widowControl w:val="0"/>
              <w:jc w:val="right"/>
              <w:rPr>
                <w:color w:val="000000"/>
                <w:sz w:val="20"/>
                <w:szCs w:val="20"/>
              </w:rPr>
            </w:pPr>
            <w:r>
              <w:rPr>
                <w:color w:val="000000"/>
                <w:sz w:val="20"/>
                <w:szCs w:val="20"/>
              </w:rPr>
              <w:t>-0.3343</w:t>
            </w:r>
          </w:p>
        </w:tc>
        <w:tc>
          <w:tcPr>
            <w:tcW w:w="2129" w:type="dxa"/>
            <w:tcBorders>
              <w:top w:val="single" w:sz="4" w:space="0" w:color="auto"/>
              <w:left w:val="single" w:sz="4" w:space="0" w:color="auto"/>
              <w:bottom w:val="single" w:sz="4" w:space="0" w:color="auto"/>
              <w:right w:val="single" w:sz="4" w:space="0" w:color="auto"/>
            </w:tcBorders>
          </w:tcPr>
          <w:p w14:paraId="2FCD6D33" w14:textId="77777777" w:rsidR="00976AF5" w:rsidRDefault="00976AF5" w:rsidP="00E70C0A">
            <w:pPr>
              <w:widowControl w:val="0"/>
              <w:jc w:val="right"/>
              <w:rPr>
                <w:color w:val="000000"/>
                <w:sz w:val="20"/>
                <w:szCs w:val="20"/>
              </w:rPr>
            </w:pPr>
            <w:r>
              <w:rPr>
                <w:color w:val="000000"/>
                <w:sz w:val="20"/>
                <w:szCs w:val="20"/>
              </w:rPr>
              <w:t>-0.5276</w:t>
            </w:r>
          </w:p>
        </w:tc>
      </w:tr>
      <w:tr w:rsidR="00976AF5" w14:paraId="79556E91" w14:textId="77777777" w:rsidTr="009974FD">
        <w:tc>
          <w:tcPr>
            <w:tcW w:w="1980" w:type="dxa"/>
            <w:tcBorders>
              <w:top w:val="single" w:sz="4" w:space="0" w:color="000000"/>
              <w:left w:val="single" w:sz="4" w:space="0" w:color="000000"/>
              <w:bottom w:val="single" w:sz="4" w:space="0" w:color="000000"/>
              <w:right w:val="single" w:sz="4" w:space="0" w:color="000000"/>
            </w:tcBorders>
          </w:tcPr>
          <w:p w14:paraId="7C4CF922" w14:textId="77777777" w:rsidR="00976AF5" w:rsidRDefault="00976AF5" w:rsidP="00E70C0A">
            <w:pPr>
              <w:widowControl w:val="0"/>
              <w:jc w:val="center"/>
              <w:rPr>
                <w:color w:val="000000"/>
                <w:sz w:val="20"/>
                <w:szCs w:val="20"/>
              </w:rPr>
            </w:pPr>
            <w:r>
              <w:rPr>
                <w:color w:val="000000"/>
                <w:sz w:val="20"/>
                <w:szCs w:val="20"/>
              </w:rPr>
              <w:t>01-10-2019</w:t>
            </w:r>
          </w:p>
        </w:tc>
        <w:tc>
          <w:tcPr>
            <w:tcW w:w="1708" w:type="dxa"/>
            <w:tcBorders>
              <w:top w:val="single" w:sz="4" w:space="0" w:color="000000"/>
              <w:left w:val="single" w:sz="4" w:space="0" w:color="000000"/>
              <w:bottom w:val="single" w:sz="4" w:space="0" w:color="000000"/>
              <w:right w:val="single" w:sz="4" w:space="0" w:color="000000"/>
            </w:tcBorders>
          </w:tcPr>
          <w:p w14:paraId="2FFE91C0" w14:textId="77777777" w:rsidR="00976AF5" w:rsidRDefault="00976AF5" w:rsidP="00E70C0A">
            <w:pPr>
              <w:widowControl w:val="0"/>
              <w:jc w:val="right"/>
              <w:rPr>
                <w:color w:val="000000"/>
                <w:sz w:val="20"/>
                <w:szCs w:val="20"/>
              </w:rPr>
            </w:pPr>
            <w:r>
              <w:rPr>
                <w:color w:val="000000"/>
                <w:sz w:val="20"/>
                <w:szCs w:val="20"/>
              </w:rPr>
              <w:t>2.3155</w:t>
            </w:r>
          </w:p>
        </w:tc>
        <w:tc>
          <w:tcPr>
            <w:tcW w:w="1815" w:type="dxa"/>
            <w:tcBorders>
              <w:top w:val="single" w:sz="4" w:space="0" w:color="000000"/>
              <w:left w:val="single" w:sz="4" w:space="0" w:color="000000"/>
              <w:bottom w:val="single" w:sz="4" w:space="0" w:color="000000"/>
              <w:right w:val="single" w:sz="4" w:space="0" w:color="auto"/>
            </w:tcBorders>
          </w:tcPr>
          <w:p w14:paraId="542A4B17" w14:textId="77777777" w:rsidR="00976AF5" w:rsidRDefault="00976AF5" w:rsidP="00E70C0A">
            <w:pPr>
              <w:widowControl w:val="0"/>
              <w:jc w:val="right"/>
              <w:rPr>
                <w:color w:val="000000"/>
                <w:sz w:val="20"/>
                <w:szCs w:val="20"/>
              </w:rPr>
            </w:pPr>
            <w:r>
              <w:rPr>
                <w:color w:val="000000"/>
                <w:sz w:val="20"/>
                <w:szCs w:val="20"/>
              </w:rPr>
              <w:t>2.5697</w:t>
            </w:r>
          </w:p>
        </w:tc>
        <w:tc>
          <w:tcPr>
            <w:tcW w:w="1952" w:type="dxa"/>
            <w:tcBorders>
              <w:top w:val="single" w:sz="4" w:space="0" w:color="auto"/>
              <w:left w:val="single" w:sz="4" w:space="0" w:color="auto"/>
              <w:bottom w:val="single" w:sz="4" w:space="0" w:color="auto"/>
              <w:right w:val="single" w:sz="4" w:space="0" w:color="auto"/>
            </w:tcBorders>
          </w:tcPr>
          <w:p w14:paraId="758F911C" w14:textId="77777777" w:rsidR="00976AF5" w:rsidRDefault="00976AF5" w:rsidP="00E70C0A">
            <w:pPr>
              <w:widowControl w:val="0"/>
              <w:jc w:val="right"/>
              <w:rPr>
                <w:color w:val="000000"/>
                <w:sz w:val="20"/>
                <w:szCs w:val="20"/>
              </w:rPr>
            </w:pPr>
            <w:r>
              <w:rPr>
                <w:color w:val="000000"/>
                <w:sz w:val="20"/>
                <w:szCs w:val="20"/>
              </w:rPr>
              <w:t>0.9462</w:t>
            </w:r>
          </w:p>
        </w:tc>
        <w:tc>
          <w:tcPr>
            <w:tcW w:w="2129" w:type="dxa"/>
            <w:tcBorders>
              <w:top w:val="single" w:sz="4" w:space="0" w:color="auto"/>
              <w:left w:val="single" w:sz="4" w:space="0" w:color="auto"/>
              <w:bottom w:val="single" w:sz="4" w:space="0" w:color="auto"/>
              <w:right w:val="single" w:sz="4" w:space="0" w:color="auto"/>
            </w:tcBorders>
          </w:tcPr>
          <w:p w14:paraId="1FBEE49F" w14:textId="77777777" w:rsidR="00976AF5" w:rsidRDefault="00976AF5" w:rsidP="00E70C0A">
            <w:pPr>
              <w:widowControl w:val="0"/>
              <w:jc w:val="right"/>
              <w:rPr>
                <w:color w:val="000000"/>
                <w:sz w:val="20"/>
                <w:szCs w:val="20"/>
              </w:rPr>
            </w:pPr>
            <w:r>
              <w:rPr>
                <w:color w:val="000000"/>
                <w:sz w:val="20"/>
                <w:szCs w:val="20"/>
              </w:rPr>
              <w:t>1.1630</w:t>
            </w:r>
          </w:p>
        </w:tc>
      </w:tr>
      <w:tr w:rsidR="00976AF5" w14:paraId="6CE5290D" w14:textId="77777777" w:rsidTr="009974FD">
        <w:tc>
          <w:tcPr>
            <w:tcW w:w="1980" w:type="dxa"/>
            <w:tcBorders>
              <w:top w:val="single" w:sz="4" w:space="0" w:color="000000"/>
              <w:left w:val="single" w:sz="4" w:space="0" w:color="000000"/>
              <w:bottom w:val="single" w:sz="4" w:space="0" w:color="000000"/>
              <w:right w:val="single" w:sz="4" w:space="0" w:color="000000"/>
            </w:tcBorders>
          </w:tcPr>
          <w:p w14:paraId="5D7FA377" w14:textId="77777777" w:rsidR="00976AF5" w:rsidRDefault="00976AF5" w:rsidP="00E70C0A">
            <w:pPr>
              <w:widowControl w:val="0"/>
              <w:jc w:val="center"/>
              <w:rPr>
                <w:color w:val="000000"/>
                <w:sz w:val="20"/>
                <w:szCs w:val="20"/>
              </w:rPr>
            </w:pPr>
            <w:r>
              <w:rPr>
                <w:color w:val="000000"/>
                <w:sz w:val="20"/>
                <w:szCs w:val="20"/>
              </w:rPr>
              <w:t>01-11-2019</w:t>
            </w:r>
          </w:p>
        </w:tc>
        <w:tc>
          <w:tcPr>
            <w:tcW w:w="1708" w:type="dxa"/>
            <w:tcBorders>
              <w:top w:val="single" w:sz="4" w:space="0" w:color="000000"/>
              <w:left w:val="single" w:sz="4" w:space="0" w:color="000000"/>
              <w:bottom w:val="single" w:sz="4" w:space="0" w:color="000000"/>
              <w:right w:val="single" w:sz="4" w:space="0" w:color="000000"/>
            </w:tcBorders>
          </w:tcPr>
          <w:p w14:paraId="04AEF090" w14:textId="77777777" w:rsidR="00976AF5" w:rsidRDefault="00976AF5" w:rsidP="00E70C0A">
            <w:pPr>
              <w:widowControl w:val="0"/>
              <w:jc w:val="right"/>
              <w:rPr>
                <w:color w:val="000000"/>
                <w:sz w:val="20"/>
                <w:szCs w:val="20"/>
              </w:rPr>
            </w:pPr>
            <w:r>
              <w:rPr>
                <w:color w:val="000000"/>
                <w:sz w:val="20"/>
                <w:szCs w:val="20"/>
              </w:rPr>
              <w:t>3.2066</w:t>
            </w:r>
          </w:p>
        </w:tc>
        <w:tc>
          <w:tcPr>
            <w:tcW w:w="1815" w:type="dxa"/>
            <w:tcBorders>
              <w:top w:val="single" w:sz="4" w:space="0" w:color="000000"/>
              <w:left w:val="single" w:sz="4" w:space="0" w:color="000000"/>
              <w:bottom w:val="single" w:sz="4" w:space="0" w:color="000000"/>
              <w:right w:val="single" w:sz="4" w:space="0" w:color="auto"/>
            </w:tcBorders>
          </w:tcPr>
          <w:p w14:paraId="464F801B" w14:textId="77777777" w:rsidR="00976AF5" w:rsidRDefault="00976AF5" w:rsidP="00E70C0A">
            <w:pPr>
              <w:widowControl w:val="0"/>
              <w:jc w:val="right"/>
              <w:rPr>
                <w:color w:val="000000"/>
                <w:sz w:val="20"/>
                <w:szCs w:val="20"/>
              </w:rPr>
            </w:pPr>
            <w:r>
              <w:rPr>
                <w:color w:val="000000"/>
                <w:sz w:val="20"/>
                <w:szCs w:val="20"/>
              </w:rPr>
              <w:t>0.9151</w:t>
            </w:r>
          </w:p>
        </w:tc>
        <w:tc>
          <w:tcPr>
            <w:tcW w:w="1952" w:type="dxa"/>
            <w:tcBorders>
              <w:top w:val="single" w:sz="4" w:space="0" w:color="auto"/>
              <w:left w:val="single" w:sz="4" w:space="0" w:color="auto"/>
              <w:bottom w:val="single" w:sz="4" w:space="0" w:color="auto"/>
              <w:right w:val="single" w:sz="4" w:space="0" w:color="auto"/>
            </w:tcBorders>
          </w:tcPr>
          <w:p w14:paraId="72F263B2" w14:textId="77777777" w:rsidR="00976AF5" w:rsidRDefault="00976AF5" w:rsidP="00E70C0A">
            <w:pPr>
              <w:widowControl w:val="0"/>
              <w:jc w:val="right"/>
              <w:rPr>
                <w:color w:val="000000"/>
                <w:sz w:val="20"/>
                <w:szCs w:val="20"/>
              </w:rPr>
            </w:pPr>
            <w:r>
              <w:rPr>
                <w:color w:val="000000"/>
                <w:sz w:val="20"/>
                <w:szCs w:val="20"/>
              </w:rPr>
              <w:t>1.3102</w:t>
            </w:r>
          </w:p>
        </w:tc>
        <w:tc>
          <w:tcPr>
            <w:tcW w:w="2129" w:type="dxa"/>
            <w:tcBorders>
              <w:top w:val="single" w:sz="4" w:space="0" w:color="auto"/>
              <w:left w:val="single" w:sz="4" w:space="0" w:color="auto"/>
              <w:bottom w:val="single" w:sz="4" w:space="0" w:color="auto"/>
              <w:right w:val="single" w:sz="4" w:space="0" w:color="auto"/>
            </w:tcBorders>
          </w:tcPr>
          <w:p w14:paraId="57E7A656" w14:textId="77777777" w:rsidR="00976AF5" w:rsidRDefault="00976AF5" w:rsidP="00E70C0A">
            <w:pPr>
              <w:widowControl w:val="0"/>
              <w:jc w:val="right"/>
              <w:rPr>
                <w:color w:val="000000"/>
                <w:sz w:val="20"/>
                <w:szCs w:val="20"/>
              </w:rPr>
            </w:pPr>
            <w:r>
              <w:rPr>
                <w:color w:val="000000"/>
                <w:sz w:val="20"/>
                <w:szCs w:val="20"/>
              </w:rPr>
              <w:t>0.4141</w:t>
            </w:r>
          </w:p>
        </w:tc>
      </w:tr>
      <w:tr w:rsidR="00976AF5" w14:paraId="42C919D1" w14:textId="77777777" w:rsidTr="009974FD">
        <w:trPr>
          <w:trHeight w:val="383"/>
        </w:trPr>
        <w:tc>
          <w:tcPr>
            <w:tcW w:w="1980" w:type="dxa"/>
            <w:tcBorders>
              <w:top w:val="single" w:sz="4" w:space="0" w:color="000000"/>
              <w:left w:val="single" w:sz="4" w:space="0" w:color="000000"/>
              <w:bottom w:val="single" w:sz="4" w:space="0" w:color="000000"/>
              <w:right w:val="single" w:sz="4" w:space="0" w:color="000000"/>
            </w:tcBorders>
          </w:tcPr>
          <w:p w14:paraId="2E64C292" w14:textId="77777777" w:rsidR="00976AF5" w:rsidRDefault="00976AF5" w:rsidP="00E70C0A">
            <w:pPr>
              <w:widowControl w:val="0"/>
              <w:jc w:val="center"/>
              <w:rPr>
                <w:color w:val="000000"/>
                <w:sz w:val="20"/>
                <w:szCs w:val="20"/>
              </w:rPr>
            </w:pPr>
            <w:r>
              <w:rPr>
                <w:color w:val="000000"/>
                <w:sz w:val="20"/>
                <w:szCs w:val="20"/>
              </w:rPr>
              <w:t>02-12-2019</w:t>
            </w:r>
          </w:p>
        </w:tc>
        <w:tc>
          <w:tcPr>
            <w:tcW w:w="1708" w:type="dxa"/>
            <w:tcBorders>
              <w:top w:val="single" w:sz="4" w:space="0" w:color="000000"/>
              <w:left w:val="single" w:sz="4" w:space="0" w:color="000000"/>
              <w:bottom w:val="single" w:sz="4" w:space="0" w:color="000000"/>
              <w:right w:val="single" w:sz="4" w:space="0" w:color="000000"/>
            </w:tcBorders>
          </w:tcPr>
          <w:p w14:paraId="6A8935C6" w14:textId="77777777" w:rsidR="00976AF5" w:rsidRDefault="00976AF5" w:rsidP="00E70C0A">
            <w:pPr>
              <w:widowControl w:val="0"/>
              <w:jc w:val="right"/>
              <w:rPr>
                <w:color w:val="000000"/>
                <w:sz w:val="20"/>
                <w:szCs w:val="20"/>
              </w:rPr>
            </w:pPr>
            <w:r>
              <w:rPr>
                <w:color w:val="000000"/>
                <w:sz w:val="20"/>
                <w:szCs w:val="20"/>
              </w:rPr>
              <w:t>0.5566</w:t>
            </w:r>
          </w:p>
        </w:tc>
        <w:tc>
          <w:tcPr>
            <w:tcW w:w="1815" w:type="dxa"/>
            <w:tcBorders>
              <w:top w:val="single" w:sz="4" w:space="0" w:color="000000"/>
              <w:left w:val="single" w:sz="4" w:space="0" w:color="000000"/>
              <w:bottom w:val="single" w:sz="4" w:space="0" w:color="000000"/>
              <w:right w:val="single" w:sz="4" w:space="0" w:color="000000"/>
            </w:tcBorders>
          </w:tcPr>
          <w:p w14:paraId="2CE0EBDC" w14:textId="77777777" w:rsidR="00976AF5" w:rsidRDefault="00976AF5" w:rsidP="00E70C0A">
            <w:pPr>
              <w:widowControl w:val="0"/>
              <w:jc w:val="right"/>
              <w:rPr>
                <w:color w:val="000000"/>
                <w:sz w:val="20"/>
                <w:szCs w:val="20"/>
              </w:rPr>
            </w:pPr>
            <w:r>
              <w:rPr>
                <w:color w:val="000000"/>
                <w:sz w:val="20"/>
                <w:szCs w:val="20"/>
              </w:rPr>
              <w:t>-0.5257</w:t>
            </w:r>
          </w:p>
        </w:tc>
        <w:tc>
          <w:tcPr>
            <w:tcW w:w="1952" w:type="dxa"/>
            <w:tcBorders>
              <w:top w:val="single" w:sz="4" w:space="0" w:color="auto"/>
              <w:left w:val="single" w:sz="4" w:space="0" w:color="000000"/>
              <w:bottom w:val="single" w:sz="4" w:space="0" w:color="000000"/>
              <w:right w:val="single" w:sz="4" w:space="0" w:color="000000"/>
            </w:tcBorders>
          </w:tcPr>
          <w:p w14:paraId="4BC52539" w14:textId="77777777" w:rsidR="00976AF5" w:rsidRDefault="00976AF5" w:rsidP="00E70C0A">
            <w:pPr>
              <w:widowControl w:val="0"/>
              <w:jc w:val="right"/>
              <w:rPr>
                <w:color w:val="000000"/>
                <w:sz w:val="20"/>
                <w:szCs w:val="20"/>
              </w:rPr>
            </w:pPr>
            <w:r>
              <w:rPr>
                <w:color w:val="000000"/>
                <w:sz w:val="20"/>
                <w:szCs w:val="20"/>
              </w:rPr>
              <w:t>0.2274</w:t>
            </w:r>
          </w:p>
        </w:tc>
        <w:tc>
          <w:tcPr>
            <w:tcW w:w="2129" w:type="dxa"/>
            <w:tcBorders>
              <w:top w:val="single" w:sz="4" w:space="0" w:color="auto"/>
              <w:left w:val="single" w:sz="4" w:space="0" w:color="000000"/>
              <w:bottom w:val="single" w:sz="4" w:space="0" w:color="000000"/>
              <w:right w:val="single" w:sz="4" w:space="0" w:color="000000"/>
            </w:tcBorders>
          </w:tcPr>
          <w:p w14:paraId="6531CE6D" w14:textId="77777777" w:rsidR="00976AF5" w:rsidRDefault="00976AF5" w:rsidP="00E70C0A">
            <w:pPr>
              <w:widowControl w:val="0"/>
              <w:jc w:val="right"/>
              <w:rPr>
                <w:color w:val="000000"/>
                <w:sz w:val="20"/>
                <w:szCs w:val="20"/>
              </w:rPr>
            </w:pPr>
            <w:r>
              <w:rPr>
                <w:color w:val="000000"/>
                <w:sz w:val="20"/>
                <w:szCs w:val="20"/>
              </w:rPr>
              <w:t>-0.2379</w:t>
            </w:r>
          </w:p>
        </w:tc>
      </w:tr>
      <w:tr w:rsidR="00976AF5" w14:paraId="585E55E5" w14:textId="77777777" w:rsidTr="006414AA">
        <w:trPr>
          <w:trHeight w:val="418"/>
        </w:trPr>
        <w:tc>
          <w:tcPr>
            <w:tcW w:w="1980" w:type="dxa"/>
            <w:tcBorders>
              <w:top w:val="single" w:sz="4" w:space="0" w:color="000000"/>
              <w:left w:val="single" w:sz="4" w:space="0" w:color="000000"/>
              <w:bottom w:val="single" w:sz="4" w:space="0" w:color="000000"/>
              <w:right w:val="single" w:sz="4" w:space="0" w:color="000000"/>
            </w:tcBorders>
          </w:tcPr>
          <w:p w14:paraId="37F0482F" w14:textId="77777777" w:rsidR="00976AF5" w:rsidRDefault="00976AF5" w:rsidP="00E70C0A">
            <w:pPr>
              <w:widowControl w:val="0"/>
              <w:jc w:val="both"/>
              <w:rPr>
                <w:rFonts w:ascii="Times New Roman" w:eastAsia="Times New Roman" w:hAnsi="Times New Roman" w:cs="Times New Roman"/>
                <w:b/>
                <w:sz w:val="24"/>
                <w:szCs w:val="24"/>
              </w:rPr>
            </w:pPr>
          </w:p>
          <w:p w14:paraId="180E0413"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Annual change </w:t>
            </w:r>
          </w:p>
        </w:tc>
        <w:tc>
          <w:tcPr>
            <w:tcW w:w="1708" w:type="dxa"/>
            <w:tcBorders>
              <w:top w:val="single" w:sz="4" w:space="0" w:color="000000"/>
              <w:left w:val="single" w:sz="4" w:space="0" w:color="000000"/>
              <w:bottom w:val="single" w:sz="4" w:space="0" w:color="000000"/>
              <w:right w:val="single" w:sz="4" w:space="0" w:color="000000"/>
            </w:tcBorders>
          </w:tcPr>
          <w:p w14:paraId="6CBF0DF0" w14:textId="77777777" w:rsidR="00976AF5" w:rsidRDefault="00976AF5" w:rsidP="00E70C0A">
            <w:pPr>
              <w:widowControl w:val="0"/>
              <w:jc w:val="right"/>
              <w:rPr>
                <w:color w:val="000000"/>
                <w:sz w:val="20"/>
                <w:szCs w:val="20"/>
              </w:rPr>
            </w:pPr>
            <w:r>
              <w:rPr>
                <w:color w:val="000000"/>
                <w:sz w:val="20"/>
                <w:szCs w:val="20"/>
              </w:rPr>
              <w:t xml:space="preserve">                                                  </w:t>
            </w:r>
          </w:p>
          <w:p w14:paraId="7886A380" w14:textId="77777777" w:rsidR="00976AF5" w:rsidRDefault="00976AF5" w:rsidP="00E70C0A">
            <w:pPr>
              <w:widowControl w:val="0"/>
              <w:jc w:val="right"/>
              <w:rPr>
                <w:color w:val="000000"/>
                <w:sz w:val="20"/>
                <w:szCs w:val="20"/>
              </w:rPr>
            </w:pPr>
            <w:r>
              <w:rPr>
                <w:color w:val="000000"/>
                <w:sz w:val="20"/>
                <w:szCs w:val="20"/>
              </w:rPr>
              <w:t xml:space="preserve">                                    1.959</w:t>
            </w:r>
          </w:p>
        </w:tc>
        <w:tc>
          <w:tcPr>
            <w:tcW w:w="1815" w:type="dxa"/>
            <w:tcBorders>
              <w:top w:val="single" w:sz="4" w:space="0" w:color="000000"/>
              <w:left w:val="single" w:sz="4" w:space="0" w:color="000000"/>
              <w:bottom w:val="single" w:sz="4" w:space="0" w:color="000000"/>
              <w:right w:val="single" w:sz="4" w:space="0" w:color="000000"/>
            </w:tcBorders>
          </w:tcPr>
          <w:p w14:paraId="603B5451" w14:textId="77777777" w:rsidR="00976AF5" w:rsidRDefault="00976AF5" w:rsidP="00E70C0A">
            <w:pPr>
              <w:widowControl w:val="0"/>
              <w:jc w:val="right"/>
              <w:rPr>
                <w:color w:val="000000"/>
                <w:sz w:val="20"/>
                <w:szCs w:val="20"/>
              </w:rPr>
            </w:pPr>
            <w:r>
              <w:rPr>
                <w:color w:val="000000"/>
                <w:sz w:val="20"/>
                <w:szCs w:val="20"/>
              </w:rPr>
              <w:t xml:space="preserve">                                            </w:t>
            </w:r>
          </w:p>
          <w:p w14:paraId="5F1E9A24" w14:textId="77777777" w:rsidR="00976AF5" w:rsidRDefault="00976AF5" w:rsidP="00E70C0A">
            <w:pPr>
              <w:widowControl w:val="0"/>
              <w:jc w:val="right"/>
              <w:rPr>
                <w:color w:val="000000"/>
                <w:sz w:val="20"/>
                <w:szCs w:val="20"/>
              </w:rPr>
            </w:pPr>
            <w:r>
              <w:rPr>
                <w:color w:val="000000"/>
                <w:sz w:val="20"/>
                <w:szCs w:val="20"/>
              </w:rPr>
              <w:t xml:space="preserve">                                -3.99</w:t>
            </w:r>
          </w:p>
        </w:tc>
        <w:tc>
          <w:tcPr>
            <w:tcW w:w="1952" w:type="dxa"/>
            <w:tcBorders>
              <w:top w:val="single" w:sz="4" w:space="0" w:color="000000"/>
              <w:left w:val="single" w:sz="4" w:space="0" w:color="000000"/>
              <w:bottom w:val="single" w:sz="4" w:space="0" w:color="000000"/>
              <w:right w:val="single" w:sz="4" w:space="0" w:color="000000"/>
            </w:tcBorders>
          </w:tcPr>
          <w:p w14:paraId="340C3471" w14:textId="77777777" w:rsidR="00976AF5" w:rsidRDefault="00976AF5" w:rsidP="00E70C0A">
            <w:pPr>
              <w:widowControl w:val="0"/>
              <w:jc w:val="right"/>
              <w:rPr>
                <w:color w:val="000000"/>
                <w:sz w:val="20"/>
                <w:szCs w:val="20"/>
              </w:rPr>
            </w:pPr>
            <w:r>
              <w:rPr>
                <w:color w:val="000000"/>
                <w:sz w:val="20"/>
                <w:szCs w:val="20"/>
              </w:rPr>
              <w:t xml:space="preserve">                                               </w:t>
            </w:r>
          </w:p>
          <w:p w14:paraId="534492F7" w14:textId="77777777" w:rsidR="00976AF5" w:rsidRDefault="00976AF5" w:rsidP="00E70C0A">
            <w:pPr>
              <w:widowControl w:val="0"/>
              <w:jc w:val="right"/>
              <w:rPr>
                <w:color w:val="000000"/>
                <w:sz w:val="20"/>
                <w:szCs w:val="20"/>
              </w:rPr>
            </w:pPr>
            <w:r>
              <w:rPr>
                <w:color w:val="000000"/>
                <w:sz w:val="20"/>
                <w:szCs w:val="20"/>
              </w:rPr>
              <w:t xml:space="preserve">                                   1.958</w:t>
            </w:r>
          </w:p>
        </w:tc>
        <w:tc>
          <w:tcPr>
            <w:tcW w:w="2129" w:type="dxa"/>
            <w:tcBorders>
              <w:top w:val="single" w:sz="4" w:space="0" w:color="000000"/>
              <w:left w:val="single" w:sz="4" w:space="0" w:color="000000"/>
              <w:bottom w:val="single" w:sz="4" w:space="0" w:color="000000"/>
              <w:right w:val="single" w:sz="4" w:space="0" w:color="000000"/>
            </w:tcBorders>
          </w:tcPr>
          <w:p w14:paraId="08C6E540" w14:textId="77777777" w:rsidR="00976AF5" w:rsidRDefault="00976AF5" w:rsidP="00E70C0A">
            <w:pPr>
              <w:widowControl w:val="0"/>
              <w:jc w:val="right"/>
              <w:rPr>
                <w:color w:val="000000"/>
                <w:sz w:val="20"/>
                <w:szCs w:val="20"/>
              </w:rPr>
            </w:pPr>
            <w:r>
              <w:rPr>
                <w:color w:val="000000"/>
                <w:sz w:val="20"/>
                <w:szCs w:val="20"/>
              </w:rPr>
              <w:t xml:space="preserve">                                                   </w:t>
            </w:r>
          </w:p>
          <w:p w14:paraId="515581B8" w14:textId="77777777" w:rsidR="00976AF5" w:rsidRDefault="00976AF5" w:rsidP="00E70C0A">
            <w:pPr>
              <w:widowControl w:val="0"/>
              <w:jc w:val="right"/>
              <w:rPr>
                <w:color w:val="000000"/>
                <w:sz w:val="20"/>
                <w:szCs w:val="20"/>
              </w:rPr>
            </w:pPr>
            <w:r>
              <w:rPr>
                <w:color w:val="000000"/>
                <w:sz w:val="20"/>
                <w:szCs w:val="20"/>
              </w:rPr>
              <w:t xml:space="preserve">                                     -11.24</w:t>
            </w:r>
          </w:p>
        </w:tc>
      </w:tr>
      <w:tr w:rsidR="00976AF5" w14:paraId="714E2D66" w14:textId="77777777" w:rsidTr="00E70C0A">
        <w:trPr>
          <w:trHeight w:val="333"/>
        </w:trPr>
        <w:tc>
          <w:tcPr>
            <w:tcW w:w="1980" w:type="dxa"/>
            <w:tcBorders>
              <w:top w:val="single" w:sz="4" w:space="0" w:color="000000"/>
              <w:left w:val="single" w:sz="4" w:space="0" w:color="000000"/>
              <w:bottom w:val="single" w:sz="4" w:space="0" w:color="000000"/>
              <w:right w:val="single" w:sz="4" w:space="0" w:color="000000"/>
            </w:tcBorders>
          </w:tcPr>
          <w:p w14:paraId="36121B2B"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708" w:type="dxa"/>
            <w:tcBorders>
              <w:top w:val="single" w:sz="4" w:space="0" w:color="000000"/>
              <w:left w:val="single" w:sz="4" w:space="0" w:color="000000"/>
              <w:bottom w:val="single" w:sz="4" w:space="0" w:color="000000"/>
              <w:right w:val="single" w:sz="4" w:space="0" w:color="000000"/>
            </w:tcBorders>
          </w:tcPr>
          <w:p w14:paraId="6FA90674" w14:textId="77777777" w:rsidR="00976AF5" w:rsidRDefault="00976AF5" w:rsidP="00E70C0A">
            <w:pPr>
              <w:widowControl w:val="0"/>
              <w:jc w:val="right"/>
              <w:rPr>
                <w:color w:val="000000"/>
                <w:sz w:val="20"/>
                <w:szCs w:val="20"/>
              </w:rPr>
            </w:pPr>
            <w:r>
              <w:rPr>
                <w:color w:val="000000"/>
                <w:sz w:val="20"/>
                <w:szCs w:val="20"/>
              </w:rPr>
              <w:t xml:space="preserve">                                       0.11</w:t>
            </w:r>
          </w:p>
        </w:tc>
        <w:tc>
          <w:tcPr>
            <w:tcW w:w="1815" w:type="dxa"/>
            <w:tcBorders>
              <w:top w:val="single" w:sz="4" w:space="0" w:color="000000"/>
              <w:left w:val="single" w:sz="4" w:space="0" w:color="000000"/>
              <w:bottom w:val="single" w:sz="4" w:space="0" w:color="000000"/>
              <w:right w:val="single" w:sz="4" w:space="0" w:color="000000"/>
            </w:tcBorders>
          </w:tcPr>
          <w:p w14:paraId="42697512" w14:textId="77777777" w:rsidR="00976AF5" w:rsidRDefault="00976AF5" w:rsidP="00E70C0A">
            <w:pPr>
              <w:widowControl w:val="0"/>
              <w:jc w:val="right"/>
              <w:rPr>
                <w:color w:val="000000"/>
                <w:sz w:val="20"/>
                <w:szCs w:val="20"/>
              </w:rPr>
            </w:pPr>
            <w:r>
              <w:rPr>
                <w:color w:val="000000"/>
                <w:sz w:val="20"/>
                <w:szCs w:val="20"/>
              </w:rPr>
              <w:t xml:space="preserve">                                -0.17</w:t>
            </w:r>
          </w:p>
        </w:tc>
        <w:tc>
          <w:tcPr>
            <w:tcW w:w="1952" w:type="dxa"/>
            <w:tcBorders>
              <w:top w:val="single" w:sz="4" w:space="0" w:color="000000"/>
              <w:left w:val="single" w:sz="4" w:space="0" w:color="000000"/>
              <w:bottom w:val="single" w:sz="4" w:space="0" w:color="000000"/>
              <w:right w:val="single" w:sz="4" w:space="0" w:color="000000"/>
            </w:tcBorders>
          </w:tcPr>
          <w:p w14:paraId="62BD00CA" w14:textId="77777777" w:rsidR="00976AF5" w:rsidRDefault="00976AF5" w:rsidP="00E70C0A">
            <w:pPr>
              <w:widowControl w:val="0"/>
              <w:jc w:val="right"/>
              <w:rPr>
                <w:color w:val="000000"/>
                <w:sz w:val="20"/>
                <w:szCs w:val="20"/>
              </w:rPr>
            </w:pPr>
            <w:r>
              <w:rPr>
                <w:color w:val="000000"/>
                <w:sz w:val="20"/>
                <w:szCs w:val="20"/>
              </w:rPr>
              <w:t xml:space="preserve">                                     0.05</w:t>
            </w:r>
          </w:p>
        </w:tc>
        <w:tc>
          <w:tcPr>
            <w:tcW w:w="2129" w:type="dxa"/>
            <w:tcBorders>
              <w:top w:val="single" w:sz="4" w:space="0" w:color="000000"/>
              <w:left w:val="single" w:sz="4" w:space="0" w:color="000000"/>
              <w:bottom w:val="single" w:sz="4" w:space="0" w:color="000000"/>
              <w:right w:val="single" w:sz="4" w:space="0" w:color="000000"/>
            </w:tcBorders>
          </w:tcPr>
          <w:p w14:paraId="07D429A4" w14:textId="77777777" w:rsidR="00976AF5" w:rsidRDefault="00976AF5" w:rsidP="00E70C0A">
            <w:pPr>
              <w:widowControl w:val="0"/>
              <w:jc w:val="right"/>
              <w:rPr>
                <w:color w:val="000000"/>
                <w:sz w:val="20"/>
                <w:szCs w:val="20"/>
              </w:rPr>
            </w:pPr>
            <w:r>
              <w:rPr>
                <w:color w:val="000000"/>
                <w:sz w:val="20"/>
                <w:szCs w:val="20"/>
              </w:rPr>
              <w:t xml:space="preserve">                                        -0.24</w:t>
            </w:r>
          </w:p>
        </w:tc>
      </w:tr>
      <w:tr w:rsidR="00976AF5" w14:paraId="72FC3864" w14:textId="77777777" w:rsidTr="00E70C0A">
        <w:trPr>
          <w:trHeight w:val="825"/>
        </w:trPr>
        <w:tc>
          <w:tcPr>
            <w:tcW w:w="1980" w:type="dxa"/>
            <w:tcBorders>
              <w:top w:val="single" w:sz="4" w:space="0" w:color="000000"/>
              <w:left w:val="single" w:sz="4" w:space="0" w:color="000000"/>
              <w:bottom w:val="single" w:sz="4" w:space="0" w:color="000000"/>
              <w:right w:val="single" w:sz="4" w:space="0" w:color="000000"/>
            </w:tcBorders>
          </w:tcPr>
          <w:p w14:paraId="5F30A46E"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Standard deviation</w:t>
            </w:r>
          </w:p>
        </w:tc>
        <w:tc>
          <w:tcPr>
            <w:tcW w:w="1708" w:type="dxa"/>
            <w:tcBorders>
              <w:top w:val="single" w:sz="4" w:space="0" w:color="000000"/>
              <w:left w:val="single" w:sz="4" w:space="0" w:color="000000"/>
              <w:bottom w:val="single" w:sz="4" w:space="0" w:color="000000"/>
              <w:right w:val="single" w:sz="4" w:space="0" w:color="000000"/>
            </w:tcBorders>
          </w:tcPr>
          <w:p w14:paraId="6820EBE5" w14:textId="77777777" w:rsidR="00976AF5" w:rsidRDefault="00976AF5" w:rsidP="00E70C0A">
            <w:pPr>
              <w:widowControl w:val="0"/>
              <w:jc w:val="right"/>
              <w:rPr>
                <w:color w:val="000000"/>
                <w:sz w:val="20"/>
                <w:szCs w:val="20"/>
              </w:rPr>
            </w:pPr>
            <w:r>
              <w:rPr>
                <w:color w:val="000000"/>
                <w:sz w:val="20"/>
                <w:szCs w:val="20"/>
              </w:rPr>
              <w:t xml:space="preserve">                               3.08</w:t>
            </w:r>
          </w:p>
        </w:tc>
        <w:tc>
          <w:tcPr>
            <w:tcW w:w="1815" w:type="dxa"/>
            <w:tcBorders>
              <w:top w:val="single" w:sz="4" w:space="0" w:color="000000"/>
              <w:left w:val="single" w:sz="4" w:space="0" w:color="000000"/>
              <w:bottom w:val="single" w:sz="4" w:space="0" w:color="000000"/>
              <w:right w:val="single" w:sz="4" w:space="0" w:color="000000"/>
            </w:tcBorders>
          </w:tcPr>
          <w:p w14:paraId="5206AB86" w14:textId="77777777" w:rsidR="00976AF5" w:rsidRDefault="00976AF5" w:rsidP="00E70C0A">
            <w:pPr>
              <w:widowControl w:val="0"/>
              <w:jc w:val="right"/>
              <w:rPr>
                <w:color w:val="000000"/>
                <w:sz w:val="20"/>
                <w:szCs w:val="20"/>
              </w:rPr>
            </w:pPr>
            <w:r>
              <w:rPr>
                <w:color w:val="000000"/>
                <w:sz w:val="20"/>
                <w:szCs w:val="20"/>
              </w:rPr>
              <w:t xml:space="preserve">                                  2.46</w:t>
            </w:r>
          </w:p>
        </w:tc>
        <w:tc>
          <w:tcPr>
            <w:tcW w:w="1952" w:type="dxa"/>
            <w:tcBorders>
              <w:top w:val="single" w:sz="4" w:space="0" w:color="000000"/>
              <w:left w:val="single" w:sz="4" w:space="0" w:color="000000"/>
              <w:bottom w:val="single" w:sz="4" w:space="0" w:color="000000"/>
              <w:right w:val="single" w:sz="4" w:space="0" w:color="000000"/>
            </w:tcBorders>
          </w:tcPr>
          <w:p w14:paraId="64EF0CC4" w14:textId="77777777" w:rsidR="00976AF5" w:rsidRDefault="00976AF5" w:rsidP="00E70C0A">
            <w:pPr>
              <w:widowControl w:val="0"/>
              <w:jc w:val="right"/>
              <w:rPr>
                <w:color w:val="000000"/>
                <w:sz w:val="20"/>
                <w:szCs w:val="20"/>
              </w:rPr>
            </w:pPr>
            <w:r>
              <w:rPr>
                <w:color w:val="000000"/>
                <w:sz w:val="20"/>
                <w:szCs w:val="20"/>
              </w:rPr>
              <w:t xml:space="preserve">                                      1.26</w:t>
            </w:r>
          </w:p>
        </w:tc>
        <w:tc>
          <w:tcPr>
            <w:tcW w:w="2129" w:type="dxa"/>
            <w:tcBorders>
              <w:top w:val="single" w:sz="4" w:space="0" w:color="000000"/>
              <w:left w:val="single" w:sz="4" w:space="0" w:color="000000"/>
              <w:bottom w:val="single" w:sz="4" w:space="0" w:color="000000"/>
              <w:right w:val="single" w:sz="4" w:space="0" w:color="000000"/>
            </w:tcBorders>
          </w:tcPr>
          <w:p w14:paraId="41C9BA48" w14:textId="77777777" w:rsidR="00976AF5" w:rsidRDefault="00976AF5" w:rsidP="00E70C0A">
            <w:pPr>
              <w:widowControl w:val="0"/>
              <w:jc w:val="right"/>
              <w:rPr>
                <w:color w:val="000000"/>
                <w:sz w:val="20"/>
                <w:szCs w:val="20"/>
              </w:rPr>
            </w:pPr>
            <w:r>
              <w:rPr>
                <w:color w:val="000000"/>
                <w:sz w:val="20"/>
                <w:szCs w:val="20"/>
              </w:rPr>
              <w:t xml:space="preserve">                                                                                    0.92</w:t>
            </w:r>
          </w:p>
        </w:tc>
      </w:tr>
      <w:tr w:rsidR="00976AF5" w14:paraId="03AB11B4"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510C452B"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Variance</w:t>
            </w:r>
          </w:p>
        </w:tc>
        <w:tc>
          <w:tcPr>
            <w:tcW w:w="1708" w:type="dxa"/>
            <w:tcBorders>
              <w:top w:val="single" w:sz="4" w:space="0" w:color="000000"/>
              <w:left w:val="single" w:sz="4" w:space="0" w:color="000000"/>
              <w:bottom w:val="single" w:sz="4" w:space="0" w:color="000000"/>
              <w:right w:val="single" w:sz="4" w:space="0" w:color="000000"/>
            </w:tcBorders>
          </w:tcPr>
          <w:p w14:paraId="5EC671BD" w14:textId="77777777" w:rsidR="00976AF5" w:rsidRDefault="00976AF5" w:rsidP="00E70C0A">
            <w:pPr>
              <w:widowControl w:val="0"/>
              <w:jc w:val="right"/>
              <w:rPr>
                <w:color w:val="000000"/>
                <w:sz w:val="20"/>
                <w:szCs w:val="20"/>
              </w:rPr>
            </w:pPr>
            <w:r>
              <w:rPr>
                <w:color w:val="000000"/>
                <w:sz w:val="20"/>
                <w:szCs w:val="20"/>
              </w:rPr>
              <w:t xml:space="preserve">                                   10.32</w:t>
            </w:r>
          </w:p>
        </w:tc>
        <w:tc>
          <w:tcPr>
            <w:tcW w:w="1815" w:type="dxa"/>
            <w:tcBorders>
              <w:top w:val="single" w:sz="4" w:space="0" w:color="000000"/>
              <w:left w:val="single" w:sz="4" w:space="0" w:color="000000"/>
              <w:bottom w:val="single" w:sz="4" w:space="0" w:color="000000"/>
              <w:right w:val="single" w:sz="4" w:space="0" w:color="000000"/>
            </w:tcBorders>
          </w:tcPr>
          <w:p w14:paraId="7E0647CF" w14:textId="77777777" w:rsidR="00976AF5" w:rsidRDefault="00976AF5" w:rsidP="00E70C0A">
            <w:pPr>
              <w:widowControl w:val="0"/>
              <w:jc w:val="right"/>
              <w:rPr>
                <w:color w:val="000000"/>
                <w:sz w:val="20"/>
                <w:szCs w:val="20"/>
              </w:rPr>
            </w:pPr>
            <w:r>
              <w:rPr>
                <w:color w:val="000000"/>
                <w:sz w:val="20"/>
                <w:szCs w:val="20"/>
              </w:rPr>
              <w:t xml:space="preserve">                                  6.58</w:t>
            </w:r>
          </w:p>
        </w:tc>
        <w:tc>
          <w:tcPr>
            <w:tcW w:w="1952" w:type="dxa"/>
            <w:tcBorders>
              <w:top w:val="single" w:sz="4" w:space="0" w:color="000000"/>
              <w:left w:val="single" w:sz="4" w:space="0" w:color="000000"/>
              <w:bottom w:val="single" w:sz="4" w:space="0" w:color="000000"/>
              <w:right w:val="single" w:sz="4" w:space="0" w:color="000000"/>
            </w:tcBorders>
          </w:tcPr>
          <w:p w14:paraId="51FDBC78" w14:textId="77777777" w:rsidR="00976AF5" w:rsidRDefault="00976AF5" w:rsidP="00E70C0A">
            <w:pPr>
              <w:widowControl w:val="0"/>
              <w:jc w:val="right"/>
              <w:rPr>
                <w:color w:val="000000"/>
                <w:sz w:val="20"/>
                <w:szCs w:val="20"/>
              </w:rPr>
            </w:pPr>
            <w:r>
              <w:rPr>
                <w:color w:val="000000"/>
                <w:sz w:val="20"/>
                <w:szCs w:val="20"/>
              </w:rPr>
              <w:t xml:space="preserve">                                     1.72</w:t>
            </w:r>
          </w:p>
        </w:tc>
        <w:tc>
          <w:tcPr>
            <w:tcW w:w="2129" w:type="dxa"/>
            <w:tcBorders>
              <w:top w:val="single" w:sz="4" w:space="0" w:color="000000"/>
              <w:left w:val="single" w:sz="4" w:space="0" w:color="000000"/>
              <w:bottom w:val="single" w:sz="4" w:space="0" w:color="000000"/>
              <w:right w:val="single" w:sz="4" w:space="0" w:color="000000"/>
            </w:tcBorders>
          </w:tcPr>
          <w:p w14:paraId="0E343392" w14:textId="77777777" w:rsidR="00976AF5" w:rsidRDefault="00976AF5" w:rsidP="00E70C0A">
            <w:pPr>
              <w:widowControl w:val="0"/>
              <w:jc w:val="right"/>
              <w:rPr>
                <w:color w:val="000000"/>
                <w:sz w:val="20"/>
                <w:szCs w:val="20"/>
              </w:rPr>
            </w:pPr>
            <w:r>
              <w:rPr>
                <w:color w:val="000000"/>
                <w:sz w:val="20"/>
                <w:szCs w:val="20"/>
              </w:rPr>
              <w:t xml:space="preserve">                                         0.93</w:t>
            </w:r>
          </w:p>
        </w:tc>
      </w:tr>
      <w:tr w:rsidR="00976AF5" w14:paraId="0DD9A3E8" w14:textId="77777777" w:rsidTr="00E70C0A">
        <w:trPr>
          <w:trHeight w:val="612"/>
        </w:trPr>
        <w:tc>
          <w:tcPr>
            <w:tcW w:w="1980" w:type="dxa"/>
            <w:tcBorders>
              <w:top w:val="single" w:sz="4" w:space="0" w:color="000000"/>
              <w:left w:val="single" w:sz="4" w:space="0" w:color="000000"/>
              <w:bottom w:val="single" w:sz="4" w:space="0" w:color="000000"/>
              <w:right w:val="single" w:sz="4" w:space="0" w:color="000000"/>
            </w:tcBorders>
          </w:tcPr>
          <w:p w14:paraId="54D2D991"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Risk free return</w:t>
            </w:r>
          </w:p>
        </w:tc>
        <w:tc>
          <w:tcPr>
            <w:tcW w:w="1708" w:type="dxa"/>
            <w:tcBorders>
              <w:top w:val="single" w:sz="4" w:space="0" w:color="000000"/>
              <w:left w:val="single" w:sz="4" w:space="0" w:color="000000"/>
              <w:bottom w:val="single" w:sz="4" w:space="0" w:color="000000"/>
              <w:right w:val="single" w:sz="4" w:space="0" w:color="000000"/>
            </w:tcBorders>
          </w:tcPr>
          <w:p w14:paraId="37F16BD7" w14:textId="77777777" w:rsidR="00976AF5" w:rsidRDefault="00976AF5" w:rsidP="00E70C0A">
            <w:pPr>
              <w:widowControl w:val="0"/>
              <w:jc w:val="right"/>
              <w:rPr>
                <w:color w:val="000000"/>
                <w:sz w:val="20"/>
                <w:szCs w:val="20"/>
              </w:rPr>
            </w:pPr>
            <w:r>
              <w:rPr>
                <w:color w:val="000000"/>
                <w:sz w:val="20"/>
                <w:szCs w:val="20"/>
              </w:rPr>
              <w:t xml:space="preserve">                                          6</w:t>
            </w:r>
          </w:p>
        </w:tc>
        <w:tc>
          <w:tcPr>
            <w:tcW w:w="1815" w:type="dxa"/>
            <w:tcBorders>
              <w:top w:val="single" w:sz="4" w:space="0" w:color="000000"/>
              <w:left w:val="single" w:sz="4" w:space="0" w:color="000000"/>
              <w:bottom w:val="single" w:sz="4" w:space="0" w:color="000000"/>
              <w:right w:val="single" w:sz="4" w:space="0" w:color="000000"/>
            </w:tcBorders>
          </w:tcPr>
          <w:p w14:paraId="43C2DA9E" w14:textId="77777777" w:rsidR="00976AF5" w:rsidRDefault="00976AF5" w:rsidP="00E70C0A">
            <w:pPr>
              <w:widowControl w:val="0"/>
              <w:jc w:val="right"/>
              <w:rPr>
                <w:color w:val="000000"/>
                <w:sz w:val="20"/>
                <w:szCs w:val="20"/>
              </w:rPr>
            </w:pPr>
            <w:r>
              <w:rPr>
                <w:color w:val="000000"/>
                <w:sz w:val="20"/>
                <w:szCs w:val="20"/>
              </w:rPr>
              <w:t xml:space="preserve">                                        6</w:t>
            </w:r>
          </w:p>
        </w:tc>
        <w:tc>
          <w:tcPr>
            <w:tcW w:w="1952" w:type="dxa"/>
            <w:tcBorders>
              <w:top w:val="single" w:sz="4" w:space="0" w:color="000000"/>
              <w:left w:val="single" w:sz="4" w:space="0" w:color="000000"/>
              <w:bottom w:val="single" w:sz="4" w:space="0" w:color="000000"/>
              <w:right w:val="single" w:sz="4" w:space="0" w:color="000000"/>
            </w:tcBorders>
          </w:tcPr>
          <w:p w14:paraId="2549AC21" w14:textId="77777777" w:rsidR="00976AF5" w:rsidRDefault="00976AF5" w:rsidP="00E70C0A">
            <w:pPr>
              <w:widowControl w:val="0"/>
              <w:jc w:val="right"/>
              <w:rPr>
                <w:color w:val="000000"/>
                <w:sz w:val="20"/>
                <w:szCs w:val="20"/>
              </w:rPr>
            </w:pPr>
            <w:r>
              <w:rPr>
                <w:color w:val="000000"/>
                <w:sz w:val="20"/>
                <w:szCs w:val="20"/>
              </w:rPr>
              <w:t xml:space="preserve">                                          6</w:t>
            </w:r>
          </w:p>
        </w:tc>
        <w:tc>
          <w:tcPr>
            <w:tcW w:w="2129" w:type="dxa"/>
            <w:tcBorders>
              <w:top w:val="single" w:sz="4" w:space="0" w:color="000000"/>
              <w:left w:val="single" w:sz="4" w:space="0" w:color="000000"/>
              <w:bottom w:val="single" w:sz="4" w:space="0" w:color="000000"/>
              <w:right w:val="single" w:sz="4" w:space="0" w:color="000000"/>
            </w:tcBorders>
          </w:tcPr>
          <w:p w14:paraId="165D2178" w14:textId="77777777" w:rsidR="00976AF5" w:rsidRDefault="00976AF5" w:rsidP="00E70C0A">
            <w:pPr>
              <w:widowControl w:val="0"/>
              <w:jc w:val="right"/>
              <w:rPr>
                <w:color w:val="000000"/>
                <w:sz w:val="20"/>
                <w:szCs w:val="20"/>
              </w:rPr>
            </w:pPr>
            <w:r>
              <w:rPr>
                <w:color w:val="000000"/>
                <w:sz w:val="20"/>
                <w:szCs w:val="20"/>
              </w:rPr>
              <w:t xml:space="preserve">                                               6</w:t>
            </w:r>
          </w:p>
        </w:tc>
      </w:tr>
      <w:tr w:rsidR="00976AF5" w14:paraId="376D64FC" w14:textId="77777777" w:rsidTr="00E70C0A">
        <w:trPr>
          <w:trHeight w:val="579"/>
        </w:trPr>
        <w:tc>
          <w:tcPr>
            <w:tcW w:w="1980" w:type="dxa"/>
            <w:tcBorders>
              <w:top w:val="single" w:sz="4" w:space="0" w:color="000000"/>
              <w:left w:val="single" w:sz="4" w:space="0" w:color="000000"/>
              <w:bottom w:val="single" w:sz="4" w:space="0" w:color="000000"/>
              <w:right w:val="single" w:sz="4" w:space="0" w:color="000000"/>
            </w:tcBorders>
          </w:tcPr>
          <w:p w14:paraId="7171AE4E"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Sharpe Ratio</w:t>
            </w:r>
          </w:p>
        </w:tc>
        <w:tc>
          <w:tcPr>
            <w:tcW w:w="1708" w:type="dxa"/>
            <w:tcBorders>
              <w:top w:val="single" w:sz="4" w:space="0" w:color="000000"/>
              <w:left w:val="single" w:sz="4" w:space="0" w:color="000000"/>
              <w:bottom w:val="single" w:sz="4" w:space="0" w:color="000000"/>
              <w:right w:val="single" w:sz="4" w:space="0" w:color="000000"/>
            </w:tcBorders>
          </w:tcPr>
          <w:p w14:paraId="3138DAED"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-1.31</w:t>
            </w:r>
          </w:p>
        </w:tc>
        <w:tc>
          <w:tcPr>
            <w:tcW w:w="1815" w:type="dxa"/>
            <w:tcBorders>
              <w:top w:val="single" w:sz="4" w:space="0" w:color="000000"/>
              <w:left w:val="single" w:sz="4" w:space="0" w:color="000000"/>
              <w:bottom w:val="single" w:sz="4" w:space="0" w:color="000000"/>
              <w:right w:val="single" w:sz="4" w:space="0" w:color="000000"/>
            </w:tcBorders>
          </w:tcPr>
          <w:p w14:paraId="6D3381D9"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-4.06</w:t>
            </w:r>
          </w:p>
        </w:tc>
        <w:tc>
          <w:tcPr>
            <w:tcW w:w="1952" w:type="dxa"/>
            <w:tcBorders>
              <w:top w:val="single" w:sz="4" w:space="0" w:color="000000"/>
              <w:left w:val="single" w:sz="4" w:space="0" w:color="000000"/>
              <w:bottom w:val="single" w:sz="4" w:space="0" w:color="000000"/>
              <w:right w:val="single" w:sz="4" w:space="0" w:color="000000"/>
            </w:tcBorders>
          </w:tcPr>
          <w:p w14:paraId="6C09542C"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-3.21</w:t>
            </w:r>
          </w:p>
        </w:tc>
        <w:tc>
          <w:tcPr>
            <w:tcW w:w="2129" w:type="dxa"/>
            <w:tcBorders>
              <w:top w:val="single" w:sz="4" w:space="0" w:color="000000"/>
              <w:left w:val="single" w:sz="4" w:space="0" w:color="000000"/>
              <w:bottom w:val="single" w:sz="4" w:space="0" w:color="000000"/>
              <w:right w:val="single" w:sz="4" w:space="0" w:color="000000"/>
            </w:tcBorders>
          </w:tcPr>
          <w:p w14:paraId="3CEEFD04"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-18.73</w:t>
            </w:r>
          </w:p>
        </w:tc>
      </w:tr>
      <w:tr w:rsidR="00976AF5" w14:paraId="70285DB0"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7AC7EBEA"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Beta value</w:t>
            </w:r>
          </w:p>
        </w:tc>
        <w:tc>
          <w:tcPr>
            <w:tcW w:w="1708" w:type="dxa"/>
            <w:tcBorders>
              <w:top w:val="single" w:sz="4" w:space="0" w:color="000000"/>
              <w:left w:val="single" w:sz="4" w:space="0" w:color="000000"/>
              <w:bottom w:val="single" w:sz="4" w:space="0" w:color="000000"/>
              <w:right w:val="single" w:sz="4" w:space="0" w:color="000000"/>
            </w:tcBorders>
          </w:tcPr>
          <w:p w14:paraId="62B25E13"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0.969</w:t>
            </w:r>
          </w:p>
        </w:tc>
        <w:tc>
          <w:tcPr>
            <w:tcW w:w="1815" w:type="dxa"/>
            <w:tcBorders>
              <w:top w:val="single" w:sz="4" w:space="0" w:color="000000"/>
              <w:left w:val="single" w:sz="4" w:space="0" w:color="000000"/>
              <w:bottom w:val="single" w:sz="4" w:space="0" w:color="000000"/>
              <w:right w:val="single" w:sz="4" w:space="0" w:color="000000"/>
            </w:tcBorders>
          </w:tcPr>
          <w:p w14:paraId="6FCFF8A9"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1.144</w:t>
            </w:r>
          </w:p>
        </w:tc>
        <w:tc>
          <w:tcPr>
            <w:tcW w:w="1952" w:type="dxa"/>
            <w:tcBorders>
              <w:top w:val="single" w:sz="4" w:space="0" w:color="000000"/>
              <w:left w:val="single" w:sz="4" w:space="0" w:color="000000"/>
              <w:bottom w:val="single" w:sz="4" w:space="0" w:color="000000"/>
              <w:right w:val="single" w:sz="4" w:space="0" w:color="000000"/>
            </w:tcBorders>
          </w:tcPr>
          <w:p w14:paraId="18834B9B"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0.969</w:t>
            </w:r>
          </w:p>
        </w:tc>
        <w:tc>
          <w:tcPr>
            <w:tcW w:w="2129" w:type="dxa"/>
            <w:tcBorders>
              <w:top w:val="single" w:sz="4" w:space="0" w:color="000000"/>
              <w:left w:val="single" w:sz="4" w:space="0" w:color="000000"/>
              <w:bottom w:val="single" w:sz="4" w:space="0" w:color="000000"/>
              <w:right w:val="single" w:sz="4" w:space="0" w:color="000000"/>
            </w:tcBorders>
          </w:tcPr>
          <w:p w14:paraId="7FF83579"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1.144</w:t>
            </w:r>
          </w:p>
        </w:tc>
      </w:tr>
      <w:tr w:rsidR="00976AF5" w14:paraId="1F259929"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579F1728"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Treynor Ratio</w:t>
            </w:r>
          </w:p>
        </w:tc>
        <w:tc>
          <w:tcPr>
            <w:tcW w:w="1708" w:type="dxa"/>
            <w:tcBorders>
              <w:top w:val="single" w:sz="4" w:space="0" w:color="000000"/>
              <w:left w:val="single" w:sz="4" w:space="0" w:color="000000"/>
              <w:bottom w:val="single" w:sz="4" w:space="0" w:color="000000"/>
              <w:right w:val="single" w:sz="4" w:space="0" w:color="000000"/>
            </w:tcBorders>
          </w:tcPr>
          <w:p w14:paraId="0D483ADE"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-4.21</w:t>
            </w:r>
          </w:p>
        </w:tc>
        <w:tc>
          <w:tcPr>
            <w:tcW w:w="1815" w:type="dxa"/>
            <w:tcBorders>
              <w:top w:val="single" w:sz="4" w:space="0" w:color="000000"/>
              <w:left w:val="single" w:sz="4" w:space="0" w:color="000000"/>
              <w:bottom w:val="single" w:sz="4" w:space="0" w:color="000000"/>
              <w:right w:val="single" w:sz="4" w:space="0" w:color="000000"/>
            </w:tcBorders>
          </w:tcPr>
          <w:p w14:paraId="27070841"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-6.93</w:t>
            </w:r>
          </w:p>
        </w:tc>
        <w:tc>
          <w:tcPr>
            <w:tcW w:w="1952" w:type="dxa"/>
            <w:tcBorders>
              <w:top w:val="single" w:sz="4" w:space="0" w:color="000000"/>
              <w:left w:val="single" w:sz="4" w:space="0" w:color="000000"/>
              <w:bottom w:val="single" w:sz="4" w:space="0" w:color="000000"/>
              <w:right w:val="single" w:sz="4" w:space="0" w:color="000000"/>
            </w:tcBorders>
          </w:tcPr>
          <w:p w14:paraId="53D46287"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-4.21</w:t>
            </w:r>
          </w:p>
        </w:tc>
        <w:tc>
          <w:tcPr>
            <w:tcW w:w="2129" w:type="dxa"/>
            <w:tcBorders>
              <w:top w:val="single" w:sz="4" w:space="0" w:color="000000"/>
              <w:left w:val="single" w:sz="4" w:space="0" w:color="000000"/>
              <w:bottom w:val="single" w:sz="4" w:space="0" w:color="000000"/>
              <w:right w:val="single" w:sz="4" w:space="0" w:color="000000"/>
            </w:tcBorders>
          </w:tcPr>
          <w:p w14:paraId="15D4C8BC"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-11.97</w:t>
            </w:r>
          </w:p>
        </w:tc>
      </w:tr>
    </w:tbl>
    <w:p w14:paraId="00716A9A" w14:textId="77777777" w:rsidR="00976AF5" w:rsidRDefault="00976AF5" w:rsidP="00976AF5">
      <w:pPr>
        <w:jc w:val="both"/>
        <w:rPr>
          <w:rFonts w:ascii="Times New Roman" w:eastAsia="Times New Roman" w:hAnsi="Times New Roman" w:cs="Times New Roman"/>
        </w:rPr>
      </w:pPr>
    </w:p>
    <w:p w14:paraId="1A134BF9" w14:textId="77777777" w:rsidR="00976AF5" w:rsidRDefault="00976AF5" w:rsidP="00976AF5">
      <w:pPr>
        <w:jc w:val="both"/>
      </w:pPr>
      <w:r>
        <w:rPr>
          <w:noProof/>
        </w:rPr>
        <w:lastRenderedPageBreak/>
        <w:drawing>
          <wp:inline distT="0" distB="0" distL="0" distR="0" wp14:anchorId="3A46A983" wp14:editId="20694D84">
            <wp:extent cx="5913120" cy="3352800"/>
            <wp:effectExtent l="0" t="0" r="11430" b="0"/>
            <wp:docPr id="9" name="Obj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1564182" w14:textId="77777777" w:rsidR="00976AF5" w:rsidRDefault="00976AF5" w:rsidP="00976AF5">
      <w:pPr>
        <w:jc w:val="both"/>
        <w:rPr>
          <w:rFonts w:ascii="Times New Roman" w:eastAsia="Times New Roman" w:hAnsi="Times New Roman" w:cs="Times New Roman"/>
          <w:b/>
          <w:sz w:val="28"/>
          <w:szCs w:val="28"/>
        </w:rPr>
      </w:pPr>
    </w:p>
    <w:p w14:paraId="151C0A75" w14:textId="77777777" w:rsidR="00976AF5" w:rsidRDefault="00976AF5" w:rsidP="00976AF5">
      <w:pPr>
        <w:jc w:val="both"/>
      </w:pPr>
      <w:r>
        <w:rPr>
          <w:rFonts w:ascii="Times New Roman" w:eastAsia="Times New Roman" w:hAnsi="Times New Roman" w:cs="Times New Roman"/>
          <w:b/>
          <w:sz w:val="28"/>
          <w:szCs w:val="28"/>
        </w:rPr>
        <w:t>Interpretation:</w:t>
      </w:r>
    </w:p>
    <w:p w14:paraId="6FC9EDDD" w14:textId="77777777" w:rsidR="00976AF5" w:rsidRDefault="00976AF5" w:rsidP="00976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above table and graph analysis consist SBI magnum mid cap fund-Gr, Franklin India smaller companies, SBI magnum Mid cap fund-IDCW and Franklin India smaller companies fund-IDCW points for the year 2019, it can observe that SBI magnum mid cap fund-Gr annual change is 1.959, Franklin India smaller companies-GR is -3.99,SBI magnum Mid cap fund-IDCW is 1.958 and in franklin India smaller companies fund-IDCW -11.24.</w:t>
      </w:r>
    </w:p>
    <w:p w14:paraId="7BCAD6EA" w14:textId="02CF7721" w:rsidR="00976AF5" w:rsidRDefault="00976AF5" w:rsidP="00976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a period of 12 months in the year of 2019 the SBI magnum mid cap fund-Gr fund has shown better performance in annual % change, standard deviation and Sharpe ratio. </w:t>
      </w:r>
    </w:p>
    <w:p w14:paraId="6176F4AE" w14:textId="77777777" w:rsidR="00976AF5" w:rsidRDefault="00976AF5" w:rsidP="00976AF5">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2: Performance of both Growth option and Dividend option for the year of 2020</w:t>
      </w:r>
    </w:p>
    <w:tbl>
      <w:tblPr>
        <w:tblW w:w="9584" w:type="dxa"/>
        <w:tblLayout w:type="fixed"/>
        <w:tblLook w:val="0400" w:firstRow="0" w:lastRow="0" w:firstColumn="0" w:lastColumn="0" w:noHBand="0" w:noVBand="1"/>
      </w:tblPr>
      <w:tblGrid>
        <w:gridCol w:w="1980"/>
        <w:gridCol w:w="1708"/>
        <w:gridCol w:w="1815"/>
        <w:gridCol w:w="1952"/>
        <w:gridCol w:w="2129"/>
      </w:tblGrid>
      <w:tr w:rsidR="00976AF5" w14:paraId="1D34E17E" w14:textId="77777777" w:rsidTr="00E70C0A">
        <w:tc>
          <w:tcPr>
            <w:tcW w:w="9584" w:type="dxa"/>
            <w:gridSpan w:val="5"/>
            <w:tcBorders>
              <w:top w:val="single" w:sz="4" w:space="0" w:color="000000"/>
              <w:left w:val="single" w:sz="4" w:space="0" w:color="000000"/>
              <w:right w:val="single" w:sz="4" w:space="0" w:color="000000"/>
            </w:tcBorders>
          </w:tcPr>
          <w:p w14:paraId="2B9598FE" w14:textId="77777777" w:rsidR="00976AF5" w:rsidRDefault="00976AF5" w:rsidP="00E70C0A">
            <w:pPr>
              <w:widowControl w:val="0"/>
              <w:jc w:val="center"/>
              <w:rPr>
                <w:rFonts w:ascii="Times New Roman" w:eastAsia="Times New Roman" w:hAnsi="Times New Roman" w:cs="Times New Roman"/>
                <w:b/>
                <w:color w:val="000000"/>
                <w:sz w:val="24"/>
                <w:szCs w:val="24"/>
              </w:rPr>
            </w:pPr>
          </w:p>
          <w:p w14:paraId="251B23B0"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of change in NAV-2020</w:t>
            </w:r>
          </w:p>
        </w:tc>
      </w:tr>
      <w:tr w:rsidR="00976AF5" w14:paraId="44F5BBEF" w14:textId="77777777" w:rsidTr="00E70C0A">
        <w:tc>
          <w:tcPr>
            <w:tcW w:w="1980" w:type="dxa"/>
            <w:vMerge w:val="restart"/>
            <w:tcBorders>
              <w:top w:val="single" w:sz="4" w:space="0" w:color="000000"/>
              <w:left w:val="single" w:sz="4" w:space="0" w:color="000000"/>
              <w:bottom w:val="single" w:sz="4" w:space="0" w:color="000000"/>
              <w:right w:val="single" w:sz="4" w:space="0" w:color="000000"/>
            </w:tcBorders>
          </w:tcPr>
          <w:p w14:paraId="10BB6E5A" w14:textId="77777777" w:rsidR="00976AF5" w:rsidRDefault="00976AF5" w:rsidP="00E70C0A">
            <w:pPr>
              <w:widowControl w:val="0"/>
              <w:rPr>
                <w:rFonts w:ascii="Times New Roman" w:eastAsia="Times New Roman" w:hAnsi="Times New Roman" w:cs="Times New Roman"/>
                <w:color w:val="000000"/>
                <w:sz w:val="24"/>
                <w:szCs w:val="24"/>
              </w:rPr>
            </w:pPr>
            <w:bookmarkStart w:id="0" w:name="_heading=h.gjdgxs"/>
            <w:bookmarkEnd w:id="0"/>
          </w:p>
          <w:p w14:paraId="0185226E"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3523" w:type="dxa"/>
            <w:gridSpan w:val="2"/>
            <w:tcBorders>
              <w:top w:val="single" w:sz="4" w:space="0" w:color="000000"/>
              <w:left w:val="single" w:sz="4" w:space="0" w:color="000000"/>
              <w:bottom w:val="single" w:sz="4" w:space="0" w:color="000000"/>
              <w:right w:val="single" w:sz="4" w:space="0" w:color="000000"/>
            </w:tcBorders>
          </w:tcPr>
          <w:p w14:paraId="6B867E1F"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Growth option</w:t>
            </w:r>
          </w:p>
        </w:tc>
        <w:tc>
          <w:tcPr>
            <w:tcW w:w="4081" w:type="dxa"/>
            <w:gridSpan w:val="2"/>
            <w:tcBorders>
              <w:top w:val="single" w:sz="4" w:space="0" w:color="000000"/>
              <w:left w:val="single" w:sz="4" w:space="0" w:color="000000"/>
              <w:bottom w:val="single" w:sz="4" w:space="0" w:color="000000"/>
              <w:right w:val="single" w:sz="4" w:space="0" w:color="000000"/>
            </w:tcBorders>
          </w:tcPr>
          <w:p w14:paraId="21A152E4"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Dividend Option</w:t>
            </w:r>
          </w:p>
        </w:tc>
      </w:tr>
      <w:tr w:rsidR="00976AF5" w14:paraId="10528055" w14:textId="77777777" w:rsidTr="00E70C0A">
        <w:tc>
          <w:tcPr>
            <w:tcW w:w="1980" w:type="dxa"/>
            <w:vMerge/>
            <w:tcBorders>
              <w:top w:val="single" w:sz="4" w:space="0" w:color="000000"/>
              <w:left w:val="single" w:sz="4" w:space="0" w:color="000000"/>
              <w:bottom w:val="single" w:sz="4" w:space="0" w:color="000000"/>
              <w:right w:val="single" w:sz="4" w:space="0" w:color="000000"/>
            </w:tcBorders>
          </w:tcPr>
          <w:p w14:paraId="2237A820" w14:textId="77777777" w:rsidR="00976AF5" w:rsidRDefault="00976AF5" w:rsidP="00E70C0A">
            <w:pPr>
              <w:widowControl w:val="0"/>
              <w:spacing w:after="0" w:line="276" w:lineRule="auto"/>
              <w:rPr>
                <w:rFonts w:ascii="Times New Roman" w:eastAsia="Times New Roman" w:hAnsi="Times New Roman" w:cs="Times New Roman"/>
                <w:b/>
                <w:color w:val="000000"/>
              </w:rPr>
            </w:pPr>
          </w:p>
        </w:tc>
        <w:tc>
          <w:tcPr>
            <w:tcW w:w="1708" w:type="dxa"/>
            <w:tcBorders>
              <w:top w:val="single" w:sz="4" w:space="0" w:color="000000"/>
              <w:left w:val="single" w:sz="4" w:space="0" w:color="000000"/>
              <w:bottom w:val="single" w:sz="4" w:space="0" w:color="000000"/>
              <w:right w:val="single" w:sz="4" w:space="0" w:color="000000"/>
            </w:tcBorders>
          </w:tcPr>
          <w:p w14:paraId="4C39A778"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SBI Magnum Mid fund -Gr</w:t>
            </w:r>
          </w:p>
        </w:tc>
        <w:tc>
          <w:tcPr>
            <w:tcW w:w="1815" w:type="dxa"/>
            <w:tcBorders>
              <w:top w:val="single" w:sz="4" w:space="0" w:color="000000"/>
              <w:left w:val="single" w:sz="4" w:space="0" w:color="000000"/>
              <w:bottom w:val="single" w:sz="4" w:space="0" w:color="000000"/>
              <w:right w:val="single" w:sz="4" w:space="0" w:color="000000"/>
            </w:tcBorders>
          </w:tcPr>
          <w:p w14:paraId="5ADA8A3F"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Franklin India Smaller companies-Gr</w:t>
            </w:r>
          </w:p>
        </w:tc>
        <w:tc>
          <w:tcPr>
            <w:tcW w:w="1952" w:type="dxa"/>
            <w:tcBorders>
              <w:top w:val="single" w:sz="4" w:space="0" w:color="000000"/>
              <w:left w:val="single" w:sz="4" w:space="0" w:color="000000"/>
              <w:bottom w:val="single" w:sz="4" w:space="0" w:color="000000"/>
              <w:right w:val="single" w:sz="4" w:space="0" w:color="000000"/>
            </w:tcBorders>
          </w:tcPr>
          <w:p w14:paraId="0CF6830F"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SBI Magnum Mid fund – IDCW</w:t>
            </w:r>
          </w:p>
        </w:tc>
        <w:tc>
          <w:tcPr>
            <w:tcW w:w="2129" w:type="dxa"/>
            <w:tcBorders>
              <w:top w:val="single" w:sz="4" w:space="0" w:color="000000"/>
              <w:left w:val="single" w:sz="4" w:space="0" w:color="000000"/>
              <w:bottom w:val="single" w:sz="4" w:space="0" w:color="000000"/>
              <w:right w:val="single" w:sz="4" w:space="0" w:color="000000"/>
            </w:tcBorders>
          </w:tcPr>
          <w:p w14:paraId="680E86B3"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Franklin India Smaller companies- IDCW</w:t>
            </w:r>
          </w:p>
        </w:tc>
      </w:tr>
      <w:tr w:rsidR="00976AF5" w14:paraId="2F8F9528"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481207A8" w14:textId="77777777" w:rsidR="00976AF5" w:rsidRDefault="00976AF5" w:rsidP="00E70C0A">
            <w:pPr>
              <w:widowControl w:val="0"/>
              <w:jc w:val="center"/>
              <w:rPr>
                <w:color w:val="000000"/>
                <w:sz w:val="20"/>
                <w:szCs w:val="20"/>
              </w:rPr>
            </w:pPr>
            <w:r>
              <w:rPr>
                <w:color w:val="000000"/>
                <w:sz w:val="20"/>
                <w:szCs w:val="20"/>
              </w:rPr>
              <w:t>01-01-2020</w:t>
            </w:r>
          </w:p>
        </w:tc>
        <w:tc>
          <w:tcPr>
            <w:tcW w:w="1708" w:type="dxa"/>
            <w:tcBorders>
              <w:top w:val="single" w:sz="4" w:space="0" w:color="000000"/>
              <w:left w:val="single" w:sz="4" w:space="0" w:color="000000"/>
              <w:bottom w:val="single" w:sz="4" w:space="0" w:color="000000"/>
              <w:right w:val="single" w:sz="4" w:space="0" w:color="000000"/>
            </w:tcBorders>
          </w:tcPr>
          <w:p w14:paraId="76BC9C82" w14:textId="77777777" w:rsidR="00976AF5" w:rsidRDefault="00976AF5" w:rsidP="00E70C0A">
            <w:pPr>
              <w:widowControl w:val="0"/>
              <w:jc w:val="right"/>
              <w:rPr>
                <w:color w:val="000000"/>
                <w:sz w:val="20"/>
                <w:szCs w:val="20"/>
              </w:rPr>
            </w:pPr>
            <w:r>
              <w:rPr>
                <w:color w:val="000000"/>
                <w:sz w:val="20"/>
                <w:szCs w:val="20"/>
              </w:rPr>
              <w:t>0.0760</w:t>
            </w:r>
          </w:p>
        </w:tc>
        <w:tc>
          <w:tcPr>
            <w:tcW w:w="1815" w:type="dxa"/>
            <w:tcBorders>
              <w:top w:val="single" w:sz="4" w:space="0" w:color="000000"/>
              <w:left w:val="single" w:sz="4" w:space="0" w:color="000000"/>
              <w:bottom w:val="single" w:sz="4" w:space="0" w:color="000000"/>
              <w:right w:val="single" w:sz="4" w:space="0" w:color="000000"/>
            </w:tcBorders>
          </w:tcPr>
          <w:p w14:paraId="3CCD1752" w14:textId="77777777" w:rsidR="00976AF5" w:rsidRDefault="00976AF5" w:rsidP="00E70C0A">
            <w:pPr>
              <w:widowControl w:val="0"/>
              <w:jc w:val="right"/>
              <w:rPr>
                <w:color w:val="000000"/>
                <w:sz w:val="20"/>
                <w:szCs w:val="20"/>
              </w:rPr>
            </w:pPr>
            <w:r>
              <w:rPr>
                <w:color w:val="000000"/>
                <w:sz w:val="20"/>
                <w:szCs w:val="20"/>
              </w:rPr>
              <w:t>0.8350</w:t>
            </w:r>
          </w:p>
        </w:tc>
        <w:tc>
          <w:tcPr>
            <w:tcW w:w="1952" w:type="dxa"/>
            <w:tcBorders>
              <w:top w:val="single" w:sz="4" w:space="0" w:color="000000"/>
              <w:left w:val="single" w:sz="4" w:space="0" w:color="000000"/>
              <w:bottom w:val="single" w:sz="4" w:space="0" w:color="000000"/>
              <w:right w:val="single" w:sz="4" w:space="0" w:color="000000"/>
            </w:tcBorders>
          </w:tcPr>
          <w:p w14:paraId="23047471" w14:textId="77777777" w:rsidR="00976AF5" w:rsidRDefault="00976AF5" w:rsidP="00E70C0A">
            <w:pPr>
              <w:widowControl w:val="0"/>
              <w:jc w:val="right"/>
              <w:rPr>
                <w:color w:val="000000"/>
                <w:sz w:val="20"/>
                <w:szCs w:val="20"/>
              </w:rPr>
            </w:pPr>
            <w:r>
              <w:rPr>
                <w:color w:val="000000"/>
                <w:sz w:val="20"/>
                <w:szCs w:val="20"/>
              </w:rPr>
              <w:t>0.0310</w:t>
            </w:r>
          </w:p>
        </w:tc>
        <w:tc>
          <w:tcPr>
            <w:tcW w:w="2129" w:type="dxa"/>
            <w:tcBorders>
              <w:top w:val="single" w:sz="4" w:space="0" w:color="000000"/>
              <w:left w:val="single" w:sz="4" w:space="0" w:color="000000"/>
              <w:bottom w:val="single" w:sz="4" w:space="0" w:color="000000"/>
              <w:right w:val="single" w:sz="4" w:space="0" w:color="000000"/>
            </w:tcBorders>
          </w:tcPr>
          <w:p w14:paraId="7CF3C9BF" w14:textId="77777777" w:rsidR="00976AF5" w:rsidRDefault="00976AF5" w:rsidP="00E70C0A">
            <w:pPr>
              <w:widowControl w:val="0"/>
              <w:jc w:val="right"/>
              <w:rPr>
                <w:color w:val="000000"/>
                <w:sz w:val="20"/>
                <w:szCs w:val="20"/>
              </w:rPr>
            </w:pPr>
            <w:r>
              <w:rPr>
                <w:color w:val="000000"/>
                <w:sz w:val="20"/>
                <w:szCs w:val="20"/>
              </w:rPr>
              <w:t>0.3780</w:t>
            </w:r>
          </w:p>
        </w:tc>
      </w:tr>
      <w:tr w:rsidR="00976AF5" w14:paraId="1AC12DE6"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3259E13F" w14:textId="77777777" w:rsidR="00976AF5" w:rsidRDefault="00976AF5" w:rsidP="00E70C0A">
            <w:pPr>
              <w:widowControl w:val="0"/>
              <w:jc w:val="center"/>
              <w:rPr>
                <w:color w:val="000000"/>
                <w:sz w:val="20"/>
                <w:szCs w:val="20"/>
              </w:rPr>
            </w:pPr>
            <w:r>
              <w:rPr>
                <w:color w:val="000000"/>
                <w:sz w:val="20"/>
                <w:szCs w:val="20"/>
              </w:rPr>
              <w:t>03-02-2020</w:t>
            </w:r>
          </w:p>
        </w:tc>
        <w:tc>
          <w:tcPr>
            <w:tcW w:w="1708" w:type="dxa"/>
            <w:tcBorders>
              <w:top w:val="single" w:sz="4" w:space="0" w:color="000000"/>
              <w:left w:val="single" w:sz="4" w:space="0" w:color="000000"/>
              <w:bottom w:val="single" w:sz="4" w:space="0" w:color="000000"/>
              <w:right w:val="single" w:sz="4" w:space="0" w:color="000000"/>
            </w:tcBorders>
          </w:tcPr>
          <w:p w14:paraId="3D22ECD4" w14:textId="77777777" w:rsidR="00976AF5" w:rsidRDefault="00976AF5" w:rsidP="00E70C0A">
            <w:pPr>
              <w:widowControl w:val="0"/>
              <w:jc w:val="right"/>
              <w:rPr>
                <w:color w:val="000000"/>
                <w:sz w:val="20"/>
                <w:szCs w:val="20"/>
              </w:rPr>
            </w:pPr>
            <w:r>
              <w:rPr>
                <w:color w:val="000000"/>
                <w:sz w:val="20"/>
                <w:szCs w:val="20"/>
              </w:rPr>
              <w:t>4.6736</w:t>
            </w:r>
          </w:p>
        </w:tc>
        <w:tc>
          <w:tcPr>
            <w:tcW w:w="1815" w:type="dxa"/>
            <w:tcBorders>
              <w:top w:val="single" w:sz="4" w:space="0" w:color="000000"/>
              <w:left w:val="single" w:sz="4" w:space="0" w:color="000000"/>
              <w:bottom w:val="single" w:sz="4" w:space="0" w:color="000000"/>
              <w:right w:val="single" w:sz="4" w:space="0" w:color="000000"/>
            </w:tcBorders>
          </w:tcPr>
          <w:p w14:paraId="7FE44AAB" w14:textId="77777777" w:rsidR="00976AF5" w:rsidRDefault="00976AF5" w:rsidP="00E70C0A">
            <w:pPr>
              <w:widowControl w:val="0"/>
              <w:jc w:val="right"/>
              <w:rPr>
                <w:color w:val="000000"/>
                <w:sz w:val="20"/>
                <w:szCs w:val="20"/>
              </w:rPr>
            </w:pPr>
            <w:r>
              <w:rPr>
                <w:color w:val="000000"/>
                <w:sz w:val="20"/>
                <w:szCs w:val="20"/>
              </w:rPr>
              <w:t>0.8401</w:t>
            </w:r>
          </w:p>
        </w:tc>
        <w:tc>
          <w:tcPr>
            <w:tcW w:w="1952" w:type="dxa"/>
            <w:tcBorders>
              <w:top w:val="single" w:sz="4" w:space="0" w:color="000000"/>
              <w:left w:val="single" w:sz="4" w:space="0" w:color="000000"/>
              <w:bottom w:val="single" w:sz="4" w:space="0" w:color="000000"/>
              <w:right w:val="single" w:sz="4" w:space="0" w:color="000000"/>
            </w:tcBorders>
          </w:tcPr>
          <w:p w14:paraId="74117129" w14:textId="77777777" w:rsidR="00976AF5" w:rsidRDefault="00976AF5" w:rsidP="00E70C0A">
            <w:pPr>
              <w:widowControl w:val="0"/>
              <w:jc w:val="right"/>
              <w:rPr>
                <w:color w:val="000000"/>
                <w:sz w:val="20"/>
                <w:szCs w:val="20"/>
              </w:rPr>
            </w:pPr>
            <w:r>
              <w:rPr>
                <w:color w:val="000000"/>
                <w:sz w:val="20"/>
                <w:szCs w:val="20"/>
              </w:rPr>
              <w:t>1.9097</w:t>
            </w:r>
          </w:p>
        </w:tc>
        <w:tc>
          <w:tcPr>
            <w:tcW w:w="2129" w:type="dxa"/>
            <w:tcBorders>
              <w:top w:val="single" w:sz="4" w:space="0" w:color="000000"/>
              <w:left w:val="single" w:sz="4" w:space="0" w:color="000000"/>
              <w:bottom w:val="single" w:sz="4" w:space="0" w:color="000000"/>
              <w:right w:val="single" w:sz="4" w:space="0" w:color="000000"/>
            </w:tcBorders>
          </w:tcPr>
          <w:p w14:paraId="5C2F3997" w14:textId="77777777" w:rsidR="00976AF5" w:rsidRDefault="00976AF5" w:rsidP="00E70C0A">
            <w:pPr>
              <w:widowControl w:val="0"/>
              <w:jc w:val="right"/>
              <w:rPr>
                <w:color w:val="000000"/>
                <w:sz w:val="20"/>
                <w:szCs w:val="20"/>
              </w:rPr>
            </w:pPr>
            <w:r>
              <w:rPr>
                <w:color w:val="000000"/>
                <w:sz w:val="20"/>
                <w:szCs w:val="20"/>
              </w:rPr>
              <w:t>0.3802</w:t>
            </w:r>
          </w:p>
        </w:tc>
      </w:tr>
      <w:tr w:rsidR="00976AF5" w14:paraId="3B089506"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000A9472" w14:textId="77777777" w:rsidR="00976AF5" w:rsidRDefault="00976AF5" w:rsidP="00E70C0A">
            <w:pPr>
              <w:widowControl w:val="0"/>
              <w:jc w:val="center"/>
              <w:rPr>
                <w:color w:val="000000"/>
                <w:sz w:val="20"/>
                <w:szCs w:val="20"/>
              </w:rPr>
            </w:pPr>
            <w:r>
              <w:rPr>
                <w:color w:val="000000"/>
                <w:sz w:val="20"/>
                <w:szCs w:val="20"/>
              </w:rPr>
              <w:t>02-03-2020</w:t>
            </w:r>
          </w:p>
        </w:tc>
        <w:tc>
          <w:tcPr>
            <w:tcW w:w="1708" w:type="dxa"/>
            <w:tcBorders>
              <w:top w:val="single" w:sz="4" w:space="0" w:color="000000"/>
              <w:left w:val="single" w:sz="4" w:space="0" w:color="000000"/>
              <w:bottom w:val="single" w:sz="4" w:space="0" w:color="000000"/>
              <w:right w:val="single" w:sz="4" w:space="0" w:color="000000"/>
            </w:tcBorders>
          </w:tcPr>
          <w:p w14:paraId="30ED7C42" w14:textId="77777777" w:rsidR="00976AF5" w:rsidRDefault="00976AF5" w:rsidP="00E70C0A">
            <w:pPr>
              <w:widowControl w:val="0"/>
              <w:jc w:val="right"/>
              <w:rPr>
                <w:color w:val="000000"/>
                <w:sz w:val="20"/>
                <w:szCs w:val="20"/>
              </w:rPr>
            </w:pPr>
            <w:r>
              <w:rPr>
                <w:color w:val="000000"/>
                <w:sz w:val="20"/>
                <w:szCs w:val="20"/>
              </w:rPr>
              <w:t>-2.9627</w:t>
            </w:r>
          </w:p>
        </w:tc>
        <w:tc>
          <w:tcPr>
            <w:tcW w:w="1815" w:type="dxa"/>
            <w:tcBorders>
              <w:top w:val="single" w:sz="4" w:space="0" w:color="000000"/>
              <w:left w:val="single" w:sz="4" w:space="0" w:color="000000"/>
              <w:bottom w:val="single" w:sz="4" w:space="0" w:color="000000"/>
              <w:right w:val="single" w:sz="4" w:space="0" w:color="000000"/>
            </w:tcBorders>
          </w:tcPr>
          <w:p w14:paraId="21C4B537" w14:textId="77777777" w:rsidR="00976AF5" w:rsidRDefault="00976AF5" w:rsidP="00E70C0A">
            <w:pPr>
              <w:widowControl w:val="0"/>
              <w:jc w:val="right"/>
              <w:rPr>
                <w:color w:val="000000"/>
                <w:sz w:val="20"/>
                <w:szCs w:val="20"/>
              </w:rPr>
            </w:pPr>
            <w:r>
              <w:rPr>
                <w:color w:val="000000"/>
                <w:sz w:val="20"/>
                <w:szCs w:val="20"/>
              </w:rPr>
              <w:t>-2.9172</w:t>
            </w:r>
          </w:p>
        </w:tc>
        <w:tc>
          <w:tcPr>
            <w:tcW w:w="1952" w:type="dxa"/>
            <w:tcBorders>
              <w:top w:val="single" w:sz="4" w:space="0" w:color="000000"/>
              <w:left w:val="single" w:sz="4" w:space="0" w:color="000000"/>
              <w:bottom w:val="single" w:sz="4" w:space="0" w:color="000000"/>
              <w:right w:val="single" w:sz="4" w:space="0" w:color="000000"/>
            </w:tcBorders>
          </w:tcPr>
          <w:p w14:paraId="1268B9CD" w14:textId="77777777" w:rsidR="00976AF5" w:rsidRDefault="00976AF5" w:rsidP="00E70C0A">
            <w:pPr>
              <w:widowControl w:val="0"/>
              <w:jc w:val="right"/>
              <w:rPr>
                <w:color w:val="000000"/>
                <w:sz w:val="20"/>
                <w:szCs w:val="20"/>
              </w:rPr>
            </w:pPr>
            <w:r>
              <w:rPr>
                <w:color w:val="000000"/>
                <w:sz w:val="20"/>
                <w:szCs w:val="20"/>
              </w:rPr>
              <w:t>-1.2106</w:t>
            </w:r>
          </w:p>
        </w:tc>
        <w:tc>
          <w:tcPr>
            <w:tcW w:w="2129" w:type="dxa"/>
            <w:tcBorders>
              <w:top w:val="single" w:sz="4" w:space="0" w:color="000000"/>
              <w:left w:val="single" w:sz="4" w:space="0" w:color="000000"/>
              <w:bottom w:val="single" w:sz="4" w:space="0" w:color="000000"/>
              <w:right w:val="single" w:sz="4" w:space="0" w:color="000000"/>
            </w:tcBorders>
          </w:tcPr>
          <w:p w14:paraId="56ACB780" w14:textId="77777777" w:rsidR="00976AF5" w:rsidRDefault="00976AF5" w:rsidP="00E70C0A">
            <w:pPr>
              <w:widowControl w:val="0"/>
              <w:jc w:val="right"/>
              <w:rPr>
                <w:color w:val="000000"/>
                <w:sz w:val="20"/>
                <w:szCs w:val="20"/>
              </w:rPr>
            </w:pPr>
            <w:r>
              <w:rPr>
                <w:color w:val="000000"/>
                <w:sz w:val="20"/>
                <w:szCs w:val="20"/>
              </w:rPr>
              <w:t>-2.8203</w:t>
            </w:r>
          </w:p>
        </w:tc>
      </w:tr>
      <w:tr w:rsidR="00976AF5" w14:paraId="61B2C732"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5349D3C1" w14:textId="77777777" w:rsidR="00976AF5" w:rsidRDefault="00976AF5" w:rsidP="00E70C0A">
            <w:pPr>
              <w:widowControl w:val="0"/>
              <w:jc w:val="center"/>
              <w:rPr>
                <w:color w:val="000000"/>
                <w:sz w:val="20"/>
                <w:szCs w:val="20"/>
              </w:rPr>
            </w:pPr>
            <w:r>
              <w:rPr>
                <w:color w:val="000000"/>
                <w:sz w:val="20"/>
                <w:szCs w:val="20"/>
              </w:rPr>
              <w:t>01-04-2020</w:t>
            </w:r>
          </w:p>
        </w:tc>
        <w:tc>
          <w:tcPr>
            <w:tcW w:w="1708" w:type="dxa"/>
            <w:tcBorders>
              <w:top w:val="single" w:sz="4" w:space="0" w:color="000000"/>
              <w:left w:val="single" w:sz="4" w:space="0" w:color="000000"/>
              <w:bottom w:val="single" w:sz="4" w:space="0" w:color="000000"/>
              <w:right w:val="single" w:sz="4" w:space="0" w:color="000000"/>
            </w:tcBorders>
          </w:tcPr>
          <w:p w14:paraId="524D8561" w14:textId="77777777" w:rsidR="00976AF5" w:rsidRDefault="00976AF5" w:rsidP="00E70C0A">
            <w:pPr>
              <w:widowControl w:val="0"/>
              <w:jc w:val="right"/>
              <w:rPr>
                <w:color w:val="000000"/>
                <w:sz w:val="20"/>
                <w:szCs w:val="20"/>
              </w:rPr>
            </w:pPr>
            <w:r>
              <w:rPr>
                <w:color w:val="000000"/>
                <w:sz w:val="20"/>
                <w:szCs w:val="20"/>
              </w:rPr>
              <w:t>-20.8713</w:t>
            </w:r>
          </w:p>
        </w:tc>
        <w:tc>
          <w:tcPr>
            <w:tcW w:w="1815" w:type="dxa"/>
            <w:tcBorders>
              <w:top w:val="single" w:sz="4" w:space="0" w:color="000000"/>
              <w:left w:val="single" w:sz="4" w:space="0" w:color="000000"/>
              <w:bottom w:val="single" w:sz="4" w:space="0" w:color="000000"/>
              <w:right w:val="single" w:sz="4" w:space="0" w:color="000000"/>
            </w:tcBorders>
          </w:tcPr>
          <w:p w14:paraId="0302B428" w14:textId="77777777" w:rsidR="00976AF5" w:rsidRDefault="00976AF5" w:rsidP="00E70C0A">
            <w:pPr>
              <w:widowControl w:val="0"/>
              <w:jc w:val="right"/>
              <w:rPr>
                <w:color w:val="000000"/>
                <w:sz w:val="20"/>
                <w:szCs w:val="20"/>
              </w:rPr>
            </w:pPr>
            <w:r>
              <w:rPr>
                <w:color w:val="000000"/>
                <w:sz w:val="20"/>
                <w:szCs w:val="20"/>
              </w:rPr>
              <w:t>-14.7664</w:t>
            </w:r>
          </w:p>
        </w:tc>
        <w:tc>
          <w:tcPr>
            <w:tcW w:w="1952" w:type="dxa"/>
            <w:tcBorders>
              <w:top w:val="single" w:sz="4" w:space="0" w:color="000000"/>
              <w:left w:val="single" w:sz="4" w:space="0" w:color="000000"/>
              <w:bottom w:val="single" w:sz="4" w:space="0" w:color="000000"/>
              <w:right w:val="single" w:sz="4" w:space="0" w:color="000000"/>
            </w:tcBorders>
          </w:tcPr>
          <w:p w14:paraId="19C614D0" w14:textId="77777777" w:rsidR="00976AF5" w:rsidRDefault="00976AF5" w:rsidP="00E70C0A">
            <w:pPr>
              <w:widowControl w:val="0"/>
              <w:jc w:val="right"/>
              <w:rPr>
                <w:color w:val="000000"/>
                <w:sz w:val="20"/>
                <w:szCs w:val="20"/>
              </w:rPr>
            </w:pPr>
            <w:r>
              <w:rPr>
                <w:color w:val="000000"/>
                <w:sz w:val="20"/>
                <w:szCs w:val="20"/>
              </w:rPr>
              <w:t>-8.5281</w:t>
            </w:r>
          </w:p>
        </w:tc>
        <w:tc>
          <w:tcPr>
            <w:tcW w:w="2129" w:type="dxa"/>
            <w:tcBorders>
              <w:top w:val="single" w:sz="4" w:space="0" w:color="000000"/>
              <w:left w:val="single" w:sz="4" w:space="0" w:color="000000"/>
              <w:bottom w:val="single" w:sz="4" w:space="0" w:color="000000"/>
              <w:right w:val="single" w:sz="4" w:space="0" w:color="000000"/>
            </w:tcBorders>
          </w:tcPr>
          <w:p w14:paraId="5F191E78" w14:textId="77777777" w:rsidR="00976AF5" w:rsidRDefault="00976AF5" w:rsidP="00E70C0A">
            <w:pPr>
              <w:widowControl w:val="0"/>
              <w:jc w:val="right"/>
              <w:rPr>
                <w:color w:val="000000"/>
                <w:sz w:val="20"/>
                <w:szCs w:val="20"/>
              </w:rPr>
            </w:pPr>
            <w:r>
              <w:rPr>
                <w:color w:val="000000"/>
                <w:sz w:val="20"/>
                <w:szCs w:val="20"/>
              </w:rPr>
              <w:t>-6.2217</w:t>
            </w:r>
          </w:p>
        </w:tc>
      </w:tr>
      <w:tr w:rsidR="00976AF5" w14:paraId="3EF65E56"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2290AEB2" w14:textId="77777777" w:rsidR="00976AF5" w:rsidRDefault="00976AF5" w:rsidP="00E70C0A">
            <w:pPr>
              <w:widowControl w:val="0"/>
              <w:jc w:val="center"/>
              <w:rPr>
                <w:color w:val="000000"/>
                <w:sz w:val="20"/>
                <w:szCs w:val="20"/>
              </w:rPr>
            </w:pPr>
            <w:r>
              <w:rPr>
                <w:color w:val="000000"/>
                <w:sz w:val="20"/>
                <w:szCs w:val="20"/>
              </w:rPr>
              <w:lastRenderedPageBreak/>
              <w:t>04-05-2020</w:t>
            </w:r>
          </w:p>
        </w:tc>
        <w:tc>
          <w:tcPr>
            <w:tcW w:w="1708" w:type="dxa"/>
            <w:tcBorders>
              <w:top w:val="single" w:sz="4" w:space="0" w:color="000000"/>
              <w:left w:val="single" w:sz="4" w:space="0" w:color="000000"/>
              <w:bottom w:val="single" w:sz="4" w:space="0" w:color="000000"/>
              <w:right w:val="single" w:sz="4" w:space="0" w:color="000000"/>
            </w:tcBorders>
          </w:tcPr>
          <w:p w14:paraId="238A9ADD" w14:textId="77777777" w:rsidR="00976AF5" w:rsidRDefault="00976AF5" w:rsidP="00E70C0A">
            <w:pPr>
              <w:widowControl w:val="0"/>
              <w:jc w:val="right"/>
              <w:rPr>
                <w:color w:val="000000"/>
                <w:sz w:val="20"/>
                <w:szCs w:val="20"/>
              </w:rPr>
            </w:pPr>
            <w:r>
              <w:rPr>
                <w:color w:val="000000"/>
                <w:sz w:val="20"/>
                <w:szCs w:val="20"/>
              </w:rPr>
              <w:t>5.2967</w:t>
            </w:r>
          </w:p>
        </w:tc>
        <w:tc>
          <w:tcPr>
            <w:tcW w:w="1815" w:type="dxa"/>
            <w:tcBorders>
              <w:top w:val="single" w:sz="4" w:space="0" w:color="000000"/>
              <w:left w:val="single" w:sz="4" w:space="0" w:color="000000"/>
              <w:bottom w:val="single" w:sz="4" w:space="0" w:color="000000"/>
              <w:right w:val="single" w:sz="4" w:space="0" w:color="000000"/>
            </w:tcBorders>
          </w:tcPr>
          <w:p w14:paraId="1763CC9B" w14:textId="77777777" w:rsidR="00976AF5" w:rsidRDefault="00976AF5" w:rsidP="00E70C0A">
            <w:pPr>
              <w:widowControl w:val="0"/>
              <w:jc w:val="right"/>
              <w:rPr>
                <w:color w:val="000000"/>
                <w:sz w:val="20"/>
                <w:szCs w:val="20"/>
              </w:rPr>
            </w:pPr>
            <w:r>
              <w:rPr>
                <w:color w:val="000000"/>
                <w:sz w:val="20"/>
                <w:szCs w:val="20"/>
              </w:rPr>
              <w:t>2.5351</w:t>
            </w:r>
          </w:p>
        </w:tc>
        <w:tc>
          <w:tcPr>
            <w:tcW w:w="1952" w:type="dxa"/>
            <w:tcBorders>
              <w:top w:val="single" w:sz="4" w:space="0" w:color="000000"/>
              <w:left w:val="single" w:sz="4" w:space="0" w:color="000000"/>
              <w:bottom w:val="single" w:sz="4" w:space="0" w:color="000000"/>
              <w:right w:val="single" w:sz="4" w:space="0" w:color="000000"/>
            </w:tcBorders>
          </w:tcPr>
          <w:p w14:paraId="6AAD1240" w14:textId="77777777" w:rsidR="00976AF5" w:rsidRDefault="00976AF5" w:rsidP="00E70C0A">
            <w:pPr>
              <w:widowControl w:val="0"/>
              <w:jc w:val="right"/>
              <w:rPr>
                <w:color w:val="000000"/>
                <w:sz w:val="20"/>
                <w:szCs w:val="20"/>
              </w:rPr>
            </w:pPr>
            <w:r>
              <w:rPr>
                <w:color w:val="000000"/>
                <w:sz w:val="20"/>
                <w:szCs w:val="20"/>
              </w:rPr>
              <w:t>2.1640</w:t>
            </w:r>
          </w:p>
        </w:tc>
        <w:tc>
          <w:tcPr>
            <w:tcW w:w="2129" w:type="dxa"/>
            <w:tcBorders>
              <w:top w:val="single" w:sz="4" w:space="0" w:color="000000"/>
              <w:left w:val="single" w:sz="4" w:space="0" w:color="000000"/>
              <w:bottom w:val="single" w:sz="4" w:space="0" w:color="000000"/>
              <w:right w:val="single" w:sz="4" w:space="0" w:color="000000"/>
            </w:tcBorders>
          </w:tcPr>
          <w:p w14:paraId="0CA20715" w14:textId="77777777" w:rsidR="00976AF5" w:rsidRDefault="00976AF5" w:rsidP="00E70C0A">
            <w:pPr>
              <w:widowControl w:val="0"/>
              <w:jc w:val="right"/>
              <w:rPr>
                <w:color w:val="000000"/>
                <w:sz w:val="20"/>
                <w:szCs w:val="20"/>
              </w:rPr>
            </w:pPr>
            <w:r>
              <w:rPr>
                <w:color w:val="000000"/>
                <w:sz w:val="20"/>
                <w:szCs w:val="20"/>
              </w:rPr>
              <w:t>1.0683</w:t>
            </w:r>
          </w:p>
        </w:tc>
      </w:tr>
      <w:tr w:rsidR="00976AF5" w14:paraId="0401F2FE"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0C8DDB71" w14:textId="77777777" w:rsidR="00976AF5" w:rsidRDefault="00976AF5" w:rsidP="00E70C0A">
            <w:pPr>
              <w:widowControl w:val="0"/>
              <w:jc w:val="center"/>
              <w:rPr>
                <w:color w:val="000000"/>
                <w:sz w:val="20"/>
                <w:szCs w:val="20"/>
              </w:rPr>
            </w:pPr>
            <w:r>
              <w:rPr>
                <w:color w:val="000000"/>
                <w:sz w:val="20"/>
                <w:szCs w:val="20"/>
              </w:rPr>
              <w:t>01-06-2020</w:t>
            </w:r>
          </w:p>
        </w:tc>
        <w:tc>
          <w:tcPr>
            <w:tcW w:w="1708" w:type="dxa"/>
            <w:tcBorders>
              <w:top w:val="single" w:sz="4" w:space="0" w:color="000000"/>
              <w:left w:val="single" w:sz="4" w:space="0" w:color="000000"/>
              <w:bottom w:val="single" w:sz="4" w:space="0" w:color="000000"/>
              <w:right w:val="single" w:sz="4" w:space="0" w:color="000000"/>
            </w:tcBorders>
          </w:tcPr>
          <w:p w14:paraId="39283B7E" w14:textId="77777777" w:rsidR="00976AF5" w:rsidRDefault="00976AF5" w:rsidP="00E70C0A">
            <w:pPr>
              <w:widowControl w:val="0"/>
              <w:jc w:val="right"/>
              <w:rPr>
                <w:color w:val="000000"/>
                <w:sz w:val="20"/>
                <w:szCs w:val="20"/>
              </w:rPr>
            </w:pPr>
            <w:r>
              <w:rPr>
                <w:color w:val="000000"/>
                <w:sz w:val="20"/>
                <w:szCs w:val="20"/>
              </w:rPr>
              <w:t>2.7072</w:t>
            </w:r>
          </w:p>
        </w:tc>
        <w:tc>
          <w:tcPr>
            <w:tcW w:w="1815" w:type="dxa"/>
            <w:tcBorders>
              <w:top w:val="single" w:sz="4" w:space="0" w:color="000000"/>
              <w:left w:val="single" w:sz="4" w:space="0" w:color="000000"/>
              <w:bottom w:val="single" w:sz="4" w:space="0" w:color="000000"/>
              <w:right w:val="single" w:sz="4" w:space="0" w:color="000000"/>
            </w:tcBorders>
          </w:tcPr>
          <w:p w14:paraId="577F2883" w14:textId="77777777" w:rsidR="00976AF5" w:rsidRDefault="00976AF5" w:rsidP="00E70C0A">
            <w:pPr>
              <w:widowControl w:val="0"/>
              <w:jc w:val="right"/>
              <w:rPr>
                <w:color w:val="000000"/>
                <w:sz w:val="20"/>
                <w:szCs w:val="20"/>
              </w:rPr>
            </w:pPr>
            <w:r>
              <w:rPr>
                <w:color w:val="000000"/>
                <w:sz w:val="20"/>
                <w:szCs w:val="20"/>
              </w:rPr>
              <w:t>0.7104</w:t>
            </w:r>
          </w:p>
        </w:tc>
        <w:tc>
          <w:tcPr>
            <w:tcW w:w="1952" w:type="dxa"/>
            <w:tcBorders>
              <w:top w:val="single" w:sz="4" w:space="0" w:color="000000"/>
              <w:left w:val="single" w:sz="4" w:space="0" w:color="000000"/>
              <w:bottom w:val="single" w:sz="4" w:space="0" w:color="000000"/>
              <w:right w:val="single" w:sz="4" w:space="0" w:color="000000"/>
            </w:tcBorders>
          </w:tcPr>
          <w:p w14:paraId="44421E54" w14:textId="77777777" w:rsidR="00976AF5" w:rsidRDefault="00976AF5" w:rsidP="00E70C0A">
            <w:pPr>
              <w:widowControl w:val="0"/>
              <w:jc w:val="right"/>
              <w:rPr>
                <w:color w:val="000000"/>
                <w:sz w:val="20"/>
                <w:szCs w:val="20"/>
              </w:rPr>
            </w:pPr>
            <w:r>
              <w:rPr>
                <w:color w:val="000000"/>
                <w:sz w:val="20"/>
                <w:szCs w:val="20"/>
              </w:rPr>
              <w:t>1.1062</w:t>
            </w:r>
          </w:p>
        </w:tc>
        <w:tc>
          <w:tcPr>
            <w:tcW w:w="2129" w:type="dxa"/>
            <w:tcBorders>
              <w:top w:val="single" w:sz="4" w:space="0" w:color="000000"/>
              <w:left w:val="single" w:sz="4" w:space="0" w:color="000000"/>
              <w:bottom w:val="single" w:sz="4" w:space="0" w:color="000000"/>
              <w:right w:val="single" w:sz="4" w:space="0" w:color="000000"/>
            </w:tcBorders>
          </w:tcPr>
          <w:p w14:paraId="37925635" w14:textId="77777777" w:rsidR="00976AF5" w:rsidRDefault="00976AF5" w:rsidP="00E70C0A">
            <w:pPr>
              <w:widowControl w:val="0"/>
              <w:jc w:val="right"/>
              <w:rPr>
                <w:color w:val="000000"/>
                <w:sz w:val="20"/>
                <w:szCs w:val="20"/>
              </w:rPr>
            </w:pPr>
            <w:r>
              <w:rPr>
                <w:color w:val="000000"/>
                <w:sz w:val="20"/>
                <w:szCs w:val="20"/>
              </w:rPr>
              <w:t>0.2993</w:t>
            </w:r>
          </w:p>
        </w:tc>
      </w:tr>
      <w:tr w:rsidR="00976AF5" w14:paraId="3BF7FE07"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59D3B58A" w14:textId="77777777" w:rsidR="00976AF5" w:rsidRDefault="00976AF5" w:rsidP="00E70C0A">
            <w:pPr>
              <w:widowControl w:val="0"/>
              <w:jc w:val="center"/>
              <w:rPr>
                <w:color w:val="000000"/>
                <w:sz w:val="20"/>
                <w:szCs w:val="20"/>
              </w:rPr>
            </w:pPr>
            <w:r>
              <w:rPr>
                <w:color w:val="000000"/>
                <w:sz w:val="20"/>
                <w:szCs w:val="20"/>
              </w:rPr>
              <w:t>01-07-2020</w:t>
            </w:r>
          </w:p>
        </w:tc>
        <w:tc>
          <w:tcPr>
            <w:tcW w:w="1708" w:type="dxa"/>
            <w:tcBorders>
              <w:top w:val="single" w:sz="4" w:space="0" w:color="000000"/>
              <w:left w:val="single" w:sz="4" w:space="0" w:color="000000"/>
              <w:bottom w:val="single" w:sz="4" w:space="0" w:color="000000"/>
              <w:right w:val="single" w:sz="4" w:space="0" w:color="000000"/>
            </w:tcBorders>
          </w:tcPr>
          <w:p w14:paraId="29E862F9" w14:textId="77777777" w:rsidR="00976AF5" w:rsidRDefault="00976AF5" w:rsidP="00E70C0A">
            <w:pPr>
              <w:widowControl w:val="0"/>
              <w:jc w:val="right"/>
              <w:rPr>
                <w:color w:val="000000"/>
                <w:sz w:val="20"/>
                <w:szCs w:val="20"/>
              </w:rPr>
            </w:pPr>
            <w:r>
              <w:rPr>
                <w:color w:val="000000"/>
                <w:sz w:val="20"/>
                <w:szCs w:val="20"/>
              </w:rPr>
              <w:t>5.9678</w:t>
            </w:r>
          </w:p>
        </w:tc>
        <w:tc>
          <w:tcPr>
            <w:tcW w:w="1815" w:type="dxa"/>
            <w:tcBorders>
              <w:top w:val="single" w:sz="4" w:space="0" w:color="000000"/>
              <w:left w:val="single" w:sz="4" w:space="0" w:color="000000"/>
              <w:bottom w:val="single" w:sz="4" w:space="0" w:color="000000"/>
              <w:right w:val="single" w:sz="4" w:space="0" w:color="000000"/>
            </w:tcBorders>
          </w:tcPr>
          <w:p w14:paraId="5329BD40" w14:textId="77777777" w:rsidR="00976AF5" w:rsidRDefault="00976AF5" w:rsidP="00E70C0A">
            <w:pPr>
              <w:widowControl w:val="0"/>
              <w:jc w:val="right"/>
              <w:rPr>
                <w:color w:val="000000"/>
                <w:sz w:val="20"/>
                <w:szCs w:val="20"/>
              </w:rPr>
            </w:pPr>
            <w:r>
              <w:rPr>
                <w:color w:val="000000"/>
                <w:sz w:val="20"/>
                <w:szCs w:val="20"/>
              </w:rPr>
              <w:t>3.0445</w:t>
            </w:r>
          </w:p>
        </w:tc>
        <w:tc>
          <w:tcPr>
            <w:tcW w:w="1952" w:type="dxa"/>
            <w:tcBorders>
              <w:top w:val="single" w:sz="4" w:space="0" w:color="000000"/>
              <w:left w:val="single" w:sz="4" w:space="0" w:color="000000"/>
              <w:bottom w:val="single" w:sz="4" w:space="0" w:color="000000"/>
              <w:right w:val="single" w:sz="4" w:space="0" w:color="000000"/>
            </w:tcBorders>
          </w:tcPr>
          <w:p w14:paraId="034E3571" w14:textId="77777777" w:rsidR="00976AF5" w:rsidRDefault="00976AF5" w:rsidP="00E70C0A">
            <w:pPr>
              <w:widowControl w:val="0"/>
              <w:jc w:val="right"/>
              <w:rPr>
                <w:color w:val="000000"/>
                <w:sz w:val="20"/>
                <w:szCs w:val="20"/>
              </w:rPr>
            </w:pPr>
            <w:r>
              <w:rPr>
                <w:color w:val="000000"/>
                <w:sz w:val="20"/>
                <w:szCs w:val="20"/>
              </w:rPr>
              <w:t>2.4385</w:t>
            </w:r>
          </w:p>
        </w:tc>
        <w:tc>
          <w:tcPr>
            <w:tcW w:w="2129" w:type="dxa"/>
            <w:tcBorders>
              <w:top w:val="single" w:sz="4" w:space="0" w:color="000000"/>
              <w:left w:val="single" w:sz="4" w:space="0" w:color="000000"/>
              <w:bottom w:val="single" w:sz="4" w:space="0" w:color="000000"/>
              <w:right w:val="single" w:sz="4" w:space="0" w:color="000000"/>
            </w:tcBorders>
          </w:tcPr>
          <w:p w14:paraId="6A64E6D2" w14:textId="77777777" w:rsidR="00976AF5" w:rsidRDefault="00976AF5" w:rsidP="00E70C0A">
            <w:pPr>
              <w:widowControl w:val="0"/>
              <w:jc w:val="right"/>
              <w:rPr>
                <w:color w:val="000000"/>
                <w:sz w:val="20"/>
                <w:szCs w:val="20"/>
              </w:rPr>
            </w:pPr>
            <w:r>
              <w:rPr>
                <w:color w:val="000000"/>
                <w:sz w:val="20"/>
                <w:szCs w:val="20"/>
              </w:rPr>
              <w:t>1.2828</w:t>
            </w:r>
          </w:p>
        </w:tc>
      </w:tr>
      <w:tr w:rsidR="00976AF5" w14:paraId="52417560"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33D92710" w14:textId="77777777" w:rsidR="00976AF5" w:rsidRDefault="00976AF5" w:rsidP="00E70C0A">
            <w:pPr>
              <w:widowControl w:val="0"/>
              <w:jc w:val="center"/>
              <w:rPr>
                <w:color w:val="000000"/>
                <w:sz w:val="20"/>
                <w:szCs w:val="20"/>
              </w:rPr>
            </w:pPr>
            <w:r>
              <w:rPr>
                <w:color w:val="000000"/>
                <w:sz w:val="20"/>
                <w:szCs w:val="20"/>
              </w:rPr>
              <w:t>03-08-2020</w:t>
            </w:r>
          </w:p>
        </w:tc>
        <w:tc>
          <w:tcPr>
            <w:tcW w:w="1708" w:type="dxa"/>
            <w:tcBorders>
              <w:top w:val="single" w:sz="4" w:space="0" w:color="000000"/>
              <w:left w:val="single" w:sz="4" w:space="0" w:color="000000"/>
              <w:bottom w:val="single" w:sz="4" w:space="0" w:color="000000"/>
              <w:right w:val="single" w:sz="4" w:space="0" w:color="000000"/>
            </w:tcBorders>
          </w:tcPr>
          <w:p w14:paraId="2CBC6675" w14:textId="77777777" w:rsidR="00976AF5" w:rsidRDefault="00976AF5" w:rsidP="00E70C0A">
            <w:pPr>
              <w:widowControl w:val="0"/>
              <w:jc w:val="right"/>
              <w:rPr>
                <w:color w:val="000000"/>
                <w:sz w:val="20"/>
                <w:szCs w:val="20"/>
              </w:rPr>
            </w:pPr>
            <w:r>
              <w:rPr>
                <w:color w:val="000000"/>
                <w:sz w:val="20"/>
                <w:szCs w:val="20"/>
              </w:rPr>
              <w:t>3.6138</w:t>
            </w:r>
          </w:p>
        </w:tc>
        <w:tc>
          <w:tcPr>
            <w:tcW w:w="1815" w:type="dxa"/>
            <w:tcBorders>
              <w:top w:val="single" w:sz="4" w:space="0" w:color="000000"/>
              <w:left w:val="single" w:sz="4" w:space="0" w:color="000000"/>
              <w:bottom w:val="single" w:sz="4" w:space="0" w:color="000000"/>
              <w:right w:val="single" w:sz="4" w:space="0" w:color="000000"/>
            </w:tcBorders>
          </w:tcPr>
          <w:p w14:paraId="52B36195" w14:textId="77777777" w:rsidR="00976AF5" w:rsidRDefault="00976AF5" w:rsidP="00E70C0A">
            <w:pPr>
              <w:widowControl w:val="0"/>
              <w:jc w:val="right"/>
              <w:rPr>
                <w:color w:val="000000"/>
                <w:sz w:val="20"/>
                <w:szCs w:val="20"/>
              </w:rPr>
            </w:pPr>
            <w:r>
              <w:rPr>
                <w:color w:val="000000"/>
                <w:sz w:val="20"/>
                <w:szCs w:val="20"/>
              </w:rPr>
              <w:t>2.0210</w:t>
            </w:r>
          </w:p>
        </w:tc>
        <w:tc>
          <w:tcPr>
            <w:tcW w:w="1952" w:type="dxa"/>
            <w:tcBorders>
              <w:top w:val="single" w:sz="4" w:space="0" w:color="000000"/>
              <w:left w:val="single" w:sz="4" w:space="0" w:color="000000"/>
              <w:bottom w:val="single" w:sz="4" w:space="0" w:color="000000"/>
              <w:right w:val="single" w:sz="4" w:space="0" w:color="000000"/>
            </w:tcBorders>
          </w:tcPr>
          <w:p w14:paraId="46B36B1E" w14:textId="77777777" w:rsidR="00976AF5" w:rsidRDefault="00976AF5" w:rsidP="00E70C0A">
            <w:pPr>
              <w:widowControl w:val="0"/>
              <w:jc w:val="right"/>
              <w:rPr>
                <w:color w:val="000000"/>
                <w:sz w:val="20"/>
                <w:szCs w:val="20"/>
              </w:rPr>
            </w:pPr>
            <w:r>
              <w:rPr>
                <w:color w:val="000000"/>
                <w:sz w:val="20"/>
                <w:szCs w:val="20"/>
              </w:rPr>
              <w:t>1.4766</w:t>
            </w:r>
          </w:p>
        </w:tc>
        <w:tc>
          <w:tcPr>
            <w:tcW w:w="2129" w:type="dxa"/>
            <w:tcBorders>
              <w:top w:val="single" w:sz="4" w:space="0" w:color="000000"/>
              <w:left w:val="single" w:sz="4" w:space="0" w:color="000000"/>
              <w:bottom w:val="single" w:sz="4" w:space="0" w:color="000000"/>
              <w:right w:val="single" w:sz="4" w:space="0" w:color="000000"/>
            </w:tcBorders>
          </w:tcPr>
          <w:p w14:paraId="6C213D81" w14:textId="77777777" w:rsidR="00976AF5" w:rsidRDefault="00976AF5" w:rsidP="00E70C0A">
            <w:pPr>
              <w:widowControl w:val="0"/>
              <w:jc w:val="right"/>
              <w:rPr>
                <w:color w:val="000000"/>
                <w:sz w:val="20"/>
                <w:szCs w:val="20"/>
              </w:rPr>
            </w:pPr>
            <w:r>
              <w:rPr>
                <w:color w:val="000000"/>
                <w:sz w:val="20"/>
                <w:szCs w:val="20"/>
              </w:rPr>
              <w:t>0.8516</w:t>
            </w:r>
          </w:p>
        </w:tc>
      </w:tr>
      <w:tr w:rsidR="00976AF5" w14:paraId="787A58E4"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3440B2ED" w14:textId="77777777" w:rsidR="00976AF5" w:rsidRDefault="00976AF5" w:rsidP="00E70C0A">
            <w:pPr>
              <w:widowControl w:val="0"/>
              <w:jc w:val="center"/>
              <w:rPr>
                <w:color w:val="000000"/>
                <w:sz w:val="20"/>
                <w:szCs w:val="20"/>
              </w:rPr>
            </w:pPr>
            <w:r>
              <w:rPr>
                <w:color w:val="000000"/>
                <w:sz w:val="20"/>
                <w:szCs w:val="20"/>
              </w:rPr>
              <w:t>01-09-2020</w:t>
            </w:r>
          </w:p>
        </w:tc>
        <w:tc>
          <w:tcPr>
            <w:tcW w:w="1708" w:type="dxa"/>
            <w:tcBorders>
              <w:top w:val="single" w:sz="4" w:space="0" w:color="000000"/>
              <w:left w:val="single" w:sz="4" w:space="0" w:color="000000"/>
              <w:bottom w:val="single" w:sz="4" w:space="0" w:color="000000"/>
              <w:right w:val="single" w:sz="4" w:space="0" w:color="000000"/>
            </w:tcBorders>
          </w:tcPr>
          <w:p w14:paraId="311CF9C7" w14:textId="77777777" w:rsidR="00976AF5" w:rsidRDefault="00976AF5" w:rsidP="00E70C0A">
            <w:pPr>
              <w:widowControl w:val="0"/>
              <w:jc w:val="right"/>
              <w:rPr>
                <w:color w:val="000000"/>
                <w:sz w:val="20"/>
                <w:szCs w:val="20"/>
              </w:rPr>
            </w:pPr>
            <w:r>
              <w:rPr>
                <w:color w:val="000000"/>
                <w:sz w:val="20"/>
                <w:szCs w:val="20"/>
              </w:rPr>
              <w:t>3.0730</w:t>
            </w:r>
          </w:p>
        </w:tc>
        <w:tc>
          <w:tcPr>
            <w:tcW w:w="1815" w:type="dxa"/>
            <w:tcBorders>
              <w:top w:val="single" w:sz="4" w:space="0" w:color="000000"/>
              <w:left w:val="single" w:sz="4" w:space="0" w:color="000000"/>
              <w:bottom w:val="single" w:sz="4" w:space="0" w:color="000000"/>
              <w:right w:val="single" w:sz="4" w:space="0" w:color="000000"/>
            </w:tcBorders>
          </w:tcPr>
          <w:p w14:paraId="3FA70C4D" w14:textId="77777777" w:rsidR="00976AF5" w:rsidRDefault="00976AF5" w:rsidP="00E70C0A">
            <w:pPr>
              <w:widowControl w:val="0"/>
              <w:jc w:val="right"/>
              <w:rPr>
                <w:color w:val="000000"/>
                <w:sz w:val="20"/>
                <w:szCs w:val="20"/>
              </w:rPr>
            </w:pPr>
            <w:r>
              <w:rPr>
                <w:color w:val="000000"/>
                <w:sz w:val="20"/>
                <w:szCs w:val="20"/>
              </w:rPr>
              <w:t>4.5179</w:t>
            </w:r>
          </w:p>
        </w:tc>
        <w:tc>
          <w:tcPr>
            <w:tcW w:w="1952" w:type="dxa"/>
            <w:tcBorders>
              <w:top w:val="single" w:sz="4" w:space="0" w:color="000000"/>
              <w:left w:val="single" w:sz="4" w:space="0" w:color="000000"/>
              <w:bottom w:val="single" w:sz="4" w:space="0" w:color="000000"/>
              <w:right w:val="single" w:sz="4" w:space="0" w:color="000000"/>
            </w:tcBorders>
          </w:tcPr>
          <w:p w14:paraId="068FCAFB" w14:textId="77777777" w:rsidR="00976AF5" w:rsidRDefault="00976AF5" w:rsidP="00E70C0A">
            <w:pPr>
              <w:widowControl w:val="0"/>
              <w:jc w:val="right"/>
              <w:rPr>
                <w:color w:val="000000"/>
                <w:sz w:val="20"/>
                <w:szCs w:val="20"/>
              </w:rPr>
            </w:pPr>
            <w:r>
              <w:rPr>
                <w:color w:val="000000"/>
                <w:sz w:val="20"/>
                <w:szCs w:val="20"/>
              </w:rPr>
              <w:t>1.2556</w:t>
            </w:r>
          </w:p>
        </w:tc>
        <w:tc>
          <w:tcPr>
            <w:tcW w:w="2129" w:type="dxa"/>
            <w:tcBorders>
              <w:top w:val="single" w:sz="4" w:space="0" w:color="000000"/>
              <w:left w:val="single" w:sz="4" w:space="0" w:color="000000"/>
              <w:bottom w:val="single" w:sz="4" w:space="0" w:color="000000"/>
              <w:right w:val="single" w:sz="4" w:space="0" w:color="000000"/>
            </w:tcBorders>
          </w:tcPr>
          <w:p w14:paraId="556AACF7" w14:textId="77777777" w:rsidR="00976AF5" w:rsidRDefault="00976AF5" w:rsidP="00E70C0A">
            <w:pPr>
              <w:widowControl w:val="0"/>
              <w:jc w:val="right"/>
              <w:rPr>
                <w:color w:val="000000"/>
                <w:sz w:val="20"/>
                <w:szCs w:val="20"/>
              </w:rPr>
            </w:pPr>
            <w:r>
              <w:rPr>
                <w:color w:val="000000"/>
                <w:sz w:val="20"/>
                <w:szCs w:val="20"/>
              </w:rPr>
              <w:t>1.9037</w:t>
            </w:r>
          </w:p>
        </w:tc>
      </w:tr>
      <w:tr w:rsidR="00976AF5" w14:paraId="6C4C7D7B"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08B128E1" w14:textId="77777777" w:rsidR="00976AF5" w:rsidRDefault="00976AF5" w:rsidP="00E70C0A">
            <w:pPr>
              <w:widowControl w:val="0"/>
              <w:jc w:val="center"/>
              <w:rPr>
                <w:color w:val="000000"/>
                <w:sz w:val="20"/>
                <w:szCs w:val="20"/>
              </w:rPr>
            </w:pPr>
            <w:r>
              <w:rPr>
                <w:color w:val="000000"/>
                <w:sz w:val="20"/>
                <w:szCs w:val="20"/>
              </w:rPr>
              <w:t>01-10-2020</w:t>
            </w:r>
          </w:p>
        </w:tc>
        <w:tc>
          <w:tcPr>
            <w:tcW w:w="1708" w:type="dxa"/>
            <w:tcBorders>
              <w:top w:val="single" w:sz="4" w:space="0" w:color="000000"/>
              <w:left w:val="single" w:sz="4" w:space="0" w:color="000000"/>
              <w:bottom w:val="single" w:sz="4" w:space="0" w:color="000000"/>
              <w:right w:val="single" w:sz="4" w:space="0" w:color="000000"/>
            </w:tcBorders>
          </w:tcPr>
          <w:p w14:paraId="0F79F192" w14:textId="77777777" w:rsidR="00976AF5" w:rsidRDefault="00976AF5" w:rsidP="00E70C0A">
            <w:pPr>
              <w:widowControl w:val="0"/>
              <w:jc w:val="right"/>
              <w:rPr>
                <w:color w:val="000000"/>
                <w:sz w:val="20"/>
                <w:szCs w:val="20"/>
              </w:rPr>
            </w:pPr>
            <w:r>
              <w:rPr>
                <w:color w:val="000000"/>
                <w:sz w:val="20"/>
                <w:szCs w:val="20"/>
              </w:rPr>
              <w:t>2.1826</w:t>
            </w:r>
          </w:p>
        </w:tc>
        <w:tc>
          <w:tcPr>
            <w:tcW w:w="1815" w:type="dxa"/>
            <w:tcBorders>
              <w:top w:val="single" w:sz="4" w:space="0" w:color="000000"/>
              <w:left w:val="single" w:sz="4" w:space="0" w:color="000000"/>
              <w:bottom w:val="single" w:sz="4" w:space="0" w:color="000000"/>
              <w:right w:val="single" w:sz="4" w:space="0" w:color="000000"/>
            </w:tcBorders>
          </w:tcPr>
          <w:p w14:paraId="5435197F" w14:textId="77777777" w:rsidR="00976AF5" w:rsidRDefault="00976AF5" w:rsidP="00E70C0A">
            <w:pPr>
              <w:widowControl w:val="0"/>
              <w:jc w:val="right"/>
              <w:rPr>
                <w:color w:val="000000"/>
                <w:sz w:val="20"/>
                <w:szCs w:val="20"/>
              </w:rPr>
            </w:pPr>
            <w:r>
              <w:rPr>
                <w:color w:val="000000"/>
                <w:sz w:val="20"/>
                <w:szCs w:val="20"/>
              </w:rPr>
              <w:t>1.9227</w:t>
            </w:r>
          </w:p>
        </w:tc>
        <w:tc>
          <w:tcPr>
            <w:tcW w:w="1952" w:type="dxa"/>
            <w:tcBorders>
              <w:top w:val="single" w:sz="4" w:space="0" w:color="000000"/>
              <w:left w:val="single" w:sz="4" w:space="0" w:color="000000"/>
              <w:bottom w:val="single" w:sz="4" w:space="0" w:color="000000"/>
              <w:right w:val="single" w:sz="4" w:space="0" w:color="000000"/>
            </w:tcBorders>
          </w:tcPr>
          <w:p w14:paraId="14200477" w14:textId="77777777" w:rsidR="00976AF5" w:rsidRDefault="00976AF5" w:rsidP="00E70C0A">
            <w:pPr>
              <w:widowControl w:val="0"/>
              <w:jc w:val="right"/>
              <w:rPr>
                <w:color w:val="000000"/>
                <w:sz w:val="20"/>
                <w:szCs w:val="20"/>
              </w:rPr>
            </w:pPr>
            <w:r>
              <w:rPr>
                <w:color w:val="000000"/>
                <w:sz w:val="20"/>
                <w:szCs w:val="20"/>
              </w:rPr>
              <w:t>0.8917</w:t>
            </w:r>
          </w:p>
        </w:tc>
        <w:tc>
          <w:tcPr>
            <w:tcW w:w="2129" w:type="dxa"/>
            <w:tcBorders>
              <w:top w:val="single" w:sz="4" w:space="0" w:color="000000"/>
              <w:left w:val="single" w:sz="4" w:space="0" w:color="000000"/>
              <w:bottom w:val="single" w:sz="4" w:space="0" w:color="000000"/>
              <w:right w:val="single" w:sz="4" w:space="0" w:color="000000"/>
            </w:tcBorders>
          </w:tcPr>
          <w:p w14:paraId="2B580F37" w14:textId="77777777" w:rsidR="00976AF5" w:rsidRDefault="00976AF5" w:rsidP="00E70C0A">
            <w:pPr>
              <w:widowControl w:val="0"/>
              <w:jc w:val="right"/>
              <w:rPr>
                <w:color w:val="000000"/>
                <w:sz w:val="20"/>
                <w:szCs w:val="20"/>
              </w:rPr>
            </w:pPr>
            <w:r>
              <w:rPr>
                <w:color w:val="000000"/>
                <w:sz w:val="20"/>
                <w:szCs w:val="20"/>
              </w:rPr>
              <w:t>0.8101</w:t>
            </w:r>
          </w:p>
        </w:tc>
      </w:tr>
      <w:tr w:rsidR="00976AF5" w14:paraId="52C39B42"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4D76C2FB" w14:textId="77777777" w:rsidR="00976AF5" w:rsidRDefault="00976AF5" w:rsidP="00E70C0A">
            <w:pPr>
              <w:widowControl w:val="0"/>
              <w:jc w:val="center"/>
              <w:rPr>
                <w:color w:val="000000"/>
                <w:sz w:val="20"/>
                <w:szCs w:val="20"/>
              </w:rPr>
            </w:pPr>
            <w:r>
              <w:rPr>
                <w:color w:val="000000"/>
                <w:sz w:val="20"/>
                <w:szCs w:val="20"/>
              </w:rPr>
              <w:t>02-11-2020</w:t>
            </w:r>
          </w:p>
        </w:tc>
        <w:tc>
          <w:tcPr>
            <w:tcW w:w="1708" w:type="dxa"/>
            <w:tcBorders>
              <w:top w:val="single" w:sz="4" w:space="0" w:color="000000"/>
              <w:left w:val="single" w:sz="4" w:space="0" w:color="000000"/>
              <w:bottom w:val="single" w:sz="4" w:space="0" w:color="000000"/>
              <w:right w:val="single" w:sz="4" w:space="0" w:color="000000"/>
            </w:tcBorders>
          </w:tcPr>
          <w:p w14:paraId="6022F538" w14:textId="77777777" w:rsidR="00976AF5" w:rsidRDefault="00976AF5" w:rsidP="00E70C0A">
            <w:pPr>
              <w:widowControl w:val="0"/>
              <w:jc w:val="right"/>
              <w:rPr>
                <w:color w:val="000000"/>
                <w:sz w:val="20"/>
                <w:szCs w:val="20"/>
              </w:rPr>
            </w:pPr>
            <w:r>
              <w:rPr>
                <w:color w:val="000000"/>
                <w:sz w:val="20"/>
                <w:szCs w:val="20"/>
              </w:rPr>
              <w:t>1.6291</w:t>
            </w:r>
          </w:p>
        </w:tc>
        <w:tc>
          <w:tcPr>
            <w:tcW w:w="1815" w:type="dxa"/>
            <w:tcBorders>
              <w:top w:val="single" w:sz="4" w:space="0" w:color="000000"/>
              <w:left w:val="single" w:sz="4" w:space="0" w:color="000000"/>
              <w:bottom w:val="single" w:sz="4" w:space="0" w:color="000000"/>
              <w:right w:val="single" w:sz="4" w:space="0" w:color="000000"/>
            </w:tcBorders>
          </w:tcPr>
          <w:p w14:paraId="38263D9C" w14:textId="77777777" w:rsidR="00976AF5" w:rsidRDefault="00976AF5" w:rsidP="00E70C0A">
            <w:pPr>
              <w:widowControl w:val="0"/>
              <w:jc w:val="right"/>
              <w:rPr>
                <w:color w:val="000000"/>
                <w:sz w:val="20"/>
                <w:szCs w:val="20"/>
              </w:rPr>
            </w:pPr>
            <w:r>
              <w:rPr>
                <w:color w:val="000000"/>
                <w:sz w:val="20"/>
                <w:szCs w:val="20"/>
              </w:rPr>
              <w:t>-0.1565</w:t>
            </w:r>
          </w:p>
        </w:tc>
        <w:tc>
          <w:tcPr>
            <w:tcW w:w="1952" w:type="dxa"/>
            <w:tcBorders>
              <w:top w:val="single" w:sz="4" w:space="0" w:color="000000"/>
              <w:left w:val="single" w:sz="4" w:space="0" w:color="000000"/>
              <w:bottom w:val="single" w:sz="4" w:space="0" w:color="000000"/>
              <w:right w:val="single" w:sz="4" w:space="0" w:color="000000"/>
            </w:tcBorders>
          </w:tcPr>
          <w:p w14:paraId="2E166277" w14:textId="77777777" w:rsidR="00976AF5" w:rsidRDefault="00976AF5" w:rsidP="00E70C0A">
            <w:pPr>
              <w:widowControl w:val="0"/>
              <w:jc w:val="right"/>
              <w:rPr>
                <w:color w:val="000000"/>
                <w:sz w:val="20"/>
                <w:szCs w:val="20"/>
              </w:rPr>
            </w:pPr>
            <w:r>
              <w:rPr>
                <w:color w:val="000000"/>
                <w:sz w:val="20"/>
                <w:szCs w:val="20"/>
              </w:rPr>
              <w:t>0.6655</w:t>
            </w:r>
          </w:p>
        </w:tc>
        <w:tc>
          <w:tcPr>
            <w:tcW w:w="2129" w:type="dxa"/>
            <w:tcBorders>
              <w:top w:val="single" w:sz="4" w:space="0" w:color="000000"/>
              <w:left w:val="single" w:sz="4" w:space="0" w:color="000000"/>
              <w:bottom w:val="single" w:sz="4" w:space="0" w:color="000000"/>
              <w:right w:val="single" w:sz="4" w:space="0" w:color="000000"/>
            </w:tcBorders>
          </w:tcPr>
          <w:p w14:paraId="2BCC2C13" w14:textId="77777777" w:rsidR="00976AF5" w:rsidRDefault="00976AF5" w:rsidP="00E70C0A">
            <w:pPr>
              <w:widowControl w:val="0"/>
              <w:jc w:val="right"/>
              <w:rPr>
                <w:color w:val="000000"/>
                <w:sz w:val="20"/>
                <w:szCs w:val="20"/>
              </w:rPr>
            </w:pPr>
            <w:r>
              <w:rPr>
                <w:color w:val="000000"/>
                <w:sz w:val="20"/>
                <w:szCs w:val="20"/>
              </w:rPr>
              <w:t>-0.0659</w:t>
            </w:r>
          </w:p>
        </w:tc>
      </w:tr>
      <w:tr w:rsidR="00976AF5" w14:paraId="6E8C50A4" w14:textId="77777777" w:rsidTr="00E70C0A">
        <w:trPr>
          <w:trHeight w:val="521"/>
        </w:trPr>
        <w:tc>
          <w:tcPr>
            <w:tcW w:w="1980" w:type="dxa"/>
            <w:tcBorders>
              <w:top w:val="single" w:sz="4" w:space="0" w:color="000000"/>
              <w:left w:val="single" w:sz="4" w:space="0" w:color="000000"/>
              <w:bottom w:val="single" w:sz="4" w:space="0" w:color="000000"/>
              <w:right w:val="single" w:sz="4" w:space="0" w:color="000000"/>
            </w:tcBorders>
          </w:tcPr>
          <w:p w14:paraId="35282252" w14:textId="77777777" w:rsidR="00976AF5" w:rsidRDefault="00976AF5" w:rsidP="00E70C0A">
            <w:pPr>
              <w:widowControl w:val="0"/>
              <w:jc w:val="center"/>
              <w:rPr>
                <w:color w:val="000000"/>
                <w:sz w:val="20"/>
                <w:szCs w:val="20"/>
              </w:rPr>
            </w:pPr>
            <w:r>
              <w:rPr>
                <w:color w:val="000000"/>
                <w:sz w:val="20"/>
                <w:szCs w:val="20"/>
              </w:rPr>
              <w:t>01-12-2020</w:t>
            </w:r>
          </w:p>
        </w:tc>
        <w:tc>
          <w:tcPr>
            <w:tcW w:w="1708" w:type="dxa"/>
            <w:tcBorders>
              <w:top w:val="single" w:sz="4" w:space="0" w:color="000000"/>
              <w:left w:val="single" w:sz="4" w:space="0" w:color="000000"/>
              <w:bottom w:val="single" w:sz="4" w:space="0" w:color="000000"/>
              <w:right w:val="single" w:sz="4" w:space="0" w:color="000000"/>
            </w:tcBorders>
          </w:tcPr>
          <w:p w14:paraId="5FB97A7B" w14:textId="77777777" w:rsidR="00976AF5" w:rsidRDefault="00976AF5" w:rsidP="00E70C0A">
            <w:pPr>
              <w:widowControl w:val="0"/>
              <w:jc w:val="right"/>
              <w:rPr>
                <w:color w:val="000000"/>
                <w:sz w:val="20"/>
                <w:szCs w:val="20"/>
              </w:rPr>
            </w:pPr>
            <w:r>
              <w:rPr>
                <w:color w:val="000000"/>
                <w:sz w:val="20"/>
                <w:szCs w:val="20"/>
              </w:rPr>
              <w:t>10.5561</w:t>
            </w:r>
          </w:p>
        </w:tc>
        <w:tc>
          <w:tcPr>
            <w:tcW w:w="1815" w:type="dxa"/>
            <w:tcBorders>
              <w:top w:val="single" w:sz="4" w:space="0" w:color="000000"/>
              <w:left w:val="single" w:sz="4" w:space="0" w:color="000000"/>
              <w:bottom w:val="single" w:sz="4" w:space="0" w:color="000000"/>
              <w:right w:val="single" w:sz="4" w:space="0" w:color="000000"/>
            </w:tcBorders>
          </w:tcPr>
          <w:p w14:paraId="699CA097" w14:textId="77777777" w:rsidR="00976AF5" w:rsidRDefault="00976AF5" w:rsidP="00E70C0A">
            <w:pPr>
              <w:widowControl w:val="0"/>
              <w:jc w:val="right"/>
              <w:rPr>
                <w:color w:val="000000"/>
                <w:sz w:val="20"/>
                <w:szCs w:val="20"/>
              </w:rPr>
            </w:pPr>
            <w:r>
              <w:rPr>
                <w:color w:val="000000"/>
                <w:sz w:val="20"/>
                <w:szCs w:val="20"/>
              </w:rPr>
              <w:t>7.3558</w:t>
            </w:r>
          </w:p>
        </w:tc>
        <w:tc>
          <w:tcPr>
            <w:tcW w:w="1952" w:type="dxa"/>
            <w:tcBorders>
              <w:top w:val="single" w:sz="4" w:space="0" w:color="000000"/>
              <w:left w:val="single" w:sz="4" w:space="0" w:color="000000"/>
              <w:bottom w:val="single" w:sz="4" w:space="0" w:color="000000"/>
              <w:right w:val="single" w:sz="4" w:space="0" w:color="000000"/>
            </w:tcBorders>
          </w:tcPr>
          <w:p w14:paraId="38C9ADE0" w14:textId="77777777" w:rsidR="00976AF5" w:rsidRDefault="00976AF5" w:rsidP="00E70C0A">
            <w:pPr>
              <w:widowControl w:val="0"/>
              <w:jc w:val="right"/>
              <w:rPr>
                <w:color w:val="000000"/>
                <w:sz w:val="20"/>
                <w:szCs w:val="20"/>
              </w:rPr>
            </w:pPr>
            <w:r>
              <w:rPr>
                <w:color w:val="000000"/>
                <w:sz w:val="20"/>
                <w:szCs w:val="20"/>
              </w:rPr>
              <w:t>4.3132</w:t>
            </w:r>
          </w:p>
        </w:tc>
        <w:tc>
          <w:tcPr>
            <w:tcW w:w="2129" w:type="dxa"/>
            <w:tcBorders>
              <w:top w:val="single" w:sz="4" w:space="0" w:color="000000"/>
              <w:left w:val="single" w:sz="4" w:space="0" w:color="000000"/>
              <w:bottom w:val="single" w:sz="4" w:space="0" w:color="000000"/>
              <w:right w:val="single" w:sz="4" w:space="0" w:color="000000"/>
            </w:tcBorders>
          </w:tcPr>
          <w:p w14:paraId="2C204F3B" w14:textId="77777777" w:rsidR="00976AF5" w:rsidRDefault="00976AF5" w:rsidP="00E70C0A">
            <w:pPr>
              <w:widowControl w:val="0"/>
              <w:jc w:val="right"/>
              <w:rPr>
                <w:color w:val="000000"/>
                <w:sz w:val="20"/>
                <w:szCs w:val="20"/>
              </w:rPr>
            </w:pPr>
            <w:r>
              <w:rPr>
                <w:color w:val="000000"/>
                <w:sz w:val="20"/>
                <w:szCs w:val="20"/>
              </w:rPr>
              <w:t>3.0995</w:t>
            </w:r>
          </w:p>
        </w:tc>
      </w:tr>
      <w:tr w:rsidR="00976AF5" w14:paraId="72230A9C" w14:textId="77777777" w:rsidTr="00E70C0A">
        <w:trPr>
          <w:trHeight w:val="450"/>
        </w:trPr>
        <w:tc>
          <w:tcPr>
            <w:tcW w:w="1980" w:type="dxa"/>
            <w:tcBorders>
              <w:top w:val="single" w:sz="4" w:space="0" w:color="000000"/>
              <w:left w:val="single" w:sz="4" w:space="0" w:color="000000"/>
              <w:bottom w:val="single" w:sz="4" w:space="0" w:color="000000"/>
              <w:right w:val="single" w:sz="4" w:space="0" w:color="000000"/>
            </w:tcBorders>
          </w:tcPr>
          <w:p w14:paraId="17FE84FD"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Annual change </w:t>
            </w:r>
          </w:p>
        </w:tc>
        <w:tc>
          <w:tcPr>
            <w:tcW w:w="1708" w:type="dxa"/>
            <w:tcBorders>
              <w:top w:val="single" w:sz="4" w:space="0" w:color="000000"/>
              <w:left w:val="single" w:sz="4" w:space="0" w:color="000000"/>
              <w:bottom w:val="single" w:sz="4" w:space="0" w:color="000000"/>
              <w:right w:val="single" w:sz="4" w:space="0" w:color="000000"/>
            </w:tcBorders>
          </w:tcPr>
          <w:p w14:paraId="1A40967C" w14:textId="77777777" w:rsidR="00976AF5" w:rsidRDefault="00976AF5" w:rsidP="00E70C0A">
            <w:pPr>
              <w:widowControl w:val="0"/>
              <w:jc w:val="right"/>
              <w:rPr>
                <w:color w:val="000000"/>
                <w:sz w:val="20"/>
                <w:szCs w:val="20"/>
              </w:rPr>
            </w:pPr>
            <w:r>
              <w:rPr>
                <w:color w:val="000000"/>
                <w:sz w:val="20"/>
                <w:szCs w:val="20"/>
              </w:rPr>
              <w:t xml:space="preserve">                                              22.252</w:t>
            </w:r>
          </w:p>
        </w:tc>
        <w:tc>
          <w:tcPr>
            <w:tcW w:w="1815" w:type="dxa"/>
            <w:tcBorders>
              <w:top w:val="single" w:sz="4" w:space="0" w:color="000000"/>
              <w:left w:val="single" w:sz="4" w:space="0" w:color="000000"/>
              <w:bottom w:val="single" w:sz="4" w:space="0" w:color="000000"/>
              <w:right w:val="single" w:sz="4" w:space="0" w:color="000000"/>
            </w:tcBorders>
          </w:tcPr>
          <w:p w14:paraId="3AD9CBD8" w14:textId="77777777" w:rsidR="00976AF5" w:rsidRDefault="00976AF5" w:rsidP="00E70C0A">
            <w:pPr>
              <w:widowControl w:val="0"/>
              <w:jc w:val="right"/>
              <w:rPr>
                <w:color w:val="000000"/>
                <w:sz w:val="20"/>
                <w:szCs w:val="20"/>
              </w:rPr>
            </w:pPr>
            <w:r>
              <w:rPr>
                <w:color w:val="000000"/>
                <w:sz w:val="20"/>
                <w:szCs w:val="20"/>
              </w:rPr>
              <w:t xml:space="preserve">                                          12.05</w:t>
            </w:r>
          </w:p>
        </w:tc>
        <w:tc>
          <w:tcPr>
            <w:tcW w:w="1952" w:type="dxa"/>
            <w:tcBorders>
              <w:top w:val="single" w:sz="4" w:space="0" w:color="000000"/>
              <w:left w:val="single" w:sz="4" w:space="0" w:color="000000"/>
              <w:bottom w:val="single" w:sz="4" w:space="0" w:color="000000"/>
              <w:right w:val="single" w:sz="4" w:space="0" w:color="000000"/>
            </w:tcBorders>
          </w:tcPr>
          <w:p w14:paraId="506DEB2B" w14:textId="77777777" w:rsidR="00976AF5" w:rsidRDefault="00976AF5" w:rsidP="00E70C0A">
            <w:pPr>
              <w:widowControl w:val="0"/>
              <w:jc w:val="right"/>
              <w:rPr>
                <w:color w:val="000000"/>
                <w:sz w:val="20"/>
                <w:szCs w:val="20"/>
              </w:rPr>
            </w:pPr>
            <w:r>
              <w:rPr>
                <w:color w:val="000000"/>
                <w:sz w:val="20"/>
                <w:szCs w:val="20"/>
              </w:rPr>
              <w:t xml:space="preserve">                                             22.251</w:t>
            </w:r>
          </w:p>
        </w:tc>
        <w:tc>
          <w:tcPr>
            <w:tcW w:w="2129" w:type="dxa"/>
            <w:tcBorders>
              <w:top w:val="single" w:sz="4" w:space="0" w:color="000000"/>
              <w:left w:val="single" w:sz="4" w:space="0" w:color="000000"/>
              <w:bottom w:val="single" w:sz="4" w:space="0" w:color="000000"/>
              <w:right w:val="single" w:sz="4" w:space="0" w:color="000000"/>
            </w:tcBorders>
          </w:tcPr>
          <w:p w14:paraId="23E3B853" w14:textId="77777777" w:rsidR="00976AF5" w:rsidRDefault="00976AF5" w:rsidP="00E70C0A">
            <w:pPr>
              <w:widowControl w:val="0"/>
              <w:jc w:val="right"/>
              <w:rPr>
                <w:color w:val="000000"/>
                <w:sz w:val="20"/>
                <w:szCs w:val="20"/>
              </w:rPr>
            </w:pPr>
            <w:r>
              <w:rPr>
                <w:color w:val="000000"/>
                <w:sz w:val="20"/>
                <w:szCs w:val="20"/>
              </w:rPr>
              <w:t xml:space="preserve">                                                      4.32</w:t>
            </w:r>
          </w:p>
        </w:tc>
      </w:tr>
      <w:tr w:rsidR="00976AF5" w14:paraId="79D01877"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455B074C"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708" w:type="dxa"/>
            <w:tcBorders>
              <w:top w:val="single" w:sz="4" w:space="0" w:color="000000"/>
              <w:left w:val="single" w:sz="4" w:space="0" w:color="000000"/>
              <w:bottom w:val="single" w:sz="4" w:space="0" w:color="000000"/>
              <w:right w:val="single" w:sz="4" w:space="0" w:color="000000"/>
            </w:tcBorders>
          </w:tcPr>
          <w:p w14:paraId="5033B591" w14:textId="77777777" w:rsidR="00976AF5" w:rsidRDefault="00976AF5" w:rsidP="00E70C0A">
            <w:pPr>
              <w:widowControl w:val="0"/>
              <w:jc w:val="right"/>
              <w:rPr>
                <w:color w:val="000000"/>
                <w:sz w:val="20"/>
                <w:szCs w:val="20"/>
              </w:rPr>
            </w:pPr>
            <w:r>
              <w:rPr>
                <w:color w:val="000000"/>
                <w:sz w:val="20"/>
                <w:szCs w:val="20"/>
              </w:rPr>
              <w:t>1.33</w:t>
            </w:r>
          </w:p>
        </w:tc>
        <w:tc>
          <w:tcPr>
            <w:tcW w:w="1815" w:type="dxa"/>
            <w:tcBorders>
              <w:top w:val="single" w:sz="4" w:space="0" w:color="000000"/>
              <w:left w:val="single" w:sz="4" w:space="0" w:color="000000"/>
              <w:bottom w:val="single" w:sz="4" w:space="0" w:color="000000"/>
              <w:right w:val="single" w:sz="4" w:space="0" w:color="000000"/>
            </w:tcBorders>
          </w:tcPr>
          <w:p w14:paraId="6AC95609" w14:textId="77777777" w:rsidR="00976AF5" w:rsidRDefault="00976AF5" w:rsidP="00E70C0A">
            <w:pPr>
              <w:widowControl w:val="0"/>
              <w:jc w:val="right"/>
              <w:rPr>
                <w:color w:val="000000"/>
                <w:sz w:val="20"/>
                <w:szCs w:val="20"/>
              </w:rPr>
            </w:pPr>
            <w:r>
              <w:rPr>
                <w:color w:val="000000"/>
                <w:sz w:val="20"/>
                <w:szCs w:val="20"/>
              </w:rPr>
              <w:t>0.5</w:t>
            </w:r>
          </w:p>
        </w:tc>
        <w:tc>
          <w:tcPr>
            <w:tcW w:w="1952" w:type="dxa"/>
            <w:tcBorders>
              <w:top w:val="single" w:sz="4" w:space="0" w:color="000000"/>
              <w:left w:val="single" w:sz="4" w:space="0" w:color="000000"/>
              <w:bottom w:val="single" w:sz="4" w:space="0" w:color="000000"/>
              <w:right w:val="single" w:sz="4" w:space="0" w:color="000000"/>
            </w:tcBorders>
          </w:tcPr>
          <w:p w14:paraId="48F699B8" w14:textId="77777777" w:rsidR="00976AF5" w:rsidRDefault="00976AF5" w:rsidP="00E70C0A">
            <w:pPr>
              <w:widowControl w:val="0"/>
              <w:jc w:val="right"/>
              <w:rPr>
                <w:color w:val="000000"/>
                <w:sz w:val="20"/>
                <w:szCs w:val="20"/>
              </w:rPr>
            </w:pPr>
            <w:r>
              <w:rPr>
                <w:color w:val="000000"/>
                <w:sz w:val="20"/>
                <w:szCs w:val="20"/>
              </w:rPr>
              <w:t>0.54</w:t>
            </w:r>
          </w:p>
        </w:tc>
        <w:tc>
          <w:tcPr>
            <w:tcW w:w="2129" w:type="dxa"/>
            <w:tcBorders>
              <w:top w:val="single" w:sz="4" w:space="0" w:color="000000"/>
              <w:left w:val="single" w:sz="4" w:space="0" w:color="000000"/>
              <w:bottom w:val="single" w:sz="4" w:space="0" w:color="000000"/>
              <w:right w:val="single" w:sz="4" w:space="0" w:color="000000"/>
            </w:tcBorders>
          </w:tcPr>
          <w:p w14:paraId="37740AD3" w14:textId="77777777" w:rsidR="00976AF5" w:rsidRDefault="00976AF5" w:rsidP="00E70C0A">
            <w:pPr>
              <w:widowControl w:val="0"/>
              <w:jc w:val="right"/>
              <w:rPr>
                <w:color w:val="000000"/>
                <w:sz w:val="20"/>
                <w:szCs w:val="20"/>
              </w:rPr>
            </w:pPr>
            <w:r>
              <w:rPr>
                <w:color w:val="000000"/>
                <w:sz w:val="20"/>
                <w:szCs w:val="20"/>
              </w:rPr>
              <w:t>0.08</w:t>
            </w:r>
          </w:p>
        </w:tc>
      </w:tr>
      <w:tr w:rsidR="00976AF5" w14:paraId="5AEE41B9"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3F4788F0"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Standard </w:t>
            </w:r>
          </w:p>
          <w:p w14:paraId="365D34D5"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Deviation</w:t>
            </w:r>
          </w:p>
        </w:tc>
        <w:tc>
          <w:tcPr>
            <w:tcW w:w="1708" w:type="dxa"/>
            <w:tcBorders>
              <w:top w:val="single" w:sz="4" w:space="0" w:color="000000"/>
              <w:left w:val="single" w:sz="4" w:space="0" w:color="000000"/>
              <w:bottom w:val="single" w:sz="4" w:space="0" w:color="000000"/>
              <w:right w:val="single" w:sz="4" w:space="0" w:color="000000"/>
            </w:tcBorders>
          </w:tcPr>
          <w:p w14:paraId="30C09A75" w14:textId="77777777" w:rsidR="00976AF5" w:rsidRDefault="00976AF5" w:rsidP="00E70C0A">
            <w:pPr>
              <w:widowControl w:val="0"/>
              <w:jc w:val="right"/>
              <w:rPr>
                <w:color w:val="000000"/>
                <w:sz w:val="20"/>
                <w:szCs w:val="20"/>
              </w:rPr>
            </w:pPr>
            <w:r>
              <w:rPr>
                <w:color w:val="000000"/>
                <w:sz w:val="20"/>
                <w:szCs w:val="20"/>
              </w:rPr>
              <w:t>7.4</w:t>
            </w:r>
          </w:p>
        </w:tc>
        <w:tc>
          <w:tcPr>
            <w:tcW w:w="1815" w:type="dxa"/>
            <w:tcBorders>
              <w:top w:val="single" w:sz="4" w:space="0" w:color="000000"/>
              <w:left w:val="single" w:sz="4" w:space="0" w:color="000000"/>
              <w:bottom w:val="single" w:sz="4" w:space="0" w:color="000000"/>
              <w:right w:val="single" w:sz="4" w:space="0" w:color="000000"/>
            </w:tcBorders>
          </w:tcPr>
          <w:p w14:paraId="67F2547E" w14:textId="77777777" w:rsidR="00976AF5" w:rsidRDefault="00976AF5" w:rsidP="00E70C0A">
            <w:pPr>
              <w:widowControl w:val="0"/>
              <w:jc w:val="right"/>
              <w:rPr>
                <w:color w:val="000000"/>
                <w:sz w:val="20"/>
                <w:szCs w:val="20"/>
              </w:rPr>
            </w:pPr>
            <w:r>
              <w:rPr>
                <w:color w:val="000000"/>
                <w:sz w:val="20"/>
                <w:szCs w:val="20"/>
              </w:rPr>
              <w:t>5.19</w:t>
            </w:r>
          </w:p>
        </w:tc>
        <w:tc>
          <w:tcPr>
            <w:tcW w:w="1952" w:type="dxa"/>
            <w:tcBorders>
              <w:top w:val="single" w:sz="4" w:space="0" w:color="000000"/>
              <w:left w:val="single" w:sz="4" w:space="0" w:color="000000"/>
              <w:bottom w:val="single" w:sz="4" w:space="0" w:color="000000"/>
              <w:right w:val="single" w:sz="4" w:space="0" w:color="000000"/>
            </w:tcBorders>
          </w:tcPr>
          <w:p w14:paraId="56A04562" w14:textId="77777777" w:rsidR="00976AF5" w:rsidRDefault="00976AF5" w:rsidP="00E70C0A">
            <w:pPr>
              <w:widowControl w:val="0"/>
              <w:jc w:val="right"/>
              <w:rPr>
                <w:color w:val="000000"/>
                <w:sz w:val="20"/>
                <w:szCs w:val="20"/>
              </w:rPr>
            </w:pPr>
            <w:r>
              <w:rPr>
                <w:color w:val="000000"/>
                <w:sz w:val="20"/>
                <w:szCs w:val="20"/>
              </w:rPr>
              <w:t>3.02</w:t>
            </w:r>
          </w:p>
        </w:tc>
        <w:tc>
          <w:tcPr>
            <w:tcW w:w="2129" w:type="dxa"/>
            <w:tcBorders>
              <w:top w:val="single" w:sz="4" w:space="0" w:color="000000"/>
              <w:left w:val="single" w:sz="4" w:space="0" w:color="000000"/>
              <w:bottom w:val="single" w:sz="4" w:space="0" w:color="000000"/>
              <w:right w:val="single" w:sz="4" w:space="0" w:color="000000"/>
            </w:tcBorders>
          </w:tcPr>
          <w:p w14:paraId="5D9291BF" w14:textId="77777777" w:rsidR="00976AF5" w:rsidRDefault="00976AF5" w:rsidP="00E70C0A">
            <w:pPr>
              <w:widowControl w:val="0"/>
              <w:jc w:val="right"/>
              <w:rPr>
                <w:color w:val="000000"/>
                <w:sz w:val="20"/>
                <w:szCs w:val="20"/>
              </w:rPr>
            </w:pPr>
            <w:r>
              <w:rPr>
                <w:color w:val="000000"/>
                <w:sz w:val="20"/>
                <w:szCs w:val="20"/>
              </w:rPr>
              <w:t>2.32</w:t>
            </w:r>
          </w:p>
        </w:tc>
      </w:tr>
      <w:tr w:rsidR="00976AF5" w14:paraId="7B1AA5DE" w14:textId="77777777" w:rsidTr="00E70C0A">
        <w:trPr>
          <w:trHeight w:val="533"/>
        </w:trPr>
        <w:tc>
          <w:tcPr>
            <w:tcW w:w="1980" w:type="dxa"/>
            <w:tcBorders>
              <w:top w:val="single" w:sz="4" w:space="0" w:color="000000"/>
              <w:left w:val="single" w:sz="4" w:space="0" w:color="000000"/>
              <w:bottom w:val="single" w:sz="4" w:space="0" w:color="000000"/>
              <w:right w:val="single" w:sz="4" w:space="0" w:color="000000"/>
            </w:tcBorders>
          </w:tcPr>
          <w:p w14:paraId="015C4149"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Variance</w:t>
            </w:r>
          </w:p>
        </w:tc>
        <w:tc>
          <w:tcPr>
            <w:tcW w:w="1708" w:type="dxa"/>
            <w:tcBorders>
              <w:top w:val="single" w:sz="4" w:space="0" w:color="000000"/>
              <w:left w:val="single" w:sz="4" w:space="0" w:color="000000"/>
              <w:bottom w:val="single" w:sz="4" w:space="0" w:color="000000"/>
              <w:right w:val="single" w:sz="4" w:space="0" w:color="000000"/>
            </w:tcBorders>
          </w:tcPr>
          <w:p w14:paraId="4B413049" w14:textId="77777777" w:rsidR="00976AF5" w:rsidRDefault="00976AF5" w:rsidP="00E70C0A">
            <w:pPr>
              <w:widowControl w:val="0"/>
              <w:jc w:val="right"/>
              <w:rPr>
                <w:color w:val="000000"/>
                <w:sz w:val="20"/>
                <w:szCs w:val="20"/>
              </w:rPr>
            </w:pPr>
            <w:r>
              <w:rPr>
                <w:color w:val="000000"/>
                <w:sz w:val="20"/>
                <w:szCs w:val="20"/>
              </w:rPr>
              <w:t>59.76</w:t>
            </w:r>
          </w:p>
        </w:tc>
        <w:tc>
          <w:tcPr>
            <w:tcW w:w="1815" w:type="dxa"/>
            <w:tcBorders>
              <w:top w:val="single" w:sz="4" w:space="0" w:color="000000"/>
              <w:left w:val="single" w:sz="4" w:space="0" w:color="000000"/>
              <w:bottom w:val="single" w:sz="4" w:space="0" w:color="000000"/>
              <w:right w:val="single" w:sz="4" w:space="0" w:color="000000"/>
            </w:tcBorders>
          </w:tcPr>
          <w:p w14:paraId="1EE64527" w14:textId="77777777" w:rsidR="00976AF5" w:rsidRDefault="00976AF5" w:rsidP="00E70C0A">
            <w:pPr>
              <w:widowControl w:val="0"/>
              <w:jc w:val="right"/>
              <w:rPr>
                <w:color w:val="000000"/>
                <w:sz w:val="20"/>
                <w:szCs w:val="20"/>
              </w:rPr>
            </w:pPr>
            <w:r>
              <w:rPr>
                <w:color w:val="000000"/>
                <w:sz w:val="20"/>
                <w:szCs w:val="20"/>
              </w:rPr>
              <w:t>29.41</w:t>
            </w:r>
          </w:p>
        </w:tc>
        <w:tc>
          <w:tcPr>
            <w:tcW w:w="1952" w:type="dxa"/>
            <w:tcBorders>
              <w:top w:val="single" w:sz="4" w:space="0" w:color="000000"/>
              <w:left w:val="single" w:sz="4" w:space="0" w:color="000000"/>
              <w:bottom w:val="single" w:sz="4" w:space="0" w:color="000000"/>
              <w:right w:val="single" w:sz="4" w:space="0" w:color="000000"/>
            </w:tcBorders>
          </w:tcPr>
          <w:p w14:paraId="02F7A5F0" w14:textId="77777777" w:rsidR="00976AF5" w:rsidRDefault="00976AF5" w:rsidP="00E70C0A">
            <w:pPr>
              <w:widowControl w:val="0"/>
              <w:jc w:val="right"/>
              <w:rPr>
                <w:color w:val="000000"/>
                <w:sz w:val="20"/>
                <w:szCs w:val="20"/>
              </w:rPr>
            </w:pPr>
            <w:r>
              <w:rPr>
                <w:color w:val="000000"/>
                <w:sz w:val="20"/>
                <w:szCs w:val="20"/>
              </w:rPr>
              <w:t>9.98</w:t>
            </w:r>
          </w:p>
        </w:tc>
        <w:tc>
          <w:tcPr>
            <w:tcW w:w="2129" w:type="dxa"/>
            <w:tcBorders>
              <w:top w:val="single" w:sz="4" w:space="0" w:color="000000"/>
              <w:left w:val="single" w:sz="4" w:space="0" w:color="000000"/>
              <w:bottom w:val="single" w:sz="4" w:space="0" w:color="000000"/>
              <w:right w:val="single" w:sz="4" w:space="0" w:color="000000"/>
            </w:tcBorders>
          </w:tcPr>
          <w:p w14:paraId="71A5A793" w14:textId="77777777" w:rsidR="00976AF5" w:rsidRDefault="00976AF5" w:rsidP="00E70C0A">
            <w:pPr>
              <w:widowControl w:val="0"/>
              <w:jc w:val="right"/>
              <w:rPr>
                <w:color w:val="000000"/>
                <w:sz w:val="20"/>
                <w:szCs w:val="20"/>
              </w:rPr>
            </w:pPr>
            <w:r>
              <w:rPr>
                <w:color w:val="000000"/>
                <w:sz w:val="20"/>
                <w:szCs w:val="20"/>
              </w:rPr>
              <w:t>5.85</w:t>
            </w:r>
          </w:p>
        </w:tc>
      </w:tr>
      <w:tr w:rsidR="00976AF5" w14:paraId="4E8EE2C5" w14:textId="77777777" w:rsidTr="00E70C0A">
        <w:trPr>
          <w:trHeight w:val="427"/>
        </w:trPr>
        <w:tc>
          <w:tcPr>
            <w:tcW w:w="1980" w:type="dxa"/>
            <w:tcBorders>
              <w:top w:val="single" w:sz="4" w:space="0" w:color="000000"/>
              <w:left w:val="single" w:sz="4" w:space="0" w:color="000000"/>
              <w:bottom w:val="single" w:sz="4" w:space="0" w:color="000000"/>
              <w:right w:val="single" w:sz="4" w:space="0" w:color="000000"/>
            </w:tcBorders>
          </w:tcPr>
          <w:p w14:paraId="485A22F8"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Risk free Return</w:t>
            </w:r>
          </w:p>
        </w:tc>
        <w:tc>
          <w:tcPr>
            <w:tcW w:w="1708" w:type="dxa"/>
            <w:tcBorders>
              <w:top w:val="single" w:sz="4" w:space="0" w:color="000000"/>
              <w:left w:val="single" w:sz="4" w:space="0" w:color="000000"/>
              <w:bottom w:val="single" w:sz="4" w:space="0" w:color="000000"/>
              <w:right w:val="single" w:sz="4" w:space="0" w:color="000000"/>
            </w:tcBorders>
          </w:tcPr>
          <w:p w14:paraId="44FC5E88" w14:textId="77777777" w:rsidR="00976AF5" w:rsidRDefault="00976AF5" w:rsidP="00E70C0A">
            <w:pPr>
              <w:widowControl w:val="0"/>
              <w:jc w:val="right"/>
              <w:rPr>
                <w:color w:val="000000"/>
                <w:sz w:val="20"/>
                <w:szCs w:val="20"/>
              </w:rPr>
            </w:pPr>
            <w:r>
              <w:rPr>
                <w:color w:val="000000"/>
                <w:sz w:val="20"/>
                <w:szCs w:val="20"/>
              </w:rPr>
              <w:t xml:space="preserve">                                  6</w:t>
            </w:r>
          </w:p>
        </w:tc>
        <w:tc>
          <w:tcPr>
            <w:tcW w:w="1815" w:type="dxa"/>
            <w:tcBorders>
              <w:top w:val="single" w:sz="4" w:space="0" w:color="000000"/>
              <w:left w:val="single" w:sz="4" w:space="0" w:color="000000"/>
              <w:bottom w:val="single" w:sz="4" w:space="0" w:color="000000"/>
              <w:right w:val="single" w:sz="4" w:space="0" w:color="000000"/>
            </w:tcBorders>
          </w:tcPr>
          <w:p w14:paraId="20C36A77" w14:textId="77777777" w:rsidR="00976AF5" w:rsidRDefault="00976AF5" w:rsidP="00E70C0A">
            <w:pPr>
              <w:widowControl w:val="0"/>
              <w:jc w:val="right"/>
              <w:rPr>
                <w:color w:val="000000"/>
                <w:sz w:val="20"/>
                <w:szCs w:val="20"/>
              </w:rPr>
            </w:pPr>
            <w:r>
              <w:rPr>
                <w:color w:val="000000"/>
                <w:sz w:val="20"/>
                <w:szCs w:val="20"/>
              </w:rPr>
              <w:t xml:space="preserve">                                    6</w:t>
            </w:r>
          </w:p>
        </w:tc>
        <w:tc>
          <w:tcPr>
            <w:tcW w:w="1952" w:type="dxa"/>
            <w:tcBorders>
              <w:top w:val="single" w:sz="4" w:space="0" w:color="000000"/>
              <w:left w:val="single" w:sz="4" w:space="0" w:color="000000"/>
              <w:bottom w:val="single" w:sz="4" w:space="0" w:color="000000"/>
              <w:right w:val="single" w:sz="4" w:space="0" w:color="000000"/>
            </w:tcBorders>
          </w:tcPr>
          <w:p w14:paraId="03D80FA8" w14:textId="77777777" w:rsidR="00976AF5" w:rsidRDefault="00976AF5" w:rsidP="00E70C0A">
            <w:pPr>
              <w:widowControl w:val="0"/>
              <w:jc w:val="right"/>
              <w:rPr>
                <w:color w:val="000000"/>
                <w:sz w:val="20"/>
                <w:szCs w:val="20"/>
              </w:rPr>
            </w:pPr>
            <w:r>
              <w:rPr>
                <w:color w:val="000000"/>
                <w:sz w:val="20"/>
                <w:szCs w:val="20"/>
              </w:rPr>
              <w:t xml:space="preserve">                                    6</w:t>
            </w:r>
          </w:p>
        </w:tc>
        <w:tc>
          <w:tcPr>
            <w:tcW w:w="2129" w:type="dxa"/>
            <w:tcBorders>
              <w:top w:val="single" w:sz="4" w:space="0" w:color="000000"/>
              <w:left w:val="single" w:sz="4" w:space="0" w:color="000000"/>
              <w:bottom w:val="single" w:sz="4" w:space="0" w:color="000000"/>
              <w:right w:val="single" w:sz="4" w:space="0" w:color="000000"/>
            </w:tcBorders>
          </w:tcPr>
          <w:p w14:paraId="12DD4AE5" w14:textId="77777777" w:rsidR="00976AF5" w:rsidRDefault="00976AF5" w:rsidP="00E70C0A">
            <w:pPr>
              <w:widowControl w:val="0"/>
              <w:jc w:val="right"/>
              <w:rPr>
                <w:color w:val="000000"/>
                <w:sz w:val="20"/>
                <w:szCs w:val="20"/>
              </w:rPr>
            </w:pPr>
            <w:r>
              <w:rPr>
                <w:color w:val="000000"/>
                <w:sz w:val="20"/>
                <w:szCs w:val="20"/>
              </w:rPr>
              <w:t xml:space="preserve">                                            6</w:t>
            </w:r>
          </w:p>
        </w:tc>
      </w:tr>
      <w:tr w:rsidR="00976AF5" w14:paraId="0DD556C9"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5A9E8684"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Sharpe Ratio</w:t>
            </w:r>
          </w:p>
        </w:tc>
        <w:tc>
          <w:tcPr>
            <w:tcW w:w="1708" w:type="dxa"/>
            <w:tcBorders>
              <w:top w:val="single" w:sz="4" w:space="0" w:color="000000"/>
              <w:left w:val="single" w:sz="4" w:space="0" w:color="000000"/>
              <w:bottom w:val="single" w:sz="4" w:space="0" w:color="000000"/>
              <w:right w:val="single" w:sz="4" w:space="0" w:color="000000"/>
            </w:tcBorders>
          </w:tcPr>
          <w:p w14:paraId="0E9B65D3"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2.19       </w:t>
            </w:r>
          </w:p>
        </w:tc>
        <w:tc>
          <w:tcPr>
            <w:tcW w:w="1815" w:type="dxa"/>
            <w:tcBorders>
              <w:top w:val="single" w:sz="4" w:space="0" w:color="000000"/>
              <w:left w:val="single" w:sz="4" w:space="0" w:color="000000"/>
              <w:bottom w:val="single" w:sz="4" w:space="0" w:color="000000"/>
              <w:right w:val="single" w:sz="4" w:space="0" w:color="000000"/>
            </w:tcBorders>
          </w:tcPr>
          <w:p w14:paraId="7A9E0A65"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1.16                </w:t>
            </w:r>
          </w:p>
        </w:tc>
        <w:tc>
          <w:tcPr>
            <w:tcW w:w="1952" w:type="dxa"/>
            <w:tcBorders>
              <w:top w:val="single" w:sz="4" w:space="0" w:color="000000"/>
              <w:left w:val="single" w:sz="4" w:space="0" w:color="000000"/>
              <w:bottom w:val="single" w:sz="4" w:space="0" w:color="000000"/>
              <w:right w:val="single" w:sz="4" w:space="0" w:color="000000"/>
            </w:tcBorders>
          </w:tcPr>
          <w:p w14:paraId="1C01AE1E"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5.3     </w:t>
            </w:r>
          </w:p>
        </w:tc>
        <w:tc>
          <w:tcPr>
            <w:tcW w:w="2129" w:type="dxa"/>
            <w:tcBorders>
              <w:top w:val="single" w:sz="4" w:space="0" w:color="000000"/>
              <w:left w:val="single" w:sz="4" w:space="0" w:color="000000"/>
              <w:bottom w:val="single" w:sz="4" w:space="0" w:color="000000"/>
              <w:right w:val="single" w:sz="4" w:space="0" w:color="000000"/>
            </w:tcBorders>
          </w:tcPr>
          <w:p w14:paraId="07817E42"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-0.72                   </w:t>
            </w:r>
          </w:p>
        </w:tc>
      </w:tr>
      <w:tr w:rsidR="00976AF5" w14:paraId="14A49AD4"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4C6F2852"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Beta value</w:t>
            </w:r>
          </w:p>
        </w:tc>
        <w:tc>
          <w:tcPr>
            <w:tcW w:w="1708" w:type="dxa"/>
            <w:tcBorders>
              <w:top w:val="single" w:sz="4" w:space="0" w:color="000000"/>
              <w:left w:val="single" w:sz="4" w:space="0" w:color="000000"/>
              <w:bottom w:val="single" w:sz="4" w:space="0" w:color="000000"/>
              <w:right w:val="single" w:sz="4" w:space="0" w:color="000000"/>
            </w:tcBorders>
          </w:tcPr>
          <w:p w14:paraId="5F6AC0AE"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815" w:type="dxa"/>
            <w:tcBorders>
              <w:top w:val="single" w:sz="4" w:space="0" w:color="000000"/>
              <w:left w:val="single" w:sz="4" w:space="0" w:color="000000"/>
              <w:bottom w:val="single" w:sz="4" w:space="0" w:color="000000"/>
              <w:right w:val="single" w:sz="4" w:space="0" w:color="000000"/>
            </w:tcBorders>
          </w:tcPr>
          <w:p w14:paraId="1D6ECCD2"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0.854</w:t>
            </w:r>
          </w:p>
        </w:tc>
        <w:tc>
          <w:tcPr>
            <w:tcW w:w="1952" w:type="dxa"/>
            <w:tcBorders>
              <w:top w:val="single" w:sz="4" w:space="0" w:color="000000"/>
              <w:left w:val="single" w:sz="4" w:space="0" w:color="000000"/>
              <w:bottom w:val="single" w:sz="4" w:space="0" w:color="000000"/>
              <w:right w:val="single" w:sz="4" w:space="0" w:color="000000"/>
            </w:tcBorders>
          </w:tcPr>
          <w:p w14:paraId="3EB46690"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2129" w:type="dxa"/>
            <w:tcBorders>
              <w:top w:val="single" w:sz="4" w:space="0" w:color="000000"/>
              <w:left w:val="single" w:sz="4" w:space="0" w:color="000000"/>
              <w:bottom w:val="single" w:sz="4" w:space="0" w:color="000000"/>
              <w:right w:val="single" w:sz="4" w:space="0" w:color="000000"/>
            </w:tcBorders>
          </w:tcPr>
          <w:p w14:paraId="29CF66B9"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0.854</w:t>
            </w:r>
          </w:p>
        </w:tc>
      </w:tr>
      <w:tr w:rsidR="00976AF5" w14:paraId="46423599"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09D485C5"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Treynor Ratio</w:t>
            </w:r>
          </w:p>
        </w:tc>
        <w:tc>
          <w:tcPr>
            <w:tcW w:w="1708" w:type="dxa"/>
            <w:tcBorders>
              <w:top w:val="single" w:sz="4" w:space="0" w:color="000000"/>
              <w:left w:val="single" w:sz="4" w:space="0" w:color="000000"/>
              <w:bottom w:val="single" w:sz="4" w:space="0" w:color="000000"/>
              <w:right w:val="single" w:sz="4" w:space="0" w:color="000000"/>
            </w:tcBorders>
          </w:tcPr>
          <w:p w14:paraId="391C865F"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16.25</w:t>
            </w:r>
          </w:p>
        </w:tc>
        <w:tc>
          <w:tcPr>
            <w:tcW w:w="1815" w:type="dxa"/>
            <w:tcBorders>
              <w:top w:val="single" w:sz="4" w:space="0" w:color="000000"/>
              <w:left w:val="single" w:sz="4" w:space="0" w:color="000000"/>
              <w:bottom w:val="single" w:sz="4" w:space="0" w:color="000000"/>
              <w:right w:val="single" w:sz="4" w:space="0" w:color="000000"/>
            </w:tcBorders>
          </w:tcPr>
          <w:p w14:paraId="165BC002"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7.11</w:t>
            </w:r>
          </w:p>
        </w:tc>
        <w:tc>
          <w:tcPr>
            <w:tcW w:w="1952" w:type="dxa"/>
            <w:tcBorders>
              <w:top w:val="single" w:sz="4" w:space="0" w:color="000000"/>
              <w:left w:val="single" w:sz="4" w:space="0" w:color="000000"/>
              <w:bottom w:val="single" w:sz="4" w:space="0" w:color="000000"/>
              <w:right w:val="single" w:sz="4" w:space="0" w:color="000000"/>
            </w:tcBorders>
          </w:tcPr>
          <w:p w14:paraId="58E1C9DE"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16.25</w:t>
            </w:r>
          </w:p>
        </w:tc>
        <w:tc>
          <w:tcPr>
            <w:tcW w:w="2129" w:type="dxa"/>
            <w:tcBorders>
              <w:top w:val="single" w:sz="4" w:space="0" w:color="000000"/>
              <w:left w:val="single" w:sz="4" w:space="0" w:color="000000"/>
              <w:bottom w:val="single" w:sz="4" w:space="0" w:color="000000"/>
              <w:right w:val="single" w:sz="4" w:space="0" w:color="000000"/>
            </w:tcBorders>
          </w:tcPr>
          <w:p w14:paraId="690A2BE1"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-1.97</w:t>
            </w:r>
          </w:p>
        </w:tc>
      </w:tr>
    </w:tbl>
    <w:p w14:paraId="750F06C5" w14:textId="77777777" w:rsidR="00976AF5" w:rsidRDefault="00976AF5" w:rsidP="00976AF5">
      <w:pPr>
        <w:jc w:val="both"/>
        <w:rPr>
          <w:rFonts w:ascii="Times New Roman" w:eastAsia="Times New Roman" w:hAnsi="Times New Roman" w:cs="Times New Roman"/>
        </w:rPr>
      </w:pPr>
    </w:p>
    <w:p w14:paraId="5C83ABC0" w14:textId="77777777" w:rsidR="00976AF5" w:rsidRDefault="00976AF5" w:rsidP="00976AF5">
      <w:pPr>
        <w:jc w:val="both"/>
        <w:rPr>
          <w:rFonts w:ascii="Times New Roman" w:eastAsia="Times New Roman" w:hAnsi="Times New Roman" w:cs="Times New Roman"/>
        </w:rPr>
      </w:pPr>
    </w:p>
    <w:p w14:paraId="4260CC14" w14:textId="77777777" w:rsidR="00976AF5" w:rsidRDefault="00976AF5" w:rsidP="00976AF5">
      <w:pPr>
        <w:spacing w:line="360" w:lineRule="auto"/>
        <w:jc w:val="both"/>
        <w:rPr>
          <w:rFonts w:ascii="Times New Roman" w:eastAsia="Times New Roman" w:hAnsi="Times New Roman" w:cs="Times New Roman"/>
          <w:b/>
          <w:sz w:val="28"/>
          <w:szCs w:val="28"/>
        </w:rPr>
      </w:pPr>
      <w:r>
        <w:rPr>
          <w:noProof/>
        </w:rPr>
        <w:drawing>
          <wp:inline distT="0" distB="0" distL="0" distR="0" wp14:anchorId="48C54C27" wp14:editId="54075B0B">
            <wp:extent cx="5739765" cy="3426460"/>
            <wp:effectExtent l="0" t="0" r="0" b="0"/>
            <wp:docPr id="10" name="Object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681E140" w14:textId="77777777" w:rsidR="00976AF5" w:rsidRDefault="00976AF5" w:rsidP="00976AF5">
      <w:pPr>
        <w:spacing w:line="360" w:lineRule="auto"/>
        <w:jc w:val="both"/>
        <w:rPr>
          <w:rFonts w:ascii="Times New Roman" w:eastAsia="Times New Roman" w:hAnsi="Times New Roman" w:cs="Times New Roman"/>
          <w:b/>
          <w:sz w:val="28"/>
          <w:szCs w:val="28"/>
        </w:rPr>
      </w:pPr>
    </w:p>
    <w:p w14:paraId="0FAB20C1" w14:textId="77777777" w:rsidR="00976AF5" w:rsidRDefault="00976AF5" w:rsidP="00976AF5">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Interpretation:</w:t>
      </w:r>
    </w:p>
    <w:p w14:paraId="3314510C" w14:textId="77777777" w:rsidR="00976AF5" w:rsidRDefault="00976AF5" w:rsidP="00976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above table and graph analysis consist SBI magnum mid cap fund-Gr, Franklin India smaller companies, SBI magnum Mid cap fund-IDCW and Franklin India smaller companies fund-IDCW points for the year 2020, it can observe that SBI magnum mid cap fund-Gr annual change is 22.252, Franklin India smaller companies-GR is 12.05,SBI magnum Mid cap fund-IDCW is 22.251 and in franklin India smaller companies fund-IDCW 4.32.</w:t>
      </w:r>
    </w:p>
    <w:p w14:paraId="2D761765" w14:textId="77777777" w:rsidR="00976AF5" w:rsidRDefault="00976AF5" w:rsidP="00976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a period of 12 months in the year of 2019 the both growth funds as well as dividend funds have shown positive   performance in annual % change, standard deviation and Sharpe ratio when comparing SBI magnum Mid cap-IDCW generates more returns. </w:t>
      </w:r>
    </w:p>
    <w:p w14:paraId="7FCDD1FA" w14:textId="77777777" w:rsidR="00976AF5" w:rsidRDefault="00976AF5" w:rsidP="00976AF5">
      <w:pPr>
        <w:jc w:val="both"/>
        <w:rPr>
          <w:rFonts w:ascii="Times New Roman" w:eastAsia="Times New Roman" w:hAnsi="Times New Roman" w:cs="Times New Roman"/>
          <w:sz w:val="24"/>
          <w:szCs w:val="24"/>
        </w:rPr>
      </w:pPr>
    </w:p>
    <w:p w14:paraId="15FD6107" w14:textId="77777777" w:rsidR="00976AF5" w:rsidRDefault="00976AF5" w:rsidP="00976AF5">
      <w:pPr>
        <w:jc w:val="both"/>
        <w:rPr>
          <w:rFonts w:ascii="Times New Roman" w:eastAsia="Times New Roman" w:hAnsi="Times New Roman" w:cs="Times New Roman"/>
          <w:b/>
          <w:sz w:val="24"/>
          <w:szCs w:val="24"/>
        </w:rPr>
      </w:pPr>
    </w:p>
    <w:p w14:paraId="3480111A" w14:textId="77777777" w:rsidR="00976AF5" w:rsidRDefault="00976AF5" w:rsidP="00976AF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3: Performance of both Growth option and Dividend option for the year of 2021</w:t>
      </w:r>
    </w:p>
    <w:tbl>
      <w:tblPr>
        <w:tblW w:w="9584" w:type="dxa"/>
        <w:tblLayout w:type="fixed"/>
        <w:tblLook w:val="0400" w:firstRow="0" w:lastRow="0" w:firstColumn="0" w:lastColumn="0" w:noHBand="0" w:noVBand="1"/>
      </w:tblPr>
      <w:tblGrid>
        <w:gridCol w:w="1980"/>
        <w:gridCol w:w="1708"/>
        <w:gridCol w:w="1815"/>
        <w:gridCol w:w="1952"/>
        <w:gridCol w:w="2129"/>
      </w:tblGrid>
      <w:tr w:rsidR="00976AF5" w14:paraId="155C0B0B" w14:textId="77777777" w:rsidTr="00E70C0A">
        <w:tc>
          <w:tcPr>
            <w:tcW w:w="9584" w:type="dxa"/>
            <w:gridSpan w:val="5"/>
            <w:tcBorders>
              <w:top w:val="single" w:sz="4" w:space="0" w:color="000000"/>
              <w:left w:val="single" w:sz="4" w:space="0" w:color="000000"/>
              <w:bottom w:val="single" w:sz="4" w:space="0" w:color="000000"/>
              <w:right w:val="single" w:sz="4" w:space="0" w:color="000000"/>
            </w:tcBorders>
          </w:tcPr>
          <w:p w14:paraId="301CD7D5" w14:textId="77777777" w:rsidR="00976AF5" w:rsidRDefault="00976AF5" w:rsidP="00E70C0A">
            <w:pPr>
              <w:widowControl w:val="0"/>
              <w:jc w:val="center"/>
              <w:rPr>
                <w:rFonts w:ascii="Times New Roman" w:eastAsia="Times New Roman" w:hAnsi="Times New Roman" w:cs="Times New Roman"/>
                <w:b/>
                <w:color w:val="000000"/>
                <w:sz w:val="24"/>
                <w:szCs w:val="24"/>
              </w:rPr>
            </w:pPr>
          </w:p>
          <w:p w14:paraId="5D90C17F"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of change in NAV-2021</w:t>
            </w:r>
          </w:p>
        </w:tc>
      </w:tr>
      <w:tr w:rsidR="00976AF5" w14:paraId="03058E43" w14:textId="77777777" w:rsidTr="00E70C0A">
        <w:tc>
          <w:tcPr>
            <w:tcW w:w="1980" w:type="dxa"/>
            <w:vMerge w:val="restart"/>
            <w:tcBorders>
              <w:top w:val="single" w:sz="4" w:space="0" w:color="000000"/>
              <w:left w:val="single" w:sz="4" w:space="0" w:color="000000"/>
              <w:bottom w:val="single" w:sz="4" w:space="0" w:color="000000"/>
              <w:right w:val="single" w:sz="4" w:space="0" w:color="000000"/>
            </w:tcBorders>
          </w:tcPr>
          <w:p w14:paraId="072059AD" w14:textId="77777777" w:rsidR="00976AF5" w:rsidRDefault="00976AF5" w:rsidP="00E70C0A">
            <w:pPr>
              <w:widowControl w:val="0"/>
              <w:rPr>
                <w:rFonts w:ascii="Times New Roman" w:eastAsia="Times New Roman" w:hAnsi="Times New Roman" w:cs="Times New Roman"/>
                <w:color w:val="000000"/>
                <w:sz w:val="24"/>
                <w:szCs w:val="24"/>
              </w:rPr>
            </w:pPr>
            <w:bookmarkStart w:id="1" w:name="_heading=h.30j0zll"/>
            <w:bookmarkEnd w:id="1"/>
          </w:p>
          <w:p w14:paraId="7F1CE98E"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3523" w:type="dxa"/>
            <w:gridSpan w:val="2"/>
            <w:tcBorders>
              <w:top w:val="single" w:sz="4" w:space="0" w:color="000000"/>
              <w:left w:val="single" w:sz="4" w:space="0" w:color="000000"/>
              <w:right w:val="single" w:sz="4" w:space="0" w:color="000000"/>
            </w:tcBorders>
          </w:tcPr>
          <w:p w14:paraId="1338F722"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Growth option</w:t>
            </w:r>
          </w:p>
        </w:tc>
        <w:tc>
          <w:tcPr>
            <w:tcW w:w="4081" w:type="dxa"/>
            <w:gridSpan w:val="2"/>
            <w:tcBorders>
              <w:top w:val="single" w:sz="4" w:space="0" w:color="000000"/>
              <w:left w:val="single" w:sz="4" w:space="0" w:color="000000"/>
              <w:bottom w:val="single" w:sz="4" w:space="0" w:color="000000"/>
              <w:right w:val="single" w:sz="4" w:space="0" w:color="000000"/>
            </w:tcBorders>
          </w:tcPr>
          <w:p w14:paraId="0B6D8149"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Dividend Option</w:t>
            </w:r>
          </w:p>
        </w:tc>
      </w:tr>
      <w:tr w:rsidR="00976AF5" w14:paraId="3CBFE927" w14:textId="77777777" w:rsidTr="00E70C0A">
        <w:tc>
          <w:tcPr>
            <w:tcW w:w="1980" w:type="dxa"/>
            <w:vMerge/>
            <w:tcBorders>
              <w:top w:val="single" w:sz="4" w:space="0" w:color="000000"/>
              <w:left w:val="single" w:sz="4" w:space="0" w:color="000000"/>
              <w:bottom w:val="single" w:sz="4" w:space="0" w:color="000000"/>
              <w:right w:val="single" w:sz="4" w:space="0" w:color="000000"/>
            </w:tcBorders>
          </w:tcPr>
          <w:p w14:paraId="072F516C" w14:textId="77777777" w:rsidR="00976AF5" w:rsidRDefault="00976AF5" w:rsidP="00E70C0A">
            <w:pPr>
              <w:widowControl w:val="0"/>
              <w:spacing w:after="0" w:line="276" w:lineRule="auto"/>
              <w:rPr>
                <w:rFonts w:ascii="Times New Roman" w:eastAsia="Times New Roman" w:hAnsi="Times New Roman" w:cs="Times New Roman"/>
                <w:b/>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tcPr>
          <w:p w14:paraId="3D534EBD"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SBI Magnum Mid fund -Gr</w:t>
            </w:r>
          </w:p>
        </w:tc>
        <w:tc>
          <w:tcPr>
            <w:tcW w:w="1815" w:type="dxa"/>
            <w:tcBorders>
              <w:top w:val="single" w:sz="4" w:space="0" w:color="000000"/>
              <w:left w:val="single" w:sz="4" w:space="0" w:color="000000"/>
              <w:bottom w:val="single" w:sz="4" w:space="0" w:color="000000"/>
              <w:right w:val="single" w:sz="4" w:space="0" w:color="000000"/>
            </w:tcBorders>
          </w:tcPr>
          <w:p w14:paraId="40008377"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Franklin India Smaller companies-Gr</w:t>
            </w:r>
          </w:p>
        </w:tc>
        <w:tc>
          <w:tcPr>
            <w:tcW w:w="1952" w:type="dxa"/>
            <w:tcBorders>
              <w:top w:val="single" w:sz="4" w:space="0" w:color="000000"/>
              <w:left w:val="single" w:sz="4" w:space="0" w:color="000000"/>
              <w:bottom w:val="single" w:sz="4" w:space="0" w:color="000000"/>
              <w:right w:val="single" w:sz="4" w:space="0" w:color="000000"/>
            </w:tcBorders>
          </w:tcPr>
          <w:p w14:paraId="6EC03C7A"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SBI Magnum Mid fund – IDCW</w:t>
            </w:r>
          </w:p>
        </w:tc>
        <w:tc>
          <w:tcPr>
            <w:tcW w:w="2129" w:type="dxa"/>
            <w:tcBorders>
              <w:top w:val="single" w:sz="4" w:space="0" w:color="000000"/>
              <w:left w:val="single" w:sz="4" w:space="0" w:color="000000"/>
              <w:bottom w:val="single" w:sz="4" w:space="0" w:color="000000"/>
              <w:right w:val="single" w:sz="4" w:space="0" w:color="000000"/>
            </w:tcBorders>
          </w:tcPr>
          <w:p w14:paraId="5FDD02C3"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Franklin India Smaller companies- IDCW</w:t>
            </w:r>
          </w:p>
        </w:tc>
      </w:tr>
      <w:tr w:rsidR="00976AF5" w14:paraId="220EA015"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29604FBE" w14:textId="77777777" w:rsidR="00976AF5" w:rsidRDefault="00976AF5" w:rsidP="00E70C0A">
            <w:pPr>
              <w:widowControl w:val="0"/>
              <w:jc w:val="center"/>
              <w:rPr>
                <w:color w:val="000000"/>
                <w:sz w:val="20"/>
                <w:szCs w:val="20"/>
              </w:rPr>
            </w:pPr>
            <w:r>
              <w:rPr>
                <w:color w:val="000000"/>
                <w:sz w:val="20"/>
                <w:szCs w:val="20"/>
              </w:rPr>
              <w:t>01-01-2021</w:t>
            </w:r>
          </w:p>
        </w:tc>
        <w:tc>
          <w:tcPr>
            <w:tcW w:w="1708" w:type="dxa"/>
            <w:tcBorders>
              <w:top w:val="single" w:sz="4" w:space="0" w:color="000000"/>
              <w:left w:val="single" w:sz="4" w:space="0" w:color="000000"/>
              <w:bottom w:val="single" w:sz="4" w:space="0" w:color="000000"/>
              <w:right w:val="single" w:sz="4" w:space="0" w:color="000000"/>
            </w:tcBorders>
          </w:tcPr>
          <w:p w14:paraId="6EDFE5F1" w14:textId="77777777" w:rsidR="00976AF5" w:rsidRDefault="00976AF5" w:rsidP="00E70C0A">
            <w:pPr>
              <w:widowControl w:val="0"/>
              <w:jc w:val="right"/>
              <w:rPr>
                <w:color w:val="000000"/>
                <w:sz w:val="20"/>
                <w:szCs w:val="20"/>
              </w:rPr>
            </w:pPr>
            <w:r>
              <w:rPr>
                <w:color w:val="000000"/>
                <w:sz w:val="20"/>
                <w:szCs w:val="20"/>
              </w:rPr>
              <w:t>6.5290</w:t>
            </w:r>
          </w:p>
        </w:tc>
        <w:tc>
          <w:tcPr>
            <w:tcW w:w="1815" w:type="dxa"/>
            <w:tcBorders>
              <w:top w:val="single" w:sz="4" w:space="0" w:color="000000"/>
              <w:left w:val="single" w:sz="4" w:space="0" w:color="000000"/>
              <w:bottom w:val="single" w:sz="4" w:space="0" w:color="000000"/>
              <w:right w:val="single" w:sz="4" w:space="0" w:color="000000"/>
            </w:tcBorders>
          </w:tcPr>
          <w:p w14:paraId="1E85380D" w14:textId="77777777" w:rsidR="00976AF5" w:rsidRDefault="00976AF5" w:rsidP="00E70C0A">
            <w:pPr>
              <w:widowControl w:val="0"/>
              <w:jc w:val="right"/>
              <w:rPr>
                <w:color w:val="000000"/>
                <w:sz w:val="20"/>
                <w:szCs w:val="20"/>
              </w:rPr>
            </w:pPr>
            <w:r>
              <w:rPr>
                <w:color w:val="000000"/>
                <w:sz w:val="20"/>
                <w:szCs w:val="20"/>
              </w:rPr>
              <w:t>4.5007</w:t>
            </w:r>
          </w:p>
        </w:tc>
        <w:tc>
          <w:tcPr>
            <w:tcW w:w="1952" w:type="dxa"/>
            <w:tcBorders>
              <w:top w:val="single" w:sz="4" w:space="0" w:color="000000"/>
              <w:left w:val="single" w:sz="4" w:space="0" w:color="000000"/>
              <w:bottom w:val="single" w:sz="4" w:space="0" w:color="000000"/>
              <w:right w:val="single" w:sz="4" w:space="0" w:color="000000"/>
            </w:tcBorders>
          </w:tcPr>
          <w:p w14:paraId="77C41AF8" w14:textId="77777777" w:rsidR="00976AF5" w:rsidRDefault="00976AF5" w:rsidP="00E70C0A">
            <w:pPr>
              <w:widowControl w:val="0"/>
              <w:jc w:val="right"/>
              <w:rPr>
                <w:color w:val="000000"/>
                <w:sz w:val="20"/>
                <w:szCs w:val="20"/>
              </w:rPr>
            </w:pPr>
            <w:r>
              <w:rPr>
                <w:color w:val="000000"/>
                <w:sz w:val="20"/>
                <w:szCs w:val="20"/>
              </w:rPr>
              <w:t>2.6678</w:t>
            </w:r>
          </w:p>
        </w:tc>
        <w:tc>
          <w:tcPr>
            <w:tcW w:w="2129" w:type="dxa"/>
            <w:tcBorders>
              <w:top w:val="single" w:sz="4" w:space="0" w:color="000000"/>
              <w:left w:val="single" w:sz="4" w:space="0" w:color="000000"/>
              <w:bottom w:val="single" w:sz="4" w:space="0" w:color="000000"/>
              <w:right w:val="single" w:sz="4" w:space="0" w:color="000000"/>
            </w:tcBorders>
          </w:tcPr>
          <w:p w14:paraId="394B8A8A" w14:textId="77777777" w:rsidR="00976AF5" w:rsidRDefault="00976AF5" w:rsidP="00E70C0A">
            <w:pPr>
              <w:widowControl w:val="0"/>
              <w:jc w:val="right"/>
              <w:rPr>
                <w:color w:val="000000"/>
                <w:sz w:val="20"/>
                <w:szCs w:val="20"/>
              </w:rPr>
            </w:pPr>
            <w:r>
              <w:rPr>
                <w:color w:val="000000"/>
                <w:sz w:val="20"/>
                <w:szCs w:val="20"/>
              </w:rPr>
              <w:t>1.8965</w:t>
            </w:r>
          </w:p>
        </w:tc>
      </w:tr>
      <w:tr w:rsidR="00976AF5" w14:paraId="2D05DD53"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26201834" w14:textId="77777777" w:rsidR="00976AF5" w:rsidRDefault="00976AF5" w:rsidP="00E70C0A">
            <w:pPr>
              <w:widowControl w:val="0"/>
              <w:jc w:val="center"/>
              <w:rPr>
                <w:color w:val="000000"/>
                <w:sz w:val="20"/>
                <w:szCs w:val="20"/>
              </w:rPr>
            </w:pPr>
            <w:r>
              <w:rPr>
                <w:color w:val="000000"/>
                <w:sz w:val="20"/>
                <w:szCs w:val="20"/>
              </w:rPr>
              <w:t>01-02-2021</w:t>
            </w:r>
          </w:p>
        </w:tc>
        <w:tc>
          <w:tcPr>
            <w:tcW w:w="1708" w:type="dxa"/>
            <w:tcBorders>
              <w:top w:val="single" w:sz="4" w:space="0" w:color="000000"/>
              <w:left w:val="single" w:sz="4" w:space="0" w:color="000000"/>
              <w:bottom w:val="single" w:sz="4" w:space="0" w:color="000000"/>
              <w:right w:val="single" w:sz="4" w:space="0" w:color="000000"/>
            </w:tcBorders>
          </w:tcPr>
          <w:p w14:paraId="384D3CD0" w14:textId="77777777" w:rsidR="00976AF5" w:rsidRDefault="00976AF5" w:rsidP="00E70C0A">
            <w:pPr>
              <w:widowControl w:val="0"/>
              <w:jc w:val="right"/>
              <w:rPr>
                <w:color w:val="000000"/>
                <w:sz w:val="20"/>
                <w:szCs w:val="20"/>
              </w:rPr>
            </w:pPr>
            <w:r>
              <w:rPr>
                <w:color w:val="000000"/>
                <w:sz w:val="20"/>
                <w:szCs w:val="20"/>
              </w:rPr>
              <w:t>1.6870</w:t>
            </w:r>
          </w:p>
        </w:tc>
        <w:tc>
          <w:tcPr>
            <w:tcW w:w="1815" w:type="dxa"/>
            <w:tcBorders>
              <w:top w:val="single" w:sz="4" w:space="0" w:color="000000"/>
              <w:left w:val="single" w:sz="4" w:space="0" w:color="000000"/>
              <w:bottom w:val="single" w:sz="4" w:space="0" w:color="000000"/>
              <w:right w:val="single" w:sz="4" w:space="0" w:color="000000"/>
            </w:tcBorders>
          </w:tcPr>
          <w:p w14:paraId="0622BAB4" w14:textId="77777777" w:rsidR="00976AF5" w:rsidRDefault="00976AF5" w:rsidP="00E70C0A">
            <w:pPr>
              <w:widowControl w:val="0"/>
              <w:jc w:val="right"/>
              <w:rPr>
                <w:color w:val="000000"/>
                <w:sz w:val="20"/>
                <w:szCs w:val="20"/>
              </w:rPr>
            </w:pPr>
            <w:r>
              <w:rPr>
                <w:color w:val="000000"/>
                <w:sz w:val="20"/>
                <w:szCs w:val="20"/>
              </w:rPr>
              <w:t>1.3310</w:t>
            </w:r>
          </w:p>
        </w:tc>
        <w:tc>
          <w:tcPr>
            <w:tcW w:w="1952" w:type="dxa"/>
            <w:tcBorders>
              <w:top w:val="single" w:sz="4" w:space="0" w:color="000000"/>
              <w:left w:val="single" w:sz="4" w:space="0" w:color="000000"/>
              <w:bottom w:val="single" w:sz="4" w:space="0" w:color="000000"/>
              <w:right w:val="single" w:sz="4" w:space="0" w:color="000000"/>
            </w:tcBorders>
          </w:tcPr>
          <w:p w14:paraId="7D613546" w14:textId="77777777" w:rsidR="00976AF5" w:rsidRDefault="00976AF5" w:rsidP="00E70C0A">
            <w:pPr>
              <w:widowControl w:val="0"/>
              <w:jc w:val="right"/>
              <w:rPr>
                <w:color w:val="000000"/>
                <w:sz w:val="20"/>
                <w:szCs w:val="20"/>
              </w:rPr>
            </w:pPr>
            <w:r>
              <w:rPr>
                <w:color w:val="000000"/>
                <w:sz w:val="20"/>
                <w:szCs w:val="20"/>
              </w:rPr>
              <w:t>0.6893</w:t>
            </w:r>
          </w:p>
        </w:tc>
        <w:tc>
          <w:tcPr>
            <w:tcW w:w="2129" w:type="dxa"/>
            <w:tcBorders>
              <w:top w:val="single" w:sz="4" w:space="0" w:color="000000"/>
              <w:left w:val="single" w:sz="4" w:space="0" w:color="000000"/>
              <w:bottom w:val="single" w:sz="4" w:space="0" w:color="000000"/>
              <w:right w:val="single" w:sz="4" w:space="0" w:color="000000"/>
            </w:tcBorders>
          </w:tcPr>
          <w:p w14:paraId="1545ACE0" w14:textId="77777777" w:rsidR="00976AF5" w:rsidRDefault="00976AF5" w:rsidP="00E70C0A">
            <w:pPr>
              <w:widowControl w:val="0"/>
              <w:jc w:val="right"/>
              <w:rPr>
                <w:color w:val="000000"/>
                <w:sz w:val="20"/>
                <w:szCs w:val="20"/>
              </w:rPr>
            </w:pPr>
            <w:r>
              <w:rPr>
                <w:color w:val="000000"/>
                <w:sz w:val="20"/>
                <w:szCs w:val="20"/>
              </w:rPr>
              <w:t>0.5608</w:t>
            </w:r>
          </w:p>
        </w:tc>
      </w:tr>
      <w:tr w:rsidR="00976AF5" w14:paraId="5A23383A"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55088BB9" w14:textId="77777777" w:rsidR="00976AF5" w:rsidRDefault="00976AF5" w:rsidP="00E70C0A">
            <w:pPr>
              <w:widowControl w:val="0"/>
              <w:jc w:val="center"/>
              <w:rPr>
                <w:color w:val="000000"/>
                <w:sz w:val="20"/>
                <w:szCs w:val="20"/>
              </w:rPr>
            </w:pPr>
            <w:r>
              <w:rPr>
                <w:color w:val="000000"/>
                <w:sz w:val="20"/>
                <w:szCs w:val="20"/>
              </w:rPr>
              <w:t>01-03-2021</w:t>
            </w:r>
          </w:p>
        </w:tc>
        <w:tc>
          <w:tcPr>
            <w:tcW w:w="1708" w:type="dxa"/>
            <w:tcBorders>
              <w:top w:val="single" w:sz="4" w:space="0" w:color="000000"/>
              <w:left w:val="single" w:sz="4" w:space="0" w:color="000000"/>
              <w:bottom w:val="single" w:sz="4" w:space="0" w:color="000000"/>
              <w:right w:val="single" w:sz="4" w:space="0" w:color="000000"/>
            </w:tcBorders>
          </w:tcPr>
          <w:p w14:paraId="43E5187D" w14:textId="77777777" w:rsidR="00976AF5" w:rsidRDefault="00976AF5" w:rsidP="00E70C0A">
            <w:pPr>
              <w:widowControl w:val="0"/>
              <w:jc w:val="right"/>
              <w:rPr>
                <w:color w:val="000000"/>
                <w:sz w:val="20"/>
                <w:szCs w:val="20"/>
              </w:rPr>
            </w:pPr>
            <w:r>
              <w:rPr>
                <w:color w:val="000000"/>
                <w:sz w:val="20"/>
                <w:szCs w:val="20"/>
              </w:rPr>
              <w:t>11.4286</w:t>
            </w:r>
          </w:p>
        </w:tc>
        <w:tc>
          <w:tcPr>
            <w:tcW w:w="1815" w:type="dxa"/>
            <w:tcBorders>
              <w:top w:val="single" w:sz="4" w:space="0" w:color="000000"/>
              <w:left w:val="single" w:sz="4" w:space="0" w:color="000000"/>
              <w:bottom w:val="single" w:sz="4" w:space="0" w:color="000000"/>
              <w:right w:val="single" w:sz="4" w:space="0" w:color="000000"/>
            </w:tcBorders>
          </w:tcPr>
          <w:p w14:paraId="46E95CE9" w14:textId="77777777" w:rsidR="00976AF5" w:rsidRDefault="00976AF5" w:rsidP="00E70C0A">
            <w:pPr>
              <w:widowControl w:val="0"/>
              <w:jc w:val="right"/>
              <w:rPr>
                <w:color w:val="000000"/>
                <w:sz w:val="20"/>
                <w:szCs w:val="20"/>
              </w:rPr>
            </w:pPr>
            <w:r>
              <w:rPr>
                <w:color w:val="000000"/>
                <w:sz w:val="20"/>
                <w:szCs w:val="20"/>
              </w:rPr>
              <w:t>6.6977</w:t>
            </w:r>
          </w:p>
        </w:tc>
        <w:tc>
          <w:tcPr>
            <w:tcW w:w="1952" w:type="dxa"/>
            <w:tcBorders>
              <w:top w:val="single" w:sz="4" w:space="0" w:color="000000"/>
              <w:left w:val="single" w:sz="4" w:space="0" w:color="000000"/>
              <w:bottom w:val="single" w:sz="4" w:space="0" w:color="000000"/>
              <w:right w:val="single" w:sz="4" w:space="0" w:color="000000"/>
            </w:tcBorders>
          </w:tcPr>
          <w:p w14:paraId="019E26E6" w14:textId="77777777" w:rsidR="00976AF5" w:rsidRDefault="00976AF5" w:rsidP="00E70C0A">
            <w:pPr>
              <w:widowControl w:val="0"/>
              <w:jc w:val="right"/>
              <w:rPr>
                <w:color w:val="000000"/>
                <w:sz w:val="20"/>
                <w:szCs w:val="20"/>
              </w:rPr>
            </w:pPr>
            <w:r>
              <w:rPr>
                <w:color w:val="000000"/>
                <w:sz w:val="20"/>
                <w:szCs w:val="20"/>
              </w:rPr>
              <w:t>4.6698</w:t>
            </w:r>
          </w:p>
        </w:tc>
        <w:tc>
          <w:tcPr>
            <w:tcW w:w="2129" w:type="dxa"/>
            <w:tcBorders>
              <w:top w:val="single" w:sz="4" w:space="0" w:color="000000"/>
              <w:left w:val="single" w:sz="4" w:space="0" w:color="000000"/>
              <w:bottom w:val="single" w:sz="4" w:space="0" w:color="000000"/>
              <w:right w:val="single" w:sz="4" w:space="0" w:color="000000"/>
            </w:tcBorders>
          </w:tcPr>
          <w:p w14:paraId="2B46E746" w14:textId="77777777" w:rsidR="00976AF5" w:rsidRDefault="00976AF5" w:rsidP="00E70C0A">
            <w:pPr>
              <w:widowControl w:val="0"/>
              <w:jc w:val="right"/>
              <w:rPr>
                <w:color w:val="000000"/>
                <w:sz w:val="20"/>
                <w:szCs w:val="20"/>
              </w:rPr>
            </w:pPr>
            <w:r>
              <w:rPr>
                <w:color w:val="000000"/>
                <w:sz w:val="20"/>
                <w:szCs w:val="20"/>
              </w:rPr>
              <w:t>1.4698</w:t>
            </w:r>
          </w:p>
        </w:tc>
      </w:tr>
      <w:tr w:rsidR="00976AF5" w14:paraId="0219AEBF"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1430FF93" w14:textId="77777777" w:rsidR="00976AF5" w:rsidRDefault="00976AF5" w:rsidP="00E70C0A">
            <w:pPr>
              <w:widowControl w:val="0"/>
              <w:jc w:val="center"/>
              <w:rPr>
                <w:color w:val="000000"/>
                <w:sz w:val="20"/>
                <w:szCs w:val="20"/>
              </w:rPr>
            </w:pPr>
            <w:r>
              <w:rPr>
                <w:color w:val="000000"/>
                <w:sz w:val="20"/>
                <w:szCs w:val="20"/>
              </w:rPr>
              <w:t>01-04-2021</w:t>
            </w:r>
          </w:p>
        </w:tc>
        <w:tc>
          <w:tcPr>
            <w:tcW w:w="1708" w:type="dxa"/>
            <w:tcBorders>
              <w:top w:val="single" w:sz="4" w:space="0" w:color="000000"/>
              <w:left w:val="single" w:sz="4" w:space="0" w:color="000000"/>
              <w:bottom w:val="single" w:sz="4" w:space="0" w:color="000000"/>
              <w:right w:val="single" w:sz="4" w:space="0" w:color="000000"/>
            </w:tcBorders>
          </w:tcPr>
          <w:p w14:paraId="36C954D0" w14:textId="77777777" w:rsidR="00976AF5" w:rsidRDefault="00976AF5" w:rsidP="00E70C0A">
            <w:pPr>
              <w:widowControl w:val="0"/>
              <w:jc w:val="right"/>
              <w:rPr>
                <w:color w:val="000000"/>
                <w:sz w:val="20"/>
                <w:szCs w:val="20"/>
              </w:rPr>
            </w:pPr>
            <w:r>
              <w:rPr>
                <w:color w:val="000000"/>
                <w:sz w:val="20"/>
                <w:szCs w:val="20"/>
              </w:rPr>
              <w:t>1.6847</w:t>
            </w:r>
          </w:p>
        </w:tc>
        <w:tc>
          <w:tcPr>
            <w:tcW w:w="1815" w:type="dxa"/>
            <w:tcBorders>
              <w:top w:val="single" w:sz="4" w:space="0" w:color="000000"/>
              <w:left w:val="single" w:sz="4" w:space="0" w:color="000000"/>
              <w:bottom w:val="single" w:sz="4" w:space="0" w:color="000000"/>
              <w:right w:val="single" w:sz="4" w:space="0" w:color="000000"/>
            </w:tcBorders>
          </w:tcPr>
          <w:p w14:paraId="64C7820E" w14:textId="77777777" w:rsidR="00976AF5" w:rsidRDefault="00976AF5" w:rsidP="00E70C0A">
            <w:pPr>
              <w:widowControl w:val="0"/>
              <w:jc w:val="right"/>
              <w:rPr>
                <w:color w:val="000000"/>
                <w:sz w:val="20"/>
                <w:szCs w:val="20"/>
              </w:rPr>
            </w:pPr>
            <w:r>
              <w:rPr>
                <w:color w:val="000000"/>
                <w:sz w:val="20"/>
                <w:szCs w:val="20"/>
              </w:rPr>
              <w:t>0.1718</w:t>
            </w:r>
          </w:p>
        </w:tc>
        <w:tc>
          <w:tcPr>
            <w:tcW w:w="1952" w:type="dxa"/>
            <w:tcBorders>
              <w:top w:val="single" w:sz="4" w:space="0" w:color="000000"/>
              <w:left w:val="single" w:sz="4" w:space="0" w:color="000000"/>
              <w:bottom w:val="single" w:sz="4" w:space="0" w:color="000000"/>
              <w:right w:val="single" w:sz="4" w:space="0" w:color="000000"/>
            </w:tcBorders>
          </w:tcPr>
          <w:p w14:paraId="54D552C3" w14:textId="77777777" w:rsidR="00976AF5" w:rsidRDefault="00976AF5" w:rsidP="00E70C0A">
            <w:pPr>
              <w:widowControl w:val="0"/>
              <w:jc w:val="right"/>
              <w:rPr>
                <w:color w:val="000000"/>
                <w:sz w:val="20"/>
                <w:szCs w:val="20"/>
              </w:rPr>
            </w:pPr>
            <w:r>
              <w:rPr>
                <w:color w:val="000000"/>
                <w:sz w:val="20"/>
                <w:szCs w:val="20"/>
              </w:rPr>
              <w:t>0.6884</w:t>
            </w:r>
          </w:p>
        </w:tc>
        <w:tc>
          <w:tcPr>
            <w:tcW w:w="2129" w:type="dxa"/>
            <w:tcBorders>
              <w:top w:val="single" w:sz="4" w:space="0" w:color="000000"/>
              <w:left w:val="single" w:sz="4" w:space="0" w:color="000000"/>
              <w:bottom w:val="single" w:sz="4" w:space="0" w:color="000000"/>
              <w:right w:val="single" w:sz="4" w:space="0" w:color="000000"/>
            </w:tcBorders>
          </w:tcPr>
          <w:p w14:paraId="16D4F076" w14:textId="77777777" w:rsidR="00976AF5" w:rsidRDefault="00976AF5" w:rsidP="00E70C0A">
            <w:pPr>
              <w:widowControl w:val="0"/>
              <w:jc w:val="right"/>
              <w:rPr>
                <w:color w:val="000000"/>
                <w:sz w:val="20"/>
                <w:szCs w:val="20"/>
              </w:rPr>
            </w:pPr>
            <w:r>
              <w:rPr>
                <w:color w:val="000000"/>
                <w:sz w:val="20"/>
                <w:szCs w:val="20"/>
              </w:rPr>
              <w:t>0.0689</w:t>
            </w:r>
          </w:p>
        </w:tc>
      </w:tr>
      <w:tr w:rsidR="00976AF5" w14:paraId="7B315B7F"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2E517AA1" w14:textId="77777777" w:rsidR="00976AF5" w:rsidRDefault="00976AF5" w:rsidP="00E70C0A">
            <w:pPr>
              <w:widowControl w:val="0"/>
              <w:jc w:val="center"/>
              <w:rPr>
                <w:color w:val="000000"/>
                <w:sz w:val="20"/>
                <w:szCs w:val="20"/>
              </w:rPr>
            </w:pPr>
            <w:r>
              <w:rPr>
                <w:color w:val="000000"/>
                <w:sz w:val="20"/>
                <w:szCs w:val="20"/>
              </w:rPr>
              <w:t>03-05-2021</w:t>
            </w:r>
          </w:p>
        </w:tc>
        <w:tc>
          <w:tcPr>
            <w:tcW w:w="1708" w:type="dxa"/>
            <w:tcBorders>
              <w:top w:val="single" w:sz="4" w:space="0" w:color="000000"/>
              <w:left w:val="single" w:sz="4" w:space="0" w:color="000000"/>
              <w:bottom w:val="single" w:sz="4" w:space="0" w:color="000000"/>
              <w:right w:val="single" w:sz="4" w:space="0" w:color="000000"/>
            </w:tcBorders>
          </w:tcPr>
          <w:p w14:paraId="06DA3089" w14:textId="77777777" w:rsidR="00976AF5" w:rsidRDefault="00976AF5" w:rsidP="00E70C0A">
            <w:pPr>
              <w:widowControl w:val="0"/>
              <w:jc w:val="right"/>
              <w:rPr>
                <w:color w:val="000000"/>
                <w:sz w:val="20"/>
                <w:szCs w:val="20"/>
              </w:rPr>
            </w:pPr>
            <w:r>
              <w:rPr>
                <w:color w:val="000000"/>
                <w:sz w:val="20"/>
                <w:szCs w:val="20"/>
              </w:rPr>
              <w:t>1.6497</w:t>
            </w:r>
          </w:p>
        </w:tc>
        <w:tc>
          <w:tcPr>
            <w:tcW w:w="1815" w:type="dxa"/>
            <w:tcBorders>
              <w:top w:val="single" w:sz="4" w:space="0" w:color="000000"/>
              <w:left w:val="single" w:sz="4" w:space="0" w:color="000000"/>
              <w:bottom w:val="single" w:sz="4" w:space="0" w:color="000000"/>
              <w:right w:val="single" w:sz="4" w:space="0" w:color="000000"/>
            </w:tcBorders>
          </w:tcPr>
          <w:p w14:paraId="7B84AB2B" w14:textId="77777777" w:rsidR="00976AF5" w:rsidRDefault="00976AF5" w:rsidP="00E70C0A">
            <w:pPr>
              <w:widowControl w:val="0"/>
              <w:jc w:val="right"/>
              <w:rPr>
                <w:color w:val="000000"/>
                <w:sz w:val="20"/>
                <w:szCs w:val="20"/>
              </w:rPr>
            </w:pPr>
            <w:r>
              <w:rPr>
                <w:color w:val="000000"/>
                <w:sz w:val="20"/>
                <w:szCs w:val="20"/>
              </w:rPr>
              <w:t>1.0906</w:t>
            </w:r>
          </w:p>
        </w:tc>
        <w:tc>
          <w:tcPr>
            <w:tcW w:w="1952" w:type="dxa"/>
            <w:tcBorders>
              <w:top w:val="single" w:sz="4" w:space="0" w:color="000000"/>
              <w:left w:val="single" w:sz="4" w:space="0" w:color="000000"/>
              <w:bottom w:val="single" w:sz="4" w:space="0" w:color="000000"/>
              <w:right w:val="single" w:sz="4" w:space="0" w:color="000000"/>
            </w:tcBorders>
          </w:tcPr>
          <w:p w14:paraId="2BA781B1" w14:textId="77777777" w:rsidR="00976AF5" w:rsidRDefault="00976AF5" w:rsidP="00E70C0A">
            <w:pPr>
              <w:widowControl w:val="0"/>
              <w:jc w:val="right"/>
              <w:rPr>
                <w:color w:val="000000"/>
                <w:sz w:val="20"/>
                <w:szCs w:val="20"/>
              </w:rPr>
            </w:pPr>
            <w:r>
              <w:rPr>
                <w:color w:val="000000"/>
                <w:sz w:val="20"/>
                <w:szCs w:val="20"/>
              </w:rPr>
              <w:t>0.6741</w:t>
            </w:r>
          </w:p>
        </w:tc>
        <w:tc>
          <w:tcPr>
            <w:tcW w:w="2129" w:type="dxa"/>
            <w:tcBorders>
              <w:top w:val="single" w:sz="4" w:space="0" w:color="000000"/>
              <w:left w:val="single" w:sz="4" w:space="0" w:color="000000"/>
              <w:bottom w:val="single" w:sz="4" w:space="0" w:color="000000"/>
              <w:right w:val="single" w:sz="4" w:space="0" w:color="000000"/>
            </w:tcBorders>
          </w:tcPr>
          <w:p w14:paraId="54271A86" w14:textId="77777777" w:rsidR="00976AF5" w:rsidRDefault="00976AF5" w:rsidP="00E70C0A">
            <w:pPr>
              <w:widowControl w:val="0"/>
              <w:jc w:val="right"/>
              <w:rPr>
                <w:color w:val="000000"/>
                <w:sz w:val="20"/>
                <w:szCs w:val="20"/>
              </w:rPr>
            </w:pPr>
            <w:r>
              <w:rPr>
                <w:color w:val="000000"/>
                <w:sz w:val="20"/>
                <w:szCs w:val="20"/>
              </w:rPr>
              <w:t>0.4378</w:t>
            </w:r>
          </w:p>
        </w:tc>
      </w:tr>
      <w:tr w:rsidR="00976AF5" w14:paraId="435D1241"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2F9008A8" w14:textId="77777777" w:rsidR="00976AF5" w:rsidRDefault="00976AF5" w:rsidP="00E70C0A">
            <w:pPr>
              <w:widowControl w:val="0"/>
              <w:jc w:val="center"/>
              <w:rPr>
                <w:color w:val="000000"/>
                <w:sz w:val="20"/>
                <w:szCs w:val="20"/>
              </w:rPr>
            </w:pPr>
            <w:r>
              <w:rPr>
                <w:color w:val="000000"/>
                <w:sz w:val="20"/>
                <w:szCs w:val="20"/>
              </w:rPr>
              <w:t>01-06-2021</w:t>
            </w:r>
          </w:p>
        </w:tc>
        <w:tc>
          <w:tcPr>
            <w:tcW w:w="1708" w:type="dxa"/>
            <w:tcBorders>
              <w:top w:val="single" w:sz="4" w:space="0" w:color="000000"/>
              <w:left w:val="single" w:sz="4" w:space="0" w:color="000000"/>
              <w:bottom w:val="single" w:sz="4" w:space="0" w:color="000000"/>
              <w:right w:val="single" w:sz="4" w:space="0" w:color="000000"/>
            </w:tcBorders>
          </w:tcPr>
          <w:p w14:paraId="43A8CFB3" w14:textId="77777777" w:rsidR="00976AF5" w:rsidRDefault="00976AF5" w:rsidP="00E70C0A">
            <w:pPr>
              <w:widowControl w:val="0"/>
              <w:jc w:val="right"/>
              <w:rPr>
                <w:color w:val="000000"/>
                <w:sz w:val="20"/>
                <w:szCs w:val="20"/>
              </w:rPr>
            </w:pPr>
            <w:r>
              <w:rPr>
                <w:color w:val="000000"/>
                <w:sz w:val="20"/>
                <w:szCs w:val="20"/>
              </w:rPr>
              <w:t>2.9626</w:t>
            </w:r>
          </w:p>
        </w:tc>
        <w:tc>
          <w:tcPr>
            <w:tcW w:w="1815" w:type="dxa"/>
            <w:tcBorders>
              <w:top w:val="single" w:sz="4" w:space="0" w:color="000000"/>
              <w:left w:val="single" w:sz="4" w:space="0" w:color="000000"/>
              <w:bottom w:val="single" w:sz="4" w:space="0" w:color="000000"/>
              <w:right w:val="single" w:sz="4" w:space="0" w:color="000000"/>
            </w:tcBorders>
          </w:tcPr>
          <w:p w14:paraId="3E34E87C" w14:textId="77777777" w:rsidR="00976AF5" w:rsidRDefault="00976AF5" w:rsidP="00E70C0A">
            <w:pPr>
              <w:widowControl w:val="0"/>
              <w:jc w:val="right"/>
              <w:rPr>
                <w:color w:val="000000"/>
                <w:sz w:val="20"/>
                <w:szCs w:val="20"/>
              </w:rPr>
            </w:pPr>
            <w:r>
              <w:rPr>
                <w:color w:val="000000"/>
                <w:sz w:val="20"/>
                <w:szCs w:val="20"/>
              </w:rPr>
              <w:t>4.7773</w:t>
            </w:r>
          </w:p>
        </w:tc>
        <w:tc>
          <w:tcPr>
            <w:tcW w:w="1952" w:type="dxa"/>
            <w:tcBorders>
              <w:top w:val="single" w:sz="4" w:space="0" w:color="000000"/>
              <w:left w:val="single" w:sz="4" w:space="0" w:color="000000"/>
              <w:bottom w:val="single" w:sz="4" w:space="0" w:color="000000"/>
              <w:right w:val="single" w:sz="4" w:space="0" w:color="000000"/>
            </w:tcBorders>
          </w:tcPr>
          <w:p w14:paraId="0EC7AA73" w14:textId="77777777" w:rsidR="00976AF5" w:rsidRDefault="00976AF5" w:rsidP="00E70C0A">
            <w:pPr>
              <w:widowControl w:val="0"/>
              <w:jc w:val="right"/>
              <w:rPr>
                <w:color w:val="000000"/>
                <w:sz w:val="20"/>
                <w:szCs w:val="20"/>
              </w:rPr>
            </w:pPr>
            <w:r>
              <w:rPr>
                <w:color w:val="000000"/>
                <w:sz w:val="20"/>
                <w:szCs w:val="20"/>
              </w:rPr>
              <w:t>1.2105</w:t>
            </w:r>
          </w:p>
        </w:tc>
        <w:tc>
          <w:tcPr>
            <w:tcW w:w="2129" w:type="dxa"/>
            <w:tcBorders>
              <w:top w:val="single" w:sz="4" w:space="0" w:color="000000"/>
              <w:left w:val="single" w:sz="4" w:space="0" w:color="000000"/>
              <w:bottom w:val="single" w:sz="4" w:space="0" w:color="000000"/>
              <w:right w:val="single" w:sz="4" w:space="0" w:color="000000"/>
            </w:tcBorders>
          </w:tcPr>
          <w:p w14:paraId="1CE2C99B" w14:textId="77777777" w:rsidR="00976AF5" w:rsidRDefault="00976AF5" w:rsidP="00E70C0A">
            <w:pPr>
              <w:widowControl w:val="0"/>
              <w:jc w:val="right"/>
              <w:rPr>
                <w:color w:val="000000"/>
                <w:sz w:val="20"/>
                <w:szCs w:val="20"/>
              </w:rPr>
            </w:pPr>
            <w:r>
              <w:rPr>
                <w:color w:val="000000"/>
                <w:sz w:val="20"/>
                <w:szCs w:val="20"/>
              </w:rPr>
              <w:t>1.9176</w:t>
            </w:r>
          </w:p>
        </w:tc>
      </w:tr>
      <w:tr w:rsidR="00976AF5" w14:paraId="01A24EE7"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6492245F" w14:textId="77777777" w:rsidR="00976AF5" w:rsidRDefault="00976AF5" w:rsidP="00E70C0A">
            <w:pPr>
              <w:widowControl w:val="0"/>
              <w:jc w:val="center"/>
              <w:rPr>
                <w:color w:val="000000"/>
                <w:sz w:val="20"/>
                <w:szCs w:val="20"/>
              </w:rPr>
            </w:pPr>
            <w:r>
              <w:rPr>
                <w:color w:val="000000"/>
                <w:sz w:val="20"/>
                <w:szCs w:val="20"/>
              </w:rPr>
              <w:t>01-07-2021</w:t>
            </w:r>
          </w:p>
        </w:tc>
        <w:tc>
          <w:tcPr>
            <w:tcW w:w="1708" w:type="dxa"/>
            <w:tcBorders>
              <w:top w:val="single" w:sz="4" w:space="0" w:color="000000"/>
              <w:left w:val="single" w:sz="4" w:space="0" w:color="000000"/>
              <w:bottom w:val="single" w:sz="4" w:space="0" w:color="000000"/>
              <w:right w:val="single" w:sz="4" w:space="0" w:color="000000"/>
            </w:tcBorders>
          </w:tcPr>
          <w:p w14:paraId="558A4BC5" w14:textId="77777777" w:rsidR="00976AF5" w:rsidRDefault="00976AF5" w:rsidP="00E70C0A">
            <w:pPr>
              <w:widowControl w:val="0"/>
              <w:jc w:val="right"/>
              <w:rPr>
                <w:color w:val="000000"/>
                <w:sz w:val="20"/>
                <w:szCs w:val="20"/>
              </w:rPr>
            </w:pPr>
            <w:r>
              <w:rPr>
                <w:color w:val="000000"/>
                <w:sz w:val="20"/>
                <w:szCs w:val="20"/>
              </w:rPr>
              <w:t>7.2522</w:t>
            </w:r>
          </w:p>
        </w:tc>
        <w:tc>
          <w:tcPr>
            <w:tcW w:w="1815" w:type="dxa"/>
            <w:tcBorders>
              <w:top w:val="single" w:sz="4" w:space="0" w:color="000000"/>
              <w:left w:val="single" w:sz="4" w:space="0" w:color="000000"/>
              <w:bottom w:val="single" w:sz="4" w:space="0" w:color="000000"/>
              <w:right w:val="single" w:sz="4" w:space="0" w:color="000000"/>
            </w:tcBorders>
          </w:tcPr>
          <w:p w14:paraId="358996B0" w14:textId="77777777" w:rsidR="00976AF5" w:rsidRDefault="00976AF5" w:rsidP="00E70C0A">
            <w:pPr>
              <w:widowControl w:val="0"/>
              <w:jc w:val="right"/>
              <w:rPr>
                <w:color w:val="000000"/>
                <w:sz w:val="20"/>
                <w:szCs w:val="20"/>
              </w:rPr>
            </w:pPr>
            <w:r>
              <w:rPr>
                <w:color w:val="000000"/>
                <w:sz w:val="20"/>
                <w:szCs w:val="20"/>
              </w:rPr>
              <w:t>4.1873</w:t>
            </w:r>
          </w:p>
        </w:tc>
        <w:tc>
          <w:tcPr>
            <w:tcW w:w="1952" w:type="dxa"/>
            <w:tcBorders>
              <w:top w:val="single" w:sz="4" w:space="0" w:color="000000"/>
              <w:left w:val="single" w:sz="4" w:space="0" w:color="000000"/>
              <w:bottom w:val="single" w:sz="4" w:space="0" w:color="000000"/>
              <w:right w:val="single" w:sz="4" w:space="0" w:color="000000"/>
            </w:tcBorders>
          </w:tcPr>
          <w:p w14:paraId="7A66BAC5" w14:textId="77777777" w:rsidR="00976AF5" w:rsidRDefault="00976AF5" w:rsidP="00E70C0A">
            <w:pPr>
              <w:widowControl w:val="0"/>
              <w:jc w:val="right"/>
              <w:rPr>
                <w:color w:val="000000"/>
                <w:sz w:val="20"/>
                <w:szCs w:val="20"/>
              </w:rPr>
            </w:pPr>
            <w:r>
              <w:rPr>
                <w:color w:val="000000"/>
                <w:sz w:val="20"/>
                <w:szCs w:val="20"/>
              </w:rPr>
              <w:t>2.9633</w:t>
            </w:r>
          </w:p>
        </w:tc>
        <w:tc>
          <w:tcPr>
            <w:tcW w:w="2129" w:type="dxa"/>
            <w:tcBorders>
              <w:top w:val="single" w:sz="4" w:space="0" w:color="000000"/>
              <w:left w:val="single" w:sz="4" w:space="0" w:color="000000"/>
              <w:bottom w:val="single" w:sz="4" w:space="0" w:color="000000"/>
              <w:right w:val="single" w:sz="4" w:space="0" w:color="000000"/>
            </w:tcBorders>
          </w:tcPr>
          <w:p w14:paraId="521819CA" w14:textId="77777777" w:rsidR="00976AF5" w:rsidRDefault="00976AF5" w:rsidP="00E70C0A">
            <w:pPr>
              <w:widowControl w:val="0"/>
              <w:jc w:val="right"/>
              <w:rPr>
                <w:color w:val="000000"/>
                <w:sz w:val="20"/>
                <w:szCs w:val="20"/>
              </w:rPr>
            </w:pPr>
            <w:r>
              <w:rPr>
                <w:color w:val="000000"/>
                <w:sz w:val="20"/>
                <w:szCs w:val="20"/>
              </w:rPr>
              <w:t>1.6808</w:t>
            </w:r>
          </w:p>
        </w:tc>
      </w:tr>
      <w:tr w:rsidR="00976AF5" w14:paraId="4E2C97E5"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4AB99257" w14:textId="77777777" w:rsidR="00976AF5" w:rsidRDefault="00976AF5" w:rsidP="00E70C0A">
            <w:pPr>
              <w:widowControl w:val="0"/>
              <w:jc w:val="center"/>
              <w:rPr>
                <w:color w:val="000000"/>
                <w:sz w:val="20"/>
                <w:szCs w:val="20"/>
              </w:rPr>
            </w:pPr>
            <w:r>
              <w:rPr>
                <w:color w:val="000000"/>
                <w:sz w:val="20"/>
                <w:szCs w:val="20"/>
              </w:rPr>
              <w:t>02-08-2021</w:t>
            </w:r>
          </w:p>
        </w:tc>
        <w:tc>
          <w:tcPr>
            <w:tcW w:w="1708" w:type="dxa"/>
            <w:tcBorders>
              <w:top w:val="single" w:sz="4" w:space="0" w:color="000000"/>
              <w:left w:val="single" w:sz="4" w:space="0" w:color="000000"/>
              <w:bottom w:val="single" w:sz="4" w:space="0" w:color="000000"/>
              <w:right w:val="single" w:sz="4" w:space="0" w:color="000000"/>
            </w:tcBorders>
          </w:tcPr>
          <w:p w14:paraId="4C2FE3B4" w14:textId="77777777" w:rsidR="00976AF5" w:rsidRDefault="00976AF5" w:rsidP="00E70C0A">
            <w:pPr>
              <w:widowControl w:val="0"/>
              <w:jc w:val="right"/>
              <w:rPr>
                <w:color w:val="000000"/>
                <w:sz w:val="20"/>
                <w:szCs w:val="20"/>
              </w:rPr>
            </w:pPr>
            <w:r>
              <w:rPr>
                <w:color w:val="000000"/>
                <w:sz w:val="20"/>
                <w:szCs w:val="20"/>
              </w:rPr>
              <w:t>6.9076</w:t>
            </w:r>
          </w:p>
        </w:tc>
        <w:tc>
          <w:tcPr>
            <w:tcW w:w="1815" w:type="dxa"/>
            <w:tcBorders>
              <w:top w:val="single" w:sz="4" w:space="0" w:color="000000"/>
              <w:left w:val="single" w:sz="4" w:space="0" w:color="000000"/>
              <w:bottom w:val="single" w:sz="4" w:space="0" w:color="000000"/>
              <w:right w:val="single" w:sz="4" w:space="0" w:color="000000"/>
            </w:tcBorders>
          </w:tcPr>
          <w:p w14:paraId="643F5C5C" w14:textId="77777777" w:rsidR="00976AF5" w:rsidRDefault="00976AF5" w:rsidP="00E70C0A">
            <w:pPr>
              <w:widowControl w:val="0"/>
              <w:jc w:val="right"/>
              <w:rPr>
                <w:color w:val="000000"/>
                <w:sz w:val="20"/>
                <w:szCs w:val="20"/>
              </w:rPr>
            </w:pPr>
            <w:r>
              <w:rPr>
                <w:color w:val="000000"/>
                <w:sz w:val="20"/>
                <w:szCs w:val="20"/>
              </w:rPr>
              <w:t>6.5731</w:t>
            </w:r>
          </w:p>
        </w:tc>
        <w:tc>
          <w:tcPr>
            <w:tcW w:w="1952" w:type="dxa"/>
            <w:tcBorders>
              <w:top w:val="single" w:sz="4" w:space="0" w:color="000000"/>
              <w:left w:val="single" w:sz="4" w:space="0" w:color="000000"/>
              <w:bottom w:val="single" w:sz="4" w:space="0" w:color="000000"/>
              <w:right w:val="single" w:sz="4" w:space="0" w:color="000000"/>
            </w:tcBorders>
          </w:tcPr>
          <w:p w14:paraId="6DC72BCE" w14:textId="77777777" w:rsidR="00976AF5" w:rsidRDefault="00976AF5" w:rsidP="00E70C0A">
            <w:pPr>
              <w:widowControl w:val="0"/>
              <w:jc w:val="right"/>
              <w:rPr>
                <w:color w:val="000000"/>
                <w:sz w:val="20"/>
                <w:szCs w:val="20"/>
              </w:rPr>
            </w:pPr>
            <w:r>
              <w:rPr>
                <w:color w:val="000000"/>
                <w:sz w:val="20"/>
                <w:szCs w:val="20"/>
              </w:rPr>
              <w:t>2.8224</w:t>
            </w:r>
          </w:p>
        </w:tc>
        <w:tc>
          <w:tcPr>
            <w:tcW w:w="2129" w:type="dxa"/>
            <w:tcBorders>
              <w:top w:val="single" w:sz="4" w:space="0" w:color="000000"/>
              <w:left w:val="single" w:sz="4" w:space="0" w:color="000000"/>
              <w:bottom w:val="single" w:sz="4" w:space="0" w:color="000000"/>
              <w:right w:val="single" w:sz="4" w:space="0" w:color="000000"/>
            </w:tcBorders>
          </w:tcPr>
          <w:p w14:paraId="0CE87DBE" w14:textId="77777777" w:rsidR="00976AF5" w:rsidRDefault="00976AF5" w:rsidP="00E70C0A">
            <w:pPr>
              <w:widowControl w:val="0"/>
              <w:jc w:val="right"/>
              <w:rPr>
                <w:color w:val="000000"/>
                <w:sz w:val="20"/>
                <w:szCs w:val="20"/>
              </w:rPr>
            </w:pPr>
            <w:r>
              <w:rPr>
                <w:color w:val="000000"/>
                <w:sz w:val="20"/>
                <w:szCs w:val="20"/>
              </w:rPr>
              <w:t>2.6384</w:t>
            </w:r>
          </w:p>
        </w:tc>
      </w:tr>
      <w:tr w:rsidR="00976AF5" w14:paraId="15BDA6B1"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1FCC1D09" w14:textId="77777777" w:rsidR="00976AF5" w:rsidRDefault="00976AF5" w:rsidP="00E70C0A">
            <w:pPr>
              <w:widowControl w:val="0"/>
              <w:jc w:val="center"/>
              <w:rPr>
                <w:color w:val="000000"/>
                <w:sz w:val="20"/>
                <w:szCs w:val="20"/>
              </w:rPr>
            </w:pPr>
            <w:r>
              <w:rPr>
                <w:color w:val="000000"/>
                <w:sz w:val="20"/>
                <w:szCs w:val="20"/>
              </w:rPr>
              <w:t>01-09-2021</w:t>
            </w:r>
          </w:p>
        </w:tc>
        <w:tc>
          <w:tcPr>
            <w:tcW w:w="1708" w:type="dxa"/>
            <w:tcBorders>
              <w:top w:val="single" w:sz="4" w:space="0" w:color="000000"/>
              <w:left w:val="single" w:sz="4" w:space="0" w:color="000000"/>
              <w:bottom w:val="single" w:sz="4" w:space="0" w:color="000000"/>
              <w:right w:val="single" w:sz="4" w:space="0" w:color="000000"/>
            </w:tcBorders>
          </w:tcPr>
          <w:p w14:paraId="7482AADF" w14:textId="77777777" w:rsidR="00976AF5" w:rsidRDefault="00976AF5" w:rsidP="00E70C0A">
            <w:pPr>
              <w:widowControl w:val="0"/>
              <w:jc w:val="right"/>
              <w:rPr>
                <w:color w:val="000000"/>
                <w:sz w:val="20"/>
                <w:szCs w:val="20"/>
              </w:rPr>
            </w:pPr>
            <w:r>
              <w:rPr>
                <w:color w:val="000000"/>
                <w:sz w:val="20"/>
                <w:szCs w:val="20"/>
              </w:rPr>
              <w:t>2.0510</w:t>
            </w:r>
          </w:p>
        </w:tc>
        <w:tc>
          <w:tcPr>
            <w:tcW w:w="1815" w:type="dxa"/>
            <w:tcBorders>
              <w:top w:val="single" w:sz="4" w:space="0" w:color="000000"/>
              <w:left w:val="single" w:sz="4" w:space="0" w:color="000000"/>
              <w:bottom w:val="single" w:sz="4" w:space="0" w:color="000000"/>
              <w:right w:val="single" w:sz="4" w:space="0" w:color="000000"/>
            </w:tcBorders>
          </w:tcPr>
          <w:p w14:paraId="53E22D96" w14:textId="77777777" w:rsidR="00976AF5" w:rsidRDefault="00976AF5" w:rsidP="00E70C0A">
            <w:pPr>
              <w:widowControl w:val="0"/>
              <w:jc w:val="right"/>
              <w:rPr>
                <w:color w:val="000000"/>
                <w:sz w:val="20"/>
                <w:szCs w:val="20"/>
              </w:rPr>
            </w:pPr>
            <w:r>
              <w:rPr>
                <w:color w:val="000000"/>
                <w:sz w:val="20"/>
                <w:szCs w:val="20"/>
              </w:rPr>
              <w:t>0.1453</w:t>
            </w:r>
          </w:p>
        </w:tc>
        <w:tc>
          <w:tcPr>
            <w:tcW w:w="1952" w:type="dxa"/>
            <w:tcBorders>
              <w:top w:val="single" w:sz="4" w:space="0" w:color="000000"/>
              <w:left w:val="single" w:sz="4" w:space="0" w:color="000000"/>
              <w:bottom w:val="single" w:sz="4" w:space="0" w:color="000000"/>
              <w:right w:val="single" w:sz="4" w:space="0" w:color="000000"/>
            </w:tcBorders>
          </w:tcPr>
          <w:p w14:paraId="26FBC802" w14:textId="77777777" w:rsidR="00976AF5" w:rsidRDefault="00976AF5" w:rsidP="00E70C0A">
            <w:pPr>
              <w:widowControl w:val="0"/>
              <w:jc w:val="right"/>
              <w:rPr>
                <w:color w:val="000000"/>
                <w:sz w:val="20"/>
                <w:szCs w:val="20"/>
              </w:rPr>
            </w:pPr>
            <w:r>
              <w:rPr>
                <w:color w:val="000000"/>
                <w:sz w:val="20"/>
                <w:szCs w:val="20"/>
              </w:rPr>
              <w:t>0.8382</w:t>
            </w:r>
          </w:p>
        </w:tc>
        <w:tc>
          <w:tcPr>
            <w:tcW w:w="2129" w:type="dxa"/>
            <w:tcBorders>
              <w:top w:val="single" w:sz="4" w:space="0" w:color="000000"/>
              <w:left w:val="single" w:sz="4" w:space="0" w:color="000000"/>
              <w:bottom w:val="single" w:sz="4" w:space="0" w:color="000000"/>
              <w:right w:val="single" w:sz="4" w:space="0" w:color="000000"/>
            </w:tcBorders>
          </w:tcPr>
          <w:p w14:paraId="2434B983" w14:textId="77777777" w:rsidR="00976AF5" w:rsidRDefault="00976AF5" w:rsidP="00E70C0A">
            <w:pPr>
              <w:widowControl w:val="0"/>
              <w:jc w:val="right"/>
              <w:rPr>
                <w:color w:val="000000"/>
                <w:sz w:val="20"/>
                <w:szCs w:val="20"/>
              </w:rPr>
            </w:pPr>
            <w:r>
              <w:rPr>
                <w:color w:val="000000"/>
                <w:sz w:val="20"/>
                <w:szCs w:val="20"/>
              </w:rPr>
              <w:t>0.0584</w:t>
            </w:r>
          </w:p>
        </w:tc>
      </w:tr>
      <w:tr w:rsidR="00976AF5" w14:paraId="3B4F0EE9"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27B08E72" w14:textId="77777777" w:rsidR="00976AF5" w:rsidRDefault="00976AF5" w:rsidP="00E70C0A">
            <w:pPr>
              <w:widowControl w:val="0"/>
              <w:jc w:val="center"/>
              <w:rPr>
                <w:color w:val="000000"/>
                <w:sz w:val="20"/>
                <w:szCs w:val="20"/>
              </w:rPr>
            </w:pPr>
            <w:r>
              <w:rPr>
                <w:color w:val="000000"/>
                <w:sz w:val="20"/>
                <w:szCs w:val="20"/>
              </w:rPr>
              <w:t>01-10-2021</w:t>
            </w:r>
          </w:p>
        </w:tc>
        <w:tc>
          <w:tcPr>
            <w:tcW w:w="1708" w:type="dxa"/>
            <w:tcBorders>
              <w:top w:val="single" w:sz="4" w:space="0" w:color="000000"/>
              <w:left w:val="single" w:sz="4" w:space="0" w:color="000000"/>
              <w:bottom w:val="single" w:sz="4" w:space="0" w:color="000000"/>
              <w:right w:val="single" w:sz="4" w:space="0" w:color="000000"/>
            </w:tcBorders>
          </w:tcPr>
          <w:p w14:paraId="3B558375" w14:textId="77777777" w:rsidR="00976AF5" w:rsidRDefault="00976AF5" w:rsidP="00E70C0A">
            <w:pPr>
              <w:widowControl w:val="0"/>
              <w:jc w:val="right"/>
              <w:rPr>
                <w:color w:val="000000"/>
                <w:sz w:val="20"/>
                <w:szCs w:val="20"/>
              </w:rPr>
            </w:pPr>
            <w:r>
              <w:rPr>
                <w:color w:val="000000"/>
                <w:sz w:val="20"/>
                <w:szCs w:val="20"/>
              </w:rPr>
              <w:t>2.8768</w:t>
            </w:r>
          </w:p>
        </w:tc>
        <w:tc>
          <w:tcPr>
            <w:tcW w:w="1815" w:type="dxa"/>
            <w:tcBorders>
              <w:top w:val="single" w:sz="4" w:space="0" w:color="000000"/>
              <w:left w:val="single" w:sz="4" w:space="0" w:color="000000"/>
              <w:bottom w:val="single" w:sz="4" w:space="0" w:color="000000"/>
              <w:right w:val="single" w:sz="4" w:space="0" w:color="000000"/>
            </w:tcBorders>
          </w:tcPr>
          <w:p w14:paraId="5AA0E363" w14:textId="77777777" w:rsidR="00976AF5" w:rsidRDefault="00976AF5" w:rsidP="00E70C0A">
            <w:pPr>
              <w:widowControl w:val="0"/>
              <w:jc w:val="right"/>
              <w:rPr>
                <w:color w:val="000000"/>
                <w:sz w:val="20"/>
                <w:szCs w:val="20"/>
              </w:rPr>
            </w:pPr>
            <w:r>
              <w:rPr>
                <w:color w:val="000000"/>
                <w:sz w:val="20"/>
                <w:szCs w:val="20"/>
              </w:rPr>
              <w:t>3.9741</w:t>
            </w:r>
          </w:p>
        </w:tc>
        <w:tc>
          <w:tcPr>
            <w:tcW w:w="1952" w:type="dxa"/>
            <w:tcBorders>
              <w:top w:val="single" w:sz="4" w:space="0" w:color="000000"/>
              <w:left w:val="single" w:sz="4" w:space="0" w:color="000000"/>
              <w:bottom w:val="single" w:sz="4" w:space="0" w:color="000000"/>
              <w:right w:val="single" w:sz="4" w:space="0" w:color="000000"/>
            </w:tcBorders>
          </w:tcPr>
          <w:p w14:paraId="69403C88" w14:textId="77777777" w:rsidR="00976AF5" w:rsidRDefault="00976AF5" w:rsidP="00E70C0A">
            <w:pPr>
              <w:widowControl w:val="0"/>
              <w:jc w:val="right"/>
              <w:rPr>
                <w:color w:val="000000"/>
                <w:sz w:val="20"/>
                <w:szCs w:val="20"/>
              </w:rPr>
            </w:pPr>
            <w:r>
              <w:rPr>
                <w:color w:val="000000"/>
                <w:sz w:val="20"/>
                <w:szCs w:val="20"/>
              </w:rPr>
              <w:t>1.1755</w:t>
            </w:r>
          </w:p>
        </w:tc>
        <w:tc>
          <w:tcPr>
            <w:tcW w:w="2129" w:type="dxa"/>
            <w:tcBorders>
              <w:top w:val="single" w:sz="4" w:space="0" w:color="000000"/>
              <w:left w:val="single" w:sz="4" w:space="0" w:color="000000"/>
              <w:bottom w:val="single" w:sz="4" w:space="0" w:color="000000"/>
              <w:right w:val="single" w:sz="4" w:space="0" w:color="000000"/>
            </w:tcBorders>
          </w:tcPr>
          <w:p w14:paraId="605F1900" w14:textId="77777777" w:rsidR="00976AF5" w:rsidRDefault="00976AF5" w:rsidP="00E70C0A">
            <w:pPr>
              <w:widowControl w:val="0"/>
              <w:jc w:val="right"/>
              <w:rPr>
                <w:color w:val="000000"/>
                <w:sz w:val="20"/>
                <w:szCs w:val="20"/>
              </w:rPr>
            </w:pPr>
            <w:r>
              <w:rPr>
                <w:color w:val="000000"/>
                <w:sz w:val="20"/>
                <w:szCs w:val="20"/>
              </w:rPr>
              <w:t>1.5952</w:t>
            </w:r>
          </w:p>
        </w:tc>
      </w:tr>
      <w:tr w:rsidR="00976AF5" w14:paraId="48FB4D59" w14:textId="77777777" w:rsidTr="00E70C0A">
        <w:trPr>
          <w:trHeight w:val="420"/>
        </w:trPr>
        <w:tc>
          <w:tcPr>
            <w:tcW w:w="1980" w:type="dxa"/>
            <w:tcBorders>
              <w:top w:val="single" w:sz="4" w:space="0" w:color="000000"/>
              <w:left w:val="single" w:sz="4" w:space="0" w:color="000000"/>
              <w:bottom w:val="single" w:sz="4" w:space="0" w:color="000000"/>
              <w:right w:val="single" w:sz="4" w:space="0" w:color="000000"/>
            </w:tcBorders>
          </w:tcPr>
          <w:p w14:paraId="62FBC86D" w14:textId="77777777" w:rsidR="00976AF5" w:rsidRDefault="00976AF5" w:rsidP="00E70C0A">
            <w:pPr>
              <w:widowControl w:val="0"/>
              <w:jc w:val="center"/>
              <w:rPr>
                <w:color w:val="000000"/>
                <w:sz w:val="20"/>
                <w:szCs w:val="20"/>
              </w:rPr>
            </w:pPr>
            <w:r>
              <w:rPr>
                <w:color w:val="000000"/>
                <w:sz w:val="20"/>
                <w:szCs w:val="20"/>
              </w:rPr>
              <w:t>01-11-2021</w:t>
            </w:r>
          </w:p>
        </w:tc>
        <w:tc>
          <w:tcPr>
            <w:tcW w:w="1708" w:type="dxa"/>
            <w:tcBorders>
              <w:top w:val="single" w:sz="4" w:space="0" w:color="000000"/>
              <w:left w:val="single" w:sz="4" w:space="0" w:color="000000"/>
              <w:bottom w:val="single" w:sz="4" w:space="0" w:color="000000"/>
              <w:right w:val="single" w:sz="4" w:space="0" w:color="000000"/>
            </w:tcBorders>
          </w:tcPr>
          <w:p w14:paraId="7044D7E2" w14:textId="77777777" w:rsidR="00976AF5" w:rsidRDefault="00976AF5" w:rsidP="00E70C0A">
            <w:pPr>
              <w:widowControl w:val="0"/>
              <w:jc w:val="right"/>
              <w:rPr>
                <w:color w:val="000000"/>
                <w:sz w:val="20"/>
                <w:szCs w:val="20"/>
              </w:rPr>
            </w:pPr>
            <w:r>
              <w:rPr>
                <w:color w:val="000000"/>
                <w:sz w:val="20"/>
                <w:szCs w:val="20"/>
              </w:rPr>
              <w:t>5.1251</w:t>
            </w:r>
          </w:p>
        </w:tc>
        <w:tc>
          <w:tcPr>
            <w:tcW w:w="1815" w:type="dxa"/>
            <w:tcBorders>
              <w:top w:val="single" w:sz="4" w:space="0" w:color="000000"/>
              <w:left w:val="single" w:sz="4" w:space="0" w:color="000000"/>
              <w:bottom w:val="single" w:sz="4" w:space="0" w:color="000000"/>
              <w:right w:val="single" w:sz="4" w:space="0" w:color="000000"/>
            </w:tcBorders>
          </w:tcPr>
          <w:p w14:paraId="1C1AF496" w14:textId="77777777" w:rsidR="00976AF5" w:rsidRDefault="00976AF5" w:rsidP="00E70C0A">
            <w:pPr>
              <w:widowControl w:val="0"/>
              <w:jc w:val="right"/>
              <w:rPr>
                <w:color w:val="000000"/>
                <w:sz w:val="20"/>
                <w:szCs w:val="20"/>
              </w:rPr>
            </w:pPr>
            <w:r>
              <w:rPr>
                <w:color w:val="000000"/>
                <w:sz w:val="20"/>
                <w:szCs w:val="20"/>
              </w:rPr>
              <w:t>1.9208</w:t>
            </w:r>
          </w:p>
        </w:tc>
        <w:tc>
          <w:tcPr>
            <w:tcW w:w="1952" w:type="dxa"/>
            <w:tcBorders>
              <w:top w:val="single" w:sz="4" w:space="0" w:color="000000"/>
              <w:left w:val="single" w:sz="4" w:space="0" w:color="000000"/>
              <w:bottom w:val="single" w:sz="4" w:space="0" w:color="000000"/>
              <w:right w:val="single" w:sz="4" w:space="0" w:color="000000"/>
            </w:tcBorders>
          </w:tcPr>
          <w:p w14:paraId="5125DF28" w14:textId="77777777" w:rsidR="00976AF5" w:rsidRDefault="00976AF5" w:rsidP="00E70C0A">
            <w:pPr>
              <w:widowControl w:val="0"/>
              <w:jc w:val="right"/>
              <w:rPr>
                <w:color w:val="000000"/>
                <w:sz w:val="20"/>
                <w:szCs w:val="20"/>
              </w:rPr>
            </w:pPr>
            <w:r>
              <w:rPr>
                <w:color w:val="000000"/>
                <w:sz w:val="20"/>
                <w:szCs w:val="20"/>
              </w:rPr>
              <w:t>2.0942</w:t>
            </w:r>
          </w:p>
        </w:tc>
        <w:tc>
          <w:tcPr>
            <w:tcW w:w="2129" w:type="dxa"/>
            <w:tcBorders>
              <w:top w:val="single" w:sz="4" w:space="0" w:color="000000"/>
              <w:left w:val="single" w:sz="4" w:space="0" w:color="000000"/>
              <w:bottom w:val="single" w:sz="4" w:space="0" w:color="000000"/>
              <w:right w:val="single" w:sz="4" w:space="0" w:color="000000"/>
            </w:tcBorders>
          </w:tcPr>
          <w:p w14:paraId="34EED201" w14:textId="77777777" w:rsidR="00976AF5" w:rsidRDefault="00976AF5" w:rsidP="00E70C0A">
            <w:pPr>
              <w:widowControl w:val="0"/>
              <w:jc w:val="right"/>
              <w:rPr>
                <w:color w:val="000000"/>
                <w:sz w:val="20"/>
                <w:szCs w:val="20"/>
              </w:rPr>
            </w:pPr>
            <w:r>
              <w:rPr>
                <w:color w:val="000000"/>
                <w:sz w:val="20"/>
                <w:szCs w:val="20"/>
              </w:rPr>
              <w:t>0.7710</w:t>
            </w:r>
          </w:p>
        </w:tc>
      </w:tr>
      <w:tr w:rsidR="00976AF5" w14:paraId="2A5F5E04" w14:textId="77777777" w:rsidTr="00E70C0A">
        <w:trPr>
          <w:trHeight w:val="521"/>
        </w:trPr>
        <w:tc>
          <w:tcPr>
            <w:tcW w:w="1980" w:type="dxa"/>
            <w:tcBorders>
              <w:top w:val="single" w:sz="4" w:space="0" w:color="000000"/>
              <w:left w:val="single" w:sz="4" w:space="0" w:color="000000"/>
              <w:bottom w:val="single" w:sz="4" w:space="0" w:color="000000"/>
              <w:right w:val="single" w:sz="4" w:space="0" w:color="000000"/>
            </w:tcBorders>
          </w:tcPr>
          <w:p w14:paraId="6BD33921" w14:textId="77777777" w:rsidR="00976AF5" w:rsidRDefault="00976AF5" w:rsidP="00E70C0A">
            <w:pPr>
              <w:widowControl w:val="0"/>
              <w:jc w:val="center"/>
              <w:rPr>
                <w:color w:val="000000"/>
                <w:sz w:val="20"/>
                <w:szCs w:val="20"/>
              </w:rPr>
            </w:pPr>
            <w:r>
              <w:rPr>
                <w:color w:val="000000"/>
                <w:sz w:val="20"/>
                <w:szCs w:val="20"/>
              </w:rPr>
              <w:t>01-12-2021</w:t>
            </w:r>
          </w:p>
        </w:tc>
        <w:tc>
          <w:tcPr>
            <w:tcW w:w="1708" w:type="dxa"/>
            <w:tcBorders>
              <w:top w:val="single" w:sz="4" w:space="0" w:color="000000"/>
              <w:left w:val="single" w:sz="4" w:space="0" w:color="000000"/>
              <w:bottom w:val="single" w:sz="4" w:space="0" w:color="000000"/>
              <w:right w:val="single" w:sz="4" w:space="0" w:color="000000"/>
            </w:tcBorders>
          </w:tcPr>
          <w:p w14:paraId="2143931D" w14:textId="77777777" w:rsidR="00976AF5" w:rsidRDefault="00976AF5" w:rsidP="00E70C0A">
            <w:pPr>
              <w:widowControl w:val="0"/>
              <w:jc w:val="right"/>
              <w:rPr>
                <w:color w:val="000000"/>
                <w:sz w:val="20"/>
                <w:szCs w:val="20"/>
              </w:rPr>
            </w:pPr>
            <w:r>
              <w:rPr>
                <w:color w:val="000000"/>
                <w:sz w:val="20"/>
                <w:szCs w:val="20"/>
              </w:rPr>
              <w:t>0.2537</w:t>
            </w:r>
          </w:p>
        </w:tc>
        <w:tc>
          <w:tcPr>
            <w:tcW w:w="1815" w:type="dxa"/>
            <w:tcBorders>
              <w:top w:val="single" w:sz="4" w:space="0" w:color="000000"/>
              <w:left w:val="single" w:sz="4" w:space="0" w:color="000000"/>
              <w:bottom w:val="single" w:sz="4" w:space="0" w:color="000000"/>
              <w:right w:val="single" w:sz="4" w:space="0" w:color="000000"/>
            </w:tcBorders>
          </w:tcPr>
          <w:p w14:paraId="386F7735" w14:textId="77777777" w:rsidR="00976AF5" w:rsidRDefault="00976AF5" w:rsidP="00E70C0A">
            <w:pPr>
              <w:widowControl w:val="0"/>
              <w:jc w:val="right"/>
              <w:rPr>
                <w:color w:val="000000"/>
                <w:sz w:val="20"/>
                <w:szCs w:val="20"/>
              </w:rPr>
            </w:pPr>
            <w:r>
              <w:rPr>
                <w:color w:val="000000"/>
                <w:sz w:val="20"/>
                <w:szCs w:val="20"/>
              </w:rPr>
              <w:t>-0.4701</w:t>
            </w:r>
          </w:p>
        </w:tc>
        <w:tc>
          <w:tcPr>
            <w:tcW w:w="1952" w:type="dxa"/>
            <w:tcBorders>
              <w:top w:val="single" w:sz="4" w:space="0" w:color="000000"/>
              <w:left w:val="single" w:sz="4" w:space="0" w:color="000000"/>
              <w:bottom w:val="single" w:sz="4" w:space="0" w:color="000000"/>
              <w:right w:val="single" w:sz="4" w:space="0" w:color="000000"/>
            </w:tcBorders>
          </w:tcPr>
          <w:p w14:paraId="273D0485" w14:textId="77777777" w:rsidR="00976AF5" w:rsidRDefault="00976AF5" w:rsidP="00E70C0A">
            <w:pPr>
              <w:widowControl w:val="0"/>
              <w:jc w:val="right"/>
              <w:rPr>
                <w:color w:val="000000"/>
                <w:sz w:val="20"/>
                <w:szCs w:val="20"/>
              </w:rPr>
            </w:pPr>
            <w:r>
              <w:rPr>
                <w:color w:val="000000"/>
                <w:sz w:val="20"/>
                <w:szCs w:val="20"/>
              </w:rPr>
              <w:t>0.1034</w:t>
            </w:r>
          </w:p>
        </w:tc>
        <w:tc>
          <w:tcPr>
            <w:tcW w:w="2129" w:type="dxa"/>
            <w:tcBorders>
              <w:top w:val="single" w:sz="4" w:space="0" w:color="000000"/>
              <w:left w:val="single" w:sz="4" w:space="0" w:color="000000"/>
              <w:bottom w:val="single" w:sz="4" w:space="0" w:color="000000"/>
              <w:right w:val="single" w:sz="4" w:space="0" w:color="000000"/>
            </w:tcBorders>
          </w:tcPr>
          <w:p w14:paraId="6AE33B1B" w14:textId="77777777" w:rsidR="00976AF5" w:rsidRDefault="00976AF5" w:rsidP="00E70C0A">
            <w:pPr>
              <w:widowControl w:val="0"/>
              <w:jc w:val="right"/>
              <w:rPr>
                <w:color w:val="000000"/>
                <w:sz w:val="20"/>
                <w:szCs w:val="20"/>
              </w:rPr>
            </w:pPr>
            <w:r>
              <w:rPr>
                <w:color w:val="000000"/>
                <w:sz w:val="20"/>
                <w:szCs w:val="20"/>
              </w:rPr>
              <w:t>-0.1887</w:t>
            </w:r>
          </w:p>
        </w:tc>
      </w:tr>
      <w:tr w:rsidR="00976AF5" w14:paraId="1F48FFC4" w14:textId="77777777" w:rsidTr="00E70C0A">
        <w:trPr>
          <w:trHeight w:val="450"/>
        </w:trPr>
        <w:tc>
          <w:tcPr>
            <w:tcW w:w="1980" w:type="dxa"/>
            <w:tcBorders>
              <w:top w:val="single" w:sz="4" w:space="0" w:color="000000"/>
              <w:left w:val="single" w:sz="4" w:space="0" w:color="000000"/>
              <w:bottom w:val="single" w:sz="4" w:space="0" w:color="000000"/>
              <w:right w:val="single" w:sz="4" w:space="0" w:color="000000"/>
            </w:tcBorders>
          </w:tcPr>
          <w:p w14:paraId="27A685D0"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Annual change </w:t>
            </w:r>
          </w:p>
        </w:tc>
        <w:tc>
          <w:tcPr>
            <w:tcW w:w="1708" w:type="dxa"/>
            <w:tcBorders>
              <w:top w:val="single" w:sz="4" w:space="0" w:color="000000"/>
              <w:left w:val="single" w:sz="4" w:space="0" w:color="000000"/>
              <w:bottom w:val="single" w:sz="4" w:space="0" w:color="000000"/>
              <w:right w:val="single" w:sz="4" w:space="0" w:color="000000"/>
            </w:tcBorders>
          </w:tcPr>
          <w:p w14:paraId="3A68458B" w14:textId="77777777" w:rsidR="00976AF5" w:rsidRDefault="00976AF5" w:rsidP="00E70C0A">
            <w:pPr>
              <w:widowControl w:val="0"/>
              <w:jc w:val="right"/>
              <w:rPr>
                <w:color w:val="000000"/>
                <w:sz w:val="20"/>
                <w:szCs w:val="20"/>
              </w:rPr>
            </w:pPr>
            <w:r>
              <w:rPr>
                <w:color w:val="000000"/>
                <w:sz w:val="20"/>
                <w:szCs w:val="20"/>
              </w:rPr>
              <w:t xml:space="preserve">                                                  </w:t>
            </w:r>
            <w:r>
              <w:rPr>
                <w:color w:val="000000"/>
                <w:sz w:val="20"/>
                <w:szCs w:val="20"/>
              </w:rPr>
              <w:lastRenderedPageBreak/>
              <w:t>57.832</w:t>
            </w:r>
          </w:p>
        </w:tc>
        <w:tc>
          <w:tcPr>
            <w:tcW w:w="1815" w:type="dxa"/>
            <w:tcBorders>
              <w:top w:val="single" w:sz="4" w:space="0" w:color="000000"/>
              <w:left w:val="single" w:sz="4" w:space="0" w:color="000000"/>
              <w:bottom w:val="single" w:sz="4" w:space="0" w:color="000000"/>
              <w:right w:val="single" w:sz="4" w:space="0" w:color="000000"/>
            </w:tcBorders>
          </w:tcPr>
          <w:p w14:paraId="4D40BC30" w14:textId="77777777" w:rsidR="00976AF5" w:rsidRDefault="00976AF5" w:rsidP="00E70C0A">
            <w:pPr>
              <w:widowControl w:val="0"/>
              <w:jc w:val="right"/>
              <w:rPr>
                <w:color w:val="000000"/>
                <w:sz w:val="20"/>
                <w:szCs w:val="20"/>
              </w:rPr>
            </w:pPr>
            <w:r>
              <w:rPr>
                <w:color w:val="000000"/>
                <w:sz w:val="20"/>
                <w:szCs w:val="20"/>
              </w:rPr>
              <w:lastRenderedPageBreak/>
              <w:t xml:space="preserve">                                         </w:t>
            </w:r>
            <w:r>
              <w:rPr>
                <w:color w:val="000000"/>
                <w:sz w:val="20"/>
                <w:szCs w:val="20"/>
              </w:rPr>
              <w:lastRenderedPageBreak/>
              <w:t>63.18</w:t>
            </w:r>
          </w:p>
        </w:tc>
        <w:tc>
          <w:tcPr>
            <w:tcW w:w="1952" w:type="dxa"/>
            <w:tcBorders>
              <w:top w:val="single" w:sz="4" w:space="0" w:color="000000"/>
              <w:left w:val="single" w:sz="4" w:space="0" w:color="000000"/>
              <w:bottom w:val="single" w:sz="4" w:space="0" w:color="000000"/>
              <w:right w:val="single" w:sz="4" w:space="0" w:color="000000"/>
            </w:tcBorders>
          </w:tcPr>
          <w:p w14:paraId="47805D58" w14:textId="77777777" w:rsidR="00976AF5" w:rsidRDefault="00976AF5" w:rsidP="00E70C0A">
            <w:pPr>
              <w:widowControl w:val="0"/>
              <w:jc w:val="right"/>
              <w:rPr>
                <w:color w:val="000000"/>
                <w:sz w:val="20"/>
                <w:szCs w:val="20"/>
              </w:rPr>
            </w:pPr>
            <w:r>
              <w:rPr>
                <w:color w:val="000000"/>
                <w:sz w:val="20"/>
                <w:szCs w:val="20"/>
              </w:rPr>
              <w:lastRenderedPageBreak/>
              <w:t xml:space="preserve">                                          </w:t>
            </w:r>
            <w:r>
              <w:rPr>
                <w:color w:val="000000"/>
                <w:sz w:val="20"/>
                <w:szCs w:val="20"/>
              </w:rPr>
              <w:lastRenderedPageBreak/>
              <w:t>57.832</w:t>
            </w:r>
          </w:p>
        </w:tc>
        <w:tc>
          <w:tcPr>
            <w:tcW w:w="2129" w:type="dxa"/>
            <w:tcBorders>
              <w:top w:val="single" w:sz="4" w:space="0" w:color="000000"/>
              <w:left w:val="single" w:sz="4" w:space="0" w:color="000000"/>
              <w:bottom w:val="single" w:sz="4" w:space="0" w:color="000000"/>
              <w:right w:val="single" w:sz="4" w:space="0" w:color="000000"/>
            </w:tcBorders>
          </w:tcPr>
          <w:p w14:paraId="2289E5FE" w14:textId="77777777" w:rsidR="00976AF5" w:rsidRDefault="00976AF5" w:rsidP="00E70C0A">
            <w:pPr>
              <w:widowControl w:val="0"/>
              <w:jc w:val="right"/>
              <w:rPr>
                <w:color w:val="000000"/>
                <w:sz w:val="20"/>
                <w:szCs w:val="20"/>
              </w:rPr>
            </w:pPr>
            <w:r>
              <w:rPr>
                <w:color w:val="000000"/>
                <w:sz w:val="20"/>
                <w:szCs w:val="20"/>
              </w:rPr>
              <w:lastRenderedPageBreak/>
              <w:t xml:space="preserve">                                                    </w:t>
            </w:r>
            <w:r>
              <w:rPr>
                <w:color w:val="000000"/>
                <w:sz w:val="20"/>
                <w:szCs w:val="20"/>
              </w:rPr>
              <w:lastRenderedPageBreak/>
              <w:t>55.45</w:t>
            </w:r>
          </w:p>
        </w:tc>
      </w:tr>
      <w:tr w:rsidR="00976AF5" w14:paraId="43BFAF97"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4E88C869"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Mean</w:t>
            </w:r>
          </w:p>
        </w:tc>
        <w:tc>
          <w:tcPr>
            <w:tcW w:w="1708" w:type="dxa"/>
            <w:tcBorders>
              <w:top w:val="single" w:sz="4" w:space="0" w:color="000000"/>
              <w:left w:val="single" w:sz="4" w:space="0" w:color="000000"/>
              <w:bottom w:val="single" w:sz="4" w:space="0" w:color="000000"/>
              <w:right w:val="single" w:sz="4" w:space="0" w:color="000000"/>
            </w:tcBorders>
          </w:tcPr>
          <w:p w14:paraId="707D458C" w14:textId="77777777" w:rsidR="00976AF5" w:rsidRDefault="00976AF5" w:rsidP="00E70C0A">
            <w:pPr>
              <w:widowControl w:val="0"/>
              <w:jc w:val="right"/>
              <w:rPr>
                <w:color w:val="000000"/>
                <w:sz w:val="20"/>
                <w:szCs w:val="20"/>
              </w:rPr>
            </w:pPr>
            <w:r>
              <w:rPr>
                <w:color w:val="000000"/>
                <w:sz w:val="20"/>
                <w:szCs w:val="20"/>
              </w:rPr>
              <w:t>4.2</w:t>
            </w:r>
          </w:p>
        </w:tc>
        <w:tc>
          <w:tcPr>
            <w:tcW w:w="1815" w:type="dxa"/>
            <w:tcBorders>
              <w:top w:val="single" w:sz="4" w:space="0" w:color="000000"/>
              <w:left w:val="single" w:sz="4" w:space="0" w:color="000000"/>
              <w:bottom w:val="single" w:sz="4" w:space="0" w:color="000000"/>
              <w:right w:val="single" w:sz="4" w:space="0" w:color="000000"/>
            </w:tcBorders>
          </w:tcPr>
          <w:p w14:paraId="10E21129" w14:textId="77777777" w:rsidR="00976AF5" w:rsidRDefault="00976AF5" w:rsidP="00E70C0A">
            <w:pPr>
              <w:widowControl w:val="0"/>
              <w:jc w:val="right"/>
              <w:rPr>
                <w:color w:val="000000"/>
                <w:sz w:val="20"/>
                <w:szCs w:val="20"/>
              </w:rPr>
            </w:pPr>
            <w:r>
              <w:rPr>
                <w:color w:val="000000"/>
                <w:sz w:val="20"/>
                <w:szCs w:val="20"/>
              </w:rPr>
              <w:t>2.91</w:t>
            </w:r>
          </w:p>
        </w:tc>
        <w:tc>
          <w:tcPr>
            <w:tcW w:w="1952" w:type="dxa"/>
            <w:tcBorders>
              <w:top w:val="single" w:sz="4" w:space="0" w:color="000000"/>
              <w:left w:val="single" w:sz="4" w:space="0" w:color="000000"/>
              <w:bottom w:val="single" w:sz="4" w:space="0" w:color="000000"/>
              <w:right w:val="single" w:sz="4" w:space="0" w:color="000000"/>
            </w:tcBorders>
          </w:tcPr>
          <w:p w14:paraId="4BB90AC4" w14:textId="77777777" w:rsidR="00976AF5" w:rsidRDefault="00976AF5" w:rsidP="00E70C0A">
            <w:pPr>
              <w:widowControl w:val="0"/>
              <w:jc w:val="right"/>
              <w:rPr>
                <w:color w:val="000000"/>
                <w:sz w:val="20"/>
                <w:szCs w:val="20"/>
              </w:rPr>
            </w:pPr>
            <w:r>
              <w:rPr>
                <w:color w:val="000000"/>
                <w:sz w:val="20"/>
                <w:szCs w:val="20"/>
              </w:rPr>
              <w:t>1.72</w:t>
            </w:r>
          </w:p>
        </w:tc>
        <w:tc>
          <w:tcPr>
            <w:tcW w:w="2129" w:type="dxa"/>
            <w:tcBorders>
              <w:top w:val="single" w:sz="4" w:space="0" w:color="000000"/>
              <w:left w:val="single" w:sz="4" w:space="0" w:color="000000"/>
              <w:bottom w:val="single" w:sz="4" w:space="0" w:color="000000"/>
              <w:right w:val="single" w:sz="4" w:space="0" w:color="000000"/>
            </w:tcBorders>
          </w:tcPr>
          <w:p w14:paraId="14DED5E0" w14:textId="77777777" w:rsidR="00976AF5" w:rsidRDefault="00976AF5" w:rsidP="00E70C0A">
            <w:pPr>
              <w:widowControl w:val="0"/>
              <w:jc w:val="right"/>
              <w:rPr>
                <w:color w:val="000000"/>
                <w:sz w:val="20"/>
                <w:szCs w:val="20"/>
              </w:rPr>
            </w:pPr>
            <w:r>
              <w:rPr>
                <w:color w:val="000000"/>
                <w:sz w:val="20"/>
                <w:szCs w:val="20"/>
              </w:rPr>
              <w:t>1.08</w:t>
            </w:r>
          </w:p>
        </w:tc>
      </w:tr>
      <w:tr w:rsidR="00976AF5" w14:paraId="701353AE"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2BC01D0E"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Standard </w:t>
            </w:r>
          </w:p>
          <w:p w14:paraId="04277CD4"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Deviation</w:t>
            </w:r>
          </w:p>
        </w:tc>
        <w:tc>
          <w:tcPr>
            <w:tcW w:w="1708" w:type="dxa"/>
            <w:tcBorders>
              <w:top w:val="single" w:sz="4" w:space="0" w:color="000000"/>
              <w:left w:val="single" w:sz="4" w:space="0" w:color="000000"/>
              <w:bottom w:val="single" w:sz="4" w:space="0" w:color="000000"/>
              <w:right w:val="single" w:sz="4" w:space="0" w:color="000000"/>
            </w:tcBorders>
          </w:tcPr>
          <w:p w14:paraId="79EC8337" w14:textId="77777777" w:rsidR="00976AF5" w:rsidRDefault="00976AF5" w:rsidP="00E70C0A">
            <w:pPr>
              <w:widowControl w:val="0"/>
              <w:jc w:val="right"/>
              <w:rPr>
                <w:color w:val="000000"/>
                <w:sz w:val="20"/>
                <w:szCs w:val="20"/>
              </w:rPr>
            </w:pPr>
            <w:r>
              <w:rPr>
                <w:color w:val="000000"/>
                <w:sz w:val="20"/>
                <w:szCs w:val="20"/>
              </w:rPr>
              <w:t>3.13</w:t>
            </w:r>
          </w:p>
        </w:tc>
        <w:tc>
          <w:tcPr>
            <w:tcW w:w="1815" w:type="dxa"/>
            <w:tcBorders>
              <w:top w:val="single" w:sz="4" w:space="0" w:color="000000"/>
              <w:left w:val="single" w:sz="4" w:space="0" w:color="000000"/>
              <w:bottom w:val="single" w:sz="4" w:space="0" w:color="000000"/>
              <w:right w:val="single" w:sz="4" w:space="0" w:color="000000"/>
            </w:tcBorders>
          </w:tcPr>
          <w:p w14:paraId="0172C9A6" w14:textId="77777777" w:rsidR="00976AF5" w:rsidRDefault="00976AF5" w:rsidP="00E70C0A">
            <w:pPr>
              <w:widowControl w:val="0"/>
              <w:jc w:val="right"/>
              <w:rPr>
                <w:color w:val="000000"/>
                <w:sz w:val="20"/>
                <w:szCs w:val="20"/>
              </w:rPr>
            </w:pPr>
            <w:r>
              <w:rPr>
                <w:color w:val="000000"/>
                <w:sz w:val="20"/>
                <w:szCs w:val="20"/>
              </w:rPr>
              <w:t>2.41</w:t>
            </w:r>
          </w:p>
        </w:tc>
        <w:tc>
          <w:tcPr>
            <w:tcW w:w="1952" w:type="dxa"/>
            <w:tcBorders>
              <w:top w:val="single" w:sz="4" w:space="0" w:color="000000"/>
              <w:left w:val="single" w:sz="4" w:space="0" w:color="000000"/>
              <w:bottom w:val="single" w:sz="4" w:space="0" w:color="000000"/>
              <w:right w:val="single" w:sz="4" w:space="0" w:color="000000"/>
            </w:tcBorders>
          </w:tcPr>
          <w:p w14:paraId="2BAE91BD" w14:textId="77777777" w:rsidR="00976AF5" w:rsidRDefault="00976AF5" w:rsidP="00E70C0A">
            <w:pPr>
              <w:widowControl w:val="0"/>
              <w:jc w:val="right"/>
              <w:rPr>
                <w:color w:val="000000"/>
                <w:sz w:val="20"/>
                <w:szCs w:val="20"/>
              </w:rPr>
            </w:pPr>
            <w:r>
              <w:rPr>
                <w:color w:val="000000"/>
                <w:sz w:val="20"/>
                <w:szCs w:val="20"/>
              </w:rPr>
              <w:t>1.28</w:t>
            </w:r>
          </w:p>
        </w:tc>
        <w:tc>
          <w:tcPr>
            <w:tcW w:w="2129" w:type="dxa"/>
            <w:tcBorders>
              <w:top w:val="single" w:sz="4" w:space="0" w:color="000000"/>
              <w:left w:val="single" w:sz="4" w:space="0" w:color="000000"/>
              <w:bottom w:val="single" w:sz="4" w:space="0" w:color="000000"/>
              <w:right w:val="single" w:sz="4" w:space="0" w:color="000000"/>
            </w:tcBorders>
          </w:tcPr>
          <w:p w14:paraId="6319CE7C" w14:textId="77777777" w:rsidR="00976AF5" w:rsidRDefault="00976AF5" w:rsidP="00E70C0A">
            <w:pPr>
              <w:widowControl w:val="0"/>
              <w:jc w:val="right"/>
              <w:rPr>
                <w:color w:val="000000"/>
                <w:sz w:val="20"/>
                <w:szCs w:val="20"/>
              </w:rPr>
            </w:pPr>
            <w:r>
              <w:rPr>
                <w:color w:val="000000"/>
                <w:sz w:val="20"/>
                <w:szCs w:val="20"/>
              </w:rPr>
              <w:t>0.87</w:t>
            </w:r>
          </w:p>
        </w:tc>
      </w:tr>
      <w:tr w:rsidR="00976AF5" w14:paraId="76202BF7"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307E40A2"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Variance</w:t>
            </w:r>
          </w:p>
        </w:tc>
        <w:tc>
          <w:tcPr>
            <w:tcW w:w="1708" w:type="dxa"/>
            <w:tcBorders>
              <w:top w:val="single" w:sz="4" w:space="0" w:color="000000"/>
              <w:left w:val="single" w:sz="4" w:space="0" w:color="000000"/>
              <w:bottom w:val="single" w:sz="4" w:space="0" w:color="000000"/>
              <w:right w:val="single" w:sz="4" w:space="0" w:color="000000"/>
            </w:tcBorders>
          </w:tcPr>
          <w:p w14:paraId="76825B98" w14:textId="77777777" w:rsidR="00976AF5" w:rsidRDefault="00976AF5" w:rsidP="00E70C0A">
            <w:pPr>
              <w:widowControl w:val="0"/>
              <w:jc w:val="right"/>
              <w:rPr>
                <w:color w:val="000000"/>
                <w:sz w:val="20"/>
                <w:szCs w:val="20"/>
              </w:rPr>
            </w:pPr>
            <w:r>
              <w:rPr>
                <w:color w:val="000000"/>
                <w:sz w:val="20"/>
                <w:szCs w:val="20"/>
              </w:rPr>
              <w:t>10.71</w:t>
            </w:r>
          </w:p>
        </w:tc>
        <w:tc>
          <w:tcPr>
            <w:tcW w:w="1815" w:type="dxa"/>
            <w:tcBorders>
              <w:top w:val="single" w:sz="4" w:space="0" w:color="000000"/>
              <w:left w:val="single" w:sz="4" w:space="0" w:color="000000"/>
              <w:bottom w:val="single" w:sz="4" w:space="0" w:color="000000"/>
              <w:right w:val="single" w:sz="4" w:space="0" w:color="000000"/>
            </w:tcBorders>
          </w:tcPr>
          <w:p w14:paraId="0200C0C5" w14:textId="77777777" w:rsidR="00976AF5" w:rsidRDefault="00976AF5" w:rsidP="00E70C0A">
            <w:pPr>
              <w:widowControl w:val="0"/>
              <w:jc w:val="right"/>
              <w:rPr>
                <w:color w:val="000000"/>
                <w:sz w:val="20"/>
                <w:szCs w:val="20"/>
              </w:rPr>
            </w:pPr>
            <w:r>
              <w:rPr>
                <w:color w:val="000000"/>
                <w:sz w:val="20"/>
                <w:szCs w:val="20"/>
              </w:rPr>
              <w:t>6.35</w:t>
            </w:r>
          </w:p>
        </w:tc>
        <w:tc>
          <w:tcPr>
            <w:tcW w:w="1952" w:type="dxa"/>
            <w:tcBorders>
              <w:top w:val="single" w:sz="4" w:space="0" w:color="000000"/>
              <w:left w:val="single" w:sz="4" w:space="0" w:color="000000"/>
              <w:bottom w:val="single" w:sz="4" w:space="0" w:color="000000"/>
              <w:right w:val="single" w:sz="4" w:space="0" w:color="000000"/>
            </w:tcBorders>
          </w:tcPr>
          <w:p w14:paraId="71F0046E" w14:textId="77777777" w:rsidR="00976AF5" w:rsidRDefault="00976AF5" w:rsidP="00E70C0A">
            <w:pPr>
              <w:widowControl w:val="0"/>
              <w:jc w:val="right"/>
              <w:rPr>
                <w:color w:val="000000"/>
                <w:sz w:val="20"/>
                <w:szCs w:val="20"/>
              </w:rPr>
            </w:pPr>
            <w:r>
              <w:rPr>
                <w:color w:val="000000"/>
                <w:sz w:val="20"/>
                <w:szCs w:val="20"/>
              </w:rPr>
              <w:t>1.79</w:t>
            </w:r>
          </w:p>
        </w:tc>
        <w:tc>
          <w:tcPr>
            <w:tcW w:w="2129" w:type="dxa"/>
            <w:tcBorders>
              <w:top w:val="single" w:sz="4" w:space="0" w:color="000000"/>
              <w:left w:val="single" w:sz="4" w:space="0" w:color="000000"/>
              <w:bottom w:val="single" w:sz="4" w:space="0" w:color="000000"/>
              <w:right w:val="single" w:sz="4" w:space="0" w:color="000000"/>
            </w:tcBorders>
          </w:tcPr>
          <w:p w14:paraId="1FE6D904" w14:textId="77777777" w:rsidR="00976AF5" w:rsidRDefault="00976AF5" w:rsidP="00E70C0A">
            <w:pPr>
              <w:widowControl w:val="0"/>
              <w:jc w:val="right"/>
              <w:rPr>
                <w:color w:val="000000"/>
                <w:sz w:val="20"/>
                <w:szCs w:val="20"/>
              </w:rPr>
            </w:pPr>
            <w:r>
              <w:rPr>
                <w:color w:val="000000"/>
                <w:sz w:val="20"/>
                <w:szCs w:val="20"/>
              </w:rPr>
              <w:t>0.82</w:t>
            </w:r>
          </w:p>
        </w:tc>
      </w:tr>
      <w:tr w:rsidR="00976AF5" w14:paraId="6297211D"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4B43A7CE"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Risk free Return</w:t>
            </w:r>
          </w:p>
        </w:tc>
        <w:tc>
          <w:tcPr>
            <w:tcW w:w="1708" w:type="dxa"/>
            <w:tcBorders>
              <w:top w:val="single" w:sz="4" w:space="0" w:color="000000"/>
              <w:left w:val="single" w:sz="4" w:space="0" w:color="000000"/>
              <w:bottom w:val="single" w:sz="4" w:space="0" w:color="000000"/>
              <w:right w:val="single" w:sz="4" w:space="0" w:color="000000"/>
            </w:tcBorders>
          </w:tcPr>
          <w:p w14:paraId="7D895416" w14:textId="77777777" w:rsidR="00976AF5" w:rsidRDefault="00976AF5" w:rsidP="00E70C0A">
            <w:pPr>
              <w:widowControl w:val="0"/>
              <w:jc w:val="center"/>
              <w:rPr>
                <w:color w:val="000000"/>
                <w:sz w:val="20"/>
                <w:szCs w:val="20"/>
              </w:rPr>
            </w:pPr>
            <w:r>
              <w:rPr>
                <w:color w:val="000000"/>
                <w:sz w:val="20"/>
                <w:szCs w:val="20"/>
              </w:rPr>
              <w:t xml:space="preserve">                                  6</w:t>
            </w:r>
          </w:p>
        </w:tc>
        <w:tc>
          <w:tcPr>
            <w:tcW w:w="1815" w:type="dxa"/>
            <w:tcBorders>
              <w:top w:val="single" w:sz="4" w:space="0" w:color="000000"/>
              <w:left w:val="single" w:sz="4" w:space="0" w:color="000000"/>
              <w:bottom w:val="single" w:sz="4" w:space="0" w:color="000000"/>
              <w:right w:val="single" w:sz="4" w:space="0" w:color="000000"/>
            </w:tcBorders>
          </w:tcPr>
          <w:p w14:paraId="186BD06C" w14:textId="77777777" w:rsidR="00976AF5" w:rsidRDefault="00976AF5" w:rsidP="00E70C0A">
            <w:pPr>
              <w:widowControl w:val="0"/>
              <w:jc w:val="center"/>
              <w:rPr>
                <w:color w:val="000000"/>
                <w:sz w:val="20"/>
                <w:szCs w:val="20"/>
              </w:rPr>
            </w:pPr>
            <w:r>
              <w:rPr>
                <w:color w:val="000000"/>
                <w:sz w:val="20"/>
                <w:szCs w:val="20"/>
              </w:rPr>
              <w:t xml:space="preserve">                                    6</w:t>
            </w:r>
          </w:p>
        </w:tc>
        <w:tc>
          <w:tcPr>
            <w:tcW w:w="1952" w:type="dxa"/>
            <w:tcBorders>
              <w:top w:val="single" w:sz="4" w:space="0" w:color="000000"/>
              <w:left w:val="single" w:sz="4" w:space="0" w:color="000000"/>
              <w:bottom w:val="single" w:sz="4" w:space="0" w:color="000000"/>
              <w:right w:val="single" w:sz="4" w:space="0" w:color="000000"/>
            </w:tcBorders>
          </w:tcPr>
          <w:p w14:paraId="7B277F98" w14:textId="77777777" w:rsidR="00976AF5" w:rsidRDefault="00976AF5" w:rsidP="00E70C0A">
            <w:pPr>
              <w:widowControl w:val="0"/>
              <w:jc w:val="center"/>
              <w:rPr>
                <w:color w:val="000000"/>
                <w:sz w:val="20"/>
                <w:szCs w:val="20"/>
              </w:rPr>
            </w:pPr>
            <w:r>
              <w:rPr>
                <w:color w:val="000000"/>
                <w:sz w:val="20"/>
                <w:szCs w:val="20"/>
              </w:rPr>
              <w:t xml:space="preserve">                                    6</w:t>
            </w:r>
          </w:p>
        </w:tc>
        <w:tc>
          <w:tcPr>
            <w:tcW w:w="2129" w:type="dxa"/>
            <w:tcBorders>
              <w:top w:val="single" w:sz="4" w:space="0" w:color="000000"/>
              <w:left w:val="single" w:sz="4" w:space="0" w:color="000000"/>
              <w:bottom w:val="single" w:sz="4" w:space="0" w:color="000000"/>
              <w:right w:val="single" w:sz="4" w:space="0" w:color="000000"/>
            </w:tcBorders>
          </w:tcPr>
          <w:p w14:paraId="3556EB8C" w14:textId="77777777" w:rsidR="00976AF5" w:rsidRDefault="00976AF5" w:rsidP="00E70C0A">
            <w:pPr>
              <w:widowControl w:val="0"/>
              <w:jc w:val="center"/>
              <w:rPr>
                <w:color w:val="000000"/>
                <w:sz w:val="20"/>
                <w:szCs w:val="20"/>
              </w:rPr>
            </w:pPr>
            <w:r>
              <w:rPr>
                <w:color w:val="000000"/>
                <w:sz w:val="20"/>
                <w:szCs w:val="20"/>
              </w:rPr>
              <w:t xml:space="preserve">                                          6</w:t>
            </w:r>
          </w:p>
        </w:tc>
      </w:tr>
      <w:tr w:rsidR="00976AF5" w14:paraId="6A7D5E6B"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5ADE4BC5"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Sharpe Ratio</w:t>
            </w:r>
          </w:p>
        </w:tc>
        <w:tc>
          <w:tcPr>
            <w:tcW w:w="1708" w:type="dxa"/>
            <w:tcBorders>
              <w:top w:val="single" w:sz="4" w:space="0" w:color="000000"/>
              <w:left w:val="single" w:sz="4" w:space="0" w:color="000000"/>
              <w:bottom w:val="single" w:sz="4" w:space="0" w:color="000000"/>
              <w:right w:val="single" w:sz="4" w:space="0" w:color="000000"/>
            </w:tcBorders>
          </w:tcPr>
          <w:p w14:paraId="1D0DB689" w14:textId="77777777" w:rsidR="00976AF5" w:rsidRDefault="00976AF5" w:rsidP="00E70C0A">
            <w:pPr>
              <w:widowControl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16.55</w:t>
            </w:r>
          </w:p>
        </w:tc>
        <w:tc>
          <w:tcPr>
            <w:tcW w:w="1815" w:type="dxa"/>
            <w:tcBorders>
              <w:top w:val="single" w:sz="4" w:space="0" w:color="000000"/>
              <w:left w:val="single" w:sz="4" w:space="0" w:color="000000"/>
              <w:bottom w:val="single" w:sz="4" w:space="0" w:color="000000"/>
              <w:right w:val="single" w:sz="4" w:space="0" w:color="000000"/>
            </w:tcBorders>
          </w:tcPr>
          <w:p w14:paraId="322063D0" w14:textId="77777777" w:rsidR="00976AF5" w:rsidRDefault="00976AF5" w:rsidP="00E70C0A">
            <w:pPr>
              <w:widowControl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23.72</w:t>
            </w:r>
          </w:p>
        </w:tc>
        <w:tc>
          <w:tcPr>
            <w:tcW w:w="1952" w:type="dxa"/>
            <w:tcBorders>
              <w:top w:val="single" w:sz="4" w:space="0" w:color="000000"/>
              <w:left w:val="single" w:sz="4" w:space="0" w:color="000000"/>
              <w:bottom w:val="single" w:sz="4" w:space="0" w:color="000000"/>
              <w:right w:val="single" w:sz="4" w:space="0" w:color="000000"/>
            </w:tcBorders>
          </w:tcPr>
          <w:p w14:paraId="1FA1E553" w14:textId="77777777" w:rsidR="00976AF5" w:rsidRDefault="00976AF5" w:rsidP="00E70C0A">
            <w:pPr>
              <w:widowControl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40.49</w:t>
            </w:r>
          </w:p>
        </w:tc>
        <w:tc>
          <w:tcPr>
            <w:tcW w:w="2129" w:type="dxa"/>
            <w:tcBorders>
              <w:top w:val="single" w:sz="4" w:space="0" w:color="000000"/>
              <w:left w:val="single" w:sz="4" w:space="0" w:color="000000"/>
              <w:bottom w:val="single" w:sz="4" w:space="0" w:color="000000"/>
              <w:right w:val="single" w:sz="4" w:space="0" w:color="000000"/>
            </w:tcBorders>
          </w:tcPr>
          <w:p w14:paraId="20E774ED" w14:textId="77777777" w:rsidR="00976AF5" w:rsidRDefault="00976AF5" w:rsidP="00E70C0A">
            <w:pPr>
              <w:widowControl w:val="0"/>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56.83</w:t>
            </w:r>
          </w:p>
        </w:tc>
      </w:tr>
      <w:tr w:rsidR="00976AF5" w14:paraId="68EBEF78"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669C2328"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Beta value</w:t>
            </w:r>
          </w:p>
        </w:tc>
        <w:tc>
          <w:tcPr>
            <w:tcW w:w="1708" w:type="dxa"/>
            <w:tcBorders>
              <w:top w:val="single" w:sz="4" w:space="0" w:color="000000"/>
              <w:left w:val="single" w:sz="4" w:space="0" w:color="000000"/>
              <w:bottom w:val="single" w:sz="4" w:space="0" w:color="000000"/>
              <w:right w:val="single" w:sz="4" w:space="0" w:color="000000"/>
            </w:tcBorders>
          </w:tcPr>
          <w:p w14:paraId="0EFDB224"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815" w:type="dxa"/>
            <w:tcBorders>
              <w:top w:val="single" w:sz="4" w:space="0" w:color="000000"/>
              <w:left w:val="single" w:sz="4" w:space="0" w:color="000000"/>
              <w:bottom w:val="single" w:sz="4" w:space="0" w:color="000000"/>
              <w:right w:val="single" w:sz="4" w:space="0" w:color="000000"/>
            </w:tcBorders>
          </w:tcPr>
          <w:p w14:paraId="35A7C52D"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1.123</w:t>
            </w:r>
          </w:p>
        </w:tc>
        <w:tc>
          <w:tcPr>
            <w:tcW w:w="1952" w:type="dxa"/>
            <w:tcBorders>
              <w:top w:val="single" w:sz="4" w:space="0" w:color="000000"/>
              <w:left w:val="single" w:sz="4" w:space="0" w:color="000000"/>
              <w:bottom w:val="single" w:sz="4" w:space="0" w:color="000000"/>
              <w:right w:val="single" w:sz="4" w:space="0" w:color="000000"/>
            </w:tcBorders>
          </w:tcPr>
          <w:p w14:paraId="00442EBC"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2129" w:type="dxa"/>
            <w:tcBorders>
              <w:top w:val="single" w:sz="4" w:space="0" w:color="000000"/>
              <w:left w:val="single" w:sz="4" w:space="0" w:color="000000"/>
              <w:bottom w:val="single" w:sz="4" w:space="0" w:color="000000"/>
              <w:right w:val="single" w:sz="4" w:space="0" w:color="000000"/>
            </w:tcBorders>
          </w:tcPr>
          <w:p w14:paraId="52C19E8A"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1.123</w:t>
            </w:r>
          </w:p>
        </w:tc>
      </w:tr>
      <w:tr w:rsidR="00976AF5" w14:paraId="14E8A690"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3E4EC6EE"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Treynor Ratio</w:t>
            </w:r>
          </w:p>
        </w:tc>
        <w:tc>
          <w:tcPr>
            <w:tcW w:w="1708" w:type="dxa"/>
            <w:tcBorders>
              <w:top w:val="single" w:sz="4" w:space="0" w:color="000000"/>
              <w:left w:val="single" w:sz="4" w:space="0" w:color="000000"/>
              <w:bottom w:val="single" w:sz="4" w:space="0" w:color="000000"/>
              <w:right w:val="single" w:sz="4" w:space="0" w:color="000000"/>
            </w:tcBorders>
          </w:tcPr>
          <w:p w14:paraId="6F32675C"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51.83</w:t>
            </w:r>
          </w:p>
        </w:tc>
        <w:tc>
          <w:tcPr>
            <w:tcW w:w="1815" w:type="dxa"/>
            <w:tcBorders>
              <w:top w:val="single" w:sz="4" w:space="0" w:color="000000"/>
              <w:left w:val="single" w:sz="4" w:space="0" w:color="000000"/>
              <w:bottom w:val="single" w:sz="4" w:space="0" w:color="000000"/>
              <w:right w:val="single" w:sz="4" w:space="0" w:color="000000"/>
            </w:tcBorders>
          </w:tcPr>
          <w:p w14:paraId="7BB41886"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51.05</w:t>
            </w:r>
          </w:p>
        </w:tc>
        <w:tc>
          <w:tcPr>
            <w:tcW w:w="1952" w:type="dxa"/>
            <w:tcBorders>
              <w:top w:val="single" w:sz="4" w:space="0" w:color="000000"/>
              <w:left w:val="single" w:sz="4" w:space="0" w:color="000000"/>
              <w:bottom w:val="single" w:sz="4" w:space="0" w:color="000000"/>
              <w:right w:val="single" w:sz="4" w:space="0" w:color="000000"/>
            </w:tcBorders>
          </w:tcPr>
          <w:p w14:paraId="471DC04B"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51.83</w:t>
            </w:r>
          </w:p>
        </w:tc>
        <w:tc>
          <w:tcPr>
            <w:tcW w:w="2129" w:type="dxa"/>
            <w:tcBorders>
              <w:top w:val="single" w:sz="4" w:space="0" w:color="000000"/>
              <w:left w:val="single" w:sz="4" w:space="0" w:color="000000"/>
              <w:bottom w:val="single" w:sz="4" w:space="0" w:color="000000"/>
              <w:right w:val="single" w:sz="4" w:space="0" w:color="000000"/>
            </w:tcBorders>
          </w:tcPr>
          <w:p w14:paraId="5B66E193"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44.15</w:t>
            </w:r>
          </w:p>
        </w:tc>
      </w:tr>
    </w:tbl>
    <w:p w14:paraId="3C4A93D7" w14:textId="77777777" w:rsidR="00976AF5" w:rsidRDefault="00976AF5" w:rsidP="00976AF5">
      <w:pPr>
        <w:jc w:val="both"/>
      </w:pPr>
      <w:bookmarkStart w:id="2" w:name="_heading=h.1fob9te"/>
      <w:bookmarkEnd w:id="2"/>
      <w:r>
        <w:t xml:space="preserve"> </w:t>
      </w:r>
      <w:r>
        <w:rPr>
          <w:noProof/>
        </w:rPr>
        <w:drawing>
          <wp:inline distT="0" distB="0" distL="0" distR="0" wp14:anchorId="393C9DE5" wp14:editId="65823F6B">
            <wp:extent cx="5724525" cy="3879850"/>
            <wp:effectExtent l="0" t="0" r="0" b="0"/>
            <wp:docPr id="11" name="Object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D898952" w14:textId="77777777" w:rsidR="00976AF5" w:rsidRDefault="00976AF5" w:rsidP="00976AF5">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Interpretation:</w:t>
      </w:r>
    </w:p>
    <w:p w14:paraId="045A63C5" w14:textId="57B7CF03" w:rsidR="00976AF5" w:rsidRPr="00D63144" w:rsidRDefault="00976AF5" w:rsidP="00D6314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above table and graph analysis consist SBI magnum mid cap fund-Gr, Franklin India smaller companies, SBI magnum Mid cap fund-IDCW and Franklin India smaller companies fund-IDCW points for the year 2021, it can observe that SBI magnum mid cap fund-Gr annual change is 57.832, Franklin India smaller companies-GR is 63.18,SBI magnum Mid cap fund-IDCW is 57.832 and in franklin India smaller companies fund-IDCW 55.42.Considering a period of 12 months in the year of 2021 the dividend funds have shown better performance in annual % change, standard deviation and Sharpe ratio than compared to growth funds. </w:t>
      </w:r>
    </w:p>
    <w:p w14:paraId="1AB2222F" w14:textId="77777777" w:rsidR="00976AF5" w:rsidRDefault="00976AF5" w:rsidP="006414A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 4: Performance of both Growth option and Dividend option for the year of 2022</w:t>
      </w:r>
    </w:p>
    <w:tbl>
      <w:tblPr>
        <w:tblW w:w="9584" w:type="dxa"/>
        <w:tblLayout w:type="fixed"/>
        <w:tblLook w:val="0400" w:firstRow="0" w:lastRow="0" w:firstColumn="0" w:lastColumn="0" w:noHBand="0" w:noVBand="1"/>
      </w:tblPr>
      <w:tblGrid>
        <w:gridCol w:w="1980"/>
        <w:gridCol w:w="1708"/>
        <w:gridCol w:w="1815"/>
        <w:gridCol w:w="1952"/>
        <w:gridCol w:w="2129"/>
      </w:tblGrid>
      <w:tr w:rsidR="00976AF5" w14:paraId="4C1BCE4E" w14:textId="77777777" w:rsidTr="00E70C0A">
        <w:tc>
          <w:tcPr>
            <w:tcW w:w="9584" w:type="dxa"/>
            <w:gridSpan w:val="5"/>
            <w:tcBorders>
              <w:top w:val="single" w:sz="4" w:space="0" w:color="000000"/>
              <w:left w:val="single" w:sz="4" w:space="0" w:color="000000"/>
              <w:right w:val="single" w:sz="4" w:space="0" w:color="000000"/>
            </w:tcBorders>
          </w:tcPr>
          <w:p w14:paraId="3ED61F98" w14:textId="77777777" w:rsidR="00976AF5" w:rsidRDefault="00976AF5" w:rsidP="00E70C0A">
            <w:pPr>
              <w:widowControl w:val="0"/>
              <w:jc w:val="center"/>
              <w:rPr>
                <w:rFonts w:ascii="Times New Roman" w:eastAsia="Times New Roman" w:hAnsi="Times New Roman" w:cs="Times New Roman"/>
                <w:b/>
                <w:color w:val="000000"/>
                <w:sz w:val="24"/>
                <w:szCs w:val="24"/>
              </w:rPr>
            </w:pPr>
          </w:p>
          <w:p w14:paraId="3786DEBD"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of change in NAV-2022</w:t>
            </w:r>
          </w:p>
        </w:tc>
      </w:tr>
      <w:tr w:rsidR="00976AF5" w14:paraId="7E5532BE" w14:textId="77777777" w:rsidTr="00E70C0A">
        <w:tc>
          <w:tcPr>
            <w:tcW w:w="1980" w:type="dxa"/>
            <w:vMerge w:val="restart"/>
            <w:tcBorders>
              <w:top w:val="single" w:sz="4" w:space="0" w:color="000000"/>
              <w:left w:val="single" w:sz="4" w:space="0" w:color="000000"/>
              <w:bottom w:val="single" w:sz="4" w:space="0" w:color="000000"/>
              <w:right w:val="single" w:sz="4" w:space="0" w:color="000000"/>
            </w:tcBorders>
          </w:tcPr>
          <w:p w14:paraId="61C6516A" w14:textId="77777777" w:rsidR="00976AF5" w:rsidRDefault="00976AF5" w:rsidP="00E70C0A">
            <w:pPr>
              <w:widowControl w:val="0"/>
              <w:rPr>
                <w:rFonts w:ascii="Times New Roman" w:eastAsia="Times New Roman" w:hAnsi="Times New Roman" w:cs="Times New Roman"/>
                <w:color w:val="000000"/>
                <w:sz w:val="24"/>
                <w:szCs w:val="24"/>
              </w:rPr>
            </w:pPr>
            <w:bookmarkStart w:id="3" w:name="_heading=h.3znysh7"/>
            <w:bookmarkEnd w:id="3"/>
          </w:p>
          <w:p w14:paraId="102E2980"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3523" w:type="dxa"/>
            <w:gridSpan w:val="2"/>
            <w:tcBorders>
              <w:top w:val="single" w:sz="4" w:space="0" w:color="000000"/>
              <w:left w:val="single" w:sz="4" w:space="0" w:color="000000"/>
              <w:right w:val="single" w:sz="4" w:space="0" w:color="000000"/>
            </w:tcBorders>
          </w:tcPr>
          <w:p w14:paraId="55FACCBF"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Growth option</w:t>
            </w:r>
          </w:p>
        </w:tc>
        <w:tc>
          <w:tcPr>
            <w:tcW w:w="4081" w:type="dxa"/>
            <w:gridSpan w:val="2"/>
            <w:tcBorders>
              <w:top w:val="single" w:sz="4" w:space="0" w:color="000000"/>
              <w:left w:val="single" w:sz="4" w:space="0" w:color="000000"/>
              <w:right w:val="single" w:sz="4" w:space="0" w:color="000000"/>
            </w:tcBorders>
          </w:tcPr>
          <w:p w14:paraId="118D8C8A"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Dividend Option</w:t>
            </w:r>
          </w:p>
        </w:tc>
      </w:tr>
      <w:tr w:rsidR="00976AF5" w14:paraId="699345BF" w14:textId="77777777" w:rsidTr="00E70C0A">
        <w:tc>
          <w:tcPr>
            <w:tcW w:w="1980" w:type="dxa"/>
            <w:vMerge/>
            <w:tcBorders>
              <w:top w:val="single" w:sz="4" w:space="0" w:color="000000"/>
              <w:left w:val="single" w:sz="4" w:space="0" w:color="000000"/>
              <w:bottom w:val="single" w:sz="4" w:space="0" w:color="000000"/>
              <w:right w:val="single" w:sz="4" w:space="0" w:color="000000"/>
            </w:tcBorders>
          </w:tcPr>
          <w:p w14:paraId="25888E19" w14:textId="77777777" w:rsidR="00976AF5" w:rsidRDefault="00976AF5" w:rsidP="00E70C0A">
            <w:pPr>
              <w:widowControl w:val="0"/>
              <w:spacing w:after="0" w:line="276" w:lineRule="auto"/>
              <w:rPr>
                <w:rFonts w:ascii="Times New Roman" w:eastAsia="Times New Roman" w:hAnsi="Times New Roman" w:cs="Times New Roman"/>
                <w:b/>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tcPr>
          <w:p w14:paraId="02C01E4B"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SBI Magnum Mid fund -Gr</w:t>
            </w:r>
          </w:p>
        </w:tc>
        <w:tc>
          <w:tcPr>
            <w:tcW w:w="1815" w:type="dxa"/>
            <w:tcBorders>
              <w:top w:val="single" w:sz="4" w:space="0" w:color="000000"/>
              <w:left w:val="single" w:sz="4" w:space="0" w:color="000000"/>
              <w:bottom w:val="single" w:sz="4" w:space="0" w:color="000000"/>
              <w:right w:val="single" w:sz="4" w:space="0" w:color="000000"/>
            </w:tcBorders>
          </w:tcPr>
          <w:p w14:paraId="1F56C21E"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Franklin India Smaller companies-Gr</w:t>
            </w:r>
          </w:p>
        </w:tc>
        <w:tc>
          <w:tcPr>
            <w:tcW w:w="1952" w:type="dxa"/>
            <w:tcBorders>
              <w:top w:val="single" w:sz="4" w:space="0" w:color="000000"/>
              <w:left w:val="single" w:sz="4" w:space="0" w:color="000000"/>
              <w:bottom w:val="single" w:sz="4" w:space="0" w:color="000000"/>
              <w:right w:val="single" w:sz="4" w:space="0" w:color="000000"/>
            </w:tcBorders>
          </w:tcPr>
          <w:p w14:paraId="5E61CC72"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SBI Magnum Mid fund – IDCW</w:t>
            </w:r>
          </w:p>
        </w:tc>
        <w:tc>
          <w:tcPr>
            <w:tcW w:w="2129" w:type="dxa"/>
            <w:tcBorders>
              <w:top w:val="single" w:sz="4" w:space="0" w:color="000000"/>
              <w:left w:val="single" w:sz="4" w:space="0" w:color="000000"/>
              <w:bottom w:val="single" w:sz="4" w:space="0" w:color="000000"/>
              <w:right w:val="single" w:sz="4" w:space="0" w:color="000000"/>
            </w:tcBorders>
          </w:tcPr>
          <w:p w14:paraId="68ED1032"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Franklin India Smaller companies- IDCW</w:t>
            </w:r>
          </w:p>
        </w:tc>
      </w:tr>
      <w:tr w:rsidR="00976AF5" w14:paraId="7F65BDA9" w14:textId="77777777" w:rsidTr="00E70C0A">
        <w:trPr>
          <w:trHeight w:val="345"/>
        </w:trPr>
        <w:tc>
          <w:tcPr>
            <w:tcW w:w="1980" w:type="dxa"/>
            <w:tcBorders>
              <w:top w:val="single" w:sz="4" w:space="0" w:color="000000"/>
              <w:left w:val="single" w:sz="4" w:space="0" w:color="000000"/>
              <w:bottom w:val="single" w:sz="4" w:space="0" w:color="000000"/>
              <w:right w:val="single" w:sz="4" w:space="0" w:color="000000"/>
            </w:tcBorders>
          </w:tcPr>
          <w:p w14:paraId="51E7ACB1" w14:textId="77777777" w:rsidR="00976AF5" w:rsidRDefault="00976AF5" w:rsidP="00E70C0A">
            <w:pPr>
              <w:widowControl w:val="0"/>
              <w:jc w:val="center"/>
              <w:rPr>
                <w:color w:val="000000"/>
                <w:sz w:val="20"/>
                <w:szCs w:val="20"/>
              </w:rPr>
            </w:pPr>
            <w:r>
              <w:rPr>
                <w:color w:val="000000"/>
                <w:sz w:val="20"/>
                <w:szCs w:val="20"/>
              </w:rPr>
              <w:t>03-01-2022</w:t>
            </w:r>
          </w:p>
        </w:tc>
        <w:tc>
          <w:tcPr>
            <w:tcW w:w="1708" w:type="dxa"/>
            <w:tcBorders>
              <w:top w:val="single" w:sz="4" w:space="0" w:color="000000"/>
              <w:left w:val="single" w:sz="4" w:space="0" w:color="000000"/>
              <w:bottom w:val="single" w:sz="4" w:space="0" w:color="000000"/>
              <w:right w:val="single" w:sz="4" w:space="0" w:color="000000"/>
            </w:tcBorders>
          </w:tcPr>
          <w:p w14:paraId="3FD8E941" w14:textId="77777777" w:rsidR="00976AF5" w:rsidRDefault="00976AF5" w:rsidP="00E70C0A">
            <w:pPr>
              <w:widowControl w:val="0"/>
              <w:jc w:val="right"/>
              <w:rPr>
                <w:color w:val="000000"/>
                <w:sz w:val="20"/>
                <w:szCs w:val="20"/>
              </w:rPr>
            </w:pPr>
            <w:r>
              <w:rPr>
                <w:color w:val="000000"/>
                <w:sz w:val="20"/>
                <w:szCs w:val="20"/>
              </w:rPr>
              <w:t>-4.3226</w:t>
            </w:r>
          </w:p>
        </w:tc>
        <w:tc>
          <w:tcPr>
            <w:tcW w:w="1815" w:type="dxa"/>
            <w:tcBorders>
              <w:top w:val="single" w:sz="4" w:space="0" w:color="000000"/>
              <w:left w:val="single" w:sz="4" w:space="0" w:color="000000"/>
              <w:bottom w:val="single" w:sz="4" w:space="0" w:color="000000"/>
              <w:right w:val="single" w:sz="4" w:space="0" w:color="000000"/>
            </w:tcBorders>
          </w:tcPr>
          <w:p w14:paraId="7F792C1D" w14:textId="77777777" w:rsidR="00976AF5" w:rsidRDefault="00976AF5" w:rsidP="00E70C0A">
            <w:pPr>
              <w:widowControl w:val="0"/>
              <w:jc w:val="right"/>
              <w:rPr>
                <w:color w:val="000000"/>
                <w:sz w:val="20"/>
                <w:szCs w:val="20"/>
              </w:rPr>
            </w:pPr>
            <w:r>
              <w:rPr>
                <w:color w:val="000000"/>
                <w:sz w:val="20"/>
                <w:szCs w:val="20"/>
              </w:rPr>
              <w:t>3.4726</w:t>
            </w:r>
          </w:p>
        </w:tc>
        <w:tc>
          <w:tcPr>
            <w:tcW w:w="1952" w:type="dxa"/>
            <w:tcBorders>
              <w:top w:val="single" w:sz="4" w:space="0" w:color="000000"/>
              <w:left w:val="single" w:sz="4" w:space="0" w:color="000000"/>
              <w:bottom w:val="single" w:sz="4" w:space="0" w:color="000000"/>
              <w:right w:val="single" w:sz="4" w:space="0" w:color="000000"/>
            </w:tcBorders>
          </w:tcPr>
          <w:p w14:paraId="669E5C01" w14:textId="77777777" w:rsidR="00976AF5" w:rsidRDefault="00976AF5" w:rsidP="00E70C0A">
            <w:pPr>
              <w:widowControl w:val="0"/>
              <w:jc w:val="right"/>
              <w:rPr>
                <w:color w:val="000000"/>
                <w:sz w:val="20"/>
                <w:szCs w:val="20"/>
              </w:rPr>
            </w:pPr>
            <w:r>
              <w:rPr>
                <w:color w:val="000000"/>
                <w:sz w:val="20"/>
                <w:szCs w:val="20"/>
              </w:rPr>
              <w:t>-1.7662</w:t>
            </w:r>
          </w:p>
        </w:tc>
        <w:tc>
          <w:tcPr>
            <w:tcW w:w="2129" w:type="dxa"/>
            <w:tcBorders>
              <w:top w:val="single" w:sz="4" w:space="0" w:color="000000"/>
              <w:left w:val="single" w:sz="4" w:space="0" w:color="000000"/>
              <w:bottom w:val="single" w:sz="4" w:space="0" w:color="000000"/>
              <w:right w:val="single" w:sz="4" w:space="0" w:color="000000"/>
            </w:tcBorders>
          </w:tcPr>
          <w:p w14:paraId="643C7BC9" w14:textId="77777777" w:rsidR="00976AF5" w:rsidRDefault="00976AF5" w:rsidP="00E70C0A">
            <w:pPr>
              <w:widowControl w:val="0"/>
              <w:jc w:val="right"/>
              <w:rPr>
                <w:color w:val="000000"/>
                <w:sz w:val="20"/>
                <w:szCs w:val="20"/>
              </w:rPr>
            </w:pPr>
            <w:r>
              <w:rPr>
                <w:color w:val="000000"/>
                <w:sz w:val="20"/>
                <w:szCs w:val="20"/>
              </w:rPr>
              <w:t>1.3939</w:t>
            </w:r>
          </w:p>
        </w:tc>
      </w:tr>
      <w:tr w:rsidR="00976AF5" w14:paraId="2CF2C140" w14:textId="77777777" w:rsidTr="00E70C0A">
        <w:trPr>
          <w:trHeight w:val="372"/>
        </w:trPr>
        <w:tc>
          <w:tcPr>
            <w:tcW w:w="1980" w:type="dxa"/>
            <w:tcBorders>
              <w:top w:val="single" w:sz="4" w:space="0" w:color="000000"/>
              <w:left w:val="single" w:sz="4" w:space="0" w:color="000000"/>
              <w:bottom w:val="single" w:sz="4" w:space="0" w:color="000000"/>
              <w:right w:val="single" w:sz="4" w:space="0" w:color="000000"/>
            </w:tcBorders>
          </w:tcPr>
          <w:p w14:paraId="7D29EEF5" w14:textId="77777777" w:rsidR="00976AF5" w:rsidRDefault="00976AF5" w:rsidP="00E70C0A">
            <w:pPr>
              <w:widowControl w:val="0"/>
              <w:jc w:val="center"/>
              <w:rPr>
                <w:color w:val="000000"/>
                <w:sz w:val="20"/>
                <w:szCs w:val="20"/>
              </w:rPr>
            </w:pPr>
            <w:r>
              <w:rPr>
                <w:color w:val="000000"/>
                <w:sz w:val="20"/>
                <w:szCs w:val="20"/>
              </w:rPr>
              <w:t>01-02-2022</w:t>
            </w:r>
          </w:p>
        </w:tc>
        <w:tc>
          <w:tcPr>
            <w:tcW w:w="1708" w:type="dxa"/>
            <w:tcBorders>
              <w:top w:val="single" w:sz="4" w:space="0" w:color="000000"/>
              <w:left w:val="single" w:sz="4" w:space="0" w:color="000000"/>
              <w:bottom w:val="single" w:sz="4" w:space="0" w:color="000000"/>
              <w:right w:val="single" w:sz="4" w:space="0" w:color="000000"/>
            </w:tcBorders>
          </w:tcPr>
          <w:p w14:paraId="4CC122DE" w14:textId="77777777" w:rsidR="00976AF5" w:rsidRDefault="00976AF5" w:rsidP="00E70C0A">
            <w:pPr>
              <w:widowControl w:val="0"/>
              <w:jc w:val="right"/>
              <w:rPr>
                <w:color w:val="000000"/>
                <w:sz w:val="20"/>
                <w:szCs w:val="20"/>
              </w:rPr>
            </w:pPr>
            <w:r>
              <w:rPr>
                <w:color w:val="000000"/>
                <w:sz w:val="20"/>
                <w:szCs w:val="20"/>
              </w:rPr>
              <w:t>-2.4093</w:t>
            </w:r>
          </w:p>
        </w:tc>
        <w:tc>
          <w:tcPr>
            <w:tcW w:w="1815" w:type="dxa"/>
            <w:tcBorders>
              <w:top w:val="single" w:sz="4" w:space="0" w:color="000000"/>
              <w:left w:val="single" w:sz="4" w:space="0" w:color="000000"/>
              <w:bottom w:val="single" w:sz="4" w:space="0" w:color="000000"/>
              <w:right w:val="single" w:sz="4" w:space="0" w:color="000000"/>
            </w:tcBorders>
          </w:tcPr>
          <w:p w14:paraId="28636DD9" w14:textId="77777777" w:rsidR="00976AF5" w:rsidRDefault="00976AF5" w:rsidP="00E70C0A">
            <w:pPr>
              <w:widowControl w:val="0"/>
              <w:jc w:val="right"/>
              <w:rPr>
                <w:color w:val="000000"/>
                <w:sz w:val="20"/>
                <w:szCs w:val="20"/>
              </w:rPr>
            </w:pPr>
            <w:r>
              <w:rPr>
                <w:color w:val="000000"/>
                <w:sz w:val="20"/>
                <w:szCs w:val="20"/>
              </w:rPr>
              <w:t>-2.0408</w:t>
            </w:r>
          </w:p>
        </w:tc>
        <w:tc>
          <w:tcPr>
            <w:tcW w:w="1952" w:type="dxa"/>
            <w:tcBorders>
              <w:top w:val="single" w:sz="4" w:space="0" w:color="000000"/>
              <w:left w:val="single" w:sz="4" w:space="0" w:color="000000"/>
              <w:bottom w:val="single" w:sz="4" w:space="0" w:color="000000"/>
              <w:right w:val="single" w:sz="4" w:space="0" w:color="000000"/>
            </w:tcBorders>
          </w:tcPr>
          <w:p w14:paraId="0979F773" w14:textId="77777777" w:rsidR="00976AF5" w:rsidRDefault="00976AF5" w:rsidP="00E70C0A">
            <w:pPr>
              <w:widowControl w:val="0"/>
              <w:jc w:val="right"/>
              <w:rPr>
                <w:color w:val="000000"/>
                <w:sz w:val="20"/>
                <w:szCs w:val="20"/>
              </w:rPr>
            </w:pPr>
            <w:r>
              <w:rPr>
                <w:color w:val="000000"/>
                <w:sz w:val="20"/>
                <w:szCs w:val="20"/>
              </w:rPr>
              <w:t>-0.9845</w:t>
            </w:r>
          </w:p>
        </w:tc>
        <w:tc>
          <w:tcPr>
            <w:tcW w:w="2129" w:type="dxa"/>
            <w:tcBorders>
              <w:top w:val="single" w:sz="4" w:space="0" w:color="000000"/>
              <w:left w:val="single" w:sz="4" w:space="0" w:color="000000"/>
              <w:bottom w:val="single" w:sz="4" w:space="0" w:color="000000"/>
              <w:right w:val="single" w:sz="4" w:space="0" w:color="000000"/>
            </w:tcBorders>
          </w:tcPr>
          <w:p w14:paraId="2716B38C" w14:textId="77777777" w:rsidR="00976AF5" w:rsidRDefault="00976AF5" w:rsidP="00E70C0A">
            <w:pPr>
              <w:widowControl w:val="0"/>
              <w:jc w:val="right"/>
              <w:rPr>
                <w:color w:val="000000"/>
                <w:sz w:val="20"/>
                <w:szCs w:val="20"/>
              </w:rPr>
            </w:pPr>
            <w:r>
              <w:rPr>
                <w:color w:val="000000"/>
                <w:sz w:val="20"/>
                <w:szCs w:val="20"/>
              </w:rPr>
              <w:t>-0.8191</w:t>
            </w:r>
          </w:p>
        </w:tc>
      </w:tr>
      <w:tr w:rsidR="00976AF5" w14:paraId="726DF646"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77EC8159" w14:textId="77777777" w:rsidR="00976AF5" w:rsidRDefault="00976AF5" w:rsidP="00E70C0A">
            <w:pPr>
              <w:widowControl w:val="0"/>
              <w:jc w:val="center"/>
              <w:rPr>
                <w:color w:val="000000"/>
                <w:sz w:val="20"/>
                <w:szCs w:val="20"/>
              </w:rPr>
            </w:pPr>
            <w:r>
              <w:rPr>
                <w:color w:val="000000"/>
                <w:sz w:val="20"/>
                <w:szCs w:val="20"/>
              </w:rPr>
              <w:t>02-03-2022</w:t>
            </w:r>
          </w:p>
        </w:tc>
        <w:tc>
          <w:tcPr>
            <w:tcW w:w="1708" w:type="dxa"/>
            <w:tcBorders>
              <w:top w:val="single" w:sz="4" w:space="0" w:color="000000"/>
              <w:left w:val="single" w:sz="4" w:space="0" w:color="000000"/>
              <w:bottom w:val="single" w:sz="4" w:space="0" w:color="000000"/>
              <w:right w:val="single" w:sz="4" w:space="0" w:color="000000"/>
            </w:tcBorders>
          </w:tcPr>
          <w:p w14:paraId="472B3003" w14:textId="77777777" w:rsidR="00976AF5" w:rsidRDefault="00976AF5" w:rsidP="00E70C0A">
            <w:pPr>
              <w:widowControl w:val="0"/>
              <w:jc w:val="right"/>
              <w:rPr>
                <w:color w:val="000000"/>
                <w:sz w:val="20"/>
                <w:szCs w:val="20"/>
              </w:rPr>
            </w:pPr>
            <w:r>
              <w:rPr>
                <w:color w:val="000000"/>
                <w:sz w:val="20"/>
                <w:szCs w:val="20"/>
              </w:rPr>
              <w:t>4.6009</w:t>
            </w:r>
          </w:p>
        </w:tc>
        <w:tc>
          <w:tcPr>
            <w:tcW w:w="1815" w:type="dxa"/>
            <w:tcBorders>
              <w:top w:val="single" w:sz="4" w:space="0" w:color="000000"/>
              <w:left w:val="single" w:sz="4" w:space="0" w:color="000000"/>
              <w:bottom w:val="single" w:sz="4" w:space="0" w:color="000000"/>
              <w:right w:val="single" w:sz="4" w:space="0" w:color="000000"/>
            </w:tcBorders>
          </w:tcPr>
          <w:p w14:paraId="5EDDC685" w14:textId="77777777" w:rsidR="00976AF5" w:rsidRDefault="00976AF5" w:rsidP="00E70C0A">
            <w:pPr>
              <w:widowControl w:val="0"/>
              <w:jc w:val="right"/>
              <w:rPr>
                <w:color w:val="000000"/>
                <w:sz w:val="20"/>
                <w:szCs w:val="20"/>
              </w:rPr>
            </w:pPr>
            <w:r>
              <w:rPr>
                <w:color w:val="000000"/>
                <w:sz w:val="20"/>
                <w:szCs w:val="20"/>
              </w:rPr>
              <w:t>-6.5831</w:t>
            </w:r>
          </w:p>
        </w:tc>
        <w:tc>
          <w:tcPr>
            <w:tcW w:w="1952" w:type="dxa"/>
            <w:tcBorders>
              <w:top w:val="single" w:sz="4" w:space="0" w:color="000000"/>
              <w:left w:val="single" w:sz="4" w:space="0" w:color="000000"/>
              <w:bottom w:val="single" w:sz="4" w:space="0" w:color="000000"/>
              <w:right w:val="single" w:sz="4" w:space="0" w:color="000000"/>
            </w:tcBorders>
          </w:tcPr>
          <w:p w14:paraId="7D15B793" w14:textId="77777777" w:rsidR="00976AF5" w:rsidRDefault="00976AF5" w:rsidP="00E70C0A">
            <w:pPr>
              <w:widowControl w:val="0"/>
              <w:jc w:val="right"/>
              <w:rPr>
                <w:color w:val="000000"/>
                <w:sz w:val="20"/>
                <w:szCs w:val="20"/>
              </w:rPr>
            </w:pPr>
            <w:r>
              <w:rPr>
                <w:color w:val="000000"/>
                <w:sz w:val="20"/>
                <w:szCs w:val="20"/>
              </w:rPr>
              <w:t>1.8800</w:t>
            </w:r>
          </w:p>
        </w:tc>
        <w:tc>
          <w:tcPr>
            <w:tcW w:w="2129" w:type="dxa"/>
            <w:tcBorders>
              <w:top w:val="single" w:sz="4" w:space="0" w:color="000000"/>
              <w:left w:val="single" w:sz="4" w:space="0" w:color="000000"/>
              <w:bottom w:val="single" w:sz="4" w:space="0" w:color="000000"/>
              <w:right w:val="single" w:sz="4" w:space="0" w:color="000000"/>
            </w:tcBorders>
          </w:tcPr>
          <w:p w14:paraId="45308BBF" w14:textId="77777777" w:rsidR="00976AF5" w:rsidRDefault="00976AF5" w:rsidP="00E70C0A">
            <w:pPr>
              <w:widowControl w:val="0"/>
              <w:jc w:val="right"/>
              <w:rPr>
                <w:color w:val="000000"/>
                <w:sz w:val="20"/>
                <w:szCs w:val="20"/>
              </w:rPr>
            </w:pPr>
            <w:r>
              <w:rPr>
                <w:color w:val="000000"/>
                <w:sz w:val="20"/>
                <w:szCs w:val="20"/>
              </w:rPr>
              <w:t>-5.6146</w:t>
            </w:r>
          </w:p>
        </w:tc>
      </w:tr>
      <w:tr w:rsidR="00976AF5" w14:paraId="654CDE2E"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7F8DDE1A" w14:textId="77777777" w:rsidR="00976AF5" w:rsidRDefault="00976AF5" w:rsidP="00E70C0A">
            <w:pPr>
              <w:widowControl w:val="0"/>
              <w:jc w:val="center"/>
              <w:rPr>
                <w:color w:val="000000"/>
                <w:sz w:val="20"/>
                <w:szCs w:val="20"/>
              </w:rPr>
            </w:pPr>
            <w:r>
              <w:rPr>
                <w:color w:val="000000"/>
                <w:sz w:val="20"/>
                <w:szCs w:val="20"/>
              </w:rPr>
              <w:t>01-04-2022</w:t>
            </w:r>
          </w:p>
        </w:tc>
        <w:tc>
          <w:tcPr>
            <w:tcW w:w="1708" w:type="dxa"/>
            <w:tcBorders>
              <w:top w:val="single" w:sz="4" w:space="0" w:color="000000"/>
              <w:left w:val="single" w:sz="4" w:space="0" w:color="000000"/>
              <w:bottom w:val="single" w:sz="4" w:space="0" w:color="000000"/>
              <w:right w:val="single" w:sz="4" w:space="0" w:color="000000"/>
            </w:tcBorders>
          </w:tcPr>
          <w:p w14:paraId="008E8343" w14:textId="77777777" w:rsidR="00976AF5" w:rsidRDefault="00976AF5" w:rsidP="00E70C0A">
            <w:pPr>
              <w:widowControl w:val="0"/>
              <w:jc w:val="right"/>
              <w:rPr>
                <w:color w:val="000000"/>
                <w:sz w:val="20"/>
                <w:szCs w:val="20"/>
              </w:rPr>
            </w:pPr>
            <w:r>
              <w:rPr>
                <w:color w:val="000000"/>
                <w:sz w:val="20"/>
                <w:szCs w:val="20"/>
              </w:rPr>
              <w:t>-3.7102</w:t>
            </w:r>
          </w:p>
        </w:tc>
        <w:tc>
          <w:tcPr>
            <w:tcW w:w="1815" w:type="dxa"/>
            <w:tcBorders>
              <w:top w:val="single" w:sz="4" w:space="0" w:color="000000"/>
              <w:left w:val="single" w:sz="4" w:space="0" w:color="000000"/>
              <w:bottom w:val="single" w:sz="4" w:space="0" w:color="000000"/>
              <w:right w:val="single" w:sz="4" w:space="0" w:color="000000"/>
            </w:tcBorders>
          </w:tcPr>
          <w:p w14:paraId="764E3F88" w14:textId="77777777" w:rsidR="00976AF5" w:rsidRDefault="00976AF5" w:rsidP="00E70C0A">
            <w:pPr>
              <w:widowControl w:val="0"/>
              <w:jc w:val="right"/>
              <w:rPr>
                <w:color w:val="000000"/>
                <w:sz w:val="20"/>
                <w:szCs w:val="20"/>
              </w:rPr>
            </w:pPr>
            <w:r>
              <w:rPr>
                <w:color w:val="000000"/>
                <w:sz w:val="20"/>
                <w:szCs w:val="20"/>
              </w:rPr>
              <w:t>5.0960</w:t>
            </w:r>
          </w:p>
        </w:tc>
        <w:tc>
          <w:tcPr>
            <w:tcW w:w="1952" w:type="dxa"/>
            <w:tcBorders>
              <w:top w:val="single" w:sz="4" w:space="0" w:color="000000"/>
              <w:left w:val="single" w:sz="4" w:space="0" w:color="000000"/>
              <w:bottom w:val="single" w:sz="4" w:space="0" w:color="000000"/>
              <w:right w:val="single" w:sz="4" w:space="0" w:color="000000"/>
            </w:tcBorders>
          </w:tcPr>
          <w:p w14:paraId="32E84C54" w14:textId="77777777" w:rsidR="00976AF5" w:rsidRDefault="00976AF5" w:rsidP="00E70C0A">
            <w:pPr>
              <w:widowControl w:val="0"/>
              <w:jc w:val="right"/>
              <w:rPr>
                <w:color w:val="000000"/>
                <w:sz w:val="20"/>
                <w:szCs w:val="20"/>
              </w:rPr>
            </w:pPr>
            <w:r>
              <w:rPr>
                <w:color w:val="000000"/>
                <w:sz w:val="20"/>
                <w:szCs w:val="20"/>
              </w:rPr>
              <w:t>-1.5160</w:t>
            </w:r>
          </w:p>
        </w:tc>
        <w:tc>
          <w:tcPr>
            <w:tcW w:w="2129" w:type="dxa"/>
            <w:tcBorders>
              <w:top w:val="single" w:sz="4" w:space="0" w:color="000000"/>
              <w:left w:val="single" w:sz="4" w:space="0" w:color="000000"/>
              <w:bottom w:val="single" w:sz="4" w:space="0" w:color="000000"/>
              <w:right w:val="single" w:sz="4" w:space="0" w:color="000000"/>
            </w:tcBorders>
          </w:tcPr>
          <w:p w14:paraId="14C50491" w14:textId="77777777" w:rsidR="00976AF5" w:rsidRDefault="00976AF5" w:rsidP="00E70C0A">
            <w:pPr>
              <w:widowControl w:val="0"/>
              <w:jc w:val="right"/>
              <w:rPr>
                <w:color w:val="000000"/>
                <w:sz w:val="20"/>
                <w:szCs w:val="20"/>
              </w:rPr>
            </w:pPr>
            <w:r>
              <w:rPr>
                <w:color w:val="000000"/>
                <w:sz w:val="20"/>
                <w:szCs w:val="20"/>
              </w:rPr>
              <w:t>1.8673</w:t>
            </w:r>
          </w:p>
        </w:tc>
      </w:tr>
      <w:tr w:rsidR="00976AF5" w14:paraId="1F11C59D"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50F46AB2" w14:textId="77777777" w:rsidR="00976AF5" w:rsidRDefault="00976AF5" w:rsidP="00E70C0A">
            <w:pPr>
              <w:widowControl w:val="0"/>
              <w:jc w:val="center"/>
              <w:rPr>
                <w:color w:val="000000"/>
                <w:sz w:val="20"/>
                <w:szCs w:val="20"/>
              </w:rPr>
            </w:pPr>
            <w:r>
              <w:rPr>
                <w:color w:val="000000"/>
                <w:sz w:val="20"/>
                <w:szCs w:val="20"/>
              </w:rPr>
              <w:t>02-05-2022</w:t>
            </w:r>
          </w:p>
        </w:tc>
        <w:tc>
          <w:tcPr>
            <w:tcW w:w="1708" w:type="dxa"/>
            <w:tcBorders>
              <w:top w:val="single" w:sz="4" w:space="0" w:color="000000"/>
              <w:left w:val="single" w:sz="4" w:space="0" w:color="000000"/>
              <w:bottom w:val="single" w:sz="4" w:space="0" w:color="000000"/>
              <w:right w:val="single" w:sz="4" w:space="0" w:color="000000"/>
            </w:tcBorders>
          </w:tcPr>
          <w:p w14:paraId="4BADFC4A" w14:textId="77777777" w:rsidR="00976AF5" w:rsidRDefault="00976AF5" w:rsidP="00E70C0A">
            <w:pPr>
              <w:widowControl w:val="0"/>
              <w:jc w:val="right"/>
              <w:rPr>
                <w:color w:val="000000"/>
                <w:sz w:val="20"/>
                <w:szCs w:val="20"/>
              </w:rPr>
            </w:pPr>
            <w:r>
              <w:rPr>
                <w:color w:val="000000"/>
                <w:sz w:val="20"/>
                <w:szCs w:val="20"/>
              </w:rPr>
              <w:t>7.1123</w:t>
            </w:r>
          </w:p>
        </w:tc>
        <w:tc>
          <w:tcPr>
            <w:tcW w:w="1815" w:type="dxa"/>
            <w:tcBorders>
              <w:top w:val="single" w:sz="4" w:space="0" w:color="000000"/>
              <w:left w:val="single" w:sz="4" w:space="0" w:color="000000"/>
              <w:bottom w:val="single" w:sz="4" w:space="0" w:color="000000"/>
              <w:right w:val="single" w:sz="4" w:space="0" w:color="000000"/>
            </w:tcBorders>
          </w:tcPr>
          <w:p w14:paraId="6CB4839D" w14:textId="77777777" w:rsidR="00976AF5" w:rsidRDefault="00976AF5" w:rsidP="00E70C0A">
            <w:pPr>
              <w:widowControl w:val="0"/>
              <w:jc w:val="right"/>
              <w:rPr>
                <w:color w:val="000000"/>
                <w:sz w:val="20"/>
                <w:szCs w:val="20"/>
              </w:rPr>
            </w:pPr>
            <w:r>
              <w:rPr>
                <w:color w:val="000000"/>
                <w:sz w:val="20"/>
                <w:szCs w:val="20"/>
              </w:rPr>
              <w:t>-0.9191</w:t>
            </w:r>
          </w:p>
        </w:tc>
        <w:tc>
          <w:tcPr>
            <w:tcW w:w="1952" w:type="dxa"/>
            <w:tcBorders>
              <w:top w:val="single" w:sz="4" w:space="0" w:color="000000"/>
              <w:left w:val="single" w:sz="4" w:space="0" w:color="000000"/>
              <w:bottom w:val="single" w:sz="4" w:space="0" w:color="000000"/>
              <w:right w:val="single" w:sz="4" w:space="0" w:color="000000"/>
            </w:tcBorders>
          </w:tcPr>
          <w:p w14:paraId="642A0AFB" w14:textId="77777777" w:rsidR="00976AF5" w:rsidRDefault="00976AF5" w:rsidP="00E70C0A">
            <w:pPr>
              <w:widowControl w:val="0"/>
              <w:jc w:val="right"/>
              <w:rPr>
                <w:color w:val="000000"/>
                <w:sz w:val="20"/>
                <w:szCs w:val="20"/>
              </w:rPr>
            </w:pPr>
            <w:r>
              <w:rPr>
                <w:color w:val="000000"/>
                <w:sz w:val="20"/>
                <w:szCs w:val="20"/>
              </w:rPr>
              <w:t>2.9061</w:t>
            </w:r>
          </w:p>
        </w:tc>
        <w:tc>
          <w:tcPr>
            <w:tcW w:w="2129" w:type="dxa"/>
            <w:tcBorders>
              <w:top w:val="single" w:sz="4" w:space="0" w:color="000000"/>
              <w:left w:val="single" w:sz="4" w:space="0" w:color="000000"/>
              <w:bottom w:val="single" w:sz="4" w:space="0" w:color="000000"/>
              <w:right w:val="single" w:sz="4" w:space="0" w:color="000000"/>
            </w:tcBorders>
          </w:tcPr>
          <w:p w14:paraId="3BF41D38" w14:textId="77777777" w:rsidR="00976AF5" w:rsidRDefault="00976AF5" w:rsidP="00E70C0A">
            <w:pPr>
              <w:widowControl w:val="0"/>
              <w:jc w:val="right"/>
              <w:rPr>
                <w:color w:val="000000"/>
                <w:sz w:val="20"/>
                <w:szCs w:val="20"/>
              </w:rPr>
            </w:pPr>
            <w:r>
              <w:rPr>
                <w:color w:val="000000"/>
                <w:sz w:val="20"/>
                <w:szCs w:val="20"/>
              </w:rPr>
              <w:t>-0.3368</w:t>
            </w:r>
          </w:p>
        </w:tc>
      </w:tr>
      <w:tr w:rsidR="00976AF5" w14:paraId="7D22A868"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07D6CA77" w14:textId="77777777" w:rsidR="00976AF5" w:rsidRDefault="00976AF5" w:rsidP="00E70C0A">
            <w:pPr>
              <w:widowControl w:val="0"/>
              <w:jc w:val="center"/>
              <w:rPr>
                <w:color w:val="000000"/>
                <w:sz w:val="20"/>
                <w:szCs w:val="20"/>
              </w:rPr>
            </w:pPr>
            <w:r>
              <w:rPr>
                <w:color w:val="000000"/>
                <w:sz w:val="20"/>
                <w:szCs w:val="20"/>
              </w:rPr>
              <w:t>01-06-2022</w:t>
            </w:r>
          </w:p>
        </w:tc>
        <w:tc>
          <w:tcPr>
            <w:tcW w:w="1708" w:type="dxa"/>
            <w:tcBorders>
              <w:top w:val="single" w:sz="4" w:space="0" w:color="000000"/>
              <w:left w:val="single" w:sz="4" w:space="0" w:color="000000"/>
              <w:bottom w:val="single" w:sz="4" w:space="0" w:color="000000"/>
              <w:right w:val="single" w:sz="4" w:space="0" w:color="000000"/>
            </w:tcBorders>
          </w:tcPr>
          <w:p w14:paraId="5621F412" w14:textId="77777777" w:rsidR="00976AF5" w:rsidRDefault="00976AF5" w:rsidP="00E70C0A">
            <w:pPr>
              <w:widowControl w:val="0"/>
              <w:jc w:val="right"/>
              <w:rPr>
                <w:color w:val="000000"/>
                <w:sz w:val="20"/>
                <w:szCs w:val="20"/>
              </w:rPr>
            </w:pPr>
            <w:r>
              <w:rPr>
                <w:color w:val="000000"/>
                <w:sz w:val="20"/>
                <w:szCs w:val="20"/>
              </w:rPr>
              <w:t>8.8035</w:t>
            </w:r>
          </w:p>
        </w:tc>
        <w:tc>
          <w:tcPr>
            <w:tcW w:w="1815" w:type="dxa"/>
            <w:tcBorders>
              <w:top w:val="single" w:sz="4" w:space="0" w:color="000000"/>
              <w:left w:val="single" w:sz="4" w:space="0" w:color="000000"/>
              <w:bottom w:val="single" w:sz="4" w:space="0" w:color="000000"/>
              <w:right w:val="single" w:sz="4" w:space="0" w:color="000000"/>
            </w:tcBorders>
          </w:tcPr>
          <w:p w14:paraId="6F9D4342" w14:textId="77777777" w:rsidR="00976AF5" w:rsidRDefault="00976AF5" w:rsidP="00E70C0A">
            <w:pPr>
              <w:widowControl w:val="0"/>
              <w:jc w:val="right"/>
              <w:rPr>
                <w:color w:val="000000"/>
                <w:sz w:val="20"/>
                <w:szCs w:val="20"/>
              </w:rPr>
            </w:pPr>
            <w:r>
              <w:rPr>
                <w:color w:val="000000"/>
                <w:sz w:val="20"/>
                <w:szCs w:val="20"/>
              </w:rPr>
              <w:t>-6.0576</w:t>
            </w:r>
          </w:p>
        </w:tc>
        <w:tc>
          <w:tcPr>
            <w:tcW w:w="1952" w:type="dxa"/>
            <w:tcBorders>
              <w:top w:val="single" w:sz="4" w:space="0" w:color="000000"/>
              <w:left w:val="single" w:sz="4" w:space="0" w:color="000000"/>
              <w:bottom w:val="single" w:sz="4" w:space="0" w:color="000000"/>
              <w:right w:val="single" w:sz="4" w:space="0" w:color="000000"/>
            </w:tcBorders>
          </w:tcPr>
          <w:p w14:paraId="7F2A2A51" w14:textId="77777777" w:rsidR="00976AF5" w:rsidRDefault="00976AF5" w:rsidP="00E70C0A">
            <w:pPr>
              <w:widowControl w:val="0"/>
              <w:jc w:val="right"/>
              <w:rPr>
                <w:color w:val="000000"/>
                <w:sz w:val="20"/>
                <w:szCs w:val="20"/>
              </w:rPr>
            </w:pPr>
            <w:r>
              <w:rPr>
                <w:color w:val="000000"/>
                <w:sz w:val="20"/>
                <w:szCs w:val="20"/>
              </w:rPr>
              <w:t>3.5972</w:t>
            </w:r>
          </w:p>
        </w:tc>
        <w:tc>
          <w:tcPr>
            <w:tcW w:w="2129" w:type="dxa"/>
            <w:tcBorders>
              <w:top w:val="single" w:sz="4" w:space="0" w:color="000000"/>
              <w:left w:val="single" w:sz="4" w:space="0" w:color="000000"/>
              <w:bottom w:val="single" w:sz="4" w:space="0" w:color="000000"/>
              <w:right w:val="single" w:sz="4" w:space="0" w:color="000000"/>
            </w:tcBorders>
          </w:tcPr>
          <w:p w14:paraId="0FA662A2" w14:textId="77777777" w:rsidR="00976AF5" w:rsidRDefault="00976AF5" w:rsidP="00E70C0A">
            <w:pPr>
              <w:widowControl w:val="0"/>
              <w:jc w:val="right"/>
              <w:rPr>
                <w:color w:val="000000"/>
                <w:sz w:val="20"/>
                <w:szCs w:val="20"/>
              </w:rPr>
            </w:pPr>
            <w:r>
              <w:rPr>
                <w:color w:val="000000"/>
                <w:sz w:val="20"/>
                <w:szCs w:val="20"/>
              </w:rPr>
              <w:t>-2.2196</w:t>
            </w:r>
          </w:p>
        </w:tc>
      </w:tr>
      <w:tr w:rsidR="00976AF5" w14:paraId="63597C73"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35A38987" w14:textId="77777777" w:rsidR="00976AF5" w:rsidRDefault="00976AF5" w:rsidP="00E70C0A">
            <w:pPr>
              <w:widowControl w:val="0"/>
              <w:jc w:val="center"/>
              <w:rPr>
                <w:color w:val="000000"/>
                <w:sz w:val="20"/>
                <w:szCs w:val="20"/>
              </w:rPr>
            </w:pPr>
            <w:r>
              <w:rPr>
                <w:color w:val="000000"/>
                <w:sz w:val="20"/>
                <w:szCs w:val="20"/>
              </w:rPr>
              <w:t>01-07-2022</w:t>
            </w:r>
          </w:p>
        </w:tc>
        <w:tc>
          <w:tcPr>
            <w:tcW w:w="1708" w:type="dxa"/>
            <w:tcBorders>
              <w:top w:val="single" w:sz="4" w:space="0" w:color="000000"/>
              <w:left w:val="single" w:sz="4" w:space="0" w:color="000000"/>
              <w:bottom w:val="single" w:sz="4" w:space="0" w:color="000000"/>
              <w:right w:val="single" w:sz="4" w:space="0" w:color="000000"/>
            </w:tcBorders>
          </w:tcPr>
          <w:p w14:paraId="5DDFE1AC" w14:textId="77777777" w:rsidR="00976AF5" w:rsidRDefault="00976AF5" w:rsidP="00E70C0A">
            <w:pPr>
              <w:widowControl w:val="0"/>
              <w:jc w:val="right"/>
              <w:rPr>
                <w:color w:val="000000"/>
                <w:sz w:val="20"/>
                <w:szCs w:val="20"/>
              </w:rPr>
            </w:pPr>
            <w:r>
              <w:rPr>
                <w:color w:val="000000"/>
                <w:sz w:val="20"/>
                <w:szCs w:val="20"/>
              </w:rPr>
              <w:t>9.0111</w:t>
            </w:r>
          </w:p>
        </w:tc>
        <w:tc>
          <w:tcPr>
            <w:tcW w:w="1815" w:type="dxa"/>
            <w:tcBorders>
              <w:top w:val="single" w:sz="4" w:space="0" w:color="000000"/>
              <w:left w:val="single" w:sz="4" w:space="0" w:color="000000"/>
              <w:bottom w:val="single" w:sz="4" w:space="0" w:color="000000"/>
              <w:right w:val="single" w:sz="4" w:space="0" w:color="000000"/>
            </w:tcBorders>
          </w:tcPr>
          <w:p w14:paraId="70E17752" w14:textId="77777777" w:rsidR="00976AF5" w:rsidRDefault="00976AF5" w:rsidP="00E70C0A">
            <w:pPr>
              <w:widowControl w:val="0"/>
              <w:jc w:val="right"/>
              <w:rPr>
                <w:color w:val="000000"/>
                <w:sz w:val="20"/>
                <w:szCs w:val="20"/>
              </w:rPr>
            </w:pPr>
            <w:r>
              <w:rPr>
                <w:color w:val="000000"/>
                <w:sz w:val="20"/>
                <w:szCs w:val="20"/>
              </w:rPr>
              <w:t>-3.5179</w:t>
            </w:r>
          </w:p>
        </w:tc>
        <w:tc>
          <w:tcPr>
            <w:tcW w:w="1952" w:type="dxa"/>
            <w:tcBorders>
              <w:top w:val="single" w:sz="4" w:space="0" w:color="000000"/>
              <w:left w:val="single" w:sz="4" w:space="0" w:color="000000"/>
              <w:bottom w:val="single" w:sz="4" w:space="0" w:color="000000"/>
              <w:right w:val="single" w:sz="4" w:space="0" w:color="000000"/>
            </w:tcBorders>
          </w:tcPr>
          <w:p w14:paraId="14AB7DF3" w14:textId="77777777" w:rsidR="00976AF5" w:rsidRDefault="00976AF5" w:rsidP="00E70C0A">
            <w:pPr>
              <w:widowControl w:val="0"/>
              <w:jc w:val="right"/>
              <w:rPr>
                <w:color w:val="000000"/>
                <w:sz w:val="20"/>
                <w:szCs w:val="20"/>
              </w:rPr>
            </w:pPr>
            <w:r>
              <w:rPr>
                <w:color w:val="000000"/>
                <w:sz w:val="20"/>
                <w:szCs w:val="20"/>
              </w:rPr>
              <w:t>3.6820</w:t>
            </w:r>
          </w:p>
        </w:tc>
        <w:tc>
          <w:tcPr>
            <w:tcW w:w="2129" w:type="dxa"/>
            <w:tcBorders>
              <w:top w:val="single" w:sz="4" w:space="0" w:color="000000"/>
              <w:left w:val="single" w:sz="4" w:space="0" w:color="000000"/>
              <w:bottom w:val="single" w:sz="4" w:space="0" w:color="000000"/>
              <w:right w:val="single" w:sz="4" w:space="0" w:color="000000"/>
            </w:tcBorders>
          </w:tcPr>
          <w:p w14:paraId="120BA22E" w14:textId="77777777" w:rsidR="00976AF5" w:rsidRDefault="00976AF5" w:rsidP="00E70C0A">
            <w:pPr>
              <w:widowControl w:val="0"/>
              <w:jc w:val="right"/>
              <w:rPr>
                <w:color w:val="000000"/>
                <w:sz w:val="20"/>
                <w:szCs w:val="20"/>
              </w:rPr>
            </w:pPr>
            <w:r>
              <w:rPr>
                <w:color w:val="000000"/>
                <w:sz w:val="20"/>
                <w:szCs w:val="20"/>
              </w:rPr>
              <w:t>-1.2891</w:t>
            </w:r>
          </w:p>
        </w:tc>
      </w:tr>
      <w:tr w:rsidR="00976AF5" w14:paraId="03F9A481"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7B083B63" w14:textId="77777777" w:rsidR="00976AF5" w:rsidRDefault="00976AF5" w:rsidP="00E70C0A">
            <w:pPr>
              <w:widowControl w:val="0"/>
              <w:jc w:val="center"/>
              <w:rPr>
                <w:color w:val="000000"/>
                <w:sz w:val="20"/>
                <w:szCs w:val="20"/>
              </w:rPr>
            </w:pPr>
            <w:r>
              <w:rPr>
                <w:color w:val="000000"/>
                <w:sz w:val="20"/>
                <w:szCs w:val="20"/>
              </w:rPr>
              <w:t>01-08-2022</w:t>
            </w:r>
          </w:p>
        </w:tc>
        <w:tc>
          <w:tcPr>
            <w:tcW w:w="1708" w:type="dxa"/>
            <w:tcBorders>
              <w:top w:val="single" w:sz="4" w:space="0" w:color="000000"/>
              <w:left w:val="single" w:sz="4" w:space="0" w:color="000000"/>
              <w:bottom w:val="single" w:sz="4" w:space="0" w:color="000000"/>
              <w:right w:val="single" w:sz="4" w:space="0" w:color="000000"/>
            </w:tcBorders>
          </w:tcPr>
          <w:p w14:paraId="05DB4F96" w14:textId="77777777" w:rsidR="00976AF5" w:rsidRDefault="00976AF5" w:rsidP="00E70C0A">
            <w:pPr>
              <w:widowControl w:val="0"/>
              <w:jc w:val="right"/>
              <w:rPr>
                <w:color w:val="000000"/>
                <w:sz w:val="20"/>
                <w:szCs w:val="20"/>
              </w:rPr>
            </w:pPr>
            <w:r>
              <w:rPr>
                <w:color w:val="000000"/>
                <w:sz w:val="20"/>
                <w:szCs w:val="20"/>
              </w:rPr>
              <w:t>4.9981</w:t>
            </w:r>
          </w:p>
        </w:tc>
        <w:tc>
          <w:tcPr>
            <w:tcW w:w="1815" w:type="dxa"/>
            <w:tcBorders>
              <w:top w:val="single" w:sz="4" w:space="0" w:color="000000"/>
              <w:left w:val="single" w:sz="4" w:space="0" w:color="000000"/>
              <w:bottom w:val="single" w:sz="4" w:space="0" w:color="000000"/>
              <w:right w:val="single" w:sz="4" w:space="0" w:color="000000"/>
            </w:tcBorders>
          </w:tcPr>
          <w:p w14:paraId="4988E277" w14:textId="77777777" w:rsidR="00976AF5" w:rsidRDefault="00976AF5" w:rsidP="00E70C0A">
            <w:pPr>
              <w:widowControl w:val="0"/>
              <w:jc w:val="right"/>
              <w:rPr>
                <w:color w:val="000000"/>
                <w:sz w:val="20"/>
                <w:szCs w:val="20"/>
              </w:rPr>
            </w:pPr>
            <w:r>
              <w:rPr>
                <w:color w:val="000000"/>
                <w:sz w:val="20"/>
                <w:szCs w:val="20"/>
              </w:rPr>
              <w:t>8.3354</w:t>
            </w:r>
          </w:p>
        </w:tc>
        <w:tc>
          <w:tcPr>
            <w:tcW w:w="1952" w:type="dxa"/>
            <w:tcBorders>
              <w:top w:val="single" w:sz="4" w:space="0" w:color="000000"/>
              <w:left w:val="single" w:sz="4" w:space="0" w:color="000000"/>
              <w:bottom w:val="single" w:sz="4" w:space="0" w:color="000000"/>
              <w:right w:val="single" w:sz="4" w:space="0" w:color="000000"/>
            </w:tcBorders>
          </w:tcPr>
          <w:p w14:paraId="2364D92E" w14:textId="77777777" w:rsidR="00976AF5" w:rsidRDefault="00976AF5" w:rsidP="00E70C0A">
            <w:pPr>
              <w:widowControl w:val="0"/>
              <w:jc w:val="right"/>
              <w:rPr>
                <w:color w:val="000000"/>
                <w:sz w:val="20"/>
                <w:szCs w:val="20"/>
              </w:rPr>
            </w:pPr>
            <w:r>
              <w:rPr>
                <w:color w:val="000000"/>
                <w:sz w:val="20"/>
                <w:szCs w:val="20"/>
              </w:rPr>
              <w:t>2.0424</w:t>
            </w:r>
          </w:p>
        </w:tc>
        <w:tc>
          <w:tcPr>
            <w:tcW w:w="2129" w:type="dxa"/>
            <w:tcBorders>
              <w:top w:val="single" w:sz="4" w:space="0" w:color="000000"/>
              <w:left w:val="single" w:sz="4" w:space="0" w:color="000000"/>
              <w:bottom w:val="single" w:sz="4" w:space="0" w:color="000000"/>
              <w:right w:val="single" w:sz="4" w:space="0" w:color="000000"/>
            </w:tcBorders>
          </w:tcPr>
          <w:p w14:paraId="6EEC8D67" w14:textId="77777777" w:rsidR="00976AF5" w:rsidRDefault="00976AF5" w:rsidP="00E70C0A">
            <w:pPr>
              <w:widowControl w:val="0"/>
              <w:jc w:val="right"/>
              <w:rPr>
                <w:color w:val="000000"/>
                <w:sz w:val="20"/>
                <w:szCs w:val="20"/>
              </w:rPr>
            </w:pPr>
            <w:r>
              <w:rPr>
                <w:color w:val="000000"/>
                <w:sz w:val="20"/>
                <w:szCs w:val="20"/>
              </w:rPr>
              <w:t>3.0543</w:t>
            </w:r>
          </w:p>
        </w:tc>
      </w:tr>
      <w:tr w:rsidR="00976AF5" w14:paraId="33A1D12B"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1B28948D" w14:textId="77777777" w:rsidR="00976AF5" w:rsidRDefault="00976AF5" w:rsidP="00E70C0A">
            <w:pPr>
              <w:widowControl w:val="0"/>
              <w:jc w:val="center"/>
              <w:rPr>
                <w:color w:val="000000"/>
                <w:sz w:val="20"/>
                <w:szCs w:val="20"/>
              </w:rPr>
            </w:pPr>
            <w:r>
              <w:rPr>
                <w:color w:val="000000"/>
                <w:sz w:val="20"/>
                <w:szCs w:val="20"/>
              </w:rPr>
              <w:t>01-09-2022</w:t>
            </w:r>
          </w:p>
        </w:tc>
        <w:tc>
          <w:tcPr>
            <w:tcW w:w="1708" w:type="dxa"/>
            <w:tcBorders>
              <w:top w:val="single" w:sz="4" w:space="0" w:color="000000"/>
              <w:left w:val="single" w:sz="4" w:space="0" w:color="000000"/>
              <w:bottom w:val="single" w:sz="4" w:space="0" w:color="000000"/>
              <w:right w:val="single" w:sz="4" w:space="0" w:color="000000"/>
            </w:tcBorders>
          </w:tcPr>
          <w:p w14:paraId="7ED794B9" w14:textId="77777777" w:rsidR="00976AF5" w:rsidRDefault="00976AF5" w:rsidP="00E70C0A">
            <w:pPr>
              <w:widowControl w:val="0"/>
              <w:jc w:val="right"/>
              <w:rPr>
                <w:color w:val="000000"/>
                <w:sz w:val="20"/>
                <w:szCs w:val="20"/>
              </w:rPr>
            </w:pPr>
            <w:r>
              <w:rPr>
                <w:color w:val="000000"/>
                <w:sz w:val="20"/>
                <w:szCs w:val="20"/>
              </w:rPr>
              <w:t>3.9075</w:t>
            </w:r>
          </w:p>
        </w:tc>
        <w:tc>
          <w:tcPr>
            <w:tcW w:w="1815" w:type="dxa"/>
            <w:tcBorders>
              <w:top w:val="single" w:sz="4" w:space="0" w:color="000000"/>
              <w:left w:val="single" w:sz="4" w:space="0" w:color="000000"/>
              <w:bottom w:val="single" w:sz="4" w:space="0" w:color="000000"/>
              <w:right w:val="single" w:sz="4" w:space="0" w:color="000000"/>
            </w:tcBorders>
          </w:tcPr>
          <w:p w14:paraId="2F71838E" w14:textId="77777777" w:rsidR="00976AF5" w:rsidRDefault="00976AF5" w:rsidP="00E70C0A">
            <w:pPr>
              <w:widowControl w:val="0"/>
              <w:jc w:val="right"/>
              <w:rPr>
                <w:color w:val="000000"/>
                <w:sz w:val="20"/>
                <w:szCs w:val="20"/>
              </w:rPr>
            </w:pPr>
            <w:r>
              <w:rPr>
                <w:color w:val="000000"/>
                <w:sz w:val="20"/>
                <w:szCs w:val="20"/>
              </w:rPr>
              <w:t>3.4772</w:t>
            </w:r>
          </w:p>
        </w:tc>
        <w:tc>
          <w:tcPr>
            <w:tcW w:w="1952" w:type="dxa"/>
            <w:tcBorders>
              <w:top w:val="single" w:sz="4" w:space="0" w:color="000000"/>
              <w:left w:val="single" w:sz="4" w:space="0" w:color="000000"/>
              <w:bottom w:val="single" w:sz="4" w:space="0" w:color="000000"/>
              <w:right w:val="single" w:sz="4" w:space="0" w:color="000000"/>
            </w:tcBorders>
          </w:tcPr>
          <w:p w14:paraId="30D0AC4A" w14:textId="77777777" w:rsidR="00976AF5" w:rsidRDefault="00976AF5" w:rsidP="00E70C0A">
            <w:pPr>
              <w:widowControl w:val="0"/>
              <w:jc w:val="right"/>
              <w:rPr>
                <w:color w:val="000000"/>
                <w:sz w:val="20"/>
                <w:szCs w:val="20"/>
              </w:rPr>
            </w:pPr>
            <w:r>
              <w:rPr>
                <w:color w:val="000000"/>
                <w:sz w:val="20"/>
                <w:szCs w:val="20"/>
              </w:rPr>
              <w:t>1.5966</w:t>
            </w:r>
          </w:p>
        </w:tc>
        <w:tc>
          <w:tcPr>
            <w:tcW w:w="2129" w:type="dxa"/>
            <w:tcBorders>
              <w:top w:val="single" w:sz="4" w:space="0" w:color="000000"/>
              <w:left w:val="single" w:sz="4" w:space="0" w:color="000000"/>
              <w:bottom w:val="single" w:sz="4" w:space="0" w:color="000000"/>
              <w:right w:val="single" w:sz="4" w:space="0" w:color="000000"/>
            </w:tcBorders>
          </w:tcPr>
          <w:p w14:paraId="506E5438" w14:textId="77777777" w:rsidR="00976AF5" w:rsidRDefault="00976AF5" w:rsidP="00E70C0A">
            <w:pPr>
              <w:widowControl w:val="0"/>
              <w:jc w:val="right"/>
              <w:rPr>
                <w:color w:val="000000"/>
                <w:sz w:val="20"/>
                <w:szCs w:val="20"/>
              </w:rPr>
            </w:pPr>
            <w:r>
              <w:rPr>
                <w:color w:val="000000"/>
                <w:sz w:val="20"/>
                <w:szCs w:val="20"/>
              </w:rPr>
              <w:t>1.2742</w:t>
            </w:r>
          </w:p>
        </w:tc>
      </w:tr>
      <w:tr w:rsidR="00976AF5" w14:paraId="23064DBB"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61E23CE1" w14:textId="77777777" w:rsidR="00976AF5" w:rsidRDefault="00976AF5" w:rsidP="00E70C0A">
            <w:pPr>
              <w:widowControl w:val="0"/>
              <w:jc w:val="center"/>
              <w:rPr>
                <w:color w:val="000000"/>
                <w:sz w:val="20"/>
                <w:szCs w:val="20"/>
              </w:rPr>
            </w:pPr>
            <w:r>
              <w:rPr>
                <w:color w:val="000000"/>
                <w:sz w:val="20"/>
                <w:szCs w:val="20"/>
              </w:rPr>
              <w:t>03-10-2022</w:t>
            </w:r>
          </w:p>
        </w:tc>
        <w:tc>
          <w:tcPr>
            <w:tcW w:w="1708" w:type="dxa"/>
            <w:tcBorders>
              <w:top w:val="single" w:sz="4" w:space="0" w:color="000000"/>
              <w:left w:val="single" w:sz="4" w:space="0" w:color="000000"/>
              <w:bottom w:val="single" w:sz="4" w:space="0" w:color="000000"/>
              <w:right w:val="single" w:sz="4" w:space="0" w:color="000000"/>
            </w:tcBorders>
          </w:tcPr>
          <w:p w14:paraId="3F4670E9" w14:textId="77777777" w:rsidR="00976AF5" w:rsidRDefault="00976AF5" w:rsidP="00E70C0A">
            <w:pPr>
              <w:widowControl w:val="0"/>
              <w:jc w:val="right"/>
              <w:rPr>
                <w:color w:val="000000"/>
                <w:sz w:val="20"/>
                <w:szCs w:val="20"/>
              </w:rPr>
            </w:pPr>
            <w:r>
              <w:rPr>
                <w:color w:val="000000"/>
                <w:sz w:val="20"/>
                <w:szCs w:val="20"/>
              </w:rPr>
              <w:t>4.0093</w:t>
            </w:r>
          </w:p>
        </w:tc>
        <w:tc>
          <w:tcPr>
            <w:tcW w:w="1815" w:type="dxa"/>
            <w:tcBorders>
              <w:top w:val="single" w:sz="4" w:space="0" w:color="000000"/>
              <w:left w:val="single" w:sz="4" w:space="0" w:color="000000"/>
              <w:bottom w:val="single" w:sz="4" w:space="0" w:color="000000"/>
              <w:right w:val="single" w:sz="4" w:space="0" w:color="000000"/>
            </w:tcBorders>
          </w:tcPr>
          <w:p w14:paraId="0C666713" w14:textId="77777777" w:rsidR="00976AF5" w:rsidRDefault="00976AF5" w:rsidP="00E70C0A">
            <w:pPr>
              <w:widowControl w:val="0"/>
              <w:jc w:val="right"/>
              <w:rPr>
                <w:color w:val="000000"/>
                <w:sz w:val="20"/>
                <w:szCs w:val="20"/>
              </w:rPr>
            </w:pPr>
            <w:r>
              <w:rPr>
                <w:color w:val="000000"/>
                <w:sz w:val="20"/>
                <w:szCs w:val="20"/>
              </w:rPr>
              <w:t>1.1994</w:t>
            </w:r>
          </w:p>
        </w:tc>
        <w:tc>
          <w:tcPr>
            <w:tcW w:w="1952" w:type="dxa"/>
            <w:tcBorders>
              <w:top w:val="single" w:sz="4" w:space="0" w:color="000000"/>
              <w:left w:val="single" w:sz="4" w:space="0" w:color="000000"/>
              <w:bottom w:val="single" w:sz="4" w:space="0" w:color="000000"/>
              <w:right w:val="single" w:sz="4" w:space="0" w:color="000000"/>
            </w:tcBorders>
          </w:tcPr>
          <w:p w14:paraId="4F8D01DE" w14:textId="77777777" w:rsidR="00976AF5" w:rsidRDefault="00976AF5" w:rsidP="00E70C0A">
            <w:pPr>
              <w:widowControl w:val="0"/>
              <w:jc w:val="right"/>
              <w:rPr>
                <w:color w:val="000000"/>
                <w:sz w:val="20"/>
                <w:szCs w:val="20"/>
              </w:rPr>
            </w:pPr>
            <w:r>
              <w:rPr>
                <w:color w:val="000000"/>
                <w:sz w:val="20"/>
                <w:szCs w:val="20"/>
              </w:rPr>
              <w:t>1.6382</w:t>
            </w:r>
          </w:p>
        </w:tc>
        <w:tc>
          <w:tcPr>
            <w:tcW w:w="2129" w:type="dxa"/>
            <w:tcBorders>
              <w:top w:val="single" w:sz="4" w:space="0" w:color="000000"/>
              <w:left w:val="single" w:sz="4" w:space="0" w:color="000000"/>
              <w:bottom w:val="single" w:sz="4" w:space="0" w:color="000000"/>
              <w:right w:val="single" w:sz="4" w:space="0" w:color="000000"/>
            </w:tcBorders>
          </w:tcPr>
          <w:p w14:paraId="6F8D83CD" w14:textId="77777777" w:rsidR="00976AF5" w:rsidRDefault="00976AF5" w:rsidP="00E70C0A">
            <w:pPr>
              <w:widowControl w:val="0"/>
              <w:jc w:val="right"/>
              <w:rPr>
                <w:color w:val="000000"/>
                <w:sz w:val="20"/>
                <w:szCs w:val="20"/>
              </w:rPr>
            </w:pPr>
            <w:r>
              <w:rPr>
                <w:color w:val="000000"/>
                <w:sz w:val="20"/>
                <w:szCs w:val="20"/>
              </w:rPr>
              <w:t>0.4395</w:t>
            </w:r>
          </w:p>
        </w:tc>
      </w:tr>
      <w:tr w:rsidR="00976AF5" w14:paraId="41591F08"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43E0B4F5" w14:textId="77777777" w:rsidR="00976AF5" w:rsidRDefault="00976AF5" w:rsidP="00E70C0A">
            <w:pPr>
              <w:widowControl w:val="0"/>
              <w:jc w:val="center"/>
              <w:rPr>
                <w:color w:val="000000"/>
                <w:sz w:val="20"/>
                <w:szCs w:val="20"/>
              </w:rPr>
            </w:pPr>
            <w:r>
              <w:rPr>
                <w:color w:val="000000"/>
                <w:sz w:val="20"/>
                <w:szCs w:val="20"/>
              </w:rPr>
              <w:t>01-11-2022</w:t>
            </w:r>
          </w:p>
        </w:tc>
        <w:tc>
          <w:tcPr>
            <w:tcW w:w="1708" w:type="dxa"/>
            <w:tcBorders>
              <w:top w:val="single" w:sz="4" w:space="0" w:color="000000"/>
              <w:left w:val="single" w:sz="4" w:space="0" w:color="000000"/>
              <w:bottom w:val="single" w:sz="4" w:space="0" w:color="000000"/>
              <w:right w:val="single" w:sz="4" w:space="0" w:color="000000"/>
            </w:tcBorders>
          </w:tcPr>
          <w:p w14:paraId="1E8AF36C" w14:textId="77777777" w:rsidR="00976AF5" w:rsidRDefault="00976AF5" w:rsidP="00E70C0A">
            <w:pPr>
              <w:widowControl w:val="0"/>
              <w:jc w:val="right"/>
              <w:rPr>
                <w:color w:val="000000"/>
                <w:sz w:val="20"/>
                <w:szCs w:val="20"/>
              </w:rPr>
            </w:pPr>
            <w:r>
              <w:rPr>
                <w:color w:val="000000"/>
                <w:sz w:val="20"/>
                <w:szCs w:val="20"/>
              </w:rPr>
              <w:t>-6.5519</w:t>
            </w:r>
          </w:p>
        </w:tc>
        <w:tc>
          <w:tcPr>
            <w:tcW w:w="1815" w:type="dxa"/>
            <w:tcBorders>
              <w:top w:val="single" w:sz="4" w:space="0" w:color="000000"/>
              <w:left w:val="single" w:sz="4" w:space="0" w:color="000000"/>
              <w:bottom w:val="single" w:sz="4" w:space="0" w:color="000000"/>
              <w:right w:val="single" w:sz="4" w:space="0" w:color="000000"/>
            </w:tcBorders>
          </w:tcPr>
          <w:p w14:paraId="53A93699" w14:textId="77777777" w:rsidR="00976AF5" w:rsidRDefault="00976AF5" w:rsidP="00E70C0A">
            <w:pPr>
              <w:widowControl w:val="0"/>
              <w:jc w:val="right"/>
              <w:rPr>
                <w:color w:val="000000"/>
                <w:sz w:val="20"/>
                <w:szCs w:val="20"/>
              </w:rPr>
            </w:pPr>
            <w:r>
              <w:rPr>
                <w:color w:val="000000"/>
                <w:sz w:val="20"/>
                <w:szCs w:val="20"/>
              </w:rPr>
              <w:t>2.7689</w:t>
            </w:r>
          </w:p>
        </w:tc>
        <w:tc>
          <w:tcPr>
            <w:tcW w:w="1952" w:type="dxa"/>
            <w:tcBorders>
              <w:top w:val="single" w:sz="4" w:space="0" w:color="000000"/>
              <w:left w:val="single" w:sz="4" w:space="0" w:color="000000"/>
              <w:bottom w:val="single" w:sz="4" w:space="0" w:color="000000"/>
              <w:right w:val="single" w:sz="4" w:space="0" w:color="000000"/>
            </w:tcBorders>
          </w:tcPr>
          <w:p w14:paraId="1DA0668C" w14:textId="77777777" w:rsidR="00976AF5" w:rsidRDefault="00976AF5" w:rsidP="00E70C0A">
            <w:pPr>
              <w:widowControl w:val="0"/>
              <w:jc w:val="right"/>
              <w:rPr>
                <w:color w:val="000000"/>
                <w:sz w:val="20"/>
                <w:szCs w:val="20"/>
              </w:rPr>
            </w:pPr>
            <w:r>
              <w:rPr>
                <w:color w:val="000000"/>
                <w:sz w:val="20"/>
                <w:szCs w:val="20"/>
              </w:rPr>
              <w:t>-2.6771</w:t>
            </w:r>
          </w:p>
        </w:tc>
        <w:tc>
          <w:tcPr>
            <w:tcW w:w="2129" w:type="dxa"/>
            <w:tcBorders>
              <w:top w:val="single" w:sz="4" w:space="0" w:color="000000"/>
              <w:left w:val="single" w:sz="4" w:space="0" w:color="000000"/>
              <w:bottom w:val="single" w:sz="4" w:space="0" w:color="000000"/>
              <w:right w:val="single" w:sz="4" w:space="0" w:color="000000"/>
            </w:tcBorders>
          </w:tcPr>
          <w:p w14:paraId="2D8ACFF8" w14:textId="77777777" w:rsidR="00976AF5" w:rsidRDefault="00976AF5" w:rsidP="00E70C0A">
            <w:pPr>
              <w:widowControl w:val="0"/>
              <w:jc w:val="right"/>
              <w:rPr>
                <w:color w:val="000000"/>
                <w:sz w:val="20"/>
                <w:szCs w:val="20"/>
              </w:rPr>
            </w:pPr>
            <w:r>
              <w:rPr>
                <w:color w:val="000000"/>
                <w:sz w:val="20"/>
                <w:szCs w:val="20"/>
              </w:rPr>
              <w:t>1.0146</w:t>
            </w:r>
          </w:p>
        </w:tc>
      </w:tr>
      <w:tr w:rsidR="00976AF5" w14:paraId="297B2451" w14:textId="77777777" w:rsidTr="00E70C0A">
        <w:trPr>
          <w:trHeight w:val="521"/>
        </w:trPr>
        <w:tc>
          <w:tcPr>
            <w:tcW w:w="1980" w:type="dxa"/>
            <w:tcBorders>
              <w:top w:val="single" w:sz="4" w:space="0" w:color="000000"/>
              <w:left w:val="single" w:sz="4" w:space="0" w:color="000000"/>
              <w:bottom w:val="single" w:sz="4" w:space="0" w:color="000000"/>
              <w:right w:val="single" w:sz="4" w:space="0" w:color="000000"/>
            </w:tcBorders>
          </w:tcPr>
          <w:p w14:paraId="130849C1" w14:textId="77777777" w:rsidR="00976AF5" w:rsidRDefault="00976AF5" w:rsidP="00E70C0A">
            <w:pPr>
              <w:widowControl w:val="0"/>
              <w:jc w:val="center"/>
              <w:rPr>
                <w:color w:val="000000"/>
                <w:sz w:val="20"/>
                <w:szCs w:val="20"/>
              </w:rPr>
            </w:pPr>
            <w:r>
              <w:rPr>
                <w:color w:val="000000"/>
                <w:sz w:val="20"/>
                <w:szCs w:val="20"/>
              </w:rPr>
              <w:t>01-12-2022</w:t>
            </w:r>
          </w:p>
        </w:tc>
        <w:tc>
          <w:tcPr>
            <w:tcW w:w="1708" w:type="dxa"/>
            <w:tcBorders>
              <w:top w:val="single" w:sz="4" w:space="0" w:color="000000"/>
              <w:left w:val="single" w:sz="4" w:space="0" w:color="000000"/>
              <w:bottom w:val="single" w:sz="4" w:space="0" w:color="000000"/>
              <w:right w:val="single" w:sz="4" w:space="0" w:color="000000"/>
            </w:tcBorders>
          </w:tcPr>
          <w:p w14:paraId="40022E68" w14:textId="77777777" w:rsidR="00976AF5" w:rsidRDefault="00976AF5" w:rsidP="00E70C0A">
            <w:pPr>
              <w:widowControl w:val="0"/>
              <w:jc w:val="right"/>
              <w:rPr>
                <w:color w:val="000000"/>
                <w:sz w:val="20"/>
                <w:szCs w:val="20"/>
              </w:rPr>
            </w:pPr>
            <w:r>
              <w:rPr>
                <w:color w:val="000000"/>
                <w:sz w:val="20"/>
                <w:szCs w:val="20"/>
              </w:rPr>
              <w:t>12.7023</w:t>
            </w:r>
          </w:p>
        </w:tc>
        <w:tc>
          <w:tcPr>
            <w:tcW w:w="1815" w:type="dxa"/>
            <w:tcBorders>
              <w:top w:val="single" w:sz="4" w:space="0" w:color="000000"/>
              <w:left w:val="single" w:sz="4" w:space="0" w:color="000000"/>
              <w:bottom w:val="single" w:sz="4" w:space="0" w:color="000000"/>
              <w:right w:val="single" w:sz="4" w:space="0" w:color="000000"/>
            </w:tcBorders>
          </w:tcPr>
          <w:p w14:paraId="2EBB1596" w14:textId="77777777" w:rsidR="00976AF5" w:rsidRDefault="00976AF5" w:rsidP="00E70C0A">
            <w:pPr>
              <w:widowControl w:val="0"/>
              <w:jc w:val="right"/>
              <w:rPr>
                <w:color w:val="000000"/>
                <w:sz w:val="20"/>
                <w:szCs w:val="20"/>
              </w:rPr>
            </w:pPr>
            <w:r>
              <w:rPr>
                <w:color w:val="000000"/>
                <w:sz w:val="20"/>
                <w:szCs w:val="20"/>
              </w:rPr>
              <w:t>2.2012</w:t>
            </w:r>
          </w:p>
        </w:tc>
        <w:tc>
          <w:tcPr>
            <w:tcW w:w="1952" w:type="dxa"/>
            <w:tcBorders>
              <w:top w:val="single" w:sz="4" w:space="0" w:color="000000"/>
              <w:left w:val="single" w:sz="4" w:space="0" w:color="000000"/>
              <w:bottom w:val="single" w:sz="4" w:space="0" w:color="000000"/>
              <w:right w:val="single" w:sz="4" w:space="0" w:color="000000"/>
            </w:tcBorders>
          </w:tcPr>
          <w:p w14:paraId="5A37F21C" w14:textId="77777777" w:rsidR="00976AF5" w:rsidRDefault="00976AF5" w:rsidP="00E70C0A">
            <w:pPr>
              <w:widowControl w:val="0"/>
              <w:jc w:val="right"/>
              <w:rPr>
                <w:color w:val="000000"/>
                <w:sz w:val="20"/>
                <w:szCs w:val="20"/>
              </w:rPr>
            </w:pPr>
            <w:r>
              <w:rPr>
                <w:color w:val="000000"/>
                <w:sz w:val="20"/>
                <w:szCs w:val="20"/>
              </w:rPr>
              <w:t>5.1911</w:t>
            </w:r>
          </w:p>
        </w:tc>
        <w:tc>
          <w:tcPr>
            <w:tcW w:w="2129" w:type="dxa"/>
            <w:tcBorders>
              <w:top w:val="single" w:sz="4" w:space="0" w:color="000000"/>
              <w:left w:val="single" w:sz="4" w:space="0" w:color="000000"/>
              <w:bottom w:val="single" w:sz="4" w:space="0" w:color="000000"/>
              <w:right w:val="single" w:sz="4" w:space="0" w:color="000000"/>
            </w:tcBorders>
          </w:tcPr>
          <w:p w14:paraId="2F4FF51D" w14:textId="77777777" w:rsidR="00976AF5" w:rsidRDefault="00976AF5" w:rsidP="00E70C0A">
            <w:pPr>
              <w:widowControl w:val="0"/>
              <w:jc w:val="right"/>
              <w:rPr>
                <w:color w:val="000000"/>
                <w:sz w:val="20"/>
                <w:szCs w:val="20"/>
              </w:rPr>
            </w:pPr>
            <w:r>
              <w:rPr>
                <w:color w:val="000000"/>
                <w:sz w:val="20"/>
                <w:szCs w:val="20"/>
              </w:rPr>
              <w:t>0.8065</w:t>
            </w:r>
          </w:p>
        </w:tc>
      </w:tr>
      <w:tr w:rsidR="00976AF5" w14:paraId="4E74979D" w14:textId="77777777" w:rsidTr="00E70C0A">
        <w:trPr>
          <w:trHeight w:val="450"/>
        </w:trPr>
        <w:tc>
          <w:tcPr>
            <w:tcW w:w="1980" w:type="dxa"/>
            <w:tcBorders>
              <w:top w:val="single" w:sz="4" w:space="0" w:color="000000"/>
              <w:left w:val="single" w:sz="4" w:space="0" w:color="000000"/>
              <w:bottom w:val="single" w:sz="4" w:space="0" w:color="000000"/>
              <w:right w:val="single" w:sz="4" w:space="0" w:color="000000"/>
            </w:tcBorders>
          </w:tcPr>
          <w:p w14:paraId="742CF58A"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Annual change </w:t>
            </w:r>
          </w:p>
        </w:tc>
        <w:tc>
          <w:tcPr>
            <w:tcW w:w="1708" w:type="dxa"/>
            <w:tcBorders>
              <w:top w:val="single" w:sz="4" w:space="0" w:color="000000"/>
              <w:left w:val="single" w:sz="4" w:space="0" w:color="000000"/>
              <w:bottom w:val="single" w:sz="4" w:space="0" w:color="000000"/>
              <w:right w:val="single" w:sz="4" w:space="0" w:color="000000"/>
            </w:tcBorders>
          </w:tcPr>
          <w:p w14:paraId="7BD49F39" w14:textId="77777777" w:rsidR="00976AF5" w:rsidRDefault="00976AF5" w:rsidP="00E70C0A">
            <w:pPr>
              <w:widowControl w:val="0"/>
              <w:jc w:val="right"/>
              <w:rPr>
                <w:color w:val="000000"/>
                <w:sz w:val="20"/>
                <w:szCs w:val="20"/>
              </w:rPr>
            </w:pPr>
            <w:r>
              <w:rPr>
                <w:color w:val="000000"/>
                <w:sz w:val="20"/>
                <w:szCs w:val="20"/>
              </w:rPr>
              <w:t xml:space="preserve">                                                   8.628</w:t>
            </w:r>
          </w:p>
        </w:tc>
        <w:tc>
          <w:tcPr>
            <w:tcW w:w="1815" w:type="dxa"/>
            <w:tcBorders>
              <w:top w:val="single" w:sz="4" w:space="0" w:color="000000"/>
              <w:left w:val="single" w:sz="4" w:space="0" w:color="000000"/>
              <w:bottom w:val="single" w:sz="4" w:space="0" w:color="000000"/>
              <w:right w:val="single" w:sz="4" w:space="0" w:color="000000"/>
            </w:tcBorders>
          </w:tcPr>
          <w:p w14:paraId="26ED43B9" w14:textId="77777777" w:rsidR="00976AF5" w:rsidRDefault="00976AF5" w:rsidP="00E70C0A">
            <w:pPr>
              <w:widowControl w:val="0"/>
              <w:jc w:val="right"/>
              <w:rPr>
                <w:color w:val="000000"/>
                <w:sz w:val="20"/>
                <w:szCs w:val="20"/>
              </w:rPr>
            </w:pPr>
            <w:r>
              <w:rPr>
                <w:color w:val="000000"/>
                <w:sz w:val="20"/>
                <w:szCs w:val="20"/>
              </w:rPr>
              <w:t xml:space="preserve">                                              8.24</w:t>
            </w:r>
          </w:p>
        </w:tc>
        <w:tc>
          <w:tcPr>
            <w:tcW w:w="1952" w:type="dxa"/>
            <w:tcBorders>
              <w:top w:val="single" w:sz="4" w:space="0" w:color="000000"/>
              <w:left w:val="single" w:sz="4" w:space="0" w:color="000000"/>
              <w:bottom w:val="single" w:sz="4" w:space="0" w:color="000000"/>
              <w:right w:val="single" w:sz="4" w:space="0" w:color="000000"/>
            </w:tcBorders>
          </w:tcPr>
          <w:p w14:paraId="774BC6FA" w14:textId="77777777" w:rsidR="00976AF5" w:rsidRDefault="00976AF5" w:rsidP="00E70C0A">
            <w:pPr>
              <w:widowControl w:val="0"/>
              <w:jc w:val="right"/>
              <w:rPr>
                <w:color w:val="000000"/>
                <w:sz w:val="20"/>
                <w:szCs w:val="20"/>
              </w:rPr>
            </w:pPr>
            <w:r>
              <w:rPr>
                <w:color w:val="000000"/>
                <w:sz w:val="20"/>
                <w:szCs w:val="20"/>
              </w:rPr>
              <w:t xml:space="preserve">                                             8.629</w:t>
            </w:r>
          </w:p>
        </w:tc>
        <w:tc>
          <w:tcPr>
            <w:tcW w:w="2129" w:type="dxa"/>
            <w:tcBorders>
              <w:top w:val="single" w:sz="4" w:space="0" w:color="000000"/>
              <w:left w:val="single" w:sz="4" w:space="0" w:color="000000"/>
              <w:bottom w:val="single" w:sz="4" w:space="0" w:color="000000"/>
              <w:right w:val="single" w:sz="4" w:space="0" w:color="000000"/>
            </w:tcBorders>
          </w:tcPr>
          <w:p w14:paraId="311D5C8F" w14:textId="77777777" w:rsidR="00976AF5" w:rsidRDefault="00976AF5" w:rsidP="00E70C0A">
            <w:pPr>
              <w:widowControl w:val="0"/>
              <w:jc w:val="right"/>
              <w:rPr>
                <w:color w:val="000000"/>
                <w:sz w:val="20"/>
                <w:szCs w:val="20"/>
              </w:rPr>
            </w:pPr>
            <w:r>
              <w:rPr>
                <w:color w:val="000000"/>
                <w:sz w:val="20"/>
                <w:szCs w:val="20"/>
              </w:rPr>
              <w:t xml:space="preserve">                                                   -1.18</w:t>
            </w:r>
          </w:p>
        </w:tc>
      </w:tr>
      <w:tr w:rsidR="00976AF5" w14:paraId="40C47CE6"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69E94EAE"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708" w:type="dxa"/>
            <w:tcBorders>
              <w:top w:val="single" w:sz="4" w:space="0" w:color="000000"/>
              <w:left w:val="single" w:sz="4" w:space="0" w:color="000000"/>
              <w:bottom w:val="single" w:sz="4" w:space="0" w:color="000000"/>
              <w:right w:val="single" w:sz="4" w:space="0" w:color="000000"/>
            </w:tcBorders>
          </w:tcPr>
          <w:p w14:paraId="367C5196" w14:textId="77777777" w:rsidR="00976AF5" w:rsidRDefault="00976AF5" w:rsidP="00E70C0A">
            <w:pPr>
              <w:widowControl w:val="0"/>
              <w:jc w:val="right"/>
              <w:rPr>
                <w:color w:val="000000"/>
                <w:sz w:val="20"/>
                <w:szCs w:val="20"/>
              </w:rPr>
            </w:pPr>
            <w:r>
              <w:rPr>
                <w:color w:val="000000"/>
                <w:sz w:val="20"/>
                <w:szCs w:val="20"/>
              </w:rPr>
              <w:t>3.18</w:t>
            </w:r>
          </w:p>
        </w:tc>
        <w:tc>
          <w:tcPr>
            <w:tcW w:w="1815" w:type="dxa"/>
            <w:tcBorders>
              <w:top w:val="single" w:sz="4" w:space="0" w:color="000000"/>
              <w:left w:val="single" w:sz="4" w:space="0" w:color="000000"/>
              <w:bottom w:val="single" w:sz="4" w:space="0" w:color="000000"/>
              <w:right w:val="single" w:sz="4" w:space="0" w:color="000000"/>
            </w:tcBorders>
          </w:tcPr>
          <w:p w14:paraId="5A52C24E" w14:textId="77777777" w:rsidR="00976AF5" w:rsidRDefault="00976AF5" w:rsidP="00E70C0A">
            <w:pPr>
              <w:widowControl w:val="0"/>
              <w:jc w:val="right"/>
              <w:rPr>
                <w:color w:val="000000"/>
                <w:sz w:val="20"/>
                <w:szCs w:val="20"/>
              </w:rPr>
            </w:pPr>
            <w:r>
              <w:rPr>
                <w:color w:val="000000"/>
                <w:sz w:val="20"/>
                <w:szCs w:val="20"/>
              </w:rPr>
              <w:t>0.62</w:t>
            </w:r>
          </w:p>
        </w:tc>
        <w:tc>
          <w:tcPr>
            <w:tcW w:w="1952" w:type="dxa"/>
            <w:tcBorders>
              <w:top w:val="single" w:sz="4" w:space="0" w:color="000000"/>
              <w:left w:val="single" w:sz="4" w:space="0" w:color="000000"/>
              <w:bottom w:val="single" w:sz="4" w:space="0" w:color="000000"/>
              <w:right w:val="single" w:sz="4" w:space="0" w:color="000000"/>
            </w:tcBorders>
          </w:tcPr>
          <w:p w14:paraId="33F509DF" w14:textId="77777777" w:rsidR="00976AF5" w:rsidRDefault="00976AF5" w:rsidP="00E70C0A">
            <w:pPr>
              <w:widowControl w:val="0"/>
              <w:jc w:val="right"/>
              <w:rPr>
                <w:color w:val="000000"/>
                <w:sz w:val="20"/>
                <w:szCs w:val="20"/>
              </w:rPr>
            </w:pPr>
            <w:r>
              <w:rPr>
                <w:color w:val="000000"/>
                <w:sz w:val="20"/>
                <w:szCs w:val="20"/>
              </w:rPr>
              <w:t>1.3</w:t>
            </w:r>
          </w:p>
        </w:tc>
        <w:tc>
          <w:tcPr>
            <w:tcW w:w="2129" w:type="dxa"/>
            <w:tcBorders>
              <w:top w:val="single" w:sz="4" w:space="0" w:color="000000"/>
              <w:left w:val="single" w:sz="4" w:space="0" w:color="000000"/>
              <w:bottom w:val="single" w:sz="4" w:space="0" w:color="000000"/>
              <w:right w:val="single" w:sz="4" w:space="0" w:color="000000"/>
            </w:tcBorders>
          </w:tcPr>
          <w:p w14:paraId="5A887A30" w14:textId="77777777" w:rsidR="00976AF5" w:rsidRDefault="00976AF5" w:rsidP="00E70C0A">
            <w:pPr>
              <w:widowControl w:val="0"/>
              <w:jc w:val="right"/>
              <w:rPr>
                <w:color w:val="000000"/>
                <w:sz w:val="20"/>
                <w:szCs w:val="20"/>
              </w:rPr>
            </w:pPr>
            <w:r>
              <w:rPr>
                <w:color w:val="000000"/>
                <w:sz w:val="20"/>
                <w:szCs w:val="20"/>
              </w:rPr>
              <w:t>-0.04</w:t>
            </w:r>
          </w:p>
        </w:tc>
      </w:tr>
      <w:tr w:rsidR="00976AF5" w14:paraId="07C46B30"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4CF847E4"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Standard </w:t>
            </w:r>
          </w:p>
          <w:p w14:paraId="6BEAC27A"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Deviation</w:t>
            </w:r>
          </w:p>
        </w:tc>
        <w:tc>
          <w:tcPr>
            <w:tcW w:w="1708" w:type="dxa"/>
            <w:tcBorders>
              <w:top w:val="single" w:sz="4" w:space="0" w:color="000000"/>
              <w:left w:val="single" w:sz="4" w:space="0" w:color="000000"/>
              <w:bottom w:val="single" w:sz="4" w:space="0" w:color="000000"/>
              <w:right w:val="single" w:sz="4" w:space="0" w:color="000000"/>
            </w:tcBorders>
          </w:tcPr>
          <w:p w14:paraId="2833BB8E" w14:textId="77777777" w:rsidR="00976AF5" w:rsidRDefault="00976AF5" w:rsidP="00E70C0A">
            <w:pPr>
              <w:widowControl w:val="0"/>
              <w:jc w:val="right"/>
              <w:rPr>
                <w:color w:val="000000"/>
                <w:sz w:val="20"/>
                <w:szCs w:val="20"/>
              </w:rPr>
            </w:pPr>
            <w:r>
              <w:rPr>
                <w:color w:val="000000"/>
                <w:sz w:val="20"/>
                <w:szCs w:val="20"/>
              </w:rPr>
              <w:t>5.83</w:t>
            </w:r>
          </w:p>
        </w:tc>
        <w:tc>
          <w:tcPr>
            <w:tcW w:w="1815" w:type="dxa"/>
            <w:tcBorders>
              <w:top w:val="single" w:sz="4" w:space="0" w:color="000000"/>
              <w:left w:val="single" w:sz="4" w:space="0" w:color="000000"/>
              <w:bottom w:val="single" w:sz="4" w:space="0" w:color="000000"/>
              <w:right w:val="single" w:sz="4" w:space="0" w:color="000000"/>
            </w:tcBorders>
          </w:tcPr>
          <w:p w14:paraId="63AF0C87" w14:textId="77777777" w:rsidR="00976AF5" w:rsidRDefault="00976AF5" w:rsidP="00E70C0A">
            <w:pPr>
              <w:widowControl w:val="0"/>
              <w:jc w:val="right"/>
              <w:rPr>
                <w:color w:val="000000"/>
                <w:sz w:val="20"/>
                <w:szCs w:val="20"/>
              </w:rPr>
            </w:pPr>
            <w:r>
              <w:rPr>
                <w:color w:val="000000"/>
                <w:sz w:val="20"/>
                <w:szCs w:val="20"/>
              </w:rPr>
              <w:t>4.34</w:t>
            </w:r>
          </w:p>
        </w:tc>
        <w:tc>
          <w:tcPr>
            <w:tcW w:w="1952" w:type="dxa"/>
            <w:tcBorders>
              <w:top w:val="single" w:sz="4" w:space="0" w:color="000000"/>
              <w:left w:val="single" w:sz="4" w:space="0" w:color="000000"/>
              <w:bottom w:val="single" w:sz="4" w:space="0" w:color="000000"/>
              <w:right w:val="single" w:sz="4" w:space="0" w:color="000000"/>
            </w:tcBorders>
          </w:tcPr>
          <w:p w14:paraId="4D807DFE" w14:textId="77777777" w:rsidR="00976AF5" w:rsidRDefault="00976AF5" w:rsidP="00E70C0A">
            <w:pPr>
              <w:widowControl w:val="0"/>
              <w:jc w:val="right"/>
              <w:rPr>
                <w:color w:val="000000"/>
                <w:sz w:val="20"/>
                <w:szCs w:val="20"/>
              </w:rPr>
            </w:pPr>
            <w:r>
              <w:rPr>
                <w:color w:val="000000"/>
                <w:sz w:val="20"/>
                <w:szCs w:val="20"/>
              </w:rPr>
              <w:t>2.38</w:t>
            </w:r>
          </w:p>
        </w:tc>
        <w:tc>
          <w:tcPr>
            <w:tcW w:w="2129" w:type="dxa"/>
            <w:tcBorders>
              <w:top w:val="single" w:sz="4" w:space="0" w:color="000000"/>
              <w:left w:val="single" w:sz="4" w:space="0" w:color="000000"/>
              <w:bottom w:val="single" w:sz="4" w:space="0" w:color="000000"/>
              <w:right w:val="single" w:sz="4" w:space="0" w:color="000000"/>
            </w:tcBorders>
          </w:tcPr>
          <w:p w14:paraId="556E6924" w14:textId="77777777" w:rsidR="00976AF5" w:rsidRDefault="00976AF5" w:rsidP="00E70C0A">
            <w:pPr>
              <w:widowControl w:val="0"/>
              <w:jc w:val="right"/>
              <w:rPr>
                <w:color w:val="000000"/>
                <w:sz w:val="20"/>
                <w:szCs w:val="20"/>
              </w:rPr>
            </w:pPr>
            <w:r>
              <w:rPr>
                <w:color w:val="000000"/>
                <w:sz w:val="20"/>
                <w:szCs w:val="20"/>
              </w:rPr>
              <w:t>2.18</w:t>
            </w:r>
          </w:p>
        </w:tc>
      </w:tr>
      <w:tr w:rsidR="00976AF5" w14:paraId="4F238940"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1550D380"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Variance</w:t>
            </w:r>
          </w:p>
        </w:tc>
        <w:tc>
          <w:tcPr>
            <w:tcW w:w="1708" w:type="dxa"/>
            <w:tcBorders>
              <w:top w:val="single" w:sz="4" w:space="0" w:color="000000"/>
              <w:left w:val="single" w:sz="4" w:space="0" w:color="000000"/>
              <w:bottom w:val="single" w:sz="4" w:space="0" w:color="000000"/>
              <w:right w:val="single" w:sz="4" w:space="0" w:color="000000"/>
            </w:tcBorders>
          </w:tcPr>
          <w:p w14:paraId="58CE9EC7" w14:textId="77777777" w:rsidR="00976AF5" w:rsidRDefault="00976AF5" w:rsidP="00E70C0A">
            <w:pPr>
              <w:widowControl w:val="0"/>
              <w:jc w:val="right"/>
              <w:rPr>
                <w:color w:val="000000"/>
                <w:sz w:val="20"/>
                <w:szCs w:val="20"/>
              </w:rPr>
            </w:pPr>
            <w:r>
              <w:rPr>
                <w:color w:val="000000"/>
                <w:sz w:val="20"/>
                <w:szCs w:val="20"/>
              </w:rPr>
              <w:t>37.09</w:t>
            </w:r>
          </w:p>
        </w:tc>
        <w:tc>
          <w:tcPr>
            <w:tcW w:w="1815" w:type="dxa"/>
            <w:tcBorders>
              <w:top w:val="single" w:sz="4" w:space="0" w:color="000000"/>
              <w:left w:val="single" w:sz="4" w:space="0" w:color="000000"/>
              <w:bottom w:val="single" w:sz="4" w:space="0" w:color="000000"/>
              <w:right w:val="single" w:sz="4" w:space="0" w:color="000000"/>
            </w:tcBorders>
          </w:tcPr>
          <w:p w14:paraId="09AE2ADD" w14:textId="77777777" w:rsidR="00976AF5" w:rsidRDefault="00976AF5" w:rsidP="00E70C0A">
            <w:pPr>
              <w:widowControl w:val="0"/>
              <w:jc w:val="right"/>
              <w:rPr>
                <w:color w:val="000000"/>
                <w:sz w:val="20"/>
                <w:szCs w:val="20"/>
              </w:rPr>
            </w:pPr>
            <w:r>
              <w:rPr>
                <w:color w:val="000000"/>
                <w:sz w:val="20"/>
                <w:szCs w:val="20"/>
              </w:rPr>
              <w:t>20.58</w:t>
            </w:r>
          </w:p>
        </w:tc>
        <w:tc>
          <w:tcPr>
            <w:tcW w:w="1952" w:type="dxa"/>
            <w:tcBorders>
              <w:top w:val="single" w:sz="4" w:space="0" w:color="000000"/>
              <w:left w:val="single" w:sz="4" w:space="0" w:color="000000"/>
              <w:bottom w:val="single" w:sz="4" w:space="0" w:color="000000"/>
              <w:right w:val="single" w:sz="4" w:space="0" w:color="000000"/>
            </w:tcBorders>
          </w:tcPr>
          <w:p w14:paraId="79AF0958" w14:textId="77777777" w:rsidR="00976AF5" w:rsidRDefault="00976AF5" w:rsidP="00E70C0A">
            <w:pPr>
              <w:widowControl w:val="0"/>
              <w:jc w:val="right"/>
              <w:rPr>
                <w:color w:val="000000"/>
                <w:sz w:val="20"/>
                <w:szCs w:val="20"/>
              </w:rPr>
            </w:pPr>
            <w:r>
              <w:rPr>
                <w:color w:val="000000"/>
                <w:sz w:val="20"/>
                <w:szCs w:val="20"/>
              </w:rPr>
              <w:t>6.19</w:t>
            </w:r>
          </w:p>
        </w:tc>
        <w:tc>
          <w:tcPr>
            <w:tcW w:w="2129" w:type="dxa"/>
            <w:tcBorders>
              <w:top w:val="single" w:sz="4" w:space="0" w:color="000000"/>
              <w:left w:val="single" w:sz="4" w:space="0" w:color="000000"/>
              <w:bottom w:val="single" w:sz="4" w:space="0" w:color="000000"/>
              <w:right w:val="single" w:sz="4" w:space="0" w:color="000000"/>
            </w:tcBorders>
          </w:tcPr>
          <w:p w14:paraId="4B06637D" w14:textId="77777777" w:rsidR="00976AF5" w:rsidRDefault="00976AF5" w:rsidP="00E70C0A">
            <w:pPr>
              <w:widowControl w:val="0"/>
              <w:jc w:val="right"/>
              <w:rPr>
                <w:color w:val="000000"/>
                <w:sz w:val="20"/>
                <w:szCs w:val="20"/>
              </w:rPr>
            </w:pPr>
            <w:r>
              <w:rPr>
                <w:color w:val="000000"/>
                <w:sz w:val="20"/>
                <w:szCs w:val="20"/>
              </w:rPr>
              <w:t>5.19</w:t>
            </w:r>
          </w:p>
        </w:tc>
      </w:tr>
      <w:tr w:rsidR="00976AF5" w14:paraId="6A41B451"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21554A19"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Risk free Return</w:t>
            </w:r>
          </w:p>
        </w:tc>
        <w:tc>
          <w:tcPr>
            <w:tcW w:w="1708" w:type="dxa"/>
            <w:tcBorders>
              <w:top w:val="single" w:sz="4" w:space="0" w:color="000000"/>
              <w:left w:val="single" w:sz="4" w:space="0" w:color="000000"/>
              <w:bottom w:val="single" w:sz="4" w:space="0" w:color="000000"/>
              <w:right w:val="single" w:sz="4" w:space="0" w:color="000000"/>
            </w:tcBorders>
          </w:tcPr>
          <w:p w14:paraId="60085F7F" w14:textId="77777777" w:rsidR="00976AF5" w:rsidRDefault="00976AF5" w:rsidP="00E70C0A">
            <w:pPr>
              <w:widowControl w:val="0"/>
              <w:jc w:val="center"/>
              <w:rPr>
                <w:color w:val="000000"/>
                <w:sz w:val="20"/>
                <w:szCs w:val="20"/>
              </w:rPr>
            </w:pPr>
            <w:r>
              <w:rPr>
                <w:color w:val="000000"/>
                <w:sz w:val="20"/>
                <w:szCs w:val="20"/>
              </w:rPr>
              <w:t xml:space="preserve">                                  6</w:t>
            </w:r>
          </w:p>
        </w:tc>
        <w:tc>
          <w:tcPr>
            <w:tcW w:w="1815" w:type="dxa"/>
            <w:tcBorders>
              <w:top w:val="single" w:sz="4" w:space="0" w:color="000000"/>
              <w:left w:val="single" w:sz="4" w:space="0" w:color="000000"/>
              <w:bottom w:val="single" w:sz="4" w:space="0" w:color="000000"/>
              <w:right w:val="single" w:sz="4" w:space="0" w:color="000000"/>
            </w:tcBorders>
          </w:tcPr>
          <w:p w14:paraId="3C4470BD" w14:textId="77777777" w:rsidR="00976AF5" w:rsidRDefault="00976AF5" w:rsidP="00E70C0A">
            <w:pPr>
              <w:widowControl w:val="0"/>
              <w:jc w:val="center"/>
              <w:rPr>
                <w:color w:val="000000"/>
                <w:sz w:val="20"/>
                <w:szCs w:val="20"/>
              </w:rPr>
            </w:pPr>
            <w:r>
              <w:rPr>
                <w:color w:val="000000"/>
                <w:sz w:val="20"/>
                <w:szCs w:val="20"/>
              </w:rPr>
              <w:t xml:space="preserve">                                  6</w:t>
            </w:r>
          </w:p>
        </w:tc>
        <w:tc>
          <w:tcPr>
            <w:tcW w:w="1952" w:type="dxa"/>
            <w:tcBorders>
              <w:top w:val="single" w:sz="4" w:space="0" w:color="000000"/>
              <w:left w:val="single" w:sz="4" w:space="0" w:color="000000"/>
              <w:bottom w:val="single" w:sz="4" w:space="0" w:color="000000"/>
              <w:right w:val="single" w:sz="4" w:space="0" w:color="000000"/>
            </w:tcBorders>
          </w:tcPr>
          <w:p w14:paraId="28A5E831" w14:textId="77777777" w:rsidR="00976AF5" w:rsidRDefault="00976AF5" w:rsidP="00E70C0A">
            <w:pPr>
              <w:widowControl w:val="0"/>
              <w:jc w:val="center"/>
              <w:rPr>
                <w:color w:val="000000"/>
                <w:sz w:val="20"/>
                <w:szCs w:val="20"/>
              </w:rPr>
            </w:pPr>
            <w:r>
              <w:rPr>
                <w:color w:val="000000"/>
                <w:sz w:val="20"/>
                <w:szCs w:val="20"/>
              </w:rPr>
              <w:t xml:space="preserve">                                     6</w:t>
            </w:r>
          </w:p>
        </w:tc>
        <w:tc>
          <w:tcPr>
            <w:tcW w:w="2129" w:type="dxa"/>
            <w:tcBorders>
              <w:top w:val="single" w:sz="4" w:space="0" w:color="000000"/>
              <w:left w:val="single" w:sz="4" w:space="0" w:color="000000"/>
              <w:bottom w:val="single" w:sz="4" w:space="0" w:color="000000"/>
              <w:right w:val="single" w:sz="4" w:space="0" w:color="000000"/>
            </w:tcBorders>
          </w:tcPr>
          <w:p w14:paraId="7FC957FE" w14:textId="77777777" w:rsidR="00976AF5" w:rsidRDefault="00976AF5" w:rsidP="00E70C0A">
            <w:pPr>
              <w:widowControl w:val="0"/>
              <w:jc w:val="center"/>
              <w:rPr>
                <w:color w:val="000000"/>
                <w:sz w:val="20"/>
                <w:szCs w:val="20"/>
              </w:rPr>
            </w:pPr>
            <w:r>
              <w:rPr>
                <w:color w:val="000000"/>
                <w:sz w:val="20"/>
                <w:szCs w:val="20"/>
              </w:rPr>
              <w:t xml:space="preserve">                                         6</w:t>
            </w:r>
          </w:p>
        </w:tc>
      </w:tr>
      <w:tr w:rsidR="00976AF5" w14:paraId="39E8BC5E"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75AF69CE"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Sharpe Ratio</w:t>
            </w:r>
          </w:p>
        </w:tc>
        <w:tc>
          <w:tcPr>
            <w:tcW w:w="1708" w:type="dxa"/>
            <w:tcBorders>
              <w:top w:val="single" w:sz="4" w:space="0" w:color="000000"/>
              <w:left w:val="single" w:sz="4" w:space="0" w:color="000000"/>
              <w:bottom w:val="single" w:sz="4" w:space="0" w:color="000000"/>
              <w:right w:val="single" w:sz="4" w:space="0" w:color="000000"/>
            </w:tcBorders>
          </w:tcPr>
          <w:p w14:paraId="657AF0A1"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0.44</w:t>
            </w:r>
          </w:p>
        </w:tc>
        <w:tc>
          <w:tcPr>
            <w:tcW w:w="1815" w:type="dxa"/>
            <w:tcBorders>
              <w:top w:val="single" w:sz="4" w:space="0" w:color="000000"/>
              <w:left w:val="single" w:sz="4" w:space="0" w:color="000000"/>
              <w:bottom w:val="single" w:sz="4" w:space="0" w:color="000000"/>
              <w:right w:val="single" w:sz="4" w:space="0" w:color="000000"/>
            </w:tcBorders>
          </w:tcPr>
          <w:p w14:paraId="386E46CD"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0.51</w:t>
            </w:r>
          </w:p>
        </w:tc>
        <w:tc>
          <w:tcPr>
            <w:tcW w:w="1952" w:type="dxa"/>
            <w:tcBorders>
              <w:top w:val="single" w:sz="4" w:space="0" w:color="000000"/>
              <w:left w:val="single" w:sz="4" w:space="0" w:color="000000"/>
              <w:bottom w:val="single" w:sz="4" w:space="0" w:color="000000"/>
              <w:right w:val="single" w:sz="4" w:space="0" w:color="000000"/>
            </w:tcBorders>
          </w:tcPr>
          <w:p w14:paraId="799EF90A"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1.10</w:t>
            </w:r>
          </w:p>
        </w:tc>
        <w:tc>
          <w:tcPr>
            <w:tcW w:w="2129" w:type="dxa"/>
            <w:tcBorders>
              <w:top w:val="single" w:sz="4" w:space="0" w:color="000000"/>
              <w:left w:val="single" w:sz="4" w:space="0" w:color="000000"/>
              <w:bottom w:val="single" w:sz="4" w:space="0" w:color="000000"/>
              <w:right w:val="single" w:sz="4" w:space="0" w:color="000000"/>
            </w:tcBorders>
          </w:tcPr>
          <w:p w14:paraId="62C4FB47"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-3.2</w:t>
            </w:r>
          </w:p>
        </w:tc>
      </w:tr>
      <w:tr w:rsidR="00976AF5" w14:paraId="20B6F0B8"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308F395E"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Beta value</w:t>
            </w:r>
          </w:p>
        </w:tc>
        <w:tc>
          <w:tcPr>
            <w:tcW w:w="1708" w:type="dxa"/>
            <w:tcBorders>
              <w:top w:val="single" w:sz="4" w:space="0" w:color="000000"/>
              <w:left w:val="single" w:sz="4" w:space="0" w:color="000000"/>
              <w:bottom w:val="single" w:sz="4" w:space="0" w:color="000000"/>
              <w:right w:val="single" w:sz="4" w:space="0" w:color="000000"/>
            </w:tcBorders>
          </w:tcPr>
          <w:p w14:paraId="01988F1D"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0.999</w:t>
            </w:r>
          </w:p>
        </w:tc>
        <w:tc>
          <w:tcPr>
            <w:tcW w:w="1815" w:type="dxa"/>
            <w:tcBorders>
              <w:top w:val="single" w:sz="4" w:space="0" w:color="000000"/>
              <w:left w:val="single" w:sz="4" w:space="0" w:color="000000"/>
              <w:bottom w:val="single" w:sz="4" w:space="0" w:color="000000"/>
              <w:right w:val="single" w:sz="4" w:space="0" w:color="000000"/>
            </w:tcBorders>
          </w:tcPr>
          <w:p w14:paraId="54B6F558"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0.600</w:t>
            </w:r>
          </w:p>
        </w:tc>
        <w:tc>
          <w:tcPr>
            <w:tcW w:w="1952" w:type="dxa"/>
            <w:tcBorders>
              <w:top w:val="single" w:sz="4" w:space="0" w:color="000000"/>
              <w:left w:val="single" w:sz="4" w:space="0" w:color="000000"/>
              <w:bottom w:val="single" w:sz="4" w:space="0" w:color="000000"/>
              <w:right w:val="single" w:sz="4" w:space="0" w:color="000000"/>
            </w:tcBorders>
          </w:tcPr>
          <w:p w14:paraId="09EF1873"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0.999</w:t>
            </w:r>
          </w:p>
        </w:tc>
        <w:tc>
          <w:tcPr>
            <w:tcW w:w="2129" w:type="dxa"/>
            <w:tcBorders>
              <w:top w:val="single" w:sz="4" w:space="0" w:color="000000"/>
              <w:left w:val="single" w:sz="4" w:space="0" w:color="000000"/>
              <w:bottom w:val="single" w:sz="4" w:space="0" w:color="000000"/>
              <w:right w:val="single" w:sz="4" w:space="0" w:color="000000"/>
            </w:tcBorders>
          </w:tcPr>
          <w:p w14:paraId="3489ACCC"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0.600</w:t>
            </w:r>
          </w:p>
        </w:tc>
      </w:tr>
      <w:tr w:rsidR="00976AF5" w14:paraId="5FDFF10C"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253D77D2"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Treynor ratio</w:t>
            </w:r>
          </w:p>
        </w:tc>
        <w:tc>
          <w:tcPr>
            <w:tcW w:w="1708" w:type="dxa"/>
            <w:tcBorders>
              <w:top w:val="single" w:sz="4" w:space="0" w:color="000000"/>
              <w:left w:val="single" w:sz="4" w:space="0" w:color="000000"/>
              <w:bottom w:val="single" w:sz="4" w:space="0" w:color="000000"/>
              <w:right w:val="single" w:sz="4" w:space="0" w:color="000000"/>
            </w:tcBorders>
          </w:tcPr>
          <w:p w14:paraId="422A76E0"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2.64</w:t>
            </w:r>
          </w:p>
        </w:tc>
        <w:tc>
          <w:tcPr>
            <w:tcW w:w="1815" w:type="dxa"/>
            <w:tcBorders>
              <w:top w:val="single" w:sz="4" w:space="0" w:color="000000"/>
              <w:left w:val="single" w:sz="4" w:space="0" w:color="000000"/>
              <w:bottom w:val="single" w:sz="4" w:space="0" w:color="000000"/>
              <w:right w:val="single" w:sz="4" w:space="0" w:color="000000"/>
            </w:tcBorders>
          </w:tcPr>
          <w:p w14:paraId="721F4311"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3.73</w:t>
            </w:r>
          </w:p>
        </w:tc>
        <w:tc>
          <w:tcPr>
            <w:tcW w:w="1952" w:type="dxa"/>
            <w:tcBorders>
              <w:top w:val="single" w:sz="4" w:space="0" w:color="000000"/>
              <w:left w:val="single" w:sz="4" w:space="0" w:color="000000"/>
              <w:bottom w:val="single" w:sz="4" w:space="0" w:color="000000"/>
              <w:right w:val="single" w:sz="4" w:space="0" w:color="000000"/>
            </w:tcBorders>
          </w:tcPr>
          <w:p w14:paraId="345CDF42"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2.64</w:t>
            </w:r>
          </w:p>
        </w:tc>
        <w:tc>
          <w:tcPr>
            <w:tcW w:w="2129" w:type="dxa"/>
            <w:tcBorders>
              <w:top w:val="single" w:sz="4" w:space="0" w:color="000000"/>
              <w:left w:val="single" w:sz="4" w:space="0" w:color="000000"/>
              <w:bottom w:val="single" w:sz="4" w:space="0" w:color="000000"/>
              <w:right w:val="single" w:sz="4" w:space="0" w:color="000000"/>
            </w:tcBorders>
          </w:tcPr>
          <w:p w14:paraId="69EDB905"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-11.96</w:t>
            </w:r>
          </w:p>
        </w:tc>
      </w:tr>
    </w:tbl>
    <w:p w14:paraId="2D2F3958" w14:textId="77777777" w:rsidR="00976AF5" w:rsidRDefault="00976AF5" w:rsidP="00976AF5">
      <w:pPr>
        <w:jc w:val="both"/>
      </w:pPr>
    </w:p>
    <w:p w14:paraId="07B7B299" w14:textId="77777777" w:rsidR="00976AF5" w:rsidRDefault="00976AF5" w:rsidP="00976AF5">
      <w:pPr>
        <w:jc w:val="both"/>
      </w:pPr>
    </w:p>
    <w:p w14:paraId="2D4B51F4" w14:textId="77777777" w:rsidR="00976AF5" w:rsidRDefault="00976AF5" w:rsidP="00976AF5">
      <w:pPr>
        <w:jc w:val="both"/>
      </w:pPr>
      <w:r>
        <w:rPr>
          <w:noProof/>
        </w:rPr>
        <w:lastRenderedPageBreak/>
        <w:drawing>
          <wp:inline distT="0" distB="0" distL="0" distR="0" wp14:anchorId="50C7D4EB" wp14:editId="5D1FDBF2">
            <wp:extent cx="5875020" cy="4126230"/>
            <wp:effectExtent l="0" t="0" r="11430" b="7620"/>
            <wp:docPr id="12" name="Object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D93C439" w14:textId="77777777" w:rsidR="00976AF5" w:rsidRDefault="00976AF5" w:rsidP="00976AF5">
      <w:pPr>
        <w:spacing w:line="360" w:lineRule="auto"/>
        <w:jc w:val="both"/>
      </w:pPr>
    </w:p>
    <w:p w14:paraId="68DB9C97" w14:textId="77777777" w:rsidR="00976AF5" w:rsidRDefault="00976AF5" w:rsidP="00976AF5">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Interpretation:</w:t>
      </w:r>
    </w:p>
    <w:p w14:paraId="4C133D8C" w14:textId="77777777" w:rsidR="00976AF5" w:rsidRDefault="00976AF5" w:rsidP="00976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above table and graph analysis consist SBI magnum mid cap fund-Gr, Franklin India smaller companies, SBI magnum Mid cap fund-IDCW and Franklin India smaller companies fund-IDCW points for the year 2022, it can observe that SBI magnum mid cap fund-Gr annual change is 8.628, Franklin India smaller companies-GR is 8.24,SBI magnum Mid cap fund-IDCW is 8.628 and in franklin India smaller companies fund-IDCW -1.18.</w:t>
      </w:r>
    </w:p>
    <w:p w14:paraId="192D04E5" w14:textId="77777777" w:rsidR="00976AF5" w:rsidRDefault="00976AF5" w:rsidP="00976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a period of 12 months in the year of 2022 the growth funds have shown better performance in annual % change, standard deviation and Sharpe ratio than compared to dividend funds. </w:t>
      </w:r>
    </w:p>
    <w:p w14:paraId="6F218148" w14:textId="77777777" w:rsidR="00976AF5" w:rsidRDefault="00976AF5" w:rsidP="00976AF5">
      <w:pPr>
        <w:spacing w:line="360" w:lineRule="auto"/>
        <w:jc w:val="both"/>
        <w:rPr>
          <w:rFonts w:ascii="Times New Roman" w:eastAsia="Times New Roman" w:hAnsi="Times New Roman" w:cs="Times New Roman"/>
          <w:sz w:val="24"/>
          <w:szCs w:val="24"/>
        </w:rPr>
      </w:pPr>
    </w:p>
    <w:p w14:paraId="73699AEB" w14:textId="77777777" w:rsidR="00976AF5" w:rsidRDefault="00976AF5" w:rsidP="00976AF5">
      <w:pPr>
        <w:spacing w:line="360" w:lineRule="auto"/>
        <w:jc w:val="both"/>
        <w:rPr>
          <w:rFonts w:ascii="Times New Roman" w:eastAsia="Times New Roman" w:hAnsi="Times New Roman" w:cs="Times New Roman"/>
          <w:sz w:val="24"/>
          <w:szCs w:val="24"/>
        </w:rPr>
      </w:pPr>
    </w:p>
    <w:p w14:paraId="52BE4335" w14:textId="77777777" w:rsidR="009974FD" w:rsidRDefault="009974FD" w:rsidP="00976AF5">
      <w:pPr>
        <w:spacing w:line="360" w:lineRule="auto"/>
        <w:jc w:val="both"/>
        <w:rPr>
          <w:rFonts w:ascii="Times New Roman" w:eastAsia="Times New Roman" w:hAnsi="Times New Roman" w:cs="Times New Roman"/>
          <w:sz w:val="24"/>
          <w:szCs w:val="24"/>
        </w:rPr>
      </w:pPr>
    </w:p>
    <w:p w14:paraId="775F98EF" w14:textId="77777777" w:rsidR="009974FD" w:rsidRDefault="009974FD" w:rsidP="00976AF5">
      <w:pPr>
        <w:spacing w:line="360" w:lineRule="auto"/>
        <w:jc w:val="both"/>
        <w:rPr>
          <w:rFonts w:ascii="Times New Roman" w:eastAsia="Times New Roman" w:hAnsi="Times New Roman" w:cs="Times New Roman"/>
          <w:sz w:val="24"/>
          <w:szCs w:val="24"/>
        </w:rPr>
      </w:pPr>
    </w:p>
    <w:p w14:paraId="35691BA3" w14:textId="77777777" w:rsidR="00976AF5" w:rsidRDefault="00976AF5" w:rsidP="00976AF5">
      <w:pPr>
        <w:spacing w:line="360" w:lineRule="auto"/>
        <w:jc w:val="both"/>
        <w:rPr>
          <w:rFonts w:ascii="Times New Roman" w:eastAsia="Times New Roman" w:hAnsi="Times New Roman" w:cs="Times New Roman"/>
          <w:sz w:val="24"/>
          <w:szCs w:val="24"/>
        </w:rPr>
      </w:pPr>
    </w:p>
    <w:p w14:paraId="1C561635" w14:textId="77777777" w:rsidR="00976AF5" w:rsidRDefault="00976AF5" w:rsidP="00976AF5">
      <w:pPr>
        <w:jc w:val="both"/>
        <w:rPr>
          <w:rFonts w:ascii="Times New Roman" w:eastAsia="Times New Roman" w:hAnsi="Times New Roman" w:cs="Times New Roman"/>
          <w:sz w:val="24"/>
          <w:szCs w:val="24"/>
        </w:rPr>
      </w:pPr>
    </w:p>
    <w:p w14:paraId="2D9EA880" w14:textId="77777777" w:rsidR="00976AF5" w:rsidRDefault="00976AF5" w:rsidP="00976AF5">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5: Performance of both Growth option and Dividend option for the year of 2023</w:t>
      </w:r>
    </w:p>
    <w:tbl>
      <w:tblPr>
        <w:tblW w:w="9584" w:type="dxa"/>
        <w:tblLayout w:type="fixed"/>
        <w:tblLook w:val="0400" w:firstRow="0" w:lastRow="0" w:firstColumn="0" w:lastColumn="0" w:noHBand="0" w:noVBand="1"/>
      </w:tblPr>
      <w:tblGrid>
        <w:gridCol w:w="1980"/>
        <w:gridCol w:w="1708"/>
        <w:gridCol w:w="1815"/>
        <w:gridCol w:w="1952"/>
        <w:gridCol w:w="2129"/>
      </w:tblGrid>
      <w:tr w:rsidR="00976AF5" w14:paraId="0B7DA0DE" w14:textId="77777777" w:rsidTr="00E70C0A">
        <w:tc>
          <w:tcPr>
            <w:tcW w:w="9584" w:type="dxa"/>
            <w:gridSpan w:val="5"/>
            <w:tcBorders>
              <w:top w:val="single" w:sz="4" w:space="0" w:color="000000"/>
              <w:left w:val="single" w:sz="4" w:space="0" w:color="000000"/>
              <w:right w:val="single" w:sz="4" w:space="0" w:color="000000"/>
            </w:tcBorders>
          </w:tcPr>
          <w:p w14:paraId="3AB307A6" w14:textId="77777777" w:rsidR="00976AF5" w:rsidRDefault="00976AF5" w:rsidP="00E70C0A">
            <w:pPr>
              <w:widowControl w:val="0"/>
              <w:jc w:val="center"/>
              <w:rPr>
                <w:rFonts w:ascii="Times New Roman" w:eastAsia="Times New Roman" w:hAnsi="Times New Roman" w:cs="Times New Roman"/>
                <w:b/>
                <w:color w:val="000000"/>
                <w:sz w:val="24"/>
                <w:szCs w:val="24"/>
              </w:rPr>
            </w:pPr>
          </w:p>
          <w:p w14:paraId="01393A49"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 of change in NAV-2023</w:t>
            </w:r>
          </w:p>
        </w:tc>
      </w:tr>
      <w:tr w:rsidR="00976AF5" w14:paraId="63BF984B" w14:textId="77777777" w:rsidTr="00E70C0A">
        <w:tc>
          <w:tcPr>
            <w:tcW w:w="1980" w:type="dxa"/>
            <w:vMerge w:val="restart"/>
            <w:tcBorders>
              <w:top w:val="single" w:sz="4" w:space="0" w:color="000000"/>
              <w:left w:val="single" w:sz="4" w:space="0" w:color="000000"/>
              <w:bottom w:val="single" w:sz="4" w:space="0" w:color="000000"/>
              <w:right w:val="single" w:sz="4" w:space="0" w:color="000000"/>
            </w:tcBorders>
          </w:tcPr>
          <w:p w14:paraId="6D912DC7" w14:textId="77777777" w:rsidR="00976AF5" w:rsidRDefault="00976AF5" w:rsidP="00E70C0A">
            <w:pPr>
              <w:widowControl w:val="0"/>
              <w:rPr>
                <w:rFonts w:ascii="Times New Roman" w:eastAsia="Times New Roman" w:hAnsi="Times New Roman" w:cs="Times New Roman"/>
                <w:color w:val="000000"/>
                <w:sz w:val="24"/>
                <w:szCs w:val="24"/>
              </w:rPr>
            </w:pPr>
            <w:bookmarkStart w:id="4" w:name="_heading=h.2et92p0"/>
            <w:bookmarkEnd w:id="4"/>
          </w:p>
          <w:p w14:paraId="75961B6C"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Date</w:t>
            </w:r>
          </w:p>
        </w:tc>
        <w:tc>
          <w:tcPr>
            <w:tcW w:w="3523" w:type="dxa"/>
            <w:gridSpan w:val="2"/>
            <w:tcBorders>
              <w:top w:val="single" w:sz="4" w:space="0" w:color="000000"/>
              <w:left w:val="single" w:sz="4" w:space="0" w:color="000000"/>
              <w:bottom w:val="single" w:sz="4" w:space="0" w:color="000000"/>
              <w:right w:val="single" w:sz="4" w:space="0" w:color="000000"/>
            </w:tcBorders>
          </w:tcPr>
          <w:p w14:paraId="1AA6E4AA"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Growth option</w:t>
            </w:r>
          </w:p>
        </w:tc>
        <w:tc>
          <w:tcPr>
            <w:tcW w:w="4081" w:type="dxa"/>
            <w:gridSpan w:val="2"/>
            <w:tcBorders>
              <w:top w:val="single" w:sz="4" w:space="0" w:color="000000"/>
              <w:left w:val="single" w:sz="4" w:space="0" w:color="000000"/>
              <w:bottom w:val="single" w:sz="4" w:space="0" w:color="000000"/>
              <w:right w:val="single" w:sz="4" w:space="0" w:color="000000"/>
            </w:tcBorders>
          </w:tcPr>
          <w:p w14:paraId="0F9F0CED" w14:textId="77777777" w:rsidR="00976AF5" w:rsidRDefault="00976AF5" w:rsidP="00E70C0A">
            <w:pPr>
              <w:widowControl w:val="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Dividend Option</w:t>
            </w:r>
          </w:p>
        </w:tc>
      </w:tr>
      <w:tr w:rsidR="00976AF5" w14:paraId="2AEA2B55" w14:textId="77777777" w:rsidTr="00E70C0A">
        <w:tc>
          <w:tcPr>
            <w:tcW w:w="1980" w:type="dxa"/>
            <w:vMerge/>
            <w:tcBorders>
              <w:top w:val="single" w:sz="4" w:space="0" w:color="000000"/>
              <w:left w:val="single" w:sz="4" w:space="0" w:color="000000"/>
              <w:bottom w:val="single" w:sz="4" w:space="0" w:color="000000"/>
              <w:right w:val="single" w:sz="4" w:space="0" w:color="000000"/>
            </w:tcBorders>
          </w:tcPr>
          <w:p w14:paraId="484257ED" w14:textId="77777777" w:rsidR="00976AF5" w:rsidRDefault="00976AF5" w:rsidP="00E70C0A">
            <w:pPr>
              <w:widowControl w:val="0"/>
              <w:spacing w:after="0" w:line="276" w:lineRule="auto"/>
              <w:rPr>
                <w:rFonts w:ascii="Times New Roman" w:eastAsia="Times New Roman" w:hAnsi="Times New Roman" w:cs="Times New Roman"/>
                <w:b/>
                <w:color w:val="000000"/>
                <w:sz w:val="24"/>
                <w:szCs w:val="24"/>
              </w:rPr>
            </w:pPr>
          </w:p>
        </w:tc>
        <w:tc>
          <w:tcPr>
            <w:tcW w:w="1708" w:type="dxa"/>
            <w:tcBorders>
              <w:top w:val="single" w:sz="4" w:space="0" w:color="000000"/>
              <w:left w:val="single" w:sz="4" w:space="0" w:color="000000"/>
              <w:bottom w:val="single" w:sz="4" w:space="0" w:color="000000"/>
              <w:right w:val="single" w:sz="4" w:space="0" w:color="000000"/>
            </w:tcBorders>
          </w:tcPr>
          <w:p w14:paraId="34340168"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SBI Magnum Mid fund -Gr</w:t>
            </w:r>
          </w:p>
        </w:tc>
        <w:tc>
          <w:tcPr>
            <w:tcW w:w="1815" w:type="dxa"/>
            <w:tcBorders>
              <w:top w:val="single" w:sz="4" w:space="0" w:color="000000"/>
              <w:left w:val="single" w:sz="4" w:space="0" w:color="000000"/>
              <w:bottom w:val="single" w:sz="4" w:space="0" w:color="000000"/>
              <w:right w:val="single" w:sz="4" w:space="0" w:color="000000"/>
            </w:tcBorders>
          </w:tcPr>
          <w:p w14:paraId="4A26B23F"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Franklin India Smaller companies-Gr</w:t>
            </w:r>
          </w:p>
        </w:tc>
        <w:tc>
          <w:tcPr>
            <w:tcW w:w="1952" w:type="dxa"/>
            <w:tcBorders>
              <w:top w:val="single" w:sz="4" w:space="0" w:color="000000"/>
              <w:left w:val="single" w:sz="4" w:space="0" w:color="000000"/>
              <w:bottom w:val="single" w:sz="4" w:space="0" w:color="000000"/>
              <w:right w:val="single" w:sz="4" w:space="0" w:color="000000"/>
            </w:tcBorders>
          </w:tcPr>
          <w:p w14:paraId="4990EEF5"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SBI Magnum Mid fund - IDCW</w:t>
            </w:r>
          </w:p>
        </w:tc>
        <w:tc>
          <w:tcPr>
            <w:tcW w:w="2129" w:type="dxa"/>
            <w:tcBorders>
              <w:top w:val="single" w:sz="4" w:space="0" w:color="000000"/>
              <w:left w:val="single" w:sz="4" w:space="0" w:color="000000"/>
              <w:bottom w:val="single" w:sz="4" w:space="0" w:color="000000"/>
              <w:right w:val="single" w:sz="4" w:space="0" w:color="000000"/>
            </w:tcBorders>
          </w:tcPr>
          <w:p w14:paraId="582BFF33" w14:textId="77777777" w:rsidR="00976AF5" w:rsidRDefault="00976AF5" w:rsidP="00E70C0A">
            <w:pPr>
              <w:widowControl w:val="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Franklin India Smaller companies- IDCW</w:t>
            </w:r>
          </w:p>
        </w:tc>
      </w:tr>
      <w:tr w:rsidR="00976AF5" w14:paraId="4E031F73" w14:textId="77777777" w:rsidTr="00E70C0A">
        <w:trPr>
          <w:trHeight w:val="345"/>
        </w:trPr>
        <w:tc>
          <w:tcPr>
            <w:tcW w:w="1980" w:type="dxa"/>
            <w:tcBorders>
              <w:top w:val="single" w:sz="4" w:space="0" w:color="000000"/>
              <w:left w:val="single" w:sz="4" w:space="0" w:color="000000"/>
              <w:bottom w:val="single" w:sz="4" w:space="0" w:color="000000"/>
              <w:right w:val="single" w:sz="4" w:space="0" w:color="000000"/>
            </w:tcBorders>
          </w:tcPr>
          <w:p w14:paraId="748D339E" w14:textId="77777777" w:rsidR="00976AF5" w:rsidRDefault="00976AF5" w:rsidP="00E70C0A">
            <w:pPr>
              <w:widowControl w:val="0"/>
              <w:jc w:val="center"/>
              <w:rPr>
                <w:color w:val="000000"/>
                <w:sz w:val="20"/>
                <w:szCs w:val="20"/>
              </w:rPr>
            </w:pPr>
            <w:r>
              <w:rPr>
                <w:color w:val="000000"/>
                <w:sz w:val="20"/>
                <w:szCs w:val="20"/>
              </w:rPr>
              <w:t>02-01-2023</w:t>
            </w:r>
          </w:p>
        </w:tc>
        <w:tc>
          <w:tcPr>
            <w:tcW w:w="1708" w:type="dxa"/>
            <w:tcBorders>
              <w:top w:val="single" w:sz="4" w:space="0" w:color="000000"/>
              <w:left w:val="single" w:sz="4" w:space="0" w:color="000000"/>
              <w:bottom w:val="single" w:sz="4" w:space="0" w:color="000000"/>
              <w:right w:val="single" w:sz="4" w:space="0" w:color="000000"/>
            </w:tcBorders>
          </w:tcPr>
          <w:p w14:paraId="68022922" w14:textId="77777777" w:rsidR="00976AF5" w:rsidRDefault="00976AF5" w:rsidP="00E70C0A">
            <w:pPr>
              <w:widowControl w:val="0"/>
              <w:jc w:val="right"/>
              <w:rPr>
                <w:color w:val="000000"/>
                <w:sz w:val="20"/>
                <w:szCs w:val="20"/>
              </w:rPr>
            </w:pPr>
            <w:r>
              <w:rPr>
                <w:color w:val="000000"/>
                <w:sz w:val="20"/>
                <w:szCs w:val="20"/>
              </w:rPr>
              <w:t>-4.3226</w:t>
            </w:r>
          </w:p>
        </w:tc>
        <w:tc>
          <w:tcPr>
            <w:tcW w:w="1815" w:type="dxa"/>
            <w:tcBorders>
              <w:top w:val="single" w:sz="4" w:space="0" w:color="000000"/>
              <w:left w:val="single" w:sz="4" w:space="0" w:color="000000"/>
              <w:bottom w:val="single" w:sz="4" w:space="0" w:color="000000"/>
              <w:right w:val="single" w:sz="4" w:space="0" w:color="000000"/>
            </w:tcBorders>
          </w:tcPr>
          <w:p w14:paraId="35F0FD8E" w14:textId="77777777" w:rsidR="00976AF5" w:rsidRDefault="00976AF5" w:rsidP="00E70C0A">
            <w:pPr>
              <w:widowControl w:val="0"/>
              <w:jc w:val="right"/>
              <w:rPr>
                <w:color w:val="000000"/>
                <w:sz w:val="20"/>
                <w:szCs w:val="20"/>
              </w:rPr>
            </w:pPr>
            <w:r>
              <w:rPr>
                <w:color w:val="000000"/>
                <w:sz w:val="20"/>
                <w:szCs w:val="20"/>
              </w:rPr>
              <w:t>-1.3025</w:t>
            </w:r>
          </w:p>
        </w:tc>
        <w:tc>
          <w:tcPr>
            <w:tcW w:w="1952" w:type="dxa"/>
            <w:tcBorders>
              <w:top w:val="single" w:sz="4" w:space="0" w:color="000000"/>
              <w:left w:val="single" w:sz="4" w:space="0" w:color="000000"/>
              <w:bottom w:val="single" w:sz="4" w:space="0" w:color="000000"/>
              <w:right w:val="single" w:sz="4" w:space="0" w:color="000000"/>
            </w:tcBorders>
          </w:tcPr>
          <w:p w14:paraId="793C0241" w14:textId="77777777" w:rsidR="00976AF5" w:rsidRDefault="00976AF5" w:rsidP="00E70C0A">
            <w:pPr>
              <w:widowControl w:val="0"/>
              <w:jc w:val="right"/>
              <w:rPr>
                <w:color w:val="000000"/>
                <w:sz w:val="20"/>
                <w:szCs w:val="20"/>
              </w:rPr>
            </w:pPr>
            <w:r>
              <w:rPr>
                <w:color w:val="000000"/>
                <w:sz w:val="20"/>
                <w:szCs w:val="20"/>
              </w:rPr>
              <w:t>-1.7662</w:t>
            </w:r>
          </w:p>
        </w:tc>
        <w:tc>
          <w:tcPr>
            <w:tcW w:w="2129" w:type="dxa"/>
            <w:tcBorders>
              <w:top w:val="single" w:sz="4" w:space="0" w:color="000000"/>
              <w:left w:val="single" w:sz="4" w:space="0" w:color="000000"/>
              <w:bottom w:val="single" w:sz="4" w:space="0" w:color="000000"/>
              <w:right w:val="single" w:sz="4" w:space="0" w:color="000000"/>
            </w:tcBorders>
          </w:tcPr>
          <w:p w14:paraId="0E2F775F" w14:textId="77777777" w:rsidR="00976AF5" w:rsidRDefault="00976AF5" w:rsidP="00E70C0A">
            <w:pPr>
              <w:widowControl w:val="0"/>
              <w:jc w:val="right"/>
              <w:rPr>
                <w:color w:val="000000"/>
                <w:sz w:val="20"/>
                <w:szCs w:val="20"/>
              </w:rPr>
            </w:pPr>
            <w:r>
              <w:rPr>
                <w:color w:val="000000"/>
                <w:sz w:val="20"/>
                <w:szCs w:val="20"/>
              </w:rPr>
              <w:t>-0.4772</w:t>
            </w:r>
          </w:p>
        </w:tc>
      </w:tr>
      <w:tr w:rsidR="00976AF5" w14:paraId="4405332B"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68DA517F" w14:textId="77777777" w:rsidR="00976AF5" w:rsidRDefault="00976AF5" w:rsidP="00E70C0A">
            <w:pPr>
              <w:widowControl w:val="0"/>
              <w:jc w:val="center"/>
              <w:rPr>
                <w:color w:val="000000"/>
                <w:sz w:val="20"/>
                <w:szCs w:val="20"/>
              </w:rPr>
            </w:pPr>
            <w:r>
              <w:rPr>
                <w:color w:val="000000"/>
                <w:sz w:val="20"/>
                <w:szCs w:val="20"/>
              </w:rPr>
              <w:t>01-02-2023</w:t>
            </w:r>
          </w:p>
        </w:tc>
        <w:tc>
          <w:tcPr>
            <w:tcW w:w="1708" w:type="dxa"/>
            <w:tcBorders>
              <w:top w:val="single" w:sz="4" w:space="0" w:color="000000"/>
              <w:left w:val="single" w:sz="4" w:space="0" w:color="000000"/>
              <w:bottom w:val="single" w:sz="4" w:space="0" w:color="000000"/>
              <w:right w:val="single" w:sz="4" w:space="0" w:color="000000"/>
            </w:tcBorders>
          </w:tcPr>
          <w:p w14:paraId="1A75635C" w14:textId="77777777" w:rsidR="00976AF5" w:rsidRDefault="00976AF5" w:rsidP="00E70C0A">
            <w:pPr>
              <w:widowControl w:val="0"/>
              <w:jc w:val="right"/>
              <w:rPr>
                <w:color w:val="000000"/>
                <w:sz w:val="20"/>
                <w:szCs w:val="20"/>
              </w:rPr>
            </w:pPr>
            <w:r>
              <w:rPr>
                <w:color w:val="000000"/>
                <w:sz w:val="20"/>
                <w:szCs w:val="20"/>
              </w:rPr>
              <w:t>-2.4093</w:t>
            </w:r>
          </w:p>
        </w:tc>
        <w:tc>
          <w:tcPr>
            <w:tcW w:w="1815" w:type="dxa"/>
            <w:tcBorders>
              <w:top w:val="single" w:sz="4" w:space="0" w:color="000000"/>
              <w:left w:val="single" w:sz="4" w:space="0" w:color="000000"/>
              <w:bottom w:val="single" w:sz="4" w:space="0" w:color="000000"/>
              <w:right w:val="single" w:sz="4" w:space="0" w:color="000000"/>
            </w:tcBorders>
          </w:tcPr>
          <w:p w14:paraId="24717B51" w14:textId="77777777" w:rsidR="00976AF5" w:rsidRDefault="00976AF5" w:rsidP="00E70C0A">
            <w:pPr>
              <w:widowControl w:val="0"/>
              <w:jc w:val="right"/>
              <w:rPr>
                <w:color w:val="000000"/>
                <w:sz w:val="20"/>
                <w:szCs w:val="20"/>
              </w:rPr>
            </w:pPr>
            <w:r>
              <w:rPr>
                <w:color w:val="000000"/>
                <w:sz w:val="20"/>
                <w:szCs w:val="20"/>
              </w:rPr>
              <w:t>-2.7672</w:t>
            </w:r>
          </w:p>
        </w:tc>
        <w:tc>
          <w:tcPr>
            <w:tcW w:w="1952" w:type="dxa"/>
            <w:tcBorders>
              <w:top w:val="single" w:sz="4" w:space="0" w:color="000000"/>
              <w:left w:val="single" w:sz="4" w:space="0" w:color="000000"/>
              <w:bottom w:val="single" w:sz="4" w:space="0" w:color="000000"/>
              <w:right w:val="single" w:sz="4" w:space="0" w:color="000000"/>
            </w:tcBorders>
          </w:tcPr>
          <w:p w14:paraId="3094A36D" w14:textId="77777777" w:rsidR="00976AF5" w:rsidRDefault="00976AF5" w:rsidP="00E70C0A">
            <w:pPr>
              <w:widowControl w:val="0"/>
              <w:jc w:val="right"/>
              <w:rPr>
                <w:color w:val="000000"/>
                <w:sz w:val="20"/>
                <w:szCs w:val="20"/>
              </w:rPr>
            </w:pPr>
            <w:r>
              <w:rPr>
                <w:color w:val="000000"/>
                <w:sz w:val="20"/>
                <w:szCs w:val="20"/>
              </w:rPr>
              <w:t>-0.9845</w:t>
            </w:r>
          </w:p>
        </w:tc>
        <w:tc>
          <w:tcPr>
            <w:tcW w:w="2129" w:type="dxa"/>
            <w:tcBorders>
              <w:top w:val="single" w:sz="4" w:space="0" w:color="000000"/>
              <w:left w:val="single" w:sz="4" w:space="0" w:color="000000"/>
              <w:bottom w:val="single" w:sz="4" w:space="0" w:color="000000"/>
              <w:right w:val="single" w:sz="4" w:space="0" w:color="000000"/>
            </w:tcBorders>
          </w:tcPr>
          <w:p w14:paraId="514E4DA2" w14:textId="77777777" w:rsidR="00976AF5" w:rsidRDefault="00976AF5" w:rsidP="00E70C0A">
            <w:pPr>
              <w:widowControl w:val="0"/>
              <w:jc w:val="right"/>
              <w:rPr>
                <w:color w:val="000000"/>
                <w:sz w:val="20"/>
                <w:szCs w:val="20"/>
              </w:rPr>
            </w:pPr>
            <w:r>
              <w:rPr>
                <w:color w:val="000000"/>
                <w:sz w:val="20"/>
                <w:szCs w:val="20"/>
              </w:rPr>
              <w:t>-1.0140</w:t>
            </w:r>
          </w:p>
        </w:tc>
      </w:tr>
      <w:tr w:rsidR="00976AF5" w14:paraId="51B69A8C"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1688C101" w14:textId="77777777" w:rsidR="00976AF5" w:rsidRDefault="00976AF5" w:rsidP="00E70C0A">
            <w:pPr>
              <w:widowControl w:val="0"/>
              <w:jc w:val="center"/>
              <w:rPr>
                <w:color w:val="000000"/>
                <w:sz w:val="20"/>
                <w:szCs w:val="20"/>
              </w:rPr>
            </w:pPr>
            <w:r>
              <w:rPr>
                <w:color w:val="000000"/>
                <w:sz w:val="20"/>
                <w:szCs w:val="20"/>
              </w:rPr>
              <w:t>01-03-2023</w:t>
            </w:r>
          </w:p>
        </w:tc>
        <w:tc>
          <w:tcPr>
            <w:tcW w:w="1708" w:type="dxa"/>
            <w:tcBorders>
              <w:top w:val="single" w:sz="4" w:space="0" w:color="000000"/>
              <w:left w:val="single" w:sz="4" w:space="0" w:color="000000"/>
              <w:bottom w:val="single" w:sz="4" w:space="0" w:color="000000"/>
              <w:right w:val="single" w:sz="4" w:space="0" w:color="000000"/>
            </w:tcBorders>
          </w:tcPr>
          <w:p w14:paraId="176108AD" w14:textId="77777777" w:rsidR="00976AF5" w:rsidRDefault="00976AF5" w:rsidP="00E70C0A">
            <w:pPr>
              <w:widowControl w:val="0"/>
              <w:jc w:val="right"/>
              <w:rPr>
                <w:color w:val="000000"/>
                <w:sz w:val="20"/>
                <w:szCs w:val="20"/>
              </w:rPr>
            </w:pPr>
            <w:r>
              <w:rPr>
                <w:color w:val="000000"/>
                <w:sz w:val="20"/>
                <w:szCs w:val="20"/>
              </w:rPr>
              <w:t>4.6009</w:t>
            </w:r>
          </w:p>
        </w:tc>
        <w:tc>
          <w:tcPr>
            <w:tcW w:w="1815" w:type="dxa"/>
            <w:tcBorders>
              <w:top w:val="single" w:sz="4" w:space="0" w:color="000000"/>
              <w:left w:val="single" w:sz="4" w:space="0" w:color="000000"/>
              <w:bottom w:val="single" w:sz="4" w:space="0" w:color="000000"/>
              <w:right w:val="single" w:sz="4" w:space="0" w:color="000000"/>
            </w:tcBorders>
          </w:tcPr>
          <w:p w14:paraId="00968900" w14:textId="77777777" w:rsidR="00976AF5" w:rsidRDefault="00976AF5" w:rsidP="00E70C0A">
            <w:pPr>
              <w:widowControl w:val="0"/>
              <w:jc w:val="right"/>
              <w:rPr>
                <w:color w:val="000000"/>
                <w:sz w:val="20"/>
                <w:szCs w:val="20"/>
              </w:rPr>
            </w:pPr>
            <w:r>
              <w:rPr>
                <w:color w:val="000000"/>
                <w:sz w:val="20"/>
                <w:szCs w:val="20"/>
              </w:rPr>
              <w:t>3.7367</w:t>
            </w:r>
          </w:p>
        </w:tc>
        <w:tc>
          <w:tcPr>
            <w:tcW w:w="1952" w:type="dxa"/>
            <w:tcBorders>
              <w:top w:val="single" w:sz="4" w:space="0" w:color="000000"/>
              <w:left w:val="single" w:sz="4" w:space="0" w:color="000000"/>
              <w:bottom w:val="single" w:sz="4" w:space="0" w:color="000000"/>
              <w:right w:val="single" w:sz="4" w:space="0" w:color="000000"/>
            </w:tcBorders>
          </w:tcPr>
          <w:p w14:paraId="2A1288A9" w14:textId="77777777" w:rsidR="00976AF5" w:rsidRDefault="00976AF5" w:rsidP="00E70C0A">
            <w:pPr>
              <w:widowControl w:val="0"/>
              <w:jc w:val="right"/>
              <w:rPr>
                <w:color w:val="000000"/>
                <w:sz w:val="20"/>
                <w:szCs w:val="20"/>
              </w:rPr>
            </w:pPr>
            <w:r>
              <w:rPr>
                <w:color w:val="000000"/>
                <w:sz w:val="20"/>
                <w:szCs w:val="20"/>
              </w:rPr>
              <w:t>1.8800</w:t>
            </w:r>
          </w:p>
        </w:tc>
        <w:tc>
          <w:tcPr>
            <w:tcW w:w="2129" w:type="dxa"/>
            <w:tcBorders>
              <w:top w:val="single" w:sz="4" w:space="0" w:color="000000"/>
              <w:left w:val="single" w:sz="4" w:space="0" w:color="000000"/>
              <w:bottom w:val="single" w:sz="4" w:space="0" w:color="000000"/>
              <w:right w:val="single" w:sz="4" w:space="0" w:color="000000"/>
            </w:tcBorders>
          </w:tcPr>
          <w:p w14:paraId="24119610" w14:textId="77777777" w:rsidR="00976AF5" w:rsidRDefault="00976AF5" w:rsidP="00E70C0A">
            <w:pPr>
              <w:widowControl w:val="0"/>
              <w:jc w:val="right"/>
              <w:rPr>
                <w:color w:val="000000"/>
                <w:sz w:val="20"/>
                <w:szCs w:val="20"/>
              </w:rPr>
            </w:pPr>
            <w:r>
              <w:rPr>
                <w:color w:val="000000"/>
                <w:sz w:val="20"/>
                <w:szCs w:val="20"/>
              </w:rPr>
              <w:t>1.3692</w:t>
            </w:r>
          </w:p>
        </w:tc>
      </w:tr>
      <w:tr w:rsidR="00976AF5" w14:paraId="79BC2981"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6553CDED" w14:textId="77777777" w:rsidR="00976AF5" w:rsidRDefault="00976AF5" w:rsidP="00E70C0A">
            <w:pPr>
              <w:widowControl w:val="0"/>
              <w:jc w:val="center"/>
              <w:rPr>
                <w:color w:val="000000"/>
                <w:sz w:val="20"/>
                <w:szCs w:val="20"/>
              </w:rPr>
            </w:pPr>
            <w:r>
              <w:rPr>
                <w:color w:val="000000"/>
                <w:sz w:val="20"/>
                <w:szCs w:val="20"/>
              </w:rPr>
              <w:t>03-04-2023</w:t>
            </w:r>
          </w:p>
        </w:tc>
        <w:tc>
          <w:tcPr>
            <w:tcW w:w="1708" w:type="dxa"/>
            <w:tcBorders>
              <w:top w:val="single" w:sz="4" w:space="0" w:color="000000"/>
              <w:left w:val="single" w:sz="4" w:space="0" w:color="000000"/>
              <w:bottom w:val="single" w:sz="4" w:space="0" w:color="000000"/>
              <w:right w:val="single" w:sz="4" w:space="0" w:color="000000"/>
            </w:tcBorders>
          </w:tcPr>
          <w:p w14:paraId="5B0FF62E" w14:textId="77777777" w:rsidR="00976AF5" w:rsidRDefault="00976AF5" w:rsidP="00E70C0A">
            <w:pPr>
              <w:widowControl w:val="0"/>
              <w:jc w:val="right"/>
              <w:rPr>
                <w:color w:val="000000"/>
                <w:sz w:val="20"/>
                <w:szCs w:val="20"/>
              </w:rPr>
            </w:pPr>
            <w:r>
              <w:rPr>
                <w:color w:val="000000"/>
                <w:sz w:val="20"/>
                <w:szCs w:val="20"/>
              </w:rPr>
              <w:t>-3.7102</w:t>
            </w:r>
          </w:p>
        </w:tc>
        <w:tc>
          <w:tcPr>
            <w:tcW w:w="1815" w:type="dxa"/>
            <w:tcBorders>
              <w:top w:val="single" w:sz="4" w:space="0" w:color="000000"/>
              <w:left w:val="single" w:sz="4" w:space="0" w:color="000000"/>
              <w:bottom w:val="single" w:sz="4" w:space="0" w:color="000000"/>
              <w:right w:val="single" w:sz="4" w:space="0" w:color="000000"/>
            </w:tcBorders>
          </w:tcPr>
          <w:p w14:paraId="0E6430EF" w14:textId="77777777" w:rsidR="00976AF5" w:rsidRDefault="00976AF5" w:rsidP="00E70C0A">
            <w:pPr>
              <w:widowControl w:val="0"/>
              <w:jc w:val="right"/>
              <w:rPr>
                <w:color w:val="000000"/>
                <w:sz w:val="20"/>
                <w:szCs w:val="20"/>
              </w:rPr>
            </w:pPr>
            <w:r>
              <w:rPr>
                <w:color w:val="000000"/>
                <w:sz w:val="20"/>
                <w:szCs w:val="20"/>
              </w:rPr>
              <w:t>-0.8331</w:t>
            </w:r>
          </w:p>
        </w:tc>
        <w:tc>
          <w:tcPr>
            <w:tcW w:w="1952" w:type="dxa"/>
            <w:tcBorders>
              <w:top w:val="single" w:sz="4" w:space="0" w:color="000000"/>
              <w:left w:val="single" w:sz="4" w:space="0" w:color="000000"/>
              <w:bottom w:val="single" w:sz="4" w:space="0" w:color="000000"/>
              <w:right w:val="single" w:sz="4" w:space="0" w:color="000000"/>
            </w:tcBorders>
          </w:tcPr>
          <w:p w14:paraId="34B5FBB8" w14:textId="77777777" w:rsidR="00976AF5" w:rsidRDefault="00976AF5" w:rsidP="00E70C0A">
            <w:pPr>
              <w:widowControl w:val="0"/>
              <w:jc w:val="right"/>
              <w:rPr>
                <w:color w:val="000000"/>
                <w:sz w:val="20"/>
                <w:szCs w:val="20"/>
              </w:rPr>
            </w:pPr>
            <w:r>
              <w:rPr>
                <w:color w:val="000000"/>
                <w:sz w:val="20"/>
                <w:szCs w:val="20"/>
              </w:rPr>
              <w:t>-1.5160</w:t>
            </w:r>
          </w:p>
        </w:tc>
        <w:tc>
          <w:tcPr>
            <w:tcW w:w="2129" w:type="dxa"/>
            <w:tcBorders>
              <w:top w:val="single" w:sz="4" w:space="0" w:color="000000"/>
              <w:left w:val="single" w:sz="4" w:space="0" w:color="000000"/>
              <w:bottom w:val="single" w:sz="4" w:space="0" w:color="000000"/>
              <w:right w:val="single" w:sz="4" w:space="0" w:color="000000"/>
            </w:tcBorders>
          </w:tcPr>
          <w:p w14:paraId="448692D7" w14:textId="77777777" w:rsidR="00976AF5" w:rsidRDefault="00976AF5" w:rsidP="00E70C0A">
            <w:pPr>
              <w:widowControl w:val="0"/>
              <w:jc w:val="right"/>
              <w:rPr>
                <w:color w:val="000000"/>
                <w:sz w:val="20"/>
                <w:szCs w:val="20"/>
              </w:rPr>
            </w:pPr>
            <w:r>
              <w:rPr>
                <w:color w:val="000000"/>
                <w:sz w:val="20"/>
                <w:szCs w:val="20"/>
              </w:rPr>
              <w:t>-3.2524</w:t>
            </w:r>
          </w:p>
        </w:tc>
      </w:tr>
      <w:tr w:rsidR="00976AF5" w14:paraId="4EED1634"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42912D2E" w14:textId="77777777" w:rsidR="00976AF5" w:rsidRDefault="00976AF5" w:rsidP="00E70C0A">
            <w:pPr>
              <w:widowControl w:val="0"/>
              <w:jc w:val="center"/>
              <w:rPr>
                <w:color w:val="000000"/>
                <w:sz w:val="20"/>
                <w:szCs w:val="20"/>
              </w:rPr>
            </w:pPr>
            <w:r>
              <w:rPr>
                <w:color w:val="000000"/>
                <w:sz w:val="20"/>
                <w:szCs w:val="20"/>
              </w:rPr>
              <w:t>02-05-2023</w:t>
            </w:r>
          </w:p>
        </w:tc>
        <w:tc>
          <w:tcPr>
            <w:tcW w:w="1708" w:type="dxa"/>
            <w:tcBorders>
              <w:top w:val="single" w:sz="4" w:space="0" w:color="000000"/>
              <w:left w:val="single" w:sz="4" w:space="0" w:color="000000"/>
              <w:bottom w:val="single" w:sz="4" w:space="0" w:color="000000"/>
              <w:right w:val="single" w:sz="4" w:space="0" w:color="000000"/>
            </w:tcBorders>
          </w:tcPr>
          <w:p w14:paraId="567F062A" w14:textId="77777777" w:rsidR="00976AF5" w:rsidRDefault="00976AF5" w:rsidP="00E70C0A">
            <w:pPr>
              <w:widowControl w:val="0"/>
              <w:jc w:val="right"/>
              <w:rPr>
                <w:color w:val="000000"/>
                <w:sz w:val="20"/>
                <w:szCs w:val="20"/>
              </w:rPr>
            </w:pPr>
            <w:r>
              <w:rPr>
                <w:color w:val="000000"/>
                <w:sz w:val="20"/>
                <w:szCs w:val="20"/>
              </w:rPr>
              <w:t>7.1123</w:t>
            </w:r>
          </w:p>
        </w:tc>
        <w:tc>
          <w:tcPr>
            <w:tcW w:w="1815" w:type="dxa"/>
            <w:tcBorders>
              <w:top w:val="single" w:sz="4" w:space="0" w:color="000000"/>
              <w:left w:val="single" w:sz="4" w:space="0" w:color="000000"/>
              <w:bottom w:val="single" w:sz="4" w:space="0" w:color="000000"/>
              <w:right w:val="single" w:sz="4" w:space="0" w:color="000000"/>
            </w:tcBorders>
          </w:tcPr>
          <w:p w14:paraId="621C6BE5" w14:textId="77777777" w:rsidR="00976AF5" w:rsidRDefault="00976AF5" w:rsidP="00E70C0A">
            <w:pPr>
              <w:widowControl w:val="0"/>
              <w:jc w:val="right"/>
              <w:rPr>
                <w:color w:val="000000"/>
                <w:sz w:val="20"/>
                <w:szCs w:val="20"/>
              </w:rPr>
            </w:pPr>
            <w:r>
              <w:rPr>
                <w:color w:val="000000"/>
                <w:sz w:val="20"/>
                <w:szCs w:val="20"/>
              </w:rPr>
              <w:t>4.3647</w:t>
            </w:r>
          </w:p>
        </w:tc>
        <w:tc>
          <w:tcPr>
            <w:tcW w:w="1952" w:type="dxa"/>
            <w:tcBorders>
              <w:top w:val="single" w:sz="4" w:space="0" w:color="000000"/>
              <w:left w:val="single" w:sz="4" w:space="0" w:color="000000"/>
              <w:bottom w:val="single" w:sz="4" w:space="0" w:color="000000"/>
              <w:right w:val="single" w:sz="4" w:space="0" w:color="000000"/>
            </w:tcBorders>
          </w:tcPr>
          <w:p w14:paraId="77642CF2" w14:textId="77777777" w:rsidR="00976AF5" w:rsidRDefault="00976AF5" w:rsidP="00E70C0A">
            <w:pPr>
              <w:widowControl w:val="0"/>
              <w:jc w:val="right"/>
              <w:rPr>
                <w:color w:val="000000"/>
                <w:sz w:val="20"/>
                <w:szCs w:val="20"/>
              </w:rPr>
            </w:pPr>
            <w:r>
              <w:rPr>
                <w:color w:val="000000"/>
                <w:sz w:val="20"/>
                <w:szCs w:val="20"/>
              </w:rPr>
              <w:t>2.9061</w:t>
            </w:r>
          </w:p>
        </w:tc>
        <w:tc>
          <w:tcPr>
            <w:tcW w:w="2129" w:type="dxa"/>
            <w:tcBorders>
              <w:top w:val="single" w:sz="4" w:space="0" w:color="000000"/>
              <w:left w:val="single" w:sz="4" w:space="0" w:color="000000"/>
              <w:bottom w:val="single" w:sz="4" w:space="0" w:color="000000"/>
              <w:right w:val="single" w:sz="4" w:space="0" w:color="000000"/>
            </w:tcBorders>
          </w:tcPr>
          <w:p w14:paraId="591D2A50" w14:textId="77777777" w:rsidR="00976AF5" w:rsidRDefault="00976AF5" w:rsidP="00E70C0A">
            <w:pPr>
              <w:widowControl w:val="0"/>
              <w:jc w:val="right"/>
              <w:rPr>
                <w:color w:val="000000"/>
                <w:sz w:val="20"/>
                <w:szCs w:val="20"/>
              </w:rPr>
            </w:pPr>
            <w:r>
              <w:rPr>
                <w:color w:val="000000"/>
                <w:sz w:val="20"/>
                <w:szCs w:val="20"/>
              </w:rPr>
              <w:t>1.4659</w:t>
            </w:r>
          </w:p>
        </w:tc>
      </w:tr>
      <w:tr w:rsidR="00976AF5" w14:paraId="2BE3BB36"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7879AC3E" w14:textId="77777777" w:rsidR="00976AF5" w:rsidRDefault="00976AF5" w:rsidP="00E70C0A">
            <w:pPr>
              <w:widowControl w:val="0"/>
              <w:jc w:val="center"/>
              <w:rPr>
                <w:color w:val="000000"/>
                <w:sz w:val="20"/>
                <w:szCs w:val="20"/>
              </w:rPr>
            </w:pPr>
            <w:r>
              <w:rPr>
                <w:color w:val="000000"/>
                <w:sz w:val="20"/>
                <w:szCs w:val="20"/>
              </w:rPr>
              <w:t>01-06-2023</w:t>
            </w:r>
          </w:p>
        </w:tc>
        <w:tc>
          <w:tcPr>
            <w:tcW w:w="1708" w:type="dxa"/>
            <w:tcBorders>
              <w:top w:val="single" w:sz="4" w:space="0" w:color="000000"/>
              <w:left w:val="single" w:sz="4" w:space="0" w:color="000000"/>
              <w:bottom w:val="single" w:sz="4" w:space="0" w:color="000000"/>
              <w:right w:val="single" w:sz="4" w:space="0" w:color="000000"/>
            </w:tcBorders>
          </w:tcPr>
          <w:p w14:paraId="6ED1C12E" w14:textId="77777777" w:rsidR="00976AF5" w:rsidRDefault="00976AF5" w:rsidP="00E70C0A">
            <w:pPr>
              <w:widowControl w:val="0"/>
              <w:jc w:val="right"/>
              <w:rPr>
                <w:color w:val="000000"/>
                <w:sz w:val="20"/>
                <w:szCs w:val="20"/>
              </w:rPr>
            </w:pPr>
            <w:r>
              <w:rPr>
                <w:color w:val="000000"/>
                <w:sz w:val="20"/>
                <w:szCs w:val="20"/>
              </w:rPr>
              <w:t>8.8035</w:t>
            </w:r>
          </w:p>
        </w:tc>
        <w:tc>
          <w:tcPr>
            <w:tcW w:w="1815" w:type="dxa"/>
            <w:tcBorders>
              <w:top w:val="single" w:sz="4" w:space="0" w:color="000000"/>
              <w:left w:val="single" w:sz="4" w:space="0" w:color="000000"/>
              <w:bottom w:val="single" w:sz="4" w:space="0" w:color="000000"/>
              <w:right w:val="single" w:sz="4" w:space="0" w:color="000000"/>
            </w:tcBorders>
          </w:tcPr>
          <w:p w14:paraId="7FECE8E2" w14:textId="77777777" w:rsidR="00976AF5" w:rsidRDefault="00976AF5" w:rsidP="00E70C0A">
            <w:pPr>
              <w:widowControl w:val="0"/>
              <w:jc w:val="right"/>
              <w:rPr>
                <w:color w:val="000000"/>
                <w:sz w:val="20"/>
                <w:szCs w:val="20"/>
              </w:rPr>
            </w:pPr>
            <w:r>
              <w:rPr>
                <w:color w:val="000000"/>
                <w:sz w:val="20"/>
                <w:szCs w:val="20"/>
              </w:rPr>
              <w:t>6.4252</w:t>
            </w:r>
          </w:p>
        </w:tc>
        <w:tc>
          <w:tcPr>
            <w:tcW w:w="1952" w:type="dxa"/>
            <w:tcBorders>
              <w:top w:val="single" w:sz="4" w:space="0" w:color="000000"/>
              <w:left w:val="single" w:sz="4" w:space="0" w:color="000000"/>
              <w:bottom w:val="single" w:sz="4" w:space="0" w:color="000000"/>
              <w:right w:val="single" w:sz="4" w:space="0" w:color="000000"/>
            </w:tcBorders>
          </w:tcPr>
          <w:p w14:paraId="3EAF2AF3" w14:textId="77777777" w:rsidR="00976AF5" w:rsidRDefault="00976AF5" w:rsidP="00E70C0A">
            <w:pPr>
              <w:widowControl w:val="0"/>
              <w:jc w:val="right"/>
              <w:rPr>
                <w:color w:val="000000"/>
                <w:sz w:val="20"/>
                <w:szCs w:val="20"/>
              </w:rPr>
            </w:pPr>
            <w:r>
              <w:rPr>
                <w:color w:val="000000"/>
                <w:sz w:val="20"/>
                <w:szCs w:val="20"/>
              </w:rPr>
              <w:t>3.5972</w:t>
            </w:r>
          </w:p>
        </w:tc>
        <w:tc>
          <w:tcPr>
            <w:tcW w:w="2129" w:type="dxa"/>
            <w:tcBorders>
              <w:top w:val="single" w:sz="4" w:space="0" w:color="000000"/>
              <w:left w:val="single" w:sz="4" w:space="0" w:color="000000"/>
              <w:bottom w:val="single" w:sz="4" w:space="0" w:color="000000"/>
              <w:right w:val="single" w:sz="4" w:space="0" w:color="000000"/>
            </w:tcBorders>
          </w:tcPr>
          <w:p w14:paraId="610F8810" w14:textId="77777777" w:rsidR="00976AF5" w:rsidRDefault="00976AF5" w:rsidP="00E70C0A">
            <w:pPr>
              <w:widowControl w:val="0"/>
              <w:jc w:val="right"/>
              <w:rPr>
                <w:color w:val="000000"/>
                <w:sz w:val="20"/>
                <w:szCs w:val="20"/>
              </w:rPr>
            </w:pPr>
            <w:r>
              <w:rPr>
                <w:color w:val="000000"/>
                <w:sz w:val="20"/>
                <w:szCs w:val="20"/>
              </w:rPr>
              <w:t>2.1579</w:t>
            </w:r>
          </w:p>
        </w:tc>
      </w:tr>
      <w:tr w:rsidR="00976AF5" w14:paraId="1730FFDF"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5A91C196" w14:textId="77777777" w:rsidR="00976AF5" w:rsidRDefault="00976AF5" w:rsidP="00E70C0A">
            <w:pPr>
              <w:widowControl w:val="0"/>
              <w:jc w:val="center"/>
              <w:rPr>
                <w:color w:val="000000"/>
                <w:sz w:val="20"/>
                <w:szCs w:val="20"/>
              </w:rPr>
            </w:pPr>
            <w:r>
              <w:rPr>
                <w:color w:val="000000"/>
                <w:sz w:val="20"/>
                <w:szCs w:val="20"/>
              </w:rPr>
              <w:t>03-07-2023</w:t>
            </w:r>
          </w:p>
        </w:tc>
        <w:tc>
          <w:tcPr>
            <w:tcW w:w="1708" w:type="dxa"/>
            <w:tcBorders>
              <w:top w:val="single" w:sz="4" w:space="0" w:color="000000"/>
              <w:left w:val="single" w:sz="4" w:space="0" w:color="000000"/>
              <w:bottom w:val="single" w:sz="4" w:space="0" w:color="000000"/>
              <w:right w:val="single" w:sz="4" w:space="0" w:color="000000"/>
            </w:tcBorders>
          </w:tcPr>
          <w:p w14:paraId="24BC6F76" w14:textId="77777777" w:rsidR="00976AF5" w:rsidRDefault="00976AF5" w:rsidP="00E70C0A">
            <w:pPr>
              <w:widowControl w:val="0"/>
              <w:jc w:val="right"/>
              <w:rPr>
                <w:color w:val="000000"/>
                <w:sz w:val="20"/>
                <w:szCs w:val="20"/>
              </w:rPr>
            </w:pPr>
            <w:r>
              <w:rPr>
                <w:color w:val="000000"/>
                <w:sz w:val="20"/>
                <w:szCs w:val="20"/>
              </w:rPr>
              <w:t>9.0111</w:t>
            </w:r>
          </w:p>
        </w:tc>
        <w:tc>
          <w:tcPr>
            <w:tcW w:w="1815" w:type="dxa"/>
            <w:tcBorders>
              <w:top w:val="single" w:sz="4" w:space="0" w:color="000000"/>
              <w:left w:val="single" w:sz="4" w:space="0" w:color="000000"/>
              <w:bottom w:val="single" w:sz="4" w:space="0" w:color="000000"/>
              <w:right w:val="single" w:sz="4" w:space="0" w:color="000000"/>
            </w:tcBorders>
          </w:tcPr>
          <w:p w14:paraId="6C0CBEC8" w14:textId="77777777" w:rsidR="00976AF5" w:rsidRDefault="00976AF5" w:rsidP="00E70C0A">
            <w:pPr>
              <w:widowControl w:val="0"/>
              <w:jc w:val="right"/>
              <w:rPr>
                <w:color w:val="000000"/>
                <w:sz w:val="20"/>
                <w:szCs w:val="20"/>
              </w:rPr>
            </w:pPr>
            <w:r>
              <w:rPr>
                <w:color w:val="000000"/>
                <w:sz w:val="20"/>
                <w:szCs w:val="20"/>
              </w:rPr>
              <w:t>5.7939</w:t>
            </w:r>
          </w:p>
        </w:tc>
        <w:tc>
          <w:tcPr>
            <w:tcW w:w="1952" w:type="dxa"/>
            <w:tcBorders>
              <w:top w:val="single" w:sz="4" w:space="0" w:color="000000"/>
              <w:left w:val="single" w:sz="4" w:space="0" w:color="000000"/>
              <w:bottom w:val="single" w:sz="4" w:space="0" w:color="000000"/>
              <w:right w:val="single" w:sz="4" w:space="0" w:color="000000"/>
            </w:tcBorders>
          </w:tcPr>
          <w:p w14:paraId="3FFFF259" w14:textId="77777777" w:rsidR="00976AF5" w:rsidRDefault="00976AF5" w:rsidP="00E70C0A">
            <w:pPr>
              <w:widowControl w:val="0"/>
              <w:jc w:val="right"/>
              <w:rPr>
                <w:color w:val="000000"/>
                <w:sz w:val="20"/>
                <w:szCs w:val="20"/>
              </w:rPr>
            </w:pPr>
            <w:r>
              <w:rPr>
                <w:color w:val="000000"/>
                <w:sz w:val="20"/>
                <w:szCs w:val="20"/>
              </w:rPr>
              <w:t>3.6820</w:t>
            </w:r>
          </w:p>
        </w:tc>
        <w:tc>
          <w:tcPr>
            <w:tcW w:w="2129" w:type="dxa"/>
            <w:tcBorders>
              <w:top w:val="single" w:sz="4" w:space="0" w:color="000000"/>
              <w:left w:val="single" w:sz="4" w:space="0" w:color="000000"/>
              <w:bottom w:val="single" w:sz="4" w:space="0" w:color="000000"/>
              <w:right w:val="single" w:sz="4" w:space="0" w:color="000000"/>
            </w:tcBorders>
          </w:tcPr>
          <w:p w14:paraId="59010531" w14:textId="77777777" w:rsidR="00976AF5" w:rsidRDefault="00976AF5" w:rsidP="00E70C0A">
            <w:pPr>
              <w:widowControl w:val="0"/>
              <w:jc w:val="right"/>
              <w:rPr>
                <w:color w:val="000000"/>
                <w:sz w:val="20"/>
                <w:szCs w:val="20"/>
              </w:rPr>
            </w:pPr>
            <w:r>
              <w:rPr>
                <w:color w:val="000000"/>
                <w:sz w:val="20"/>
                <w:szCs w:val="20"/>
              </w:rPr>
              <w:t>1.9459</w:t>
            </w:r>
          </w:p>
        </w:tc>
      </w:tr>
      <w:tr w:rsidR="00976AF5" w14:paraId="753F0E4E"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4DD4C409" w14:textId="77777777" w:rsidR="00976AF5" w:rsidRDefault="00976AF5" w:rsidP="00E70C0A">
            <w:pPr>
              <w:widowControl w:val="0"/>
              <w:jc w:val="center"/>
              <w:rPr>
                <w:color w:val="000000"/>
                <w:sz w:val="20"/>
                <w:szCs w:val="20"/>
              </w:rPr>
            </w:pPr>
            <w:r>
              <w:rPr>
                <w:color w:val="000000"/>
                <w:sz w:val="20"/>
                <w:szCs w:val="20"/>
              </w:rPr>
              <w:t>01-08-2023</w:t>
            </w:r>
          </w:p>
        </w:tc>
        <w:tc>
          <w:tcPr>
            <w:tcW w:w="1708" w:type="dxa"/>
            <w:tcBorders>
              <w:top w:val="single" w:sz="4" w:space="0" w:color="000000"/>
              <w:left w:val="single" w:sz="4" w:space="0" w:color="000000"/>
              <w:bottom w:val="single" w:sz="4" w:space="0" w:color="000000"/>
              <w:right w:val="single" w:sz="4" w:space="0" w:color="000000"/>
            </w:tcBorders>
          </w:tcPr>
          <w:p w14:paraId="767165AF" w14:textId="77777777" w:rsidR="00976AF5" w:rsidRDefault="00976AF5" w:rsidP="00E70C0A">
            <w:pPr>
              <w:widowControl w:val="0"/>
              <w:jc w:val="right"/>
              <w:rPr>
                <w:color w:val="000000"/>
                <w:sz w:val="20"/>
                <w:szCs w:val="20"/>
              </w:rPr>
            </w:pPr>
            <w:r>
              <w:rPr>
                <w:color w:val="000000"/>
                <w:sz w:val="20"/>
                <w:szCs w:val="20"/>
              </w:rPr>
              <w:t>4.9981</w:t>
            </w:r>
          </w:p>
        </w:tc>
        <w:tc>
          <w:tcPr>
            <w:tcW w:w="1815" w:type="dxa"/>
            <w:tcBorders>
              <w:top w:val="single" w:sz="4" w:space="0" w:color="000000"/>
              <w:left w:val="single" w:sz="4" w:space="0" w:color="000000"/>
              <w:bottom w:val="single" w:sz="4" w:space="0" w:color="000000"/>
              <w:right w:val="single" w:sz="4" w:space="0" w:color="000000"/>
            </w:tcBorders>
          </w:tcPr>
          <w:p w14:paraId="7756D14C" w14:textId="77777777" w:rsidR="00976AF5" w:rsidRDefault="00976AF5" w:rsidP="00E70C0A">
            <w:pPr>
              <w:widowControl w:val="0"/>
              <w:jc w:val="right"/>
              <w:rPr>
                <w:color w:val="000000"/>
                <w:sz w:val="20"/>
                <w:szCs w:val="20"/>
              </w:rPr>
            </w:pPr>
            <w:r>
              <w:rPr>
                <w:color w:val="000000"/>
                <w:sz w:val="20"/>
                <w:szCs w:val="20"/>
              </w:rPr>
              <w:t>6.2657</w:t>
            </w:r>
          </w:p>
        </w:tc>
        <w:tc>
          <w:tcPr>
            <w:tcW w:w="1952" w:type="dxa"/>
            <w:tcBorders>
              <w:top w:val="single" w:sz="4" w:space="0" w:color="000000"/>
              <w:left w:val="single" w:sz="4" w:space="0" w:color="000000"/>
              <w:bottom w:val="single" w:sz="4" w:space="0" w:color="000000"/>
              <w:right w:val="single" w:sz="4" w:space="0" w:color="000000"/>
            </w:tcBorders>
          </w:tcPr>
          <w:p w14:paraId="58A85202" w14:textId="77777777" w:rsidR="00976AF5" w:rsidRDefault="00976AF5" w:rsidP="00E70C0A">
            <w:pPr>
              <w:widowControl w:val="0"/>
              <w:jc w:val="right"/>
              <w:rPr>
                <w:color w:val="000000"/>
                <w:sz w:val="20"/>
                <w:szCs w:val="20"/>
              </w:rPr>
            </w:pPr>
            <w:r>
              <w:rPr>
                <w:color w:val="000000"/>
                <w:sz w:val="20"/>
                <w:szCs w:val="20"/>
              </w:rPr>
              <w:t>2.0424</w:t>
            </w:r>
          </w:p>
        </w:tc>
        <w:tc>
          <w:tcPr>
            <w:tcW w:w="2129" w:type="dxa"/>
            <w:tcBorders>
              <w:top w:val="single" w:sz="4" w:space="0" w:color="000000"/>
              <w:left w:val="single" w:sz="4" w:space="0" w:color="000000"/>
              <w:bottom w:val="single" w:sz="4" w:space="0" w:color="000000"/>
              <w:right w:val="single" w:sz="4" w:space="0" w:color="000000"/>
            </w:tcBorders>
          </w:tcPr>
          <w:p w14:paraId="4C5F0B3D" w14:textId="77777777" w:rsidR="00976AF5" w:rsidRDefault="00976AF5" w:rsidP="00E70C0A">
            <w:pPr>
              <w:widowControl w:val="0"/>
              <w:jc w:val="right"/>
              <w:rPr>
                <w:color w:val="000000"/>
                <w:sz w:val="20"/>
                <w:szCs w:val="20"/>
              </w:rPr>
            </w:pPr>
            <w:r>
              <w:rPr>
                <w:color w:val="000000"/>
                <w:sz w:val="20"/>
                <w:szCs w:val="20"/>
              </w:rPr>
              <w:t>2.1044</w:t>
            </w:r>
          </w:p>
        </w:tc>
      </w:tr>
      <w:tr w:rsidR="00976AF5" w14:paraId="53E3F84B"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0F14BCCD" w14:textId="77777777" w:rsidR="00976AF5" w:rsidRDefault="00976AF5" w:rsidP="00E70C0A">
            <w:pPr>
              <w:widowControl w:val="0"/>
              <w:jc w:val="center"/>
              <w:rPr>
                <w:color w:val="000000"/>
                <w:sz w:val="20"/>
                <w:szCs w:val="20"/>
              </w:rPr>
            </w:pPr>
            <w:r>
              <w:rPr>
                <w:color w:val="000000"/>
                <w:sz w:val="20"/>
                <w:szCs w:val="20"/>
              </w:rPr>
              <w:t>01-09-2023</w:t>
            </w:r>
          </w:p>
        </w:tc>
        <w:tc>
          <w:tcPr>
            <w:tcW w:w="1708" w:type="dxa"/>
            <w:tcBorders>
              <w:top w:val="single" w:sz="4" w:space="0" w:color="000000"/>
              <w:left w:val="single" w:sz="4" w:space="0" w:color="000000"/>
              <w:bottom w:val="single" w:sz="4" w:space="0" w:color="000000"/>
              <w:right w:val="single" w:sz="4" w:space="0" w:color="000000"/>
            </w:tcBorders>
          </w:tcPr>
          <w:p w14:paraId="299BBEB2" w14:textId="77777777" w:rsidR="00976AF5" w:rsidRDefault="00976AF5" w:rsidP="00E70C0A">
            <w:pPr>
              <w:widowControl w:val="0"/>
              <w:jc w:val="right"/>
              <w:rPr>
                <w:color w:val="000000"/>
                <w:sz w:val="20"/>
                <w:szCs w:val="20"/>
              </w:rPr>
            </w:pPr>
            <w:r>
              <w:rPr>
                <w:color w:val="000000"/>
                <w:sz w:val="20"/>
                <w:szCs w:val="20"/>
              </w:rPr>
              <w:t>3.9075</w:t>
            </w:r>
          </w:p>
        </w:tc>
        <w:tc>
          <w:tcPr>
            <w:tcW w:w="1815" w:type="dxa"/>
            <w:tcBorders>
              <w:top w:val="single" w:sz="4" w:space="0" w:color="000000"/>
              <w:left w:val="single" w:sz="4" w:space="0" w:color="000000"/>
              <w:bottom w:val="single" w:sz="4" w:space="0" w:color="000000"/>
              <w:right w:val="single" w:sz="4" w:space="0" w:color="000000"/>
            </w:tcBorders>
          </w:tcPr>
          <w:p w14:paraId="56EF6B4F" w14:textId="77777777" w:rsidR="00976AF5" w:rsidRDefault="00976AF5" w:rsidP="00E70C0A">
            <w:pPr>
              <w:widowControl w:val="0"/>
              <w:jc w:val="right"/>
              <w:rPr>
                <w:color w:val="000000"/>
                <w:sz w:val="20"/>
                <w:szCs w:val="20"/>
              </w:rPr>
            </w:pPr>
            <w:r>
              <w:rPr>
                <w:color w:val="000000"/>
                <w:sz w:val="20"/>
                <w:szCs w:val="20"/>
              </w:rPr>
              <w:t>6.6381</w:t>
            </w:r>
          </w:p>
        </w:tc>
        <w:tc>
          <w:tcPr>
            <w:tcW w:w="1952" w:type="dxa"/>
            <w:tcBorders>
              <w:top w:val="single" w:sz="4" w:space="0" w:color="000000"/>
              <w:left w:val="single" w:sz="4" w:space="0" w:color="000000"/>
              <w:bottom w:val="single" w:sz="4" w:space="0" w:color="000000"/>
              <w:right w:val="single" w:sz="4" w:space="0" w:color="000000"/>
            </w:tcBorders>
          </w:tcPr>
          <w:p w14:paraId="39F49BD4" w14:textId="77777777" w:rsidR="00976AF5" w:rsidRDefault="00976AF5" w:rsidP="00E70C0A">
            <w:pPr>
              <w:widowControl w:val="0"/>
              <w:jc w:val="right"/>
              <w:rPr>
                <w:color w:val="000000"/>
                <w:sz w:val="20"/>
                <w:szCs w:val="20"/>
              </w:rPr>
            </w:pPr>
            <w:r>
              <w:rPr>
                <w:color w:val="000000"/>
                <w:sz w:val="20"/>
                <w:szCs w:val="20"/>
              </w:rPr>
              <w:t>1.5966</w:t>
            </w:r>
          </w:p>
        </w:tc>
        <w:tc>
          <w:tcPr>
            <w:tcW w:w="2129" w:type="dxa"/>
            <w:tcBorders>
              <w:top w:val="single" w:sz="4" w:space="0" w:color="000000"/>
              <w:left w:val="single" w:sz="4" w:space="0" w:color="000000"/>
              <w:bottom w:val="single" w:sz="4" w:space="0" w:color="000000"/>
              <w:right w:val="single" w:sz="4" w:space="0" w:color="000000"/>
            </w:tcBorders>
          </w:tcPr>
          <w:p w14:paraId="780ADD98" w14:textId="77777777" w:rsidR="00976AF5" w:rsidRDefault="00976AF5" w:rsidP="00E70C0A">
            <w:pPr>
              <w:widowControl w:val="0"/>
              <w:jc w:val="right"/>
              <w:rPr>
                <w:color w:val="000000"/>
                <w:sz w:val="20"/>
                <w:szCs w:val="20"/>
              </w:rPr>
            </w:pPr>
            <w:r>
              <w:rPr>
                <w:color w:val="000000"/>
                <w:sz w:val="20"/>
                <w:szCs w:val="20"/>
              </w:rPr>
              <w:t>2.2294</w:t>
            </w:r>
          </w:p>
        </w:tc>
      </w:tr>
      <w:tr w:rsidR="00976AF5" w14:paraId="3AD8F40A"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6BB93A9F" w14:textId="77777777" w:rsidR="00976AF5" w:rsidRDefault="00976AF5" w:rsidP="00E70C0A">
            <w:pPr>
              <w:widowControl w:val="0"/>
              <w:jc w:val="center"/>
              <w:rPr>
                <w:color w:val="000000"/>
                <w:sz w:val="20"/>
                <w:szCs w:val="20"/>
              </w:rPr>
            </w:pPr>
            <w:r>
              <w:rPr>
                <w:color w:val="000000"/>
                <w:sz w:val="20"/>
                <w:szCs w:val="20"/>
              </w:rPr>
              <w:t>03-10-2023</w:t>
            </w:r>
          </w:p>
        </w:tc>
        <w:tc>
          <w:tcPr>
            <w:tcW w:w="1708" w:type="dxa"/>
            <w:tcBorders>
              <w:top w:val="single" w:sz="4" w:space="0" w:color="000000"/>
              <w:left w:val="single" w:sz="4" w:space="0" w:color="000000"/>
              <w:bottom w:val="single" w:sz="4" w:space="0" w:color="000000"/>
              <w:right w:val="single" w:sz="4" w:space="0" w:color="000000"/>
            </w:tcBorders>
          </w:tcPr>
          <w:p w14:paraId="3C0ADCC0" w14:textId="77777777" w:rsidR="00976AF5" w:rsidRDefault="00976AF5" w:rsidP="00E70C0A">
            <w:pPr>
              <w:widowControl w:val="0"/>
              <w:jc w:val="right"/>
              <w:rPr>
                <w:color w:val="000000"/>
                <w:sz w:val="20"/>
                <w:szCs w:val="20"/>
              </w:rPr>
            </w:pPr>
            <w:r>
              <w:rPr>
                <w:color w:val="000000"/>
                <w:sz w:val="20"/>
                <w:szCs w:val="20"/>
              </w:rPr>
              <w:t>4.0093</w:t>
            </w:r>
          </w:p>
        </w:tc>
        <w:tc>
          <w:tcPr>
            <w:tcW w:w="1815" w:type="dxa"/>
            <w:tcBorders>
              <w:top w:val="single" w:sz="4" w:space="0" w:color="000000"/>
              <w:left w:val="single" w:sz="4" w:space="0" w:color="000000"/>
              <w:bottom w:val="single" w:sz="4" w:space="0" w:color="000000"/>
              <w:right w:val="single" w:sz="4" w:space="0" w:color="000000"/>
            </w:tcBorders>
          </w:tcPr>
          <w:p w14:paraId="07C37650" w14:textId="77777777" w:rsidR="00976AF5" w:rsidRDefault="00976AF5" w:rsidP="00E70C0A">
            <w:pPr>
              <w:widowControl w:val="0"/>
              <w:jc w:val="right"/>
              <w:rPr>
                <w:color w:val="000000"/>
                <w:sz w:val="20"/>
                <w:szCs w:val="20"/>
              </w:rPr>
            </w:pPr>
            <w:r>
              <w:rPr>
                <w:color w:val="000000"/>
                <w:sz w:val="20"/>
                <w:szCs w:val="20"/>
              </w:rPr>
              <w:t>1.4411</w:t>
            </w:r>
          </w:p>
        </w:tc>
        <w:tc>
          <w:tcPr>
            <w:tcW w:w="1952" w:type="dxa"/>
            <w:tcBorders>
              <w:top w:val="single" w:sz="4" w:space="0" w:color="000000"/>
              <w:left w:val="single" w:sz="4" w:space="0" w:color="000000"/>
              <w:bottom w:val="single" w:sz="4" w:space="0" w:color="000000"/>
              <w:right w:val="single" w:sz="4" w:space="0" w:color="000000"/>
            </w:tcBorders>
          </w:tcPr>
          <w:p w14:paraId="709E9641" w14:textId="77777777" w:rsidR="00976AF5" w:rsidRDefault="00976AF5" w:rsidP="00E70C0A">
            <w:pPr>
              <w:widowControl w:val="0"/>
              <w:jc w:val="right"/>
              <w:rPr>
                <w:color w:val="000000"/>
                <w:sz w:val="20"/>
                <w:szCs w:val="20"/>
              </w:rPr>
            </w:pPr>
            <w:r>
              <w:rPr>
                <w:color w:val="000000"/>
                <w:sz w:val="20"/>
                <w:szCs w:val="20"/>
              </w:rPr>
              <w:t>1.6382</w:t>
            </w:r>
          </w:p>
        </w:tc>
        <w:tc>
          <w:tcPr>
            <w:tcW w:w="2129" w:type="dxa"/>
            <w:tcBorders>
              <w:top w:val="single" w:sz="4" w:space="0" w:color="000000"/>
              <w:left w:val="single" w:sz="4" w:space="0" w:color="000000"/>
              <w:bottom w:val="single" w:sz="4" w:space="0" w:color="000000"/>
              <w:right w:val="single" w:sz="4" w:space="0" w:color="000000"/>
            </w:tcBorders>
          </w:tcPr>
          <w:p w14:paraId="0EF7287D" w14:textId="77777777" w:rsidR="00976AF5" w:rsidRDefault="00976AF5" w:rsidP="00E70C0A">
            <w:pPr>
              <w:widowControl w:val="0"/>
              <w:jc w:val="right"/>
              <w:rPr>
                <w:color w:val="000000"/>
                <w:sz w:val="20"/>
                <w:szCs w:val="20"/>
              </w:rPr>
            </w:pPr>
            <w:r>
              <w:rPr>
                <w:color w:val="000000"/>
                <w:sz w:val="20"/>
                <w:szCs w:val="20"/>
              </w:rPr>
              <w:t>0.4840</w:t>
            </w:r>
          </w:p>
        </w:tc>
      </w:tr>
      <w:tr w:rsidR="00976AF5" w14:paraId="7302E253"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3016F90D" w14:textId="77777777" w:rsidR="00976AF5" w:rsidRDefault="00976AF5" w:rsidP="00E70C0A">
            <w:pPr>
              <w:widowControl w:val="0"/>
              <w:jc w:val="center"/>
              <w:rPr>
                <w:color w:val="000000"/>
                <w:sz w:val="20"/>
                <w:szCs w:val="20"/>
              </w:rPr>
            </w:pPr>
            <w:r>
              <w:rPr>
                <w:color w:val="000000"/>
                <w:sz w:val="20"/>
                <w:szCs w:val="20"/>
              </w:rPr>
              <w:t>01-11-2023</w:t>
            </w:r>
          </w:p>
        </w:tc>
        <w:tc>
          <w:tcPr>
            <w:tcW w:w="1708" w:type="dxa"/>
            <w:tcBorders>
              <w:top w:val="single" w:sz="4" w:space="0" w:color="000000"/>
              <w:left w:val="single" w:sz="4" w:space="0" w:color="000000"/>
              <w:bottom w:val="single" w:sz="4" w:space="0" w:color="000000"/>
              <w:right w:val="single" w:sz="4" w:space="0" w:color="000000"/>
            </w:tcBorders>
          </w:tcPr>
          <w:p w14:paraId="7C5D4441" w14:textId="77777777" w:rsidR="00976AF5" w:rsidRDefault="00976AF5" w:rsidP="00E70C0A">
            <w:pPr>
              <w:widowControl w:val="0"/>
              <w:jc w:val="right"/>
              <w:rPr>
                <w:color w:val="000000"/>
                <w:sz w:val="20"/>
                <w:szCs w:val="20"/>
              </w:rPr>
            </w:pPr>
            <w:r>
              <w:rPr>
                <w:color w:val="000000"/>
                <w:sz w:val="20"/>
                <w:szCs w:val="20"/>
              </w:rPr>
              <w:t>-6.5519</w:t>
            </w:r>
          </w:p>
        </w:tc>
        <w:tc>
          <w:tcPr>
            <w:tcW w:w="1815" w:type="dxa"/>
            <w:tcBorders>
              <w:top w:val="single" w:sz="4" w:space="0" w:color="000000"/>
              <w:left w:val="single" w:sz="4" w:space="0" w:color="000000"/>
              <w:bottom w:val="single" w:sz="4" w:space="0" w:color="000000"/>
              <w:right w:val="single" w:sz="4" w:space="0" w:color="000000"/>
            </w:tcBorders>
          </w:tcPr>
          <w:p w14:paraId="21107E55" w14:textId="77777777" w:rsidR="00976AF5" w:rsidRDefault="00976AF5" w:rsidP="00E70C0A">
            <w:pPr>
              <w:widowControl w:val="0"/>
              <w:jc w:val="right"/>
              <w:rPr>
                <w:color w:val="000000"/>
                <w:sz w:val="20"/>
                <w:szCs w:val="20"/>
              </w:rPr>
            </w:pPr>
            <w:r>
              <w:rPr>
                <w:color w:val="000000"/>
                <w:sz w:val="20"/>
                <w:szCs w:val="20"/>
              </w:rPr>
              <w:t>-1.5331</w:t>
            </w:r>
          </w:p>
        </w:tc>
        <w:tc>
          <w:tcPr>
            <w:tcW w:w="1952" w:type="dxa"/>
            <w:tcBorders>
              <w:top w:val="single" w:sz="4" w:space="0" w:color="000000"/>
              <w:left w:val="single" w:sz="4" w:space="0" w:color="000000"/>
              <w:bottom w:val="single" w:sz="4" w:space="0" w:color="000000"/>
              <w:right w:val="single" w:sz="4" w:space="0" w:color="000000"/>
            </w:tcBorders>
          </w:tcPr>
          <w:p w14:paraId="10CB3B27" w14:textId="77777777" w:rsidR="00976AF5" w:rsidRDefault="00976AF5" w:rsidP="00E70C0A">
            <w:pPr>
              <w:widowControl w:val="0"/>
              <w:jc w:val="right"/>
              <w:rPr>
                <w:color w:val="000000"/>
                <w:sz w:val="20"/>
                <w:szCs w:val="20"/>
              </w:rPr>
            </w:pPr>
            <w:r>
              <w:rPr>
                <w:color w:val="000000"/>
                <w:sz w:val="20"/>
                <w:szCs w:val="20"/>
              </w:rPr>
              <w:t>-2.6771</w:t>
            </w:r>
          </w:p>
        </w:tc>
        <w:tc>
          <w:tcPr>
            <w:tcW w:w="2129" w:type="dxa"/>
            <w:tcBorders>
              <w:top w:val="single" w:sz="4" w:space="0" w:color="000000"/>
              <w:left w:val="single" w:sz="4" w:space="0" w:color="000000"/>
              <w:bottom w:val="single" w:sz="4" w:space="0" w:color="000000"/>
              <w:right w:val="single" w:sz="4" w:space="0" w:color="000000"/>
            </w:tcBorders>
          </w:tcPr>
          <w:p w14:paraId="5FA90A74" w14:textId="77777777" w:rsidR="00976AF5" w:rsidRDefault="00976AF5" w:rsidP="00E70C0A">
            <w:pPr>
              <w:widowControl w:val="0"/>
              <w:jc w:val="right"/>
              <w:rPr>
                <w:color w:val="000000"/>
                <w:sz w:val="20"/>
                <w:szCs w:val="20"/>
              </w:rPr>
            </w:pPr>
            <w:r>
              <w:rPr>
                <w:color w:val="000000"/>
                <w:sz w:val="20"/>
                <w:szCs w:val="20"/>
              </w:rPr>
              <w:t>-0.5149</w:t>
            </w:r>
          </w:p>
        </w:tc>
      </w:tr>
      <w:tr w:rsidR="00976AF5" w14:paraId="75912EB6" w14:textId="77777777" w:rsidTr="00E70C0A">
        <w:trPr>
          <w:trHeight w:val="521"/>
        </w:trPr>
        <w:tc>
          <w:tcPr>
            <w:tcW w:w="1980" w:type="dxa"/>
            <w:tcBorders>
              <w:top w:val="single" w:sz="4" w:space="0" w:color="000000"/>
              <w:left w:val="single" w:sz="4" w:space="0" w:color="000000"/>
              <w:bottom w:val="single" w:sz="4" w:space="0" w:color="000000"/>
              <w:right w:val="single" w:sz="4" w:space="0" w:color="000000"/>
            </w:tcBorders>
          </w:tcPr>
          <w:p w14:paraId="50B1705B" w14:textId="77777777" w:rsidR="00976AF5" w:rsidRDefault="00976AF5" w:rsidP="00E70C0A">
            <w:pPr>
              <w:widowControl w:val="0"/>
              <w:jc w:val="center"/>
              <w:rPr>
                <w:color w:val="000000"/>
                <w:sz w:val="20"/>
                <w:szCs w:val="20"/>
              </w:rPr>
            </w:pPr>
            <w:r>
              <w:rPr>
                <w:color w:val="000000"/>
                <w:sz w:val="20"/>
                <w:szCs w:val="20"/>
              </w:rPr>
              <w:t>01-12-2023</w:t>
            </w:r>
          </w:p>
        </w:tc>
        <w:tc>
          <w:tcPr>
            <w:tcW w:w="1708" w:type="dxa"/>
            <w:tcBorders>
              <w:top w:val="single" w:sz="4" w:space="0" w:color="000000"/>
              <w:left w:val="single" w:sz="4" w:space="0" w:color="000000"/>
              <w:bottom w:val="single" w:sz="4" w:space="0" w:color="000000"/>
              <w:right w:val="single" w:sz="4" w:space="0" w:color="000000"/>
            </w:tcBorders>
          </w:tcPr>
          <w:p w14:paraId="4230239B" w14:textId="77777777" w:rsidR="00976AF5" w:rsidRDefault="00976AF5" w:rsidP="00E70C0A">
            <w:pPr>
              <w:widowControl w:val="0"/>
              <w:jc w:val="right"/>
              <w:rPr>
                <w:color w:val="000000"/>
                <w:sz w:val="20"/>
                <w:szCs w:val="20"/>
              </w:rPr>
            </w:pPr>
            <w:r>
              <w:rPr>
                <w:color w:val="000000"/>
                <w:sz w:val="20"/>
                <w:szCs w:val="20"/>
              </w:rPr>
              <w:t>12.7023</w:t>
            </w:r>
          </w:p>
        </w:tc>
        <w:tc>
          <w:tcPr>
            <w:tcW w:w="1815" w:type="dxa"/>
            <w:tcBorders>
              <w:top w:val="single" w:sz="4" w:space="0" w:color="000000"/>
              <w:left w:val="single" w:sz="4" w:space="0" w:color="000000"/>
              <w:bottom w:val="single" w:sz="4" w:space="0" w:color="000000"/>
              <w:right w:val="single" w:sz="4" w:space="0" w:color="000000"/>
            </w:tcBorders>
          </w:tcPr>
          <w:p w14:paraId="4BD2D543" w14:textId="77777777" w:rsidR="00976AF5" w:rsidRDefault="00976AF5" w:rsidP="00E70C0A">
            <w:pPr>
              <w:widowControl w:val="0"/>
              <w:jc w:val="right"/>
              <w:rPr>
                <w:color w:val="000000"/>
                <w:sz w:val="20"/>
                <w:szCs w:val="20"/>
              </w:rPr>
            </w:pPr>
            <w:r>
              <w:rPr>
                <w:color w:val="000000"/>
                <w:sz w:val="20"/>
                <w:szCs w:val="20"/>
              </w:rPr>
              <w:t>13.4349</w:t>
            </w:r>
          </w:p>
        </w:tc>
        <w:tc>
          <w:tcPr>
            <w:tcW w:w="1952" w:type="dxa"/>
            <w:tcBorders>
              <w:top w:val="single" w:sz="4" w:space="0" w:color="000000"/>
              <w:left w:val="single" w:sz="4" w:space="0" w:color="000000"/>
              <w:bottom w:val="single" w:sz="4" w:space="0" w:color="000000"/>
              <w:right w:val="single" w:sz="4" w:space="0" w:color="000000"/>
            </w:tcBorders>
          </w:tcPr>
          <w:p w14:paraId="724C5104" w14:textId="77777777" w:rsidR="00976AF5" w:rsidRDefault="00976AF5" w:rsidP="00E70C0A">
            <w:pPr>
              <w:widowControl w:val="0"/>
              <w:jc w:val="right"/>
              <w:rPr>
                <w:color w:val="000000"/>
                <w:sz w:val="20"/>
                <w:szCs w:val="20"/>
              </w:rPr>
            </w:pPr>
            <w:r>
              <w:rPr>
                <w:color w:val="000000"/>
                <w:sz w:val="20"/>
                <w:szCs w:val="20"/>
              </w:rPr>
              <w:t>5.1911</w:t>
            </w:r>
          </w:p>
        </w:tc>
        <w:tc>
          <w:tcPr>
            <w:tcW w:w="2129" w:type="dxa"/>
            <w:tcBorders>
              <w:top w:val="single" w:sz="4" w:space="0" w:color="000000"/>
              <w:left w:val="single" w:sz="4" w:space="0" w:color="000000"/>
              <w:bottom w:val="single" w:sz="4" w:space="0" w:color="000000"/>
              <w:right w:val="single" w:sz="4" w:space="0" w:color="000000"/>
            </w:tcBorders>
          </w:tcPr>
          <w:p w14:paraId="74CCF2F2" w14:textId="77777777" w:rsidR="00976AF5" w:rsidRDefault="00976AF5" w:rsidP="00E70C0A">
            <w:pPr>
              <w:widowControl w:val="0"/>
              <w:jc w:val="right"/>
              <w:rPr>
                <w:color w:val="000000"/>
                <w:sz w:val="20"/>
                <w:szCs w:val="20"/>
              </w:rPr>
            </w:pPr>
            <w:r>
              <w:rPr>
                <w:color w:val="000000"/>
                <w:sz w:val="20"/>
                <w:szCs w:val="20"/>
              </w:rPr>
              <w:t>4.5122</w:t>
            </w:r>
          </w:p>
        </w:tc>
      </w:tr>
      <w:tr w:rsidR="00976AF5" w14:paraId="21BC1027" w14:textId="77777777" w:rsidTr="00E70C0A">
        <w:trPr>
          <w:trHeight w:val="450"/>
        </w:trPr>
        <w:tc>
          <w:tcPr>
            <w:tcW w:w="1980" w:type="dxa"/>
            <w:tcBorders>
              <w:top w:val="single" w:sz="4" w:space="0" w:color="000000"/>
              <w:left w:val="single" w:sz="4" w:space="0" w:color="000000"/>
              <w:bottom w:val="single" w:sz="4" w:space="0" w:color="000000"/>
              <w:right w:val="single" w:sz="4" w:space="0" w:color="000000"/>
            </w:tcBorders>
          </w:tcPr>
          <w:p w14:paraId="5DBA059C"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Annual change </w:t>
            </w:r>
          </w:p>
        </w:tc>
        <w:tc>
          <w:tcPr>
            <w:tcW w:w="1708" w:type="dxa"/>
            <w:tcBorders>
              <w:top w:val="single" w:sz="4" w:space="0" w:color="000000"/>
              <w:left w:val="single" w:sz="4" w:space="0" w:color="000000"/>
              <w:bottom w:val="single" w:sz="4" w:space="0" w:color="000000"/>
              <w:right w:val="single" w:sz="4" w:space="0" w:color="000000"/>
            </w:tcBorders>
          </w:tcPr>
          <w:p w14:paraId="44761780" w14:textId="77777777" w:rsidR="00976AF5" w:rsidRDefault="00976AF5" w:rsidP="00E70C0A">
            <w:pPr>
              <w:widowControl w:val="0"/>
              <w:jc w:val="right"/>
              <w:rPr>
                <w:color w:val="000000"/>
                <w:sz w:val="20"/>
                <w:szCs w:val="20"/>
              </w:rPr>
            </w:pPr>
            <w:r>
              <w:rPr>
                <w:color w:val="000000"/>
                <w:sz w:val="20"/>
                <w:szCs w:val="20"/>
              </w:rPr>
              <w:t xml:space="preserve">                                                 29.268</w:t>
            </w:r>
          </w:p>
        </w:tc>
        <w:tc>
          <w:tcPr>
            <w:tcW w:w="1815" w:type="dxa"/>
            <w:tcBorders>
              <w:top w:val="single" w:sz="4" w:space="0" w:color="000000"/>
              <w:left w:val="single" w:sz="4" w:space="0" w:color="000000"/>
              <w:bottom w:val="single" w:sz="4" w:space="0" w:color="000000"/>
              <w:right w:val="single" w:sz="4" w:space="0" w:color="000000"/>
            </w:tcBorders>
          </w:tcPr>
          <w:p w14:paraId="01705D93" w14:textId="77777777" w:rsidR="00976AF5" w:rsidRDefault="00976AF5" w:rsidP="00E70C0A">
            <w:pPr>
              <w:widowControl w:val="0"/>
              <w:jc w:val="right"/>
              <w:rPr>
                <w:color w:val="000000"/>
                <w:sz w:val="20"/>
                <w:szCs w:val="20"/>
              </w:rPr>
            </w:pPr>
            <w:r>
              <w:rPr>
                <w:color w:val="000000"/>
                <w:sz w:val="20"/>
                <w:szCs w:val="20"/>
              </w:rPr>
              <w:t xml:space="preserve">                                          42.70</w:t>
            </w:r>
          </w:p>
        </w:tc>
        <w:tc>
          <w:tcPr>
            <w:tcW w:w="1952" w:type="dxa"/>
            <w:tcBorders>
              <w:top w:val="single" w:sz="4" w:space="0" w:color="000000"/>
              <w:left w:val="single" w:sz="4" w:space="0" w:color="000000"/>
              <w:bottom w:val="single" w:sz="4" w:space="0" w:color="000000"/>
              <w:right w:val="single" w:sz="4" w:space="0" w:color="000000"/>
            </w:tcBorders>
          </w:tcPr>
          <w:p w14:paraId="4EC27C3C" w14:textId="77777777" w:rsidR="00976AF5" w:rsidRDefault="00976AF5" w:rsidP="00E70C0A">
            <w:pPr>
              <w:widowControl w:val="0"/>
              <w:jc w:val="right"/>
              <w:rPr>
                <w:color w:val="000000"/>
                <w:sz w:val="20"/>
                <w:szCs w:val="20"/>
              </w:rPr>
            </w:pPr>
            <w:r>
              <w:rPr>
                <w:color w:val="000000"/>
                <w:sz w:val="20"/>
                <w:szCs w:val="20"/>
              </w:rPr>
              <w:t xml:space="preserve">                                             29.269</w:t>
            </w:r>
          </w:p>
        </w:tc>
        <w:tc>
          <w:tcPr>
            <w:tcW w:w="2129" w:type="dxa"/>
            <w:tcBorders>
              <w:top w:val="single" w:sz="4" w:space="0" w:color="000000"/>
              <w:left w:val="single" w:sz="4" w:space="0" w:color="000000"/>
              <w:bottom w:val="single" w:sz="4" w:space="0" w:color="000000"/>
              <w:right w:val="single" w:sz="4" w:space="0" w:color="000000"/>
            </w:tcBorders>
          </w:tcPr>
          <w:p w14:paraId="1624ED9B" w14:textId="77777777" w:rsidR="00976AF5" w:rsidRDefault="00976AF5" w:rsidP="00E70C0A">
            <w:pPr>
              <w:widowControl w:val="0"/>
              <w:jc w:val="right"/>
              <w:rPr>
                <w:color w:val="000000"/>
                <w:sz w:val="20"/>
                <w:szCs w:val="20"/>
              </w:rPr>
            </w:pPr>
            <w:r>
              <w:rPr>
                <w:color w:val="000000"/>
                <w:sz w:val="20"/>
                <w:szCs w:val="20"/>
              </w:rPr>
              <w:t xml:space="preserve">                                                    30.79</w:t>
            </w:r>
          </w:p>
        </w:tc>
      </w:tr>
      <w:tr w:rsidR="00976AF5" w14:paraId="76883F12"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46C46E87"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w:t>
            </w:r>
          </w:p>
        </w:tc>
        <w:tc>
          <w:tcPr>
            <w:tcW w:w="1708" w:type="dxa"/>
            <w:tcBorders>
              <w:top w:val="single" w:sz="4" w:space="0" w:color="000000"/>
              <w:left w:val="single" w:sz="4" w:space="0" w:color="000000"/>
              <w:bottom w:val="single" w:sz="4" w:space="0" w:color="000000"/>
              <w:right w:val="single" w:sz="4" w:space="0" w:color="000000"/>
            </w:tcBorders>
          </w:tcPr>
          <w:p w14:paraId="78D0FA05" w14:textId="77777777" w:rsidR="00976AF5" w:rsidRDefault="00976AF5" w:rsidP="00E70C0A">
            <w:pPr>
              <w:widowControl w:val="0"/>
              <w:jc w:val="right"/>
              <w:rPr>
                <w:color w:val="000000"/>
                <w:sz w:val="20"/>
                <w:szCs w:val="20"/>
              </w:rPr>
            </w:pPr>
            <w:r>
              <w:rPr>
                <w:color w:val="000000"/>
                <w:sz w:val="20"/>
                <w:szCs w:val="20"/>
              </w:rPr>
              <w:t>3.18</w:t>
            </w:r>
          </w:p>
        </w:tc>
        <w:tc>
          <w:tcPr>
            <w:tcW w:w="1815" w:type="dxa"/>
            <w:tcBorders>
              <w:top w:val="single" w:sz="4" w:space="0" w:color="000000"/>
              <w:left w:val="single" w:sz="4" w:space="0" w:color="000000"/>
              <w:bottom w:val="single" w:sz="4" w:space="0" w:color="000000"/>
              <w:right w:val="single" w:sz="4" w:space="0" w:color="000000"/>
            </w:tcBorders>
          </w:tcPr>
          <w:p w14:paraId="04148EE0" w14:textId="77777777" w:rsidR="00976AF5" w:rsidRDefault="00976AF5" w:rsidP="00E70C0A">
            <w:pPr>
              <w:widowControl w:val="0"/>
              <w:jc w:val="right"/>
              <w:rPr>
                <w:color w:val="000000"/>
                <w:sz w:val="20"/>
                <w:szCs w:val="20"/>
              </w:rPr>
            </w:pPr>
            <w:r>
              <w:rPr>
                <w:color w:val="000000"/>
                <w:sz w:val="20"/>
                <w:szCs w:val="20"/>
              </w:rPr>
              <w:t>3.47</w:t>
            </w:r>
          </w:p>
        </w:tc>
        <w:tc>
          <w:tcPr>
            <w:tcW w:w="1952" w:type="dxa"/>
            <w:tcBorders>
              <w:top w:val="single" w:sz="4" w:space="0" w:color="000000"/>
              <w:left w:val="single" w:sz="4" w:space="0" w:color="000000"/>
              <w:bottom w:val="single" w:sz="4" w:space="0" w:color="000000"/>
              <w:right w:val="single" w:sz="4" w:space="0" w:color="000000"/>
            </w:tcBorders>
          </w:tcPr>
          <w:p w14:paraId="23B9E0FF" w14:textId="77777777" w:rsidR="00976AF5" w:rsidRDefault="00976AF5" w:rsidP="00E70C0A">
            <w:pPr>
              <w:widowControl w:val="0"/>
              <w:jc w:val="right"/>
              <w:rPr>
                <w:color w:val="000000"/>
                <w:sz w:val="20"/>
                <w:szCs w:val="20"/>
              </w:rPr>
            </w:pPr>
            <w:r>
              <w:rPr>
                <w:color w:val="000000"/>
                <w:sz w:val="20"/>
                <w:szCs w:val="20"/>
              </w:rPr>
              <w:t>1.3</w:t>
            </w:r>
          </w:p>
        </w:tc>
        <w:tc>
          <w:tcPr>
            <w:tcW w:w="2129" w:type="dxa"/>
            <w:tcBorders>
              <w:top w:val="single" w:sz="4" w:space="0" w:color="000000"/>
              <w:left w:val="single" w:sz="4" w:space="0" w:color="000000"/>
              <w:bottom w:val="single" w:sz="4" w:space="0" w:color="000000"/>
              <w:right w:val="single" w:sz="4" w:space="0" w:color="000000"/>
            </w:tcBorders>
          </w:tcPr>
          <w:p w14:paraId="2CF96444" w14:textId="77777777" w:rsidR="00976AF5" w:rsidRDefault="00976AF5" w:rsidP="00E70C0A">
            <w:pPr>
              <w:widowControl w:val="0"/>
              <w:jc w:val="right"/>
              <w:rPr>
                <w:color w:val="000000"/>
                <w:sz w:val="20"/>
                <w:szCs w:val="20"/>
              </w:rPr>
            </w:pPr>
            <w:r>
              <w:rPr>
                <w:color w:val="000000"/>
                <w:sz w:val="20"/>
                <w:szCs w:val="20"/>
              </w:rPr>
              <w:t>0.92</w:t>
            </w:r>
          </w:p>
        </w:tc>
      </w:tr>
      <w:tr w:rsidR="00976AF5" w14:paraId="45274E23"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63E8827C"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Standard </w:t>
            </w:r>
          </w:p>
          <w:p w14:paraId="69E2AD14"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Deviation</w:t>
            </w:r>
          </w:p>
        </w:tc>
        <w:tc>
          <w:tcPr>
            <w:tcW w:w="1708" w:type="dxa"/>
            <w:tcBorders>
              <w:top w:val="single" w:sz="4" w:space="0" w:color="000000"/>
              <w:left w:val="single" w:sz="4" w:space="0" w:color="000000"/>
              <w:bottom w:val="single" w:sz="4" w:space="0" w:color="000000"/>
              <w:right w:val="single" w:sz="4" w:space="0" w:color="000000"/>
            </w:tcBorders>
          </w:tcPr>
          <w:p w14:paraId="3816D6E5" w14:textId="77777777" w:rsidR="00976AF5" w:rsidRDefault="00976AF5" w:rsidP="00E70C0A">
            <w:pPr>
              <w:widowControl w:val="0"/>
              <w:jc w:val="right"/>
              <w:rPr>
                <w:color w:val="000000"/>
                <w:sz w:val="20"/>
                <w:szCs w:val="20"/>
              </w:rPr>
            </w:pPr>
          </w:p>
          <w:p w14:paraId="5F3EE7FB" w14:textId="77777777" w:rsidR="00976AF5" w:rsidRDefault="00976AF5" w:rsidP="00E70C0A">
            <w:pPr>
              <w:widowControl w:val="0"/>
              <w:jc w:val="right"/>
              <w:rPr>
                <w:color w:val="000000"/>
                <w:sz w:val="20"/>
                <w:szCs w:val="20"/>
              </w:rPr>
            </w:pPr>
            <w:r>
              <w:rPr>
                <w:color w:val="000000"/>
                <w:sz w:val="20"/>
                <w:szCs w:val="20"/>
              </w:rPr>
              <w:t>5.83</w:t>
            </w:r>
          </w:p>
        </w:tc>
        <w:tc>
          <w:tcPr>
            <w:tcW w:w="1815" w:type="dxa"/>
            <w:tcBorders>
              <w:top w:val="single" w:sz="4" w:space="0" w:color="000000"/>
              <w:left w:val="single" w:sz="4" w:space="0" w:color="000000"/>
              <w:bottom w:val="single" w:sz="4" w:space="0" w:color="000000"/>
              <w:right w:val="single" w:sz="4" w:space="0" w:color="000000"/>
            </w:tcBorders>
          </w:tcPr>
          <w:p w14:paraId="0B566B64" w14:textId="77777777" w:rsidR="00976AF5" w:rsidRDefault="00976AF5" w:rsidP="00E70C0A">
            <w:pPr>
              <w:widowControl w:val="0"/>
              <w:jc w:val="right"/>
              <w:rPr>
                <w:color w:val="000000"/>
                <w:sz w:val="20"/>
                <w:szCs w:val="20"/>
              </w:rPr>
            </w:pPr>
          </w:p>
          <w:p w14:paraId="0D62A1B0" w14:textId="77777777" w:rsidR="00976AF5" w:rsidRDefault="00976AF5" w:rsidP="00E70C0A">
            <w:pPr>
              <w:widowControl w:val="0"/>
              <w:jc w:val="right"/>
              <w:rPr>
                <w:color w:val="000000"/>
                <w:sz w:val="20"/>
                <w:szCs w:val="20"/>
              </w:rPr>
            </w:pPr>
            <w:r>
              <w:rPr>
                <w:color w:val="000000"/>
                <w:sz w:val="20"/>
                <w:szCs w:val="20"/>
              </w:rPr>
              <w:t>4.49</w:t>
            </w:r>
          </w:p>
        </w:tc>
        <w:tc>
          <w:tcPr>
            <w:tcW w:w="1952" w:type="dxa"/>
            <w:tcBorders>
              <w:top w:val="single" w:sz="4" w:space="0" w:color="000000"/>
              <w:left w:val="single" w:sz="4" w:space="0" w:color="000000"/>
              <w:bottom w:val="single" w:sz="4" w:space="0" w:color="000000"/>
              <w:right w:val="single" w:sz="4" w:space="0" w:color="000000"/>
            </w:tcBorders>
          </w:tcPr>
          <w:p w14:paraId="1BE1A5EC" w14:textId="77777777" w:rsidR="00976AF5" w:rsidRDefault="00976AF5" w:rsidP="00E70C0A">
            <w:pPr>
              <w:widowControl w:val="0"/>
              <w:jc w:val="right"/>
              <w:rPr>
                <w:color w:val="000000"/>
                <w:sz w:val="20"/>
                <w:szCs w:val="20"/>
              </w:rPr>
            </w:pPr>
          </w:p>
          <w:p w14:paraId="3AA6FF10" w14:textId="77777777" w:rsidR="00976AF5" w:rsidRDefault="00976AF5" w:rsidP="00E70C0A">
            <w:pPr>
              <w:widowControl w:val="0"/>
              <w:jc w:val="right"/>
              <w:rPr>
                <w:color w:val="000000"/>
                <w:sz w:val="20"/>
                <w:szCs w:val="20"/>
              </w:rPr>
            </w:pPr>
            <w:r>
              <w:rPr>
                <w:color w:val="000000"/>
                <w:sz w:val="20"/>
                <w:szCs w:val="20"/>
              </w:rPr>
              <w:t>2.38</w:t>
            </w:r>
          </w:p>
        </w:tc>
        <w:tc>
          <w:tcPr>
            <w:tcW w:w="2129" w:type="dxa"/>
            <w:tcBorders>
              <w:top w:val="single" w:sz="4" w:space="0" w:color="000000"/>
              <w:left w:val="single" w:sz="4" w:space="0" w:color="000000"/>
              <w:bottom w:val="single" w:sz="4" w:space="0" w:color="000000"/>
              <w:right w:val="single" w:sz="4" w:space="0" w:color="000000"/>
            </w:tcBorders>
          </w:tcPr>
          <w:p w14:paraId="3393E8B9" w14:textId="77777777" w:rsidR="00976AF5" w:rsidRDefault="00976AF5" w:rsidP="00E70C0A">
            <w:pPr>
              <w:widowControl w:val="0"/>
              <w:jc w:val="right"/>
              <w:rPr>
                <w:color w:val="000000"/>
                <w:sz w:val="20"/>
                <w:szCs w:val="20"/>
              </w:rPr>
            </w:pPr>
          </w:p>
          <w:p w14:paraId="4C53C7DD" w14:textId="77777777" w:rsidR="00976AF5" w:rsidRDefault="00976AF5" w:rsidP="00E70C0A">
            <w:pPr>
              <w:widowControl w:val="0"/>
              <w:jc w:val="right"/>
              <w:rPr>
                <w:color w:val="000000"/>
                <w:sz w:val="20"/>
                <w:szCs w:val="20"/>
              </w:rPr>
            </w:pPr>
            <w:r>
              <w:rPr>
                <w:color w:val="000000"/>
                <w:sz w:val="20"/>
                <w:szCs w:val="20"/>
              </w:rPr>
              <w:t>1.92</w:t>
            </w:r>
          </w:p>
        </w:tc>
      </w:tr>
      <w:tr w:rsidR="00976AF5" w14:paraId="5FBCED13"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0FED814A"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Variance</w:t>
            </w:r>
          </w:p>
        </w:tc>
        <w:tc>
          <w:tcPr>
            <w:tcW w:w="1708" w:type="dxa"/>
            <w:tcBorders>
              <w:top w:val="single" w:sz="4" w:space="0" w:color="000000"/>
              <w:left w:val="single" w:sz="4" w:space="0" w:color="000000"/>
              <w:bottom w:val="single" w:sz="4" w:space="0" w:color="000000"/>
              <w:right w:val="single" w:sz="4" w:space="0" w:color="000000"/>
            </w:tcBorders>
          </w:tcPr>
          <w:p w14:paraId="2585AEEE" w14:textId="77777777" w:rsidR="00976AF5" w:rsidRDefault="00976AF5" w:rsidP="00E70C0A">
            <w:pPr>
              <w:widowControl w:val="0"/>
              <w:jc w:val="right"/>
              <w:rPr>
                <w:color w:val="000000"/>
                <w:sz w:val="20"/>
                <w:szCs w:val="20"/>
              </w:rPr>
            </w:pPr>
            <w:r>
              <w:rPr>
                <w:color w:val="000000"/>
                <w:sz w:val="20"/>
                <w:szCs w:val="20"/>
              </w:rPr>
              <w:t>37.09</w:t>
            </w:r>
          </w:p>
        </w:tc>
        <w:tc>
          <w:tcPr>
            <w:tcW w:w="1815" w:type="dxa"/>
            <w:tcBorders>
              <w:top w:val="single" w:sz="4" w:space="0" w:color="000000"/>
              <w:left w:val="single" w:sz="4" w:space="0" w:color="000000"/>
              <w:bottom w:val="single" w:sz="4" w:space="0" w:color="000000"/>
              <w:right w:val="single" w:sz="4" w:space="0" w:color="000000"/>
            </w:tcBorders>
          </w:tcPr>
          <w:p w14:paraId="14949909" w14:textId="77777777" w:rsidR="00976AF5" w:rsidRDefault="00976AF5" w:rsidP="00E70C0A">
            <w:pPr>
              <w:widowControl w:val="0"/>
              <w:jc w:val="right"/>
              <w:rPr>
                <w:color w:val="000000"/>
                <w:sz w:val="20"/>
                <w:szCs w:val="20"/>
              </w:rPr>
            </w:pPr>
            <w:r>
              <w:rPr>
                <w:color w:val="000000"/>
                <w:sz w:val="20"/>
                <w:szCs w:val="20"/>
              </w:rPr>
              <w:t>21.95</w:t>
            </w:r>
          </w:p>
        </w:tc>
        <w:tc>
          <w:tcPr>
            <w:tcW w:w="1952" w:type="dxa"/>
            <w:tcBorders>
              <w:top w:val="single" w:sz="4" w:space="0" w:color="000000"/>
              <w:left w:val="single" w:sz="4" w:space="0" w:color="000000"/>
              <w:bottom w:val="single" w:sz="4" w:space="0" w:color="000000"/>
              <w:right w:val="single" w:sz="4" w:space="0" w:color="000000"/>
            </w:tcBorders>
          </w:tcPr>
          <w:p w14:paraId="23BFA711" w14:textId="77777777" w:rsidR="00976AF5" w:rsidRDefault="00976AF5" w:rsidP="00E70C0A">
            <w:pPr>
              <w:widowControl w:val="0"/>
              <w:jc w:val="right"/>
              <w:rPr>
                <w:color w:val="000000"/>
                <w:sz w:val="20"/>
                <w:szCs w:val="20"/>
              </w:rPr>
            </w:pPr>
            <w:r>
              <w:rPr>
                <w:color w:val="000000"/>
                <w:sz w:val="20"/>
                <w:szCs w:val="20"/>
              </w:rPr>
              <w:t>6.19</w:t>
            </w:r>
          </w:p>
        </w:tc>
        <w:tc>
          <w:tcPr>
            <w:tcW w:w="2129" w:type="dxa"/>
            <w:tcBorders>
              <w:top w:val="single" w:sz="4" w:space="0" w:color="000000"/>
              <w:left w:val="single" w:sz="4" w:space="0" w:color="000000"/>
              <w:bottom w:val="single" w:sz="4" w:space="0" w:color="000000"/>
              <w:right w:val="single" w:sz="4" w:space="0" w:color="000000"/>
            </w:tcBorders>
          </w:tcPr>
          <w:p w14:paraId="0A7904E1" w14:textId="77777777" w:rsidR="00976AF5" w:rsidRDefault="00976AF5" w:rsidP="00E70C0A">
            <w:pPr>
              <w:widowControl w:val="0"/>
              <w:jc w:val="right"/>
              <w:rPr>
                <w:color w:val="000000"/>
                <w:sz w:val="20"/>
                <w:szCs w:val="20"/>
              </w:rPr>
            </w:pPr>
            <w:r>
              <w:rPr>
                <w:color w:val="000000"/>
                <w:sz w:val="20"/>
                <w:szCs w:val="20"/>
              </w:rPr>
              <w:t>4.04</w:t>
            </w:r>
          </w:p>
        </w:tc>
      </w:tr>
      <w:tr w:rsidR="00976AF5" w14:paraId="3ECC0199"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6DDFDAB9"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Risk free Return</w:t>
            </w:r>
          </w:p>
        </w:tc>
        <w:tc>
          <w:tcPr>
            <w:tcW w:w="1708" w:type="dxa"/>
            <w:tcBorders>
              <w:top w:val="single" w:sz="4" w:space="0" w:color="000000"/>
              <w:left w:val="single" w:sz="4" w:space="0" w:color="000000"/>
              <w:bottom w:val="single" w:sz="4" w:space="0" w:color="000000"/>
              <w:right w:val="single" w:sz="4" w:space="0" w:color="000000"/>
            </w:tcBorders>
          </w:tcPr>
          <w:p w14:paraId="3FD6EFD5" w14:textId="77777777" w:rsidR="00976AF5" w:rsidRDefault="00976AF5" w:rsidP="00E70C0A">
            <w:pPr>
              <w:widowControl w:val="0"/>
              <w:jc w:val="center"/>
              <w:rPr>
                <w:color w:val="000000"/>
                <w:sz w:val="20"/>
                <w:szCs w:val="20"/>
              </w:rPr>
            </w:pPr>
            <w:r>
              <w:rPr>
                <w:color w:val="000000"/>
                <w:sz w:val="20"/>
                <w:szCs w:val="20"/>
              </w:rPr>
              <w:t xml:space="preserve">                                  6</w:t>
            </w:r>
          </w:p>
        </w:tc>
        <w:tc>
          <w:tcPr>
            <w:tcW w:w="1815" w:type="dxa"/>
            <w:tcBorders>
              <w:top w:val="single" w:sz="4" w:space="0" w:color="000000"/>
              <w:left w:val="single" w:sz="4" w:space="0" w:color="000000"/>
              <w:bottom w:val="single" w:sz="4" w:space="0" w:color="000000"/>
              <w:right w:val="single" w:sz="4" w:space="0" w:color="000000"/>
            </w:tcBorders>
          </w:tcPr>
          <w:p w14:paraId="33BB8556" w14:textId="77777777" w:rsidR="00976AF5" w:rsidRDefault="00976AF5" w:rsidP="00E70C0A">
            <w:pPr>
              <w:widowControl w:val="0"/>
              <w:jc w:val="center"/>
              <w:rPr>
                <w:color w:val="000000"/>
                <w:sz w:val="20"/>
                <w:szCs w:val="20"/>
              </w:rPr>
            </w:pPr>
            <w:r>
              <w:rPr>
                <w:color w:val="000000"/>
                <w:sz w:val="20"/>
                <w:szCs w:val="20"/>
              </w:rPr>
              <w:t xml:space="preserve">                                  6</w:t>
            </w:r>
          </w:p>
        </w:tc>
        <w:tc>
          <w:tcPr>
            <w:tcW w:w="1952" w:type="dxa"/>
            <w:tcBorders>
              <w:top w:val="single" w:sz="4" w:space="0" w:color="000000"/>
              <w:left w:val="single" w:sz="4" w:space="0" w:color="000000"/>
              <w:bottom w:val="single" w:sz="4" w:space="0" w:color="000000"/>
              <w:right w:val="single" w:sz="4" w:space="0" w:color="000000"/>
            </w:tcBorders>
          </w:tcPr>
          <w:p w14:paraId="3BF70E9B" w14:textId="77777777" w:rsidR="00976AF5" w:rsidRDefault="00976AF5" w:rsidP="00E70C0A">
            <w:pPr>
              <w:widowControl w:val="0"/>
              <w:jc w:val="center"/>
              <w:rPr>
                <w:color w:val="000000"/>
                <w:sz w:val="20"/>
                <w:szCs w:val="20"/>
              </w:rPr>
            </w:pPr>
            <w:r>
              <w:rPr>
                <w:color w:val="000000"/>
                <w:sz w:val="20"/>
                <w:szCs w:val="20"/>
              </w:rPr>
              <w:t xml:space="preserve">                                     6</w:t>
            </w:r>
          </w:p>
        </w:tc>
        <w:tc>
          <w:tcPr>
            <w:tcW w:w="2129" w:type="dxa"/>
            <w:tcBorders>
              <w:top w:val="single" w:sz="4" w:space="0" w:color="000000"/>
              <w:left w:val="single" w:sz="4" w:space="0" w:color="000000"/>
              <w:bottom w:val="single" w:sz="4" w:space="0" w:color="000000"/>
              <w:right w:val="single" w:sz="4" w:space="0" w:color="000000"/>
            </w:tcBorders>
          </w:tcPr>
          <w:p w14:paraId="0FF82C66" w14:textId="77777777" w:rsidR="00976AF5" w:rsidRDefault="00976AF5" w:rsidP="00E70C0A">
            <w:pPr>
              <w:widowControl w:val="0"/>
              <w:jc w:val="center"/>
              <w:rPr>
                <w:color w:val="000000"/>
                <w:sz w:val="20"/>
                <w:szCs w:val="20"/>
              </w:rPr>
            </w:pPr>
            <w:r>
              <w:rPr>
                <w:color w:val="000000"/>
                <w:sz w:val="20"/>
                <w:szCs w:val="20"/>
              </w:rPr>
              <w:t xml:space="preserve">                                            6</w:t>
            </w:r>
          </w:p>
        </w:tc>
      </w:tr>
      <w:tr w:rsidR="00976AF5" w14:paraId="216A0A1C"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33661B6E"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Sharpe Ratio</w:t>
            </w:r>
          </w:p>
        </w:tc>
        <w:tc>
          <w:tcPr>
            <w:tcW w:w="1708" w:type="dxa"/>
            <w:tcBorders>
              <w:top w:val="single" w:sz="4" w:space="0" w:color="000000"/>
              <w:left w:val="single" w:sz="4" w:space="0" w:color="000000"/>
              <w:bottom w:val="single" w:sz="4" w:space="0" w:color="000000"/>
              <w:right w:val="single" w:sz="4" w:space="0" w:color="000000"/>
            </w:tcBorders>
          </w:tcPr>
          <w:p w14:paraId="6F37246C"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3.98</w:t>
            </w:r>
          </w:p>
        </w:tc>
        <w:tc>
          <w:tcPr>
            <w:tcW w:w="1815" w:type="dxa"/>
            <w:tcBorders>
              <w:top w:val="single" w:sz="4" w:space="0" w:color="000000"/>
              <w:left w:val="single" w:sz="4" w:space="0" w:color="000000"/>
              <w:bottom w:val="single" w:sz="4" w:space="0" w:color="000000"/>
              <w:right w:val="single" w:sz="4" w:space="0" w:color="000000"/>
            </w:tcBorders>
          </w:tcPr>
          <w:p w14:paraId="317D3ECB"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8.17     </w:t>
            </w:r>
          </w:p>
        </w:tc>
        <w:tc>
          <w:tcPr>
            <w:tcW w:w="1952" w:type="dxa"/>
            <w:tcBorders>
              <w:top w:val="single" w:sz="4" w:space="0" w:color="000000"/>
              <w:left w:val="single" w:sz="4" w:space="0" w:color="000000"/>
              <w:bottom w:val="single" w:sz="4" w:space="0" w:color="000000"/>
              <w:right w:val="single" w:sz="4" w:space="0" w:color="000000"/>
            </w:tcBorders>
          </w:tcPr>
          <w:p w14:paraId="2CDEB974"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9.77                 </w:t>
            </w:r>
          </w:p>
        </w:tc>
        <w:tc>
          <w:tcPr>
            <w:tcW w:w="2129" w:type="dxa"/>
            <w:tcBorders>
              <w:top w:val="single" w:sz="4" w:space="0" w:color="000000"/>
              <w:left w:val="single" w:sz="4" w:space="0" w:color="000000"/>
              <w:bottom w:val="single" w:sz="4" w:space="0" w:color="000000"/>
              <w:right w:val="single" w:sz="4" w:space="0" w:color="000000"/>
            </w:tcBorders>
          </w:tcPr>
          <w:p w14:paraId="777D6A75"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12.91          </w:t>
            </w:r>
          </w:p>
        </w:tc>
      </w:tr>
      <w:tr w:rsidR="00976AF5" w14:paraId="488C4FC2"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7C129488"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Beta value</w:t>
            </w:r>
          </w:p>
        </w:tc>
        <w:tc>
          <w:tcPr>
            <w:tcW w:w="1708" w:type="dxa"/>
            <w:tcBorders>
              <w:top w:val="single" w:sz="4" w:space="0" w:color="000000"/>
              <w:left w:val="single" w:sz="4" w:space="0" w:color="000000"/>
              <w:bottom w:val="single" w:sz="4" w:space="0" w:color="000000"/>
              <w:right w:val="single" w:sz="4" w:space="0" w:color="000000"/>
            </w:tcBorders>
          </w:tcPr>
          <w:p w14:paraId="6FD926BB"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1815" w:type="dxa"/>
            <w:tcBorders>
              <w:top w:val="single" w:sz="4" w:space="0" w:color="000000"/>
              <w:left w:val="single" w:sz="4" w:space="0" w:color="000000"/>
              <w:bottom w:val="single" w:sz="4" w:space="0" w:color="000000"/>
              <w:right w:val="single" w:sz="4" w:space="0" w:color="000000"/>
            </w:tcBorders>
          </w:tcPr>
          <w:p w14:paraId="78AFC18D"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0.534</w:t>
            </w:r>
          </w:p>
        </w:tc>
        <w:tc>
          <w:tcPr>
            <w:tcW w:w="1952" w:type="dxa"/>
            <w:tcBorders>
              <w:top w:val="single" w:sz="4" w:space="0" w:color="000000"/>
              <w:left w:val="single" w:sz="4" w:space="0" w:color="000000"/>
              <w:bottom w:val="single" w:sz="4" w:space="0" w:color="000000"/>
              <w:right w:val="single" w:sz="4" w:space="0" w:color="000000"/>
            </w:tcBorders>
          </w:tcPr>
          <w:p w14:paraId="09A1348A"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1.000</w:t>
            </w:r>
          </w:p>
        </w:tc>
        <w:tc>
          <w:tcPr>
            <w:tcW w:w="2129" w:type="dxa"/>
            <w:tcBorders>
              <w:top w:val="single" w:sz="4" w:space="0" w:color="000000"/>
              <w:left w:val="single" w:sz="4" w:space="0" w:color="000000"/>
              <w:bottom w:val="single" w:sz="4" w:space="0" w:color="000000"/>
              <w:right w:val="single" w:sz="4" w:space="0" w:color="000000"/>
            </w:tcBorders>
          </w:tcPr>
          <w:p w14:paraId="08693E6B"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0.534</w:t>
            </w:r>
          </w:p>
        </w:tc>
      </w:tr>
      <w:tr w:rsidR="00976AF5" w14:paraId="2B32EE54" w14:textId="77777777" w:rsidTr="00E70C0A">
        <w:tc>
          <w:tcPr>
            <w:tcW w:w="1980" w:type="dxa"/>
            <w:tcBorders>
              <w:top w:val="single" w:sz="4" w:space="0" w:color="000000"/>
              <w:left w:val="single" w:sz="4" w:space="0" w:color="000000"/>
              <w:bottom w:val="single" w:sz="4" w:space="0" w:color="000000"/>
              <w:right w:val="single" w:sz="4" w:space="0" w:color="000000"/>
            </w:tcBorders>
          </w:tcPr>
          <w:p w14:paraId="49DCAADB" w14:textId="77777777" w:rsidR="00976AF5" w:rsidRDefault="00976AF5" w:rsidP="00E70C0A">
            <w:pPr>
              <w:widowControl w:val="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Treynor Ratio</w:t>
            </w:r>
          </w:p>
        </w:tc>
        <w:tc>
          <w:tcPr>
            <w:tcW w:w="1708" w:type="dxa"/>
            <w:tcBorders>
              <w:top w:val="single" w:sz="4" w:space="0" w:color="000000"/>
              <w:left w:val="single" w:sz="4" w:space="0" w:color="000000"/>
              <w:bottom w:val="single" w:sz="4" w:space="0" w:color="000000"/>
              <w:right w:val="single" w:sz="4" w:space="0" w:color="000000"/>
            </w:tcBorders>
          </w:tcPr>
          <w:p w14:paraId="3193642F"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23.26</w:t>
            </w:r>
          </w:p>
        </w:tc>
        <w:tc>
          <w:tcPr>
            <w:tcW w:w="1815" w:type="dxa"/>
            <w:tcBorders>
              <w:top w:val="single" w:sz="4" w:space="0" w:color="000000"/>
              <w:left w:val="single" w:sz="4" w:space="0" w:color="000000"/>
              <w:bottom w:val="single" w:sz="4" w:space="0" w:color="000000"/>
              <w:right w:val="single" w:sz="4" w:space="0" w:color="000000"/>
            </w:tcBorders>
          </w:tcPr>
          <w:p w14:paraId="7E7723A1"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69.24</w:t>
            </w:r>
          </w:p>
        </w:tc>
        <w:tc>
          <w:tcPr>
            <w:tcW w:w="1952" w:type="dxa"/>
            <w:tcBorders>
              <w:top w:val="single" w:sz="4" w:space="0" w:color="000000"/>
              <w:left w:val="single" w:sz="4" w:space="0" w:color="000000"/>
              <w:bottom w:val="single" w:sz="4" w:space="0" w:color="000000"/>
              <w:right w:val="single" w:sz="4" w:space="0" w:color="000000"/>
            </w:tcBorders>
          </w:tcPr>
          <w:p w14:paraId="3B9EDF69"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23.26</w:t>
            </w:r>
          </w:p>
        </w:tc>
        <w:tc>
          <w:tcPr>
            <w:tcW w:w="2129" w:type="dxa"/>
            <w:tcBorders>
              <w:top w:val="single" w:sz="4" w:space="0" w:color="000000"/>
              <w:left w:val="single" w:sz="4" w:space="0" w:color="000000"/>
              <w:bottom w:val="single" w:sz="4" w:space="0" w:color="000000"/>
              <w:right w:val="single" w:sz="4" w:space="0" w:color="000000"/>
            </w:tcBorders>
          </w:tcPr>
          <w:p w14:paraId="58ED85CD" w14:textId="77777777" w:rsidR="00976AF5" w:rsidRDefault="00976AF5" w:rsidP="00E70C0A">
            <w:pPr>
              <w:widowControl w:val="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46.77</w:t>
            </w:r>
          </w:p>
        </w:tc>
      </w:tr>
    </w:tbl>
    <w:p w14:paraId="5BEDD2B9" w14:textId="77777777" w:rsidR="00976AF5" w:rsidRDefault="00976AF5" w:rsidP="00976AF5">
      <w:pPr>
        <w:jc w:val="both"/>
      </w:pPr>
    </w:p>
    <w:p w14:paraId="4DB9E49D" w14:textId="77777777" w:rsidR="00976AF5" w:rsidRDefault="00976AF5" w:rsidP="00976AF5">
      <w:pPr>
        <w:jc w:val="both"/>
      </w:pPr>
    </w:p>
    <w:p w14:paraId="6F8439F7" w14:textId="77777777" w:rsidR="00976AF5" w:rsidRDefault="00976AF5" w:rsidP="00976AF5">
      <w:pPr>
        <w:jc w:val="both"/>
      </w:pPr>
      <w:r>
        <w:rPr>
          <w:noProof/>
        </w:rPr>
        <w:lastRenderedPageBreak/>
        <w:drawing>
          <wp:inline distT="0" distB="0" distL="0" distR="0" wp14:anchorId="42461E94" wp14:editId="170FE152">
            <wp:extent cx="5708650" cy="4257040"/>
            <wp:effectExtent l="0" t="0" r="0" b="0"/>
            <wp:docPr id="13" name="Object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EB0BE41" w14:textId="77777777" w:rsidR="00976AF5" w:rsidRDefault="00976AF5" w:rsidP="00976AF5">
      <w:pPr>
        <w:spacing w:line="360" w:lineRule="auto"/>
        <w:jc w:val="both"/>
        <w:rPr>
          <w:rFonts w:ascii="Times New Roman" w:eastAsia="Times New Roman" w:hAnsi="Times New Roman" w:cs="Times New Roman"/>
          <w:b/>
          <w:sz w:val="28"/>
          <w:szCs w:val="28"/>
        </w:rPr>
      </w:pPr>
    </w:p>
    <w:p w14:paraId="1D7F9177" w14:textId="77777777" w:rsidR="00976AF5" w:rsidRDefault="00976AF5" w:rsidP="00976AF5">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Interpretation:</w:t>
      </w:r>
    </w:p>
    <w:p w14:paraId="41FC5181" w14:textId="77777777" w:rsidR="00976AF5" w:rsidRDefault="00976AF5" w:rsidP="00976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above table and graph analysis consist SBI magnum mid cap fund-Gr, Franklin India smaller companies, SBI magnum Mid cap fund-IDCW and Franklin India smaller companies fund-IDCW points for the year 2023, it can observe that SBI magnum mid cap fund-Gr annual change is 29.268, Franklin India smaller companies-GR is 42.70,SBI magnum Mid cap fund-IDCW is 29.268 and in franklin India smaller companies fund-IDCW 3.79.</w:t>
      </w:r>
    </w:p>
    <w:p w14:paraId="07CFA273" w14:textId="77777777" w:rsidR="00976AF5" w:rsidRDefault="00976AF5" w:rsidP="00976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Considering a period of 12 months in the year of 2023 the dividend funds have shown better performance in annual % change, standard deviation and Sharpe ratio than compared to growth. </w:t>
      </w:r>
    </w:p>
    <w:p w14:paraId="4397CE6C" w14:textId="77777777" w:rsidR="00976AF5" w:rsidRDefault="00976AF5" w:rsidP="00976AF5">
      <w:pPr>
        <w:spacing w:line="360" w:lineRule="auto"/>
        <w:jc w:val="both"/>
        <w:rPr>
          <w:rFonts w:ascii="Times New Roman" w:eastAsia="Times New Roman" w:hAnsi="Times New Roman" w:cs="Times New Roman"/>
          <w:sz w:val="24"/>
          <w:szCs w:val="24"/>
        </w:rPr>
      </w:pPr>
    </w:p>
    <w:p w14:paraId="31D6EB5D" w14:textId="77777777" w:rsidR="00976AF5" w:rsidRDefault="00976AF5" w:rsidP="00976AF5">
      <w:pPr>
        <w:jc w:val="both"/>
        <w:rPr>
          <w:rFonts w:ascii="Times New Roman" w:eastAsia="Times New Roman" w:hAnsi="Times New Roman" w:cs="Times New Roman"/>
        </w:rPr>
      </w:pPr>
    </w:p>
    <w:p w14:paraId="1D10185E" w14:textId="77777777" w:rsidR="00976AF5" w:rsidRDefault="00976AF5" w:rsidP="00976AF5">
      <w:pPr>
        <w:jc w:val="both"/>
        <w:rPr>
          <w:rFonts w:ascii="Times New Roman" w:eastAsia="Times New Roman" w:hAnsi="Times New Roman" w:cs="Times New Roman"/>
        </w:rPr>
      </w:pPr>
    </w:p>
    <w:p w14:paraId="0D838FDD" w14:textId="77777777" w:rsidR="00976AF5" w:rsidRDefault="00976AF5" w:rsidP="00976AF5">
      <w:pPr>
        <w:jc w:val="both"/>
        <w:rPr>
          <w:rFonts w:ascii="Times New Roman" w:eastAsia="Times New Roman" w:hAnsi="Times New Roman" w:cs="Times New Roman"/>
        </w:rPr>
      </w:pPr>
    </w:p>
    <w:p w14:paraId="727EB811" w14:textId="77777777" w:rsidR="00976AF5" w:rsidRDefault="00976AF5" w:rsidP="00976AF5">
      <w:pPr>
        <w:jc w:val="both"/>
        <w:rPr>
          <w:rFonts w:ascii="Times New Roman" w:eastAsia="Times New Roman" w:hAnsi="Times New Roman" w:cs="Times New Roman"/>
        </w:rPr>
      </w:pPr>
    </w:p>
    <w:p w14:paraId="6F7AEA45" w14:textId="77777777" w:rsidR="009974FD" w:rsidRDefault="009974FD" w:rsidP="00976AF5">
      <w:pPr>
        <w:jc w:val="both"/>
        <w:rPr>
          <w:rFonts w:ascii="Times New Roman" w:eastAsia="Times New Roman" w:hAnsi="Times New Roman" w:cs="Times New Roman"/>
        </w:rPr>
      </w:pPr>
    </w:p>
    <w:p w14:paraId="45945FAE" w14:textId="77777777" w:rsidR="009974FD" w:rsidRDefault="009974FD" w:rsidP="00976AF5">
      <w:pPr>
        <w:jc w:val="both"/>
        <w:rPr>
          <w:rFonts w:ascii="Times New Roman" w:eastAsia="Times New Roman" w:hAnsi="Times New Roman" w:cs="Times New Roman"/>
        </w:rPr>
      </w:pPr>
    </w:p>
    <w:p w14:paraId="48E73D7E" w14:textId="09147FFD" w:rsidR="00976AF5" w:rsidRPr="006414AA" w:rsidRDefault="00976AF5" w:rsidP="00976AF5">
      <w:pPr>
        <w:jc w:val="both"/>
        <w:rPr>
          <w:rFonts w:ascii="Times New Roman" w:eastAsia="Times New Roman" w:hAnsi="Times New Roman" w:cs="Times New Roman"/>
          <w:sz w:val="24"/>
          <w:szCs w:val="24"/>
        </w:rPr>
      </w:pPr>
      <w:r w:rsidRPr="006414AA">
        <w:rPr>
          <w:rFonts w:ascii="Times New Roman" w:eastAsia="Times New Roman" w:hAnsi="Times New Roman" w:cs="Times New Roman"/>
          <w:b/>
          <w:bCs/>
          <w:sz w:val="24"/>
          <w:szCs w:val="24"/>
        </w:rPr>
        <w:lastRenderedPageBreak/>
        <w:t>FINDINGS OF THE STUDY</w:t>
      </w:r>
    </w:p>
    <w:p w14:paraId="6A2ED58D" w14:textId="77777777" w:rsidR="00976AF5" w:rsidRDefault="00976AF5" w:rsidP="00976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From the data analysis of “Comparative analysis on Performance of Growth funds and Dividend Mutual funds.”, for data analysis we have taken NAVs for 5 years with 4 different funds two AMCs in monthly format and the following points were found out.</w:t>
      </w:r>
    </w:p>
    <w:p w14:paraId="21C37DB5" w14:textId="77777777" w:rsidR="00976AF5" w:rsidRDefault="00976AF5" w:rsidP="00976AF5">
      <w:pPr>
        <w:spacing w:line="360" w:lineRule="auto"/>
        <w:jc w:val="both"/>
        <w:rPr>
          <w:sz w:val="24"/>
          <w:szCs w:val="24"/>
        </w:rPr>
      </w:pPr>
      <w:r>
        <w:rPr>
          <w:rFonts w:ascii="Times New Roman" w:eastAsia="Times New Roman" w:hAnsi="Times New Roman" w:cs="Times New Roman"/>
          <w:b/>
          <w:sz w:val="24"/>
          <w:szCs w:val="24"/>
          <w:u w:val="single"/>
        </w:rPr>
        <w:t>For the year 2019</w:t>
      </w:r>
    </w:p>
    <w:p w14:paraId="63BA496A" w14:textId="77777777" w:rsidR="00976AF5" w:rsidRDefault="00976AF5" w:rsidP="00976AF5">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Sharpe ratio in SBI magnum mid cap fund-Gr that is -1.31 and in   Franklin India smaller companies-Gr it was -4.06 and in SBI magnum Mid cap fund-IDCW i.e., -3.21 and in Franklin India smaller companies fund-IDCW -18.73</w:t>
      </w:r>
    </w:p>
    <w:p w14:paraId="7C9F5E57" w14:textId="77777777" w:rsidR="00976AF5" w:rsidRDefault="00976AF5" w:rsidP="00976AF5">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Treynor ratio in SBI magnum mid cap fund-Gr that is -4.21 and in   Franklin India smaller companies-Gr it was -6.93 and in SBI magnum Mid cap fund-IDCW i.e., -4.21 and in Franklin India smaller companies fund-IDCW -11.97</w:t>
      </w:r>
    </w:p>
    <w:p w14:paraId="08F332F5" w14:textId="77777777" w:rsidR="00976AF5" w:rsidRDefault="00976AF5" w:rsidP="00976AF5">
      <w:pPr>
        <w:numPr>
          <w:ilvl w:val="0"/>
          <w:numId w:val="2"/>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this for the year 2019, we can say that Growth funds performed better when compared to dividend funds here SBI magnum mid cap-Gr shows better returns.</w:t>
      </w:r>
    </w:p>
    <w:p w14:paraId="74F6A483" w14:textId="77777777" w:rsidR="00976AF5" w:rsidRDefault="00976AF5" w:rsidP="00976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For the year 2020</w:t>
      </w:r>
    </w:p>
    <w:p w14:paraId="351228AE" w14:textId="77777777" w:rsidR="00976AF5" w:rsidRDefault="00976AF5" w:rsidP="00976AF5">
      <w:pPr>
        <w:numPr>
          <w:ilvl w:val="0"/>
          <w:numId w:val="4"/>
        </w:numPr>
        <w:spacing w:line="360" w:lineRule="auto"/>
        <w:jc w:val="both"/>
        <w:rPr>
          <w:sz w:val="24"/>
          <w:szCs w:val="24"/>
        </w:rPr>
      </w:pPr>
      <w:r>
        <w:rPr>
          <w:rFonts w:ascii="Times New Roman" w:eastAsia="Times New Roman" w:hAnsi="Times New Roman" w:cs="Times New Roman"/>
          <w:sz w:val="24"/>
          <w:szCs w:val="24"/>
        </w:rPr>
        <w:t>Sharpe ratio in SBI magnum mid cap fund-Gr that is 2.19 and in   Franklin India smaller companies-Gr it was 1.16 and in SBI magnum Mid cap fund-IDCW i.e., 5.3 and in Franklin India smaller companies fund-IDCW -0.72</w:t>
      </w:r>
    </w:p>
    <w:p w14:paraId="14AF750E" w14:textId="77777777" w:rsidR="00976AF5" w:rsidRDefault="00976AF5" w:rsidP="00976AF5">
      <w:pPr>
        <w:numPr>
          <w:ilvl w:val="0"/>
          <w:numId w:val="4"/>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Treynor ratio in SBI magnum mid cap fund-Gr that is 16.25 and in   Franklin India smaller companies-Gr it was 7.11 and in SBI magnum Mid cap fund-IDCW i.e., 16.25 and in Franklin India smaller companies fund-IDCW -1.97</w:t>
      </w:r>
    </w:p>
    <w:p w14:paraId="2A2A4565" w14:textId="77777777" w:rsidR="00976AF5" w:rsidRDefault="00976AF5" w:rsidP="00976AF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this for the year 2020, we can say that the performance of SBI magnum mid cap- IDCW growth performed better when compared to SBI magnum Mid cap fund-GR and other side Franklin India smaller companies fund-Gr performed better compared with Franklin India smaller companies-IDCW.</w:t>
      </w:r>
    </w:p>
    <w:p w14:paraId="32B50D15" w14:textId="77777777" w:rsidR="00976AF5" w:rsidRDefault="00976AF5" w:rsidP="00976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For the year 2021</w:t>
      </w:r>
    </w:p>
    <w:p w14:paraId="66C3ACDA" w14:textId="77777777" w:rsidR="00976AF5" w:rsidRDefault="00976AF5" w:rsidP="00976AF5">
      <w:pPr>
        <w:numPr>
          <w:ilvl w:val="0"/>
          <w:numId w:val="3"/>
        </w:numPr>
        <w:spacing w:line="360" w:lineRule="auto"/>
        <w:jc w:val="both"/>
        <w:rPr>
          <w:sz w:val="24"/>
          <w:szCs w:val="24"/>
        </w:rPr>
      </w:pPr>
      <w:r>
        <w:rPr>
          <w:rFonts w:ascii="Times New Roman" w:eastAsia="Times New Roman" w:hAnsi="Times New Roman" w:cs="Times New Roman"/>
          <w:sz w:val="24"/>
          <w:szCs w:val="24"/>
        </w:rPr>
        <w:t>Sharpe ratio in SBI magnum mid cap fund-Gr that is 16.55 and in   Franklin India smaller companies-Gr it was 23.72 and in SBI magnum Mid cap fund-IDCW i.e., 40.49 and in Franklin India smaller companies fund-IDCW 56.83</w:t>
      </w:r>
    </w:p>
    <w:p w14:paraId="7BCB194F" w14:textId="77777777" w:rsidR="00976AF5" w:rsidRDefault="00976AF5" w:rsidP="00976AF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Treynor ratio in SBI magnum mid cap fund-Gr that is 51.83 and in   Franklin India smaller companies-Gr it was 51.05 and in SBI magnum Mid cap fund-IDCW i.e., 51.83 and in Franklin India smaller companies fund-IDCW 44.15</w:t>
      </w:r>
    </w:p>
    <w:p w14:paraId="3996DE0A" w14:textId="77777777" w:rsidR="00976AF5" w:rsidRDefault="00976AF5" w:rsidP="00976AF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With this for the year 2021, we can say that dividend funds performed better when compared to growth funds here Franklin India smaller companies fund-IDCW shows better returns.</w:t>
      </w:r>
    </w:p>
    <w:p w14:paraId="6BD106AA" w14:textId="77777777" w:rsidR="00976AF5" w:rsidRDefault="00976AF5" w:rsidP="00976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For the year 2022</w:t>
      </w:r>
    </w:p>
    <w:p w14:paraId="4CF98A37" w14:textId="77777777" w:rsidR="00976AF5" w:rsidRDefault="00976AF5" w:rsidP="00976AF5">
      <w:pPr>
        <w:numPr>
          <w:ilvl w:val="0"/>
          <w:numId w:val="3"/>
        </w:numPr>
        <w:spacing w:line="360" w:lineRule="auto"/>
        <w:jc w:val="both"/>
        <w:rPr>
          <w:sz w:val="24"/>
          <w:szCs w:val="24"/>
        </w:rPr>
      </w:pPr>
      <w:r>
        <w:rPr>
          <w:rFonts w:ascii="Times New Roman" w:eastAsia="Times New Roman" w:hAnsi="Times New Roman" w:cs="Times New Roman"/>
          <w:sz w:val="24"/>
          <w:szCs w:val="24"/>
        </w:rPr>
        <w:t>Sharpe ratio in SBI magnum mid cap fund-Gr that is 0.44 and in   Franklin India smaller companies-Gr it was 0.51 and in SBI magnum Mid cap fund-IDCW i.e., 1.10 and in Franklin India smaller companies fund-IDCW -3.2.</w:t>
      </w:r>
    </w:p>
    <w:p w14:paraId="1C382D89" w14:textId="77777777" w:rsidR="00976AF5" w:rsidRDefault="00976AF5" w:rsidP="00976AF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Treynor ratio in SBI magnum mid cap fund-Gr that is 2.64 and in   Franklin India smaller companies-Gr it was 3.73 and in SBI magnum Mid cap fund-IDCW i.e., 2.64 and in Franklin India smaller companies fund-IDCW -11.96</w:t>
      </w:r>
    </w:p>
    <w:p w14:paraId="3237942C" w14:textId="77777777" w:rsidR="00976AF5" w:rsidRDefault="00976AF5" w:rsidP="00976AF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this for the year 2022, we can say that the performance of SBI magnum mid cap- IDCW performed better when compared to SBI magnum Mid cap fund-Gr and other side Franklin India smaller companies fund-Gr performed better compared with Franklin India smaller companies-IDCW.</w:t>
      </w:r>
    </w:p>
    <w:p w14:paraId="193C26B1" w14:textId="77777777" w:rsidR="00976AF5" w:rsidRDefault="00976AF5" w:rsidP="00976AF5">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For the year 2023</w:t>
      </w:r>
    </w:p>
    <w:p w14:paraId="33A50B73" w14:textId="77777777" w:rsidR="00976AF5" w:rsidRDefault="00976AF5" w:rsidP="00976AF5">
      <w:pPr>
        <w:numPr>
          <w:ilvl w:val="0"/>
          <w:numId w:val="3"/>
        </w:numPr>
        <w:spacing w:line="360" w:lineRule="auto"/>
        <w:jc w:val="both"/>
        <w:rPr>
          <w:sz w:val="24"/>
          <w:szCs w:val="24"/>
        </w:rPr>
      </w:pPr>
      <w:r>
        <w:rPr>
          <w:rFonts w:ascii="Times New Roman" w:eastAsia="Times New Roman" w:hAnsi="Times New Roman" w:cs="Times New Roman"/>
          <w:sz w:val="24"/>
          <w:szCs w:val="24"/>
        </w:rPr>
        <w:t>Sharpe ratio in SBI magnum mid cap fund-Gr that is 3.98 and in   Franklin India smaller companies-Gr it was 8.17 and in SBI magnum Mid cap fund-IDCW i.e., 9.77 and in Franklin India smaller companies fund-IDCW 12.91</w:t>
      </w:r>
    </w:p>
    <w:p w14:paraId="5DB508A0" w14:textId="77777777" w:rsidR="00976AF5" w:rsidRDefault="00976AF5" w:rsidP="00976AF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Treynor ratio in SBI magnum mid cap fund-Gr that is 23.26 and in   Franklin India smaller companies-Gr it was 69.24 and in SBI magnum Mid cap fund-IDCW i.e., 23.26 and in Franklin India smaller companies fund-IDCW 46.77</w:t>
      </w:r>
    </w:p>
    <w:p w14:paraId="7959F23E" w14:textId="36257AF2" w:rsidR="00976AF5" w:rsidRPr="00D63144" w:rsidRDefault="00976AF5" w:rsidP="00976AF5">
      <w:pPr>
        <w:numPr>
          <w:ilvl w:val="0"/>
          <w:numId w:val="3"/>
        </w:num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 this for the year 2023, we can say that dividend funds performed better when compared to growth funds here Franklin India smaller companies fund-</w:t>
      </w:r>
      <w:r w:rsidR="004A4676">
        <w:rPr>
          <w:rFonts w:ascii="Times New Roman" w:eastAsia="Times New Roman" w:hAnsi="Times New Roman" w:cs="Times New Roman"/>
          <w:sz w:val="24"/>
          <w:szCs w:val="24"/>
        </w:rPr>
        <w:t>IDCW shows</w:t>
      </w:r>
      <w:r>
        <w:rPr>
          <w:rFonts w:ascii="Times New Roman" w:eastAsia="Times New Roman" w:hAnsi="Times New Roman" w:cs="Times New Roman"/>
          <w:sz w:val="24"/>
          <w:szCs w:val="24"/>
        </w:rPr>
        <w:t xml:space="preserve"> better returns.</w:t>
      </w:r>
    </w:p>
    <w:p w14:paraId="0AAF1AA7" w14:textId="026855FF" w:rsidR="00976AF5" w:rsidRPr="006414AA" w:rsidRDefault="00976AF5" w:rsidP="00976AF5">
      <w:pPr>
        <w:jc w:val="both"/>
        <w:rPr>
          <w:rFonts w:ascii="Times New Roman" w:eastAsia="Times New Roman" w:hAnsi="Times New Roman" w:cs="Times New Roman"/>
          <w:b/>
          <w:bCs/>
          <w:sz w:val="24"/>
          <w:szCs w:val="24"/>
        </w:rPr>
      </w:pPr>
      <w:r w:rsidRPr="006414AA">
        <w:rPr>
          <w:rFonts w:ascii="Times New Roman" w:eastAsia="Times New Roman" w:hAnsi="Times New Roman" w:cs="Times New Roman"/>
          <w:b/>
          <w:bCs/>
          <w:sz w:val="24"/>
          <w:szCs w:val="24"/>
        </w:rPr>
        <w:t>SUGGESTIONS:</w:t>
      </w:r>
    </w:p>
    <w:p w14:paraId="7A9E4252" w14:textId="77777777" w:rsidR="00976AF5" w:rsidRDefault="00976AF5" w:rsidP="009336F6">
      <w:pPr>
        <w:numPr>
          <w:ilvl w:val="0"/>
          <w:numId w:val="5"/>
        </w:numPr>
        <w:spacing w:before="28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higher Sharpe ratio indicates better performance relative to the risk taken. In my analysis, I have observed fluctuations in Sharpe ratios across different funds and fund types over the years. It's essential to consider this metric when evaluating fund performance.</w:t>
      </w:r>
    </w:p>
    <w:p w14:paraId="246332D6" w14:textId="77777777" w:rsidR="00976AF5" w:rsidRDefault="00976AF5" w:rsidP="009336F6">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Look for funds that consistently demonstrate strong performance and maintain a relatively high Sharpe ratio and Treynor’s ratio.</w:t>
      </w:r>
    </w:p>
    <w:p w14:paraId="0CA1F6B7" w14:textId="77777777" w:rsidR="00976AF5" w:rsidRDefault="00976AF5" w:rsidP="009336F6">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Instead of relying fund, it is advisable to consider variety of fund types based on risk, return and investment objectives of investors. This strategy can help mitigate risk and capture opportunities in various market conditions.</w:t>
      </w:r>
    </w:p>
    <w:p w14:paraId="3C827C15" w14:textId="77777777" w:rsidR="00976AF5" w:rsidRDefault="00976AF5" w:rsidP="009336F6">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Conduct regular reviews of investment portfolio to ensure it aligns with your financial goals and risk tolerance.</w:t>
      </w:r>
    </w:p>
    <w:p w14:paraId="74DF14E8" w14:textId="77777777" w:rsidR="00976AF5" w:rsidRDefault="00976AF5" w:rsidP="009336F6">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Lower expense ratio funds can contribute to higher net returns over time, so it's essential to factor in the cost when making investment decisions.</w:t>
      </w:r>
    </w:p>
    <w:p w14:paraId="2D31FBF9" w14:textId="77777777" w:rsidR="00976AF5" w:rsidRDefault="00976AF5" w:rsidP="009336F6">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When compared to growth option funds and dividend option funds, growth option may get higher possibility of returns.</w:t>
      </w:r>
    </w:p>
    <w:p w14:paraId="719C4450" w14:textId="77777777" w:rsidR="00976AF5" w:rsidRDefault="00976AF5" w:rsidP="009336F6">
      <w:pPr>
        <w:numPr>
          <w:ilvl w:val="0"/>
          <w:numId w:val="5"/>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Investors should consider Asset under management of each specified fund, in order to consider the credibility and performance of the fund. </w:t>
      </w:r>
    </w:p>
    <w:p w14:paraId="7ACE10C8" w14:textId="77777777" w:rsidR="00D63144" w:rsidRDefault="00D63144" w:rsidP="006414AA">
      <w:pPr>
        <w:pStyle w:val="BodyText"/>
        <w:spacing w:line="360" w:lineRule="auto"/>
        <w:jc w:val="both"/>
        <w:rPr>
          <w:rFonts w:ascii="Times New Roman" w:eastAsia="Times New Roman" w:hAnsi="Times New Roman" w:cs="Times New Roman"/>
          <w:b/>
          <w:bCs/>
          <w:sz w:val="28"/>
          <w:szCs w:val="28"/>
        </w:rPr>
      </w:pPr>
    </w:p>
    <w:p w14:paraId="5FA27044" w14:textId="56EA6FC1" w:rsidR="0003669A" w:rsidRPr="00976AF5" w:rsidRDefault="0003669A" w:rsidP="006414AA">
      <w:pPr>
        <w:pStyle w:val="BodyText"/>
        <w:spacing w:line="360" w:lineRule="auto"/>
        <w:jc w:val="both"/>
        <w:rPr>
          <w:rFonts w:ascii="Times New Roman" w:eastAsia="Times New Roman" w:hAnsi="Times New Roman" w:cs="Times New Roman"/>
          <w:sz w:val="24"/>
          <w:szCs w:val="24"/>
        </w:rPr>
      </w:pPr>
      <w:r w:rsidRPr="0003669A">
        <w:rPr>
          <w:rFonts w:ascii="Times New Roman" w:eastAsia="Times New Roman" w:hAnsi="Times New Roman" w:cs="Times New Roman"/>
          <w:b/>
          <w:bCs/>
          <w:sz w:val="28"/>
          <w:szCs w:val="28"/>
        </w:rPr>
        <w:t>Conclusion</w:t>
      </w:r>
      <w:r>
        <w:rPr>
          <w:rFonts w:ascii="Times New Roman" w:eastAsia="Times New Roman" w:hAnsi="Times New Roman" w:cs="Times New Roman"/>
          <w:b/>
          <w:bCs/>
          <w:sz w:val="28"/>
          <w:szCs w:val="28"/>
        </w:rPr>
        <w:t>:</w:t>
      </w:r>
    </w:p>
    <w:p w14:paraId="2A807CFF" w14:textId="77777777" w:rsidR="0003669A" w:rsidRDefault="0003669A" w:rsidP="006414AA">
      <w:pPr>
        <w:spacing w:line="360" w:lineRule="auto"/>
        <w:jc w:val="both"/>
        <w:rPr>
          <w:rFonts w:ascii="Times New Roman" w:eastAsia="Times New Roman" w:hAnsi="Times New Roman" w:cs="Times New Roman"/>
          <w:b/>
          <w:bCs/>
          <w:sz w:val="24"/>
          <w:szCs w:val="24"/>
        </w:rPr>
      </w:pPr>
      <w:r w:rsidRPr="0003669A">
        <w:rPr>
          <w:rFonts w:ascii="Times New Roman" w:hAnsi="Times New Roman" w:cs="Times New Roman"/>
          <w:sz w:val="24"/>
          <w:szCs w:val="24"/>
        </w:rPr>
        <w:t>This study comprehensively analyzed the performance dynamics of growth and dividend options in mutual funds. It highlighted that growth options typically offer higher long-term returns through compounding, whereas dividend options provide regular income but may limit growth potential due to distributions. The study emphasized the importance of considering factors like risk profiles, tax implications, and investor objectives when choosing between these options. Statistical tools such as Standard Deviation, Sharpe Ratio, and Treynor Ratio were employed to evaluate risk-adjusted returns. Ultimately, informed decision-making is crucial for investors to align their investments with financial goals and risk preferences, ensuring optimal portfolio management in varying market conditions.</w:t>
      </w:r>
    </w:p>
    <w:p w14:paraId="0B2645B4" w14:textId="1E4800D4" w:rsidR="009E7D13" w:rsidRPr="009336F6" w:rsidRDefault="009E7D13" w:rsidP="0003669A">
      <w:pPr>
        <w:spacing w:line="360" w:lineRule="auto"/>
        <w:rPr>
          <w:rFonts w:ascii="Times New Roman" w:eastAsia="Times New Roman" w:hAnsi="Times New Roman" w:cs="Times New Roman"/>
          <w:b/>
          <w:bCs/>
          <w:sz w:val="24"/>
          <w:szCs w:val="24"/>
        </w:rPr>
      </w:pPr>
      <w:r w:rsidRPr="009336F6">
        <w:rPr>
          <w:rFonts w:ascii="Times New Roman" w:eastAsia="Times New Roman" w:hAnsi="Times New Roman" w:cs="Times New Roman"/>
          <w:b/>
          <w:bCs/>
          <w:sz w:val="24"/>
          <w:szCs w:val="24"/>
        </w:rPr>
        <w:t>References:</w:t>
      </w:r>
    </w:p>
    <w:p w14:paraId="7B7FB1B0" w14:textId="77777777" w:rsidR="00544D4D" w:rsidRPr="00544D4D" w:rsidRDefault="00544D4D" w:rsidP="00D43959">
      <w:pPr>
        <w:pStyle w:val="BodyText"/>
        <w:numPr>
          <w:ilvl w:val="0"/>
          <w:numId w:val="9"/>
        </w:numPr>
        <w:jc w:val="both"/>
        <w:rPr>
          <w:rFonts w:ascii="Times New Roman" w:hAnsi="Times New Roman" w:cs="Times New Roman"/>
          <w:color w:val="000000"/>
          <w:sz w:val="24"/>
          <w:szCs w:val="24"/>
        </w:rPr>
      </w:pPr>
      <w:proofErr w:type="spellStart"/>
      <w:proofErr w:type="gramStart"/>
      <w:r w:rsidRPr="00544D4D">
        <w:rPr>
          <w:rFonts w:ascii="Times New Roman" w:hAnsi="Times New Roman" w:cs="Times New Roman"/>
          <w:color w:val="000000"/>
          <w:sz w:val="24"/>
          <w:szCs w:val="24"/>
        </w:rPr>
        <w:t>G.Kamal</w:t>
      </w:r>
      <w:proofErr w:type="spellEnd"/>
      <w:proofErr w:type="gramEnd"/>
      <w:r w:rsidRPr="00544D4D">
        <w:rPr>
          <w:rFonts w:ascii="Times New Roman" w:hAnsi="Times New Roman" w:cs="Times New Roman"/>
          <w:color w:val="000000"/>
          <w:sz w:val="24"/>
          <w:szCs w:val="24"/>
        </w:rPr>
        <w:t>, A Study on Financial Performance using Ratios of KCP Sugars and I C Limited, Andhra Pradesh”.  The International Journal of Analytical and Experimental Model Analysis. Volume XIII, Issue VIII, August/2021, pp 1356-1363, ISSN: 0886-9367.</w:t>
      </w:r>
    </w:p>
    <w:p w14:paraId="6CD0A74B" w14:textId="77777777" w:rsidR="00544D4D" w:rsidRPr="00544D4D" w:rsidRDefault="00544D4D" w:rsidP="00D43959">
      <w:pPr>
        <w:pStyle w:val="BodyText"/>
        <w:numPr>
          <w:ilvl w:val="0"/>
          <w:numId w:val="9"/>
        </w:numPr>
        <w:jc w:val="both"/>
        <w:rPr>
          <w:rFonts w:ascii="Times New Roman" w:hAnsi="Times New Roman" w:cs="Times New Roman"/>
          <w:color w:val="000000"/>
          <w:sz w:val="24"/>
          <w:szCs w:val="24"/>
        </w:rPr>
      </w:pPr>
      <w:proofErr w:type="spellStart"/>
      <w:proofErr w:type="gramStart"/>
      <w:r w:rsidRPr="00544D4D">
        <w:rPr>
          <w:rFonts w:ascii="Times New Roman" w:hAnsi="Times New Roman" w:cs="Times New Roman"/>
          <w:color w:val="000000"/>
          <w:sz w:val="24"/>
          <w:szCs w:val="24"/>
        </w:rPr>
        <w:t>G.Kamal</w:t>
      </w:r>
      <w:proofErr w:type="spellEnd"/>
      <w:proofErr w:type="gramEnd"/>
      <w:r w:rsidRPr="00544D4D">
        <w:rPr>
          <w:rFonts w:ascii="Times New Roman" w:hAnsi="Times New Roman" w:cs="Times New Roman"/>
          <w:color w:val="000000"/>
          <w:sz w:val="24"/>
          <w:szCs w:val="24"/>
        </w:rPr>
        <w:t xml:space="preserve">, A Study on Funds Flow Statement in and Organization using Data Analysis” Journal of Education: </w:t>
      </w:r>
      <w:proofErr w:type="spellStart"/>
      <w:r w:rsidRPr="00544D4D">
        <w:rPr>
          <w:rFonts w:ascii="Times New Roman" w:hAnsi="Times New Roman" w:cs="Times New Roman"/>
          <w:color w:val="000000"/>
          <w:sz w:val="24"/>
          <w:szCs w:val="24"/>
        </w:rPr>
        <w:t>Rabindrabharati</w:t>
      </w:r>
      <w:proofErr w:type="spellEnd"/>
      <w:r w:rsidRPr="00544D4D">
        <w:rPr>
          <w:rFonts w:ascii="Times New Roman" w:hAnsi="Times New Roman" w:cs="Times New Roman"/>
          <w:color w:val="000000"/>
          <w:sz w:val="24"/>
          <w:szCs w:val="24"/>
        </w:rPr>
        <w:t xml:space="preserve"> University, Vol.: XXIII, No. : 7, 2020– 2021, pp 187-192, ISSN: 0972-7175.</w:t>
      </w:r>
    </w:p>
    <w:p w14:paraId="1BAED9EA" w14:textId="77777777" w:rsidR="00544D4D" w:rsidRPr="00544D4D" w:rsidRDefault="00544D4D" w:rsidP="00D43959">
      <w:pPr>
        <w:pStyle w:val="BodyText"/>
        <w:numPr>
          <w:ilvl w:val="0"/>
          <w:numId w:val="9"/>
        </w:numPr>
        <w:jc w:val="both"/>
        <w:rPr>
          <w:rFonts w:ascii="Times New Roman" w:hAnsi="Times New Roman" w:cs="Times New Roman"/>
          <w:color w:val="000000"/>
          <w:sz w:val="24"/>
          <w:szCs w:val="24"/>
        </w:rPr>
      </w:pPr>
      <w:r w:rsidRPr="00544D4D">
        <w:rPr>
          <w:rFonts w:ascii="Times New Roman" w:hAnsi="Times New Roman" w:cs="Times New Roman"/>
          <w:color w:val="000000"/>
          <w:sz w:val="24"/>
          <w:szCs w:val="24"/>
        </w:rPr>
        <w:t>G. Kamal and Kumar, T. Hemanth and Susmitha, K., Linkage of Indian Equity Market with Developed Economies Equity Markets (September 14, 2022). Available at SSRN: https://ssrn.com/abstract=4218617 or http://dx.doi.org/10.2139/ssrn.4218617.</w:t>
      </w:r>
    </w:p>
    <w:p w14:paraId="1DEAAE9E" w14:textId="77777777" w:rsidR="00544D4D" w:rsidRPr="00544D4D" w:rsidRDefault="00544D4D" w:rsidP="00D43959">
      <w:pPr>
        <w:pStyle w:val="BodyText"/>
        <w:numPr>
          <w:ilvl w:val="0"/>
          <w:numId w:val="9"/>
        </w:numPr>
        <w:jc w:val="both"/>
        <w:rPr>
          <w:rFonts w:ascii="Times New Roman" w:hAnsi="Times New Roman" w:cs="Times New Roman"/>
          <w:color w:val="000000"/>
          <w:sz w:val="24"/>
          <w:szCs w:val="24"/>
        </w:rPr>
      </w:pPr>
      <w:proofErr w:type="spellStart"/>
      <w:proofErr w:type="gramStart"/>
      <w:r w:rsidRPr="00544D4D">
        <w:rPr>
          <w:rFonts w:ascii="Times New Roman" w:hAnsi="Times New Roman" w:cs="Times New Roman"/>
          <w:color w:val="000000"/>
          <w:sz w:val="24"/>
          <w:szCs w:val="24"/>
        </w:rPr>
        <w:lastRenderedPageBreak/>
        <w:t>G.Kamal</w:t>
      </w:r>
      <w:proofErr w:type="spellEnd"/>
      <w:proofErr w:type="gramEnd"/>
      <w:r w:rsidRPr="00544D4D">
        <w:rPr>
          <w:rFonts w:ascii="Times New Roman" w:hAnsi="Times New Roman" w:cs="Times New Roman"/>
          <w:color w:val="000000"/>
          <w:sz w:val="24"/>
          <w:szCs w:val="24"/>
        </w:rPr>
        <w:t>, Role of SHGs in Empowering Women in Marine Fishing Community, International Journal of Emerging Technologies and Innovative Research (www.jetir.org), ISSN:2349-5162, Vol.5, Issue:9, page no. 169-173, September-2018.</w:t>
      </w:r>
    </w:p>
    <w:p w14:paraId="4F399740" w14:textId="77777777" w:rsidR="00544D4D" w:rsidRPr="00544D4D" w:rsidRDefault="00544D4D" w:rsidP="00D43959">
      <w:pPr>
        <w:pStyle w:val="BodyText"/>
        <w:numPr>
          <w:ilvl w:val="0"/>
          <w:numId w:val="9"/>
        </w:numPr>
        <w:jc w:val="both"/>
        <w:rPr>
          <w:rFonts w:ascii="Times New Roman" w:hAnsi="Times New Roman" w:cs="Times New Roman"/>
          <w:color w:val="000000"/>
          <w:sz w:val="24"/>
          <w:szCs w:val="24"/>
        </w:rPr>
      </w:pPr>
      <w:r w:rsidRPr="00544D4D">
        <w:rPr>
          <w:rFonts w:ascii="Times New Roman" w:hAnsi="Times New Roman" w:cs="Times New Roman"/>
          <w:color w:val="000000"/>
          <w:sz w:val="24"/>
          <w:szCs w:val="24"/>
        </w:rPr>
        <w:t xml:space="preserve">J. N. V. R. Swarup Kumar, </w:t>
      </w:r>
      <w:proofErr w:type="spellStart"/>
      <w:proofErr w:type="gramStart"/>
      <w:r w:rsidRPr="00544D4D">
        <w:rPr>
          <w:rFonts w:ascii="Times New Roman" w:hAnsi="Times New Roman" w:cs="Times New Roman"/>
          <w:color w:val="000000"/>
          <w:sz w:val="24"/>
          <w:szCs w:val="24"/>
        </w:rPr>
        <w:t>G.Kamal</w:t>
      </w:r>
      <w:proofErr w:type="spellEnd"/>
      <w:proofErr w:type="gramEnd"/>
      <w:r w:rsidRPr="00544D4D">
        <w:rPr>
          <w:rFonts w:ascii="Times New Roman" w:hAnsi="Times New Roman" w:cs="Times New Roman"/>
          <w:color w:val="000000"/>
          <w:sz w:val="24"/>
          <w:szCs w:val="24"/>
        </w:rPr>
        <w:t>, A Mobile App For Age And Gender Identification Using Deep Learning Technique, International Conference on Intelligent Systems for Communication, IOT and Security, 2023, FEBRUARY 09, 2023 to FEBRUARY 11, 2023 International Conference on Intelligent Systems for Communication, IoT and Security (</w:t>
      </w:r>
      <w:proofErr w:type="spellStart"/>
      <w:r w:rsidRPr="00544D4D">
        <w:rPr>
          <w:rFonts w:ascii="Times New Roman" w:hAnsi="Times New Roman" w:cs="Times New Roman"/>
          <w:color w:val="000000"/>
          <w:sz w:val="24"/>
          <w:szCs w:val="24"/>
        </w:rPr>
        <w:t>ICISCoIS</w:t>
      </w:r>
      <w:proofErr w:type="spellEnd"/>
      <w:r w:rsidRPr="00544D4D">
        <w:rPr>
          <w:rFonts w:ascii="Times New Roman" w:hAnsi="Times New Roman" w:cs="Times New Roman"/>
          <w:color w:val="000000"/>
          <w:sz w:val="24"/>
          <w:szCs w:val="24"/>
        </w:rPr>
        <w:t>) ,979-8-3503-3583-5/23/$31.00 ©2023 IEEE , DOI: 10.1109/ICISCOIS56541.2023.10100432 (Scopus).</w:t>
      </w:r>
    </w:p>
    <w:p w14:paraId="6F6C4066" w14:textId="09A7068A" w:rsidR="00544D4D" w:rsidRPr="00544D4D" w:rsidRDefault="00544D4D" w:rsidP="00D43959">
      <w:pPr>
        <w:pStyle w:val="BodyText"/>
        <w:numPr>
          <w:ilvl w:val="0"/>
          <w:numId w:val="9"/>
        </w:numPr>
        <w:jc w:val="both"/>
        <w:rPr>
          <w:rFonts w:ascii="Times New Roman" w:hAnsi="Times New Roman" w:cs="Times New Roman"/>
          <w:color w:val="000000"/>
          <w:sz w:val="24"/>
          <w:szCs w:val="24"/>
        </w:rPr>
      </w:pPr>
      <w:r w:rsidRPr="00544D4D">
        <w:rPr>
          <w:rFonts w:ascii="Times New Roman" w:hAnsi="Times New Roman" w:cs="Times New Roman"/>
          <w:color w:val="000000"/>
          <w:sz w:val="24"/>
          <w:szCs w:val="24"/>
        </w:rPr>
        <w:t xml:space="preserve">TS Leelavati, S Madhavi, G Kamal, PVM Raju, K Susmitha, M Vinod, Shaik </w:t>
      </w:r>
      <w:proofErr w:type="spellStart"/>
      <w:r w:rsidRPr="00544D4D">
        <w:rPr>
          <w:rFonts w:ascii="Times New Roman" w:hAnsi="Times New Roman" w:cs="Times New Roman"/>
          <w:color w:val="000000"/>
          <w:sz w:val="24"/>
          <w:szCs w:val="24"/>
        </w:rPr>
        <w:t>Aminabee</w:t>
      </w:r>
      <w:proofErr w:type="spellEnd"/>
      <w:r w:rsidRPr="00544D4D">
        <w:rPr>
          <w:rFonts w:ascii="Times New Roman" w:hAnsi="Times New Roman" w:cs="Times New Roman"/>
          <w:color w:val="000000"/>
          <w:sz w:val="24"/>
          <w:szCs w:val="24"/>
        </w:rPr>
        <w:t xml:space="preserve">, Revolutionizing Healthcare Delivery: Telemedicine's Influence on Access and Patient Satisfaction, International Journal of Chemical and Biochemical Sciences, Vol.: 24, </w:t>
      </w:r>
      <w:r w:rsidR="00180AE8" w:rsidRPr="00544D4D">
        <w:rPr>
          <w:rFonts w:ascii="Times New Roman" w:hAnsi="Times New Roman" w:cs="Times New Roman"/>
          <w:color w:val="000000"/>
          <w:sz w:val="24"/>
          <w:szCs w:val="24"/>
        </w:rPr>
        <w:t>No.:</w:t>
      </w:r>
      <w:r w:rsidRPr="00544D4D">
        <w:rPr>
          <w:rFonts w:ascii="Times New Roman" w:hAnsi="Times New Roman" w:cs="Times New Roman"/>
          <w:color w:val="000000"/>
          <w:sz w:val="24"/>
          <w:szCs w:val="24"/>
        </w:rPr>
        <w:t xml:space="preserve"> 5, 2023, pp 106-115, ISSN 2226-9614.</w:t>
      </w:r>
    </w:p>
    <w:p w14:paraId="26EF7434" w14:textId="77777777" w:rsidR="00544D4D" w:rsidRPr="00544D4D" w:rsidRDefault="00544D4D" w:rsidP="00D43959">
      <w:pPr>
        <w:pStyle w:val="BodyText"/>
        <w:numPr>
          <w:ilvl w:val="0"/>
          <w:numId w:val="9"/>
        </w:numPr>
        <w:jc w:val="both"/>
        <w:rPr>
          <w:rFonts w:ascii="Times New Roman" w:hAnsi="Times New Roman" w:cs="Times New Roman"/>
          <w:color w:val="000000"/>
          <w:sz w:val="24"/>
          <w:szCs w:val="24"/>
        </w:rPr>
      </w:pPr>
      <w:proofErr w:type="spellStart"/>
      <w:proofErr w:type="gramStart"/>
      <w:r w:rsidRPr="00544D4D">
        <w:rPr>
          <w:rFonts w:ascii="Times New Roman" w:hAnsi="Times New Roman" w:cs="Times New Roman"/>
          <w:color w:val="000000"/>
          <w:sz w:val="24"/>
          <w:szCs w:val="24"/>
        </w:rPr>
        <w:t>G.Kamal</w:t>
      </w:r>
      <w:proofErr w:type="spellEnd"/>
      <w:proofErr w:type="gramEnd"/>
      <w:r w:rsidRPr="00544D4D">
        <w:rPr>
          <w:rFonts w:ascii="Times New Roman" w:hAnsi="Times New Roman" w:cs="Times New Roman"/>
          <w:color w:val="000000"/>
          <w:sz w:val="24"/>
          <w:szCs w:val="24"/>
        </w:rPr>
        <w:t xml:space="preserve">, Prof. </w:t>
      </w:r>
      <w:proofErr w:type="spellStart"/>
      <w:r w:rsidRPr="00544D4D">
        <w:rPr>
          <w:rFonts w:ascii="Times New Roman" w:hAnsi="Times New Roman" w:cs="Times New Roman"/>
          <w:color w:val="000000"/>
          <w:sz w:val="24"/>
          <w:szCs w:val="24"/>
        </w:rPr>
        <w:t>T.Umamaheswara</w:t>
      </w:r>
      <w:proofErr w:type="spellEnd"/>
      <w:r w:rsidRPr="00544D4D">
        <w:rPr>
          <w:rFonts w:ascii="Times New Roman" w:hAnsi="Times New Roman" w:cs="Times New Roman"/>
          <w:color w:val="000000"/>
          <w:sz w:val="24"/>
          <w:szCs w:val="24"/>
        </w:rPr>
        <w:t xml:space="preserve"> Rao, Credit Issues Encountered by Women in Marine Fishing Community in Coastal Districts of Andhra Pradesh”. The International Journal of Analytical and Experimental Modal Analysis, Volume XII, Issue X, October/2020, pp: 296:301, ISSN: 0886-9367.</w:t>
      </w:r>
    </w:p>
    <w:p w14:paraId="4B49BF23" w14:textId="77777777" w:rsidR="00544D4D" w:rsidRPr="00544D4D" w:rsidRDefault="00544D4D" w:rsidP="00D43959">
      <w:pPr>
        <w:pStyle w:val="BodyText"/>
        <w:numPr>
          <w:ilvl w:val="0"/>
          <w:numId w:val="9"/>
        </w:numPr>
        <w:jc w:val="both"/>
        <w:rPr>
          <w:rFonts w:ascii="Times New Roman" w:hAnsi="Times New Roman" w:cs="Times New Roman"/>
          <w:color w:val="000000"/>
          <w:sz w:val="24"/>
          <w:szCs w:val="24"/>
        </w:rPr>
      </w:pPr>
      <w:r w:rsidRPr="00544D4D">
        <w:rPr>
          <w:rFonts w:ascii="Times New Roman" w:hAnsi="Times New Roman" w:cs="Times New Roman"/>
          <w:color w:val="000000"/>
          <w:sz w:val="24"/>
          <w:szCs w:val="24"/>
        </w:rPr>
        <w:t>Kumar K., Rao N., Kamal G., Vinod M., Leelavathi T., Sripathi M., Kumari N. (2023) The role of organizational citizenship behavior as an intervening variable in the relationship between employee engagement and gig workers’ productivity in India. Organizational Psychology, vol. 13, no 4, pp. 183-198.</w:t>
      </w:r>
    </w:p>
    <w:p w14:paraId="03D951E4" w14:textId="67369028" w:rsidR="00544D4D" w:rsidRDefault="00544D4D" w:rsidP="00D43959">
      <w:pPr>
        <w:pStyle w:val="BodyText"/>
        <w:numPr>
          <w:ilvl w:val="0"/>
          <w:numId w:val="9"/>
        </w:numPr>
        <w:jc w:val="both"/>
        <w:rPr>
          <w:rFonts w:ascii="Times New Roman" w:hAnsi="Times New Roman" w:cs="Times New Roman"/>
          <w:color w:val="000000"/>
          <w:sz w:val="24"/>
          <w:szCs w:val="24"/>
        </w:rPr>
      </w:pPr>
      <w:r w:rsidRPr="00544D4D">
        <w:rPr>
          <w:rFonts w:ascii="Times New Roman" w:hAnsi="Times New Roman" w:cs="Times New Roman"/>
          <w:color w:val="000000"/>
          <w:sz w:val="24"/>
          <w:szCs w:val="24"/>
        </w:rPr>
        <w:t xml:space="preserve">Kumar, T. H., Kumari, Y. N., Rao, A. N., Kumari, C. L. M., Janaki, G., Lakshmi, P. A., &amp; Krishna, J. S. S. (2022). HR Analytics as a </w:t>
      </w:r>
      <w:proofErr w:type="spellStart"/>
      <w:r w:rsidRPr="00544D4D">
        <w:rPr>
          <w:rFonts w:ascii="Times New Roman" w:hAnsi="Times New Roman" w:cs="Times New Roman"/>
          <w:color w:val="000000"/>
          <w:sz w:val="24"/>
          <w:szCs w:val="24"/>
        </w:rPr>
        <w:t>ModeratingRole</w:t>
      </w:r>
      <w:proofErr w:type="spellEnd"/>
      <w:r w:rsidRPr="00544D4D">
        <w:rPr>
          <w:rFonts w:ascii="Times New Roman" w:hAnsi="Times New Roman" w:cs="Times New Roman"/>
          <w:color w:val="000000"/>
          <w:sz w:val="24"/>
          <w:szCs w:val="24"/>
        </w:rPr>
        <w:t xml:space="preserve"> in Effective Employee Engagement and its Outcomes. </w:t>
      </w:r>
      <w:proofErr w:type="spellStart"/>
      <w:r w:rsidRPr="00544D4D">
        <w:rPr>
          <w:rFonts w:ascii="Times New Roman" w:hAnsi="Times New Roman" w:cs="Times New Roman"/>
          <w:color w:val="000000"/>
          <w:sz w:val="24"/>
          <w:szCs w:val="24"/>
        </w:rPr>
        <w:t>NeuroQuantology</w:t>
      </w:r>
      <w:proofErr w:type="spellEnd"/>
      <w:r w:rsidRPr="00544D4D">
        <w:rPr>
          <w:rFonts w:ascii="Times New Roman" w:hAnsi="Times New Roman" w:cs="Times New Roman"/>
          <w:color w:val="000000"/>
          <w:sz w:val="24"/>
          <w:szCs w:val="24"/>
        </w:rPr>
        <w:t>, 20(8), 4913.</w:t>
      </w:r>
    </w:p>
    <w:p w14:paraId="37D2FCB3" w14:textId="77777777" w:rsidR="00D43959" w:rsidRPr="00D43959" w:rsidRDefault="00D43959" w:rsidP="00D43959">
      <w:pPr>
        <w:pStyle w:val="BodyText"/>
        <w:numPr>
          <w:ilvl w:val="0"/>
          <w:numId w:val="9"/>
        </w:numPr>
        <w:jc w:val="both"/>
        <w:rPr>
          <w:rFonts w:ascii="Times New Roman" w:hAnsi="Times New Roman" w:cs="Times New Roman"/>
          <w:color w:val="000000"/>
          <w:sz w:val="24"/>
          <w:szCs w:val="24"/>
        </w:rPr>
      </w:pPr>
      <w:r w:rsidRPr="00D43959">
        <w:rPr>
          <w:rFonts w:ascii="Times New Roman" w:hAnsi="Times New Roman" w:cs="Times New Roman"/>
          <w:color w:val="222222"/>
          <w:sz w:val="24"/>
          <w:szCs w:val="24"/>
          <w:shd w:val="clear" w:color="auto" w:fill="FFFFFF"/>
        </w:rPr>
        <w:t xml:space="preserve">Mutyala, V., Kumari, Y. N., Kumar, T. H., Lakshmi, B. P., Manikanta, K. C., </w:t>
      </w:r>
      <w:proofErr w:type="spellStart"/>
      <w:r w:rsidRPr="00D43959">
        <w:rPr>
          <w:rFonts w:ascii="Times New Roman" w:hAnsi="Times New Roman" w:cs="Times New Roman"/>
          <w:color w:val="222222"/>
          <w:sz w:val="24"/>
          <w:szCs w:val="24"/>
          <w:shd w:val="clear" w:color="auto" w:fill="FFFFFF"/>
        </w:rPr>
        <w:t>Kusumadhar</w:t>
      </w:r>
      <w:proofErr w:type="spellEnd"/>
      <w:r w:rsidRPr="00D43959">
        <w:rPr>
          <w:rFonts w:ascii="Times New Roman" w:hAnsi="Times New Roman" w:cs="Times New Roman"/>
          <w:color w:val="222222"/>
          <w:sz w:val="24"/>
          <w:szCs w:val="24"/>
          <w:shd w:val="clear" w:color="auto" w:fill="FFFFFF"/>
        </w:rPr>
        <w:t>, P., &amp; Charan, G. S. (2022). A Study on Effectiveness of Training and Development in the Soft Drink Industry. </w:t>
      </w:r>
      <w:proofErr w:type="spellStart"/>
      <w:r w:rsidRPr="00D43959">
        <w:rPr>
          <w:rFonts w:ascii="Times New Roman" w:hAnsi="Times New Roman" w:cs="Times New Roman"/>
          <w:i/>
          <w:iCs/>
          <w:color w:val="222222"/>
          <w:sz w:val="24"/>
          <w:szCs w:val="24"/>
          <w:shd w:val="clear" w:color="auto" w:fill="FFFFFF"/>
        </w:rPr>
        <w:t>NeuroQuantology</w:t>
      </w:r>
      <w:proofErr w:type="spellEnd"/>
      <w:r w:rsidRPr="00D43959">
        <w:rPr>
          <w:rFonts w:ascii="Times New Roman" w:hAnsi="Times New Roman" w:cs="Times New Roman"/>
          <w:color w:val="222222"/>
          <w:sz w:val="24"/>
          <w:szCs w:val="24"/>
          <w:shd w:val="clear" w:color="auto" w:fill="FFFFFF"/>
        </w:rPr>
        <w:t>, </w:t>
      </w:r>
      <w:r w:rsidRPr="00D43959">
        <w:rPr>
          <w:rFonts w:ascii="Times New Roman" w:hAnsi="Times New Roman" w:cs="Times New Roman"/>
          <w:i/>
          <w:iCs/>
          <w:color w:val="222222"/>
          <w:sz w:val="24"/>
          <w:szCs w:val="24"/>
          <w:shd w:val="clear" w:color="auto" w:fill="FFFFFF"/>
        </w:rPr>
        <w:t>20</w:t>
      </w:r>
      <w:r w:rsidRPr="00D43959">
        <w:rPr>
          <w:rFonts w:ascii="Times New Roman" w:hAnsi="Times New Roman" w:cs="Times New Roman"/>
          <w:color w:val="222222"/>
          <w:sz w:val="24"/>
          <w:szCs w:val="24"/>
          <w:shd w:val="clear" w:color="auto" w:fill="FFFFFF"/>
        </w:rPr>
        <w:t>(10), 1641.</w:t>
      </w:r>
    </w:p>
    <w:p w14:paraId="7838354D" w14:textId="77777777" w:rsidR="00D43959" w:rsidRPr="00D43959" w:rsidRDefault="00D43959" w:rsidP="00D43959">
      <w:pPr>
        <w:pStyle w:val="ListParagraph"/>
        <w:numPr>
          <w:ilvl w:val="0"/>
          <w:numId w:val="9"/>
        </w:numPr>
        <w:suppressAutoHyphens w:val="0"/>
        <w:spacing w:before="240" w:after="0"/>
        <w:jc w:val="both"/>
        <w:rPr>
          <w:rFonts w:ascii="Times New Roman" w:hAnsi="Times New Roman" w:cs="Times New Roman"/>
          <w:sz w:val="24"/>
          <w:szCs w:val="24"/>
        </w:rPr>
      </w:pPr>
      <w:r w:rsidRPr="00D43959">
        <w:rPr>
          <w:rFonts w:ascii="Times New Roman" w:hAnsi="Times New Roman" w:cs="Times New Roman"/>
          <w:color w:val="222222"/>
          <w:sz w:val="24"/>
          <w:szCs w:val="24"/>
          <w:shd w:val="clear" w:color="auto" w:fill="FFFFFF"/>
        </w:rPr>
        <w:t>Vinod, M., &amp; Kamal, G. Employee Welfare Measures Towards Productivity-A Study of Selected Jute Units in West Godavari District, Andhra Pradesh.</w:t>
      </w:r>
    </w:p>
    <w:p w14:paraId="1F61C316" w14:textId="77777777" w:rsidR="00D43959" w:rsidRPr="00D274DE" w:rsidRDefault="00D43959" w:rsidP="00D43959">
      <w:pPr>
        <w:pStyle w:val="ListParagraph"/>
        <w:spacing w:before="240" w:after="0"/>
        <w:jc w:val="both"/>
        <w:rPr>
          <w:rFonts w:ascii="Times New Roman" w:hAnsi="Times New Roman" w:cs="Times New Roman"/>
          <w:sz w:val="24"/>
          <w:szCs w:val="24"/>
        </w:rPr>
      </w:pPr>
    </w:p>
    <w:p w14:paraId="1E7E7FE3" w14:textId="77777777" w:rsidR="00D43959" w:rsidRPr="00D43959" w:rsidRDefault="00D43959" w:rsidP="00D43959">
      <w:pPr>
        <w:pStyle w:val="ListParagraph"/>
        <w:numPr>
          <w:ilvl w:val="0"/>
          <w:numId w:val="9"/>
        </w:numPr>
        <w:suppressAutoHyphens w:val="0"/>
        <w:spacing w:before="240"/>
        <w:jc w:val="both"/>
        <w:rPr>
          <w:rFonts w:ascii="Times New Roman" w:hAnsi="Times New Roman" w:cs="Times New Roman"/>
          <w:sz w:val="24"/>
          <w:szCs w:val="24"/>
        </w:rPr>
      </w:pPr>
      <w:r w:rsidRPr="00D43959">
        <w:rPr>
          <w:rFonts w:ascii="Times New Roman" w:hAnsi="Times New Roman" w:cs="Times New Roman"/>
          <w:color w:val="222222"/>
          <w:sz w:val="24"/>
          <w:szCs w:val="24"/>
          <w:shd w:val="clear" w:color="auto" w:fill="FFFFFF"/>
        </w:rPr>
        <w:t xml:space="preserve">Mutyala, Vinod &amp; </w:t>
      </w:r>
      <w:proofErr w:type="spellStart"/>
      <w:r w:rsidRPr="00D43959">
        <w:rPr>
          <w:rFonts w:ascii="Times New Roman" w:hAnsi="Times New Roman" w:cs="Times New Roman"/>
          <w:color w:val="222222"/>
          <w:sz w:val="24"/>
          <w:szCs w:val="24"/>
          <w:shd w:val="clear" w:color="auto" w:fill="FFFFFF"/>
        </w:rPr>
        <w:t>Tummalapalli</w:t>
      </w:r>
      <w:proofErr w:type="spellEnd"/>
      <w:r w:rsidRPr="00D43959">
        <w:rPr>
          <w:rFonts w:ascii="Times New Roman" w:hAnsi="Times New Roman" w:cs="Times New Roman"/>
          <w:color w:val="222222"/>
          <w:sz w:val="24"/>
          <w:szCs w:val="24"/>
          <w:shd w:val="clear" w:color="auto" w:fill="FFFFFF"/>
        </w:rPr>
        <w:t>, Hemanth. (2018). Challenges of Recruitment and Selection in Indian Healthcare Industry. 4. 232-234. 10.18231/2454-9150.2018.0615.</w:t>
      </w:r>
    </w:p>
    <w:p w14:paraId="75FCEF78" w14:textId="77777777" w:rsidR="00D43959" w:rsidRPr="00D274DE" w:rsidRDefault="00D43959" w:rsidP="00D43959">
      <w:pPr>
        <w:pStyle w:val="ListParagraph"/>
        <w:spacing w:before="240"/>
        <w:jc w:val="both"/>
        <w:rPr>
          <w:rFonts w:ascii="Times New Roman" w:hAnsi="Times New Roman" w:cs="Times New Roman"/>
          <w:sz w:val="24"/>
          <w:szCs w:val="24"/>
        </w:rPr>
      </w:pPr>
    </w:p>
    <w:p w14:paraId="037BBDCB" w14:textId="77777777" w:rsidR="00D43959" w:rsidRPr="00D43959" w:rsidRDefault="00D43959" w:rsidP="00D43959">
      <w:pPr>
        <w:pStyle w:val="ListParagraph"/>
        <w:numPr>
          <w:ilvl w:val="0"/>
          <w:numId w:val="9"/>
        </w:numPr>
        <w:suppressAutoHyphens w:val="0"/>
        <w:spacing w:before="240" w:after="0"/>
        <w:jc w:val="both"/>
        <w:rPr>
          <w:rFonts w:ascii="Times New Roman" w:hAnsi="Times New Roman" w:cs="Times New Roman"/>
          <w:sz w:val="24"/>
          <w:szCs w:val="24"/>
        </w:rPr>
      </w:pPr>
      <w:r w:rsidRPr="00D43959">
        <w:rPr>
          <w:rFonts w:ascii="Times New Roman" w:hAnsi="Times New Roman" w:cs="Times New Roman"/>
          <w:color w:val="222222"/>
          <w:sz w:val="24"/>
          <w:szCs w:val="24"/>
          <w:shd w:val="clear" w:color="auto" w:fill="FFFFFF"/>
        </w:rPr>
        <w:t>Kumar, H., &amp; Mutyala, V. (2021). HR ANALYTICS AND METRICS. </w:t>
      </w:r>
      <w:r w:rsidRPr="00D43959">
        <w:rPr>
          <w:rFonts w:ascii="Times New Roman" w:hAnsi="Times New Roman" w:cs="Times New Roman"/>
          <w:i/>
          <w:iCs/>
          <w:color w:val="222222"/>
          <w:sz w:val="24"/>
          <w:szCs w:val="24"/>
          <w:shd w:val="clear" w:color="auto" w:fill="FFFFFF"/>
        </w:rPr>
        <w:t>ROLE OF HUMAN RESOURCE AND CUSTOMER RELATIONSHIP MANAGEMENT IN THE CURRENT SCENARIO</w:t>
      </w:r>
      <w:r w:rsidRPr="00D43959">
        <w:rPr>
          <w:rFonts w:ascii="Times New Roman" w:hAnsi="Times New Roman" w:cs="Times New Roman"/>
          <w:color w:val="222222"/>
          <w:sz w:val="24"/>
          <w:szCs w:val="24"/>
          <w:shd w:val="clear" w:color="auto" w:fill="FFFFFF"/>
        </w:rPr>
        <w:t xml:space="preserve">, 187. </w:t>
      </w:r>
    </w:p>
    <w:p w14:paraId="3D2CB724" w14:textId="77777777" w:rsidR="00D43959" w:rsidRPr="00D274DE" w:rsidRDefault="00D43959" w:rsidP="00D43959">
      <w:pPr>
        <w:pStyle w:val="ListParagraph"/>
        <w:spacing w:before="240" w:after="0"/>
        <w:jc w:val="both"/>
        <w:rPr>
          <w:rFonts w:ascii="Times New Roman" w:hAnsi="Times New Roman" w:cs="Times New Roman"/>
          <w:sz w:val="24"/>
          <w:szCs w:val="24"/>
        </w:rPr>
      </w:pPr>
    </w:p>
    <w:p w14:paraId="777AA1DD" w14:textId="77777777" w:rsidR="00D43959" w:rsidRDefault="00D43959" w:rsidP="00D43959">
      <w:pPr>
        <w:pStyle w:val="ListParagraph"/>
        <w:numPr>
          <w:ilvl w:val="0"/>
          <w:numId w:val="9"/>
        </w:numPr>
        <w:suppressAutoHyphens w:val="0"/>
        <w:spacing w:before="240" w:after="0"/>
        <w:jc w:val="both"/>
        <w:rPr>
          <w:rFonts w:ascii="Times New Roman" w:hAnsi="Times New Roman" w:cs="Times New Roman"/>
          <w:sz w:val="24"/>
          <w:szCs w:val="24"/>
        </w:rPr>
      </w:pPr>
      <w:r w:rsidRPr="00D43959">
        <w:rPr>
          <w:rFonts w:ascii="Times New Roman" w:hAnsi="Times New Roman" w:cs="Times New Roman"/>
          <w:sz w:val="24"/>
          <w:szCs w:val="24"/>
        </w:rPr>
        <w:t xml:space="preserve">Kumar, H., Rao, N. A., Kamal, G., Vinod, M., Leelavathi, T. S., Sripathi, M., &amp; Kumari, N. Y. (2023). The role of organizational citizenship behavior as an intervening variable in the relationship between employee engagement and gig workers’ productivity in India. </w:t>
      </w:r>
      <w:proofErr w:type="spellStart"/>
      <w:r w:rsidRPr="00D43959">
        <w:rPr>
          <w:rFonts w:ascii="Times New Roman" w:hAnsi="Times New Roman" w:cs="Times New Roman"/>
          <w:sz w:val="24"/>
          <w:szCs w:val="24"/>
        </w:rPr>
        <w:t>Организационная</w:t>
      </w:r>
      <w:proofErr w:type="spellEnd"/>
      <w:r w:rsidRPr="00D43959">
        <w:rPr>
          <w:rFonts w:ascii="Times New Roman" w:hAnsi="Times New Roman" w:cs="Times New Roman"/>
          <w:sz w:val="24"/>
          <w:szCs w:val="24"/>
        </w:rPr>
        <w:t xml:space="preserve"> </w:t>
      </w:r>
      <w:proofErr w:type="spellStart"/>
      <w:r w:rsidRPr="00D43959">
        <w:rPr>
          <w:rFonts w:ascii="Times New Roman" w:hAnsi="Times New Roman" w:cs="Times New Roman"/>
          <w:sz w:val="24"/>
          <w:szCs w:val="24"/>
        </w:rPr>
        <w:t>психология</w:t>
      </w:r>
      <w:proofErr w:type="spellEnd"/>
      <w:r w:rsidRPr="00D43959">
        <w:rPr>
          <w:rFonts w:ascii="Times New Roman" w:hAnsi="Times New Roman" w:cs="Times New Roman"/>
          <w:sz w:val="24"/>
          <w:szCs w:val="24"/>
        </w:rPr>
        <w:t>, 13(4), 183-198.</w:t>
      </w:r>
    </w:p>
    <w:p w14:paraId="2344A18F" w14:textId="77777777" w:rsidR="00180AE8" w:rsidRPr="00180AE8" w:rsidRDefault="00180AE8" w:rsidP="00180AE8">
      <w:pPr>
        <w:pStyle w:val="ListParagraph"/>
        <w:rPr>
          <w:rFonts w:ascii="Times New Roman" w:hAnsi="Times New Roman" w:cs="Times New Roman"/>
          <w:sz w:val="24"/>
          <w:szCs w:val="24"/>
        </w:rPr>
      </w:pPr>
    </w:p>
    <w:p w14:paraId="79328D26" w14:textId="77777777" w:rsidR="00180AE8" w:rsidRPr="000C7E19" w:rsidRDefault="00180AE8" w:rsidP="00180AE8">
      <w:pPr>
        <w:pStyle w:val="ListParagraph"/>
        <w:numPr>
          <w:ilvl w:val="0"/>
          <w:numId w:val="9"/>
        </w:numPr>
        <w:suppressAutoHyphens w:val="0"/>
        <w:spacing w:before="43" w:after="0" w:line="240" w:lineRule="auto"/>
        <w:jc w:val="both"/>
        <w:rPr>
          <w:rFonts w:ascii="Times New Roman" w:hAnsi="Times New Roman" w:cs="Times New Roman"/>
          <w:sz w:val="28"/>
        </w:rPr>
      </w:pPr>
      <w:proofErr w:type="spellStart"/>
      <w:r w:rsidRPr="000C7E19">
        <w:rPr>
          <w:rFonts w:ascii="Times New Roman" w:hAnsi="Times New Roman" w:cs="Times New Roman"/>
          <w:sz w:val="24"/>
          <w:szCs w:val="20"/>
          <w:shd w:val="clear" w:color="auto" w:fill="FFFFFF"/>
        </w:rPr>
        <w:lastRenderedPageBreak/>
        <w:t>Nagakumari</w:t>
      </w:r>
      <w:proofErr w:type="spellEnd"/>
      <w:r w:rsidRPr="000C7E19">
        <w:rPr>
          <w:rFonts w:ascii="Times New Roman" w:hAnsi="Times New Roman" w:cs="Times New Roman"/>
          <w:sz w:val="24"/>
          <w:szCs w:val="20"/>
          <w:shd w:val="clear" w:color="auto" w:fill="FFFFFF"/>
        </w:rPr>
        <w:t>, M. Y., &amp; Pujitha, M. C. N. (2021). Employee Welfare Measures in Manufacturing Industry. </w:t>
      </w:r>
      <w:r w:rsidRPr="000C7E19">
        <w:rPr>
          <w:rFonts w:ascii="Times New Roman" w:hAnsi="Times New Roman" w:cs="Times New Roman"/>
          <w:iCs/>
          <w:sz w:val="24"/>
          <w:szCs w:val="20"/>
          <w:shd w:val="clear" w:color="auto" w:fill="FFFFFF"/>
        </w:rPr>
        <w:t>The International journal of analytical and experimental modal analysis</w:t>
      </w:r>
      <w:r w:rsidRPr="000C7E19">
        <w:rPr>
          <w:rFonts w:ascii="Times New Roman" w:hAnsi="Times New Roman" w:cs="Times New Roman"/>
          <w:sz w:val="24"/>
          <w:szCs w:val="20"/>
          <w:shd w:val="clear" w:color="auto" w:fill="FFFFFF"/>
        </w:rPr>
        <w:t>, </w:t>
      </w:r>
      <w:r w:rsidRPr="000C7E19">
        <w:rPr>
          <w:rFonts w:ascii="Times New Roman" w:hAnsi="Times New Roman" w:cs="Times New Roman"/>
          <w:iCs/>
          <w:sz w:val="24"/>
          <w:szCs w:val="20"/>
          <w:shd w:val="clear" w:color="auto" w:fill="FFFFFF"/>
        </w:rPr>
        <w:t>13</w:t>
      </w:r>
      <w:r w:rsidRPr="000C7E19">
        <w:rPr>
          <w:rFonts w:ascii="Times New Roman" w:hAnsi="Times New Roman" w:cs="Times New Roman"/>
          <w:sz w:val="24"/>
          <w:szCs w:val="20"/>
          <w:shd w:val="clear" w:color="auto" w:fill="FFFFFF"/>
        </w:rPr>
        <w:t>(8), 1153-1162.</w:t>
      </w:r>
    </w:p>
    <w:p w14:paraId="308E4AC7" w14:textId="77777777" w:rsidR="00180AE8" w:rsidRPr="000C7E19" w:rsidRDefault="00180AE8" w:rsidP="00180AE8">
      <w:pPr>
        <w:pStyle w:val="ListParagraph"/>
        <w:numPr>
          <w:ilvl w:val="0"/>
          <w:numId w:val="9"/>
        </w:numPr>
        <w:suppressAutoHyphens w:val="0"/>
        <w:spacing w:before="43" w:after="0" w:line="240" w:lineRule="auto"/>
        <w:jc w:val="both"/>
        <w:rPr>
          <w:rFonts w:ascii="Times New Roman" w:hAnsi="Times New Roman" w:cs="Times New Roman"/>
          <w:sz w:val="28"/>
        </w:rPr>
      </w:pPr>
      <w:r w:rsidRPr="000C7E19">
        <w:rPr>
          <w:rFonts w:ascii="Times New Roman" w:hAnsi="Times New Roman" w:cs="Times New Roman"/>
          <w:sz w:val="24"/>
          <w:szCs w:val="20"/>
          <w:shd w:val="clear" w:color="auto" w:fill="FFFFFF"/>
        </w:rPr>
        <w:t>Susmitha, K., Kumari, Y. V., &amp; Surekha, G. (2021). Training and Development Program and its Benefits to Employee and Organization. </w:t>
      </w:r>
      <w:r w:rsidRPr="000C7E19">
        <w:rPr>
          <w:rFonts w:ascii="Times New Roman" w:hAnsi="Times New Roman" w:cs="Times New Roman"/>
          <w:iCs/>
          <w:sz w:val="24"/>
          <w:szCs w:val="20"/>
          <w:shd w:val="clear" w:color="auto" w:fill="FFFFFF"/>
        </w:rPr>
        <w:t>Training and Development Program and its Benefits to Employee and Organization (August 7, 2021). Journal of Interdisciplinary Cycle Research</w:t>
      </w:r>
      <w:r w:rsidRPr="000C7E19">
        <w:rPr>
          <w:rFonts w:ascii="Times New Roman" w:hAnsi="Times New Roman" w:cs="Times New Roman"/>
          <w:sz w:val="24"/>
          <w:szCs w:val="20"/>
          <w:shd w:val="clear" w:color="auto" w:fill="FFFFFF"/>
        </w:rPr>
        <w:t>, </w:t>
      </w:r>
      <w:r w:rsidRPr="000C7E19">
        <w:rPr>
          <w:rFonts w:ascii="Times New Roman" w:hAnsi="Times New Roman" w:cs="Times New Roman"/>
          <w:iCs/>
          <w:sz w:val="24"/>
          <w:szCs w:val="20"/>
          <w:shd w:val="clear" w:color="auto" w:fill="FFFFFF"/>
        </w:rPr>
        <w:t>13</w:t>
      </w:r>
      <w:r w:rsidRPr="000C7E19">
        <w:rPr>
          <w:rFonts w:ascii="Times New Roman" w:hAnsi="Times New Roman" w:cs="Times New Roman"/>
          <w:sz w:val="24"/>
          <w:szCs w:val="20"/>
          <w:shd w:val="clear" w:color="auto" w:fill="FFFFFF"/>
        </w:rPr>
        <w:t>, 712-715.</w:t>
      </w:r>
    </w:p>
    <w:p w14:paraId="738C7A77" w14:textId="77777777" w:rsidR="00180AE8" w:rsidRPr="000C7E19" w:rsidRDefault="00180AE8" w:rsidP="00180AE8">
      <w:pPr>
        <w:pStyle w:val="ListParagraph"/>
        <w:numPr>
          <w:ilvl w:val="0"/>
          <w:numId w:val="9"/>
        </w:numPr>
        <w:suppressAutoHyphens w:val="0"/>
        <w:spacing w:before="43" w:after="0" w:line="240" w:lineRule="auto"/>
        <w:jc w:val="both"/>
        <w:rPr>
          <w:rFonts w:ascii="Times New Roman" w:hAnsi="Times New Roman" w:cs="Times New Roman"/>
          <w:sz w:val="28"/>
        </w:rPr>
      </w:pPr>
      <w:r w:rsidRPr="000C7E19">
        <w:rPr>
          <w:rFonts w:ascii="Times New Roman" w:hAnsi="Times New Roman" w:cs="Times New Roman"/>
          <w:sz w:val="24"/>
          <w:szCs w:val="20"/>
          <w:shd w:val="clear" w:color="auto" w:fill="FFFFFF"/>
        </w:rPr>
        <w:t xml:space="preserve">Kumar, T. H., Kumari, Y. N., Rao, A. N., Kumari, C. L. M., Janaki, G., Lakshmi, P. A., &amp; Krishna, J. S. S. (2022). HR Analytics as a </w:t>
      </w:r>
      <w:proofErr w:type="spellStart"/>
      <w:r w:rsidRPr="000C7E19">
        <w:rPr>
          <w:rFonts w:ascii="Times New Roman" w:hAnsi="Times New Roman" w:cs="Times New Roman"/>
          <w:sz w:val="24"/>
          <w:szCs w:val="20"/>
          <w:shd w:val="clear" w:color="auto" w:fill="FFFFFF"/>
        </w:rPr>
        <w:t>ModeratingRole</w:t>
      </w:r>
      <w:proofErr w:type="spellEnd"/>
      <w:r w:rsidRPr="000C7E19">
        <w:rPr>
          <w:rFonts w:ascii="Times New Roman" w:hAnsi="Times New Roman" w:cs="Times New Roman"/>
          <w:sz w:val="24"/>
          <w:szCs w:val="20"/>
          <w:shd w:val="clear" w:color="auto" w:fill="FFFFFF"/>
        </w:rPr>
        <w:t xml:space="preserve"> in Effective Employee Engagement and its Outcomes. </w:t>
      </w:r>
      <w:proofErr w:type="spellStart"/>
      <w:r w:rsidRPr="000C7E19">
        <w:rPr>
          <w:rFonts w:ascii="Times New Roman" w:hAnsi="Times New Roman" w:cs="Times New Roman"/>
          <w:iCs/>
          <w:sz w:val="24"/>
          <w:szCs w:val="20"/>
          <w:shd w:val="clear" w:color="auto" w:fill="FFFFFF"/>
        </w:rPr>
        <w:t>NeuroQuantology</w:t>
      </w:r>
      <w:proofErr w:type="spellEnd"/>
      <w:r w:rsidRPr="000C7E19">
        <w:rPr>
          <w:rFonts w:ascii="Times New Roman" w:hAnsi="Times New Roman" w:cs="Times New Roman"/>
          <w:sz w:val="24"/>
          <w:szCs w:val="20"/>
          <w:shd w:val="clear" w:color="auto" w:fill="FFFFFF"/>
        </w:rPr>
        <w:t>, </w:t>
      </w:r>
      <w:r w:rsidRPr="000C7E19">
        <w:rPr>
          <w:rFonts w:ascii="Times New Roman" w:hAnsi="Times New Roman" w:cs="Times New Roman"/>
          <w:iCs/>
          <w:sz w:val="24"/>
          <w:szCs w:val="20"/>
          <w:shd w:val="clear" w:color="auto" w:fill="FFFFFF"/>
        </w:rPr>
        <w:t>20</w:t>
      </w:r>
      <w:r w:rsidRPr="000C7E19">
        <w:rPr>
          <w:rFonts w:ascii="Times New Roman" w:hAnsi="Times New Roman" w:cs="Times New Roman"/>
          <w:sz w:val="24"/>
          <w:szCs w:val="20"/>
          <w:shd w:val="clear" w:color="auto" w:fill="FFFFFF"/>
        </w:rPr>
        <w:t>(8), 4913.</w:t>
      </w:r>
    </w:p>
    <w:p w14:paraId="6F43129A" w14:textId="77777777" w:rsidR="00180AE8" w:rsidRPr="000C7E19" w:rsidRDefault="00180AE8" w:rsidP="00180AE8">
      <w:pPr>
        <w:pStyle w:val="ListParagraph"/>
        <w:numPr>
          <w:ilvl w:val="0"/>
          <w:numId w:val="9"/>
        </w:numPr>
        <w:suppressAutoHyphens w:val="0"/>
        <w:spacing w:before="43" w:after="0" w:line="240" w:lineRule="auto"/>
        <w:jc w:val="both"/>
        <w:rPr>
          <w:rFonts w:ascii="Times New Roman" w:hAnsi="Times New Roman" w:cs="Times New Roman"/>
          <w:sz w:val="28"/>
        </w:rPr>
      </w:pPr>
      <w:r w:rsidRPr="000C7E19">
        <w:rPr>
          <w:rFonts w:ascii="Times New Roman" w:hAnsi="Times New Roman" w:cs="Times New Roman"/>
          <w:sz w:val="24"/>
          <w:szCs w:val="20"/>
          <w:shd w:val="clear" w:color="auto" w:fill="FFFFFF"/>
        </w:rPr>
        <w:t>Kumari, M. Y. N., &amp; Leelavati, M. T. GREEN HUMAN RESOURCE MANAGEMENT PRACTICES AND IMPLEMENTATION IN ORGANISATIONS.</w:t>
      </w:r>
    </w:p>
    <w:p w14:paraId="0342585D" w14:textId="05914739" w:rsidR="00180AE8" w:rsidRPr="00180AE8" w:rsidRDefault="00180AE8" w:rsidP="00180AE8">
      <w:pPr>
        <w:pStyle w:val="ListParagraph"/>
        <w:numPr>
          <w:ilvl w:val="0"/>
          <w:numId w:val="9"/>
        </w:numPr>
        <w:suppressAutoHyphens w:val="0"/>
        <w:spacing w:before="240" w:after="0"/>
        <w:jc w:val="both"/>
        <w:rPr>
          <w:rFonts w:ascii="Times New Roman" w:hAnsi="Times New Roman" w:cs="Times New Roman"/>
          <w:sz w:val="24"/>
          <w:szCs w:val="24"/>
        </w:rPr>
      </w:pPr>
      <w:r w:rsidRPr="000C7E19">
        <w:rPr>
          <w:rFonts w:ascii="Times New Roman" w:hAnsi="Times New Roman" w:cs="Times New Roman"/>
          <w:sz w:val="24"/>
          <w:szCs w:val="20"/>
          <w:shd w:val="clear" w:color="auto" w:fill="FFFFFF"/>
        </w:rPr>
        <w:t xml:space="preserve">Raju, P. V. M., </w:t>
      </w:r>
      <w:proofErr w:type="spellStart"/>
      <w:r w:rsidRPr="000C7E19">
        <w:rPr>
          <w:rFonts w:ascii="Times New Roman" w:hAnsi="Times New Roman" w:cs="Times New Roman"/>
          <w:sz w:val="24"/>
          <w:szCs w:val="20"/>
          <w:shd w:val="clear" w:color="auto" w:fill="FFFFFF"/>
        </w:rPr>
        <w:t>PrudhviRaj</w:t>
      </w:r>
      <w:proofErr w:type="spellEnd"/>
      <w:r w:rsidRPr="000C7E19">
        <w:rPr>
          <w:rFonts w:ascii="Times New Roman" w:hAnsi="Times New Roman" w:cs="Times New Roman"/>
          <w:sz w:val="24"/>
          <w:szCs w:val="20"/>
          <w:shd w:val="clear" w:color="auto" w:fill="FFFFFF"/>
        </w:rPr>
        <w:t xml:space="preserve">, K., Madhavi, S., &amp; </w:t>
      </w:r>
      <w:proofErr w:type="spellStart"/>
      <w:r w:rsidRPr="000C7E19">
        <w:rPr>
          <w:rFonts w:ascii="Times New Roman" w:hAnsi="Times New Roman" w:cs="Times New Roman"/>
          <w:sz w:val="24"/>
          <w:szCs w:val="20"/>
          <w:shd w:val="clear" w:color="auto" w:fill="FFFFFF"/>
        </w:rPr>
        <w:t>Nagakumari</w:t>
      </w:r>
      <w:proofErr w:type="spellEnd"/>
      <w:r w:rsidRPr="000C7E19">
        <w:rPr>
          <w:rFonts w:ascii="Times New Roman" w:hAnsi="Times New Roman" w:cs="Times New Roman"/>
          <w:sz w:val="24"/>
          <w:szCs w:val="20"/>
          <w:shd w:val="clear" w:color="auto" w:fill="FFFFFF"/>
        </w:rPr>
        <w:t>, Y. V. Sustainable Entrepreneurship Innovation and its challenges in India</w:t>
      </w:r>
      <w:r>
        <w:rPr>
          <w:rFonts w:ascii="Times New Roman" w:hAnsi="Times New Roman" w:cs="Times New Roman"/>
          <w:sz w:val="24"/>
          <w:szCs w:val="20"/>
          <w:shd w:val="clear" w:color="auto" w:fill="FFFFFF"/>
        </w:rPr>
        <w:t>.</w:t>
      </w:r>
    </w:p>
    <w:p w14:paraId="34190F20" w14:textId="3C13E5C8" w:rsidR="00180AE8" w:rsidRPr="00180AE8" w:rsidRDefault="00180AE8" w:rsidP="00180AE8">
      <w:pPr>
        <w:pStyle w:val="ListParagraph"/>
        <w:numPr>
          <w:ilvl w:val="0"/>
          <w:numId w:val="9"/>
        </w:numPr>
        <w:suppressAutoHyphens w:val="0"/>
        <w:spacing w:before="43" w:after="0" w:line="240" w:lineRule="auto"/>
        <w:jc w:val="both"/>
        <w:rPr>
          <w:rFonts w:ascii="Times New Roman" w:hAnsi="Times New Roman" w:cs="Times New Roman"/>
          <w:sz w:val="28"/>
        </w:rPr>
      </w:pPr>
      <w:r w:rsidRPr="000C7E19">
        <w:rPr>
          <w:rFonts w:ascii="Times New Roman" w:hAnsi="Times New Roman" w:cs="Times New Roman"/>
          <w:sz w:val="24"/>
          <w:szCs w:val="20"/>
          <w:shd w:val="clear" w:color="auto" w:fill="FFFFFF"/>
        </w:rPr>
        <w:t>Kumari, M. Y. N., &amp; Chalam, G. V. ROLE OF JOB PORTALS AND SOCIAL NETWORKING SITES IN E-RECRUITMENT: AN ANALYSIS.</w:t>
      </w:r>
    </w:p>
    <w:p w14:paraId="04048EFF" w14:textId="15C97EBB" w:rsidR="00180AE8" w:rsidRPr="00180AE8" w:rsidRDefault="00CF41C1" w:rsidP="00180AE8">
      <w:pPr>
        <w:pStyle w:val="BodyText"/>
        <w:numPr>
          <w:ilvl w:val="0"/>
          <w:numId w:val="1"/>
        </w:numPr>
        <w:jc w:val="both"/>
        <w:rPr>
          <w:rFonts w:ascii="Times New Roman;serif" w:hAnsi="Times New Roman;serif"/>
          <w:color w:val="000000"/>
          <w:sz w:val="24"/>
          <w:szCs w:val="24"/>
        </w:rPr>
      </w:pPr>
      <w:hyperlink r:id="rId11">
        <w:r w:rsidR="009E7D13">
          <w:rPr>
            <w:rStyle w:val="Hyperlink"/>
            <w:rFonts w:ascii="Times New Roman;serif" w:hAnsi="Times New Roman;serif"/>
            <w:color w:val="000000"/>
            <w:sz w:val="24"/>
            <w:szCs w:val="24"/>
            <w:u w:val="none"/>
          </w:rPr>
          <w:t>https://www.njwealth.in/</w:t>
        </w:r>
      </w:hyperlink>
      <w:hyperlink>
        <w:r w:rsidR="009E7D13">
          <w:rPr>
            <w:rFonts w:ascii="Times New Roman;serif" w:hAnsi="Times New Roman;serif"/>
            <w:color w:val="000000"/>
            <w:sz w:val="24"/>
            <w:szCs w:val="24"/>
          </w:rPr>
          <w:t xml:space="preserve"> </w:t>
        </w:r>
      </w:hyperlink>
    </w:p>
    <w:p w14:paraId="1DBA4E9D" w14:textId="77777777" w:rsidR="009E7D13" w:rsidRDefault="009E7D13" w:rsidP="009E7D13">
      <w:pPr>
        <w:pStyle w:val="BodyText"/>
        <w:numPr>
          <w:ilvl w:val="0"/>
          <w:numId w:val="1"/>
        </w:numPr>
        <w:jc w:val="both"/>
        <w:rPr>
          <w:rFonts w:ascii="Times New Roman;serif" w:hAnsi="Times New Roman;serif"/>
          <w:color w:val="000000"/>
          <w:sz w:val="24"/>
          <w:szCs w:val="24"/>
        </w:rPr>
      </w:pPr>
      <w:r>
        <w:rPr>
          <w:rFonts w:ascii="Times New Roman;serif" w:hAnsi="Times New Roman;serif"/>
          <w:color w:val="000000"/>
          <w:sz w:val="24"/>
          <w:szCs w:val="24"/>
        </w:rPr>
        <w:t xml:space="preserve">Financial Institutions and Markets By L.M Bhole- McGraw -hill education (India) </w:t>
      </w:r>
      <w:proofErr w:type="spellStart"/>
      <w:r>
        <w:rPr>
          <w:rFonts w:ascii="Times New Roman;serif" w:hAnsi="Times New Roman;serif"/>
          <w:color w:val="000000"/>
          <w:sz w:val="24"/>
          <w:szCs w:val="24"/>
        </w:rPr>
        <w:t>pvt</w:t>
      </w:r>
      <w:proofErr w:type="spellEnd"/>
      <w:r>
        <w:rPr>
          <w:rFonts w:ascii="Times New Roman;serif" w:hAnsi="Times New Roman;serif"/>
          <w:color w:val="000000"/>
          <w:sz w:val="24"/>
          <w:szCs w:val="24"/>
        </w:rPr>
        <w:t xml:space="preserve"> limited 2004</w:t>
      </w:r>
    </w:p>
    <w:p w14:paraId="0F668F77" w14:textId="480D2D2B" w:rsidR="009E7D13" w:rsidRDefault="009E7D13" w:rsidP="009E7D13">
      <w:pPr>
        <w:pStyle w:val="BodyText"/>
        <w:numPr>
          <w:ilvl w:val="0"/>
          <w:numId w:val="1"/>
        </w:numPr>
        <w:jc w:val="both"/>
        <w:rPr>
          <w:rFonts w:ascii="Times New Roman;serif" w:hAnsi="Times New Roman;serif"/>
          <w:color w:val="000000"/>
          <w:sz w:val="24"/>
          <w:szCs w:val="24"/>
        </w:rPr>
      </w:pPr>
      <w:r>
        <w:rPr>
          <w:rFonts w:ascii="Times New Roman;serif" w:hAnsi="Times New Roman;serif"/>
          <w:color w:val="000000"/>
          <w:sz w:val="24"/>
          <w:szCs w:val="24"/>
        </w:rPr>
        <w:t xml:space="preserve">Financial Markets and Financial Services by Vasant Desai -Himalaya publishing house 2016 </w:t>
      </w:r>
    </w:p>
    <w:p w14:paraId="258ADDF6" w14:textId="092CDE84" w:rsidR="004B1303" w:rsidRDefault="004B1303" w:rsidP="009E7D13">
      <w:pPr>
        <w:pStyle w:val="BodyText"/>
        <w:numPr>
          <w:ilvl w:val="0"/>
          <w:numId w:val="1"/>
        </w:numPr>
        <w:jc w:val="both"/>
        <w:rPr>
          <w:rFonts w:ascii="Times New Roman;serif" w:hAnsi="Times New Roman;serif"/>
          <w:color w:val="000000"/>
          <w:sz w:val="24"/>
          <w:szCs w:val="24"/>
        </w:rPr>
      </w:pPr>
      <w:bookmarkStart w:id="5" w:name="_Hlk170405527"/>
      <w:r w:rsidRPr="004B1303">
        <w:rPr>
          <w:rFonts w:ascii="Times New Roman;serif" w:hAnsi="Times New Roman;serif"/>
          <w:color w:val="000000"/>
          <w:sz w:val="24"/>
          <w:szCs w:val="24"/>
        </w:rPr>
        <w:t>https://finance.yahoo.com/</w:t>
      </w:r>
    </w:p>
    <w:bookmarkEnd w:id="5"/>
    <w:p w14:paraId="6C9A8512" w14:textId="77777777" w:rsidR="009E7D13" w:rsidRDefault="00073106" w:rsidP="009E7D13">
      <w:pPr>
        <w:pStyle w:val="BodyText"/>
        <w:numPr>
          <w:ilvl w:val="0"/>
          <w:numId w:val="1"/>
        </w:numPr>
        <w:jc w:val="both"/>
      </w:pPr>
      <w:r>
        <w:fldChar w:fldCharType="begin"/>
      </w:r>
      <w:r>
        <w:instrText>HYPERLINK \h</w:instrText>
      </w:r>
      <w:r>
        <w:fldChar w:fldCharType="separate"/>
      </w:r>
      <w:r w:rsidR="009E7D13">
        <w:rPr>
          <w:rStyle w:val="Hyperlink"/>
          <w:rFonts w:ascii="Times New Roman;serif" w:hAnsi="Times New Roman;serif"/>
          <w:color w:val="000000"/>
          <w:sz w:val="24"/>
          <w:szCs w:val="24"/>
          <w:u w:val="none"/>
        </w:rPr>
        <w:t>https://www.amfiindia.com/</w:t>
      </w:r>
      <w:r>
        <w:rPr>
          <w:rStyle w:val="Hyperlink"/>
          <w:rFonts w:ascii="Times New Roman;serif" w:hAnsi="Times New Roman;serif"/>
          <w:color w:val="000000"/>
          <w:sz w:val="24"/>
          <w:szCs w:val="24"/>
          <w:u w:val="none"/>
        </w:rPr>
        <w:fldChar w:fldCharType="end"/>
      </w:r>
    </w:p>
    <w:p w14:paraId="7EEFF042" w14:textId="77777777" w:rsidR="009E7D13" w:rsidRDefault="00CF41C1" w:rsidP="009E7D13">
      <w:pPr>
        <w:pStyle w:val="BodyText"/>
        <w:numPr>
          <w:ilvl w:val="0"/>
          <w:numId w:val="1"/>
        </w:numPr>
        <w:jc w:val="both"/>
      </w:pPr>
      <w:hyperlink>
        <w:r w:rsidR="009E7D13">
          <w:rPr>
            <w:rStyle w:val="Hyperlink"/>
            <w:rFonts w:ascii="Times New Roman;serif" w:hAnsi="Times New Roman;serif"/>
            <w:color w:val="000000"/>
            <w:sz w:val="24"/>
            <w:szCs w:val="24"/>
            <w:u w:val="none"/>
          </w:rPr>
          <w:t>https://www.moneycontrol.com/</w:t>
        </w:r>
      </w:hyperlink>
    </w:p>
    <w:p w14:paraId="55E10365" w14:textId="77777777" w:rsidR="009E7D13" w:rsidRDefault="00CF41C1" w:rsidP="009E7D13">
      <w:pPr>
        <w:pStyle w:val="BodyText"/>
        <w:numPr>
          <w:ilvl w:val="0"/>
          <w:numId w:val="1"/>
        </w:numPr>
        <w:jc w:val="both"/>
      </w:pPr>
      <w:hyperlink>
        <w:r w:rsidR="009E7D13">
          <w:rPr>
            <w:rStyle w:val="Hyperlink"/>
            <w:rFonts w:ascii="Times New Roman;serif" w:hAnsi="Times New Roman;serif"/>
            <w:color w:val="000000"/>
            <w:sz w:val="24"/>
            <w:szCs w:val="24"/>
            <w:u w:val="none"/>
          </w:rPr>
          <w:t>https://www.njwealth.in/mfcalculator</w:t>
        </w:r>
      </w:hyperlink>
    </w:p>
    <w:p w14:paraId="11A77FDD" w14:textId="0D81A43F" w:rsidR="006D5D7E" w:rsidRPr="006D5D7E" w:rsidRDefault="006D5D7E" w:rsidP="006D5D7E">
      <w:pPr>
        <w:spacing w:line="360" w:lineRule="auto"/>
        <w:rPr>
          <w:b/>
          <w:bCs/>
          <w:sz w:val="28"/>
          <w:szCs w:val="28"/>
        </w:rPr>
      </w:pPr>
    </w:p>
    <w:sectPr w:rsidR="006D5D7E" w:rsidRPr="006D5D7E" w:rsidSect="005A778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mbria"/>
    <w:charset w:val="01"/>
    <w:family w:val="auto"/>
    <w:pitch w:val="default"/>
  </w:font>
  <w:font w:name="Noto Sans Symbols">
    <w:altName w:val="Calibri"/>
    <w:charset w:val="01"/>
    <w:family w:val="swiss"/>
    <w:pitch w:val="variable"/>
  </w:font>
  <w:font w:name="Aptos">
    <w:charset w:val="00"/>
    <w:family w:val="swiss"/>
    <w:pitch w:val="variable"/>
    <w:sig w:usb0="20000287" w:usb1="00000003" w:usb2="00000000" w:usb3="00000000" w:csb0="0000019F" w:csb1="00000000"/>
  </w:font>
  <w:font w:name="Gautami">
    <w:panose1 w:val="020B0502040204020203"/>
    <w:charset w:val="00"/>
    <w:family w:val="swiss"/>
    <w:pitch w:val="variable"/>
    <w:sig w:usb0="00200003" w:usb1="00000000" w:usb2="00000000" w:usb3="00000000" w:csb0="00000001" w:csb1="00000000"/>
  </w:font>
  <w:font w:name="Aptos Display">
    <w:charset w:val="00"/>
    <w:family w:val="swiss"/>
    <w:pitch w:val="variable"/>
    <w:sig w:usb0="20000287" w:usb1="00000003" w:usb2="00000000" w:usb3="00000000" w:csb0="0000019F" w:csb1="00000000"/>
  </w:font>
  <w:font w:name="Times New Roman;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6532C"/>
    <w:multiLevelType w:val="hybridMultilevel"/>
    <w:tmpl w:val="F514A1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C764671"/>
    <w:multiLevelType w:val="hybridMultilevel"/>
    <w:tmpl w:val="09762E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57E4665"/>
    <w:multiLevelType w:val="multilevel"/>
    <w:tmpl w:val="8F3436C0"/>
    <w:lvl w:ilvl="0">
      <w:start w:val="1"/>
      <w:numFmt w:val="decimal"/>
      <w:lvlText w:val="%1."/>
      <w:lvlJc w:val="left"/>
      <w:pPr>
        <w:tabs>
          <w:tab w:val="num" w:pos="709"/>
        </w:tabs>
        <w:ind w:left="709" w:hanging="283"/>
      </w:p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3" w15:restartNumberingAfterBreak="0">
    <w:nsid w:val="4E2538DC"/>
    <w:multiLevelType w:val="hybridMultilevel"/>
    <w:tmpl w:val="B0D6909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0772EBE"/>
    <w:multiLevelType w:val="multilevel"/>
    <w:tmpl w:val="CC0A1DD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567D333F"/>
    <w:multiLevelType w:val="hybridMultilevel"/>
    <w:tmpl w:val="664858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C0E3BBD"/>
    <w:multiLevelType w:val="multilevel"/>
    <w:tmpl w:val="EEC81A1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abstractNum w:abstractNumId="7" w15:restartNumberingAfterBreak="0">
    <w:nsid w:val="5D705B76"/>
    <w:multiLevelType w:val="multilevel"/>
    <w:tmpl w:val="203AC0AC"/>
    <w:lvl w:ilvl="0">
      <w:start w:val="1"/>
      <w:numFmt w:val="bullet"/>
      <w:lvlText w:val="●"/>
      <w:lvlJc w:val="left"/>
      <w:pPr>
        <w:tabs>
          <w:tab w:val="num" w:pos="0"/>
        </w:tabs>
        <w:ind w:left="805" w:hanging="360"/>
      </w:pPr>
      <w:rPr>
        <w:rFonts w:ascii="Noto Sans Symbols" w:hAnsi="Noto Sans Symbols" w:cs="Noto Sans Symbols" w:hint="default"/>
      </w:rPr>
    </w:lvl>
    <w:lvl w:ilvl="1">
      <w:start w:val="1"/>
      <w:numFmt w:val="bullet"/>
      <w:lvlText w:val="◦"/>
      <w:lvlJc w:val="left"/>
      <w:pPr>
        <w:tabs>
          <w:tab w:val="num" w:pos="0"/>
        </w:tabs>
        <w:ind w:left="1165" w:hanging="360"/>
      </w:pPr>
      <w:rPr>
        <w:rFonts w:ascii="Noto Sans Symbols" w:hAnsi="Noto Sans Symbols" w:cs="Noto Sans Symbols" w:hint="default"/>
      </w:rPr>
    </w:lvl>
    <w:lvl w:ilvl="2">
      <w:start w:val="1"/>
      <w:numFmt w:val="bullet"/>
      <w:lvlText w:val="▪"/>
      <w:lvlJc w:val="left"/>
      <w:pPr>
        <w:tabs>
          <w:tab w:val="num" w:pos="0"/>
        </w:tabs>
        <w:ind w:left="1525" w:hanging="360"/>
      </w:pPr>
      <w:rPr>
        <w:rFonts w:ascii="Noto Sans Symbols" w:hAnsi="Noto Sans Symbols" w:cs="Noto Sans Symbols" w:hint="default"/>
      </w:rPr>
    </w:lvl>
    <w:lvl w:ilvl="3">
      <w:start w:val="1"/>
      <w:numFmt w:val="bullet"/>
      <w:lvlText w:val="●"/>
      <w:lvlJc w:val="left"/>
      <w:pPr>
        <w:tabs>
          <w:tab w:val="num" w:pos="0"/>
        </w:tabs>
        <w:ind w:left="1885" w:hanging="360"/>
      </w:pPr>
      <w:rPr>
        <w:rFonts w:ascii="Noto Sans Symbols" w:hAnsi="Noto Sans Symbols" w:cs="Noto Sans Symbols" w:hint="default"/>
      </w:rPr>
    </w:lvl>
    <w:lvl w:ilvl="4">
      <w:start w:val="1"/>
      <w:numFmt w:val="bullet"/>
      <w:lvlText w:val="◦"/>
      <w:lvlJc w:val="left"/>
      <w:pPr>
        <w:tabs>
          <w:tab w:val="num" w:pos="0"/>
        </w:tabs>
        <w:ind w:left="2245" w:hanging="360"/>
      </w:pPr>
      <w:rPr>
        <w:rFonts w:ascii="Noto Sans Symbols" w:hAnsi="Noto Sans Symbols" w:cs="Noto Sans Symbols" w:hint="default"/>
      </w:rPr>
    </w:lvl>
    <w:lvl w:ilvl="5">
      <w:start w:val="1"/>
      <w:numFmt w:val="bullet"/>
      <w:lvlText w:val="▪"/>
      <w:lvlJc w:val="left"/>
      <w:pPr>
        <w:tabs>
          <w:tab w:val="num" w:pos="0"/>
        </w:tabs>
        <w:ind w:left="2605" w:hanging="360"/>
      </w:pPr>
      <w:rPr>
        <w:rFonts w:ascii="Noto Sans Symbols" w:hAnsi="Noto Sans Symbols" w:cs="Noto Sans Symbols" w:hint="default"/>
      </w:rPr>
    </w:lvl>
    <w:lvl w:ilvl="6">
      <w:start w:val="1"/>
      <w:numFmt w:val="bullet"/>
      <w:lvlText w:val="●"/>
      <w:lvlJc w:val="left"/>
      <w:pPr>
        <w:tabs>
          <w:tab w:val="num" w:pos="0"/>
        </w:tabs>
        <w:ind w:left="2965" w:hanging="360"/>
      </w:pPr>
      <w:rPr>
        <w:rFonts w:ascii="Noto Sans Symbols" w:hAnsi="Noto Sans Symbols" w:cs="Noto Sans Symbols" w:hint="default"/>
      </w:rPr>
    </w:lvl>
    <w:lvl w:ilvl="7">
      <w:start w:val="1"/>
      <w:numFmt w:val="bullet"/>
      <w:lvlText w:val="◦"/>
      <w:lvlJc w:val="left"/>
      <w:pPr>
        <w:tabs>
          <w:tab w:val="num" w:pos="0"/>
        </w:tabs>
        <w:ind w:left="3325" w:hanging="360"/>
      </w:pPr>
      <w:rPr>
        <w:rFonts w:ascii="Noto Sans Symbols" w:hAnsi="Noto Sans Symbols" w:cs="Noto Sans Symbols" w:hint="default"/>
      </w:rPr>
    </w:lvl>
    <w:lvl w:ilvl="8">
      <w:start w:val="1"/>
      <w:numFmt w:val="bullet"/>
      <w:lvlText w:val="▪"/>
      <w:lvlJc w:val="left"/>
      <w:pPr>
        <w:tabs>
          <w:tab w:val="num" w:pos="0"/>
        </w:tabs>
        <w:ind w:left="3685" w:hanging="360"/>
      </w:pPr>
      <w:rPr>
        <w:rFonts w:ascii="Noto Sans Symbols" w:hAnsi="Noto Sans Symbols" w:cs="Noto Sans Symbols" w:hint="default"/>
      </w:rPr>
    </w:lvl>
  </w:abstractNum>
  <w:abstractNum w:abstractNumId="8" w15:restartNumberingAfterBreak="0">
    <w:nsid w:val="602B1CD5"/>
    <w:multiLevelType w:val="multilevel"/>
    <w:tmpl w:val="A964DC76"/>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9" w15:restartNumberingAfterBreak="0">
    <w:nsid w:val="609E5F61"/>
    <w:multiLevelType w:val="multilevel"/>
    <w:tmpl w:val="ABB01A78"/>
    <w:lvl w:ilvl="0">
      <w:start w:val="1"/>
      <w:numFmt w:val="bullet"/>
      <w:lvlText w:val="●"/>
      <w:lvlJc w:val="left"/>
      <w:pPr>
        <w:tabs>
          <w:tab w:val="num" w:pos="0"/>
        </w:tabs>
        <w:ind w:left="720" w:hanging="360"/>
      </w:pPr>
      <w:rPr>
        <w:rFonts w:ascii="Noto Sans Symbols" w:hAnsi="Noto Sans Symbols" w:cs="Noto Sans Symbols" w:hint="default"/>
      </w:rPr>
    </w:lvl>
    <w:lvl w:ilvl="1">
      <w:start w:val="1"/>
      <w:numFmt w:val="bullet"/>
      <w:lvlText w:val="◦"/>
      <w:lvlJc w:val="left"/>
      <w:pPr>
        <w:tabs>
          <w:tab w:val="num" w:pos="0"/>
        </w:tabs>
        <w:ind w:left="1080" w:hanging="360"/>
      </w:pPr>
      <w:rPr>
        <w:rFonts w:ascii="Noto Sans Symbols" w:hAnsi="Noto Sans Symbols" w:cs="Noto Sans Symbols" w:hint="default"/>
      </w:rPr>
    </w:lvl>
    <w:lvl w:ilvl="2">
      <w:start w:val="1"/>
      <w:numFmt w:val="bullet"/>
      <w:lvlText w:val="▪"/>
      <w:lvlJc w:val="left"/>
      <w:pPr>
        <w:tabs>
          <w:tab w:val="num" w:pos="0"/>
        </w:tabs>
        <w:ind w:left="1440" w:hanging="360"/>
      </w:pPr>
      <w:rPr>
        <w:rFonts w:ascii="Noto Sans Symbols" w:hAnsi="Noto Sans Symbols" w:cs="Noto Sans Symbols" w:hint="default"/>
      </w:rPr>
    </w:lvl>
    <w:lvl w:ilvl="3">
      <w:start w:val="1"/>
      <w:numFmt w:val="bullet"/>
      <w:lvlText w:val="●"/>
      <w:lvlJc w:val="left"/>
      <w:pPr>
        <w:tabs>
          <w:tab w:val="num" w:pos="0"/>
        </w:tabs>
        <w:ind w:left="1800" w:hanging="360"/>
      </w:pPr>
      <w:rPr>
        <w:rFonts w:ascii="Noto Sans Symbols" w:hAnsi="Noto Sans Symbols" w:cs="Noto Sans Symbols" w:hint="default"/>
      </w:rPr>
    </w:lvl>
    <w:lvl w:ilvl="4">
      <w:start w:val="1"/>
      <w:numFmt w:val="bullet"/>
      <w:lvlText w:val="◦"/>
      <w:lvlJc w:val="left"/>
      <w:pPr>
        <w:tabs>
          <w:tab w:val="num" w:pos="0"/>
        </w:tabs>
        <w:ind w:left="2160" w:hanging="360"/>
      </w:pPr>
      <w:rPr>
        <w:rFonts w:ascii="Noto Sans Symbols" w:hAnsi="Noto Sans Symbols" w:cs="Noto Sans Symbols" w:hint="default"/>
      </w:rPr>
    </w:lvl>
    <w:lvl w:ilvl="5">
      <w:start w:val="1"/>
      <w:numFmt w:val="bullet"/>
      <w:lvlText w:val="▪"/>
      <w:lvlJc w:val="left"/>
      <w:pPr>
        <w:tabs>
          <w:tab w:val="num" w:pos="0"/>
        </w:tabs>
        <w:ind w:left="2520" w:hanging="360"/>
      </w:pPr>
      <w:rPr>
        <w:rFonts w:ascii="Noto Sans Symbols" w:hAnsi="Noto Sans Symbols" w:cs="Noto Sans Symbols" w:hint="default"/>
      </w:rPr>
    </w:lvl>
    <w:lvl w:ilvl="6">
      <w:start w:val="1"/>
      <w:numFmt w:val="bullet"/>
      <w:lvlText w:val="●"/>
      <w:lvlJc w:val="left"/>
      <w:pPr>
        <w:tabs>
          <w:tab w:val="num" w:pos="0"/>
        </w:tabs>
        <w:ind w:left="2880" w:hanging="360"/>
      </w:pPr>
      <w:rPr>
        <w:rFonts w:ascii="Noto Sans Symbols" w:hAnsi="Noto Sans Symbols" w:cs="Noto Sans Symbols" w:hint="default"/>
      </w:rPr>
    </w:lvl>
    <w:lvl w:ilvl="7">
      <w:start w:val="1"/>
      <w:numFmt w:val="bullet"/>
      <w:lvlText w:val="◦"/>
      <w:lvlJc w:val="left"/>
      <w:pPr>
        <w:tabs>
          <w:tab w:val="num" w:pos="0"/>
        </w:tabs>
        <w:ind w:left="3240" w:hanging="360"/>
      </w:pPr>
      <w:rPr>
        <w:rFonts w:ascii="Noto Sans Symbols" w:hAnsi="Noto Sans Symbols" w:cs="Noto Sans Symbols" w:hint="default"/>
      </w:rPr>
    </w:lvl>
    <w:lvl w:ilvl="8">
      <w:start w:val="1"/>
      <w:numFmt w:val="bullet"/>
      <w:lvlText w:val="▪"/>
      <w:lvlJc w:val="left"/>
      <w:pPr>
        <w:tabs>
          <w:tab w:val="num" w:pos="0"/>
        </w:tabs>
        <w:ind w:left="3600" w:hanging="360"/>
      </w:pPr>
      <w:rPr>
        <w:rFonts w:ascii="Noto Sans Symbols" w:hAnsi="Noto Sans Symbols" w:cs="Noto Sans Symbols" w:hint="default"/>
      </w:rPr>
    </w:lvl>
  </w:abstractNum>
  <w:num w:numId="1" w16cid:durableId="1738895502">
    <w:abstractNumId w:val="4"/>
  </w:num>
  <w:num w:numId="2" w16cid:durableId="64766131">
    <w:abstractNumId w:val="7"/>
  </w:num>
  <w:num w:numId="3" w16cid:durableId="2066680550">
    <w:abstractNumId w:val="9"/>
  </w:num>
  <w:num w:numId="4" w16cid:durableId="1869562520">
    <w:abstractNumId w:val="6"/>
  </w:num>
  <w:num w:numId="5" w16cid:durableId="555698331">
    <w:abstractNumId w:val="8"/>
  </w:num>
  <w:num w:numId="6" w16cid:durableId="1564488432">
    <w:abstractNumId w:val="2"/>
  </w:num>
  <w:num w:numId="7" w16cid:durableId="968515263">
    <w:abstractNumId w:val="0"/>
  </w:num>
  <w:num w:numId="8" w16cid:durableId="1593777015">
    <w:abstractNumId w:val="5"/>
  </w:num>
  <w:num w:numId="9" w16cid:durableId="551187945">
    <w:abstractNumId w:val="1"/>
  </w:num>
  <w:num w:numId="10" w16cid:durableId="8038857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7E"/>
    <w:rsid w:val="00034D27"/>
    <w:rsid w:val="0003669A"/>
    <w:rsid w:val="00073106"/>
    <w:rsid w:val="00073FCD"/>
    <w:rsid w:val="000A46E0"/>
    <w:rsid w:val="000B5FED"/>
    <w:rsid w:val="00131A3D"/>
    <w:rsid w:val="00180AE8"/>
    <w:rsid w:val="002167E4"/>
    <w:rsid w:val="00326214"/>
    <w:rsid w:val="003E644B"/>
    <w:rsid w:val="004A4676"/>
    <w:rsid w:val="004B1303"/>
    <w:rsid w:val="005409AA"/>
    <w:rsid w:val="00544D4D"/>
    <w:rsid w:val="00566E44"/>
    <w:rsid w:val="005A778F"/>
    <w:rsid w:val="00624C00"/>
    <w:rsid w:val="006358F5"/>
    <w:rsid w:val="006414AA"/>
    <w:rsid w:val="006869E1"/>
    <w:rsid w:val="006D5D7E"/>
    <w:rsid w:val="006D7581"/>
    <w:rsid w:val="00710BAD"/>
    <w:rsid w:val="00775DFA"/>
    <w:rsid w:val="00793BCD"/>
    <w:rsid w:val="007A5625"/>
    <w:rsid w:val="009336F6"/>
    <w:rsid w:val="00941930"/>
    <w:rsid w:val="00976AF5"/>
    <w:rsid w:val="009974FD"/>
    <w:rsid w:val="009C08EE"/>
    <w:rsid w:val="009E7D13"/>
    <w:rsid w:val="00A063A9"/>
    <w:rsid w:val="00AB2060"/>
    <w:rsid w:val="00AF1443"/>
    <w:rsid w:val="00B55DEC"/>
    <w:rsid w:val="00BF4CDE"/>
    <w:rsid w:val="00C86744"/>
    <w:rsid w:val="00C87A3F"/>
    <w:rsid w:val="00C9022F"/>
    <w:rsid w:val="00CF41C1"/>
    <w:rsid w:val="00D43959"/>
    <w:rsid w:val="00D63144"/>
    <w:rsid w:val="00DA0ED9"/>
    <w:rsid w:val="00DB1BBF"/>
    <w:rsid w:val="00DB6C07"/>
    <w:rsid w:val="00E72B64"/>
    <w:rsid w:val="00E733B9"/>
    <w:rsid w:val="00EF046A"/>
    <w:rsid w:val="00F178F9"/>
    <w:rsid w:val="00F300C3"/>
    <w:rsid w:val="00F67A61"/>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2209B"/>
  <w15:chartTrackingRefBased/>
  <w15:docId w15:val="{2D6BFB47-1FCC-4AAC-95BE-D51D97604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D7E"/>
    <w:pPr>
      <w:suppressAutoHyphens/>
    </w:pPr>
    <w:rPr>
      <w:rFonts w:ascii="Aptos" w:eastAsia="Aptos" w:hAnsi="Aptos" w:cs="Aptos"/>
      <w:kern w:val="0"/>
      <w:lang w:eastAsia="en-IN"/>
      <w14:ligatures w14:val="none"/>
    </w:rPr>
  </w:style>
  <w:style w:type="paragraph" w:styleId="Heading1">
    <w:name w:val="heading 1"/>
    <w:basedOn w:val="Normal"/>
    <w:next w:val="Normal"/>
    <w:link w:val="Heading1Char"/>
    <w:uiPriority w:val="9"/>
    <w:qFormat/>
    <w:rsid w:val="006D5D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5D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5D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5D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D5D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D5D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5D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5D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5D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5D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5D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5D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5D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D5D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D5D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5D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5D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5D7E"/>
    <w:rPr>
      <w:rFonts w:eastAsiaTheme="majorEastAsia" w:cstheme="majorBidi"/>
      <w:color w:val="272727" w:themeColor="text1" w:themeTint="D8"/>
    </w:rPr>
  </w:style>
  <w:style w:type="paragraph" w:styleId="Title">
    <w:name w:val="Title"/>
    <w:basedOn w:val="Normal"/>
    <w:next w:val="Normal"/>
    <w:link w:val="TitleChar"/>
    <w:uiPriority w:val="10"/>
    <w:qFormat/>
    <w:rsid w:val="006D5D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5D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5D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5D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5D7E"/>
    <w:pPr>
      <w:spacing w:before="160"/>
      <w:jc w:val="center"/>
    </w:pPr>
    <w:rPr>
      <w:i/>
      <w:iCs/>
      <w:color w:val="404040" w:themeColor="text1" w:themeTint="BF"/>
    </w:rPr>
  </w:style>
  <w:style w:type="character" w:customStyle="1" w:styleId="QuoteChar">
    <w:name w:val="Quote Char"/>
    <w:basedOn w:val="DefaultParagraphFont"/>
    <w:link w:val="Quote"/>
    <w:uiPriority w:val="29"/>
    <w:rsid w:val="006D5D7E"/>
    <w:rPr>
      <w:i/>
      <w:iCs/>
      <w:color w:val="404040" w:themeColor="text1" w:themeTint="BF"/>
    </w:rPr>
  </w:style>
  <w:style w:type="paragraph" w:styleId="ListParagraph">
    <w:name w:val="List Paragraph"/>
    <w:basedOn w:val="Normal"/>
    <w:uiPriority w:val="34"/>
    <w:qFormat/>
    <w:rsid w:val="006D5D7E"/>
    <w:pPr>
      <w:ind w:left="720"/>
      <w:contextualSpacing/>
    </w:pPr>
  </w:style>
  <w:style w:type="character" w:styleId="IntenseEmphasis">
    <w:name w:val="Intense Emphasis"/>
    <w:basedOn w:val="DefaultParagraphFont"/>
    <w:uiPriority w:val="21"/>
    <w:qFormat/>
    <w:rsid w:val="006D5D7E"/>
    <w:rPr>
      <w:i/>
      <w:iCs/>
      <w:color w:val="0F4761" w:themeColor="accent1" w:themeShade="BF"/>
    </w:rPr>
  </w:style>
  <w:style w:type="paragraph" w:styleId="IntenseQuote">
    <w:name w:val="Intense Quote"/>
    <w:basedOn w:val="Normal"/>
    <w:next w:val="Normal"/>
    <w:link w:val="IntenseQuoteChar"/>
    <w:uiPriority w:val="30"/>
    <w:qFormat/>
    <w:rsid w:val="006D5D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5D7E"/>
    <w:rPr>
      <w:i/>
      <w:iCs/>
      <w:color w:val="0F4761" w:themeColor="accent1" w:themeShade="BF"/>
    </w:rPr>
  </w:style>
  <w:style w:type="character" w:styleId="IntenseReference">
    <w:name w:val="Intense Reference"/>
    <w:basedOn w:val="DefaultParagraphFont"/>
    <w:uiPriority w:val="32"/>
    <w:qFormat/>
    <w:rsid w:val="006D5D7E"/>
    <w:rPr>
      <w:b/>
      <w:bCs/>
      <w:smallCaps/>
      <w:color w:val="0F4761" w:themeColor="accent1" w:themeShade="BF"/>
      <w:spacing w:val="5"/>
    </w:rPr>
  </w:style>
  <w:style w:type="character" w:styleId="Hyperlink">
    <w:name w:val="Hyperlink"/>
    <w:basedOn w:val="DefaultParagraphFont"/>
    <w:uiPriority w:val="99"/>
    <w:unhideWhenUsed/>
    <w:rsid w:val="009E7D13"/>
    <w:rPr>
      <w:color w:val="0000FF"/>
      <w:u w:val="single"/>
    </w:rPr>
  </w:style>
  <w:style w:type="paragraph" w:styleId="BodyText">
    <w:name w:val="Body Text"/>
    <w:basedOn w:val="Normal"/>
    <w:link w:val="BodyTextChar"/>
    <w:rsid w:val="009E7D13"/>
    <w:pPr>
      <w:spacing w:after="140" w:line="276" w:lineRule="auto"/>
    </w:pPr>
  </w:style>
  <w:style w:type="character" w:customStyle="1" w:styleId="BodyTextChar">
    <w:name w:val="Body Text Char"/>
    <w:basedOn w:val="DefaultParagraphFont"/>
    <w:link w:val="BodyText"/>
    <w:rsid w:val="009E7D13"/>
    <w:rPr>
      <w:rFonts w:ascii="Aptos" w:eastAsia="Aptos" w:hAnsi="Aptos" w:cs="Aptos"/>
      <w:kern w:val="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229496">
      <w:bodyDiv w:val="1"/>
      <w:marLeft w:val="0"/>
      <w:marRight w:val="0"/>
      <w:marTop w:val="0"/>
      <w:marBottom w:val="0"/>
      <w:divBdr>
        <w:top w:val="none" w:sz="0" w:space="0" w:color="auto"/>
        <w:left w:val="none" w:sz="0" w:space="0" w:color="auto"/>
        <w:bottom w:val="none" w:sz="0" w:space="0" w:color="auto"/>
        <w:right w:val="none" w:sz="0" w:space="0" w:color="auto"/>
      </w:divBdr>
    </w:div>
    <w:div w:id="2125221489">
      <w:bodyDiv w:val="1"/>
      <w:marLeft w:val="0"/>
      <w:marRight w:val="0"/>
      <w:marTop w:val="0"/>
      <w:marBottom w:val="0"/>
      <w:divBdr>
        <w:top w:val="none" w:sz="0" w:space="0" w:color="auto"/>
        <w:left w:val="none" w:sz="0" w:space="0" w:color="auto"/>
        <w:bottom w:val="none" w:sz="0" w:space="0" w:color="auto"/>
        <w:right w:val="none" w:sz="0" w:space="0" w:color="auto"/>
      </w:divBdr>
      <w:divsChild>
        <w:div w:id="706610956">
          <w:marLeft w:val="0"/>
          <w:marRight w:val="0"/>
          <w:marTop w:val="0"/>
          <w:marBottom w:val="0"/>
          <w:divBdr>
            <w:top w:val="none" w:sz="0" w:space="0" w:color="auto"/>
            <w:left w:val="none" w:sz="0" w:space="0" w:color="auto"/>
            <w:bottom w:val="none" w:sz="0" w:space="0" w:color="auto"/>
            <w:right w:val="none" w:sz="0" w:space="0" w:color="auto"/>
          </w:divBdr>
          <w:divsChild>
            <w:div w:id="159662656">
              <w:marLeft w:val="0"/>
              <w:marRight w:val="0"/>
              <w:marTop w:val="0"/>
              <w:marBottom w:val="0"/>
              <w:divBdr>
                <w:top w:val="none" w:sz="0" w:space="0" w:color="auto"/>
                <w:left w:val="none" w:sz="0" w:space="0" w:color="auto"/>
                <w:bottom w:val="none" w:sz="0" w:space="0" w:color="auto"/>
                <w:right w:val="none" w:sz="0" w:space="0" w:color="auto"/>
              </w:divBdr>
            </w:div>
          </w:divsChild>
        </w:div>
        <w:div w:id="438796127">
          <w:marLeft w:val="0"/>
          <w:marRight w:val="0"/>
          <w:marTop w:val="0"/>
          <w:marBottom w:val="0"/>
          <w:divBdr>
            <w:top w:val="none" w:sz="0" w:space="0" w:color="auto"/>
            <w:left w:val="none" w:sz="0" w:space="0" w:color="auto"/>
            <w:bottom w:val="none" w:sz="0" w:space="0" w:color="auto"/>
            <w:right w:val="none" w:sz="0" w:space="0" w:color="auto"/>
          </w:divBdr>
          <w:divsChild>
            <w:div w:id="1807118428">
              <w:marLeft w:val="0"/>
              <w:marRight w:val="0"/>
              <w:marTop w:val="0"/>
              <w:marBottom w:val="0"/>
              <w:divBdr>
                <w:top w:val="none" w:sz="0" w:space="0" w:color="auto"/>
                <w:left w:val="none" w:sz="0" w:space="0" w:color="auto"/>
                <w:bottom w:val="none" w:sz="0" w:space="0" w:color="auto"/>
                <w:right w:val="none" w:sz="0" w:space="0" w:color="auto"/>
              </w:divBdr>
              <w:divsChild>
                <w:div w:id="88504703">
                  <w:marLeft w:val="0"/>
                  <w:marRight w:val="0"/>
                  <w:marTop w:val="0"/>
                  <w:marBottom w:val="0"/>
                  <w:divBdr>
                    <w:top w:val="none" w:sz="0" w:space="0" w:color="auto"/>
                    <w:left w:val="none" w:sz="0" w:space="0" w:color="auto"/>
                    <w:bottom w:val="none" w:sz="0" w:space="0" w:color="auto"/>
                    <w:right w:val="none" w:sz="0" w:space="0" w:color="auto"/>
                  </w:divBdr>
                </w:div>
                <w:div w:id="986973244">
                  <w:marLeft w:val="300"/>
                  <w:marRight w:val="0"/>
                  <w:marTop w:val="0"/>
                  <w:marBottom w:val="0"/>
                  <w:divBdr>
                    <w:top w:val="none" w:sz="0" w:space="0" w:color="auto"/>
                    <w:left w:val="none" w:sz="0" w:space="0" w:color="auto"/>
                    <w:bottom w:val="none" w:sz="0" w:space="0" w:color="auto"/>
                    <w:right w:val="none" w:sz="0" w:space="0" w:color="auto"/>
                  </w:divBdr>
                </w:div>
                <w:div w:id="1909000521">
                  <w:marLeft w:val="300"/>
                  <w:marRight w:val="0"/>
                  <w:marTop w:val="0"/>
                  <w:marBottom w:val="0"/>
                  <w:divBdr>
                    <w:top w:val="none" w:sz="0" w:space="0" w:color="auto"/>
                    <w:left w:val="none" w:sz="0" w:space="0" w:color="auto"/>
                    <w:bottom w:val="none" w:sz="0" w:space="0" w:color="auto"/>
                    <w:right w:val="none" w:sz="0" w:space="0" w:color="auto"/>
                  </w:divBdr>
                </w:div>
                <w:div w:id="1000550197">
                  <w:marLeft w:val="300"/>
                  <w:marRight w:val="0"/>
                  <w:marTop w:val="0"/>
                  <w:marBottom w:val="0"/>
                  <w:divBdr>
                    <w:top w:val="none" w:sz="0" w:space="0" w:color="auto"/>
                    <w:left w:val="none" w:sz="0" w:space="0" w:color="auto"/>
                    <w:bottom w:val="none" w:sz="0" w:space="0" w:color="auto"/>
                    <w:right w:val="none" w:sz="0" w:space="0" w:color="auto"/>
                  </w:divBdr>
                </w:div>
                <w:div w:id="174392364">
                  <w:marLeft w:val="0"/>
                  <w:marRight w:val="0"/>
                  <w:marTop w:val="0"/>
                  <w:marBottom w:val="0"/>
                  <w:divBdr>
                    <w:top w:val="none" w:sz="0" w:space="0" w:color="auto"/>
                    <w:left w:val="none" w:sz="0" w:space="0" w:color="auto"/>
                    <w:bottom w:val="none" w:sz="0" w:space="0" w:color="auto"/>
                    <w:right w:val="none" w:sz="0" w:space="0" w:color="auto"/>
                  </w:divBdr>
                </w:div>
                <w:div w:id="479077574">
                  <w:marLeft w:val="60"/>
                  <w:marRight w:val="0"/>
                  <w:marTop w:val="0"/>
                  <w:marBottom w:val="0"/>
                  <w:divBdr>
                    <w:top w:val="none" w:sz="0" w:space="0" w:color="auto"/>
                    <w:left w:val="none" w:sz="0" w:space="0" w:color="auto"/>
                    <w:bottom w:val="none" w:sz="0" w:space="0" w:color="auto"/>
                    <w:right w:val="none" w:sz="0" w:space="0" w:color="auto"/>
                  </w:divBdr>
                </w:div>
              </w:divsChild>
            </w:div>
            <w:div w:id="543445792">
              <w:marLeft w:val="0"/>
              <w:marRight w:val="0"/>
              <w:marTop w:val="0"/>
              <w:marBottom w:val="0"/>
              <w:divBdr>
                <w:top w:val="none" w:sz="0" w:space="0" w:color="auto"/>
                <w:left w:val="none" w:sz="0" w:space="0" w:color="auto"/>
                <w:bottom w:val="none" w:sz="0" w:space="0" w:color="auto"/>
                <w:right w:val="none" w:sz="0" w:space="0" w:color="auto"/>
              </w:divBdr>
              <w:divsChild>
                <w:div w:id="1163862730">
                  <w:marLeft w:val="0"/>
                  <w:marRight w:val="0"/>
                  <w:marTop w:val="120"/>
                  <w:marBottom w:val="0"/>
                  <w:divBdr>
                    <w:top w:val="none" w:sz="0" w:space="0" w:color="auto"/>
                    <w:left w:val="none" w:sz="0" w:space="0" w:color="auto"/>
                    <w:bottom w:val="none" w:sz="0" w:space="0" w:color="auto"/>
                    <w:right w:val="none" w:sz="0" w:space="0" w:color="auto"/>
                  </w:divBdr>
                  <w:divsChild>
                    <w:div w:id="50665489">
                      <w:marLeft w:val="0"/>
                      <w:marRight w:val="0"/>
                      <w:marTop w:val="0"/>
                      <w:marBottom w:val="0"/>
                      <w:divBdr>
                        <w:top w:val="none" w:sz="0" w:space="0" w:color="auto"/>
                        <w:left w:val="none" w:sz="0" w:space="0" w:color="auto"/>
                        <w:bottom w:val="none" w:sz="0" w:space="0" w:color="auto"/>
                        <w:right w:val="none" w:sz="0" w:space="0" w:color="auto"/>
                      </w:divBdr>
                      <w:divsChild>
                        <w:div w:id="60476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hyperlink" Target="https://www.njwealth.in/" TargetMode="Externa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n-IN" sz="1400" b="0" strike="noStrike" spc="-1">
                <a:solidFill>
                  <a:srgbClr val="595959"/>
                </a:solidFill>
                <a:latin typeface="Aptos"/>
              </a:defRPr>
            </a:pPr>
            <a:r>
              <a:rPr lang="en-IN" sz="1400" b="0" strike="noStrike" spc="-1">
                <a:solidFill>
                  <a:srgbClr val="595959"/>
                </a:solidFill>
                <a:latin typeface="Aptos"/>
              </a:rPr>
              <a:t>% of  change in NAV-2019 </a:t>
            </a:r>
          </a:p>
        </c:rich>
      </c:tx>
      <c:overlay val="0"/>
      <c:spPr>
        <a:noFill/>
        <a:ln w="0">
          <a:noFill/>
        </a:ln>
      </c:spPr>
    </c:title>
    <c:autoTitleDeleted val="0"/>
    <c:plotArea>
      <c:layout/>
      <c:barChart>
        <c:barDir val="col"/>
        <c:grouping val="clustered"/>
        <c:varyColors val="0"/>
        <c:ser>
          <c:idx val="0"/>
          <c:order val="0"/>
          <c:tx>
            <c:strRef>
              <c:f>label 0</c:f>
              <c:strCache>
                <c:ptCount val="1"/>
                <c:pt idx="0">
                  <c:v>Annual change</c:v>
                </c:pt>
              </c:strCache>
            </c:strRef>
          </c:tx>
          <c:spPr>
            <a:solidFill>
              <a:srgbClr val="156082"/>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0</c:f>
              <c:numCache>
                <c:formatCode>General</c:formatCode>
                <c:ptCount val="4"/>
                <c:pt idx="0">
                  <c:v>1.95</c:v>
                </c:pt>
                <c:pt idx="1">
                  <c:v>-3.99</c:v>
                </c:pt>
                <c:pt idx="2">
                  <c:v>1.95</c:v>
                </c:pt>
                <c:pt idx="3">
                  <c:v>-11.24</c:v>
                </c:pt>
              </c:numCache>
            </c:numRef>
          </c:val>
          <c:extLst>
            <c:ext xmlns:c16="http://schemas.microsoft.com/office/drawing/2014/chart" uri="{C3380CC4-5D6E-409C-BE32-E72D297353CC}">
              <c16:uniqueId val="{00000000-939D-4616-8C22-BF9566BF5A64}"/>
            </c:ext>
          </c:extLst>
        </c:ser>
        <c:ser>
          <c:idx val="1"/>
          <c:order val="1"/>
          <c:tx>
            <c:strRef>
              <c:f>label 1</c:f>
              <c:strCache>
                <c:ptCount val="1"/>
                <c:pt idx="0">
                  <c:v>Standard Deviation</c:v>
                </c:pt>
              </c:strCache>
            </c:strRef>
          </c:tx>
          <c:spPr>
            <a:solidFill>
              <a:srgbClr val="E97132"/>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1</c:f>
              <c:numCache>
                <c:formatCode>General</c:formatCode>
                <c:ptCount val="4"/>
                <c:pt idx="0">
                  <c:v>3.08</c:v>
                </c:pt>
                <c:pt idx="1">
                  <c:v>2.46</c:v>
                </c:pt>
                <c:pt idx="2">
                  <c:v>1.26</c:v>
                </c:pt>
                <c:pt idx="3">
                  <c:v>0.92</c:v>
                </c:pt>
              </c:numCache>
            </c:numRef>
          </c:val>
          <c:extLst>
            <c:ext xmlns:c16="http://schemas.microsoft.com/office/drawing/2014/chart" uri="{C3380CC4-5D6E-409C-BE32-E72D297353CC}">
              <c16:uniqueId val="{00000001-939D-4616-8C22-BF9566BF5A64}"/>
            </c:ext>
          </c:extLst>
        </c:ser>
        <c:ser>
          <c:idx val="2"/>
          <c:order val="2"/>
          <c:tx>
            <c:strRef>
              <c:f>label 2</c:f>
              <c:strCache>
                <c:ptCount val="1"/>
                <c:pt idx="0">
                  <c:v>Sharpe ratio</c:v>
                </c:pt>
              </c:strCache>
            </c:strRef>
          </c:tx>
          <c:spPr>
            <a:solidFill>
              <a:srgbClr val="196B24"/>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2</c:f>
              <c:numCache>
                <c:formatCode>General</c:formatCode>
                <c:ptCount val="4"/>
                <c:pt idx="0">
                  <c:v>-1.31</c:v>
                </c:pt>
                <c:pt idx="1">
                  <c:v>-4.0599999999999996</c:v>
                </c:pt>
                <c:pt idx="2">
                  <c:v>-3.21</c:v>
                </c:pt>
                <c:pt idx="3">
                  <c:v>-18.73</c:v>
                </c:pt>
              </c:numCache>
            </c:numRef>
          </c:val>
          <c:extLst>
            <c:ext xmlns:c16="http://schemas.microsoft.com/office/drawing/2014/chart" uri="{C3380CC4-5D6E-409C-BE32-E72D297353CC}">
              <c16:uniqueId val="{00000002-939D-4616-8C22-BF9566BF5A64}"/>
            </c:ext>
          </c:extLst>
        </c:ser>
        <c:dLbls>
          <c:showLegendKey val="0"/>
          <c:showVal val="0"/>
          <c:showCatName val="0"/>
          <c:showSerName val="0"/>
          <c:showPercent val="0"/>
          <c:showBubbleSize val="0"/>
        </c:dLbls>
        <c:gapWidth val="219"/>
        <c:axId val="34222936"/>
        <c:axId val="42464984"/>
      </c:barChart>
      <c:catAx>
        <c:axId val="34222936"/>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Aptos"/>
              </a:defRPr>
            </a:pPr>
            <a:endParaRPr lang="en-US"/>
          </a:p>
        </c:txPr>
        <c:crossAx val="42464984"/>
        <c:crosses val="autoZero"/>
        <c:auto val="1"/>
        <c:lblAlgn val="ctr"/>
        <c:lblOffset val="100"/>
        <c:noMultiLvlLbl val="0"/>
      </c:catAx>
      <c:valAx>
        <c:axId val="42464984"/>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Aptos"/>
              </a:defRPr>
            </a:pPr>
            <a:endParaRPr lang="en-US"/>
          </a:p>
        </c:txPr>
        <c:crossAx val="34222936"/>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Aptos"/>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n-IN" sz="1400" b="0" strike="noStrike" spc="-1">
                <a:solidFill>
                  <a:srgbClr val="595959"/>
                </a:solidFill>
                <a:latin typeface="Aptos"/>
              </a:defRPr>
            </a:pPr>
            <a:r>
              <a:rPr lang="en-IN" sz="1400" b="0" strike="noStrike" spc="-1">
                <a:solidFill>
                  <a:srgbClr val="595959"/>
                </a:solidFill>
                <a:latin typeface="Aptos"/>
              </a:rPr>
              <a:t>% 0f change in NAV-2020</a:t>
            </a:r>
          </a:p>
        </c:rich>
      </c:tx>
      <c:overlay val="0"/>
      <c:spPr>
        <a:noFill/>
        <a:ln w="0">
          <a:noFill/>
        </a:ln>
      </c:spPr>
    </c:title>
    <c:autoTitleDeleted val="0"/>
    <c:plotArea>
      <c:layout/>
      <c:barChart>
        <c:barDir val="col"/>
        <c:grouping val="clustered"/>
        <c:varyColors val="0"/>
        <c:ser>
          <c:idx val="0"/>
          <c:order val="0"/>
          <c:tx>
            <c:strRef>
              <c:f>label 0</c:f>
              <c:strCache>
                <c:ptCount val="1"/>
                <c:pt idx="0">
                  <c:v>Annual change</c:v>
                </c:pt>
              </c:strCache>
            </c:strRef>
          </c:tx>
          <c:spPr>
            <a:solidFill>
              <a:srgbClr val="156082"/>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0</c:f>
              <c:numCache>
                <c:formatCode>General</c:formatCode>
                <c:ptCount val="4"/>
                <c:pt idx="0">
                  <c:v>22.25</c:v>
                </c:pt>
                <c:pt idx="1">
                  <c:v>12.05</c:v>
                </c:pt>
                <c:pt idx="2">
                  <c:v>22.25</c:v>
                </c:pt>
                <c:pt idx="3">
                  <c:v>4.32</c:v>
                </c:pt>
              </c:numCache>
            </c:numRef>
          </c:val>
          <c:extLst>
            <c:ext xmlns:c16="http://schemas.microsoft.com/office/drawing/2014/chart" uri="{C3380CC4-5D6E-409C-BE32-E72D297353CC}">
              <c16:uniqueId val="{00000000-F7FF-4173-B8EA-6AEB450A56DD}"/>
            </c:ext>
          </c:extLst>
        </c:ser>
        <c:ser>
          <c:idx val="1"/>
          <c:order val="1"/>
          <c:tx>
            <c:strRef>
              <c:f>label 1</c:f>
              <c:strCache>
                <c:ptCount val="1"/>
                <c:pt idx="0">
                  <c:v>Standard deviation</c:v>
                </c:pt>
              </c:strCache>
            </c:strRef>
          </c:tx>
          <c:spPr>
            <a:solidFill>
              <a:srgbClr val="E97132"/>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1</c:f>
              <c:numCache>
                <c:formatCode>General</c:formatCode>
                <c:ptCount val="4"/>
                <c:pt idx="0">
                  <c:v>7.4</c:v>
                </c:pt>
                <c:pt idx="1">
                  <c:v>5.19</c:v>
                </c:pt>
                <c:pt idx="2">
                  <c:v>3.02</c:v>
                </c:pt>
                <c:pt idx="3">
                  <c:v>2.3199999999999998</c:v>
                </c:pt>
              </c:numCache>
            </c:numRef>
          </c:val>
          <c:extLst>
            <c:ext xmlns:c16="http://schemas.microsoft.com/office/drawing/2014/chart" uri="{C3380CC4-5D6E-409C-BE32-E72D297353CC}">
              <c16:uniqueId val="{00000001-F7FF-4173-B8EA-6AEB450A56DD}"/>
            </c:ext>
          </c:extLst>
        </c:ser>
        <c:ser>
          <c:idx val="2"/>
          <c:order val="2"/>
          <c:tx>
            <c:strRef>
              <c:f>label 2</c:f>
              <c:strCache>
                <c:ptCount val="1"/>
                <c:pt idx="0">
                  <c:v>Sharpe ratio</c:v>
                </c:pt>
              </c:strCache>
            </c:strRef>
          </c:tx>
          <c:spPr>
            <a:solidFill>
              <a:srgbClr val="196B24"/>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2</c:f>
              <c:numCache>
                <c:formatCode>General</c:formatCode>
                <c:ptCount val="4"/>
                <c:pt idx="0">
                  <c:v>2.19</c:v>
                </c:pt>
                <c:pt idx="1">
                  <c:v>1.1599999999999999</c:v>
                </c:pt>
                <c:pt idx="2">
                  <c:v>5.3</c:v>
                </c:pt>
                <c:pt idx="3">
                  <c:v>-0.72</c:v>
                </c:pt>
              </c:numCache>
            </c:numRef>
          </c:val>
          <c:extLst>
            <c:ext xmlns:c16="http://schemas.microsoft.com/office/drawing/2014/chart" uri="{C3380CC4-5D6E-409C-BE32-E72D297353CC}">
              <c16:uniqueId val="{00000002-F7FF-4173-B8EA-6AEB450A56DD}"/>
            </c:ext>
          </c:extLst>
        </c:ser>
        <c:dLbls>
          <c:showLegendKey val="0"/>
          <c:showVal val="0"/>
          <c:showCatName val="0"/>
          <c:showSerName val="0"/>
          <c:showPercent val="0"/>
          <c:showBubbleSize val="0"/>
        </c:dLbls>
        <c:gapWidth val="219"/>
        <c:axId val="37313684"/>
        <c:axId val="27565248"/>
      </c:barChart>
      <c:catAx>
        <c:axId val="37313684"/>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Aptos"/>
              </a:defRPr>
            </a:pPr>
            <a:endParaRPr lang="en-US"/>
          </a:p>
        </c:txPr>
        <c:crossAx val="27565248"/>
        <c:crosses val="autoZero"/>
        <c:auto val="1"/>
        <c:lblAlgn val="ctr"/>
        <c:lblOffset val="100"/>
        <c:noMultiLvlLbl val="0"/>
      </c:catAx>
      <c:valAx>
        <c:axId val="27565248"/>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Aptos"/>
              </a:defRPr>
            </a:pPr>
            <a:endParaRPr lang="en-US"/>
          </a:p>
        </c:txPr>
        <c:crossAx val="37313684"/>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Aptos"/>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n-IN" sz="1400" b="0" strike="noStrike" spc="-1">
                <a:solidFill>
                  <a:srgbClr val="595959"/>
                </a:solidFill>
                <a:latin typeface="Aptos"/>
              </a:defRPr>
            </a:pPr>
            <a:r>
              <a:rPr lang="en-IN" sz="1400" b="0" strike="noStrike" spc="-1">
                <a:solidFill>
                  <a:srgbClr val="595959"/>
                </a:solidFill>
                <a:latin typeface="Aptos"/>
              </a:rPr>
              <a:t>% of change in NAV-2021</a:t>
            </a:r>
          </a:p>
        </c:rich>
      </c:tx>
      <c:overlay val="0"/>
      <c:spPr>
        <a:noFill/>
        <a:ln w="0">
          <a:noFill/>
        </a:ln>
      </c:spPr>
    </c:title>
    <c:autoTitleDeleted val="0"/>
    <c:plotArea>
      <c:layout/>
      <c:barChart>
        <c:barDir val="col"/>
        <c:grouping val="clustered"/>
        <c:varyColors val="0"/>
        <c:ser>
          <c:idx val="0"/>
          <c:order val="0"/>
          <c:tx>
            <c:strRef>
              <c:f>label 0</c:f>
              <c:strCache>
                <c:ptCount val="1"/>
                <c:pt idx="0">
                  <c:v>Annual change</c:v>
                </c:pt>
              </c:strCache>
            </c:strRef>
          </c:tx>
          <c:spPr>
            <a:solidFill>
              <a:srgbClr val="156082"/>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0</c:f>
              <c:numCache>
                <c:formatCode>General</c:formatCode>
                <c:ptCount val="4"/>
                <c:pt idx="0">
                  <c:v>57.83</c:v>
                </c:pt>
                <c:pt idx="1">
                  <c:v>63.18</c:v>
                </c:pt>
                <c:pt idx="2">
                  <c:v>57.83</c:v>
                </c:pt>
                <c:pt idx="3">
                  <c:v>55.45</c:v>
                </c:pt>
              </c:numCache>
            </c:numRef>
          </c:val>
          <c:extLst>
            <c:ext xmlns:c16="http://schemas.microsoft.com/office/drawing/2014/chart" uri="{C3380CC4-5D6E-409C-BE32-E72D297353CC}">
              <c16:uniqueId val="{00000000-55E7-4A3C-8789-4D33B1276285}"/>
            </c:ext>
          </c:extLst>
        </c:ser>
        <c:ser>
          <c:idx val="1"/>
          <c:order val="1"/>
          <c:tx>
            <c:strRef>
              <c:f>label 1</c:f>
              <c:strCache>
                <c:ptCount val="1"/>
                <c:pt idx="0">
                  <c:v>Standard Deviation</c:v>
                </c:pt>
              </c:strCache>
            </c:strRef>
          </c:tx>
          <c:spPr>
            <a:solidFill>
              <a:srgbClr val="E97132"/>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1</c:f>
              <c:numCache>
                <c:formatCode>General</c:formatCode>
                <c:ptCount val="4"/>
                <c:pt idx="0">
                  <c:v>3.13</c:v>
                </c:pt>
                <c:pt idx="1">
                  <c:v>2.41</c:v>
                </c:pt>
                <c:pt idx="2">
                  <c:v>1.28</c:v>
                </c:pt>
                <c:pt idx="3">
                  <c:v>0.87</c:v>
                </c:pt>
              </c:numCache>
            </c:numRef>
          </c:val>
          <c:extLst>
            <c:ext xmlns:c16="http://schemas.microsoft.com/office/drawing/2014/chart" uri="{C3380CC4-5D6E-409C-BE32-E72D297353CC}">
              <c16:uniqueId val="{00000001-55E7-4A3C-8789-4D33B1276285}"/>
            </c:ext>
          </c:extLst>
        </c:ser>
        <c:ser>
          <c:idx val="2"/>
          <c:order val="2"/>
          <c:tx>
            <c:strRef>
              <c:f>label 2</c:f>
              <c:strCache>
                <c:ptCount val="1"/>
                <c:pt idx="0">
                  <c:v>Sharpe ratio</c:v>
                </c:pt>
              </c:strCache>
            </c:strRef>
          </c:tx>
          <c:spPr>
            <a:solidFill>
              <a:srgbClr val="196B24"/>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2</c:f>
              <c:numCache>
                <c:formatCode>General</c:formatCode>
                <c:ptCount val="4"/>
                <c:pt idx="0">
                  <c:v>16.55</c:v>
                </c:pt>
                <c:pt idx="1">
                  <c:v>23.72</c:v>
                </c:pt>
                <c:pt idx="2">
                  <c:v>40.49</c:v>
                </c:pt>
                <c:pt idx="3">
                  <c:v>56.83</c:v>
                </c:pt>
              </c:numCache>
            </c:numRef>
          </c:val>
          <c:extLst>
            <c:ext xmlns:c16="http://schemas.microsoft.com/office/drawing/2014/chart" uri="{C3380CC4-5D6E-409C-BE32-E72D297353CC}">
              <c16:uniqueId val="{00000002-55E7-4A3C-8789-4D33B1276285}"/>
            </c:ext>
          </c:extLst>
        </c:ser>
        <c:dLbls>
          <c:showLegendKey val="0"/>
          <c:showVal val="0"/>
          <c:showCatName val="0"/>
          <c:showSerName val="0"/>
          <c:showPercent val="0"/>
          <c:showBubbleSize val="0"/>
        </c:dLbls>
        <c:gapWidth val="219"/>
        <c:axId val="80252175"/>
        <c:axId val="94973082"/>
      </c:barChart>
      <c:catAx>
        <c:axId val="80252175"/>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Aptos"/>
              </a:defRPr>
            </a:pPr>
            <a:endParaRPr lang="en-US"/>
          </a:p>
        </c:txPr>
        <c:crossAx val="94973082"/>
        <c:crosses val="autoZero"/>
        <c:auto val="1"/>
        <c:lblAlgn val="ctr"/>
        <c:lblOffset val="100"/>
        <c:noMultiLvlLbl val="0"/>
      </c:catAx>
      <c:valAx>
        <c:axId val="94973082"/>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Aptos"/>
              </a:defRPr>
            </a:pPr>
            <a:endParaRPr lang="en-US"/>
          </a:p>
        </c:txPr>
        <c:crossAx val="80252175"/>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Aptos"/>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n-IN" sz="1400" b="0" strike="noStrike" spc="-1">
                <a:solidFill>
                  <a:srgbClr val="595959"/>
                </a:solidFill>
                <a:latin typeface="Aptos"/>
              </a:defRPr>
            </a:pPr>
            <a:r>
              <a:rPr lang="en-IN" sz="1400" b="0" strike="noStrike" spc="-1">
                <a:solidFill>
                  <a:srgbClr val="595959"/>
                </a:solidFill>
                <a:latin typeface="Aptos"/>
              </a:rPr>
              <a:t>% of change in NAV-2022</a:t>
            </a:r>
          </a:p>
        </c:rich>
      </c:tx>
      <c:overlay val="0"/>
      <c:spPr>
        <a:noFill/>
        <a:ln w="0">
          <a:noFill/>
        </a:ln>
      </c:spPr>
    </c:title>
    <c:autoTitleDeleted val="0"/>
    <c:plotArea>
      <c:layout/>
      <c:barChart>
        <c:barDir val="col"/>
        <c:grouping val="clustered"/>
        <c:varyColors val="0"/>
        <c:ser>
          <c:idx val="0"/>
          <c:order val="0"/>
          <c:tx>
            <c:strRef>
              <c:f>label 0</c:f>
              <c:strCache>
                <c:ptCount val="1"/>
                <c:pt idx="0">
                  <c:v>Annual change</c:v>
                </c:pt>
              </c:strCache>
            </c:strRef>
          </c:tx>
          <c:spPr>
            <a:solidFill>
              <a:srgbClr val="156082"/>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0</c:f>
              <c:numCache>
                <c:formatCode>General</c:formatCode>
                <c:ptCount val="4"/>
                <c:pt idx="0">
                  <c:v>8.6199999999999992</c:v>
                </c:pt>
                <c:pt idx="1">
                  <c:v>8.24</c:v>
                </c:pt>
                <c:pt idx="2">
                  <c:v>8.6199999999999992</c:v>
                </c:pt>
                <c:pt idx="3">
                  <c:v>-1.18</c:v>
                </c:pt>
              </c:numCache>
            </c:numRef>
          </c:val>
          <c:extLst>
            <c:ext xmlns:c16="http://schemas.microsoft.com/office/drawing/2014/chart" uri="{C3380CC4-5D6E-409C-BE32-E72D297353CC}">
              <c16:uniqueId val="{00000000-0F9D-477F-8DA6-C7919A202739}"/>
            </c:ext>
          </c:extLst>
        </c:ser>
        <c:ser>
          <c:idx val="1"/>
          <c:order val="1"/>
          <c:tx>
            <c:strRef>
              <c:f>label 1</c:f>
              <c:strCache>
                <c:ptCount val="1"/>
                <c:pt idx="0">
                  <c:v>Standard Deviation</c:v>
                </c:pt>
              </c:strCache>
            </c:strRef>
          </c:tx>
          <c:spPr>
            <a:solidFill>
              <a:srgbClr val="E97132"/>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1</c:f>
              <c:numCache>
                <c:formatCode>General</c:formatCode>
                <c:ptCount val="4"/>
                <c:pt idx="0">
                  <c:v>5.83</c:v>
                </c:pt>
                <c:pt idx="1">
                  <c:v>4.34</c:v>
                </c:pt>
                <c:pt idx="2">
                  <c:v>2.38</c:v>
                </c:pt>
                <c:pt idx="3">
                  <c:v>2.1800000000000002</c:v>
                </c:pt>
              </c:numCache>
            </c:numRef>
          </c:val>
          <c:extLst>
            <c:ext xmlns:c16="http://schemas.microsoft.com/office/drawing/2014/chart" uri="{C3380CC4-5D6E-409C-BE32-E72D297353CC}">
              <c16:uniqueId val="{00000001-0F9D-477F-8DA6-C7919A202739}"/>
            </c:ext>
          </c:extLst>
        </c:ser>
        <c:ser>
          <c:idx val="2"/>
          <c:order val="2"/>
          <c:tx>
            <c:strRef>
              <c:f>label 2</c:f>
              <c:strCache>
                <c:ptCount val="1"/>
                <c:pt idx="0">
                  <c:v>Sharpe ratio</c:v>
                </c:pt>
              </c:strCache>
            </c:strRef>
          </c:tx>
          <c:spPr>
            <a:solidFill>
              <a:srgbClr val="196B24"/>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2</c:f>
              <c:numCache>
                <c:formatCode>General</c:formatCode>
                <c:ptCount val="4"/>
                <c:pt idx="0">
                  <c:v>0.44</c:v>
                </c:pt>
                <c:pt idx="1">
                  <c:v>0.51</c:v>
                </c:pt>
                <c:pt idx="2">
                  <c:v>1.1000000000000001</c:v>
                </c:pt>
                <c:pt idx="3">
                  <c:v>-3.2</c:v>
                </c:pt>
              </c:numCache>
            </c:numRef>
          </c:val>
          <c:extLst>
            <c:ext xmlns:c16="http://schemas.microsoft.com/office/drawing/2014/chart" uri="{C3380CC4-5D6E-409C-BE32-E72D297353CC}">
              <c16:uniqueId val="{00000002-0F9D-477F-8DA6-C7919A202739}"/>
            </c:ext>
          </c:extLst>
        </c:ser>
        <c:dLbls>
          <c:showLegendKey val="0"/>
          <c:showVal val="0"/>
          <c:showCatName val="0"/>
          <c:showSerName val="0"/>
          <c:showPercent val="0"/>
          <c:showBubbleSize val="0"/>
        </c:dLbls>
        <c:gapWidth val="219"/>
        <c:axId val="46396731"/>
        <c:axId val="60642567"/>
      </c:barChart>
      <c:catAx>
        <c:axId val="46396731"/>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Aptos"/>
              </a:defRPr>
            </a:pPr>
            <a:endParaRPr lang="en-US"/>
          </a:p>
        </c:txPr>
        <c:crossAx val="60642567"/>
        <c:crosses val="autoZero"/>
        <c:auto val="1"/>
        <c:lblAlgn val="ctr"/>
        <c:lblOffset val="100"/>
        <c:noMultiLvlLbl val="0"/>
      </c:catAx>
      <c:valAx>
        <c:axId val="60642567"/>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Aptos"/>
              </a:defRPr>
            </a:pPr>
            <a:endParaRPr lang="en-US"/>
          </a:p>
        </c:txPr>
        <c:crossAx val="46396731"/>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Aptos"/>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lang="en-IN" sz="1400" b="0" strike="noStrike" spc="-1">
                <a:solidFill>
                  <a:srgbClr val="595959"/>
                </a:solidFill>
                <a:latin typeface="Aptos"/>
              </a:defRPr>
            </a:pPr>
            <a:r>
              <a:rPr lang="en-IN" sz="1400" b="0" strike="noStrike" spc="-1">
                <a:solidFill>
                  <a:srgbClr val="595959"/>
                </a:solidFill>
                <a:latin typeface="Aptos"/>
              </a:rPr>
              <a:t>% of change in NAV-2023</a:t>
            </a:r>
          </a:p>
        </c:rich>
      </c:tx>
      <c:overlay val="0"/>
      <c:spPr>
        <a:noFill/>
        <a:ln w="0">
          <a:noFill/>
        </a:ln>
      </c:spPr>
    </c:title>
    <c:autoTitleDeleted val="0"/>
    <c:plotArea>
      <c:layout/>
      <c:barChart>
        <c:barDir val="col"/>
        <c:grouping val="clustered"/>
        <c:varyColors val="0"/>
        <c:ser>
          <c:idx val="0"/>
          <c:order val="0"/>
          <c:tx>
            <c:strRef>
              <c:f>label 0</c:f>
              <c:strCache>
                <c:ptCount val="1"/>
                <c:pt idx="0">
                  <c:v>Annual change</c:v>
                </c:pt>
              </c:strCache>
            </c:strRef>
          </c:tx>
          <c:spPr>
            <a:solidFill>
              <a:srgbClr val="156082"/>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0</c:f>
              <c:numCache>
                <c:formatCode>General</c:formatCode>
                <c:ptCount val="4"/>
                <c:pt idx="0">
                  <c:v>29.26</c:v>
                </c:pt>
                <c:pt idx="1">
                  <c:v>42.7</c:v>
                </c:pt>
                <c:pt idx="2">
                  <c:v>29.26</c:v>
                </c:pt>
                <c:pt idx="3">
                  <c:v>30.79</c:v>
                </c:pt>
              </c:numCache>
            </c:numRef>
          </c:val>
          <c:extLst>
            <c:ext xmlns:c16="http://schemas.microsoft.com/office/drawing/2014/chart" uri="{C3380CC4-5D6E-409C-BE32-E72D297353CC}">
              <c16:uniqueId val="{00000000-B70B-42F3-9292-820DCE37A7B9}"/>
            </c:ext>
          </c:extLst>
        </c:ser>
        <c:ser>
          <c:idx val="1"/>
          <c:order val="1"/>
          <c:tx>
            <c:strRef>
              <c:f>label 1</c:f>
              <c:strCache>
                <c:ptCount val="1"/>
                <c:pt idx="0">
                  <c:v>Standard Deviation</c:v>
                </c:pt>
              </c:strCache>
            </c:strRef>
          </c:tx>
          <c:spPr>
            <a:solidFill>
              <a:srgbClr val="E97132"/>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1</c:f>
              <c:numCache>
                <c:formatCode>General</c:formatCode>
                <c:ptCount val="4"/>
                <c:pt idx="0">
                  <c:v>5.83</c:v>
                </c:pt>
                <c:pt idx="1">
                  <c:v>4.49</c:v>
                </c:pt>
                <c:pt idx="2">
                  <c:v>2.38</c:v>
                </c:pt>
                <c:pt idx="3">
                  <c:v>1.92</c:v>
                </c:pt>
              </c:numCache>
            </c:numRef>
          </c:val>
          <c:extLst>
            <c:ext xmlns:c16="http://schemas.microsoft.com/office/drawing/2014/chart" uri="{C3380CC4-5D6E-409C-BE32-E72D297353CC}">
              <c16:uniqueId val="{00000001-B70B-42F3-9292-820DCE37A7B9}"/>
            </c:ext>
          </c:extLst>
        </c:ser>
        <c:ser>
          <c:idx val="2"/>
          <c:order val="2"/>
          <c:tx>
            <c:strRef>
              <c:f>label 2</c:f>
              <c:strCache>
                <c:ptCount val="1"/>
                <c:pt idx="0">
                  <c:v>Sharpe ratio</c:v>
                </c:pt>
              </c:strCache>
            </c:strRef>
          </c:tx>
          <c:spPr>
            <a:solidFill>
              <a:srgbClr val="196B24"/>
            </a:solidFill>
            <a:ln w="0">
              <a:noFill/>
            </a:ln>
          </c:spPr>
          <c:invertIfNegative val="0"/>
          <c:dLbls>
            <c:numFmt formatCode="General" sourceLinked="0"/>
            <c:spPr>
              <a:noFill/>
              <a:ln>
                <a:noFill/>
              </a:ln>
              <a:effectLst/>
            </c:spPr>
            <c:txPr>
              <a:bodyPr wrap="square"/>
              <a:lstStyle/>
              <a:p>
                <a:pPr>
                  <a:defRPr sz="900" b="0" strike="noStrike" spc="-1">
                    <a:solidFill>
                      <a:srgbClr val="404040"/>
                    </a:solidFill>
                    <a:latin typeface="Aptos"/>
                  </a:defRPr>
                </a:pPr>
                <a:endParaRPr lang="en-US"/>
              </a:p>
            </c:txPr>
            <c:dLblPos val="outEnd"/>
            <c:showLegendKey val="0"/>
            <c:showVal val="1"/>
            <c:showCatName val="0"/>
            <c:showSerName val="0"/>
            <c:showPercent val="0"/>
            <c:showBubbleSize val="1"/>
            <c:separator>; </c:separator>
            <c:showLeaderLines val="0"/>
            <c:extLst>
              <c:ext xmlns:c15="http://schemas.microsoft.com/office/drawing/2012/chart" uri="{CE6537A1-D6FC-4f65-9D91-7224C49458BB}">
                <c15:showLeaderLines val="1"/>
              </c:ext>
            </c:extLst>
          </c:dLbls>
          <c:cat>
            <c:strRef>
              <c:f>categories</c:f>
              <c:strCache>
                <c:ptCount val="4"/>
                <c:pt idx="0">
                  <c:v>SBI Magnum Mid fund -Gr</c:v>
                </c:pt>
                <c:pt idx="1">
                  <c:v>Franklin India Smaller companies-Gr</c:v>
                </c:pt>
                <c:pt idx="2">
                  <c:v>SBI Magnum Mid fund -IDCW</c:v>
                </c:pt>
                <c:pt idx="3">
                  <c:v>Franklin India Smaller companies-IDCW</c:v>
                </c:pt>
              </c:strCache>
            </c:strRef>
          </c:cat>
          <c:val>
            <c:numRef>
              <c:f>2</c:f>
              <c:numCache>
                <c:formatCode>General</c:formatCode>
                <c:ptCount val="4"/>
                <c:pt idx="0">
                  <c:v>3.98</c:v>
                </c:pt>
                <c:pt idx="1">
                  <c:v>8.17</c:v>
                </c:pt>
                <c:pt idx="2">
                  <c:v>9.77</c:v>
                </c:pt>
                <c:pt idx="3">
                  <c:v>12.91</c:v>
                </c:pt>
              </c:numCache>
            </c:numRef>
          </c:val>
          <c:extLst>
            <c:ext xmlns:c16="http://schemas.microsoft.com/office/drawing/2014/chart" uri="{C3380CC4-5D6E-409C-BE32-E72D297353CC}">
              <c16:uniqueId val="{00000002-B70B-42F3-9292-820DCE37A7B9}"/>
            </c:ext>
          </c:extLst>
        </c:ser>
        <c:dLbls>
          <c:showLegendKey val="0"/>
          <c:showVal val="0"/>
          <c:showCatName val="0"/>
          <c:showSerName val="0"/>
          <c:showPercent val="0"/>
          <c:showBubbleSize val="0"/>
        </c:dLbls>
        <c:gapWidth val="219"/>
        <c:axId val="13821705"/>
        <c:axId val="2403389"/>
      </c:barChart>
      <c:catAx>
        <c:axId val="13821705"/>
        <c:scaling>
          <c:orientation val="minMax"/>
        </c:scaling>
        <c:delete val="0"/>
        <c:axPos val="b"/>
        <c:numFmt formatCode="General" sourceLinked="0"/>
        <c:majorTickMark val="none"/>
        <c:minorTickMark val="none"/>
        <c:tickLblPos val="nextTo"/>
        <c:spPr>
          <a:ln w="9360">
            <a:solidFill>
              <a:srgbClr val="D9D9D9"/>
            </a:solidFill>
            <a:round/>
          </a:ln>
        </c:spPr>
        <c:txPr>
          <a:bodyPr/>
          <a:lstStyle/>
          <a:p>
            <a:pPr>
              <a:defRPr sz="900" b="0" strike="noStrike" spc="-1">
                <a:solidFill>
                  <a:srgbClr val="595959"/>
                </a:solidFill>
                <a:latin typeface="Aptos"/>
              </a:defRPr>
            </a:pPr>
            <a:endParaRPr lang="en-US"/>
          </a:p>
        </c:txPr>
        <c:crossAx val="2403389"/>
        <c:crosses val="autoZero"/>
        <c:auto val="1"/>
        <c:lblAlgn val="ctr"/>
        <c:lblOffset val="100"/>
        <c:noMultiLvlLbl val="0"/>
      </c:catAx>
      <c:valAx>
        <c:axId val="2403389"/>
        <c:scaling>
          <c:orientation val="minMax"/>
        </c:scaling>
        <c:delete val="0"/>
        <c:axPos val="l"/>
        <c:majorGridlines>
          <c:spPr>
            <a:ln w="9360">
              <a:solidFill>
                <a:srgbClr val="D9D9D9"/>
              </a:solidFill>
              <a:round/>
            </a:ln>
          </c:spPr>
        </c:majorGridlines>
        <c:numFmt formatCode="General" sourceLinked="0"/>
        <c:majorTickMark val="none"/>
        <c:minorTickMark val="none"/>
        <c:tickLblPos val="nextTo"/>
        <c:spPr>
          <a:ln w="6480">
            <a:noFill/>
          </a:ln>
        </c:spPr>
        <c:txPr>
          <a:bodyPr/>
          <a:lstStyle/>
          <a:p>
            <a:pPr>
              <a:defRPr sz="900" b="0" strike="noStrike" spc="-1">
                <a:solidFill>
                  <a:srgbClr val="595959"/>
                </a:solidFill>
                <a:latin typeface="Aptos"/>
              </a:defRPr>
            </a:pPr>
            <a:endParaRPr lang="en-US"/>
          </a:p>
        </c:txPr>
        <c:crossAx val="13821705"/>
        <c:crosses val="autoZero"/>
        <c:crossBetween val="between"/>
      </c:valAx>
      <c:spPr>
        <a:noFill/>
        <a:ln w="0">
          <a:noFill/>
        </a:ln>
      </c:spPr>
    </c:plotArea>
    <c:legend>
      <c:legendPos val="b"/>
      <c:overlay val="0"/>
      <c:spPr>
        <a:noFill/>
        <a:ln w="0">
          <a:noFill/>
        </a:ln>
      </c:spPr>
      <c:txPr>
        <a:bodyPr/>
        <a:lstStyle/>
        <a:p>
          <a:pPr>
            <a:defRPr sz="900" b="0" strike="noStrike" spc="-1">
              <a:solidFill>
                <a:srgbClr val="595959"/>
              </a:solidFill>
              <a:latin typeface="Aptos"/>
            </a:defRPr>
          </a:pPr>
          <a:endParaRPr lang="en-US"/>
        </a:p>
      </c:txPr>
    </c:legend>
    <c:plotVisOnly val="1"/>
    <c:dispBlanksAs val="gap"/>
    <c:showDLblsOverMax val="1"/>
  </c:chart>
  <c:spPr>
    <a:solidFill>
      <a:srgbClr val="FFFFFF"/>
    </a:solidFill>
    <a:ln w="9360">
      <a:solidFill>
        <a:srgbClr val="D9D9D9"/>
      </a:solidFill>
      <a:round/>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D4E80-8FBF-4672-9F82-60178B9E3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5001</Words>
  <Characters>28508</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pthambi@njbb.org</dc:creator>
  <cp:keywords/>
  <dc:description/>
  <cp:lastModifiedBy>mutyala vinod</cp:lastModifiedBy>
  <cp:revision>3</cp:revision>
  <dcterms:created xsi:type="dcterms:W3CDTF">2024-07-03T10:34:00Z</dcterms:created>
  <dcterms:modified xsi:type="dcterms:W3CDTF">2024-07-04T05:42:00Z</dcterms:modified>
</cp:coreProperties>
</file>