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B02DF" w14:textId="77777777" w:rsidR="00A73ACE" w:rsidRPr="00DB26E4" w:rsidRDefault="00A73ACE" w:rsidP="002B5C1C">
      <w:pPr>
        <w:spacing w:after="0" w:line="360" w:lineRule="auto"/>
        <w:jc w:val="center"/>
        <w:rPr>
          <w:rFonts w:ascii="Times New Roman" w:eastAsia="Times New Roman" w:hAnsi="Times New Roman" w:cs="Times New Roman"/>
          <w:b/>
          <w:sz w:val="24"/>
          <w:szCs w:val="24"/>
        </w:rPr>
      </w:pPr>
      <w:r w:rsidRPr="00DB26E4">
        <w:rPr>
          <w:rFonts w:ascii="Times New Roman" w:hAnsi="Times New Roman" w:cs="Times New Roman"/>
          <w:b/>
          <w:bCs/>
          <w:sz w:val="24"/>
          <w:szCs w:val="24"/>
        </w:rPr>
        <w:t>A Study on Ratio Analysis in Home First Finance Company India Ltd at    Rajahmundry</w:t>
      </w:r>
    </w:p>
    <w:p w14:paraId="7DC9F6E8" w14:textId="77777777" w:rsidR="00941EF4" w:rsidRDefault="00941EF4" w:rsidP="002B5C1C">
      <w:pPr>
        <w:spacing w:after="0" w:line="360" w:lineRule="auto"/>
        <w:rPr>
          <w:rFonts w:ascii="Times New Roman" w:eastAsia="Times New Roman" w:hAnsi="Times New Roman" w:cs="Times New Roman"/>
          <w:b/>
          <w:sz w:val="24"/>
          <w:szCs w:val="24"/>
        </w:rPr>
      </w:pPr>
      <w:r w:rsidRPr="00DB26E4">
        <w:rPr>
          <w:rFonts w:ascii="Times New Roman" w:eastAsia="Times New Roman" w:hAnsi="Times New Roman" w:cs="Times New Roman"/>
          <w:b/>
          <w:sz w:val="24"/>
          <w:szCs w:val="24"/>
        </w:rPr>
        <w:t xml:space="preserve">Abstract: </w:t>
      </w:r>
    </w:p>
    <w:p w14:paraId="48121093" w14:textId="77777777" w:rsidR="00DB26E4" w:rsidRDefault="00406D49" w:rsidP="002B5C1C">
      <w:pPr>
        <w:spacing w:after="0" w:line="360" w:lineRule="auto"/>
        <w:ind w:firstLine="720"/>
        <w:jc w:val="both"/>
        <w:rPr>
          <w:rFonts w:ascii="Times New Roman" w:hAnsi="Times New Roman" w:cs="Times New Roman"/>
          <w:sz w:val="24"/>
          <w:szCs w:val="24"/>
          <w:lang w:val="en-US"/>
        </w:rPr>
      </w:pPr>
      <w:r w:rsidRPr="00406D49">
        <w:rPr>
          <w:rFonts w:ascii="Times New Roman" w:hAnsi="Times New Roman" w:cs="Times New Roman"/>
          <w:sz w:val="24"/>
          <w:szCs w:val="24"/>
          <w:lang w:val="en-US"/>
        </w:rPr>
        <w:t>Financial ratio is most important tool for accounting analysis. In this paper, researcher will study on ratio analysis, its usefulness, its effectiveness with using various past published papers and articles</w:t>
      </w:r>
      <w:r>
        <w:rPr>
          <w:rFonts w:ascii="Times New Roman" w:hAnsi="Times New Roman" w:cs="Times New Roman"/>
          <w:sz w:val="24"/>
          <w:szCs w:val="24"/>
          <w:lang w:val="en-US"/>
        </w:rPr>
        <w:t xml:space="preserve">. </w:t>
      </w:r>
      <w:r w:rsidR="00DB26E4" w:rsidRPr="00DB26E4">
        <w:rPr>
          <w:rFonts w:ascii="Times New Roman" w:hAnsi="Times New Roman" w:cs="Times New Roman"/>
          <w:sz w:val="24"/>
          <w:szCs w:val="24"/>
          <w:lang w:val="en-US"/>
        </w:rPr>
        <w:t>This study examines the financial performance of Home First Finance Company India Ltd at Rajahmundry from 2019 to 2023, focusing on key financial ratios to assess liquidity, capital structure, profitability, and asset utilization.</w:t>
      </w:r>
      <w:r w:rsidRPr="00406D4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DB26E4" w:rsidRPr="00DB26E4">
        <w:rPr>
          <w:rFonts w:ascii="Times New Roman" w:hAnsi="Times New Roman" w:cs="Times New Roman"/>
          <w:sz w:val="24"/>
          <w:szCs w:val="24"/>
          <w:lang w:val="en-US"/>
        </w:rPr>
        <w:t>The company's current ratio showed a positive trend from 2019 to 202</w:t>
      </w:r>
      <w:r w:rsidR="00DB26E4">
        <w:rPr>
          <w:rFonts w:ascii="Times New Roman" w:hAnsi="Times New Roman" w:cs="Times New Roman"/>
          <w:sz w:val="24"/>
          <w:szCs w:val="24"/>
          <w:lang w:val="en-US"/>
        </w:rPr>
        <w:t>3,</w:t>
      </w:r>
      <w:r w:rsidR="00DB26E4" w:rsidRPr="00DB26E4">
        <w:rPr>
          <w:rFonts w:ascii="Times New Roman" w:hAnsi="Times New Roman" w:cs="Times New Roman"/>
          <w:sz w:val="24"/>
          <w:szCs w:val="24"/>
          <w:lang w:val="en-US"/>
        </w:rPr>
        <w:t xml:space="preserve"> indicating a stronger liquidity position, but revealed potential weaknesses in 2022-2023 due to increased current liabilities. The return on equity increased significantly during the study period, attributed to effective equity measures and inventory management. The return on assets also improved, driven by increased revenue. However, in cross-company comparisons, the return on capital employed decreased from 2019 to 2023. The total asset turnover ratio improved from 2019 to 2022 but declined in 2023 due to excess loan variations. The fixed asset turnover ratio showed improvement, reflecting better revenue generation against asset balances. Overall, while the company demonstrated strong performance in several areas, recent trends indicate areas that require attention to maintain financial health.</w:t>
      </w:r>
    </w:p>
    <w:p w14:paraId="7812BFA0" w14:textId="77777777" w:rsidR="002B5C1C" w:rsidRPr="00DB26E4" w:rsidRDefault="002B5C1C" w:rsidP="002B5C1C">
      <w:pPr>
        <w:spacing w:after="0" w:line="360" w:lineRule="auto"/>
        <w:ind w:firstLine="720"/>
        <w:jc w:val="both"/>
        <w:rPr>
          <w:rFonts w:ascii="Times New Roman" w:hAnsi="Times New Roman" w:cs="Times New Roman"/>
          <w:sz w:val="24"/>
          <w:szCs w:val="24"/>
        </w:rPr>
      </w:pPr>
    </w:p>
    <w:p w14:paraId="024E505E" w14:textId="77777777" w:rsidR="00941EF4" w:rsidRPr="00DB26E4" w:rsidRDefault="00941EF4" w:rsidP="002B5C1C">
      <w:pPr>
        <w:spacing w:after="0" w:line="360" w:lineRule="auto"/>
        <w:ind w:right="-45"/>
        <w:rPr>
          <w:rFonts w:ascii="Times New Roman" w:hAnsi="Times New Roman" w:cs="Times New Roman"/>
          <w:b/>
          <w:bCs/>
          <w:sz w:val="24"/>
          <w:szCs w:val="24"/>
        </w:rPr>
      </w:pPr>
      <w:r w:rsidRPr="00DB26E4">
        <w:rPr>
          <w:rFonts w:ascii="Times New Roman" w:hAnsi="Times New Roman" w:cs="Times New Roman"/>
          <w:b/>
          <w:bCs/>
          <w:sz w:val="24"/>
          <w:szCs w:val="24"/>
        </w:rPr>
        <w:t>Keywords:</w:t>
      </w:r>
      <w:r w:rsidR="00DB26E4">
        <w:rPr>
          <w:rFonts w:ascii="Times New Roman" w:hAnsi="Times New Roman" w:cs="Times New Roman"/>
          <w:b/>
          <w:bCs/>
          <w:sz w:val="24"/>
          <w:szCs w:val="24"/>
        </w:rPr>
        <w:t xml:space="preserve"> </w:t>
      </w:r>
      <w:r w:rsidRPr="00DB26E4">
        <w:rPr>
          <w:rFonts w:ascii="Times New Roman" w:hAnsi="Times New Roman" w:cs="Times New Roman"/>
          <w:sz w:val="24"/>
          <w:szCs w:val="24"/>
        </w:rPr>
        <w:t>Liquidity ratio</w:t>
      </w:r>
      <w:r w:rsidR="0045177E" w:rsidRPr="00DB26E4">
        <w:rPr>
          <w:rFonts w:ascii="Times New Roman" w:hAnsi="Times New Roman" w:cs="Times New Roman"/>
          <w:sz w:val="24"/>
          <w:szCs w:val="24"/>
        </w:rPr>
        <w:t xml:space="preserve">, </w:t>
      </w:r>
      <w:r w:rsidRPr="00DB26E4">
        <w:rPr>
          <w:rFonts w:ascii="Times New Roman" w:hAnsi="Times New Roman" w:cs="Times New Roman"/>
          <w:sz w:val="24"/>
          <w:szCs w:val="24"/>
        </w:rPr>
        <w:t>Profitability</w:t>
      </w:r>
      <w:r w:rsidR="00DB26E4">
        <w:rPr>
          <w:rFonts w:ascii="Times New Roman" w:hAnsi="Times New Roman" w:cs="Times New Roman"/>
          <w:sz w:val="24"/>
          <w:szCs w:val="24"/>
        </w:rPr>
        <w:t xml:space="preserve"> </w:t>
      </w:r>
      <w:r w:rsidRPr="00DB26E4">
        <w:rPr>
          <w:rFonts w:ascii="Times New Roman" w:hAnsi="Times New Roman" w:cs="Times New Roman"/>
          <w:sz w:val="24"/>
          <w:szCs w:val="24"/>
        </w:rPr>
        <w:t>ratio</w:t>
      </w:r>
      <w:r w:rsidR="0045177E" w:rsidRPr="00DB26E4">
        <w:rPr>
          <w:rFonts w:ascii="Times New Roman" w:hAnsi="Times New Roman" w:cs="Times New Roman"/>
          <w:sz w:val="24"/>
          <w:szCs w:val="24"/>
        </w:rPr>
        <w:t>, financial</w:t>
      </w:r>
      <w:r w:rsidRPr="00DB26E4">
        <w:rPr>
          <w:rFonts w:ascii="Times New Roman" w:hAnsi="Times New Roman" w:cs="Times New Roman"/>
          <w:sz w:val="24"/>
          <w:szCs w:val="24"/>
        </w:rPr>
        <w:t xml:space="preserve"> ratio</w:t>
      </w:r>
      <w:r w:rsidR="0045177E" w:rsidRPr="00DB26E4">
        <w:rPr>
          <w:rFonts w:ascii="Times New Roman" w:hAnsi="Times New Roman" w:cs="Times New Roman"/>
          <w:sz w:val="24"/>
          <w:szCs w:val="24"/>
        </w:rPr>
        <w:t xml:space="preserve">, </w:t>
      </w:r>
      <w:r w:rsidRPr="00DB26E4">
        <w:rPr>
          <w:rFonts w:ascii="Times New Roman" w:hAnsi="Times New Roman" w:cs="Times New Roman"/>
          <w:sz w:val="24"/>
          <w:szCs w:val="24"/>
        </w:rPr>
        <w:t>Operational</w:t>
      </w:r>
      <w:r w:rsidR="00DB26E4">
        <w:rPr>
          <w:rFonts w:ascii="Times New Roman" w:hAnsi="Times New Roman" w:cs="Times New Roman"/>
          <w:sz w:val="24"/>
          <w:szCs w:val="24"/>
        </w:rPr>
        <w:t xml:space="preserve"> </w:t>
      </w:r>
      <w:r w:rsidRPr="00DB26E4">
        <w:rPr>
          <w:rFonts w:ascii="Times New Roman" w:hAnsi="Times New Roman" w:cs="Times New Roman"/>
          <w:sz w:val="24"/>
          <w:szCs w:val="24"/>
        </w:rPr>
        <w:t>ratio</w:t>
      </w:r>
      <w:r w:rsidR="0045177E" w:rsidRPr="00DB26E4">
        <w:rPr>
          <w:rFonts w:ascii="Times New Roman" w:hAnsi="Times New Roman" w:cs="Times New Roman"/>
          <w:sz w:val="24"/>
          <w:szCs w:val="24"/>
        </w:rPr>
        <w:t xml:space="preserve">, </w:t>
      </w:r>
      <w:r w:rsidR="00406D49">
        <w:rPr>
          <w:rFonts w:ascii="Times New Roman" w:hAnsi="Times New Roman" w:cs="Times New Roman"/>
          <w:sz w:val="24"/>
          <w:szCs w:val="24"/>
        </w:rPr>
        <w:t>A</w:t>
      </w:r>
      <w:r w:rsidRPr="00DB26E4">
        <w:rPr>
          <w:rFonts w:ascii="Times New Roman" w:hAnsi="Times New Roman" w:cs="Times New Roman"/>
          <w:sz w:val="24"/>
          <w:szCs w:val="24"/>
        </w:rPr>
        <w:t>ccounting information</w:t>
      </w:r>
      <w:r w:rsidR="00406D49">
        <w:rPr>
          <w:rFonts w:ascii="Times New Roman" w:hAnsi="Times New Roman" w:cs="Times New Roman"/>
          <w:sz w:val="24"/>
          <w:szCs w:val="24"/>
        </w:rPr>
        <w:t>.</w:t>
      </w:r>
    </w:p>
    <w:p w14:paraId="116DE7B7" w14:textId="77777777" w:rsidR="00941EF4" w:rsidRPr="00DB26E4" w:rsidRDefault="00941EF4" w:rsidP="002B5C1C">
      <w:pPr>
        <w:spacing w:after="0" w:line="360" w:lineRule="auto"/>
        <w:rPr>
          <w:rFonts w:ascii="Times New Roman" w:hAnsi="Times New Roman" w:cs="Times New Roman"/>
          <w:sz w:val="24"/>
          <w:szCs w:val="24"/>
        </w:rPr>
      </w:pPr>
    </w:p>
    <w:p w14:paraId="405F087C" w14:textId="77777777" w:rsidR="00DB26E4" w:rsidRDefault="00DB26E4" w:rsidP="002B5C1C">
      <w:pPr>
        <w:pStyle w:val="Heading3"/>
        <w:spacing w:before="0" w:line="360" w:lineRule="auto"/>
        <w:ind w:left="0" w:firstLine="0"/>
        <w:rPr>
          <w:rFonts w:ascii="Times New Roman" w:hAnsi="Times New Roman" w:cs="Times New Roman"/>
          <w:b/>
          <w:bCs/>
          <w:color w:val="auto"/>
        </w:rPr>
      </w:pPr>
      <w:r>
        <w:rPr>
          <w:rFonts w:ascii="Times New Roman" w:hAnsi="Times New Roman" w:cs="Times New Roman"/>
          <w:b/>
          <w:bCs/>
          <w:color w:val="auto"/>
        </w:rPr>
        <w:br/>
      </w:r>
    </w:p>
    <w:p w14:paraId="18D565F3" w14:textId="2DAD78BB" w:rsidR="00DB26E4" w:rsidRDefault="00DB26E4" w:rsidP="002B5C1C">
      <w:pPr>
        <w:spacing w:after="0" w:line="360" w:lineRule="auto"/>
        <w:rPr>
          <w:rFonts w:eastAsiaTheme="majorEastAsia"/>
          <w:sz w:val="24"/>
          <w:szCs w:val="24"/>
          <w:lang w:eastAsia="en-IN"/>
        </w:rPr>
      </w:pPr>
      <w:r>
        <w:br w:type="page"/>
      </w:r>
    </w:p>
    <w:p w14:paraId="4DB4DA24" w14:textId="77777777" w:rsidR="00941EF4" w:rsidRPr="00DB26E4" w:rsidRDefault="00941EF4" w:rsidP="002B5C1C">
      <w:pPr>
        <w:pStyle w:val="Heading3"/>
        <w:spacing w:before="0" w:line="360" w:lineRule="auto"/>
        <w:ind w:left="0" w:firstLine="0"/>
        <w:rPr>
          <w:rFonts w:ascii="Times New Roman" w:hAnsi="Times New Roman" w:cs="Times New Roman"/>
          <w:b/>
          <w:bCs/>
          <w:color w:val="auto"/>
        </w:rPr>
      </w:pPr>
      <w:r w:rsidRPr="00DB26E4">
        <w:rPr>
          <w:rFonts w:ascii="Times New Roman" w:hAnsi="Times New Roman" w:cs="Times New Roman"/>
          <w:b/>
          <w:bCs/>
          <w:color w:val="auto"/>
        </w:rPr>
        <w:lastRenderedPageBreak/>
        <w:t>Introduction:</w:t>
      </w:r>
    </w:p>
    <w:p w14:paraId="2E218021" w14:textId="77777777" w:rsidR="00941EF4" w:rsidRPr="00DB26E4" w:rsidRDefault="00941EF4" w:rsidP="002B5C1C">
      <w:pPr>
        <w:pStyle w:val="NormalWeb"/>
        <w:spacing w:before="0" w:after="0" w:line="360" w:lineRule="auto"/>
        <w:ind w:firstLine="1440"/>
        <w:jc w:val="both"/>
        <w:rPr>
          <w:szCs w:val="24"/>
        </w:rPr>
      </w:pPr>
      <w:r w:rsidRPr="00DB26E4">
        <w:rPr>
          <w:b/>
          <w:szCs w:val="24"/>
        </w:rPr>
        <w:t xml:space="preserve">Financial Management </w:t>
      </w:r>
      <w:r w:rsidRPr="00DB26E4">
        <w:rPr>
          <w:szCs w:val="24"/>
        </w:rPr>
        <w:t>is the specific area of finance dealing with the financial decision corporations make and the tools and analysis used to make the decisions and techniques. Both share the same goal of enhancing firm value by ensuring that return on capital exceeds cost of capital without taking excessive financial risks.</w:t>
      </w:r>
    </w:p>
    <w:p w14:paraId="563D3ECA" w14:textId="77777777" w:rsidR="00941EF4" w:rsidRPr="00DB26E4" w:rsidRDefault="00941EF4" w:rsidP="002B5C1C">
      <w:pPr>
        <w:pStyle w:val="NormalWeb"/>
        <w:spacing w:before="0" w:after="0" w:line="360" w:lineRule="auto"/>
        <w:ind w:firstLine="1440"/>
        <w:jc w:val="both"/>
        <w:rPr>
          <w:szCs w:val="24"/>
        </w:rPr>
      </w:pPr>
      <w:r w:rsidRPr="00DB26E4">
        <w:rPr>
          <w:b/>
          <w:iCs/>
          <w:szCs w:val="24"/>
        </w:rPr>
        <w:t>Capital investment decisions</w:t>
      </w:r>
      <w:r w:rsidRPr="00DB26E4">
        <w:rPr>
          <w:szCs w:val="24"/>
        </w:rPr>
        <w:t xml:space="preserve"> comprise the long-term choices about which projects receive investment, whether to finance that investment with equity or debt and when or whether to pay dividends to shareholders. Short-term corporate finance decisions are called </w:t>
      </w:r>
      <w:r w:rsidRPr="00DB26E4">
        <w:rPr>
          <w:iCs/>
          <w:szCs w:val="24"/>
        </w:rPr>
        <w:t>working capital management</w:t>
      </w:r>
      <w:r w:rsidRPr="00DB26E4">
        <w:rPr>
          <w:szCs w:val="24"/>
        </w:rPr>
        <w:t xml:space="preserve"> and deal with balance of current assets and current liabilities by managing cash, inventories, and short-term borrowings and lending.</w:t>
      </w:r>
    </w:p>
    <w:p w14:paraId="069EAC32" w14:textId="77777777" w:rsidR="00941EF4" w:rsidRPr="00DB26E4" w:rsidRDefault="00941EF4" w:rsidP="002B5C1C">
      <w:pPr>
        <w:pStyle w:val="NormalWeb"/>
        <w:spacing w:before="0" w:after="0" w:line="360" w:lineRule="auto"/>
        <w:ind w:firstLine="1440"/>
        <w:jc w:val="both"/>
        <w:rPr>
          <w:szCs w:val="24"/>
        </w:rPr>
      </w:pPr>
      <w:r w:rsidRPr="00DB26E4">
        <w:rPr>
          <w:szCs w:val="24"/>
        </w:rPr>
        <w:t>Corporate finance is closely related to managerial finance, which is slightly broader in scope, describing the financial techniques available to all forms of business enterprise, corporate or not.</w:t>
      </w:r>
    </w:p>
    <w:p w14:paraId="1040A15B" w14:textId="77777777" w:rsidR="00941EF4" w:rsidRPr="00DB26E4" w:rsidRDefault="00941EF4"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 xml:space="preserve">Review </w:t>
      </w:r>
      <w:r w:rsidR="00DB26E4">
        <w:rPr>
          <w:rFonts w:ascii="Times New Roman" w:hAnsi="Times New Roman" w:cs="Times New Roman"/>
          <w:b/>
          <w:bCs/>
          <w:sz w:val="24"/>
          <w:szCs w:val="24"/>
        </w:rPr>
        <w:t>o</w:t>
      </w:r>
      <w:r w:rsidRPr="00DB26E4">
        <w:rPr>
          <w:rFonts w:ascii="Times New Roman" w:hAnsi="Times New Roman" w:cs="Times New Roman"/>
          <w:b/>
          <w:bCs/>
          <w:sz w:val="24"/>
          <w:szCs w:val="24"/>
        </w:rPr>
        <w:t>f the Literature:</w:t>
      </w:r>
    </w:p>
    <w:p w14:paraId="1A7AD376" w14:textId="77777777" w:rsidR="00DB26E4" w:rsidRPr="00167225" w:rsidRDefault="00DB26E4" w:rsidP="002B5C1C">
      <w:pPr>
        <w:spacing w:after="0" w:line="360" w:lineRule="auto"/>
        <w:ind w:right="471"/>
        <w:jc w:val="both"/>
        <w:rPr>
          <w:rFonts w:ascii="Times New Roman" w:hAnsi="Times New Roman" w:cs="Times New Roman"/>
          <w:kern w:val="0"/>
          <w:sz w:val="24"/>
          <w:szCs w:val="24"/>
          <w:lang w:val="en-US"/>
        </w:rPr>
      </w:pPr>
      <w:r w:rsidRPr="00406D49">
        <w:rPr>
          <w:rFonts w:ascii="Times New Roman" w:hAnsi="Times New Roman" w:cs="Times New Roman"/>
          <w:b/>
          <w:bCs/>
          <w:kern w:val="0"/>
          <w:sz w:val="24"/>
          <w:szCs w:val="24"/>
          <w:lang w:val="en-US"/>
        </w:rPr>
        <w:t>Fraser and Ormiston (20</w:t>
      </w:r>
      <w:r w:rsidR="00167225">
        <w:rPr>
          <w:rFonts w:ascii="Times New Roman" w:hAnsi="Times New Roman" w:cs="Times New Roman"/>
          <w:b/>
          <w:bCs/>
          <w:kern w:val="0"/>
          <w:sz w:val="24"/>
          <w:szCs w:val="24"/>
          <w:lang w:val="en-US"/>
        </w:rPr>
        <w:t>22</w:t>
      </w:r>
      <w:r w:rsidRPr="00406D49">
        <w:rPr>
          <w:rFonts w:ascii="Times New Roman" w:hAnsi="Times New Roman" w:cs="Times New Roman"/>
          <w:b/>
          <w:bCs/>
          <w:kern w:val="0"/>
          <w:sz w:val="24"/>
          <w:szCs w:val="24"/>
          <w:lang w:val="en-US"/>
        </w:rPr>
        <w:t>)</w:t>
      </w:r>
      <w:r w:rsidRPr="00406D49">
        <w:rPr>
          <w:rFonts w:ascii="Times New Roman" w:hAnsi="Times New Roman" w:cs="Times New Roman"/>
          <w:kern w:val="0"/>
          <w:sz w:val="24"/>
          <w:szCs w:val="24"/>
          <w:lang w:val="en-US"/>
        </w:rPr>
        <w:t xml:space="preserve"> highlight that financial ratios provide a standardized method for comparing companies of different sizes and industries, making it easier for investors to make informed decisions.</w:t>
      </w:r>
      <w:r w:rsidR="00406D49">
        <w:rPr>
          <w:rFonts w:ascii="Times New Roman" w:hAnsi="Times New Roman" w:cs="Times New Roman"/>
          <w:kern w:val="0"/>
          <w:sz w:val="24"/>
          <w:szCs w:val="24"/>
          <w:lang w:val="en-US"/>
        </w:rPr>
        <w:t xml:space="preserve"> </w:t>
      </w:r>
      <w:r w:rsidRPr="00406D49">
        <w:rPr>
          <w:rFonts w:ascii="Times New Roman" w:hAnsi="Times New Roman" w:cs="Times New Roman"/>
          <w:b/>
          <w:bCs/>
          <w:kern w:val="0"/>
          <w:sz w:val="24"/>
          <w:szCs w:val="24"/>
          <w:lang w:val="en-US"/>
        </w:rPr>
        <w:t>Brigham and Ehrhardt (2013)</w:t>
      </w:r>
      <w:r w:rsidRPr="00406D49">
        <w:rPr>
          <w:rFonts w:ascii="Times New Roman" w:hAnsi="Times New Roman" w:cs="Times New Roman"/>
          <w:kern w:val="0"/>
          <w:sz w:val="24"/>
          <w:szCs w:val="24"/>
          <w:lang w:val="en-US"/>
        </w:rPr>
        <w:t xml:space="preserve"> argue that ratio analysis aids in managerial decision-making by identifying strengths and weaknesses in a company's operations. Managers can use these insights to improve performance and strategic planning.</w:t>
      </w:r>
      <w:r w:rsidR="002B5C1C">
        <w:rPr>
          <w:rFonts w:ascii="Times New Roman" w:hAnsi="Times New Roman" w:cs="Times New Roman"/>
          <w:kern w:val="0"/>
          <w:sz w:val="24"/>
          <w:szCs w:val="24"/>
          <w:lang w:val="en-US"/>
        </w:rPr>
        <w:t xml:space="preserve"> </w:t>
      </w:r>
      <w:r w:rsidRPr="00406D49">
        <w:rPr>
          <w:rFonts w:ascii="Times New Roman" w:hAnsi="Times New Roman" w:cs="Times New Roman"/>
          <w:b/>
          <w:bCs/>
          <w:kern w:val="0"/>
          <w:sz w:val="24"/>
          <w:szCs w:val="24"/>
          <w:lang w:val="en-US"/>
        </w:rPr>
        <w:t>Ketz, et al. (1990)</w:t>
      </w:r>
      <w:r w:rsidRPr="00406D49">
        <w:rPr>
          <w:rFonts w:ascii="Times New Roman" w:hAnsi="Times New Roman" w:cs="Times New Roman"/>
          <w:kern w:val="0"/>
          <w:sz w:val="24"/>
          <w:szCs w:val="24"/>
          <w:lang w:val="en-US"/>
        </w:rPr>
        <w:t xml:space="preserve"> show that the quick ratio is a reliable indicator of a company's short-term financial stability.</w:t>
      </w:r>
      <w:r w:rsidR="002B5C1C">
        <w:rPr>
          <w:rFonts w:ascii="Times New Roman" w:hAnsi="Times New Roman" w:cs="Times New Roman"/>
          <w:kern w:val="0"/>
          <w:sz w:val="24"/>
          <w:szCs w:val="24"/>
          <w:lang w:val="en-US"/>
        </w:rPr>
        <w:t xml:space="preserve"> </w:t>
      </w:r>
      <w:r w:rsidR="00406D49" w:rsidRPr="00406D49">
        <w:rPr>
          <w:rFonts w:ascii="Times New Roman" w:hAnsi="Times New Roman" w:cs="Times New Roman"/>
          <w:b/>
          <w:bCs/>
          <w:kern w:val="0"/>
          <w:sz w:val="24"/>
          <w:szCs w:val="24"/>
          <w:lang w:val="en-US"/>
        </w:rPr>
        <w:t>Weston and Brigham (1981)</w:t>
      </w:r>
      <w:r w:rsidR="00406D49" w:rsidRPr="00406D49">
        <w:rPr>
          <w:rFonts w:ascii="Times New Roman" w:hAnsi="Times New Roman" w:cs="Times New Roman"/>
          <w:kern w:val="0"/>
          <w:sz w:val="24"/>
          <w:szCs w:val="24"/>
          <w:lang w:val="en-US"/>
        </w:rPr>
        <w:t xml:space="preserve"> emphasize that ratio analysis is essential for assessing a company's financial performance over time and against industry benchmarks. It helps stakeholders understand the company's financial health and operational efficiency.</w:t>
      </w:r>
      <w:r w:rsidR="00406D49" w:rsidRPr="00406D49">
        <w:rPr>
          <w:rFonts w:ascii="Times New Roman" w:hAnsi="Times New Roman" w:cs="Times New Roman"/>
          <w:b/>
          <w:bCs/>
          <w:kern w:val="0"/>
          <w:sz w:val="24"/>
          <w:szCs w:val="24"/>
          <w:lang w:val="en-US"/>
        </w:rPr>
        <w:t xml:space="preserve"> </w:t>
      </w:r>
    </w:p>
    <w:p w14:paraId="750F2091" w14:textId="77777777" w:rsidR="00941EF4" w:rsidRPr="00DB26E4" w:rsidRDefault="00941EF4" w:rsidP="002B5C1C">
      <w:pPr>
        <w:spacing w:after="0" w:line="360" w:lineRule="auto"/>
        <w:jc w:val="both"/>
        <w:rPr>
          <w:rFonts w:ascii="Times New Roman" w:hAnsi="Times New Roman" w:cs="Times New Roman"/>
          <w:sz w:val="24"/>
          <w:szCs w:val="24"/>
        </w:rPr>
      </w:pPr>
      <w:r w:rsidRPr="00DB26E4">
        <w:rPr>
          <w:rFonts w:ascii="Times New Roman" w:hAnsi="Times New Roman" w:cs="Times New Roman"/>
          <w:b/>
          <w:bCs/>
          <w:sz w:val="24"/>
          <w:szCs w:val="24"/>
        </w:rPr>
        <w:t>Need for the Study</w:t>
      </w:r>
      <w:r w:rsidR="002944E2" w:rsidRPr="00DB26E4">
        <w:rPr>
          <w:rFonts w:ascii="Times New Roman" w:hAnsi="Times New Roman" w:cs="Times New Roman"/>
          <w:b/>
          <w:bCs/>
          <w:sz w:val="24"/>
          <w:szCs w:val="24"/>
        </w:rPr>
        <w:t>:</w:t>
      </w:r>
    </w:p>
    <w:p w14:paraId="60615E8C" w14:textId="77777777" w:rsidR="00941EF4" w:rsidRPr="00DB26E4" w:rsidRDefault="00941EF4" w:rsidP="002B5C1C">
      <w:pPr>
        <w:spacing w:after="0" w:line="360" w:lineRule="auto"/>
        <w:jc w:val="both"/>
        <w:rPr>
          <w:rFonts w:ascii="Times New Roman" w:hAnsi="Times New Roman" w:cs="Times New Roman"/>
          <w:sz w:val="24"/>
          <w:szCs w:val="24"/>
        </w:rPr>
      </w:pPr>
      <w:r w:rsidRPr="00DB26E4">
        <w:rPr>
          <w:rFonts w:ascii="Times New Roman" w:hAnsi="Times New Roman" w:cs="Times New Roman"/>
          <w:sz w:val="24"/>
          <w:szCs w:val="24"/>
        </w:rPr>
        <w:lastRenderedPageBreak/>
        <w:t xml:space="preserve">              The study has great significance and provides benefits to various parties whom directly or indirectly interact with the company. It is beneficial to management of the company by providing crystal clear picture regarding important aspects like liquidity, leverage, activity and profitability.</w:t>
      </w:r>
    </w:p>
    <w:p w14:paraId="12751514" w14:textId="77777777" w:rsidR="00941EF4" w:rsidRPr="00DB26E4" w:rsidRDefault="00941EF4" w:rsidP="002B5C1C">
      <w:pPr>
        <w:spacing w:after="0" w:line="360" w:lineRule="auto"/>
        <w:jc w:val="both"/>
        <w:rPr>
          <w:rFonts w:ascii="Times New Roman" w:hAnsi="Times New Roman" w:cs="Times New Roman"/>
          <w:sz w:val="24"/>
          <w:szCs w:val="24"/>
          <w:lang w:val="en-US"/>
        </w:rPr>
      </w:pPr>
      <w:r w:rsidRPr="00DB26E4">
        <w:rPr>
          <w:rFonts w:ascii="Times New Roman" w:hAnsi="Times New Roman" w:cs="Times New Roman"/>
          <w:sz w:val="24"/>
          <w:szCs w:val="24"/>
        </w:rPr>
        <w:t>The study is also beneficial to employees and offers motivation by showing how actively they are contributing for company’s growth. The investors who are interested in investing in the company’s shares will also get benefited by going through the study and can easily take a decision whether to invest or not to invest in the company’s shares.</w:t>
      </w:r>
      <w:r w:rsidRPr="00DB26E4">
        <w:rPr>
          <w:rFonts w:ascii="Times New Roman" w:hAnsi="Times New Roman" w:cs="Times New Roman"/>
          <w:sz w:val="24"/>
          <w:szCs w:val="24"/>
          <w:lang w:val="en-US"/>
        </w:rPr>
        <w:t>Investigate liquidity ratios of Home First Finance Company India Pvt Ltd to ensure the availability of sufficient short-term assets to meet obligations in Rajahmundry.</w:t>
      </w:r>
    </w:p>
    <w:p w14:paraId="30B6492E" w14:textId="77777777" w:rsidR="00941EF4" w:rsidRPr="00DB26E4" w:rsidRDefault="00941EF4" w:rsidP="002B5C1C">
      <w:pPr>
        <w:pStyle w:val="Heading3"/>
        <w:spacing w:before="0" w:line="360" w:lineRule="auto"/>
        <w:rPr>
          <w:rFonts w:ascii="Times New Roman" w:hAnsi="Times New Roman" w:cs="Times New Roman"/>
          <w:b/>
          <w:bCs/>
          <w:color w:val="auto"/>
        </w:rPr>
      </w:pPr>
      <w:r w:rsidRPr="00DB26E4">
        <w:rPr>
          <w:rFonts w:ascii="Times New Roman" w:hAnsi="Times New Roman" w:cs="Times New Roman"/>
          <w:b/>
          <w:bCs/>
          <w:color w:val="auto"/>
        </w:rPr>
        <w:t>Objectives</w:t>
      </w:r>
      <w:r w:rsidR="002944E2" w:rsidRPr="00DB26E4">
        <w:rPr>
          <w:rFonts w:ascii="Times New Roman" w:hAnsi="Times New Roman" w:cs="Times New Roman"/>
          <w:b/>
          <w:bCs/>
          <w:color w:val="auto"/>
        </w:rPr>
        <w:t>:</w:t>
      </w:r>
    </w:p>
    <w:p w14:paraId="5C2223EE" w14:textId="77777777" w:rsidR="00941EF4" w:rsidRPr="00DB26E4" w:rsidRDefault="00941EF4" w:rsidP="002B5C1C">
      <w:pPr>
        <w:numPr>
          <w:ilvl w:val="0"/>
          <w:numId w:val="2"/>
        </w:numPr>
        <w:spacing w:after="0" w:line="360" w:lineRule="auto"/>
        <w:jc w:val="both"/>
        <w:rPr>
          <w:rFonts w:ascii="Times New Roman" w:hAnsi="Times New Roman" w:cs="Times New Roman"/>
          <w:bCs/>
          <w:sz w:val="24"/>
          <w:szCs w:val="24"/>
          <w:lang w:val="en-US"/>
        </w:rPr>
      </w:pPr>
      <w:r w:rsidRPr="00DB26E4">
        <w:rPr>
          <w:rFonts w:ascii="Times New Roman" w:hAnsi="Times New Roman" w:cs="Times New Roman"/>
          <w:sz w:val="24"/>
          <w:szCs w:val="24"/>
          <w:lang w:val="en-US"/>
        </w:rPr>
        <w:t>To examine solvency ratios to determine its long-term financial stability and capacity to fulfill debt obligations at Home First Finance Company India Pvt Ltd.</w:t>
      </w:r>
    </w:p>
    <w:p w14:paraId="24C94079" w14:textId="77777777" w:rsidR="00941EF4" w:rsidRPr="00DB26E4" w:rsidRDefault="00941EF4" w:rsidP="002B5C1C">
      <w:pPr>
        <w:numPr>
          <w:ilvl w:val="0"/>
          <w:numId w:val="2"/>
        </w:numPr>
        <w:spacing w:after="0" w:line="360" w:lineRule="auto"/>
        <w:jc w:val="both"/>
        <w:rPr>
          <w:rFonts w:ascii="Times New Roman" w:hAnsi="Times New Roman" w:cs="Times New Roman"/>
          <w:sz w:val="24"/>
          <w:szCs w:val="24"/>
        </w:rPr>
      </w:pPr>
      <w:r w:rsidRPr="00DB26E4">
        <w:rPr>
          <w:rFonts w:ascii="Times New Roman" w:hAnsi="Times New Roman" w:cs="Times New Roman"/>
          <w:bCs/>
          <w:sz w:val="24"/>
          <w:szCs w:val="24"/>
          <w:lang w:val="en-US"/>
        </w:rPr>
        <w:t>To i</w:t>
      </w:r>
      <w:r w:rsidRPr="00DB26E4">
        <w:rPr>
          <w:rFonts w:ascii="Times New Roman" w:eastAsiaTheme="majorEastAsia" w:hAnsi="Times New Roman" w:cs="Times New Roman"/>
          <w:bCs/>
          <w:sz w:val="24"/>
          <w:szCs w:val="24"/>
          <w:lang w:val="en-US"/>
        </w:rPr>
        <w:t>nvestigate liquidity ratios to ensure the availability of sufficient short-term assets to meet obligations.</w:t>
      </w:r>
    </w:p>
    <w:p w14:paraId="57BB21B8" w14:textId="77777777" w:rsidR="00941EF4" w:rsidRPr="00DB26E4" w:rsidRDefault="00941EF4" w:rsidP="002B5C1C">
      <w:pPr>
        <w:numPr>
          <w:ilvl w:val="0"/>
          <w:numId w:val="2"/>
        </w:numPr>
        <w:spacing w:after="0" w:line="360" w:lineRule="auto"/>
        <w:jc w:val="both"/>
        <w:rPr>
          <w:rFonts w:ascii="Times New Roman" w:hAnsi="Times New Roman" w:cs="Times New Roman"/>
          <w:sz w:val="24"/>
          <w:szCs w:val="24"/>
        </w:rPr>
      </w:pPr>
      <w:r w:rsidRPr="00DB26E4">
        <w:rPr>
          <w:rFonts w:ascii="Times New Roman" w:hAnsi="Times New Roman" w:cs="Times New Roman"/>
          <w:bCs/>
          <w:sz w:val="24"/>
          <w:szCs w:val="24"/>
          <w:lang w:val="en-US"/>
        </w:rPr>
        <w:t xml:space="preserve">To </w:t>
      </w:r>
      <w:r w:rsidR="002364F8" w:rsidRPr="00DB26E4">
        <w:rPr>
          <w:rFonts w:ascii="Times New Roman" w:hAnsi="Times New Roman" w:cs="Times New Roman"/>
          <w:bCs/>
          <w:sz w:val="24"/>
          <w:szCs w:val="24"/>
          <w:lang w:val="en-US"/>
        </w:rPr>
        <w:t xml:space="preserve">analyze </w:t>
      </w:r>
      <w:r w:rsidR="002364F8" w:rsidRPr="00DB26E4">
        <w:rPr>
          <w:rFonts w:ascii="Times New Roman" w:hAnsi="Times New Roman" w:cs="Times New Roman"/>
          <w:sz w:val="24"/>
          <w:szCs w:val="24"/>
        </w:rPr>
        <w:t>profitability</w:t>
      </w:r>
      <w:r w:rsidRPr="00DB26E4">
        <w:rPr>
          <w:rFonts w:ascii="Times New Roman" w:hAnsi="Times New Roman" w:cs="Times New Roman"/>
          <w:sz w:val="24"/>
          <w:szCs w:val="24"/>
        </w:rPr>
        <w:t xml:space="preserve"> ratios to assess the efficiency of operations and determine the potential for sustainable earnings growth.</w:t>
      </w:r>
    </w:p>
    <w:p w14:paraId="41097FC9" w14:textId="77777777" w:rsidR="00941EF4" w:rsidRPr="00DB26E4" w:rsidRDefault="00167225" w:rsidP="002B5C1C">
      <w:pPr>
        <w:pStyle w:val="Heading3"/>
        <w:spacing w:before="0" w:line="360" w:lineRule="auto"/>
        <w:rPr>
          <w:rFonts w:ascii="Times New Roman" w:hAnsi="Times New Roman" w:cs="Times New Roman"/>
          <w:b/>
          <w:bCs/>
          <w:color w:val="auto"/>
        </w:rPr>
      </w:pPr>
      <w:r>
        <w:rPr>
          <w:rFonts w:ascii="Times New Roman" w:hAnsi="Times New Roman" w:cs="Times New Roman"/>
          <w:b/>
          <w:bCs/>
          <w:color w:val="auto"/>
        </w:rPr>
        <w:t xml:space="preserve">Research </w:t>
      </w:r>
      <w:r w:rsidR="00941EF4" w:rsidRPr="00DB26E4">
        <w:rPr>
          <w:rFonts w:ascii="Times New Roman" w:hAnsi="Times New Roman" w:cs="Times New Roman"/>
          <w:b/>
          <w:bCs/>
          <w:color w:val="auto"/>
        </w:rPr>
        <w:t>Methodology</w:t>
      </w:r>
      <w:r w:rsidR="002944E2" w:rsidRPr="00DB26E4">
        <w:rPr>
          <w:rFonts w:ascii="Times New Roman" w:hAnsi="Times New Roman" w:cs="Times New Roman"/>
          <w:b/>
          <w:bCs/>
          <w:color w:val="auto"/>
        </w:rPr>
        <w:t>:</w:t>
      </w:r>
    </w:p>
    <w:p w14:paraId="24782A19" w14:textId="77777777" w:rsidR="00941EF4" w:rsidRPr="00DB26E4" w:rsidRDefault="00941EF4" w:rsidP="002B5C1C">
      <w:pPr>
        <w:spacing w:after="0" w:line="360" w:lineRule="auto"/>
        <w:jc w:val="both"/>
        <w:rPr>
          <w:rFonts w:ascii="Times New Roman" w:hAnsi="Times New Roman" w:cs="Times New Roman"/>
          <w:sz w:val="24"/>
          <w:szCs w:val="24"/>
          <w:lang w:val="en-US"/>
        </w:rPr>
      </w:pPr>
      <w:r w:rsidRPr="00DB26E4">
        <w:rPr>
          <w:rFonts w:ascii="Times New Roman" w:hAnsi="Times New Roman" w:cs="Times New Roman"/>
          <w:sz w:val="24"/>
          <w:szCs w:val="24"/>
          <w:lang w:val="en-US"/>
        </w:rPr>
        <w:t xml:space="preserve">       Methodology describes the method of achieving objectives through collection of data. The data collected can be either by primary data sources of data or secondary sources of data. Every study was based on methodology, which is a way to systematically solve the problem or attain its objectives.</w:t>
      </w:r>
    </w:p>
    <w:p w14:paraId="30F3C006" w14:textId="77777777" w:rsidR="00941EF4" w:rsidRPr="00DB26E4" w:rsidRDefault="00941EF4" w:rsidP="002B5C1C">
      <w:pPr>
        <w:spacing w:after="0" w:line="360" w:lineRule="auto"/>
        <w:jc w:val="both"/>
        <w:rPr>
          <w:rFonts w:ascii="Times New Roman" w:hAnsi="Times New Roman" w:cs="Times New Roman"/>
          <w:b/>
          <w:bCs/>
          <w:sz w:val="24"/>
          <w:szCs w:val="24"/>
          <w:lang w:val="en-US"/>
        </w:rPr>
      </w:pPr>
      <w:r w:rsidRPr="00DB26E4">
        <w:rPr>
          <w:rFonts w:ascii="Times New Roman" w:hAnsi="Times New Roman" w:cs="Times New Roman"/>
          <w:b/>
          <w:bCs/>
          <w:sz w:val="24"/>
          <w:szCs w:val="24"/>
          <w:lang w:val="en-US"/>
        </w:rPr>
        <w:t>Data collection:</w:t>
      </w:r>
    </w:p>
    <w:p w14:paraId="121A6FD6" w14:textId="77777777" w:rsidR="00941EF4" w:rsidRPr="00DB26E4" w:rsidRDefault="00941EF4" w:rsidP="002B5C1C">
      <w:pPr>
        <w:spacing w:after="0" w:line="360" w:lineRule="auto"/>
        <w:jc w:val="both"/>
        <w:rPr>
          <w:rFonts w:ascii="Times New Roman" w:hAnsi="Times New Roman" w:cs="Times New Roman"/>
          <w:sz w:val="24"/>
          <w:szCs w:val="24"/>
          <w:lang w:val="en-US"/>
        </w:rPr>
      </w:pPr>
      <w:r w:rsidRPr="00DB26E4">
        <w:rPr>
          <w:rFonts w:ascii="Times New Roman" w:hAnsi="Times New Roman" w:cs="Times New Roman"/>
          <w:sz w:val="24"/>
          <w:szCs w:val="24"/>
          <w:lang w:val="en-US"/>
        </w:rPr>
        <w:t xml:space="preserve">     To determine the appropriate data for research mainly two kinds of data was collected namely primary data and secondary data.</w:t>
      </w:r>
    </w:p>
    <w:p w14:paraId="1B412D6D" w14:textId="77777777" w:rsidR="00941EF4" w:rsidRPr="00DB26E4" w:rsidRDefault="00941EF4" w:rsidP="002B5C1C">
      <w:pPr>
        <w:spacing w:after="0" w:line="360" w:lineRule="auto"/>
        <w:jc w:val="both"/>
        <w:rPr>
          <w:rFonts w:ascii="Times New Roman" w:hAnsi="Times New Roman" w:cs="Times New Roman"/>
          <w:b/>
          <w:bCs/>
          <w:sz w:val="24"/>
          <w:szCs w:val="24"/>
          <w:lang w:val="en-US"/>
        </w:rPr>
      </w:pPr>
      <w:r w:rsidRPr="00DB26E4">
        <w:rPr>
          <w:rFonts w:ascii="Times New Roman" w:hAnsi="Times New Roman" w:cs="Times New Roman"/>
          <w:b/>
          <w:bCs/>
          <w:sz w:val="24"/>
          <w:szCs w:val="24"/>
          <w:lang w:val="en-US"/>
        </w:rPr>
        <w:t>Primary Data:</w:t>
      </w:r>
    </w:p>
    <w:p w14:paraId="2E78696B" w14:textId="77777777" w:rsidR="00941EF4" w:rsidRPr="00DB26E4" w:rsidRDefault="00941EF4" w:rsidP="002B5C1C">
      <w:pPr>
        <w:spacing w:after="0" w:line="360" w:lineRule="auto"/>
        <w:jc w:val="both"/>
        <w:rPr>
          <w:rFonts w:ascii="Times New Roman" w:hAnsi="Times New Roman" w:cs="Times New Roman"/>
          <w:sz w:val="24"/>
          <w:szCs w:val="24"/>
          <w:lang w:val="en-US"/>
        </w:rPr>
      </w:pPr>
      <w:r w:rsidRPr="00DB26E4">
        <w:rPr>
          <w:rFonts w:ascii="Times New Roman" w:hAnsi="Times New Roman" w:cs="Times New Roman"/>
          <w:sz w:val="24"/>
          <w:szCs w:val="24"/>
          <w:lang w:val="en-US"/>
        </w:rPr>
        <w:t xml:space="preserve">      Primary data was not taken into the project.</w:t>
      </w:r>
    </w:p>
    <w:p w14:paraId="5C70F7E6" w14:textId="77777777" w:rsidR="00941EF4" w:rsidRPr="00DB26E4" w:rsidRDefault="00941EF4" w:rsidP="002B5C1C">
      <w:pPr>
        <w:spacing w:after="0" w:line="360" w:lineRule="auto"/>
        <w:jc w:val="both"/>
        <w:rPr>
          <w:rFonts w:ascii="Times New Roman" w:hAnsi="Times New Roman" w:cs="Times New Roman"/>
          <w:b/>
          <w:bCs/>
          <w:sz w:val="24"/>
          <w:szCs w:val="24"/>
          <w:lang w:val="en-US"/>
        </w:rPr>
      </w:pPr>
      <w:r w:rsidRPr="00DB26E4">
        <w:rPr>
          <w:rFonts w:ascii="Times New Roman" w:hAnsi="Times New Roman" w:cs="Times New Roman"/>
          <w:b/>
          <w:bCs/>
          <w:sz w:val="24"/>
          <w:szCs w:val="24"/>
          <w:lang w:val="en-US"/>
        </w:rPr>
        <w:t xml:space="preserve">Secondary Data: </w:t>
      </w:r>
    </w:p>
    <w:p w14:paraId="74E31E13" w14:textId="77777777" w:rsidR="00941EF4" w:rsidRPr="00DB26E4" w:rsidRDefault="00941EF4" w:rsidP="002B5C1C">
      <w:pPr>
        <w:spacing w:after="0" w:line="360" w:lineRule="auto"/>
        <w:jc w:val="both"/>
        <w:rPr>
          <w:rFonts w:ascii="Times New Roman" w:hAnsi="Times New Roman" w:cs="Times New Roman"/>
          <w:sz w:val="24"/>
          <w:szCs w:val="24"/>
          <w:lang w:val="en-US"/>
        </w:rPr>
      </w:pPr>
      <w:r w:rsidRPr="00DB26E4">
        <w:rPr>
          <w:rFonts w:ascii="Times New Roman" w:hAnsi="Times New Roman" w:cs="Times New Roman"/>
          <w:sz w:val="24"/>
          <w:szCs w:val="24"/>
          <w:lang w:val="en-US"/>
        </w:rPr>
        <w:lastRenderedPageBreak/>
        <w:t xml:space="preserve">      The secondary data was extensively collected from various sources which have already exited or preserved i.e., company annual reports, circulars, financial statements, and some other important documents. Secondary data is vital for financial ratio analysis since we will project financial statements based on historical data. Financial statements from numerous websites are the main secondary data sources for this study. </w:t>
      </w:r>
    </w:p>
    <w:p w14:paraId="4805B1D8" w14:textId="77777777" w:rsidR="00A73ACE" w:rsidRPr="00DB26E4" w:rsidRDefault="00A73ACE" w:rsidP="002B5C1C">
      <w:pPr>
        <w:spacing w:after="0" w:line="360" w:lineRule="auto"/>
        <w:jc w:val="both"/>
        <w:rPr>
          <w:rFonts w:ascii="Times New Roman" w:hAnsi="Times New Roman" w:cs="Times New Roman"/>
          <w:sz w:val="24"/>
          <w:szCs w:val="24"/>
          <w:lang w:eastAsia="en-IN"/>
        </w:rPr>
      </w:pPr>
      <w:r w:rsidRPr="00DB26E4">
        <w:rPr>
          <w:rFonts w:ascii="Times New Roman" w:hAnsi="Times New Roman" w:cs="Times New Roman"/>
          <w:b/>
          <w:bCs/>
          <w:sz w:val="24"/>
          <w:szCs w:val="24"/>
        </w:rPr>
        <w:t xml:space="preserve">Data </w:t>
      </w:r>
      <w:r w:rsidR="00713292" w:rsidRPr="00DB26E4">
        <w:rPr>
          <w:rFonts w:ascii="Times New Roman" w:hAnsi="Times New Roman" w:cs="Times New Roman"/>
          <w:b/>
          <w:bCs/>
          <w:sz w:val="24"/>
          <w:szCs w:val="24"/>
        </w:rPr>
        <w:t>A</w:t>
      </w:r>
      <w:r w:rsidRPr="00DB26E4">
        <w:rPr>
          <w:rFonts w:ascii="Times New Roman" w:hAnsi="Times New Roman" w:cs="Times New Roman"/>
          <w:b/>
          <w:bCs/>
          <w:sz w:val="24"/>
          <w:szCs w:val="24"/>
        </w:rPr>
        <w:t>nalysis:</w:t>
      </w:r>
    </w:p>
    <w:p w14:paraId="1D847786" w14:textId="77777777" w:rsidR="00A73ACE" w:rsidRPr="00DB26E4" w:rsidRDefault="00A73ACE" w:rsidP="002B5C1C">
      <w:pPr>
        <w:spacing w:after="0" w:line="360" w:lineRule="auto"/>
        <w:rPr>
          <w:rFonts w:ascii="Times New Roman" w:hAnsi="Times New Roman" w:cs="Times New Roman"/>
          <w:sz w:val="24"/>
          <w:szCs w:val="24"/>
        </w:rPr>
      </w:pPr>
      <w:r w:rsidRPr="00DB26E4">
        <w:rPr>
          <w:rFonts w:ascii="Times New Roman" w:hAnsi="Times New Roman" w:cs="Times New Roman"/>
          <w:b/>
          <w:bCs/>
          <w:sz w:val="24"/>
          <w:szCs w:val="24"/>
        </w:rPr>
        <w:t>A. Liquidity ratio</w:t>
      </w:r>
    </w:p>
    <w:p w14:paraId="7DEA112A"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1. Current ratio</w:t>
      </w:r>
    </w:p>
    <w:p w14:paraId="17A16F06"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sz w:val="24"/>
          <w:szCs w:val="24"/>
        </w:rPr>
        <w:t>Current ratio= Current assets/Current liabilities</w:t>
      </w:r>
    </w:p>
    <w:p w14:paraId="272CE8E9"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TABLE 5.1</w:t>
      </w:r>
    </w:p>
    <w:tbl>
      <w:tblPr>
        <w:tblStyle w:val="TableGrid"/>
        <w:tblW w:w="6292" w:type="dxa"/>
        <w:tblInd w:w="1255" w:type="dxa"/>
        <w:tblLook w:val="04A0" w:firstRow="1" w:lastRow="0" w:firstColumn="1" w:lastColumn="0" w:noHBand="0" w:noVBand="1"/>
      </w:tblPr>
      <w:tblGrid>
        <w:gridCol w:w="1440"/>
        <w:gridCol w:w="1949"/>
        <w:gridCol w:w="2127"/>
        <w:gridCol w:w="776"/>
      </w:tblGrid>
      <w:tr w:rsidR="00A73ACE" w:rsidRPr="00DB26E4" w14:paraId="7FAE9779" w14:textId="77777777" w:rsidTr="00167225">
        <w:trPr>
          <w:trHeight w:val="361"/>
        </w:trPr>
        <w:tc>
          <w:tcPr>
            <w:tcW w:w="1440" w:type="dxa"/>
          </w:tcPr>
          <w:p w14:paraId="00F0012C" w14:textId="77777777" w:rsidR="00A73ACE" w:rsidRPr="00DB26E4" w:rsidRDefault="00167225" w:rsidP="002B5C1C">
            <w:pPr>
              <w:spacing w:line="360" w:lineRule="auto"/>
              <w:rPr>
                <w:rFonts w:ascii="Times New Roman" w:hAnsi="Times New Roman" w:cs="Times New Roman"/>
                <w:b/>
                <w:bCs/>
                <w:sz w:val="24"/>
                <w:szCs w:val="24"/>
              </w:rPr>
            </w:pPr>
            <w:r>
              <w:rPr>
                <w:rFonts w:ascii="Times New Roman" w:hAnsi="Times New Roman" w:cs="Times New Roman"/>
                <w:b/>
                <w:bCs/>
                <w:sz w:val="24"/>
                <w:szCs w:val="24"/>
              </w:rPr>
              <w:t>Y</w:t>
            </w:r>
            <w:r w:rsidR="00A73ACE" w:rsidRPr="00DB26E4">
              <w:rPr>
                <w:rFonts w:ascii="Times New Roman" w:hAnsi="Times New Roman" w:cs="Times New Roman"/>
                <w:b/>
                <w:bCs/>
                <w:sz w:val="24"/>
                <w:szCs w:val="24"/>
              </w:rPr>
              <w:t>ears</w:t>
            </w:r>
          </w:p>
        </w:tc>
        <w:tc>
          <w:tcPr>
            <w:tcW w:w="1949" w:type="dxa"/>
          </w:tcPr>
          <w:p w14:paraId="1269B640" w14:textId="77777777" w:rsidR="00A73ACE" w:rsidRPr="00DB26E4" w:rsidRDefault="00A73ACE"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Current Assets</w:t>
            </w:r>
          </w:p>
        </w:tc>
        <w:tc>
          <w:tcPr>
            <w:tcW w:w="2127" w:type="dxa"/>
          </w:tcPr>
          <w:p w14:paraId="7C8170BE" w14:textId="77777777" w:rsidR="00A73ACE" w:rsidRPr="00DB26E4" w:rsidRDefault="00A73ACE"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Current liabilities</w:t>
            </w:r>
          </w:p>
        </w:tc>
        <w:tc>
          <w:tcPr>
            <w:tcW w:w="776" w:type="dxa"/>
          </w:tcPr>
          <w:p w14:paraId="0CCF16E9" w14:textId="77777777" w:rsidR="00A73ACE" w:rsidRPr="00DB26E4" w:rsidRDefault="00A73ACE"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 xml:space="preserve">Ratio </w:t>
            </w:r>
          </w:p>
        </w:tc>
      </w:tr>
      <w:tr w:rsidR="00A73ACE" w:rsidRPr="00DB26E4" w14:paraId="3FF70D81" w14:textId="77777777" w:rsidTr="00167225">
        <w:trPr>
          <w:trHeight w:val="304"/>
        </w:trPr>
        <w:tc>
          <w:tcPr>
            <w:tcW w:w="1440" w:type="dxa"/>
          </w:tcPr>
          <w:p w14:paraId="67F5EAF3" w14:textId="77777777" w:rsidR="00A73ACE" w:rsidRPr="00DB26E4" w:rsidRDefault="00A73ACE" w:rsidP="002B5C1C">
            <w:pPr>
              <w:spacing w:line="360" w:lineRule="auto"/>
              <w:rPr>
                <w:rFonts w:ascii="Times New Roman" w:hAnsi="Times New Roman" w:cs="Times New Roman"/>
                <w:b/>
                <w:bCs/>
                <w:sz w:val="24"/>
                <w:szCs w:val="24"/>
              </w:rPr>
            </w:pPr>
            <w:r w:rsidRPr="00DB26E4">
              <w:rPr>
                <w:rFonts w:ascii="Times New Roman" w:hAnsi="Times New Roman" w:cs="Times New Roman"/>
                <w:sz w:val="24"/>
                <w:szCs w:val="24"/>
              </w:rPr>
              <w:t>2022-2023</w:t>
            </w:r>
          </w:p>
        </w:tc>
        <w:tc>
          <w:tcPr>
            <w:tcW w:w="1949" w:type="dxa"/>
          </w:tcPr>
          <w:p w14:paraId="60435EFE"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66990.06</w:t>
            </w:r>
          </w:p>
        </w:tc>
        <w:tc>
          <w:tcPr>
            <w:tcW w:w="2127" w:type="dxa"/>
          </w:tcPr>
          <w:p w14:paraId="13A013A3"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49038.32</w:t>
            </w:r>
          </w:p>
        </w:tc>
        <w:tc>
          <w:tcPr>
            <w:tcW w:w="776" w:type="dxa"/>
          </w:tcPr>
          <w:p w14:paraId="7F1E1420"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1.36</w:t>
            </w:r>
          </w:p>
        </w:tc>
      </w:tr>
      <w:tr w:rsidR="00A73ACE" w:rsidRPr="00DB26E4" w14:paraId="566B322B" w14:textId="77777777" w:rsidTr="00167225">
        <w:trPr>
          <w:trHeight w:val="233"/>
        </w:trPr>
        <w:tc>
          <w:tcPr>
            <w:tcW w:w="1440" w:type="dxa"/>
          </w:tcPr>
          <w:p w14:paraId="03CDEDB3" w14:textId="77777777" w:rsidR="00A73ACE" w:rsidRPr="00DB26E4" w:rsidRDefault="00A73ACE" w:rsidP="002B5C1C">
            <w:pPr>
              <w:spacing w:line="360" w:lineRule="auto"/>
              <w:rPr>
                <w:rFonts w:ascii="Times New Roman" w:hAnsi="Times New Roman" w:cs="Times New Roman"/>
                <w:b/>
                <w:bCs/>
                <w:sz w:val="24"/>
                <w:szCs w:val="24"/>
              </w:rPr>
            </w:pPr>
            <w:r w:rsidRPr="00DB26E4">
              <w:rPr>
                <w:rFonts w:ascii="Times New Roman" w:hAnsi="Times New Roman" w:cs="Times New Roman"/>
                <w:sz w:val="24"/>
                <w:szCs w:val="24"/>
              </w:rPr>
              <w:t>2021-2022</w:t>
            </w:r>
          </w:p>
        </w:tc>
        <w:tc>
          <w:tcPr>
            <w:tcW w:w="1949" w:type="dxa"/>
          </w:tcPr>
          <w:p w14:paraId="0E24ABB8"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50877.15</w:t>
            </w:r>
          </w:p>
        </w:tc>
        <w:tc>
          <w:tcPr>
            <w:tcW w:w="2127" w:type="dxa"/>
          </w:tcPr>
          <w:p w14:paraId="2FDC7475"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35298.82</w:t>
            </w:r>
          </w:p>
        </w:tc>
        <w:tc>
          <w:tcPr>
            <w:tcW w:w="776" w:type="dxa"/>
          </w:tcPr>
          <w:p w14:paraId="376C7257"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1.44</w:t>
            </w:r>
          </w:p>
        </w:tc>
      </w:tr>
      <w:tr w:rsidR="00A73ACE" w:rsidRPr="00DB26E4" w14:paraId="4FA73D99" w14:textId="77777777" w:rsidTr="00167225">
        <w:trPr>
          <w:trHeight w:val="311"/>
        </w:trPr>
        <w:tc>
          <w:tcPr>
            <w:tcW w:w="1440" w:type="dxa"/>
          </w:tcPr>
          <w:p w14:paraId="69708F29" w14:textId="77777777" w:rsidR="00A73ACE" w:rsidRPr="00DB26E4" w:rsidRDefault="00A73ACE" w:rsidP="002B5C1C">
            <w:pPr>
              <w:spacing w:line="360" w:lineRule="auto"/>
              <w:rPr>
                <w:rFonts w:ascii="Times New Roman" w:hAnsi="Times New Roman" w:cs="Times New Roman"/>
                <w:b/>
                <w:bCs/>
                <w:sz w:val="24"/>
                <w:szCs w:val="24"/>
              </w:rPr>
            </w:pPr>
            <w:r w:rsidRPr="00DB26E4">
              <w:rPr>
                <w:rFonts w:ascii="Times New Roman" w:hAnsi="Times New Roman" w:cs="Times New Roman"/>
                <w:sz w:val="24"/>
                <w:szCs w:val="24"/>
              </w:rPr>
              <w:t>2020-2021</w:t>
            </w:r>
          </w:p>
        </w:tc>
        <w:tc>
          <w:tcPr>
            <w:tcW w:w="1949" w:type="dxa"/>
          </w:tcPr>
          <w:p w14:paraId="1E30F52F"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44825.48</w:t>
            </w:r>
          </w:p>
        </w:tc>
        <w:tc>
          <w:tcPr>
            <w:tcW w:w="2127" w:type="dxa"/>
          </w:tcPr>
          <w:p w14:paraId="573AC505"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31075.80</w:t>
            </w:r>
          </w:p>
        </w:tc>
        <w:tc>
          <w:tcPr>
            <w:tcW w:w="776" w:type="dxa"/>
          </w:tcPr>
          <w:p w14:paraId="04A52C75"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1.44</w:t>
            </w:r>
          </w:p>
        </w:tc>
      </w:tr>
      <w:tr w:rsidR="00A73ACE" w:rsidRPr="00DB26E4" w14:paraId="65D6B65B" w14:textId="77777777" w:rsidTr="00167225">
        <w:trPr>
          <w:trHeight w:val="440"/>
        </w:trPr>
        <w:tc>
          <w:tcPr>
            <w:tcW w:w="1440" w:type="dxa"/>
          </w:tcPr>
          <w:p w14:paraId="5DF30028" w14:textId="77777777" w:rsidR="00A73ACE" w:rsidRPr="00DB26E4" w:rsidRDefault="00A73ACE" w:rsidP="002B5C1C">
            <w:pPr>
              <w:spacing w:line="360" w:lineRule="auto"/>
              <w:rPr>
                <w:rFonts w:ascii="Times New Roman" w:hAnsi="Times New Roman" w:cs="Times New Roman"/>
                <w:b/>
                <w:bCs/>
                <w:sz w:val="24"/>
                <w:szCs w:val="24"/>
              </w:rPr>
            </w:pPr>
            <w:r w:rsidRPr="00DB26E4">
              <w:rPr>
                <w:rFonts w:ascii="Times New Roman" w:hAnsi="Times New Roman" w:cs="Times New Roman"/>
                <w:sz w:val="24"/>
                <w:szCs w:val="24"/>
              </w:rPr>
              <w:t>2019-2020</w:t>
            </w:r>
          </w:p>
        </w:tc>
        <w:tc>
          <w:tcPr>
            <w:tcW w:w="1949" w:type="dxa"/>
          </w:tcPr>
          <w:p w14:paraId="4E59D5BF"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34478.54</w:t>
            </w:r>
          </w:p>
        </w:tc>
        <w:tc>
          <w:tcPr>
            <w:tcW w:w="2127" w:type="dxa"/>
          </w:tcPr>
          <w:p w14:paraId="6769EAB5"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25296.13</w:t>
            </w:r>
          </w:p>
        </w:tc>
        <w:tc>
          <w:tcPr>
            <w:tcW w:w="776" w:type="dxa"/>
          </w:tcPr>
          <w:p w14:paraId="655E184A"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1.36</w:t>
            </w:r>
          </w:p>
        </w:tc>
      </w:tr>
      <w:tr w:rsidR="00A73ACE" w:rsidRPr="00DB26E4" w14:paraId="56B5FF23" w14:textId="77777777" w:rsidTr="00167225">
        <w:trPr>
          <w:trHeight w:val="29"/>
        </w:trPr>
        <w:tc>
          <w:tcPr>
            <w:tcW w:w="1440" w:type="dxa"/>
          </w:tcPr>
          <w:p w14:paraId="791EBB57" w14:textId="77777777" w:rsidR="00A73ACE" w:rsidRPr="00DB26E4" w:rsidRDefault="00A73ACE" w:rsidP="002B5C1C">
            <w:pPr>
              <w:spacing w:line="360" w:lineRule="auto"/>
              <w:rPr>
                <w:rFonts w:ascii="Times New Roman" w:hAnsi="Times New Roman" w:cs="Times New Roman"/>
                <w:b/>
                <w:bCs/>
                <w:sz w:val="24"/>
                <w:szCs w:val="24"/>
              </w:rPr>
            </w:pPr>
            <w:r w:rsidRPr="00DB26E4">
              <w:rPr>
                <w:rFonts w:ascii="Times New Roman" w:hAnsi="Times New Roman" w:cs="Times New Roman"/>
                <w:sz w:val="24"/>
                <w:szCs w:val="24"/>
              </w:rPr>
              <w:t>2018-2019</w:t>
            </w:r>
          </w:p>
        </w:tc>
        <w:tc>
          <w:tcPr>
            <w:tcW w:w="1949" w:type="dxa"/>
          </w:tcPr>
          <w:p w14:paraId="2B05E33B"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35269.79</w:t>
            </w:r>
          </w:p>
        </w:tc>
        <w:tc>
          <w:tcPr>
            <w:tcW w:w="2127" w:type="dxa"/>
          </w:tcPr>
          <w:p w14:paraId="1BEB1432"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34112.31</w:t>
            </w:r>
          </w:p>
        </w:tc>
        <w:tc>
          <w:tcPr>
            <w:tcW w:w="776" w:type="dxa"/>
          </w:tcPr>
          <w:p w14:paraId="247279C3"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1.03</w:t>
            </w:r>
          </w:p>
        </w:tc>
      </w:tr>
    </w:tbl>
    <w:p w14:paraId="1F09BEA1" w14:textId="77777777" w:rsidR="00167225" w:rsidRDefault="00167225" w:rsidP="002B5C1C">
      <w:pPr>
        <w:spacing w:after="0" w:line="360" w:lineRule="auto"/>
        <w:jc w:val="both"/>
        <w:rPr>
          <w:rFonts w:ascii="Times New Roman" w:hAnsi="Times New Roman" w:cs="Times New Roman"/>
          <w:b/>
          <w:bCs/>
          <w:sz w:val="24"/>
          <w:szCs w:val="24"/>
        </w:rPr>
      </w:pPr>
    </w:p>
    <w:p w14:paraId="53E2E2F4" w14:textId="77777777" w:rsidR="00A73ACE" w:rsidRPr="00DB26E4" w:rsidRDefault="00A73ACE" w:rsidP="002B5C1C">
      <w:pPr>
        <w:spacing w:after="0" w:line="360" w:lineRule="auto"/>
        <w:jc w:val="both"/>
        <w:rPr>
          <w:rFonts w:ascii="Times New Roman" w:hAnsi="Times New Roman" w:cs="Times New Roman"/>
          <w:b/>
          <w:bCs/>
          <w:sz w:val="24"/>
          <w:szCs w:val="24"/>
        </w:rPr>
      </w:pPr>
      <w:r w:rsidRPr="00DB26E4">
        <w:rPr>
          <w:rFonts w:ascii="Times New Roman" w:hAnsi="Times New Roman" w:cs="Times New Roman"/>
          <w:b/>
          <w:bCs/>
          <w:sz w:val="24"/>
          <w:szCs w:val="24"/>
        </w:rPr>
        <w:t>GRAPH 5.1</w:t>
      </w:r>
    </w:p>
    <w:p w14:paraId="42299AE2" w14:textId="77777777" w:rsidR="00A73ACE" w:rsidRPr="00DB26E4" w:rsidRDefault="00A73ACE" w:rsidP="002B5C1C">
      <w:pPr>
        <w:spacing w:after="0" w:line="360" w:lineRule="auto"/>
        <w:jc w:val="center"/>
        <w:rPr>
          <w:rFonts w:ascii="Times New Roman" w:hAnsi="Times New Roman" w:cs="Times New Roman"/>
          <w:b/>
          <w:bCs/>
          <w:sz w:val="24"/>
          <w:szCs w:val="24"/>
        </w:rPr>
      </w:pPr>
      <w:r w:rsidRPr="00DB26E4">
        <w:rPr>
          <w:rFonts w:ascii="Times New Roman" w:hAnsi="Times New Roman" w:cs="Times New Roman"/>
          <w:noProof/>
          <w:sz w:val="24"/>
          <w:szCs w:val="24"/>
          <w:lang w:val="en-US"/>
        </w:rPr>
        <w:drawing>
          <wp:inline distT="0" distB="0" distL="0" distR="0" wp14:anchorId="5268E051" wp14:editId="1C725852">
            <wp:extent cx="3525245" cy="1699404"/>
            <wp:effectExtent l="19050" t="0" r="18055" b="0"/>
            <wp:docPr id="147919934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127ADB0"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 xml:space="preserve">Interpretation: </w:t>
      </w:r>
    </w:p>
    <w:p w14:paraId="7A3F0DC1" w14:textId="77777777" w:rsidR="00A73ACE" w:rsidRPr="00DB26E4" w:rsidRDefault="00A73ACE" w:rsidP="002B5C1C">
      <w:pPr>
        <w:spacing w:after="0" w:line="360" w:lineRule="auto"/>
        <w:jc w:val="both"/>
        <w:rPr>
          <w:rFonts w:ascii="Times New Roman" w:hAnsi="Times New Roman" w:cs="Times New Roman"/>
          <w:sz w:val="24"/>
          <w:szCs w:val="24"/>
          <w:lang w:val="en-US"/>
        </w:rPr>
      </w:pPr>
      <w:r w:rsidRPr="00DB26E4">
        <w:rPr>
          <w:rFonts w:ascii="Times New Roman" w:hAnsi="Times New Roman" w:cs="Times New Roman"/>
          <w:sz w:val="24"/>
          <w:szCs w:val="24"/>
          <w:lang w:val="en-US"/>
        </w:rPr>
        <w:lastRenderedPageBreak/>
        <w:t>In the years between 2019 and 2021, the current ratio increased from 1.03 to 1.44, indicating a relatively stronger liquidity position because the company has a larger margin of current assets to cover short-term obligations. In contrast, the current ratio decreased to 1.36 in the years between 2022 and 2023, indicating a potential weakness in the company's liquidity position that may increase the risk of failing to meet short-term obligations. An increase in current liabilities and other factors contribute to the decrease in the current ratio.</w:t>
      </w:r>
    </w:p>
    <w:p w14:paraId="5FFF96A1"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2.</w:t>
      </w:r>
      <w:r w:rsidR="00167225">
        <w:rPr>
          <w:rFonts w:ascii="Times New Roman" w:hAnsi="Times New Roman" w:cs="Times New Roman"/>
          <w:b/>
          <w:bCs/>
          <w:sz w:val="24"/>
          <w:szCs w:val="24"/>
        </w:rPr>
        <w:t xml:space="preserve"> </w:t>
      </w:r>
      <w:r w:rsidRPr="00DB26E4">
        <w:rPr>
          <w:rFonts w:ascii="Times New Roman" w:hAnsi="Times New Roman" w:cs="Times New Roman"/>
          <w:b/>
          <w:bCs/>
          <w:sz w:val="24"/>
          <w:szCs w:val="24"/>
        </w:rPr>
        <w:t>Net working capital ratio</w:t>
      </w:r>
    </w:p>
    <w:p w14:paraId="6B427F85" w14:textId="77777777" w:rsidR="00A73ACE" w:rsidRPr="00DB26E4" w:rsidRDefault="00A73ACE" w:rsidP="002B5C1C">
      <w:pPr>
        <w:spacing w:after="0" w:line="360" w:lineRule="auto"/>
        <w:rPr>
          <w:rFonts w:ascii="Times New Roman" w:hAnsi="Times New Roman" w:cs="Times New Roman"/>
          <w:sz w:val="24"/>
          <w:szCs w:val="24"/>
        </w:rPr>
      </w:pPr>
      <w:r w:rsidRPr="00DB26E4">
        <w:rPr>
          <w:rFonts w:ascii="Times New Roman" w:hAnsi="Times New Roman" w:cs="Times New Roman"/>
          <w:sz w:val="24"/>
          <w:szCs w:val="24"/>
        </w:rPr>
        <w:t xml:space="preserve">Net working capital ratio = (current assets – current liabilities)/Total assets </w:t>
      </w:r>
    </w:p>
    <w:p w14:paraId="7122F3C5" w14:textId="77777777" w:rsidR="00212651"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Table-5.2</w:t>
      </w:r>
    </w:p>
    <w:tbl>
      <w:tblPr>
        <w:tblStyle w:val="TableGrid"/>
        <w:tblW w:w="0" w:type="auto"/>
        <w:jc w:val="center"/>
        <w:tblLook w:val="04A0" w:firstRow="1" w:lastRow="0" w:firstColumn="1" w:lastColumn="0" w:noHBand="0" w:noVBand="1"/>
      </w:tblPr>
      <w:tblGrid>
        <w:gridCol w:w="1256"/>
        <w:gridCol w:w="2183"/>
        <w:gridCol w:w="1388"/>
        <w:gridCol w:w="776"/>
      </w:tblGrid>
      <w:tr w:rsidR="00212651" w:rsidRPr="00DB26E4" w14:paraId="530F1637" w14:textId="77777777" w:rsidTr="00167225">
        <w:trPr>
          <w:trHeight w:val="291"/>
          <w:jc w:val="center"/>
        </w:trPr>
        <w:tc>
          <w:tcPr>
            <w:tcW w:w="0" w:type="auto"/>
          </w:tcPr>
          <w:p w14:paraId="64EEC07B" w14:textId="77777777" w:rsidR="00212651" w:rsidRPr="00DB26E4" w:rsidRDefault="00212651"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Years</w:t>
            </w:r>
          </w:p>
        </w:tc>
        <w:tc>
          <w:tcPr>
            <w:tcW w:w="0" w:type="auto"/>
          </w:tcPr>
          <w:p w14:paraId="365B0886" w14:textId="77777777" w:rsidR="00212651" w:rsidRPr="00DB26E4" w:rsidRDefault="00212651"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Networking capital</w:t>
            </w:r>
          </w:p>
        </w:tc>
        <w:tc>
          <w:tcPr>
            <w:tcW w:w="0" w:type="auto"/>
          </w:tcPr>
          <w:p w14:paraId="5D62CE5A" w14:textId="77777777" w:rsidR="00212651" w:rsidRPr="00DB26E4" w:rsidRDefault="00212651"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 xml:space="preserve">Total assets </w:t>
            </w:r>
          </w:p>
        </w:tc>
        <w:tc>
          <w:tcPr>
            <w:tcW w:w="0" w:type="auto"/>
          </w:tcPr>
          <w:p w14:paraId="32932C16" w14:textId="77777777" w:rsidR="00212651" w:rsidRPr="00DB26E4" w:rsidRDefault="00212651"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Ratio</w:t>
            </w:r>
          </w:p>
        </w:tc>
      </w:tr>
      <w:tr w:rsidR="00212651" w:rsidRPr="00DB26E4" w14:paraId="1D1230B3" w14:textId="77777777" w:rsidTr="00167225">
        <w:trPr>
          <w:trHeight w:val="291"/>
          <w:jc w:val="center"/>
        </w:trPr>
        <w:tc>
          <w:tcPr>
            <w:tcW w:w="0" w:type="auto"/>
          </w:tcPr>
          <w:p w14:paraId="04D42E1A"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2022-2023</w:t>
            </w:r>
          </w:p>
        </w:tc>
        <w:tc>
          <w:tcPr>
            <w:tcW w:w="0" w:type="auto"/>
          </w:tcPr>
          <w:p w14:paraId="5AF9410F"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17951.74</w:t>
            </w:r>
          </w:p>
        </w:tc>
        <w:tc>
          <w:tcPr>
            <w:tcW w:w="0" w:type="auto"/>
          </w:tcPr>
          <w:p w14:paraId="2741BD55"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67370.25</w:t>
            </w:r>
          </w:p>
        </w:tc>
        <w:tc>
          <w:tcPr>
            <w:tcW w:w="0" w:type="auto"/>
          </w:tcPr>
          <w:p w14:paraId="20093A66"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0.26</w:t>
            </w:r>
          </w:p>
        </w:tc>
      </w:tr>
      <w:tr w:rsidR="00212651" w:rsidRPr="00DB26E4" w14:paraId="6856763F" w14:textId="77777777" w:rsidTr="00167225">
        <w:trPr>
          <w:trHeight w:val="291"/>
          <w:jc w:val="center"/>
        </w:trPr>
        <w:tc>
          <w:tcPr>
            <w:tcW w:w="0" w:type="auto"/>
          </w:tcPr>
          <w:p w14:paraId="5DE30E1B"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2021-2022</w:t>
            </w:r>
          </w:p>
        </w:tc>
        <w:tc>
          <w:tcPr>
            <w:tcW w:w="0" w:type="auto"/>
          </w:tcPr>
          <w:p w14:paraId="6AA0FBCC"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15578.68</w:t>
            </w:r>
          </w:p>
        </w:tc>
        <w:tc>
          <w:tcPr>
            <w:tcW w:w="0" w:type="auto"/>
          </w:tcPr>
          <w:p w14:paraId="3CE8A0B8"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51168.65</w:t>
            </w:r>
          </w:p>
        </w:tc>
        <w:tc>
          <w:tcPr>
            <w:tcW w:w="0" w:type="auto"/>
          </w:tcPr>
          <w:p w14:paraId="436A83FE"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0.30</w:t>
            </w:r>
          </w:p>
        </w:tc>
      </w:tr>
      <w:tr w:rsidR="00212651" w:rsidRPr="00DB26E4" w14:paraId="190CE36C" w14:textId="77777777" w:rsidTr="00167225">
        <w:trPr>
          <w:trHeight w:val="291"/>
          <w:jc w:val="center"/>
        </w:trPr>
        <w:tc>
          <w:tcPr>
            <w:tcW w:w="0" w:type="auto"/>
          </w:tcPr>
          <w:p w14:paraId="580339F5"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2020-2021</w:t>
            </w:r>
          </w:p>
        </w:tc>
        <w:tc>
          <w:tcPr>
            <w:tcW w:w="0" w:type="auto"/>
          </w:tcPr>
          <w:p w14:paraId="0ED35B80"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13749.60</w:t>
            </w:r>
          </w:p>
        </w:tc>
        <w:tc>
          <w:tcPr>
            <w:tcW w:w="0" w:type="auto"/>
          </w:tcPr>
          <w:p w14:paraId="5D69FBC4"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45701.55</w:t>
            </w:r>
          </w:p>
        </w:tc>
        <w:tc>
          <w:tcPr>
            <w:tcW w:w="0" w:type="auto"/>
          </w:tcPr>
          <w:p w14:paraId="45EC65DF"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0.30</w:t>
            </w:r>
          </w:p>
        </w:tc>
      </w:tr>
      <w:tr w:rsidR="00212651" w:rsidRPr="00DB26E4" w14:paraId="74CF5CD6" w14:textId="77777777" w:rsidTr="00167225">
        <w:trPr>
          <w:trHeight w:val="291"/>
          <w:jc w:val="center"/>
        </w:trPr>
        <w:tc>
          <w:tcPr>
            <w:tcW w:w="0" w:type="auto"/>
          </w:tcPr>
          <w:p w14:paraId="1E7D5DAF"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2019-2020</w:t>
            </w:r>
          </w:p>
        </w:tc>
        <w:tc>
          <w:tcPr>
            <w:tcW w:w="0" w:type="auto"/>
          </w:tcPr>
          <w:p w14:paraId="4A7FC5EF"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9182.41</w:t>
            </w:r>
          </w:p>
        </w:tc>
        <w:tc>
          <w:tcPr>
            <w:tcW w:w="0" w:type="auto"/>
          </w:tcPr>
          <w:p w14:paraId="22D946FB"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34802.09</w:t>
            </w:r>
          </w:p>
        </w:tc>
        <w:tc>
          <w:tcPr>
            <w:tcW w:w="0" w:type="auto"/>
          </w:tcPr>
          <w:p w14:paraId="0484C6E8"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0.26</w:t>
            </w:r>
          </w:p>
        </w:tc>
      </w:tr>
      <w:tr w:rsidR="00212651" w:rsidRPr="00DB26E4" w14:paraId="17B6D7F2" w14:textId="77777777" w:rsidTr="00167225">
        <w:trPr>
          <w:trHeight w:val="307"/>
          <w:jc w:val="center"/>
        </w:trPr>
        <w:tc>
          <w:tcPr>
            <w:tcW w:w="0" w:type="auto"/>
          </w:tcPr>
          <w:p w14:paraId="5229848A"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2018-2019</w:t>
            </w:r>
          </w:p>
        </w:tc>
        <w:tc>
          <w:tcPr>
            <w:tcW w:w="0" w:type="auto"/>
          </w:tcPr>
          <w:p w14:paraId="1DCE7348"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1157.48</w:t>
            </w:r>
          </w:p>
        </w:tc>
        <w:tc>
          <w:tcPr>
            <w:tcW w:w="0" w:type="auto"/>
          </w:tcPr>
          <w:p w14:paraId="14296022"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249044.39</w:t>
            </w:r>
          </w:p>
        </w:tc>
        <w:tc>
          <w:tcPr>
            <w:tcW w:w="0" w:type="auto"/>
          </w:tcPr>
          <w:p w14:paraId="1259BD10" w14:textId="77777777" w:rsidR="00212651" w:rsidRPr="00DB26E4" w:rsidRDefault="00212651"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0.01</w:t>
            </w:r>
          </w:p>
        </w:tc>
      </w:tr>
    </w:tbl>
    <w:p w14:paraId="5C871D2E"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GRAPH 5.2</w:t>
      </w:r>
    </w:p>
    <w:p w14:paraId="46774561" w14:textId="77777777" w:rsidR="00A73ACE" w:rsidRPr="00DB26E4" w:rsidRDefault="00A73ACE" w:rsidP="002B5C1C">
      <w:pPr>
        <w:spacing w:after="0" w:line="360" w:lineRule="auto"/>
        <w:jc w:val="center"/>
        <w:rPr>
          <w:rFonts w:ascii="Times New Roman" w:hAnsi="Times New Roman" w:cs="Times New Roman"/>
          <w:b/>
          <w:bCs/>
          <w:sz w:val="24"/>
          <w:szCs w:val="24"/>
        </w:rPr>
      </w:pPr>
      <w:r w:rsidRPr="00DB26E4">
        <w:rPr>
          <w:rFonts w:ascii="Times New Roman" w:hAnsi="Times New Roman" w:cs="Times New Roman"/>
          <w:noProof/>
          <w:sz w:val="24"/>
          <w:szCs w:val="24"/>
          <w:lang w:val="en-US"/>
        </w:rPr>
        <w:drawing>
          <wp:inline distT="0" distB="0" distL="0" distR="0" wp14:anchorId="69B313E9" wp14:editId="160FAE7C">
            <wp:extent cx="3055236" cy="1733910"/>
            <wp:effectExtent l="19050" t="0" r="11814" b="0"/>
            <wp:docPr id="69400091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8AD61A5" w14:textId="77777777" w:rsidR="00A73ACE" w:rsidRPr="00DB26E4" w:rsidRDefault="00A73ACE" w:rsidP="002B5C1C">
      <w:pPr>
        <w:spacing w:after="0" w:line="360" w:lineRule="auto"/>
        <w:rPr>
          <w:rFonts w:ascii="Times New Roman" w:hAnsi="Times New Roman" w:cs="Times New Roman"/>
          <w:b/>
          <w:sz w:val="24"/>
          <w:szCs w:val="24"/>
        </w:rPr>
      </w:pPr>
      <w:r w:rsidRPr="00DB26E4">
        <w:rPr>
          <w:rFonts w:ascii="Times New Roman" w:hAnsi="Times New Roman" w:cs="Times New Roman"/>
          <w:b/>
          <w:sz w:val="24"/>
          <w:szCs w:val="24"/>
        </w:rPr>
        <w:t xml:space="preserve">Interpretation: </w:t>
      </w:r>
    </w:p>
    <w:p w14:paraId="5E87D4C0" w14:textId="77777777" w:rsidR="00C20B0F" w:rsidRPr="00DB26E4" w:rsidRDefault="00C20B0F" w:rsidP="002B5C1C">
      <w:p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 xml:space="preserve">The company's net working capital increased between 2019 and 2023; networking capital increased from 0.01 to 0.26; and working capital is a financial matrix that represents operating liquidity available to a </w:t>
      </w:r>
      <w:r w:rsidRPr="00DB26E4">
        <w:rPr>
          <w:rFonts w:ascii="Times New Roman" w:eastAsia="Times New Roman" w:hAnsi="Times New Roman" w:cs="Times New Roman"/>
          <w:kern w:val="0"/>
          <w:sz w:val="24"/>
          <w:szCs w:val="24"/>
          <w:lang w:eastAsia="en-IN"/>
        </w:rPr>
        <w:lastRenderedPageBreak/>
        <w:t>business, organization, or other entity, including governmental entities, due to the increase in networking capital.</w:t>
      </w:r>
    </w:p>
    <w:p w14:paraId="1BF9B37A"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eastAsia="Times New Roman" w:hAnsi="Times New Roman" w:cs="Times New Roman"/>
          <w:kern w:val="0"/>
          <w:sz w:val="24"/>
          <w:szCs w:val="24"/>
          <w:lang w:eastAsia="en-IN"/>
        </w:rPr>
        <w:t> </w:t>
      </w:r>
      <w:r w:rsidRPr="00DB26E4">
        <w:rPr>
          <w:rFonts w:ascii="Times New Roman" w:hAnsi="Times New Roman" w:cs="Times New Roman"/>
          <w:b/>
          <w:bCs/>
          <w:sz w:val="24"/>
          <w:szCs w:val="24"/>
        </w:rPr>
        <w:t>B. Leverage ratio</w:t>
      </w:r>
    </w:p>
    <w:p w14:paraId="55670E1C" w14:textId="77777777" w:rsidR="00A73ACE" w:rsidRPr="00DB26E4" w:rsidRDefault="00A73ACE" w:rsidP="002B5C1C">
      <w:pPr>
        <w:spacing w:after="0" w:line="360" w:lineRule="auto"/>
        <w:rPr>
          <w:rFonts w:ascii="Times New Roman" w:hAnsi="Times New Roman" w:cs="Times New Roman"/>
          <w:sz w:val="24"/>
          <w:szCs w:val="24"/>
        </w:rPr>
      </w:pPr>
      <w:r w:rsidRPr="00DB26E4">
        <w:rPr>
          <w:rFonts w:ascii="Times New Roman" w:hAnsi="Times New Roman" w:cs="Times New Roman"/>
          <w:b/>
          <w:bCs/>
          <w:sz w:val="24"/>
          <w:szCs w:val="24"/>
        </w:rPr>
        <w:t xml:space="preserve"> 1. Debt equity ratio</w:t>
      </w:r>
      <w:r w:rsidRPr="00DB26E4">
        <w:rPr>
          <w:rFonts w:ascii="Times New Roman" w:hAnsi="Times New Roman" w:cs="Times New Roman"/>
          <w:sz w:val="24"/>
          <w:szCs w:val="24"/>
        </w:rPr>
        <w:t xml:space="preserve"> = Total liabilities/shareholders’ equity</w:t>
      </w:r>
    </w:p>
    <w:p w14:paraId="6D952A40"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Table-5.3</w:t>
      </w:r>
    </w:p>
    <w:tbl>
      <w:tblPr>
        <w:tblStyle w:val="TableGrid"/>
        <w:tblW w:w="0" w:type="auto"/>
        <w:jc w:val="center"/>
        <w:tblLook w:val="04A0" w:firstRow="1" w:lastRow="0" w:firstColumn="1" w:lastColumn="0" w:noHBand="0" w:noVBand="1"/>
      </w:tblPr>
      <w:tblGrid>
        <w:gridCol w:w="1440"/>
        <w:gridCol w:w="1530"/>
        <w:gridCol w:w="1965"/>
        <w:gridCol w:w="876"/>
      </w:tblGrid>
      <w:tr w:rsidR="00C20B0F" w:rsidRPr="00DB26E4" w14:paraId="5261657D" w14:textId="77777777" w:rsidTr="00713292">
        <w:trPr>
          <w:jc w:val="center"/>
        </w:trPr>
        <w:tc>
          <w:tcPr>
            <w:tcW w:w="1440" w:type="dxa"/>
          </w:tcPr>
          <w:p w14:paraId="0E82D08A" w14:textId="77777777" w:rsidR="00C20B0F" w:rsidRPr="00DB26E4" w:rsidRDefault="00C20B0F"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Years</w:t>
            </w:r>
          </w:p>
        </w:tc>
        <w:tc>
          <w:tcPr>
            <w:tcW w:w="1530" w:type="dxa"/>
          </w:tcPr>
          <w:p w14:paraId="4B86F834" w14:textId="77777777" w:rsidR="00C20B0F" w:rsidRPr="00DB26E4" w:rsidRDefault="00C20B0F"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 xml:space="preserve">Total liabilities </w:t>
            </w:r>
          </w:p>
        </w:tc>
        <w:tc>
          <w:tcPr>
            <w:tcW w:w="1965" w:type="dxa"/>
          </w:tcPr>
          <w:p w14:paraId="13ECB3F7" w14:textId="77777777" w:rsidR="00C20B0F" w:rsidRPr="00DB26E4" w:rsidRDefault="00C20B0F"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shareholders’ equity</w:t>
            </w:r>
          </w:p>
        </w:tc>
        <w:tc>
          <w:tcPr>
            <w:tcW w:w="876" w:type="dxa"/>
          </w:tcPr>
          <w:p w14:paraId="7AC0D2BC" w14:textId="77777777" w:rsidR="00C20B0F" w:rsidRPr="00DB26E4" w:rsidRDefault="00C20B0F"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Ratio</w:t>
            </w:r>
          </w:p>
        </w:tc>
      </w:tr>
      <w:tr w:rsidR="00C20B0F" w:rsidRPr="00DB26E4" w14:paraId="697C2986" w14:textId="77777777" w:rsidTr="00713292">
        <w:trPr>
          <w:jc w:val="center"/>
        </w:trPr>
        <w:tc>
          <w:tcPr>
            <w:tcW w:w="1440" w:type="dxa"/>
          </w:tcPr>
          <w:p w14:paraId="7D7F5B86"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2022-2023</w:t>
            </w:r>
          </w:p>
        </w:tc>
        <w:tc>
          <w:tcPr>
            <w:tcW w:w="1530" w:type="dxa"/>
          </w:tcPr>
          <w:p w14:paraId="19E73232"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49196.86</w:t>
            </w:r>
          </w:p>
        </w:tc>
        <w:tc>
          <w:tcPr>
            <w:tcW w:w="1965" w:type="dxa"/>
          </w:tcPr>
          <w:p w14:paraId="557D6E39"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176.03</w:t>
            </w:r>
          </w:p>
        </w:tc>
        <w:tc>
          <w:tcPr>
            <w:tcW w:w="876" w:type="dxa"/>
          </w:tcPr>
          <w:p w14:paraId="47FA542D"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279.47</w:t>
            </w:r>
          </w:p>
        </w:tc>
      </w:tr>
      <w:tr w:rsidR="00C20B0F" w:rsidRPr="00DB26E4" w14:paraId="59B59287" w14:textId="77777777" w:rsidTr="00713292">
        <w:trPr>
          <w:jc w:val="center"/>
        </w:trPr>
        <w:tc>
          <w:tcPr>
            <w:tcW w:w="1440" w:type="dxa"/>
          </w:tcPr>
          <w:p w14:paraId="5B51D817"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2021-2022</w:t>
            </w:r>
          </w:p>
        </w:tc>
        <w:tc>
          <w:tcPr>
            <w:tcW w:w="1530" w:type="dxa"/>
          </w:tcPr>
          <w:p w14:paraId="6DDBBF19"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35431.80</w:t>
            </w:r>
          </w:p>
        </w:tc>
        <w:tc>
          <w:tcPr>
            <w:tcW w:w="1965" w:type="dxa"/>
          </w:tcPr>
          <w:p w14:paraId="223F0CA2"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175.27</w:t>
            </w:r>
          </w:p>
        </w:tc>
        <w:tc>
          <w:tcPr>
            <w:tcW w:w="876" w:type="dxa"/>
          </w:tcPr>
          <w:p w14:paraId="67D461B7"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202.15</w:t>
            </w:r>
          </w:p>
        </w:tc>
      </w:tr>
      <w:tr w:rsidR="00C20B0F" w:rsidRPr="00DB26E4" w14:paraId="33A9CDED" w14:textId="77777777" w:rsidTr="00713292">
        <w:trPr>
          <w:jc w:val="center"/>
        </w:trPr>
        <w:tc>
          <w:tcPr>
            <w:tcW w:w="1440" w:type="dxa"/>
          </w:tcPr>
          <w:p w14:paraId="25C33836"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2020-2021</w:t>
            </w:r>
          </w:p>
        </w:tc>
        <w:tc>
          <w:tcPr>
            <w:tcW w:w="1530" w:type="dxa"/>
          </w:tcPr>
          <w:p w14:paraId="4D502A10"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31296.12</w:t>
            </w:r>
          </w:p>
        </w:tc>
        <w:tc>
          <w:tcPr>
            <w:tcW w:w="1965" w:type="dxa"/>
          </w:tcPr>
          <w:p w14:paraId="176A755E"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174.80</w:t>
            </w:r>
          </w:p>
        </w:tc>
        <w:tc>
          <w:tcPr>
            <w:tcW w:w="876" w:type="dxa"/>
          </w:tcPr>
          <w:p w14:paraId="6A254A8C"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179.03</w:t>
            </w:r>
          </w:p>
        </w:tc>
      </w:tr>
      <w:tr w:rsidR="00C20B0F" w:rsidRPr="00DB26E4" w14:paraId="202491B8" w14:textId="77777777" w:rsidTr="00713292">
        <w:trPr>
          <w:jc w:val="center"/>
        </w:trPr>
        <w:tc>
          <w:tcPr>
            <w:tcW w:w="1440" w:type="dxa"/>
          </w:tcPr>
          <w:p w14:paraId="144DDA9C"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2019-2020</w:t>
            </w:r>
          </w:p>
        </w:tc>
        <w:tc>
          <w:tcPr>
            <w:tcW w:w="1530" w:type="dxa"/>
          </w:tcPr>
          <w:p w14:paraId="09C86087"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25467.83</w:t>
            </w:r>
          </w:p>
        </w:tc>
        <w:tc>
          <w:tcPr>
            <w:tcW w:w="1965" w:type="dxa"/>
          </w:tcPr>
          <w:p w14:paraId="672BC3F4"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156.60</w:t>
            </w:r>
          </w:p>
        </w:tc>
        <w:tc>
          <w:tcPr>
            <w:tcW w:w="876" w:type="dxa"/>
          </w:tcPr>
          <w:p w14:paraId="1509483A"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162.62</w:t>
            </w:r>
          </w:p>
        </w:tc>
      </w:tr>
      <w:tr w:rsidR="00C20B0F" w:rsidRPr="00DB26E4" w14:paraId="0D20EB29" w14:textId="77777777" w:rsidTr="00713292">
        <w:trPr>
          <w:jc w:val="center"/>
        </w:trPr>
        <w:tc>
          <w:tcPr>
            <w:tcW w:w="1440" w:type="dxa"/>
          </w:tcPr>
          <w:p w14:paraId="35F6FF9C"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2018-2019</w:t>
            </w:r>
          </w:p>
        </w:tc>
        <w:tc>
          <w:tcPr>
            <w:tcW w:w="1530" w:type="dxa"/>
          </w:tcPr>
          <w:p w14:paraId="5FB8CD40"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196427.24</w:t>
            </w:r>
          </w:p>
        </w:tc>
        <w:tc>
          <w:tcPr>
            <w:tcW w:w="1965" w:type="dxa"/>
          </w:tcPr>
          <w:p w14:paraId="4FA6F853"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1266.79</w:t>
            </w:r>
          </w:p>
        </w:tc>
        <w:tc>
          <w:tcPr>
            <w:tcW w:w="876" w:type="dxa"/>
          </w:tcPr>
          <w:p w14:paraId="53916D74"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155.05</w:t>
            </w:r>
          </w:p>
        </w:tc>
      </w:tr>
    </w:tbl>
    <w:p w14:paraId="42EA4C93"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GRAPH 5.3</w:t>
      </w:r>
    </w:p>
    <w:p w14:paraId="31888496" w14:textId="77777777" w:rsidR="00C20B0F" w:rsidRPr="00DB26E4" w:rsidRDefault="00C20B0F" w:rsidP="002B5C1C">
      <w:pPr>
        <w:spacing w:after="0" w:line="360" w:lineRule="auto"/>
        <w:jc w:val="center"/>
        <w:rPr>
          <w:rFonts w:ascii="Times New Roman" w:hAnsi="Times New Roman" w:cs="Times New Roman"/>
          <w:b/>
          <w:bCs/>
          <w:sz w:val="24"/>
          <w:szCs w:val="24"/>
        </w:rPr>
      </w:pPr>
      <w:r w:rsidRPr="00DB26E4">
        <w:rPr>
          <w:rFonts w:ascii="Times New Roman" w:hAnsi="Times New Roman" w:cs="Times New Roman"/>
          <w:noProof/>
          <w:sz w:val="24"/>
          <w:szCs w:val="24"/>
          <w:lang w:val="en-US"/>
        </w:rPr>
        <w:drawing>
          <wp:inline distT="0" distB="0" distL="0" distR="0" wp14:anchorId="72A5808B" wp14:editId="524148DC">
            <wp:extent cx="3714390" cy="1716657"/>
            <wp:effectExtent l="19050" t="0" r="19410" b="0"/>
            <wp:docPr id="145078066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D533885" w14:textId="77777777" w:rsidR="00A73ACE" w:rsidRPr="00DB26E4" w:rsidRDefault="00A73ACE" w:rsidP="002B5C1C">
      <w:pPr>
        <w:spacing w:after="0" w:line="360" w:lineRule="auto"/>
        <w:jc w:val="both"/>
        <w:rPr>
          <w:rFonts w:ascii="Times New Roman" w:hAnsi="Times New Roman" w:cs="Times New Roman"/>
          <w:b/>
          <w:bCs/>
          <w:sz w:val="24"/>
          <w:szCs w:val="24"/>
        </w:rPr>
      </w:pPr>
      <w:r w:rsidRPr="00DB26E4">
        <w:rPr>
          <w:rFonts w:ascii="Times New Roman" w:hAnsi="Times New Roman" w:cs="Times New Roman"/>
          <w:b/>
          <w:bCs/>
          <w:sz w:val="24"/>
          <w:szCs w:val="24"/>
        </w:rPr>
        <w:t xml:space="preserve">Interpretation: </w:t>
      </w:r>
    </w:p>
    <w:p w14:paraId="5CAC31D6" w14:textId="77777777" w:rsidR="00C20B0F" w:rsidRPr="00DB26E4" w:rsidRDefault="00C20B0F" w:rsidP="002B5C1C">
      <w:p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The company's financial leverage significantly dropped in 2019 (150.05), but in 2023 it increased to 279.47. In the year between 2022 and 2023, the debit-to-equity ratio increased, and the total liabilities and shareholder’s equities to the debit-to-equity ratio increased.</w:t>
      </w:r>
    </w:p>
    <w:p w14:paraId="5500D1AE" w14:textId="77777777" w:rsidR="00A73ACE" w:rsidRPr="00DB26E4" w:rsidRDefault="00A73ACE" w:rsidP="002B5C1C">
      <w:pPr>
        <w:spacing w:after="0" w:line="360" w:lineRule="auto"/>
        <w:rPr>
          <w:rFonts w:ascii="Times New Roman" w:hAnsi="Times New Roman" w:cs="Times New Roman"/>
          <w:sz w:val="24"/>
          <w:szCs w:val="24"/>
        </w:rPr>
      </w:pPr>
      <w:r w:rsidRPr="00DB26E4">
        <w:rPr>
          <w:rFonts w:ascii="Times New Roman" w:hAnsi="Times New Roman" w:cs="Times New Roman"/>
          <w:b/>
          <w:bCs/>
          <w:sz w:val="24"/>
          <w:szCs w:val="24"/>
        </w:rPr>
        <w:t>2. Debt to capital ratio</w:t>
      </w:r>
      <w:r w:rsidRPr="00DB26E4">
        <w:rPr>
          <w:rFonts w:ascii="Times New Roman" w:hAnsi="Times New Roman" w:cs="Times New Roman"/>
          <w:sz w:val="24"/>
          <w:szCs w:val="24"/>
        </w:rPr>
        <w:t xml:space="preserve"> = total debt/ (total equity + total debt) </w:t>
      </w:r>
    </w:p>
    <w:p w14:paraId="1B78F27B" w14:textId="77777777" w:rsidR="00A73ACE" w:rsidRPr="00DB26E4" w:rsidRDefault="00A73ACE" w:rsidP="002B5C1C">
      <w:pPr>
        <w:spacing w:after="0" w:line="360" w:lineRule="auto"/>
        <w:rPr>
          <w:rFonts w:ascii="Times New Roman" w:hAnsi="Times New Roman" w:cs="Times New Roman"/>
          <w:sz w:val="24"/>
          <w:szCs w:val="24"/>
        </w:rPr>
      </w:pPr>
      <w:r w:rsidRPr="00DB26E4">
        <w:rPr>
          <w:rFonts w:ascii="Times New Roman" w:hAnsi="Times New Roman" w:cs="Times New Roman"/>
          <w:sz w:val="24"/>
          <w:szCs w:val="24"/>
        </w:rPr>
        <w:t xml:space="preserve">Total debt=non-current liabilities+ current liabilities </w:t>
      </w:r>
    </w:p>
    <w:p w14:paraId="09FB0C3D" w14:textId="77777777" w:rsidR="00A73ACE" w:rsidRPr="00DB26E4" w:rsidRDefault="00A73ACE" w:rsidP="002B5C1C">
      <w:pPr>
        <w:spacing w:after="0" w:line="360" w:lineRule="auto"/>
        <w:rPr>
          <w:rFonts w:ascii="Times New Roman" w:hAnsi="Times New Roman" w:cs="Times New Roman"/>
          <w:sz w:val="24"/>
          <w:szCs w:val="24"/>
        </w:rPr>
      </w:pPr>
      <w:r w:rsidRPr="00DB26E4">
        <w:rPr>
          <w:rFonts w:ascii="Times New Roman" w:hAnsi="Times New Roman" w:cs="Times New Roman"/>
          <w:sz w:val="24"/>
          <w:szCs w:val="24"/>
        </w:rPr>
        <w:t>Total equity = total assets – total liabilities</w:t>
      </w:r>
    </w:p>
    <w:p w14:paraId="7F11326F"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lastRenderedPageBreak/>
        <w:t>Table-5.4</w:t>
      </w:r>
    </w:p>
    <w:tbl>
      <w:tblPr>
        <w:tblStyle w:val="TableGrid"/>
        <w:tblW w:w="0" w:type="auto"/>
        <w:jc w:val="center"/>
        <w:tblLook w:val="04A0" w:firstRow="1" w:lastRow="0" w:firstColumn="1" w:lastColumn="0" w:noHBand="0" w:noVBand="1"/>
      </w:tblPr>
      <w:tblGrid>
        <w:gridCol w:w="1256"/>
        <w:gridCol w:w="1255"/>
        <w:gridCol w:w="1441"/>
        <w:gridCol w:w="776"/>
      </w:tblGrid>
      <w:tr w:rsidR="00C20B0F" w:rsidRPr="00DB26E4" w14:paraId="1E32E8D0" w14:textId="77777777" w:rsidTr="00167225">
        <w:trPr>
          <w:jc w:val="center"/>
        </w:trPr>
        <w:tc>
          <w:tcPr>
            <w:tcW w:w="0" w:type="auto"/>
          </w:tcPr>
          <w:p w14:paraId="51C8C7F5" w14:textId="77777777" w:rsidR="00C20B0F" w:rsidRPr="00DB26E4" w:rsidRDefault="00C20B0F"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Years</w:t>
            </w:r>
          </w:p>
        </w:tc>
        <w:tc>
          <w:tcPr>
            <w:tcW w:w="0" w:type="auto"/>
          </w:tcPr>
          <w:p w14:paraId="1EABD0C2" w14:textId="77777777" w:rsidR="00C20B0F" w:rsidRPr="00DB26E4" w:rsidRDefault="00C20B0F"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Total debt</w:t>
            </w:r>
          </w:p>
        </w:tc>
        <w:tc>
          <w:tcPr>
            <w:tcW w:w="0" w:type="auto"/>
          </w:tcPr>
          <w:p w14:paraId="40745248" w14:textId="77777777" w:rsidR="00C20B0F" w:rsidRPr="00DB26E4" w:rsidRDefault="00C20B0F"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Total equity</w:t>
            </w:r>
          </w:p>
        </w:tc>
        <w:tc>
          <w:tcPr>
            <w:tcW w:w="0" w:type="auto"/>
          </w:tcPr>
          <w:p w14:paraId="498569A6" w14:textId="77777777" w:rsidR="00C20B0F" w:rsidRPr="00DB26E4" w:rsidRDefault="00C20B0F"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Ratio</w:t>
            </w:r>
          </w:p>
        </w:tc>
      </w:tr>
      <w:tr w:rsidR="00C20B0F" w:rsidRPr="00DB26E4" w14:paraId="3A016D31" w14:textId="77777777" w:rsidTr="00167225">
        <w:trPr>
          <w:jc w:val="center"/>
        </w:trPr>
        <w:tc>
          <w:tcPr>
            <w:tcW w:w="0" w:type="auto"/>
          </w:tcPr>
          <w:p w14:paraId="221A2F6F"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2022-2023</w:t>
            </w:r>
          </w:p>
        </w:tc>
        <w:tc>
          <w:tcPr>
            <w:tcW w:w="0" w:type="auto"/>
          </w:tcPr>
          <w:p w14:paraId="619A6DD2"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49196.86</w:t>
            </w:r>
          </w:p>
        </w:tc>
        <w:tc>
          <w:tcPr>
            <w:tcW w:w="0" w:type="auto"/>
          </w:tcPr>
          <w:p w14:paraId="7C73E97A"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67370.25</w:t>
            </w:r>
          </w:p>
        </w:tc>
        <w:tc>
          <w:tcPr>
            <w:tcW w:w="0" w:type="auto"/>
          </w:tcPr>
          <w:p w14:paraId="05D0E582"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0.73</w:t>
            </w:r>
          </w:p>
        </w:tc>
      </w:tr>
      <w:tr w:rsidR="00C20B0F" w:rsidRPr="00DB26E4" w14:paraId="3B28C9CE" w14:textId="77777777" w:rsidTr="00167225">
        <w:trPr>
          <w:jc w:val="center"/>
        </w:trPr>
        <w:tc>
          <w:tcPr>
            <w:tcW w:w="0" w:type="auto"/>
          </w:tcPr>
          <w:p w14:paraId="63C6B6C8"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2021-2022</w:t>
            </w:r>
          </w:p>
        </w:tc>
        <w:tc>
          <w:tcPr>
            <w:tcW w:w="0" w:type="auto"/>
          </w:tcPr>
          <w:p w14:paraId="595F0985"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35431.8</w:t>
            </w:r>
          </w:p>
        </w:tc>
        <w:tc>
          <w:tcPr>
            <w:tcW w:w="0" w:type="auto"/>
          </w:tcPr>
          <w:p w14:paraId="2DFD1E9D"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51168.68</w:t>
            </w:r>
          </w:p>
        </w:tc>
        <w:tc>
          <w:tcPr>
            <w:tcW w:w="0" w:type="auto"/>
          </w:tcPr>
          <w:p w14:paraId="628C4B12"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0.69</w:t>
            </w:r>
          </w:p>
        </w:tc>
      </w:tr>
      <w:tr w:rsidR="00C20B0F" w:rsidRPr="00DB26E4" w14:paraId="0408DCA5" w14:textId="77777777" w:rsidTr="00167225">
        <w:trPr>
          <w:jc w:val="center"/>
        </w:trPr>
        <w:tc>
          <w:tcPr>
            <w:tcW w:w="0" w:type="auto"/>
          </w:tcPr>
          <w:p w14:paraId="26D2BCA1"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2020-2021</w:t>
            </w:r>
          </w:p>
        </w:tc>
        <w:tc>
          <w:tcPr>
            <w:tcW w:w="0" w:type="auto"/>
          </w:tcPr>
          <w:p w14:paraId="7D9B2954"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31296.12</w:t>
            </w:r>
          </w:p>
        </w:tc>
        <w:tc>
          <w:tcPr>
            <w:tcW w:w="0" w:type="auto"/>
          </w:tcPr>
          <w:p w14:paraId="448D683D"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45101.55</w:t>
            </w:r>
          </w:p>
        </w:tc>
        <w:tc>
          <w:tcPr>
            <w:tcW w:w="0" w:type="auto"/>
          </w:tcPr>
          <w:p w14:paraId="7FE4B536"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0.69</w:t>
            </w:r>
          </w:p>
        </w:tc>
      </w:tr>
      <w:tr w:rsidR="00C20B0F" w:rsidRPr="00DB26E4" w14:paraId="4323EA63" w14:textId="77777777" w:rsidTr="00167225">
        <w:trPr>
          <w:jc w:val="center"/>
        </w:trPr>
        <w:tc>
          <w:tcPr>
            <w:tcW w:w="0" w:type="auto"/>
          </w:tcPr>
          <w:p w14:paraId="63055B83"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2019-2020</w:t>
            </w:r>
          </w:p>
        </w:tc>
        <w:tc>
          <w:tcPr>
            <w:tcW w:w="0" w:type="auto"/>
          </w:tcPr>
          <w:p w14:paraId="5F94ABEC"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25467.83</w:t>
            </w:r>
          </w:p>
        </w:tc>
        <w:tc>
          <w:tcPr>
            <w:tcW w:w="0" w:type="auto"/>
          </w:tcPr>
          <w:p w14:paraId="659455D2"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34802.09</w:t>
            </w:r>
          </w:p>
        </w:tc>
        <w:tc>
          <w:tcPr>
            <w:tcW w:w="0" w:type="auto"/>
          </w:tcPr>
          <w:p w14:paraId="06AD585F"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0.73</w:t>
            </w:r>
          </w:p>
        </w:tc>
      </w:tr>
      <w:tr w:rsidR="00C20B0F" w:rsidRPr="00DB26E4" w14:paraId="5BB5E33B" w14:textId="77777777" w:rsidTr="00167225">
        <w:trPr>
          <w:jc w:val="center"/>
        </w:trPr>
        <w:tc>
          <w:tcPr>
            <w:tcW w:w="0" w:type="auto"/>
          </w:tcPr>
          <w:p w14:paraId="53E3A271"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2018-2019</w:t>
            </w:r>
          </w:p>
        </w:tc>
        <w:tc>
          <w:tcPr>
            <w:tcW w:w="0" w:type="auto"/>
          </w:tcPr>
          <w:p w14:paraId="5EDBB805"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196427.94</w:t>
            </w:r>
          </w:p>
        </w:tc>
        <w:tc>
          <w:tcPr>
            <w:tcW w:w="0" w:type="auto"/>
          </w:tcPr>
          <w:p w14:paraId="2E2F7208"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243044.39</w:t>
            </w:r>
          </w:p>
        </w:tc>
        <w:tc>
          <w:tcPr>
            <w:tcW w:w="0" w:type="auto"/>
          </w:tcPr>
          <w:p w14:paraId="6D366B0E" w14:textId="77777777" w:rsidR="00C20B0F" w:rsidRPr="00DB26E4" w:rsidRDefault="00C20B0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0.80</w:t>
            </w:r>
          </w:p>
        </w:tc>
      </w:tr>
    </w:tbl>
    <w:p w14:paraId="6BDB450B" w14:textId="77777777" w:rsidR="002B5C1C" w:rsidRDefault="002B5C1C" w:rsidP="002B5C1C">
      <w:pPr>
        <w:spacing w:after="0" w:line="360" w:lineRule="auto"/>
        <w:rPr>
          <w:rFonts w:ascii="Times New Roman" w:hAnsi="Times New Roman" w:cs="Times New Roman"/>
          <w:b/>
          <w:bCs/>
          <w:sz w:val="24"/>
          <w:szCs w:val="24"/>
        </w:rPr>
      </w:pPr>
    </w:p>
    <w:p w14:paraId="55F4A570" w14:textId="77777777" w:rsidR="002B5C1C" w:rsidRDefault="002B5C1C" w:rsidP="002B5C1C">
      <w:pPr>
        <w:spacing w:after="0" w:line="360" w:lineRule="auto"/>
        <w:rPr>
          <w:rFonts w:ascii="Times New Roman" w:hAnsi="Times New Roman" w:cs="Times New Roman"/>
          <w:b/>
          <w:bCs/>
          <w:sz w:val="24"/>
          <w:szCs w:val="24"/>
        </w:rPr>
      </w:pPr>
    </w:p>
    <w:p w14:paraId="257BB000" w14:textId="77777777" w:rsidR="002B5C1C" w:rsidRDefault="002B5C1C" w:rsidP="002B5C1C">
      <w:pPr>
        <w:spacing w:after="0" w:line="360" w:lineRule="auto"/>
        <w:rPr>
          <w:rFonts w:ascii="Times New Roman" w:hAnsi="Times New Roman" w:cs="Times New Roman"/>
          <w:b/>
          <w:bCs/>
          <w:sz w:val="24"/>
          <w:szCs w:val="24"/>
        </w:rPr>
      </w:pPr>
    </w:p>
    <w:p w14:paraId="151BC293" w14:textId="77777777" w:rsidR="002B5C1C" w:rsidRDefault="002B5C1C" w:rsidP="002B5C1C">
      <w:pPr>
        <w:spacing w:after="0" w:line="360" w:lineRule="auto"/>
        <w:rPr>
          <w:rFonts w:ascii="Times New Roman" w:hAnsi="Times New Roman" w:cs="Times New Roman"/>
          <w:b/>
          <w:bCs/>
          <w:sz w:val="24"/>
          <w:szCs w:val="24"/>
        </w:rPr>
      </w:pPr>
    </w:p>
    <w:p w14:paraId="65043B52"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GRAPH 5.4</w:t>
      </w:r>
    </w:p>
    <w:p w14:paraId="6E64A249" w14:textId="77777777" w:rsidR="00C20B0F" w:rsidRPr="00DB26E4" w:rsidRDefault="00C20B0F" w:rsidP="002B5C1C">
      <w:pPr>
        <w:spacing w:after="0" w:line="360" w:lineRule="auto"/>
        <w:jc w:val="center"/>
        <w:rPr>
          <w:rFonts w:ascii="Times New Roman" w:hAnsi="Times New Roman" w:cs="Times New Roman"/>
          <w:b/>
          <w:bCs/>
          <w:sz w:val="24"/>
          <w:szCs w:val="24"/>
        </w:rPr>
      </w:pPr>
      <w:r w:rsidRPr="00DB26E4">
        <w:rPr>
          <w:rFonts w:ascii="Times New Roman" w:hAnsi="Times New Roman" w:cs="Times New Roman"/>
          <w:noProof/>
          <w:sz w:val="24"/>
          <w:szCs w:val="24"/>
          <w:lang w:val="en-US"/>
        </w:rPr>
        <w:drawing>
          <wp:inline distT="0" distB="0" distL="0" distR="0" wp14:anchorId="2D94FD36" wp14:editId="47C2B990">
            <wp:extent cx="3520165" cy="1846053"/>
            <wp:effectExtent l="19050" t="0" r="23135" b="1797"/>
            <wp:docPr id="16299944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B2C122"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Interpretation:</w:t>
      </w:r>
    </w:p>
    <w:p w14:paraId="55A7FD82" w14:textId="77777777" w:rsidR="00C20B0F" w:rsidRPr="00DB26E4" w:rsidRDefault="00C20B0F" w:rsidP="002B5C1C">
      <w:p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It calculates how much of a company's capital is financed by debt as opposed to equity. There could be debt repayment and capital rising. A decrease in the debt-to-capital ratio from 0.80 to 0.69 implies a considerable reduction in debt relative to the total capital utilized by the organization. In 2021–2023, the debt-to-capital ratio rose from 0.69 to 0.73 as a result of debt issuance and a decline in equity for capital expenditures. The total debit increased.</w:t>
      </w:r>
    </w:p>
    <w:p w14:paraId="28B53AFF" w14:textId="77777777" w:rsidR="00A73ACE" w:rsidRPr="00DB26E4" w:rsidRDefault="00A73ACE" w:rsidP="002B5C1C">
      <w:pPr>
        <w:spacing w:after="0" w:line="360" w:lineRule="auto"/>
        <w:rPr>
          <w:rFonts w:ascii="Times New Roman" w:hAnsi="Times New Roman" w:cs="Times New Roman"/>
          <w:sz w:val="24"/>
          <w:szCs w:val="24"/>
        </w:rPr>
      </w:pPr>
      <w:r w:rsidRPr="00DB26E4">
        <w:rPr>
          <w:rFonts w:ascii="Times New Roman" w:hAnsi="Times New Roman" w:cs="Times New Roman"/>
          <w:b/>
          <w:bCs/>
          <w:sz w:val="24"/>
          <w:szCs w:val="24"/>
        </w:rPr>
        <w:t>3. Proprietary ratio</w:t>
      </w:r>
      <w:r w:rsidRPr="00DB26E4">
        <w:rPr>
          <w:rFonts w:ascii="Times New Roman" w:hAnsi="Times New Roman" w:cs="Times New Roman"/>
          <w:sz w:val="24"/>
          <w:szCs w:val="24"/>
        </w:rPr>
        <w:t xml:space="preserve"> = shareholders’ funds /total assets</w:t>
      </w:r>
    </w:p>
    <w:p w14:paraId="4BA50926"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lastRenderedPageBreak/>
        <w:t>Table-5.5</w:t>
      </w:r>
    </w:p>
    <w:tbl>
      <w:tblPr>
        <w:tblStyle w:val="TableGrid"/>
        <w:tblW w:w="0" w:type="auto"/>
        <w:jc w:val="center"/>
        <w:tblLook w:val="04A0" w:firstRow="1" w:lastRow="0" w:firstColumn="1" w:lastColumn="0" w:noHBand="0" w:noVBand="1"/>
      </w:tblPr>
      <w:tblGrid>
        <w:gridCol w:w="1256"/>
        <w:gridCol w:w="2228"/>
        <w:gridCol w:w="1388"/>
        <w:gridCol w:w="776"/>
      </w:tblGrid>
      <w:tr w:rsidR="00B73EE8" w:rsidRPr="00DB26E4" w14:paraId="7C762192" w14:textId="77777777" w:rsidTr="00167225">
        <w:trPr>
          <w:jc w:val="center"/>
        </w:trPr>
        <w:tc>
          <w:tcPr>
            <w:tcW w:w="0" w:type="auto"/>
          </w:tcPr>
          <w:p w14:paraId="155CDFB5" w14:textId="77777777" w:rsidR="00B73EE8" w:rsidRPr="00DB26E4" w:rsidRDefault="00B73EE8"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Years</w:t>
            </w:r>
          </w:p>
        </w:tc>
        <w:tc>
          <w:tcPr>
            <w:tcW w:w="0" w:type="auto"/>
          </w:tcPr>
          <w:p w14:paraId="26FEE19F" w14:textId="77777777" w:rsidR="00B73EE8" w:rsidRPr="00DB26E4" w:rsidRDefault="00B73EE8"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shareholders’ funds</w:t>
            </w:r>
          </w:p>
        </w:tc>
        <w:tc>
          <w:tcPr>
            <w:tcW w:w="0" w:type="auto"/>
          </w:tcPr>
          <w:p w14:paraId="1B225373" w14:textId="77777777" w:rsidR="00B73EE8" w:rsidRPr="00DB26E4" w:rsidRDefault="00B73EE8"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 xml:space="preserve">Total assets </w:t>
            </w:r>
          </w:p>
        </w:tc>
        <w:tc>
          <w:tcPr>
            <w:tcW w:w="0" w:type="auto"/>
          </w:tcPr>
          <w:p w14:paraId="0EE82F95" w14:textId="77777777" w:rsidR="00B73EE8" w:rsidRPr="00DB26E4" w:rsidRDefault="00B73EE8"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Ratio</w:t>
            </w:r>
          </w:p>
        </w:tc>
      </w:tr>
      <w:tr w:rsidR="00B73EE8" w:rsidRPr="00DB26E4" w14:paraId="13090915" w14:textId="77777777" w:rsidTr="00167225">
        <w:trPr>
          <w:jc w:val="center"/>
        </w:trPr>
        <w:tc>
          <w:tcPr>
            <w:tcW w:w="0" w:type="auto"/>
          </w:tcPr>
          <w:p w14:paraId="5AF2D1F4"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2022-2023</w:t>
            </w:r>
          </w:p>
        </w:tc>
        <w:tc>
          <w:tcPr>
            <w:tcW w:w="0" w:type="auto"/>
          </w:tcPr>
          <w:p w14:paraId="306D577B"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18174.39</w:t>
            </w:r>
          </w:p>
        </w:tc>
        <w:tc>
          <w:tcPr>
            <w:tcW w:w="0" w:type="auto"/>
          </w:tcPr>
          <w:p w14:paraId="6DC1DB5A"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67370.25</w:t>
            </w:r>
          </w:p>
        </w:tc>
        <w:tc>
          <w:tcPr>
            <w:tcW w:w="0" w:type="auto"/>
          </w:tcPr>
          <w:p w14:paraId="41090B73"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0.26</w:t>
            </w:r>
          </w:p>
        </w:tc>
      </w:tr>
      <w:tr w:rsidR="00B73EE8" w:rsidRPr="00DB26E4" w14:paraId="3BC7D3B0" w14:textId="77777777" w:rsidTr="00167225">
        <w:trPr>
          <w:jc w:val="center"/>
        </w:trPr>
        <w:tc>
          <w:tcPr>
            <w:tcW w:w="0" w:type="auto"/>
          </w:tcPr>
          <w:p w14:paraId="5CAE16FC"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2021-2022</w:t>
            </w:r>
          </w:p>
        </w:tc>
        <w:tc>
          <w:tcPr>
            <w:tcW w:w="0" w:type="auto"/>
          </w:tcPr>
          <w:p w14:paraId="1DB4AFC5"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15736.88</w:t>
            </w:r>
          </w:p>
        </w:tc>
        <w:tc>
          <w:tcPr>
            <w:tcW w:w="0" w:type="auto"/>
          </w:tcPr>
          <w:p w14:paraId="37C7D376"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51168.65</w:t>
            </w:r>
          </w:p>
        </w:tc>
        <w:tc>
          <w:tcPr>
            <w:tcW w:w="0" w:type="auto"/>
          </w:tcPr>
          <w:p w14:paraId="080826DE"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0.30</w:t>
            </w:r>
          </w:p>
        </w:tc>
      </w:tr>
      <w:tr w:rsidR="00B73EE8" w:rsidRPr="00DB26E4" w14:paraId="4168027A" w14:textId="77777777" w:rsidTr="00167225">
        <w:trPr>
          <w:jc w:val="center"/>
        </w:trPr>
        <w:tc>
          <w:tcPr>
            <w:tcW w:w="0" w:type="auto"/>
          </w:tcPr>
          <w:p w14:paraId="7C10D3E3"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2020-2021</w:t>
            </w:r>
          </w:p>
        </w:tc>
        <w:tc>
          <w:tcPr>
            <w:tcW w:w="0" w:type="auto"/>
          </w:tcPr>
          <w:p w14:paraId="2C9D9A36"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13805.43</w:t>
            </w:r>
          </w:p>
        </w:tc>
        <w:tc>
          <w:tcPr>
            <w:tcW w:w="0" w:type="auto"/>
          </w:tcPr>
          <w:p w14:paraId="3531CF14"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45101.55</w:t>
            </w:r>
          </w:p>
        </w:tc>
        <w:tc>
          <w:tcPr>
            <w:tcW w:w="0" w:type="auto"/>
          </w:tcPr>
          <w:p w14:paraId="52E1F45A"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0.30</w:t>
            </w:r>
          </w:p>
        </w:tc>
      </w:tr>
      <w:tr w:rsidR="00B73EE8" w:rsidRPr="00DB26E4" w14:paraId="531135EB" w14:textId="77777777" w:rsidTr="00167225">
        <w:trPr>
          <w:jc w:val="center"/>
        </w:trPr>
        <w:tc>
          <w:tcPr>
            <w:tcW w:w="0" w:type="auto"/>
          </w:tcPr>
          <w:p w14:paraId="4E33DDBB"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2019-2020</w:t>
            </w:r>
          </w:p>
        </w:tc>
        <w:tc>
          <w:tcPr>
            <w:tcW w:w="0" w:type="auto"/>
          </w:tcPr>
          <w:p w14:paraId="36CE3FDA"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9334.26</w:t>
            </w:r>
          </w:p>
        </w:tc>
        <w:tc>
          <w:tcPr>
            <w:tcW w:w="0" w:type="auto"/>
          </w:tcPr>
          <w:p w14:paraId="21745DC5"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34802.09</w:t>
            </w:r>
          </w:p>
        </w:tc>
        <w:tc>
          <w:tcPr>
            <w:tcW w:w="0" w:type="auto"/>
          </w:tcPr>
          <w:p w14:paraId="083E24AA"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0.26</w:t>
            </w:r>
          </w:p>
        </w:tc>
      </w:tr>
      <w:tr w:rsidR="00B73EE8" w:rsidRPr="00DB26E4" w14:paraId="4EB3F2AE" w14:textId="77777777" w:rsidTr="00167225">
        <w:trPr>
          <w:jc w:val="center"/>
        </w:trPr>
        <w:tc>
          <w:tcPr>
            <w:tcW w:w="0" w:type="auto"/>
          </w:tcPr>
          <w:p w14:paraId="564E5FFF"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2018-2019</w:t>
            </w:r>
          </w:p>
        </w:tc>
        <w:tc>
          <w:tcPr>
            <w:tcW w:w="0" w:type="auto"/>
          </w:tcPr>
          <w:p w14:paraId="17C59B7F"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52617.15</w:t>
            </w:r>
          </w:p>
        </w:tc>
        <w:tc>
          <w:tcPr>
            <w:tcW w:w="0" w:type="auto"/>
          </w:tcPr>
          <w:p w14:paraId="12EB1328"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249044.39</w:t>
            </w:r>
          </w:p>
        </w:tc>
        <w:tc>
          <w:tcPr>
            <w:tcW w:w="0" w:type="auto"/>
          </w:tcPr>
          <w:p w14:paraId="5F4AABF6"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0.21</w:t>
            </w:r>
          </w:p>
        </w:tc>
      </w:tr>
    </w:tbl>
    <w:p w14:paraId="6871CFC8"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GRAPH 5.5</w:t>
      </w:r>
    </w:p>
    <w:p w14:paraId="713D0BF0" w14:textId="77777777" w:rsidR="00B73EE8" w:rsidRPr="00DB26E4" w:rsidRDefault="00B73EE8" w:rsidP="002B5C1C">
      <w:pPr>
        <w:spacing w:after="0" w:line="360" w:lineRule="auto"/>
        <w:jc w:val="center"/>
        <w:rPr>
          <w:rFonts w:ascii="Times New Roman" w:hAnsi="Times New Roman" w:cs="Times New Roman"/>
          <w:b/>
          <w:bCs/>
          <w:sz w:val="24"/>
          <w:szCs w:val="24"/>
        </w:rPr>
      </w:pPr>
      <w:r w:rsidRPr="00DB26E4">
        <w:rPr>
          <w:rFonts w:ascii="Times New Roman" w:hAnsi="Times New Roman" w:cs="Times New Roman"/>
          <w:noProof/>
          <w:sz w:val="24"/>
          <w:szCs w:val="24"/>
          <w:lang w:val="en-US"/>
        </w:rPr>
        <w:drawing>
          <wp:inline distT="0" distB="0" distL="0" distR="0" wp14:anchorId="1455A4F4" wp14:editId="34A5DDBD">
            <wp:extent cx="3424639" cy="1570007"/>
            <wp:effectExtent l="19050" t="0" r="23411" b="0"/>
            <wp:docPr id="787225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FFDFB0" w14:textId="77777777" w:rsidR="00A73ACE" w:rsidRPr="00DB26E4" w:rsidRDefault="00A73ACE" w:rsidP="002B5C1C">
      <w:pPr>
        <w:spacing w:after="0" w:line="360" w:lineRule="auto"/>
        <w:jc w:val="both"/>
        <w:rPr>
          <w:rFonts w:ascii="Times New Roman" w:hAnsi="Times New Roman" w:cs="Times New Roman"/>
          <w:b/>
          <w:bCs/>
          <w:sz w:val="24"/>
          <w:szCs w:val="24"/>
        </w:rPr>
      </w:pPr>
      <w:r w:rsidRPr="00DB26E4">
        <w:rPr>
          <w:rFonts w:ascii="Times New Roman" w:hAnsi="Times New Roman" w:cs="Times New Roman"/>
          <w:b/>
          <w:bCs/>
          <w:sz w:val="24"/>
          <w:szCs w:val="24"/>
        </w:rPr>
        <w:t>Interpretation:</w:t>
      </w:r>
    </w:p>
    <w:p w14:paraId="6C35332F" w14:textId="77777777" w:rsidR="001C1687" w:rsidRPr="00DB26E4" w:rsidRDefault="00B73EE8" w:rsidP="002B5C1C">
      <w:pPr>
        <w:spacing w:after="0" w:line="360" w:lineRule="auto"/>
        <w:jc w:val="both"/>
        <w:rPr>
          <w:rFonts w:ascii="Times New Roman" w:hAnsi="Times New Roman" w:cs="Times New Roman"/>
          <w:b/>
          <w:bCs/>
          <w:sz w:val="24"/>
          <w:szCs w:val="24"/>
        </w:rPr>
      </w:pPr>
      <w:r w:rsidRPr="00DB26E4">
        <w:rPr>
          <w:rFonts w:ascii="Times New Roman" w:eastAsia="Times New Roman" w:hAnsi="Times New Roman" w:cs="Times New Roman"/>
          <w:kern w:val="0"/>
          <w:sz w:val="24"/>
          <w:szCs w:val="24"/>
          <w:lang w:eastAsia="en-IN"/>
        </w:rPr>
        <w:t>Property acquisition, revaluation of property, and capital expenditures on property were the factors that caused the proprietary ratio to rise from 0.21 to 0.26 between the years of 2019 and 2022, indicating that a higher share of the company's assets is now financed through property and the shareholder's funds are increasing.</w:t>
      </w:r>
    </w:p>
    <w:p w14:paraId="4FF98085" w14:textId="77777777" w:rsidR="002B5C1C" w:rsidRDefault="002B5C1C" w:rsidP="002B5C1C">
      <w:pPr>
        <w:spacing w:after="0" w:line="360" w:lineRule="auto"/>
        <w:jc w:val="both"/>
        <w:rPr>
          <w:rFonts w:ascii="Times New Roman" w:hAnsi="Times New Roman" w:cs="Times New Roman"/>
          <w:b/>
          <w:bCs/>
          <w:sz w:val="24"/>
          <w:szCs w:val="24"/>
        </w:rPr>
      </w:pPr>
    </w:p>
    <w:p w14:paraId="31C43E44" w14:textId="77777777" w:rsidR="00A73ACE" w:rsidRPr="00DB26E4" w:rsidRDefault="00A73ACE" w:rsidP="002B5C1C">
      <w:pPr>
        <w:spacing w:after="0" w:line="360" w:lineRule="auto"/>
        <w:jc w:val="both"/>
        <w:rPr>
          <w:rFonts w:ascii="Times New Roman" w:hAnsi="Times New Roman" w:cs="Times New Roman"/>
          <w:b/>
          <w:bCs/>
          <w:sz w:val="24"/>
          <w:szCs w:val="24"/>
        </w:rPr>
      </w:pPr>
      <w:r w:rsidRPr="00DB26E4">
        <w:rPr>
          <w:rFonts w:ascii="Times New Roman" w:hAnsi="Times New Roman" w:cs="Times New Roman"/>
          <w:b/>
          <w:bCs/>
          <w:sz w:val="24"/>
          <w:szCs w:val="24"/>
        </w:rPr>
        <w:t>C. Profitability Ratio</w:t>
      </w:r>
    </w:p>
    <w:p w14:paraId="50958946" w14:textId="77777777" w:rsidR="00A73ACE" w:rsidRPr="00DB26E4" w:rsidRDefault="00A73ACE" w:rsidP="002B5C1C">
      <w:pPr>
        <w:spacing w:after="0" w:line="360" w:lineRule="auto"/>
        <w:jc w:val="both"/>
        <w:rPr>
          <w:rFonts w:ascii="Times New Roman" w:hAnsi="Times New Roman" w:cs="Times New Roman"/>
          <w:b/>
          <w:bCs/>
          <w:sz w:val="24"/>
          <w:szCs w:val="24"/>
        </w:rPr>
      </w:pPr>
      <w:r w:rsidRPr="00DB26E4">
        <w:rPr>
          <w:rFonts w:ascii="Times New Roman" w:hAnsi="Times New Roman" w:cs="Times New Roman"/>
          <w:b/>
          <w:bCs/>
          <w:sz w:val="24"/>
          <w:szCs w:val="24"/>
        </w:rPr>
        <w:t xml:space="preserve">1.Return on equity </w:t>
      </w:r>
    </w:p>
    <w:p w14:paraId="13C022B7" w14:textId="77777777" w:rsidR="00A73ACE" w:rsidRPr="00DB26E4" w:rsidRDefault="00A73ACE" w:rsidP="002B5C1C">
      <w:pPr>
        <w:spacing w:after="0" w:line="360" w:lineRule="auto"/>
        <w:jc w:val="both"/>
        <w:rPr>
          <w:rFonts w:ascii="Times New Roman" w:hAnsi="Times New Roman" w:cs="Times New Roman"/>
          <w:sz w:val="24"/>
          <w:szCs w:val="24"/>
        </w:rPr>
      </w:pPr>
      <w:r w:rsidRPr="00DB26E4">
        <w:rPr>
          <w:rFonts w:ascii="Times New Roman" w:hAnsi="Times New Roman" w:cs="Times New Roman"/>
          <w:sz w:val="24"/>
          <w:szCs w:val="24"/>
        </w:rPr>
        <w:t xml:space="preserve"> ROE = Net profit after taxes / shareholders’ equity</w:t>
      </w:r>
    </w:p>
    <w:p w14:paraId="4D00899E" w14:textId="77777777" w:rsidR="00A73ACE" w:rsidRPr="00DB26E4" w:rsidRDefault="00A73ACE" w:rsidP="002B5C1C">
      <w:pPr>
        <w:spacing w:after="0" w:line="360" w:lineRule="auto"/>
        <w:jc w:val="both"/>
        <w:rPr>
          <w:rFonts w:ascii="Times New Roman" w:hAnsi="Times New Roman" w:cs="Times New Roman"/>
          <w:sz w:val="24"/>
          <w:szCs w:val="24"/>
        </w:rPr>
      </w:pPr>
      <w:r w:rsidRPr="00DB26E4">
        <w:rPr>
          <w:rFonts w:ascii="Times New Roman" w:hAnsi="Times New Roman" w:cs="Times New Roman"/>
          <w:sz w:val="24"/>
          <w:szCs w:val="24"/>
        </w:rPr>
        <w:t xml:space="preserve"> NPAT= Net profit before tax – total tax expense</w:t>
      </w:r>
    </w:p>
    <w:p w14:paraId="28AC42A6" w14:textId="77777777" w:rsidR="00A73ACE" w:rsidRPr="00DB26E4" w:rsidRDefault="00A73ACE" w:rsidP="002B5C1C">
      <w:pPr>
        <w:spacing w:after="0" w:line="360" w:lineRule="auto"/>
        <w:jc w:val="both"/>
        <w:rPr>
          <w:rFonts w:ascii="Times New Roman" w:hAnsi="Times New Roman" w:cs="Times New Roman"/>
          <w:b/>
          <w:bCs/>
          <w:sz w:val="24"/>
          <w:szCs w:val="24"/>
        </w:rPr>
      </w:pPr>
      <w:r w:rsidRPr="00DB26E4">
        <w:rPr>
          <w:rFonts w:ascii="Times New Roman" w:hAnsi="Times New Roman" w:cs="Times New Roman"/>
          <w:b/>
          <w:bCs/>
          <w:sz w:val="24"/>
          <w:szCs w:val="24"/>
        </w:rPr>
        <w:t>Table-5.6</w:t>
      </w:r>
    </w:p>
    <w:tbl>
      <w:tblPr>
        <w:tblStyle w:val="TableGrid"/>
        <w:tblW w:w="0" w:type="auto"/>
        <w:jc w:val="center"/>
        <w:tblLook w:val="04A0" w:firstRow="1" w:lastRow="0" w:firstColumn="1" w:lastColumn="0" w:noHBand="0" w:noVBand="1"/>
      </w:tblPr>
      <w:tblGrid>
        <w:gridCol w:w="1256"/>
        <w:gridCol w:w="2347"/>
        <w:gridCol w:w="2294"/>
        <w:gridCol w:w="776"/>
      </w:tblGrid>
      <w:tr w:rsidR="00B73EE8" w:rsidRPr="00DB26E4" w14:paraId="16764B59" w14:textId="77777777" w:rsidTr="00167225">
        <w:trPr>
          <w:jc w:val="center"/>
        </w:trPr>
        <w:tc>
          <w:tcPr>
            <w:tcW w:w="0" w:type="auto"/>
          </w:tcPr>
          <w:p w14:paraId="7385A262" w14:textId="77777777" w:rsidR="00B73EE8" w:rsidRPr="00DB26E4" w:rsidRDefault="00B73EE8" w:rsidP="002B5C1C">
            <w:pPr>
              <w:spacing w:line="360" w:lineRule="auto"/>
              <w:jc w:val="both"/>
              <w:rPr>
                <w:rFonts w:ascii="Times New Roman" w:hAnsi="Times New Roman" w:cs="Times New Roman"/>
                <w:b/>
                <w:bCs/>
                <w:sz w:val="24"/>
                <w:szCs w:val="24"/>
              </w:rPr>
            </w:pPr>
            <w:r w:rsidRPr="00DB26E4">
              <w:rPr>
                <w:rFonts w:ascii="Times New Roman" w:hAnsi="Times New Roman" w:cs="Times New Roman"/>
                <w:b/>
                <w:bCs/>
                <w:sz w:val="24"/>
                <w:szCs w:val="24"/>
              </w:rPr>
              <w:t>Years</w:t>
            </w:r>
          </w:p>
        </w:tc>
        <w:tc>
          <w:tcPr>
            <w:tcW w:w="0" w:type="auto"/>
          </w:tcPr>
          <w:p w14:paraId="68B37FC3" w14:textId="77777777" w:rsidR="00B73EE8" w:rsidRPr="00DB26E4" w:rsidRDefault="00B73EE8" w:rsidP="002B5C1C">
            <w:pPr>
              <w:spacing w:line="360" w:lineRule="auto"/>
              <w:jc w:val="both"/>
              <w:rPr>
                <w:rFonts w:ascii="Times New Roman" w:hAnsi="Times New Roman" w:cs="Times New Roman"/>
                <w:b/>
                <w:bCs/>
                <w:sz w:val="24"/>
                <w:szCs w:val="24"/>
              </w:rPr>
            </w:pPr>
            <w:r w:rsidRPr="00DB26E4">
              <w:rPr>
                <w:rFonts w:ascii="Times New Roman" w:hAnsi="Times New Roman" w:cs="Times New Roman"/>
                <w:b/>
                <w:bCs/>
                <w:sz w:val="24"/>
                <w:szCs w:val="24"/>
              </w:rPr>
              <w:t>Net profit after taxes</w:t>
            </w:r>
          </w:p>
        </w:tc>
        <w:tc>
          <w:tcPr>
            <w:tcW w:w="0" w:type="auto"/>
          </w:tcPr>
          <w:p w14:paraId="493946EA" w14:textId="77777777" w:rsidR="00B73EE8" w:rsidRPr="00DB26E4" w:rsidRDefault="00B73EE8" w:rsidP="002B5C1C">
            <w:pPr>
              <w:spacing w:line="360" w:lineRule="auto"/>
              <w:jc w:val="both"/>
              <w:rPr>
                <w:rFonts w:ascii="Times New Roman" w:hAnsi="Times New Roman" w:cs="Times New Roman"/>
                <w:b/>
                <w:bCs/>
                <w:sz w:val="24"/>
                <w:szCs w:val="24"/>
              </w:rPr>
            </w:pPr>
            <w:r w:rsidRPr="00DB26E4">
              <w:rPr>
                <w:rFonts w:ascii="Times New Roman" w:hAnsi="Times New Roman" w:cs="Times New Roman"/>
                <w:b/>
                <w:bCs/>
                <w:sz w:val="24"/>
                <w:szCs w:val="24"/>
              </w:rPr>
              <w:t>shareholders’ equity</w:t>
            </w:r>
          </w:p>
        </w:tc>
        <w:tc>
          <w:tcPr>
            <w:tcW w:w="0" w:type="auto"/>
          </w:tcPr>
          <w:p w14:paraId="35624824" w14:textId="77777777" w:rsidR="00B73EE8" w:rsidRPr="00DB26E4" w:rsidRDefault="00B73EE8" w:rsidP="002B5C1C">
            <w:pPr>
              <w:spacing w:line="360" w:lineRule="auto"/>
              <w:jc w:val="both"/>
              <w:rPr>
                <w:rFonts w:ascii="Times New Roman" w:hAnsi="Times New Roman" w:cs="Times New Roman"/>
                <w:b/>
                <w:bCs/>
                <w:sz w:val="24"/>
                <w:szCs w:val="24"/>
              </w:rPr>
            </w:pPr>
            <w:r w:rsidRPr="00DB26E4">
              <w:rPr>
                <w:rFonts w:ascii="Times New Roman" w:hAnsi="Times New Roman" w:cs="Times New Roman"/>
                <w:b/>
                <w:bCs/>
                <w:sz w:val="24"/>
                <w:szCs w:val="24"/>
              </w:rPr>
              <w:t>Ratio</w:t>
            </w:r>
          </w:p>
        </w:tc>
      </w:tr>
      <w:tr w:rsidR="00B73EE8" w:rsidRPr="00DB26E4" w14:paraId="2847A2FF" w14:textId="77777777" w:rsidTr="00167225">
        <w:trPr>
          <w:trHeight w:val="386"/>
          <w:jc w:val="center"/>
        </w:trPr>
        <w:tc>
          <w:tcPr>
            <w:tcW w:w="0" w:type="auto"/>
          </w:tcPr>
          <w:p w14:paraId="533546A2"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lastRenderedPageBreak/>
              <w:t>2022-2023</w:t>
            </w:r>
          </w:p>
        </w:tc>
        <w:tc>
          <w:tcPr>
            <w:tcW w:w="0" w:type="auto"/>
          </w:tcPr>
          <w:p w14:paraId="3DE3A29F"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2282.92</w:t>
            </w:r>
          </w:p>
        </w:tc>
        <w:tc>
          <w:tcPr>
            <w:tcW w:w="0" w:type="auto"/>
          </w:tcPr>
          <w:p w14:paraId="60E28B92"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176.03</w:t>
            </w:r>
          </w:p>
        </w:tc>
        <w:tc>
          <w:tcPr>
            <w:tcW w:w="0" w:type="auto"/>
          </w:tcPr>
          <w:p w14:paraId="6E1149C3"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12.96</w:t>
            </w:r>
          </w:p>
        </w:tc>
      </w:tr>
      <w:tr w:rsidR="00B73EE8" w:rsidRPr="00DB26E4" w14:paraId="42E12E92" w14:textId="77777777" w:rsidTr="00167225">
        <w:trPr>
          <w:jc w:val="center"/>
        </w:trPr>
        <w:tc>
          <w:tcPr>
            <w:tcW w:w="0" w:type="auto"/>
          </w:tcPr>
          <w:p w14:paraId="5F44CC81"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2021-2022</w:t>
            </w:r>
          </w:p>
        </w:tc>
        <w:tc>
          <w:tcPr>
            <w:tcW w:w="0" w:type="auto"/>
          </w:tcPr>
          <w:p w14:paraId="6D664FB8"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1860.98</w:t>
            </w:r>
          </w:p>
        </w:tc>
        <w:tc>
          <w:tcPr>
            <w:tcW w:w="0" w:type="auto"/>
          </w:tcPr>
          <w:p w14:paraId="090D4467"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175.27</w:t>
            </w:r>
          </w:p>
        </w:tc>
        <w:tc>
          <w:tcPr>
            <w:tcW w:w="0" w:type="auto"/>
          </w:tcPr>
          <w:p w14:paraId="5D05CEF3"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10.61</w:t>
            </w:r>
          </w:p>
        </w:tc>
      </w:tr>
      <w:tr w:rsidR="00B73EE8" w:rsidRPr="00DB26E4" w14:paraId="2A60843D" w14:textId="77777777" w:rsidTr="00167225">
        <w:trPr>
          <w:jc w:val="center"/>
        </w:trPr>
        <w:tc>
          <w:tcPr>
            <w:tcW w:w="0" w:type="auto"/>
          </w:tcPr>
          <w:p w14:paraId="53C47F43"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2020-2021</w:t>
            </w:r>
          </w:p>
        </w:tc>
        <w:tc>
          <w:tcPr>
            <w:tcW w:w="0" w:type="auto"/>
          </w:tcPr>
          <w:p w14:paraId="34532095"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1001.42</w:t>
            </w:r>
          </w:p>
        </w:tc>
        <w:tc>
          <w:tcPr>
            <w:tcW w:w="0" w:type="auto"/>
          </w:tcPr>
          <w:p w14:paraId="7415B58A"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174.80</w:t>
            </w:r>
          </w:p>
        </w:tc>
        <w:tc>
          <w:tcPr>
            <w:tcW w:w="0" w:type="auto"/>
          </w:tcPr>
          <w:p w14:paraId="7FE25EEC"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5.72</w:t>
            </w:r>
          </w:p>
        </w:tc>
      </w:tr>
      <w:tr w:rsidR="00B73EE8" w:rsidRPr="00DB26E4" w14:paraId="3EF43D30" w14:textId="77777777" w:rsidTr="00167225">
        <w:trPr>
          <w:jc w:val="center"/>
        </w:trPr>
        <w:tc>
          <w:tcPr>
            <w:tcW w:w="0" w:type="auto"/>
          </w:tcPr>
          <w:p w14:paraId="53BDDF6B"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2019-2020</w:t>
            </w:r>
          </w:p>
        </w:tc>
        <w:tc>
          <w:tcPr>
            <w:tcW w:w="0" w:type="auto"/>
          </w:tcPr>
          <w:p w14:paraId="3630DBBF"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795.52</w:t>
            </w:r>
          </w:p>
        </w:tc>
        <w:tc>
          <w:tcPr>
            <w:tcW w:w="0" w:type="auto"/>
          </w:tcPr>
          <w:p w14:paraId="0B6AF9FE"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156.60</w:t>
            </w:r>
          </w:p>
        </w:tc>
        <w:tc>
          <w:tcPr>
            <w:tcW w:w="0" w:type="auto"/>
          </w:tcPr>
          <w:p w14:paraId="22054351"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5.07</w:t>
            </w:r>
          </w:p>
        </w:tc>
      </w:tr>
      <w:tr w:rsidR="00B73EE8" w:rsidRPr="00DB26E4" w14:paraId="029F68C7" w14:textId="77777777" w:rsidTr="00167225">
        <w:trPr>
          <w:jc w:val="center"/>
        </w:trPr>
        <w:tc>
          <w:tcPr>
            <w:tcW w:w="0" w:type="auto"/>
          </w:tcPr>
          <w:p w14:paraId="3ADC2E35"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2018-2019</w:t>
            </w:r>
          </w:p>
        </w:tc>
        <w:tc>
          <w:tcPr>
            <w:tcW w:w="0" w:type="auto"/>
          </w:tcPr>
          <w:p w14:paraId="2BE583F1"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4223.84</w:t>
            </w:r>
          </w:p>
        </w:tc>
        <w:tc>
          <w:tcPr>
            <w:tcW w:w="0" w:type="auto"/>
          </w:tcPr>
          <w:p w14:paraId="1F03827B"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1266.79</w:t>
            </w:r>
          </w:p>
        </w:tc>
        <w:tc>
          <w:tcPr>
            <w:tcW w:w="0" w:type="auto"/>
          </w:tcPr>
          <w:p w14:paraId="64B15890" w14:textId="77777777" w:rsidR="00B73EE8" w:rsidRPr="00DB26E4" w:rsidRDefault="00B73EE8" w:rsidP="002B5C1C">
            <w:pPr>
              <w:spacing w:line="360" w:lineRule="auto"/>
              <w:jc w:val="both"/>
              <w:rPr>
                <w:rFonts w:ascii="Times New Roman" w:hAnsi="Times New Roman" w:cs="Times New Roman"/>
                <w:sz w:val="24"/>
                <w:szCs w:val="24"/>
              </w:rPr>
            </w:pPr>
            <w:r w:rsidRPr="00DB26E4">
              <w:rPr>
                <w:rFonts w:ascii="Times New Roman" w:hAnsi="Times New Roman" w:cs="Times New Roman"/>
                <w:sz w:val="24"/>
                <w:szCs w:val="24"/>
              </w:rPr>
              <w:t>3.33</w:t>
            </w:r>
          </w:p>
        </w:tc>
      </w:tr>
    </w:tbl>
    <w:p w14:paraId="38835350" w14:textId="77777777" w:rsidR="00A73ACE" w:rsidRPr="00DB26E4" w:rsidRDefault="00A73ACE" w:rsidP="002B5C1C">
      <w:pPr>
        <w:spacing w:after="0" w:line="360" w:lineRule="auto"/>
        <w:jc w:val="both"/>
        <w:rPr>
          <w:rFonts w:ascii="Times New Roman" w:hAnsi="Times New Roman" w:cs="Times New Roman"/>
          <w:b/>
          <w:bCs/>
          <w:sz w:val="24"/>
          <w:szCs w:val="24"/>
        </w:rPr>
      </w:pPr>
      <w:r w:rsidRPr="00DB26E4">
        <w:rPr>
          <w:rFonts w:ascii="Times New Roman" w:hAnsi="Times New Roman" w:cs="Times New Roman"/>
          <w:b/>
          <w:bCs/>
          <w:sz w:val="24"/>
          <w:szCs w:val="24"/>
        </w:rPr>
        <w:t>GRAPH 5.6</w:t>
      </w:r>
    </w:p>
    <w:p w14:paraId="212006AC" w14:textId="77777777" w:rsidR="00A73ACE" w:rsidRPr="00DB26E4" w:rsidRDefault="00B73EE8" w:rsidP="002B5C1C">
      <w:pPr>
        <w:spacing w:after="0" w:line="360" w:lineRule="auto"/>
        <w:jc w:val="center"/>
        <w:rPr>
          <w:rFonts w:ascii="Times New Roman" w:hAnsi="Times New Roman" w:cs="Times New Roman"/>
          <w:sz w:val="24"/>
          <w:szCs w:val="24"/>
        </w:rPr>
      </w:pPr>
      <w:r w:rsidRPr="00DB26E4">
        <w:rPr>
          <w:rFonts w:ascii="Times New Roman" w:hAnsi="Times New Roman" w:cs="Times New Roman"/>
          <w:noProof/>
          <w:sz w:val="24"/>
          <w:szCs w:val="24"/>
          <w:lang w:val="en-US"/>
        </w:rPr>
        <w:drawing>
          <wp:inline distT="0" distB="0" distL="0" distR="0" wp14:anchorId="5A385EDF" wp14:editId="3F9C683B">
            <wp:extent cx="3686175" cy="2049780"/>
            <wp:effectExtent l="19050" t="0" r="9525" b="7620"/>
            <wp:docPr id="7312367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ACC076" w14:textId="77777777" w:rsidR="00A73ACE" w:rsidRPr="00DB26E4" w:rsidRDefault="00A73ACE" w:rsidP="002B5C1C">
      <w:pPr>
        <w:spacing w:after="0" w:line="360" w:lineRule="auto"/>
        <w:jc w:val="both"/>
        <w:rPr>
          <w:rFonts w:ascii="Times New Roman" w:hAnsi="Times New Roman" w:cs="Times New Roman"/>
          <w:b/>
          <w:bCs/>
          <w:sz w:val="24"/>
          <w:szCs w:val="24"/>
        </w:rPr>
      </w:pPr>
      <w:r w:rsidRPr="00DB26E4">
        <w:rPr>
          <w:rFonts w:ascii="Times New Roman" w:hAnsi="Times New Roman" w:cs="Times New Roman"/>
          <w:b/>
          <w:bCs/>
          <w:sz w:val="24"/>
          <w:szCs w:val="24"/>
        </w:rPr>
        <w:t>Interpretation:</w:t>
      </w:r>
    </w:p>
    <w:p w14:paraId="52604FC0" w14:textId="77777777" w:rsidR="00167225" w:rsidRPr="00167225" w:rsidRDefault="00B73EE8" w:rsidP="002B5C1C">
      <w:p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Between 2019 and 2023, the return on equity ratio increased from 3.33 to 12.96. The return on equity is a measure of the profitability of a business in relation to its equity because shareholder equity can be calculated by taking all assets and all liabilities. ROE can also be calculated as a return on NAV, or assets less liabilities, and net profit is increased</w:t>
      </w:r>
      <w:r w:rsidRPr="00DB26E4">
        <w:rPr>
          <w:rFonts w:ascii="Times New Roman" w:hAnsi="Times New Roman" w:cs="Times New Roman"/>
          <w:sz w:val="24"/>
          <w:szCs w:val="24"/>
        </w:rPr>
        <w:t>.</w:t>
      </w:r>
    </w:p>
    <w:p w14:paraId="53E04D45"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2.Return on Assets</w:t>
      </w:r>
    </w:p>
    <w:p w14:paraId="5F0125B5"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sz w:val="24"/>
          <w:szCs w:val="24"/>
        </w:rPr>
        <w:t xml:space="preserve"> ROA = Net profit after taxes /Total Assets</w:t>
      </w:r>
    </w:p>
    <w:p w14:paraId="4A108232"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Table-5.7</w:t>
      </w:r>
    </w:p>
    <w:tbl>
      <w:tblPr>
        <w:tblStyle w:val="TableGrid"/>
        <w:tblW w:w="0" w:type="auto"/>
        <w:tblInd w:w="1345" w:type="dxa"/>
        <w:tblLook w:val="04A0" w:firstRow="1" w:lastRow="0" w:firstColumn="1" w:lastColumn="0" w:noHBand="0" w:noVBand="1"/>
      </w:tblPr>
      <w:tblGrid>
        <w:gridCol w:w="1256"/>
        <w:gridCol w:w="2347"/>
        <w:gridCol w:w="1388"/>
        <w:gridCol w:w="776"/>
      </w:tblGrid>
      <w:tr w:rsidR="00B73EE8" w:rsidRPr="00DB26E4" w14:paraId="1DFA9741" w14:textId="77777777" w:rsidTr="00167225">
        <w:tc>
          <w:tcPr>
            <w:tcW w:w="0" w:type="auto"/>
          </w:tcPr>
          <w:p w14:paraId="765F9226" w14:textId="77777777" w:rsidR="00B73EE8" w:rsidRPr="00DB26E4" w:rsidRDefault="00B73EE8"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Years</w:t>
            </w:r>
          </w:p>
        </w:tc>
        <w:tc>
          <w:tcPr>
            <w:tcW w:w="0" w:type="auto"/>
          </w:tcPr>
          <w:p w14:paraId="4B76C1C7" w14:textId="77777777" w:rsidR="00B73EE8" w:rsidRPr="00DB26E4" w:rsidRDefault="00B73EE8"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Net profit after taxes</w:t>
            </w:r>
          </w:p>
        </w:tc>
        <w:tc>
          <w:tcPr>
            <w:tcW w:w="0" w:type="auto"/>
          </w:tcPr>
          <w:p w14:paraId="25F4C071" w14:textId="77777777" w:rsidR="00B73EE8" w:rsidRPr="00DB26E4" w:rsidRDefault="00B73EE8"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 xml:space="preserve">Total assets </w:t>
            </w:r>
          </w:p>
        </w:tc>
        <w:tc>
          <w:tcPr>
            <w:tcW w:w="0" w:type="auto"/>
          </w:tcPr>
          <w:p w14:paraId="39877E07" w14:textId="77777777" w:rsidR="00B73EE8" w:rsidRPr="00DB26E4" w:rsidRDefault="00B73EE8"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Ratio</w:t>
            </w:r>
          </w:p>
        </w:tc>
      </w:tr>
      <w:tr w:rsidR="00B73EE8" w:rsidRPr="00DB26E4" w14:paraId="01018FDC" w14:textId="77777777" w:rsidTr="00167225">
        <w:tc>
          <w:tcPr>
            <w:tcW w:w="0" w:type="auto"/>
          </w:tcPr>
          <w:p w14:paraId="318961BF"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2022-2023</w:t>
            </w:r>
          </w:p>
        </w:tc>
        <w:tc>
          <w:tcPr>
            <w:tcW w:w="0" w:type="auto"/>
          </w:tcPr>
          <w:p w14:paraId="7E779AA6"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2282.92</w:t>
            </w:r>
          </w:p>
        </w:tc>
        <w:tc>
          <w:tcPr>
            <w:tcW w:w="0" w:type="auto"/>
          </w:tcPr>
          <w:p w14:paraId="4D74D055"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67370.25</w:t>
            </w:r>
          </w:p>
        </w:tc>
        <w:tc>
          <w:tcPr>
            <w:tcW w:w="0" w:type="auto"/>
          </w:tcPr>
          <w:p w14:paraId="15693ACD"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0.03</w:t>
            </w:r>
          </w:p>
        </w:tc>
      </w:tr>
      <w:tr w:rsidR="00B73EE8" w:rsidRPr="00DB26E4" w14:paraId="691867C2" w14:textId="77777777" w:rsidTr="00167225">
        <w:tc>
          <w:tcPr>
            <w:tcW w:w="0" w:type="auto"/>
          </w:tcPr>
          <w:p w14:paraId="33F8A60B"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2021-2022</w:t>
            </w:r>
          </w:p>
        </w:tc>
        <w:tc>
          <w:tcPr>
            <w:tcW w:w="0" w:type="auto"/>
          </w:tcPr>
          <w:p w14:paraId="6506B389"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1860.98</w:t>
            </w:r>
          </w:p>
        </w:tc>
        <w:tc>
          <w:tcPr>
            <w:tcW w:w="0" w:type="auto"/>
          </w:tcPr>
          <w:p w14:paraId="4D22754F"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51168.65</w:t>
            </w:r>
          </w:p>
        </w:tc>
        <w:tc>
          <w:tcPr>
            <w:tcW w:w="0" w:type="auto"/>
          </w:tcPr>
          <w:p w14:paraId="3DFB3476"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0.03</w:t>
            </w:r>
          </w:p>
        </w:tc>
      </w:tr>
      <w:tr w:rsidR="00B73EE8" w:rsidRPr="00DB26E4" w14:paraId="467644BF" w14:textId="77777777" w:rsidTr="00167225">
        <w:tc>
          <w:tcPr>
            <w:tcW w:w="0" w:type="auto"/>
          </w:tcPr>
          <w:p w14:paraId="685175F6"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2020-2021</w:t>
            </w:r>
          </w:p>
        </w:tc>
        <w:tc>
          <w:tcPr>
            <w:tcW w:w="0" w:type="auto"/>
          </w:tcPr>
          <w:p w14:paraId="18273B35"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1001.42</w:t>
            </w:r>
          </w:p>
        </w:tc>
        <w:tc>
          <w:tcPr>
            <w:tcW w:w="0" w:type="auto"/>
          </w:tcPr>
          <w:p w14:paraId="341715C1"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45101.55</w:t>
            </w:r>
          </w:p>
        </w:tc>
        <w:tc>
          <w:tcPr>
            <w:tcW w:w="0" w:type="auto"/>
          </w:tcPr>
          <w:p w14:paraId="74AA5B1C"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0.02</w:t>
            </w:r>
          </w:p>
        </w:tc>
      </w:tr>
      <w:tr w:rsidR="00B73EE8" w:rsidRPr="00DB26E4" w14:paraId="7A159D89" w14:textId="77777777" w:rsidTr="00167225">
        <w:tc>
          <w:tcPr>
            <w:tcW w:w="0" w:type="auto"/>
          </w:tcPr>
          <w:p w14:paraId="42382BBA"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lastRenderedPageBreak/>
              <w:t>2019-2020</w:t>
            </w:r>
          </w:p>
        </w:tc>
        <w:tc>
          <w:tcPr>
            <w:tcW w:w="0" w:type="auto"/>
          </w:tcPr>
          <w:p w14:paraId="7FF25E53"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795.52</w:t>
            </w:r>
          </w:p>
        </w:tc>
        <w:tc>
          <w:tcPr>
            <w:tcW w:w="0" w:type="auto"/>
          </w:tcPr>
          <w:p w14:paraId="10199B9A"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34802.09</w:t>
            </w:r>
          </w:p>
        </w:tc>
        <w:tc>
          <w:tcPr>
            <w:tcW w:w="0" w:type="auto"/>
          </w:tcPr>
          <w:p w14:paraId="417329C1"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0.02</w:t>
            </w:r>
          </w:p>
        </w:tc>
      </w:tr>
      <w:tr w:rsidR="00B73EE8" w:rsidRPr="00DB26E4" w14:paraId="5699F0D8" w14:textId="77777777" w:rsidTr="00167225">
        <w:tc>
          <w:tcPr>
            <w:tcW w:w="0" w:type="auto"/>
          </w:tcPr>
          <w:p w14:paraId="2A499B77"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2018-2019</w:t>
            </w:r>
          </w:p>
        </w:tc>
        <w:tc>
          <w:tcPr>
            <w:tcW w:w="0" w:type="auto"/>
          </w:tcPr>
          <w:p w14:paraId="64DDE019"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4223.84</w:t>
            </w:r>
          </w:p>
        </w:tc>
        <w:tc>
          <w:tcPr>
            <w:tcW w:w="0" w:type="auto"/>
          </w:tcPr>
          <w:p w14:paraId="2EEAFDF1"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249044.39</w:t>
            </w:r>
          </w:p>
        </w:tc>
        <w:tc>
          <w:tcPr>
            <w:tcW w:w="0" w:type="auto"/>
          </w:tcPr>
          <w:p w14:paraId="081CDEBF" w14:textId="77777777" w:rsidR="00B73EE8" w:rsidRPr="00DB26E4" w:rsidRDefault="00B73EE8"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0.01</w:t>
            </w:r>
          </w:p>
        </w:tc>
      </w:tr>
    </w:tbl>
    <w:p w14:paraId="6AB975CB" w14:textId="77777777" w:rsidR="002B5C1C" w:rsidRDefault="002B5C1C" w:rsidP="002B5C1C">
      <w:pPr>
        <w:spacing w:after="0" w:line="360" w:lineRule="auto"/>
        <w:rPr>
          <w:rFonts w:ascii="Times New Roman" w:hAnsi="Times New Roman" w:cs="Times New Roman"/>
          <w:b/>
          <w:bCs/>
          <w:sz w:val="24"/>
          <w:szCs w:val="24"/>
        </w:rPr>
      </w:pPr>
    </w:p>
    <w:p w14:paraId="67E8D917" w14:textId="77777777" w:rsidR="002B5C1C" w:rsidRDefault="002B5C1C" w:rsidP="002B5C1C">
      <w:pPr>
        <w:spacing w:after="0" w:line="360" w:lineRule="auto"/>
        <w:rPr>
          <w:rFonts w:ascii="Times New Roman" w:hAnsi="Times New Roman" w:cs="Times New Roman"/>
          <w:b/>
          <w:bCs/>
          <w:sz w:val="24"/>
          <w:szCs w:val="24"/>
        </w:rPr>
      </w:pPr>
    </w:p>
    <w:p w14:paraId="6ADD3A38"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GRAPH 5.7</w:t>
      </w:r>
    </w:p>
    <w:p w14:paraId="440F61A4" w14:textId="77777777" w:rsidR="00A73ACE" w:rsidRPr="00DB26E4" w:rsidRDefault="00A73ACE" w:rsidP="002B5C1C">
      <w:pPr>
        <w:spacing w:after="0" w:line="360" w:lineRule="auto"/>
        <w:jc w:val="center"/>
        <w:rPr>
          <w:rFonts w:ascii="Times New Roman" w:hAnsi="Times New Roman" w:cs="Times New Roman"/>
          <w:sz w:val="24"/>
          <w:szCs w:val="24"/>
        </w:rPr>
      </w:pPr>
      <w:r w:rsidRPr="00DB26E4">
        <w:rPr>
          <w:rFonts w:ascii="Times New Roman" w:hAnsi="Times New Roman" w:cs="Times New Roman"/>
          <w:noProof/>
          <w:sz w:val="24"/>
          <w:szCs w:val="24"/>
          <w:lang w:val="en-US"/>
        </w:rPr>
        <w:drawing>
          <wp:inline distT="0" distB="0" distL="0" distR="0" wp14:anchorId="6E576364" wp14:editId="298CE9DE">
            <wp:extent cx="3403468" cy="1690777"/>
            <wp:effectExtent l="19050" t="0" r="25532" b="4673"/>
            <wp:docPr id="46253398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21AE9E"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Interpretation:</w:t>
      </w:r>
    </w:p>
    <w:p w14:paraId="3034954D" w14:textId="77777777" w:rsidR="00B73EE8" w:rsidRPr="00DB26E4" w:rsidRDefault="00B73EE8" w:rsidP="002B5C1C">
      <w:p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Between 2019 and 2023, the return on equity ratio increased from 0.01 to 0.03. The return on assets shows the percentage of how profitable a company’s assets are in generating revenue. The return on assets gives an indication of the capital intensity of the company, and assets are increasing.</w:t>
      </w:r>
    </w:p>
    <w:p w14:paraId="6C5083C3"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3.Return on Capital Employed</w:t>
      </w:r>
    </w:p>
    <w:p w14:paraId="67DBB30B"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sz w:val="24"/>
          <w:szCs w:val="24"/>
        </w:rPr>
        <w:t xml:space="preserve"> ROCE = EBIT/capital employed</w:t>
      </w:r>
    </w:p>
    <w:p w14:paraId="727099B7" w14:textId="77777777" w:rsidR="00A73ACE" w:rsidRPr="00DB26E4" w:rsidRDefault="00A73ACE" w:rsidP="002B5C1C">
      <w:pPr>
        <w:spacing w:after="0" w:line="360" w:lineRule="auto"/>
        <w:rPr>
          <w:rFonts w:ascii="Times New Roman" w:hAnsi="Times New Roman" w:cs="Times New Roman"/>
          <w:sz w:val="24"/>
          <w:szCs w:val="24"/>
        </w:rPr>
      </w:pPr>
      <w:r w:rsidRPr="00DB26E4">
        <w:rPr>
          <w:rFonts w:ascii="Times New Roman" w:hAnsi="Times New Roman" w:cs="Times New Roman"/>
          <w:sz w:val="24"/>
          <w:szCs w:val="24"/>
        </w:rPr>
        <w:t xml:space="preserve"> EBIT = earnings before interest and tax</w:t>
      </w:r>
    </w:p>
    <w:p w14:paraId="64C5F0D2" w14:textId="77777777" w:rsidR="00A73ACE" w:rsidRPr="00DB26E4" w:rsidRDefault="00A73ACE" w:rsidP="002B5C1C">
      <w:pPr>
        <w:spacing w:after="0" w:line="360" w:lineRule="auto"/>
        <w:rPr>
          <w:rFonts w:ascii="Times New Roman" w:hAnsi="Times New Roman" w:cs="Times New Roman"/>
          <w:sz w:val="24"/>
          <w:szCs w:val="24"/>
        </w:rPr>
      </w:pPr>
      <w:r w:rsidRPr="00DB26E4">
        <w:rPr>
          <w:rFonts w:ascii="Times New Roman" w:hAnsi="Times New Roman" w:cs="Times New Roman"/>
          <w:sz w:val="24"/>
          <w:szCs w:val="24"/>
        </w:rPr>
        <w:t xml:space="preserve">  Capital employed= total assets – current liabilities </w:t>
      </w:r>
    </w:p>
    <w:p w14:paraId="18B4A57F" w14:textId="77777777" w:rsidR="00A73ACE" w:rsidRPr="00DB26E4" w:rsidRDefault="00A73ACE" w:rsidP="002B5C1C">
      <w:pPr>
        <w:spacing w:after="0" w:line="240" w:lineRule="auto"/>
        <w:rPr>
          <w:rFonts w:ascii="Times New Roman" w:hAnsi="Times New Roman" w:cs="Times New Roman"/>
          <w:b/>
          <w:bCs/>
          <w:sz w:val="24"/>
          <w:szCs w:val="24"/>
        </w:rPr>
      </w:pPr>
      <w:r w:rsidRPr="00DB26E4">
        <w:rPr>
          <w:rFonts w:ascii="Times New Roman" w:hAnsi="Times New Roman" w:cs="Times New Roman"/>
          <w:b/>
          <w:bCs/>
          <w:sz w:val="24"/>
          <w:szCs w:val="24"/>
        </w:rPr>
        <w:t>Table-5.8</w:t>
      </w:r>
    </w:p>
    <w:tbl>
      <w:tblPr>
        <w:tblStyle w:val="TableGrid"/>
        <w:tblW w:w="0" w:type="auto"/>
        <w:jc w:val="center"/>
        <w:tblLook w:val="04A0" w:firstRow="1" w:lastRow="0" w:firstColumn="1" w:lastColumn="0" w:noHBand="0" w:noVBand="1"/>
      </w:tblPr>
      <w:tblGrid>
        <w:gridCol w:w="1256"/>
        <w:gridCol w:w="996"/>
        <w:gridCol w:w="2023"/>
        <w:gridCol w:w="776"/>
      </w:tblGrid>
      <w:tr w:rsidR="00454286" w:rsidRPr="00DB26E4" w14:paraId="1C020566" w14:textId="77777777" w:rsidTr="00167225">
        <w:trPr>
          <w:jc w:val="center"/>
        </w:trPr>
        <w:tc>
          <w:tcPr>
            <w:tcW w:w="0" w:type="auto"/>
          </w:tcPr>
          <w:p w14:paraId="653DC09E" w14:textId="77777777" w:rsidR="00454286" w:rsidRPr="00DB26E4" w:rsidRDefault="00454286" w:rsidP="002B5C1C">
            <w:pPr>
              <w:rPr>
                <w:rFonts w:ascii="Times New Roman" w:hAnsi="Times New Roman" w:cs="Times New Roman"/>
                <w:b/>
                <w:bCs/>
                <w:sz w:val="24"/>
                <w:szCs w:val="24"/>
              </w:rPr>
            </w:pPr>
            <w:r w:rsidRPr="00DB26E4">
              <w:rPr>
                <w:rFonts w:ascii="Times New Roman" w:hAnsi="Times New Roman" w:cs="Times New Roman"/>
                <w:b/>
                <w:bCs/>
                <w:sz w:val="24"/>
                <w:szCs w:val="24"/>
              </w:rPr>
              <w:t>Years</w:t>
            </w:r>
          </w:p>
        </w:tc>
        <w:tc>
          <w:tcPr>
            <w:tcW w:w="0" w:type="auto"/>
          </w:tcPr>
          <w:p w14:paraId="0D13522E" w14:textId="77777777" w:rsidR="00454286" w:rsidRPr="00DB26E4" w:rsidRDefault="00454286" w:rsidP="002B5C1C">
            <w:pPr>
              <w:rPr>
                <w:rFonts w:ascii="Times New Roman" w:hAnsi="Times New Roman" w:cs="Times New Roman"/>
                <w:b/>
                <w:bCs/>
                <w:sz w:val="24"/>
                <w:szCs w:val="24"/>
              </w:rPr>
            </w:pPr>
            <w:r w:rsidRPr="00DB26E4">
              <w:rPr>
                <w:rFonts w:ascii="Times New Roman" w:hAnsi="Times New Roman" w:cs="Times New Roman"/>
                <w:b/>
                <w:bCs/>
                <w:sz w:val="24"/>
                <w:szCs w:val="24"/>
              </w:rPr>
              <w:t>EBIT</w:t>
            </w:r>
          </w:p>
        </w:tc>
        <w:tc>
          <w:tcPr>
            <w:tcW w:w="0" w:type="auto"/>
          </w:tcPr>
          <w:p w14:paraId="39446DF3" w14:textId="77777777" w:rsidR="00454286" w:rsidRPr="00DB26E4" w:rsidRDefault="00454286" w:rsidP="002B5C1C">
            <w:pPr>
              <w:rPr>
                <w:rFonts w:ascii="Times New Roman" w:hAnsi="Times New Roman" w:cs="Times New Roman"/>
                <w:b/>
                <w:bCs/>
                <w:sz w:val="24"/>
                <w:szCs w:val="24"/>
              </w:rPr>
            </w:pPr>
            <w:r w:rsidRPr="00DB26E4">
              <w:rPr>
                <w:rFonts w:ascii="Times New Roman" w:hAnsi="Times New Roman" w:cs="Times New Roman"/>
                <w:b/>
                <w:bCs/>
                <w:sz w:val="24"/>
                <w:szCs w:val="24"/>
              </w:rPr>
              <w:t>Capital employed</w:t>
            </w:r>
          </w:p>
        </w:tc>
        <w:tc>
          <w:tcPr>
            <w:tcW w:w="0" w:type="auto"/>
          </w:tcPr>
          <w:p w14:paraId="113AE8CF" w14:textId="77777777" w:rsidR="00454286" w:rsidRPr="00DB26E4" w:rsidRDefault="00454286" w:rsidP="002B5C1C">
            <w:pPr>
              <w:rPr>
                <w:rFonts w:ascii="Times New Roman" w:hAnsi="Times New Roman" w:cs="Times New Roman"/>
                <w:b/>
                <w:bCs/>
                <w:sz w:val="24"/>
                <w:szCs w:val="24"/>
              </w:rPr>
            </w:pPr>
            <w:r w:rsidRPr="00DB26E4">
              <w:rPr>
                <w:rFonts w:ascii="Times New Roman" w:hAnsi="Times New Roman" w:cs="Times New Roman"/>
                <w:b/>
                <w:bCs/>
                <w:sz w:val="24"/>
                <w:szCs w:val="24"/>
              </w:rPr>
              <w:t>Ratio</w:t>
            </w:r>
          </w:p>
        </w:tc>
      </w:tr>
      <w:tr w:rsidR="00454286" w:rsidRPr="00DB26E4" w14:paraId="7776186B" w14:textId="77777777" w:rsidTr="00167225">
        <w:trPr>
          <w:jc w:val="center"/>
        </w:trPr>
        <w:tc>
          <w:tcPr>
            <w:tcW w:w="0" w:type="auto"/>
          </w:tcPr>
          <w:p w14:paraId="1495D660"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2022-2023</w:t>
            </w:r>
          </w:p>
        </w:tc>
        <w:tc>
          <w:tcPr>
            <w:tcW w:w="0" w:type="auto"/>
          </w:tcPr>
          <w:p w14:paraId="534DDCD1"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2952.20</w:t>
            </w:r>
          </w:p>
        </w:tc>
        <w:tc>
          <w:tcPr>
            <w:tcW w:w="0" w:type="auto"/>
          </w:tcPr>
          <w:p w14:paraId="6D1D23C0"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18331.99</w:t>
            </w:r>
          </w:p>
        </w:tc>
        <w:tc>
          <w:tcPr>
            <w:tcW w:w="0" w:type="auto"/>
          </w:tcPr>
          <w:p w14:paraId="11F17730"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0.16</w:t>
            </w:r>
          </w:p>
        </w:tc>
      </w:tr>
      <w:tr w:rsidR="00454286" w:rsidRPr="00DB26E4" w14:paraId="0ED9D67A" w14:textId="77777777" w:rsidTr="00167225">
        <w:trPr>
          <w:jc w:val="center"/>
        </w:trPr>
        <w:tc>
          <w:tcPr>
            <w:tcW w:w="0" w:type="auto"/>
          </w:tcPr>
          <w:p w14:paraId="0893B29E"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2021-2022</w:t>
            </w:r>
          </w:p>
        </w:tc>
        <w:tc>
          <w:tcPr>
            <w:tcW w:w="0" w:type="auto"/>
          </w:tcPr>
          <w:p w14:paraId="253800B0"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2262.95</w:t>
            </w:r>
          </w:p>
        </w:tc>
        <w:tc>
          <w:tcPr>
            <w:tcW w:w="0" w:type="auto"/>
          </w:tcPr>
          <w:p w14:paraId="707F16A2"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15869.83</w:t>
            </w:r>
          </w:p>
        </w:tc>
        <w:tc>
          <w:tcPr>
            <w:tcW w:w="0" w:type="auto"/>
          </w:tcPr>
          <w:p w14:paraId="5694359E"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0.14</w:t>
            </w:r>
          </w:p>
        </w:tc>
      </w:tr>
      <w:tr w:rsidR="00454286" w:rsidRPr="00DB26E4" w14:paraId="5E62C9B3" w14:textId="77777777" w:rsidTr="00167225">
        <w:trPr>
          <w:jc w:val="center"/>
        </w:trPr>
        <w:tc>
          <w:tcPr>
            <w:tcW w:w="0" w:type="auto"/>
          </w:tcPr>
          <w:p w14:paraId="5605C542"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2020-2021</w:t>
            </w:r>
          </w:p>
        </w:tc>
        <w:tc>
          <w:tcPr>
            <w:tcW w:w="0" w:type="auto"/>
          </w:tcPr>
          <w:p w14:paraId="366D64FF"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1340.43</w:t>
            </w:r>
          </w:p>
        </w:tc>
        <w:tc>
          <w:tcPr>
            <w:tcW w:w="0" w:type="auto"/>
          </w:tcPr>
          <w:p w14:paraId="1DC85352"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14025.75</w:t>
            </w:r>
          </w:p>
        </w:tc>
        <w:tc>
          <w:tcPr>
            <w:tcW w:w="0" w:type="auto"/>
          </w:tcPr>
          <w:p w14:paraId="29312B9C"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0.09</w:t>
            </w:r>
          </w:p>
        </w:tc>
      </w:tr>
      <w:tr w:rsidR="00454286" w:rsidRPr="00DB26E4" w14:paraId="445C6206" w14:textId="77777777" w:rsidTr="00167225">
        <w:trPr>
          <w:jc w:val="center"/>
        </w:trPr>
        <w:tc>
          <w:tcPr>
            <w:tcW w:w="0" w:type="auto"/>
          </w:tcPr>
          <w:p w14:paraId="0EE0C38E"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2019-2020</w:t>
            </w:r>
          </w:p>
        </w:tc>
        <w:tc>
          <w:tcPr>
            <w:tcW w:w="0" w:type="auto"/>
          </w:tcPr>
          <w:p w14:paraId="5FBAC4CC"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1073.33</w:t>
            </w:r>
          </w:p>
        </w:tc>
        <w:tc>
          <w:tcPr>
            <w:tcW w:w="0" w:type="auto"/>
          </w:tcPr>
          <w:p w14:paraId="1B1CB861"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9505.96</w:t>
            </w:r>
          </w:p>
        </w:tc>
        <w:tc>
          <w:tcPr>
            <w:tcW w:w="0" w:type="auto"/>
          </w:tcPr>
          <w:p w14:paraId="37DA14CA"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0.11</w:t>
            </w:r>
          </w:p>
        </w:tc>
      </w:tr>
      <w:tr w:rsidR="00454286" w:rsidRPr="00DB26E4" w14:paraId="631B7E45" w14:textId="77777777" w:rsidTr="00167225">
        <w:trPr>
          <w:jc w:val="center"/>
        </w:trPr>
        <w:tc>
          <w:tcPr>
            <w:tcW w:w="0" w:type="auto"/>
          </w:tcPr>
          <w:p w14:paraId="27295573"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2018-2019</w:t>
            </w:r>
          </w:p>
        </w:tc>
        <w:tc>
          <w:tcPr>
            <w:tcW w:w="0" w:type="auto"/>
          </w:tcPr>
          <w:p w14:paraId="77BFEB60"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5901.50</w:t>
            </w:r>
          </w:p>
        </w:tc>
        <w:tc>
          <w:tcPr>
            <w:tcW w:w="0" w:type="auto"/>
          </w:tcPr>
          <w:p w14:paraId="18B5B079"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214932.08</w:t>
            </w:r>
          </w:p>
        </w:tc>
        <w:tc>
          <w:tcPr>
            <w:tcW w:w="0" w:type="auto"/>
          </w:tcPr>
          <w:p w14:paraId="0D3FC955" w14:textId="77777777" w:rsidR="00454286" w:rsidRPr="00DB26E4" w:rsidRDefault="00454286" w:rsidP="002B5C1C">
            <w:pPr>
              <w:rPr>
                <w:rFonts w:ascii="Times New Roman" w:hAnsi="Times New Roman" w:cs="Times New Roman"/>
                <w:sz w:val="24"/>
                <w:szCs w:val="24"/>
              </w:rPr>
            </w:pPr>
            <w:r w:rsidRPr="00DB26E4">
              <w:rPr>
                <w:rFonts w:ascii="Times New Roman" w:hAnsi="Times New Roman" w:cs="Times New Roman"/>
                <w:sz w:val="24"/>
                <w:szCs w:val="24"/>
              </w:rPr>
              <w:t>0.02</w:t>
            </w:r>
          </w:p>
        </w:tc>
      </w:tr>
    </w:tbl>
    <w:p w14:paraId="30C80658" w14:textId="77777777" w:rsidR="00A73ACE" w:rsidRPr="00DB26E4" w:rsidRDefault="00A73ACE" w:rsidP="002B5C1C">
      <w:pPr>
        <w:spacing w:after="0" w:line="240" w:lineRule="auto"/>
        <w:rPr>
          <w:rFonts w:ascii="Times New Roman" w:hAnsi="Times New Roman" w:cs="Times New Roman"/>
          <w:b/>
          <w:bCs/>
          <w:sz w:val="24"/>
          <w:szCs w:val="24"/>
        </w:rPr>
      </w:pPr>
      <w:r w:rsidRPr="00DB26E4">
        <w:rPr>
          <w:rFonts w:ascii="Times New Roman" w:hAnsi="Times New Roman" w:cs="Times New Roman"/>
          <w:b/>
          <w:bCs/>
          <w:sz w:val="24"/>
          <w:szCs w:val="24"/>
        </w:rPr>
        <w:t>GRAPH 5.8</w:t>
      </w:r>
    </w:p>
    <w:p w14:paraId="04A81951" w14:textId="77777777" w:rsidR="00384BD0" w:rsidRPr="00DB26E4" w:rsidRDefault="00DA4296" w:rsidP="002B5C1C">
      <w:pPr>
        <w:spacing w:after="0" w:line="360" w:lineRule="auto"/>
        <w:jc w:val="center"/>
        <w:rPr>
          <w:rFonts w:ascii="Times New Roman" w:hAnsi="Times New Roman" w:cs="Times New Roman"/>
          <w:b/>
          <w:bCs/>
          <w:sz w:val="24"/>
          <w:szCs w:val="24"/>
        </w:rPr>
      </w:pPr>
      <w:r w:rsidRPr="00DB26E4">
        <w:rPr>
          <w:rFonts w:ascii="Times New Roman" w:hAnsi="Times New Roman" w:cs="Times New Roman"/>
          <w:noProof/>
          <w:sz w:val="24"/>
          <w:szCs w:val="24"/>
          <w:lang w:val="en-US"/>
        </w:rPr>
        <w:lastRenderedPageBreak/>
        <w:drawing>
          <wp:inline distT="0" distB="0" distL="0" distR="0" wp14:anchorId="1DF4AAEA" wp14:editId="4E4D8E80">
            <wp:extent cx="3697773" cy="1820173"/>
            <wp:effectExtent l="19050" t="0" r="16977" b="8627"/>
            <wp:docPr id="7847384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FDFE682"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Interpretation:</w:t>
      </w:r>
    </w:p>
    <w:p w14:paraId="0B9AD7E8" w14:textId="77777777" w:rsidR="00E347DB" w:rsidRDefault="00E347DB" w:rsidP="002B5C1C">
      <w:p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Return on capital employed is an accounting ratio used in finance valuation and accounting. It is a useful measure for comparing the profitability of companies after taking into account the amount of capital used by the company in 2019 and 2023. The return on capital employed decreased from 0.02 to 0.16. From 2019 to 2022, capital employed increased from 0.02 to 0.14, and the return on capital employed increased.</w:t>
      </w:r>
    </w:p>
    <w:p w14:paraId="4E59881E" w14:textId="77777777" w:rsidR="002B5C1C" w:rsidRPr="00DB26E4" w:rsidRDefault="002B5C1C" w:rsidP="002B5C1C">
      <w:pPr>
        <w:spacing w:after="0" w:line="360" w:lineRule="auto"/>
        <w:jc w:val="both"/>
        <w:rPr>
          <w:rFonts w:ascii="Times New Roman" w:eastAsia="Times New Roman" w:hAnsi="Times New Roman" w:cs="Times New Roman"/>
          <w:kern w:val="0"/>
          <w:sz w:val="24"/>
          <w:szCs w:val="24"/>
          <w:lang w:eastAsia="en-IN"/>
        </w:rPr>
      </w:pPr>
    </w:p>
    <w:p w14:paraId="5BC7C083" w14:textId="77777777" w:rsidR="00A73ACE" w:rsidRPr="00DB26E4" w:rsidRDefault="00A73ACE" w:rsidP="002B5C1C">
      <w:pPr>
        <w:spacing w:after="0" w:line="360" w:lineRule="auto"/>
        <w:rPr>
          <w:rFonts w:ascii="Times New Roman" w:hAnsi="Times New Roman" w:cs="Times New Roman"/>
          <w:sz w:val="24"/>
          <w:szCs w:val="24"/>
        </w:rPr>
      </w:pPr>
      <w:r w:rsidRPr="00DB26E4">
        <w:rPr>
          <w:rFonts w:ascii="Times New Roman" w:eastAsia="Times New Roman" w:hAnsi="Times New Roman" w:cs="Times New Roman"/>
          <w:b/>
          <w:bCs/>
          <w:kern w:val="0"/>
          <w:sz w:val="24"/>
          <w:szCs w:val="24"/>
          <w:lang w:eastAsia="en-IN"/>
        </w:rPr>
        <w:t> </w:t>
      </w:r>
      <w:r w:rsidRPr="00DB26E4">
        <w:rPr>
          <w:rFonts w:ascii="Times New Roman" w:hAnsi="Times New Roman" w:cs="Times New Roman"/>
          <w:b/>
          <w:bCs/>
          <w:sz w:val="24"/>
          <w:szCs w:val="24"/>
        </w:rPr>
        <w:t>D. Activity ratio</w:t>
      </w:r>
    </w:p>
    <w:p w14:paraId="193144B9" w14:textId="77777777" w:rsidR="00A73ACE" w:rsidRPr="00DB26E4" w:rsidRDefault="00A73ACE" w:rsidP="002B5C1C">
      <w:pPr>
        <w:spacing w:after="0" w:line="360" w:lineRule="auto"/>
        <w:rPr>
          <w:rFonts w:ascii="Times New Roman" w:hAnsi="Times New Roman" w:cs="Times New Roman"/>
          <w:sz w:val="24"/>
          <w:szCs w:val="24"/>
        </w:rPr>
      </w:pPr>
      <w:r w:rsidRPr="00DB26E4">
        <w:rPr>
          <w:rFonts w:ascii="Times New Roman" w:hAnsi="Times New Roman" w:cs="Times New Roman"/>
          <w:b/>
          <w:bCs/>
          <w:sz w:val="24"/>
          <w:szCs w:val="24"/>
        </w:rPr>
        <w:t>1.Total Asset Turnover</w:t>
      </w:r>
      <w:r w:rsidRPr="00DB26E4">
        <w:rPr>
          <w:rFonts w:ascii="Times New Roman" w:hAnsi="Times New Roman" w:cs="Times New Roman"/>
          <w:sz w:val="24"/>
          <w:szCs w:val="24"/>
        </w:rPr>
        <w:t xml:space="preserve"> = Net Revenue/Average Total asset</w:t>
      </w:r>
    </w:p>
    <w:p w14:paraId="12262C99" w14:textId="77777777" w:rsidR="00A73ACE" w:rsidRPr="00DB26E4" w:rsidRDefault="00A73ACE" w:rsidP="002B5C1C">
      <w:pPr>
        <w:spacing w:after="0" w:line="360" w:lineRule="auto"/>
        <w:rPr>
          <w:rFonts w:ascii="Times New Roman" w:hAnsi="Times New Roman" w:cs="Times New Roman"/>
          <w:sz w:val="24"/>
          <w:szCs w:val="24"/>
        </w:rPr>
      </w:pPr>
      <w:r w:rsidRPr="00DB26E4">
        <w:rPr>
          <w:rFonts w:ascii="Times New Roman" w:hAnsi="Times New Roman" w:cs="Times New Roman"/>
          <w:sz w:val="24"/>
          <w:szCs w:val="24"/>
        </w:rPr>
        <w:t>Average Total asset = (Total assets for current year + total assets for previous year)/2</w:t>
      </w:r>
    </w:p>
    <w:p w14:paraId="5D89B6AF"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Table-5.9</w:t>
      </w:r>
    </w:p>
    <w:tbl>
      <w:tblPr>
        <w:tblStyle w:val="TableGrid"/>
        <w:tblW w:w="0" w:type="auto"/>
        <w:jc w:val="center"/>
        <w:tblLook w:val="04A0" w:firstRow="1" w:lastRow="0" w:firstColumn="1" w:lastColumn="0" w:noHBand="0" w:noVBand="1"/>
      </w:tblPr>
      <w:tblGrid>
        <w:gridCol w:w="1256"/>
        <w:gridCol w:w="1516"/>
        <w:gridCol w:w="2279"/>
        <w:gridCol w:w="776"/>
      </w:tblGrid>
      <w:tr w:rsidR="00A73ACE" w:rsidRPr="00DB26E4" w14:paraId="4CE8C1E5" w14:textId="77777777" w:rsidTr="002B5C1C">
        <w:trPr>
          <w:jc w:val="center"/>
        </w:trPr>
        <w:tc>
          <w:tcPr>
            <w:tcW w:w="0" w:type="auto"/>
          </w:tcPr>
          <w:p w14:paraId="07322DE5" w14:textId="77777777" w:rsidR="00A73ACE" w:rsidRPr="00DB26E4" w:rsidRDefault="00A73ACE"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Years</w:t>
            </w:r>
          </w:p>
        </w:tc>
        <w:tc>
          <w:tcPr>
            <w:tcW w:w="0" w:type="auto"/>
          </w:tcPr>
          <w:p w14:paraId="2B176742" w14:textId="77777777" w:rsidR="00A73ACE" w:rsidRPr="00DB26E4" w:rsidRDefault="00A73ACE"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 xml:space="preserve">Net Revenue </w:t>
            </w:r>
          </w:p>
        </w:tc>
        <w:tc>
          <w:tcPr>
            <w:tcW w:w="0" w:type="auto"/>
          </w:tcPr>
          <w:p w14:paraId="3BE12A3D" w14:textId="77777777" w:rsidR="00A73ACE" w:rsidRPr="00DB26E4" w:rsidRDefault="00A73ACE"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 xml:space="preserve">Average Total assets </w:t>
            </w:r>
          </w:p>
        </w:tc>
        <w:tc>
          <w:tcPr>
            <w:tcW w:w="0" w:type="auto"/>
          </w:tcPr>
          <w:p w14:paraId="481E4924" w14:textId="77777777" w:rsidR="00A73ACE" w:rsidRPr="00DB26E4" w:rsidRDefault="00A73ACE"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Ratio</w:t>
            </w:r>
          </w:p>
        </w:tc>
      </w:tr>
      <w:tr w:rsidR="00A73ACE" w:rsidRPr="00DB26E4" w14:paraId="32AADB17" w14:textId="77777777" w:rsidTr="002B5C1C">
        <w:trPr>
          <w:jc w:val="center"/>
        </w:trPr>
        <w:tc>
          <w:tcPr>
            <w:tcW w:w="0" w:type="auto"/>
          </w:tcPr>
          <w:p w14:paraId="1863438A"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2022-2023</w:t>
            </w:r>
          </w:p>
        </w:tc>
        <w:tc>
          <w:tcPr>
            <w:tcW w:w="0" w:type="auto"/>
          </w:tcPr>
          <w:p w14:paraId="3322B457"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7909.85</w:t>
            </w:r>
          </w:p>
        </w:tc>
        <w:tc>
          <w:tcPr>
            <w:tcW w:w="0" w:type="auto"/>
          </w:tcPr>
          <w:p w14:paraId="556D31B7"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59269.45</w:t>
            </w:r>
          </w:p>
        </w:tc>
        <w:tc>
          <w:tcPr>
            <w:tcW w:w="0" w:type="auto"/>
          </w:tcPr>
          <w:p w14:paraId="59191797"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0.13</w:t>
            </w:r>
          </w:p>
        </w:tc>
      </w:tr>
      <w:tr w:rsidR="00A73ACE" w:rsidRPr="00DB26E4" w14:paraId="08315410" w14:textId="77777777" w:rsidTr="002B5C1C">
        <w:trPr>
          <w:jc w:val="center"/>
        </w:trPr>
        <w:tc>
          <w:tcPr>
            <w:tcW w:w="0" w:type="auto"/>
          </w:tcPr>
          <w:p w14:paraId="5FA3D606"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2021-2022</w:t>
            </w:r>
          </w:p>
        </w:tc>
        <w:tc>
          <w:tcPr>
            <w:tcW w:w="0" w:type="auto"/>
          </w:tcPr>
          <w:p w14:paraId="2B5687C3"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5956.70</w:t>
            </w:r>
          </w:p>
        </w:tc>
        <w:tc>
          <w:tcPr>
            <w:tcW w:w="0" w:type="auto"/>
          </w:tcPr>
          <w:p w14:paraId="31A306AD"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48135.1</w:t>
            </w:r>
          </w:p>
        </w:tc>
        <w:tc>
          <w:tcPr>
            <w:tcW w:w="0" w:type="auto"/>
          </w:tcPr>
          <w:p w14:paraId="5643F596"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0.12</w:t>
            </w:r>
          </w:p>
        </w:tc>
      </w:tr>
      <w:tr w:rsidR="00A73ACE" w:rsidRPr="00DB26E4" w14:paraId="73ADEF49" w14:textId="77777777" w:rsidTr="002B5C1C">
        <w:trPr>
          <w:jc w:val="center"/>
        </w:trPr>
        <w:tc>
          <w:tcPr>
            <w:tcW w:w="0" w:type="auto"/>
          </w:tcPr>
          <w:p w14:paraId="677291BF"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2020-2021</w:t>
            </w:r>
          </w:p>
        </w:tc>
        <w:tc>
          <w:tcPr>
            <w:tcW w:w="0" w:type="auto"/>
          </w:tcPr>
          <w:p w14:paraId="314E4579"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4771.18</w:t>
            </w:r>
          </w:p>
        </w:tc>
        <w:tc>
          <w:tcPr>
            <w:tcW w:w="0" w:type="auto"/>
          </w:tcPr>
          <w:p w14:paraId="22CBFAD1"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39951.82</w:t>
            </w:r>
          </w:p>
        </w:tc>
        <w:tc>
          <w:tcPr>
            <w:tcW w:w="0" w:type="auto"/>
          </w:tcPr>
          <w:p w14:paraId="0661DED3"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0.11</w:t>
            </w:r>
          </w:p>
        </w:tc>
      </w:tr>
      <w:tr w:rsidR="00A73ACE" w:rsidRPr="00DB26E4" w14:paraId="4E347A7C" w14:textId="77777777" w:rsidTr="002B5C1C">
        <w:trPr>
          <w:jc w:val="center"/>
        </w:trPr>
        <w:tc>
          <w:tcPr>
            <w:tcW w:w="0" w:type="auto"/>
          </w:tcPr>
          <w:p w14:paraId="72C1AAEB"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2019-2020</w:t>
            </w:r>
          </w:p>
        </w:tc>
        <w:tc>
          <w:tcPr>
            <w:tcW w:w="0" w:type="auto"/>
          </w:tcPr>
          <w:p w14:paraId="0AC6ECB0"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3986.58</w:t>
            </w:r>
          </w:p>
        </w:tc>
        <w:tc>
          <w:tcPr>
            <w:tcW w:w="0" w:type="auto"/>
          </w:tcPr>
          <w:p w14:paraId="0C72E466"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29808.67</w:t>
            </w:r>
          </w:p>
        </w:tc>
        <w:tc>
          <w:tcPr>
            <w:tcW w:w="0" w:type="auto"/>
          </w:tcPr>
          <w:p w14:paraId="2EB0C2F8"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0.13</w:t>
            </w:r>
          </w:p>
        </w:tc>
      </w:tr>
      <w:tr w:rsidR="00A73ACE" w:rsidRPr="00DB26E4" w14:paraId="15820993" w14:textId="77777777" w:rsidTr="002B5C1C">
        <w:trPr>
          <w:jc w:val="center"/>
        </w:trPr>
        <w:tc>
          <w:tcPr>
            <w:tcW w:w="0" w:type="auto"/>
          </w:tcPr>
          <w:p w14:paraId="4E4BD172"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2018-2019</w:t>
            </w:r>
          </w:p>
        </w:tc>
        <w:tc>
          <w:tcPr>
            <w:tcW w:w="0" w:type="auto"/>
          </w:tcPr>
          <w:p w14:paraId="4DAED98E"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26533.81</w:t>
            </w:r>
          </w:p>
        </w:tc>
        <w:tc>
          <w:tcPr>
            <w:tcW w:w="0" w:type="auto"/>
          </w:tcPr>
          <w:p w14:paraId="47DCFFF1"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193139.74</w:t>
            </w:r>
          </w:p>
        </w:tc>
        <w:tc>
          <w:tcPr>
            <w:tcW w:w="0" w:type="auto"/>
          </w:tcPr>
          <w:p w14:paraId="045394D9"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0.13</w:t>
            </w:r>
          </w:p>
        </w:tc>
      </w:tr>
    </w:tbl>
    <w:p w14:paraId="38B5FD7B"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GRAPH 5.9</w:t>
      </w:r>
    </w:p>
    <w:p w14:paraId="38CA308D" w14:textId="77777777" w:rsidR="00A73ACE" w:rsidRPr="00DB26E4" w:rsidRDefault="00A73ACE" w:rsidP="002B5C1C">
      <w:pPr>
        <w:spacing w:after="0" w:line="360" w:lineRule="auto"/>
        <w:jc w:val="center"/>
        <w:rPr>
          <w:rFonts w:ascii="Times New Roman" w:hAnsi="Times New Roman" w:cs="Times New Roman"/>
          <w:sz w:val="24"/>
          <w:szCs w:val="24"/>
        </w:rPr>
      </w:pPr>
      <w:r w:rsidRPr="00DB26E4">
        <w:rPr>
          <w:rFonts w:ascii="Times New Roman" w:hAnsi="Times New Roman" w:cs="Times New Roman"/>
          <w:noProof/>
          <w:sz w:val="24"/>
          <w:szCs w:val="24"/>
          <w:lang w:val="en-US"/>
        </w:rPr>
        <w:lastRenderedPageBreak/>
        <w:drawing>
          <wp:inline distT="0" distB="0" distL="0" distR="0" wp14:anchorId="1060A6E2" wp14:editId="66EEF288">
            <wp:extent cx="3819549" cy="1854679"/>
            <wp:effectExtent l="19050" t="0" r="28551" b="0"/>
            <wp:docPr id="16494677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B55508" w14:textId="77777777" w:rsidR="00A73ACE" w:rsidRPr="00DB26E4" w:rsidRDefault="00A73ACE" w:rsidP="002B5C1C">
      <w:pPr>
        <w:spacing w:after="0" w:line="360" w:lineRule="auto"/>
        <w:jc w:val="both"/>
        <w:rPr>
          <w:rFonts w:ascii="Times New Roman" w:hAnsi="Times New Roman" w:cs="Times New Roman"/>
          <w:b/>
          <w:bCs/>
          <w:sz w:val="24"/>
          <w:szCs w:val="24"/>
        </w:rPr>
      </w:pPr>
      <w:r w:rsidRPr="00DB26E4">
        <w:rPr>
          <w:rFonts w:ascii="Times New Roman" w:hAnsi="Times New Roman" w:cs="Times New Roman"/>
          <w:b/>
          <w:bCs/>
          <w:sz w:val="24"/>
          <w:szCs w:val="24"/>
        </w:rPr>
        <w:t>Interpretation:</w:t>
      </w:r>
    </w:p>
    <w:p w14:paraId="2A8BFC82" w14:textId="77777777" w:rsidR="00A73ACE" w:rsidRPr="00DB26E4" w:rsidRDefault="00A73ACE" w:rsidP="002B5C1C">
      <w:pPr>
        <w:pStyle w:val="NormalWeb"/>
        <w:spacing w:before="0" w:after="0" w:line="360" w:lineRule="auto"/>
        <w:jc w:val="both"/>
        <w:rPr>
          <w:szCs w:val="24"/>
          <w:lang w:val="en-IN" w:eastAsia="en-IN"/>
        </w:rPr>
      </w:pPr>
      <w:r w:rsidRPr="00DB26E4">
        <w:rPr>
          <w:szCs w:val="24"/>
          <w:lang w:val="en-IN" w:eastAsia="en-IN"/>
        </w:rPr>
        <w:t>The asset turnover ratio, also known as the total asset runover ratio, The company's asset turnover in the periods of 2019 and 2023 decreased from 0.13 to 0.12, but in 2022 and 2023, the ratio increased from 0.13. The total asset turnover ratio measures the efficiency with which a company uses its assets to produce revenue.</w:t>
      </w:r>
    </w:p>
    <w:p w14:paraId="5762D095" w14:textId="77777777" w:rsidR="00A73ACE" w:rsidRPr="00DB26E4" w:rsidRDefault="00A73ACE" w:rsidP="002B5C1C">
      <w:pPr>
        <w:spacing w:after="0" w:line="360" w:lineRule="auto"/>
        <w:rPr>
          <w:rFonts w:ascii="Times New Roman" w:hAnsi="Times New Roman" w:cs="Times New Roman"/>
          <w:sz w:val="24"/>
          <w:szCs w:val="24"/>
        </w:rPr>
      </w:pPr>
      <w:r w:rsidRPr="00DB26E4">
        <w:rPr>
          <w:rFonts w:ascii="Times New Roman" w:hAnsi="Times New Roman" w:cs="Times New Roman"/>
          <w:b/>
          <w:bCs/>
          <w:sz w:val="24"/>
          <w:szCs w:val="24"/>
        </w:rPr>
        <w:t>2.Fixed Asset Turnover</w:t>
      </w:r>
      <w:r w:rsidRPr="00DB26E4">
        <w:rPr>
          <w:rFonts w:ascii="Times New Roman" w:hAnsi="Times New Roman" w:cs="Times New Roman"/>
          <w:sz w:val="24"/>
          <w:szCs w:val="24"/>
        </w:rPr>
        <w:t xml:space="preserve"> = Net Revenue/Average Fixed asset</w:t>
      </w:r>
    </w:p>
    <w:p w14:paraId="04E8B74E" w14:textId="77777777" w:rsidR="00A73ACE" w:rsidRPr="00DB26E4" w:rsidRDefault="00A73ACE" w:rsidP="002B5C1C">
      <w:pPr>
        <w:spacing w:after="0" w:line="360" w:lineRule="auto"/>
        <w:rPr>
          <w:rFonts w:ascii="Times New Roman" w:hAnsi="Times New Roman" w:cs="Times New Roman"/>
          <w:sz w:val="24"/>
          <w:szCs w:val="24"/>
        </w:rPr>
      </w:pPr>
      <w:r w:rsidRPr="00DB26E4">
        <w:rPr>
          <w:rFonts w:ascii="Times New Roman" w:hAnsi="Times New Roman" w:cs="Times New Roman"/>
          <w:sz w:val="24"/>
          <w:szCs w:val="24"/>
        </w:rPr>
        <w:t>Average Fixed asset = (opening balance +closing balance)</w:t>
      </w:r>
    </w:p>
    <w:p w14:paraId="6ECCD046"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Table-5.10</w:t>
      </w:r>
    </w:p>
    <w:tbl>
      <w:tblPr>
        <w:tblStyle w:val="TableGrid"/>
        <w:tblW w:w="0" w:type="auto"/>
        <w:jc w:val="center"/>
        <w:tblLook w:val="04A0" w:firstRow="1" w:lastRow="0" w:firstColumn="1" w:lastColumn="0" w:noHBand="0" w:noVBand="1"/>
      </w:tblPr>
      <w:tblGrid>
        <w:gridCol w:w="1256"/>
        <w:gridCol w:w="1445"/>
        <w:gridCol w:w="2265"/>
        <w:gridCol w:w="776"/>
      </w:tblGrid>
      <w:tr w:rsidR="004B6E6F" w:rsidRPr="00DB26E4" w14:paraId="488847CB" w14:textId="77777777" w:rsidTr="002A7C5C">
        <w:trPr>
          <w:jc w:val="center"/>
        </w:trPr>
        <w:tc>
          <w:tcPr>
            <w:tcW w:w="0" w:type="auto"/>
          </w:tcPr>
          <w:p w14:paraId="425EFC53" w14:textId="77777777" w:rsidR="004B6E6F" w:rsidRPr="00DB26E4" w:rsidRDefault="004B6E6F"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Years</w:t>
            </w:r>
          </w:p>
        </w:tc>
        <w:tc>
          <w:tcPr>
            <w:tcW w:w="0" w:type="auto"/>
          </w:tcPr>
          <w:p w14:paraId="5102CF66" w14:textId="77777777" w:rsidR="004B6E6F" w:rsidRPr="00DB26E4" w:rsidRDefault="004B6E6F"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Net revenue</w:t>
            </w:r>
          </w:p>
        </w:tc>
        <w:tc>
          <w:tcPr>
            <w:tcW w:w="0" w:type="auto"/>
          </w:tcPr>
          <w:p w14:paraId="73DB4E53" w14:textId="77777777" w:rsidR="004B6E6F" w:rsidRPr="00DB26E4" w:rsidRDefault="004B6E6F"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Average fixed assets</w:t>
            </w:r>
          </w:p>
        </w:tc>
        <w:tc>
          <w:tcPr>
            <w:tcW w:w="0" w:type="auto"/>
          </w:tcPr>
          <w:p w14:paraId="3F58B0ED" w14:textId="77777777" w:rsidR="004B6E6F" w:rsidRPr="00DB26E4" w:rsidRDefault="004B6E6F"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Ratio</w:t>
            </w:r>
          </w:p>
        </w:tc>
      </w:tr>
      <w:tr w:rsidR="004B6E6F" w:rsidRPr="00DB26E4" w14:paraId="552CAD9B" w14:textId="77777777" w:rsidTr="002A7C5C">
        <w:trPr>
          <w:jc w:val="center"/>
        </w:trPr>
        <w:tc>
          <w:tcPr>
            <w:tcW w:w="0" w:type="auto"/>
          </w:tcPr>
          <w:p w14:paraId="2F370C77"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2022-2023</w:t>
            </w:r>
          </w:p>
        </w:tc>
        <w:tc>
          <w:tcPr>
            <w:tcW w:w="0" w:type="auto"/>
          </w:tcPr>
          <w:p w14:paraId="6DE60346"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7909.85</w:t>
            </w:r>
          </w:p>
        </w:tc>
        <w:tc>
          <w:tcPr>
            <w:tcW w:w="0" w:type="auto"/>
          </w:tcPr>
          <w:p w14:paraId="2C1890AA"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54312.33</w:t>
            </w:r>
          </w:p>
        </w:tc>
        <w:tc>
          <w:tcPr>
            <w:tcW w:w="0" w:type="auto"/>
          </w:tcPr>
          <w:p w14:paraId="45728387"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0.14</w:t>
            </w:r>
          </w:p>
        </w:tc>
      </w:tr>
      <w:tr w:rsidR="004B6E6F" w:rsidRPr="00DB26E4" w14:paraId="3CBD103B" w14:textId="77777777" w:rsidTr="002A7C5C">
        <w:trPr>
          <w:jc w:val="center"/>
        </w:trPr>
        <w:tc>
          <w:tcPr>
            <w:tcW w:w="0" w:type="auto"/>
          </w:tcPr>
          <w:p w14:paraId="2E0CEBCD"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2021-2022</w:t>
            </w:r>
          </w:p>
        </w:tc>
        <w:tc>
          <w:tcPr>
            <w:tcW w:w="0" w:type="auto"/>
          </w:tcPr>
          <w:p w14:paraId="40BEDECE"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5956.70</w:t>
            </w:r>
          </w:p>
        </w:tc>
        <w:tc>
          <w:tcPr>
            <w:tcW w:w="0" w:type="auto"/>
          </w:tcPr>
          <w:p w14:paraId="75765BAD"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36761.84</w:t>
            </w:r>
          </w:p>
        </w:tc>
        <w:tc>
          <w:tcPr>
            <w:tcW w:w="0" w:type="auto"/>
          </w:tcPr>
          <w:p w14:paraId="58A7E9B1"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0.16</w:t>
            </w:r>
          </w:p>
        </w:tc>
      </w:tr>
      <w:tr w:rsidR="004B6E6F" w:rsidRPr="00DB26E4" w14:paraId="65B6D57C" w14:textId="77777777" w:rsidTr="002A7C5C">
        <w:trPr>
          <w:jc w:val="center"/>
        </w:trPr>
        <w:tc>
          <w:tcPr>
            <w:tcW w:w="0" w:type="auto"/>
          </w:tcPr>
          <w:p w14:paraId="3C24749C"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2020-2021</w:t>
            </w:r>
          </w:p>
        </w:tc>
        <w:tc>
          <w:tcPr>
            <w:tcW w:w="0" w:type="auto"/>
          </w:tcPr>
          <w:p w14:paraId="5D9A61F5"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4771.18</w:t>
            </w:r>
          </w:p>
        </w:tc>
        <w:tc>
          <w:tcPr>
            <w:tcW w:w="0" w:type="auto"/>
          </w:tcPr>
          <w:p w14:paraId="06ACD351"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3204.12</w:t>
            </w:r>
          </w:p>
        </w:tc>
        <w:tc>
          <w:tcPr>
            <w:tcW w:w="0" w:type="auto"/>
          </w:tcPr>
          <w:p w14:paraId="2F337FB3"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0.14</w:t>
            </w:r>
          </w:p>
        </w:tc>
      </w:tr>
      <w:tr w:rsidR="004B6E6F" w:rsidRPr="00DB26E4" w14:paraId="251B0783" w14:textId="77777777" w:rsidTr="002A7C5C">
        <w:trPr>
          <w:jc w:val="center"/>
        </w:trPr>
        <w:tc>
          <w:tcPr>
            <w:tcW w:w="0" w:type="auto"/>
          </w:tcPr>
          <w:p w14:paraId="3228DF9F"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2019-2020</w:t>
            </w:r>
          </w:p>
        </w:tc>
        <w:tc>
          <w:tcPr>
            <w:tcW w:w="0" w:type="auto"/>
          </w:tcPr>
          <w:p w14:paraId="6517ADFA"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3986.58</w:t>
            </w:r>
          </w:p>
        </w:tc>
        <w:tc>
          <w:tcPr>
            <w:tcW w:w="0" w:type="auto"/>
          </w:tcPr>
          <w:p w14:paraId="587A3A24"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26795.29</w:t>
            </w:r>
          </w:p>
        </w:tc>
        <w:tc>
          <w:tcPr>
            <w:tcW w:w="0" w:type="auto"/>
          </w:tcPr>
          <w:p w14:paraId="64156D9D"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0.14</w:t>
            </w:r>
          </w:p>
        </w:tc>
      </w:tr>
      <w:tr w:rsidR="004B6E6F" w:rsidRPr="00DB26E4" w14:paraId="35C95A6D" w14:textId="77777777" w:rsidTr="002A7C5C">
        <w:trPr>
          <w:jc w:val="center"/>
        </w:trPr>
        <w:tc>
          <w:tcPr>
            <w:tcW w:w="0" w:type="auto"/>
          </w:tcPr>
          <w:p w14:paraId="18FC0083"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2018-2019</w:t>
            </w:r>
          </w:p>
        </w:tc>
        <w:tc>
          <w:tcPr>
            <w:tcW w:w="0" w:type="auto"/>
          </w:tcPr>
          <w:p w14:paraId="16AC65DA"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26533.81</w:t>
            </w:r>
          </w:p>
        </w:tc>
        <w:tc>
          <w:tcPr>
            <w:tcW w:w="0" w:type="auto"/>
          </w:tcPr>
          <w:p w14:paraId="6ECC21E0"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20873.85</w:t>
            </w:r>
          </w:p>
        </w:tc>
        <w:tc>
          <w:tcPr>
            <w:tcW w:w="0" w:type="auto"/>
          </w:tcPr>
          <w:p w14:paraId="283C8BBB" w14:textId="77777777" w:rsidR="004B6E6F" w:rsidRPr="00DB26E4" w:rsidRDefault="004B6E6F"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1.27</w:t>
            </w:r>
          </w:p>
        </w:tc>
      </w:tr>
    </w:tbl>
    <w:p w14:paraId="089EEB1B" w14:textId="77777777" w:rsidR="002B5C1C" w:rsidRDefault="002B5C1C" w:rsidP="002B5C1C">
      <w:pPr>
        <w:spacing w:after="0" w:line="360" w:lineRule="auto"/>
        <w:rPr>
          <w:rFonts w:ascii="Times New Roman" w:hAnsi="Times New Roman" w:cs="Times New Roman"/>
          <w:b/>
          <w:bCs/>
          <w:sz w:val="24"/>
          <w:szCs w:val="24"/>
        </w:rPr>
      </w:pPr>
    </w:p>
    <w:p w14:paraId="53AE26AD" w14:textId="77777777" w:rsidR="002B5C1C" w:rsidRDefault="002B5C1C" w:rsidP="002B5C1C">
      <w:pPr>
        <w:spacing w:after="0" w:line="360" w:lineRule="auto"/>
        <w:rPr>
          <w:rFonts w:ascii="Times New Roman" w:hAnsi="Times New Roman" w:cs="Times New Roman"/>
          <w:b/>
          <w:bCs/>
          <w:sz w:val="24"/>
          <w:szCs w:val="24"/>
        </w:rPr>
      </w:pPr>
    </w:p>
    <w:p w14:paraId="5B0E99B5"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GRAPH 5.10</w:t>
      </w:r>
    </w:p>
    <w:p w14:paraId="5A2B8CF1" w14:textId="77777777" w:rsidR="00A73ACE" w:rsidRPr="00DB26E4" w:rsidRDefault="00580C01" w:rsidP="002B5C1C">
      <w:pPr>
        <w:spacing w:after="0" w:line="360" w:lineRule="auto"/>
        <w:jc w:val="center"/>
        <w:rPr>
          <w:rFonts w:ascii="Times New Roman" w:hAnsi="Times New Roman" w:cs="Times New Roman"/>
          <w:sz w:val="24"/>
          <w:szCs w:val="24"/>
        </w:rPr>
      </w:pPr>
      <w:r w:rsidRPr="00DB26E4">
        <w:rPr>
          <w:rFonts w:ascii="Times New Roman" w:hAnsi="Times New Roman" w:cs="Times New Roman"/>
          <w:noProof/>
          <w:sz w:val="24"/>
          <w:szCs w:val="24"/>
          <w:lang w:val="en-US"/>
        </w:rPr>
        <w:lastRenderedPageBreak/>
        <w:drawing>
          <wp:inline distT="0" distB="0" distL="0" distR="0" wp14:anchorId="77DB41B7" wp14:editId="3175026A">
            <wp:extent cx="3883743" cy="1751163"/>
            <wp:effectExtent l="19050" t="0" r="21507" b="1437"/>
            <wp:docPr id="121339886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3CAF1BC" w14:textId="77777777" w:rsidR="00A73ACE" w:rsidRPr="00DB26E4" w:rsidRDefault="00A73ACE" w:rsidP="002B5C1C">
      <w:pPr>
        <w:spacing w:after="0" w:line="360" w:lineRule="auto"/>
        <w:jc w:val="both"/>
        <w:rPr>
          <w:rFonts w:ascii="Times New Roman" w:hAnsi="Times New Roman" w:cs="Times New Roman"/>
          <w:b/>
          <w:bCs/>
          <w:sz w:val="24"/>
          <w:szCs w:val="24"/>
        </w:rPr>
      </w:pPr>
      <w:r w:rsidRPr="00DB26E4">
        <w:rPr>
          <w:rFonts w:ascii="Times New Roman" w:hAnsi="Times New Roman" w:cs="Times New Roman"/>
          <w:b/>
          <w:bCs/>
          <w:sz w:val="24"/>
          <w:szCs w:val="24"/>
        </w:rPr>
        <w:t>Interpretation:</w:t>
      </w:r>
    </w:p>
    <w:p w14:paraId="2BA8A0A0" w14:textId="77777777" w:rsidR="00B12B80" w:rsidRPr="00DB26E4" w:rsidRDefault="00B12B80" w:rsidP="002B5C1C">
      <w:p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The fixed asset turnover ratio reveals how efficient a company is at generating sales from its existing fixed assets. The company's fixed asset turnover for the period of 2019 to 2023 decreased from 1.27 to 0.14. A higher ratio implies the management is using its fixed assets more effectively. The fixed asset turnover ratio is similar to other turnover ratios, such as the asset turnover ratio, which uses a subset of assets to compare a company’s activity against, and fixed assets are increased.</w:t>
      </w:r>
    </w:p>
    <w:p w14:paraId="7F26E01B" w14:textId="77777777" w:rsidR="00A73ACE" w:rsidRPr="00DB26E4" w:rsidRDefault="00A73ACE" w:rsidP="002B5C1C">
      <w:pPr>
        <w:spacing w:after="0" w:line="360" w:lineRule="auto"/>
        <w:rPr>
          <w:rFonts w:ascii="Times New Roman" w:hAnsi="Times New Roman" w:cs="Times New Roman"/>
          <w:sz w:val="24"/>
          <w:szCs w:val="24"/>
        </w:rPr>
      </w:pPr>
      <w:r w:rsidRPr="00DB26E4">
        <w:rPr>
          <w:rFonts w:ascii="Times New Roman" w:hAnsi="Times New Roman" w:cs="Times New Roman"/>
          <w:b/>
          <w:bCs/>
          <w:sz w:val="24"/>
          <w:szCs w:val="24"/>
        </w:rPr>
        <w:t>3.</w:t>
      </w:r>
      <w:r w:rsidR="002B5C1C">
        <w:rPr>
          <w:rFonts w:ascii="Times New Roman" w:hAnsi="Times New Roman" w:cs="Times New Roman"/>
          <w:b/>
          <w:bCs/>
          <w:sz w:val="24"/>
          <w:szCs w:val="24"/>
        </w:rPr>
        <w:t xml:space="preserve"> </w:t>
      </w:r>
      <w:r w:rsidRPr="00DB26E4">
        <w:rPr>
          <w:rFonts w:ascii="Times New Roman" w:hAnsi="Times New Roman" w:cs="Times New Roman"/>
          <w:b/>
          <w:bCs/>
          <w:sz w:val="24"/>
          <w:szCs w:val="24"/>
        </w:rPr>
        <w:t>Working Capital Turnover</w:t>
      </w:r>
      <w:r w:rsidRPr="00DB26E4">
        <w:rPr>
          <w:rFonts w:ascii="Times New Roman" w:hAnsi="Times New Roman" w:cs="Times New Roman"/>
          <w:sz w:val="24"/>
          <w:szCs w:val="24"/>
        </w:rPr>
        <w:t xml:space="preserve"> = Net Revenue/Average Working capital </w:t>
      </w:r>
    </w:p>
    <w:p w14:paraId="11705EAD" w14:textId="77777777" w:rsidR="00A73ACE" w:rsidRPr="00DB26E4" w:rsidRDefault="00A73ACE" w:rsidP="002B5C1C">
      <w:pPr>
        <w:spacing w:after="0" w:line="360" w:lineRule="auto"/>
        <w:rPr>
          <w:rFonts w:ascii="Times New Roman" w:hAnsi="Times New Roman" w:cs="Times New Roman"/>
          <w:sz w:val="24"/>
          <w:szCs w:val="24"/>
        </w:rPr>
      </w:pPr>
      <w:r w:rsidRPr="00DB26E4">
        <w:rPr>
          <w:rFonts w:ascii="Times New Roman" w:hAnsi="Times New Roman" w:cs="Times New Roman"/>
          <w:sz w:val="24"/>
          <w:szCs w:val="24"/>
        </w:rPr>
        <w:t xml:space="preserve"> Working capital = current asset – current liabilities </w:t>
      </w:r>
    </w:p>
    <w:p w14:paraId="1EECD7DC"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Table-5.11</w:t>
      </w:r>
    </w:p>
    <w:tbl>
      <w:tblPr>
        <w:tblStyle w:val="TableGrid"/>
        <w:tblW w:w="0" w:type="auto"/>
        <w:tblInd w:w="1345" w:type="dxa"/>
        <w:tblLook w:val="04A0" w:firstRow="1" w:lastRow="0" w:firstColumn="1" w:lastColumn="0" w:noHBand="0" w:noVBand="1"/>
      </w:tblPr>
      <w:tblGrid>
        <w:gridCol w:w="1256"/>
        <w:gridCol w:w="1445"/>
        <w:gridCol w:w="2718"/>
        <w:gridCol w:w="776"/>
      </w:tblGrid>
      <w:tr w:rsidR="00A73ACE" w:rsidRPr="00DB26E4" w14:paraId="5B5E15D7" w14:textId="77777777" w:rsidTr="002B5C1C">
        <w:tc>
          <w:tcPr>
            <w:tcW w:w="0" w:type="auto"/>
          </w:tcPr>
          <w:p w14:paraId="7F21D18F" w14:textId="77777777" w:rsidR="00A73ACE" w:rsidRPr="00DB26E4" w:rsidRDefault="00A73ACE"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Years</w:t>
            </w:r>
          </w:p>
        </w:tc>
        <w:tc>
          <w:tcPr>
            <w:tcW w:w="0" w:type="auto"/>
          </w:tcPr>
          <w:p w14:paraId="4F715575" w14:textId="77777777" w:rsidR="00A73ACE" w:rsidRPr="00DB26E4" w:rsidRDefault="00A73ACE"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Net revenue</w:t>
            </w:r>
          </w:p>
        </w:tc>
        <w:tc>
          <w:tcPr>
            <w:tcW w:w="0" w:type="auto"/>
          </w:tcPr>
          <w:p w14:paraId="49E842BE" w14:textId="77777777" w:rsidR="00A73ACE" w:rsidRPr="00DB26E4" w:rsidRDefault="00A73ACE"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Average working capital</w:t>
            </w:r>
          </w:p>
        </w:tc>
        <w:tc>
          <w:tcPr>
            <w:tcW w:w="0" w:type="auto"/>
          </w:tcPr>
          <w:p w14:paraId="6E5559AC" w14:textId="77777777" w:rsidR="00A73ACE" w:rsidRPr="00DB26E4" w:rsidRDefault="00A73ACE" w:rsidP="002B5C1C">
            <w:pPr>
              <w:spacing w:line="360" w:lineRule="auto"/>
              <w:rPr>
                <w:rFonts w:ascii="Times New Roman" w:hAnsi="Times New Roman" w:cs="Times New Roman"/>
                <w:b/>
                <w:bCs/>
                <w:sz w:val="24"/>
                <w:szCs w:val="24"/>
              </w:rPr>
            </w:pPr>
            <w:r w:rsidRPr="00DB26E4">
              <w:rPr>
                <w:rFonts w:ascii="Times New Roman" w:hAnsi="Times New Roman" w:cs="Times New Roman"/>
                <w:b/>
                <w:bCs/>
                <w:sz w:val="24"/>
                <w:szCs w:val="24"/>
              </w:rPr>
              <w:t>Ratio</w:t>
            </w:r>
          </w:p>
        </w:tc>
      </w:tr>
      <w:tr w:rsidR="00A73ACE" w:rsidRPr="00DB26E4" w14:paraId="08E94B9D" w14:textId="77777777" w:rsidTr="002B5C1C">
        <w:tc>
          <w:tcPr>
            <w:tcW w:w="0" w:type="auto"/>
          </w:tcPr>
          <w:p w14:paraId="4378CAC6"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2022-2023</w:t>
            </w:r>
          </w:p>
        </w:tc>
        <w:tc>
          <w:tcPr>
            <w:tcW w:w="0" w:type="auto"/>
          </w:tcPr>
          <w:p w14:paraId="0C07D677"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7909.85</w:t>
            </w:r>
          </w:p>
        </w:tc>
        <w:tc>
          <w:tcPr>
            <w:tcW w:w="0" w:type="auto"/>
          </w:tcPr>
          <w:p w14:paraId="23BB401D"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17951.74</w:t>
            </w:r>
          </w:p>
        </w:tc>
        <w:tc>
          <w:tcPr>
            <w:tcW w:w="0" w:type="auto"/>
          </w:tcPr>
          <w:p w14:paraId="61976ACE"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0.44</w:t>
            </w:r>
          </w:p>
        </w:tc>
      </w:tr>
      <w:tr w:rsidR="00A73ACE" w:rsidRPr="00DB26E4" w14:paraId="0B81CDEA" w14:textId="77777777" w:rsidTr="002B5C1C">
        <w:tc>
          <w:tcPr>
            <w:tcW w:w="0" w:type="auto"/>
          </w:tcPr>
          <w:p w14:paraId="7906734A"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2021-2022</w:t>
            </w:r>
          </w:p>
        </w:tc>
        <w:tc>
          <w:tcPr>
            <w:tcW w:w="0" w:type="auto"/>
          </w:tcPr>
          <w:p w14:paraId="0781D300"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5956.70</w:t>
            </w:r>
          </w:p>
        </w:tc>
        <w:tc>
          <w:tcPr>
            <w:tcW w:w="0" w:type="auto"/>
          </w:tcPr>
          <w:p w14:paraId="1A8856E2"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15578.68</w:t>
            </w:r>
          </w:p>
        </w:tc>
        <w:tc>
          <w:tcPr>
            <w:tcW w:w="0" w:type="auto"/>
          </w:tcPr>
          <w:p w14:paraId="7B79D232"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0.38</w:t>
            </w:r>
          </w:p>
        </w:tc>
      </w:tr>
      <w:tr w:rsidR="00A73ACE" w:rsidRPr="00DB26E4" w14:paraId="55BBAA79" w14:textId="77777777" w:rsidTr="002B5C1C">
        <w:tc>
          <w:tcPr>
            <w:tcW w:w="0" w:type="auto"/>
          </w:tcPr>
          <w:p w14:paraId="0DC54654"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2020-2021</w:t>
            </w:r>
          </w:p>
        </w:tc>
        <w:tc>
          <w:tcPr>
            <w:tcW w:w="0" w:type="auto"/>
          </w:tcPr>
          <w:p w14:paraId="6427C075"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4771.18</w:t>
            </w:r>
          </w:p>
        </w:tc>
        <w:tc>
          <w:tcPr>
            <w:tcW w:w="0" w:type="auto"/>
          </w:tcPr>
          <w:p w14:paraId="640F2E54"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13749.60</w:t>
            </w:r>
          </w:p>
        </w:tc>
        <w:tc>
          <w:tcPr>
            <w:tcW w:w="0" w:type="auto"/>
          </w:tcPr>
          <w:p w14:paraId="357146F3"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0.34</w:t>
            </w:r>
          </w:p>
        </w:tc>
      </w:tr>
      <w:tr w:rsidR="00A73ACE" w:rsidRPr="00DB26E4" w14:paraId="68933A52" w14:textId="77777777" w:rsidTr="002B5C1C">
        <w:tc>
          <w:tcPr>
            <w:tcW w:w="0" w:type="auto"/>
          </w:tcPr>
          <w:p w14:paraId="1B87C7C4"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2019-2020</w:t>
            </w:r>
          </w:p>
        </w:tc>
        <w:tc>
          <w:tcPr>
            <w:tcW w:w="0" w:type="auto"/>
          </w:tcPr>
          <w:p w14:paraId="43075B95"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3986.58</w:t>
            </w:r>
          </w:p>
        </w:tc>
        <w:tc>
          <w:tcPr>
            <w:tcW w:w="0" w:type="auto"/>
          </w:tcPr>
          <w:p w14:paraId="0C513182"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9182.41</w:t>
            </w:r>
          </w:p>
        </w:tc>
        <w:tc>
          <w:tcPr>
            <w:tcW w:w="0" w:type="auto"/>
          </w:tcPr>
          <w:p w14:paraId="21E4FB8E"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0.43</w:t>
            </w:r>
          </w:p>
        </w:tc>
      </w:tr>
      <w:tr w:rsidR="00A73ACE" w:rsidRPr="00DB26E4" w14:paraId="2299304C" w14:textId="77777777" w:rsidTr="002B5C1C">
        <w:tc>
          <w:tcPr>
            <w:tcW w:w="0" w:type="auto"/>
          </w:tcPr>
          <w:p w14:paraId="73313D6B"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2018-2019</w:t>
            </w:r>
          </w:p>
        </w:tc>
        <w:tc>
          <w:tcPr>
            <w:tcW w:w="0" w:type="auto"/>
          </w:tcPr>
          <w:p w14:paraId="430E25B6"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26533.81</w:t>
            </w:r>
          </w:p>
        </w:tc>
        <w:tc>
          <w:tcPr>
            <w:tcW w:w="0" w:type="auto"/>
          </w:tcPr>
          <w:p w14:paraId="10C98A11"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1157.48</w:t>
            </w:r>
          </w:p>
        </w:tc>
        <w:tc>
          <w:tcPr>
            <w:tcW w:w="0" w:type="auto"/>
          </w:tcPr>
          <w:p w14:paraId="1EC26493" w14:textId="77777777" w:rsidR="00A73ACE" w:rsidRPr="00DB26E4" w:rsidRDefault="00A73ACE" w:rsidP="002B5C1C">
            <w:pPr>
              <w:spacing w:line="360" w:lineRule="auto"/>
              <w:rPr>
                <w:rFonts w:ascii="Times New Roman" w:hAnsi="Times New Roman" w:cs="Times New Roman"/>
                <w:sz w:val="24"/>
                <w:szCs w:val="24"/>
              </w:rPr>
            </w:pPr>
            <w:r w:rsidRPr="00DB26E4">
              <w:rPr>
                <w:rFonts w:ascii="Times New Roman" w:hAnsi="Times New Roman" w:cs="Times New Roman"/>
                <w:sz w:val="24"/>
                <w:szCs w:val="24"/>
              </w:rPr>
              <w:t>22.92</w:t>
            </w:r>
          </w:p>
        </w:tc>
      </w:tr>
    </w:tbl>
    <w:p w14:paraId="69DEA5BB" w14:textId="77777777" w:rsidR="00A73ACE" w:rsidRPr="00DB26E4" w:rsidRDefault="00A73ACE" w:rsidP="002B5C1C">
      <w:pPr>
        <w:spacing w:after="0" w:line="240" w:lineRule="auto"/>
        <w:rPr>
          <w:rFonts w:ascii="Times New Roman" w:hAnsi="Times New Roman" w:cs="Times New Roman"/>
          <w:b/>
          <w:bCs/>
          <w:sz w:val="24"/>
          <w:szCs w:val="24"/>
        </w:rPr>
      </w:pPr>
      <w:r w:rsidRPr="00DB26E4">
        <w:rPr>
          <w:rFonts w:ascii="Times New Roman" w:hAnsi="Times New Roman" w:cs="Times New Roman"/>
          <w:b/>
          <w:bCs/>
          <w:sz w:val="24"/>
          <w:szCs w:val="24"/>
        </w:rPr>
        <w:t>GRAPH 5.11</w:t>
      </w:r>
    </w:p>
    <w:p w14:paraId="1D88D3C6" w14:textId="77777777" w:rsidR="00A73ACE" w:rsidRPr="00DB26E4" w:rsidRDefault="00A73ACE" w:rsidP="002B5C1C">
      <w:pPr>
        <w:spacing w:after="0" w:line="360" w:lineRule="auto"/>
        <w:jc w:val="center"/>
        <w:rPr>
          <w:rFonts w:ascii="Times New Roman" w:hAnsi="Times New Roman" w:cs="Times New Roman"/>
          <w:b/>
          <w:bCs/>
          <w:sz w:val="24"/>
          <w:szCs w:val="24"/>
        </w:rPr>
      </w:pPr>
      <w:r w:rsidRPr="00DB26E4">
        <w:rPr>
          <w:rFonts w:ascii="Times New Roman" w:hAnsi="Times New Roman" w:cs="Times New Roman"/>
          <w:noProof/>
          <w:sz w:val="24"/>
          <w:szCs w:val="24"/>
          <w:lang w:val="en-US"/>
        </w:rPr>
        <w:lastRenderedPageBreak/>
        <w:drawing>
          <wp:inline distT="0" distB="0" distL="0" distR="0" wp14:anchorId="70EA7CF0" wp14:editId="6EC7FA9F">
            <wp:extent cx="4054368" cy="1561381"/>
            <wp:effectExtent l="19050" t="0" r="22332" b="719"/>
            <wp:docPr id="151244290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531086E" w14:textId="77777777" w:rsidR="00A73ACE" w:rsidRPr="00DB26E4" w:rsidRDefault="00A73ACE"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Interpretation:</w:t>
      </w:r>
    </w:p>
    <w:p w14:paraId="651D31F6" w14:textId="77777777" w:rsidR="000F6ACD" w:rsidRPr="00DB26E4" w:rsidRDefault="000F6ACD" w:rsidP="002B5C1C">
      <w:p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The working capital turnover ratio is the ratio between the net revenue or turnover of a business and its working capital. The company's working capital turnover from 2019 to 2023 decreased from 22.29 to 0.44. The ratio indicates how effectively a company uses available funds for the streamlined production of goods or services, and net revenue is decreasing.</w:t>
      </w:r>
    </w:p>
    <w:p w14:paraId="2C128794" w14:textId="77777777" w:rsidR="005834E6" w:rsidRPr="00DB26E4" w:rsidRDefault="005834E6"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Findings:</w:t>
      </w:r>
    </w:p>
    <w:p w14:paraId="5DE8111B" w14:textId="77777777" w:rsidR="000F6ACD" w:rsidRPr="00DB26E4" w:rsidRDefault="000F6ACD" w:rsidP="002B5C1C">
      <w:pPr>
        <w:numPr>
          <w:ilvl w:val="0"/>
          <w:numId w:val="7"/>
        </w:num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The company’s current ratio experienced a positive trend between 2019 and 2022, indicating a stronger liquidity position, but showed a potential weakness in 2022–2023 due to a decrease caused by increased current liabilities and other factors.</w:t>
      </w:r>
    </w:p>
    <w:p w14:paraId="2AE51892" w14:textId="77777777" w:rsidR="000F6ACD" w:rsidRPr="00DB26E4" w:rsidRDefault="000F6ACD" w:rsidP="002B5C1C">
      <w:pPr>
        <w:numPr>
          <w:ilvl w:val="0"/>
          <w:numId w:val="7"/>
        </w:num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The company demonstrated a stronger liquidity position between 2019 and 2022, indicated by an improved quick ratio, but experienced a slight deterioration in 2022–2023 as quick assets and current liabilities decreased.</w:t>
      </w:r>
    </w:p>
    <w:p w14:paraId="31EC51C3" w14:textId="77777777" w:rsidR="000F6ACD" w:rsidRPr="00DB26E4" w:rsidRDefault="000F6ACD" w:rsidP="002B5C1C">
      <w:pPr>
        <w:numPr>
          <w:ilvl w:val="0"/>
          <w:numId w:val="7"/>
        </w:num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The company's debt-to-equity ratio significantly decreased from 2019 to 2022, indicating a move towards a more conservative capital structure, but experienced a slight increase in 2022–2023, suggesting higher financial risk and reduced financial flexibility.</w:t>
      </w:r>
    </w:p>
    <w:p w14:paraId="52096C92" w14:textId="77777777" w:rsidR="000F6ACD" w:rsidRPr="00DB26E4" w:rsidRDefault="000F6ACD" w:rsidP="002B5C1C">
      <w:pPr>
        <w:numPr>
          <w:ilvl w:val="0"/>
          <w:numId w:val="7"/>
        </w:num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During the period of 2019 to 2023, the company experienced a significant increase in return on equity, potentially attributed to factors such as equity measures and effective inventory management.</w:t>
      </w:r>
    </w:p>
    <w:p w14:paraId="4E9708DC" w14:textId="77777777" w:rsidR="000F6ACD" w:rsidRPr="00DB26E4" w:rsidRDefault="000F6ACD" w:rsidP="002B5C1C">
      <w:pPr>
        <w:numPr>
          <w:ilvl w:val="0"/>
          <w:numId w:val="7"/>
        </w:num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The improved return on assets from 2019 to 2023 was driven by increased revenue, which determined how efficiently the company used its assets to generate a profit.</w:t>
      </w:r>
    </w:p>
    <w:p w14:paraId="133BC860" w14:textId="77777777" w:rsidR="000F6ACD" w:rsidRPr="00DB26E4" w:rsidRDefault="000F6ACD" w:rsidP="002B5C1C">
      <w:pPr>
        <w:numPr>
          <w:ilvl w:val="0"/>
          <w:numId w:val="7"/>
        </w:num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lastRenderedPageBreak/>
        <w:t>The more profit a company can generate, the stronger its profitability. In cross-company comparisons, from 2019 to 2023, the return on capital employed decreased.</w:t>
      </w:r>
    </w:p>
    <w:p w14:paraId="7782C64A" w14:textId="77777777" w:rsidR="000F6ACD" w:rsidRPr="00DB26E4" w:rsidRDefault="000F6ACD" w:rsidP="002B5C1C">
      <w:pPr>
        <w:numPr>
          <w:ilvl w:val="0"/>
          <w:numId w:val="7"/>
        </w:num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The total asset turnover ratio showed improvement from 2019 to 2022 due to increased assets but experienced a decline in 2023 due to excess loan variations.</w:t>
      </w:r>
    </w:p>
    <w:p w14:paraId="6EFE06A8" w14:textId="77777777" w:rsidR="000F6ACD" w:rsidRPr="00DB26E4" w:rsidRDefault="000F6ACD" w:rsidP="002B5C1C">
      <w:pPr>
        <w:numPr>
          <w:ilvl w:val="0"/>
          <w:numId w:val="7"/>
        </w:num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The fixed asset turnover ratio is improved for revenue and identifies the 2019–2023 opening balance and closing balance.</w:t>
      </w:r>
    </w:p>
    <w:p w14:paraId="22524BF3" w14:textId="77777777" w:rsidR="005834E6" w:rsidRPr="00DB26E4" w:rsidRDefault="005834E6" w:rsidP="002B5C1C">
      <w:pPr>
        <w:spacing w:after="0" w:line="360" w:lineRule="auto"/>
        <w:rPr>
          <w:rFonts w:ascii="Times New Roman" w:hAnsi="Times New Roman" w:cs="Times New Roman"/>
          <w:b/>
          <w:sz w:val="24"/>
          <w:szCs w:val="24"/>
        </w:rPr>
      </w:pPr>
      <w:r w:rsidRPr="00DB26E4">
        <w:rPr>
          <w:rFonts w:ascii="Times New Roman" w:hAnsi="Times New Roman" w:cs="Times New Roman"/>
          <w:b/>
          <w:sz w:val="24"/>
          <w:szCs w:val="24"/>
        </w:rPr>
        <w:t xml:space="preserve">Suggestions: </w:t>
      </w:r>
    </w:p>
    <w:p w14:paraId="4A3878ED" w14:textId="77777777" w:rsidR="000F6ACD" w:rsidRPr="00DB26E4" w:rsidRDefault="000F6ACD" w:rsidP="002B5C1C">
      <w:pPr>
        <w:numPr>
          <w:ilvl w:val="0"/>
          <w:numId w:val="6"/>
        </w:num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The company should focus on managing and reducing current liabilities to improve its liquidity position and mitigate the risk of failing to meet short-term obligations.</w:t>
      </w:r>
    </w:p>
    <w:p w14:paraId="7383F928" w14:textId="77777777" w:rsidR="000F6ACD" w:rsidRPr="00DB26E4" w:rsidRDefault="000F6ACD" w:rsidP="002B5C1C">
      <w:pPr>
        <w:numPr>
          <w:ilvl w:val="0"/>
          <w:numId w:val="6"/>
        </w:num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The company's liquidity shortens operating cycles, and increased cash flow generates working capital.</w:t>
      </w:r>
    </w:p>
    <w:p w14:paraId="28FA644D" w14:textId="77777777" w:rsidR="000F6ACD" w:rsidRPr="00DB26E4" w:rsidRDefault="000F6ACD" w:rsidP="002B5C1C">
      <w:pPr>
        <w:numPr>
          <w:ilvl w:val="0"/>
          <w:numId w:val="6"/>
        </w:num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The company should focus on managing its debt levels and maintaining a balanced capital structure to mitigate financial risk and enhance financial flexibility.</w:t>
      </w:r>
    </w:p>
    <w:p w14:paraId="28E69FB0" w14:textId="77777777" w:rsidR="000F6ACD" w:rsidRPr="00DB26E4" w:rsidRDefault="000F6ACD" w:rsidP="002B5C1C">
      <w:pPr>
        <w:numPr>
          <w:ilvl w:val="0"/>
          <w:numId w:val="6"/>
        </w:num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The company employs strategies like enhancing orientational efficiency, managing risk effectively, and expanding and optimizing its capital structure.</w:t>
      </w:r>
    </w:p>
    <w:p w14:paraId="3288E1E1" w14:textId="77777777" w:rsidR="000F6ACD" w:rsidRPr="00DB26E4" w:rsidRDefault="000F6ACD" w:rsidP="002B5C1C">
      <w:pPr>
        <w:numPr>
          <w:ilvl w:val="0"/>
          <w:numId w:val="6"/>
        </w:num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Focus on quality loan organization by targeting credit-worthy borrowers and diversifying the loan portfolio to mitigate risks.</w:t>
      </w:r>
    </w:p>
    <w:p w14:paraId="484E3E65" w14:textId="77777777" w:rsidR="000F6ACD" w:rsidRPr="00DB26E4" w:rsidRDefault="000F6ACD" w:rsidP="002B5C1C">
      <w:pPr>
        <w:numPr>
          <w:ilvl w:val="0"/>
          <w:numId w:val="6"/>
        </w:num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Focusing on customer retention and acquisition to boost loan disbursements could also positively impact total asset turnover.</w:t>
      </w:r>
    </w:p>
    <w:p w14:paraId="7CBC715E" w14:textId="77777777" w:rsidR="005834E6" w:rsidRPr="00DB26E4" w:rsidRDefault="000F6ACD" w:rsidP="002B5C1C">
      <w:pPr>
        <w:numPr>
          <w:ilvl w:val="0"/>
          <w:numId w:val="6"/>
        </w:numPr>
        <w:spacing w:after="0" w:line="360" w:lineRule="auto"/>
        <w:jc w:val="both"/>
        <w:rPr>
          <w:rFonts w:ascii="Times New Roman" w:eastAsia="Times New Roman" w:hAnsi="Times New Roman" w:cs="Times New Roman"/>
          <w:kern w:val="0"/>
          <w:sz w:val="24"/>
          <w:szCs w:val="24"/>
          <w:lang w:eastAsia="en-IN"/>
        </w:rPr>
      </w:pPr>
      <w:r w:rsidRPr="00DB26E4">
        <w:rPr>
          <w:rFonts w:ascii="Times New Roman" w:eastAsia="Times New Roman" w:hAnsi="Times New Roman" w:cs="Times New Roman"/>
          <w:kern w:val="0"/>
          <w:sz w:val="24"/>
          <w:szCs w:val="24"/>
          <w:lang w:eastAsia="en-IN"/>
        </w:rPr>
        <w:t>Regularly analyse working capital rates to identify areas for improvement and track progress over time.</w:t>
      </w:r>
    </w:p>
    <w:p w14:paraId="64562AB1" w14:textId="77777777" w:rsidR="008C4112" w:rsidRPr="00DB26E4" w:rsidRDefault="008C4112" w:rsidP="002B5C1C">
      <w:pPr>
        <w:spacing w:after="0" w:line="360" w:lineRule="auto"/>
        <w:jc w:val="both"/>
        <w:rPr>
          <w:rFonts w:ascii="Times New Roman" w:hAnsi="Times New Roman" w:cs="Times New Roman"/>
          <w:b/>
          <w:bCs/>
          <w:sz w:val="24"/>
          <w:szCs w:val="24"/>
        </w:rPr>
      </w:pPr>
      <w:r w:rsidRPr="00DB26E4">
        <w:rPr>
          <w:rFonts w:ascii="Times New Roman" w:hAnsi="Times New Roman" w:cs="Times New Roman"/>
          <w:b/>
          <w:bCs/>
          <w:sz w:val="24"/>
          <w:szCs w:val="24"/>
        </w:rPr>
        <w:t>Conclusion:</w:t>
      </w:r>
    </w:p>
    <w:p w14:paraId="58B0B8C4" w14:textId="77777777" w:rsidR="002944E2" w:rsidRDefault="008C4112" w:rsidP="002B5C1C">
      <w:pPr>
        <w:spacing w:after="0" w:line="360" w:lineRule="auto"/>
        <w:jc w:val="both"/>
        <w:rPr>
          <w:rFonts w:ascii="Times New Roman" w:hAnsi="Times New Roman" w:cs="Times New Roman"/>
          <w:sz w:val="24"/>
          <w:szCs w:val="24"/>
        </w:rPr>
      </w:pPr>
      <w:r w:rsidRPr="00DB26E4">
        <w:rPr>
          <w:rFonts w:ascii="Times New Roman" w:hAnsi="Times New Roman" w:cs="Times New Roman"/>
          <w:sz w:val="24"/>
          <w:szCs w:val="24"/>
        </w:rPr>
        <w:t xml:space="preserve">On the basis of the above </w:t>
      </w:r>
      <w:r w:rsidR="00AA71FA" w:rsidRPr="00DB26E4">
        <w:rPr>
          <w:rFonts w:ascii="Times New Roman" w:hAnsi="Times New Roman" w:cs="Times New Roman"/>
          <w:sz w:val="24"/>
          <w:szCs w:val="24"/>
        </w:rPr>
        <w:t>study,</w:t>
      </w:r>
      <w:r w:rsidRPr="00DB26E4">
        <w:rPr>
          <w:rFonts w:ascii="Times New Roman" w:hAnsi="Times New Roman" w:cs="Times New Roman"/>
          <w:sz w:val="24"/>
          <w:szCs w:val="24"/>
        </w:rPr>
        <w:t xml:space="preserve"> it can be said that the </w:t>
      </w:r>
      <w:r w:rsidR="00AA71FA" w:rsidRPr="00DB26E4">
        <w:rPr>
          <w:rFonts w:ascii="Times New Roman" w:hAnsi="Times New Roman" w:cs="Times New Roman"/>
          <w:sz w:val="24"/>
          <w:szCs w:val="24"/>
        </w:rPr>
        <w:t>company’s</w:t>
      </w:r>
      <w:r w:rsidR="002B5C1C">
        <w:rPr>
          <w:rFonts w:ascii="Times New Roman" w:hAnsi="Times New Roman" w:cs="Times New Roman"/>
          <w:sz w:val="24"/>
          <w:szCs w:val="24"/>
        </w:rPr>
        <w:t xml:space="preserve"> </w:t>
      </w:r>
      <w:r w:rsidR="00AA71FA" w:rsidRPr="00DB26E4">
        <w:rPr>
          <w:rFonts w:ascii="Times New Roman" w:hAnsi="Times New Roman" w:cs="Times New Roman"/>
          <w:sz w:val="24"/>
          <w:szCs w:val="24"/>
        </w:rPr>
        <w:t>financial</w:t>
      </w:r>
      <w:r w:rsidRPr="00DB26E4">
        <w:rPr>
          <w:rFonts w:ascii="Times New Roman" w:hAnsi="Times New Roman" w:cs="Times New Roman"/>
          <w:sz w:val="24"/>
          <w:szCs w:val="24"/>
        </w:rPr>
        <w:t xml:space="preserve"> position at the end of the year 2023 was at satisfactory level. The </w:t>
      </w:r>
      <w:r w:rsidR="00AA71FA" w:rsidRPr="00DB26E4">
        <w:rPr>
          <w:rFonts w:ascii="Times New Roman" w:hAnsi="Times New Roman" w:cs="Times New Roman"/>
          <w:sz w:val="24"/>
          <w:szCs w:val="24"/>
        </w:rPr>
        <w:t xml:space="preserve">company’s declining profit levels needs to be worked at the company has gone for some capital projects and in the process incurred loans which is why projects have come </w:t>
      </w:r>
      <w:r w:rsidR="00AA71FA" w:rsidRPr="00DB26E4">
        <w:rPr>
          <w:rFonts w:ascii="Times New Roman" w:hAnsi="Times New Roman" w:cs="Times New Roman"/>
          <w:sz w:val="24"/>
          <w:szCs w:val="24"/>
        </w:rPr>
        <w:lastRenderedPageBreak/>
        <w:t xml:space="preserve">down HFFC has an enormous potential for growth in the future and </w:t>
      </w:r>
      <w:r w:rsidR="002B5C1C" w:rsidRPr="00DB26E4">
        <w:rPr>
          <w:rFonts w:ascii="Times New Roman" w:hAnsi="Times New Roman" w:cs="Times New Roman"/>
          <w:sz w:val="24"/>
          <w:szCs w:val="24"/>
        </w:rPr>
        <w:t>therefore</w:t>
      </w:r>
      <w:r w:rsidR="00AA71FA" w:rsidRPr="00DB26E4">
        <w:rPr>
          <w:rFonts w:ascii="Times New Roman" w:hAnsi="Times New Roman" w:cs="Times New Roman"/>
          <w:sz w:val="24"/>
          <w:szCs w:val="24"/>
        </w:rPr>
        <w:t xml:space="preserve"> if the company’s resources are focused in the right area.</w:t>
      </w:r>
    </w:p>
    <w:p w14:paraId="0EAD29B2" w14:textId="77777777" w:rsidR="002B5C1C" w:rsidRPr="00DB26E4" w:rsidRDefault="002B5C1C" w:rsidP="002B5C1C">
      <w:pPr>
        <w:spacing w:after="0" w:line="360" w:lineRule="auto"/>
        <w:jc w:val="both"/>
        <w:rPr>
          <w:rFonts w:ascii="Times New Roman" w:hAnsi="Times New Roman" w:cs="Times New Roman"/>
          <w:b/>
          <w:bCs/>
          <w:sz w:val="24"/>
          <w:szCs w:val="24"/>
        </w:rPr>
      </w:pPr>
    </w:p>
    <w:p w14:paraId="24255A1F" w14:textId="77777777" w:rsidR="008C4112" w:rsidRPr="00DB26E4" w:rsidRDefault="00FA436C" w:rsidP="002B5C1C">
      <w:pPr>
        <w:spacing w:after="0" w:line="360" w:lineRule="auto"/>
        <w:rPr>
          <w:rFonts w:ascii="Times New Roman" w:hAnsi="Times New Roman" w:cs="Times New Roman"/>
          <w:b/>
          <w:bCs/>
          <w:sz w:val="24"/>
          <w:szCs w:val="24"/>
        </w:rPr>
      </w:pPr>
      <w:r w:rsidRPr="00DB26E4">
        <w:rPr>
          <w:rFonts w:ascii="Times New Roman" w:hAnsi="Times New Roman" w:cs="Times New Roman"/>
          <w:b/>
          <w:bCs/>
          <w:sz w:val="24"/>
          <w:szCs w:val="24"/>
        </w:rPr>
        <w:t>R</w:t>
      </w:r>
      <w:r w:rsidR="00AA71FA" w:rsidRPr="00DB26E4">
        <w:rPr>
          <w:rFonts w:ascii="Times New Roman" w:hAnsi="Times New Roman" w:cs="Times New Roman"/>
          <w:b/>
          <w:bCs/>
          <w:sz w:val="24"/>
          <w:szCs w:val="24"/>
        </w:rPr>
        <w:t>eference</w:t>
      </w:r>
      <w:r w:rsidR="002364F8" w:rsidRPr="00DB26E4">
        <w:rPr>
          <w:rFonts w:ascii="Times New Roman" w:hAnsi="Times New Roman" w:cs="Times New Roman"/>
          <w:b/>
          <w:bCs/>
          <w:sz w:val="24"/>
          <w:szCs w:val="24"/>
        </w:rPr>
        <w:t>s</w:t>
      </w:r>
      <w:r w:rsidR="00AA71FA" w:rsidRPr="00DB26E4">
        <w:rPr>
          <w:rFonts w:ascii="Times New Roman" w:hAnsi="Times New Roman" w:cs="Times New Roman"/>
          <w:b/>
          <w:bCs/>
          <w:sz w:val="24"/>
          <w:szCs w:val="24"/>
        </w:rPr>
        <w:t>:</w:t>
      </w:r>
    </w:p>
    <w:p w14:paraId="47FF238A" w14:textId="77777777" w:rsidR="00406D49" w:rsidRPr="00406D49" w:rsidRDefault="00406D49" w:rsidP="005C421C">
      <w:pPr>
        <w:pStyle w:val="ListParagraph"/>
        <w:numPr>
          <w:ilvl w:val="0"/>
          <w:numId w:val="12"/>
        </w:numPr>
        <w:spacing w:after="0" w:line="360" w:lineRule="auto"/>
        <w:rPr>
          <w:kern w:val="0"/>
          <w:szCs w:val="24"/>
          <w:lang w:val="en-US"/>
        </w:rPr>
      </w:pPr>
      <w:r w:rsidRPr="00406D49">
        <w:rPr>
          <w:kern w:val="0"/>
          <w:szCs w:val="24"/>
          <w:lang w:val="en-US"/>
        </w:rPr>
        <w:t>Altman, E. I. (1968). Financial Ratios, Discriminant Analysis and the Prediction of Corporate Bankruptcy. The Journal of Finance.</w:t>
      </w:r>
    </w:p>
    <w:p w14:paraId="22033B87" w14:textId="77777777" w:rsidR="00406D49" w:rsidRPr="00406D49" w:rsidRDefault="00406D49" w:rsidP="005C421C">
      <w:pPr>
        <w:pStyle w:val="ListParagraph"/>
        <w:numPr>
          <w:ilvl w:val="0"/>
          <w:numId w:val="12"/>
        </w:numPr>
        <w:spacing w:after="0" w:line="360" w:lineRule="auto"/>
        <w:rPr>
          <w:kern w:val="0"/>
          <w:szCs w:val="24"/>
          <w:lang w:val="en-US"/>
        </w:rPr>
      </w:pPr>
      <w:r w:rsidRPr="00406D49">
        <w:rPr>
          <w:kern w:val="0"/>
          <w:szCs w:val="24"/>
          <w:lang w:val="en-US"/>
        </w:rPr>
        <w:t>Beaver, W. H. (1966). Financial Ratios as Predictors of Failure. Journal of Accounting Research.</w:t>
      </w:r>
    </w:p>
    <w:p w14:paraId="710F6E13" w14:textId="77777777" w:rsidR="00406D49" w:rsidRPr="00406D49" w:rsidRDefault="00406D49" w:rsidP="005C421C">
      <w:pPr>
        <w:pStyle w:val="ListParagraph"/>
        <w:numPr>
          <w:ilvl w:val="0"/>
          <w:numId w:val="12"/>
        </w:numPr>
        <w:spacing w:after="0" w:line="360" w:lineRule="auto"/>
        <w:rPr>
          <w:kern w:val="0"/>
          <w:szCs w:val="24"/>
          <w:lang w:val="en-US"/>
        </w:rPr>
      </w:pPr>
      <w:r w:rsidRPr="00406D49">
        <w:rPr>
          <w:kern w:val="0"/>
          <w:szCs w:val="24"/>
          <w:lang w:val="en-US"/>
        </w:rPr>
        <w:t>Brigham, E. F., &amp; Ehrhardt, M. C. (2013). Financial Management: Theory &amp; Practice. South-Western Cengage Learning.</w:t>
      </w:r>
    </w:p>
    <w:p w14:paraId="77FECC67" w14:textId="77777777" w:rsidR="00406D49" w:rsidRPr="00406D49" w:rsidRDefault="00406D49" w:rsidP="005C421C">
      <w:pPr>
        <w:pStyle w:val="ListParagraph"/>
        <w:numPr>
          <w:ilvl w:val="0"/>
          <w:numId w:val="12"/>
        </w:numPr>
        <w:spacing w:after="0" w:line="360" w:lineRule="auto"/>
        <w:rPr>
          <w:kern w:val="0"/>
          <w:szCs w:val="24"/>
          <w:lang w:val="en-US"/>
        </w:rPr>
      </w:pPr>
      <w:r w:rsidRPr="00406D49">
        <w:rPr>
          <w:kern w:val="0"/>
          <w:szCs w:val="24"/>
          <w:lang w:val="en-US"/>
        </w:rPr>
        <w:t>Fraser, L. M., &amp; Ormiston, A. (2016). Understanding Financial Statements. Pearson.</w:t>
      </w:r>
    </w:p>
    <w:p w14:paraId="04F49537" w14:textId="77777777" w:rsidR="00406D49" w:rsidRPr="00406D49" w:rsidRDefault="00406D49" w:rsidP="005C421C">
      <w:pPr>
        <w:pStyle w:val="ListParagraph"/>
        <w:numPr>
          <w:ilvl w:val="0"/>
          <w:numId w:val="12"/>
        </w:numPr>
        <w:spacing w:after="0" w:line="360" w:lineRule="auto"/>
        <w:rPr>
          <w:kern w:val="0"/>
          <w:szCs w:val="24"/>
          <w:lang w:val="en-US"/>
        </w:rPr>
      </w:pPr>
      <w:r w:rsidRPr="00406D49">
        <w:rPr>
          <w:kern w:val="0"/>
          <w:szCs w:val="24"/>
          <w:lang w:val="en-US"/>
        </w:rPr>
        <w:t>Gitman, L. J. (2003). Principles of Managerial Finance. Addison-Wesley.</w:t>
      </w:r>
    </w:p>
    <w:p w14:paraId="360D13F5" w14:textId="77777777" w:rsidR="00406D49" w:rsidRPr="00406D49" w:rsidRDefault="00406D49" w:rsidP="005C421C">
      <w:pPr>
        <w:pStyle w:val="ListParagraph"/>
        <w:numPr>
          <w:ilvl w:val="0"/>
          <w:numId w:val="12"/>
        </w:numPr>
        <w:spacing w:after="0" w:line="360" w:lineRule="auto"/>
        <w:rPr>
          <w:kern w:val="0"/>
          <w:szCs w:val="24"/>
          <w:lang w:val="en-US"/>
        </w:rPr>
      </w:pPr>
      <w:r w:rsidRPr="00406D49">
        <w:rPr>
          <w:kern w:val="0"/>
          <w:szCs w:val="24"/>
          <w:lang w:val="en-US"/>
        </w:rPr>
        <w:t>Horrigan, J. O. (1965). Some Empirical Bases of Financial Ratio Analysis. The Accounting Review.</w:t>
      </w:r>
    </w:p>
    <w:p w14:paraId="2EC36197" w14:textId="77777777" w:rsidR="00406D49" w:rsidRPr="00406D49" w:rsidRDefault="00406D49" w:rsidP="005C421C">
      <w:pPr>
        <w:pStyle w:val="ListParagraph"/>
        <w:numPr>
          <w:ilvl w:val="0"/>
          <w:numId w:val="12"/>
        </w:numPr>
        <w:spacing w:after="0" w:line="360" w:lineRule="auto"/>
        <w:rPr>
          <w:kern w:val="0"/>
          <w:szCs w:val="24"/>
          <w:lang w:val="en-US"/>
        </w:rPr>
      </w:pPr>
      <w:r w:rsidRPr="00406D49">
        <w:rPr>
          <w:kern w:val="0"/>
          <w:szCs w:val="24"/>
          <w:lang w:val="en-US"/>
        </w:rPr>
        <w:t>Modigliani, F., &amp; Miller, M. H. (1958). The Cost of Capital, Corporation Finance, and the Theory of Investment. The American Economic Review.</w:t>
      </w:r>
    </w:p>
    <w:p w14:paraId="1883B18E" w14:textId="77777777" w:rsidR="00406D49" w:rsidRPr="00406D49" w:rsidRDefault="00406D49" w:rsidP="005C421C">
      <w:pPr>
        <w:pStyle w:val="ListParagraph"/>
        <w:numPr>
          <w:ilvl w:val="0"/>
          <w:numId w:val="12"/>
        </w:numPr>
        <w:spacing w:after="0" w:line="360" w:lineRule="auto"/>
        <w:rPr>
          <w:kern w:val="0"/>
          <w:szCs w:val="24"/>
          <w:lang w:val="en-US"/>
        </w:rPr>
      </w:pPr>
      <w:r w:rsidRPr="00406D49">
        <w:rPr>
          <w:kern w:val="0"/>
          <w:szCs w:val="24"/>
          <w:lang w:val="en-US"/>
        </w:rPr>
        <w:t>Penman, S. H. (2013). Financial Statement Analysis and Security Valuation. McGraw-Hill Education.</w:t>
      </w:r>
    </w:p>
    <w:p w14:paraId="0F3F43F2" w14:textId="77777777" w:rsidR="00406D49" w:rsidRPr="006A48D7" w:rsidRDefault="00406D49" w:rsidP="005C421C">
      <w:pPr>
        <w:pStyle w:val="ListParagraph"/>
        <w:numPr>
          <w:ilvl w:val="0"/>
          <w:numId w:val="12"/>
        </w:numPr>
        <w:spacing w:after="0" w:line="360" w:lineRule="auto"/>
        <w:rPr>
          <w:szCs w:val="24"/>
        </w:rPr>
      </w:pPr>
      <w:r w:rsidRPr="00406D49">
        <w:rPr>
          <w:color w:val="auto"/>
          <w:kern w:val="0"/>
          <w:szCs w:val="24"/>
          <w:lang w:val="en-US" w:eastAsia="en-US"/>
        </w:rPr>
        <w:t>Robinson, T. R., et al. (2015). International Financial Statement Analysis. Wiley.</w:t>
      </w:r>
    </w:p>
    <w:p w14:paraId="7B5BD195" w14:textId="356083D6" w:rsidR="006A48D7" w:rsidRDefault="006A48D7" w:rsidP="005C421C">
      <w:pPr>
        <w:pStyle w:val="ListParagraph"/>
        <w:numPr>
          <w:ilvl w:val="0"/>
          <w:numId w:val="12"/>
        </w:numPr>
        <w:spacing w:before="43" w:after="0" w:line="360" w:lineRule="auto"/>
        <w:ind w:right="0"/>
        <w:rPr>
          <w:sz w:val="28"/>
        </w:rPr>
      </w:pPr>
      <w:r>
        <w:rPr>
          <w:szCs w:val="20"/>
          <w:shd w:val="clear" w:color="auto" w:fill="FFFFFF"/>
        </w:rPr>
        <w:t>Nagakumari, M. Y., &amp; Pujitha, M. C. N. (2021). Employee Welfare Measures in Manufacturing Industry. </w:t>
      </w:r>
      <w:r>
        <w:rPr>
          <w:iCs/>
          <w:szCs w:val="20"/>
          <w:shd w:val="clear" w:color="auto" w:fill="FFFFFF"/>
        </w:rPr>
        <w:t>The International journal of analytical and experimental modal analysis</w:t>
      </w:r>
      <w:r>
        <w:rPr>
          <w:szCs w:val="20"/>
          <w:shd w:val="clear" w:color="auto" w:fill="FFFFFF"/>
        </w:rPr>
        <w:t>, </w:t>
      </w:r>
      <w:r>
        <w:rPr>
          <w:iCs/>
          <w:szCs w:val="20"/>
          <w:shd w:val="clear" w:color="auto" w:fill="FFFFFF"/>
        </w:rPr>
        <w:t>13</w:t>
      </w:r>
      <w:r>
        <w:rPr>
          <w:szCs w:val="20"/>
          <w:shd w:val="clear" w:color="auto" w:fill="FFFFFF"/>
        </w:rPr>
        <w:t>(8), 1153-1162.</w:t>
      </w:r>
    </w:p>
    <w:p w14:paraId="481A80EF" w14:textId="77777777" w:rsidR="006A48D7" w:rsidRDefault="006A48D7" w:rsidP="005C421C">
      <w:pPr>
        <w:pStyle w:val="ListParagraph"/>
        <w:numPr>
          <w:ilvl w:val="0"/>
          <w:numId w:val="12"/>
        </w:numPr>
        <w:spacing w:before="43" w:after="0" w:line="360" w:lineRule="auto"/>
        <w:ind w:right="0"/>
        <w:rPr>
          <w:sz w:val="28"/>
        </w:rPr>
      </w:pPr>
      <w:r>
        <w:rPr>
          <w:szCs w:val="20"/>
          <w:shd w:val="clear" w:color="auto" w:fill="FFFFFF"/>
        </w:rPr>
        <w:t>Susmitha, K., Kumari, Y. V., &amp; Surekha, G. (2021). Training and Development Program and its Benefits to Employee and Organization. </w:t>
      </w:r>
      <w:r>
        <w:rPr>
          <w:iCs/>
          <w:szCs w:val="20"/>
          <w:shd w:val="clear" w:color="auto" w:fill="FFFFFF"/>
        </w:rPr>
        <w:t xml:space="preserve">Training and Development Program and its Benefits to </w:t>
      </w:r>
      <w:r>
        <w:rPr>
          <w:iCs/>
          <w:szCs w:val="20"/>
          <w:shd w:val="clear" w:color="auto" w:fill="FFFFFF"/>
        </w:rPr>
        <w:lastRenderedPageBreak/>
        <w:t>Employee and Organization (August 7, 2021). Journal of Interdisciplinary Cycle Research</w:t>
      </w:r>
      <w:r>
        <w:rPr>
          <w:szCs w:val="20"/>
          <w:shd w:val="clear" w:color="auto" w:fill="FFFFFF"/>
        </w:rPr>
        <w:t>, </w:t>
      </w:r>
      <w:r>
        <w:rPr>
          <w:iCs/>
          <w:szCs w:val="20"/>
          <w:shd w:val="clear" w:color="auto" w:fill="FFFFFF"/>
        </w:rPr>
        <w:t>13</w:t>
      </w:r>
      <w:r>
        <w:rPr>
          <w:szCs w:val="20"/>
          <w:shd w:val="clear" w:color="auto" w:fill="FFFFFF"/>
        </w:rPr>
        <w:t>, 712-715.</w:t>
      </w:r>
    </w:p>
    <w:p w14:paraId="5BB68DE1" w14:textId="77777777" w:rsidR="006A48D7" w:rsidRDefault="006A48D7" w:rsidP="005C421C">
      <w:pPr>
        <w:pStyle w:val="ListParagraph"/>
        <w:numPr>
          <w:ilvl w:val="0"/>
          <w:numId w:val="12"/>
        </w:numPr>
        <w:spacing w:before="43" w:after="0" w:line="360" w:lineRule="auto"/>
        <w:ind w:right="0"/>
        <w:rPr>
          <w:sz w:val="28"/>
        </w:rPr>
      </w:pPr>
      <w:r>
        <w:rPr>
          <w:szCs w:val="20"/>
          <w:shd w:val="clear" w:color="auto" w:fill="FFFFFF"/>
        </w:rPr>
        <w:t>Mutyala, V., Kumari, Y. N., Kumar, T. H., Lakshmi, B. P., Manikanta, K. C., Kusumadhar, P., &amp; Charan, G. S. (2022). A Study on Effectiveness of Training and Development in the Soft Drink Industry. </w:t>
      </w:r>
      <w:r>
        <w:rPr>
          <w:iCs/>
          <w:szCs w:val="20"/>
          <w:shd w:val="clear" w:color="auto" w:fill="FFFFFF"/>
        </w:rPr>
        <w:t>NeuroQuantology</w:t>
      </w:r>
      <w:r>
        <w:rPr>
          <w:szCs w:val="20"/>
          <w:shd w:val="clear" w:color="auto" w:fill="FFFFFF"/>
        </w:rPr>
        <w:t>, </w:t>
      </w:r>
      <w:r>
        <w:rPr>
          <w:iCs/>
          <w:szCs w:val="20"/>
          <w:shd w:val="clear" w:color="auto" w:fill="FFFFFF"/>
        </w:rPr>
        <w:t>20</w:t>
      </w:r>
      <w:r>
        <w:rPr>
          <w:szCs w:val="20"/>
          <w:shd w:val="clear" w:color="auto" w:fill="FFFFFF"/>
        </w:rPr>
        <w:t>(10), 1641.</w:t>
      </w:r>
    </w:p>
    <w:p w14:paraId="15262519" w14:textId="77777777" w:rsidR="006A48D7" w:rsidRDefault="006A48D7" w:rsidP="005C421C">
      <w:pPr>
        <w:pStyle w:val="ListParagraph"/>
        <w:numPr>
          <w:ilvl w:val="0"/>
          <w:numId w:val="12"/>
        </w:numPr>
        <w:spacing w:before="43" w:after="0" w:line="360" w:lineRule="auto"/>
        <w:ind w:right="0"/>
        <w:rPr>
          <w:sz w:val="28"/>
        </w:rPr>
      </w:pPr>
      <w:r>
        <w:rPr>
          <w:szCs w:val="20"/>
          <w:shd w:val="clear" w:color="auto" w:fill="FFFFFF"/>
        </w:rPr>
        <w:t>Raju, P. V. M., PrudhviRaj, K., Madhavi, S., &amp; Nagakumari, Y. V. Sustainable Entrepreneurship Innovation and its challenges in India.</w:t>
      </w:r>
    </w:p>
    <w:p w14:paraId="27562EA3" w14:textId="77777777" w:rsidR="006A48D7" w:rsidRDefault="006A48D7" w:rsidP="005C421C">
      <w:pPr>
        <w:pStyle w:val="ListParagraph"/>
        <w:numPr>
          <w:ilvl w:val="0"/>
          <w:numId w:val="12"/>
        </w:numPr>
        <w:spacing w:after="160" w:line="360" w:lineRule="auto"/>
        <w:ind w:right="0"/>
      </w:pPr>
      <w:r>
        <w:t>Kumar K., Rao N., Kamal G., Vinod M., Leelavathi T., Sripathi M., Kumari N. (2023) The role of organizational citizenship behavior as an intervening variable in the relationship between employee engagement and gig workers’ productivity in India. </w:t>
      </w:r>
      <w:r>
        <w:rPr>
          <w:i/>
          <w:iCs/>
        </w:rPr>
        <w:t>Organizational Psychology</w:t>
      </w:r>
      <w:r>
        <w:t>, vol. 13, no 4, pp. 183-198.</w:t>
      </w:r>
    </w:p>
    <w:p w14:paraId="29E4C2D1" w14:textId="13D33446" w:rsidR="006A48D7" w:rsidRDefault="006A48D7" w:rsidP="005C421C">
      <w:pPr>
        <w:pStyle w:val="ListParagraph"/>
        <w:numPr>
          <w:ilvl w:val="0"/>
          <w:numId w:val="12"/>
        </w:numPr>
        <w:spacing w:after="160" w:line="360" w:lineRule="auto"/>
        <w:ind w:right="0"/>
      </w:pPr>
      <w:r>
        <w:t>Hemanth Kumar, T., Naga Kumari, Y.V., Narasimha Rao, A. (2024). Child Sexual Abuse in India: Understanding the Problem,</w:t>
      </w:r>
      <w:r w:rsidR="005C421C">
        <w:t xml:space="preserve"> </w:t>
      </w:r>
      <w:r>
        <w:t xml:space="preserve">Respondingto the Challenges, and Charting a Way Forward. In: Shaik, A., Thota, S.L., Atmakuri, L.R. (eds) Child Sexual Abuse. Springer, </w:t>
      </w:r>
      <w:r w:rsidRPr="006004F7">
        <w:rPr>
          <w:color w:val="000000" w:themeColor="text1"/>
        </w:rPr>
        <w:t>Singapore</w:t>
      </w:r>
      <w:r w:rsidR="006004F7" w:rsidRPr="006004F7">
        <w:rPr>
          <w:color w:val="000000" w:themeColor="text1"/>
        </w:rPr>
        <w:t xml:space="preserve"> </w:t>
      </w:r>
      <w:hyperlink r:id="rId16" w:history="1">
        <w:r w:rsidR="006004F7" w:rsidRPr="006004F7">
          <w:rPr>
            <w:rStyle w:val="Hyperlink"/>
            <w:color w:val="000000" w:themeColor="text1"/>
          </w:rPr>
          <w:t>https://doi.org/10.1007/978-981-99-8745-05</w:t>
        </w:r>
      </w:hyperlink>
    </w:p>
    <w:p w14:paraId="506B544C" w14:textId="76B36A1B" w:rsidR="006A48D7" w:rsidRDefault="006A48D7" w:rsidP="005C421C">
      <w:pPr>
        <w:pStyle w:val="ListParagraph"/>
        <w:numPr>
          <w:ilvl w:val="0"/>
          <w:numId w:val="12"/>
        </w:numPr>
        <w:spacing w:after="160" w:line="360" w:lineRule="auto"/>
        <w:ind w:right="0"/>
      </w:pPr>
      <w:r>
        <w:rPr>
          <w:bCs/>
        </w:rPr>
        <w:t>G.Kamal, A Study on Financial Performance using Ratios of KCP Sugars and I C Limited, Andhra Pradesh”.  The International Journal of Analytical and Experimental Model Analysis. Volume XIII, Issue VIII, August/2021, pp 135</w:t>
      </w:r>
      <w:r w:rsidR="005C421C">
        <w:rPr>
          <w:bCs/>
        </w:rPr>
        <w:t xml:space="preserve"> </w:t>
      </w:r>
      <w:r>
        <w:rPr>
          <w:bCs/>
        </w:rPr>
        <w:t>6-1363, ISSN: 0886-9367.</w:t>
      </w:r>
    </w:p>
    <w:p w14:paraId="37D39164" w14:textId="77777777" w:rsidR="006A48D7" w:rsidRDefault="006A48D7" w:rsidP="005C421C">
      <w:pPr>
        <w:pStyle w:val="ListParagraph"/>
        <w:numPr>
          <w:ilvl w:val="0"/>
          <w:numId w:val="12"/>
        </w:numPr>
        <w:spacing w:before="43" w:after="0" w:line="360" w:lineRule="auto"/>
        <w:ind w:right="0"/>
        <w:rPr>
          <w:sz w:val="28"/>
        </w:rPr>
      </w:pPr>
      <w:r>
        <w:rPr>
          <w:szCs w:val="20"/>
          <w:shd w:val="clear" w:color="auto" w:fill="FFFFFF"/>
        </w:rPr>
        <w:t>Kumar, T. H., Kumari, Y. N., Rao, A. N., Kumari, C. L. M., Janaki, G., Lakshmi, P. A., &amp; Krishna, J. S. S. (2022). HR Analytics as a ModeratingRole in Effective Employee Engagement and its Outcomes. </w:t>
      </w:r>
      <w:r>
        <w:rPr>
          <w:iCs/>
          <w:szCs w:val="20"/>
          <w:shd w:val="clear" w:color="auto" w:fill="FFFFFF"/>
        </w:rPr>
        <w:t>NeuroQuantology</w:t>
      </w:r>
      <w:r>
        <w:rPr>
          <w:szCs w:val="20"/>
          <w:shd w:val="clear" w:color="auto" w:fill="FFFFFF"/>
        </w:rPr>
        <w:t>, </w:t>
      </w:r>
      <w:r>
        <w:rPr>
          <w:iCs/>
          <w:szCs w:val="20"/>
          <w:shd w:val="clear" w:color="auto" w:fill="FFFFFF"/>
        </w:rPr>
        <w:t>20</w:t>
      </w:r>
      <w:r>
        <w:rPr>
          <w:szCs w:val="20"/>
          <w:shd w:val="clear" w:color="auto" w:fill="FFFFFF"/>
        </w:rPr>
        <w:t>(8), 4913.</w:t>
      </w:r>
    </w:p>
    <w:p w14:paraId="7F170D8C" w14:textId="5539E302" w:rsidR="006A48D7" w:rsidRPr="006A48D7" w:rsidRDefault="006A48D7" w:rsidP="005C421C">
      <w:pPr>
        <w:pStyle w:val="ListParagraph"/>
        <w:numPr>
          <w:ilvl w:val="0"/>
          <w:numId w:val="12"/>
        </w:numPr>
        <w:spacing w:after="0" w:line="360" w:lineRule="auto"/>
        <w:rPr>
          <w:szCs w:val="24"/>
        </w:rPr>
      </w:pPr>
      <w:r>
        <w:rPr>
          <w:rFonts w:eastAsia="Bookman Old Style"/>
          <w:highlight w:val="white"/>
        </w:rPr>
        <w:t>J. N. V. R. Swarup Kumar</w:t>
      </w:r>
      <w:r>
        <w:t>, G.Kamal, A Mobile App For Age And Gender Identification Using Deep Learning Technique, International Conference on Intelligent Systems for Communication, IOT and Security, 2023, FEBRUARY 09, 2023 to FEBRUARY 11, 2023 International Conference on Intelligent Systems for Communication, IoT and Security (ICISCoIS) ,979-8-</w:t>
      </w:r>
      <w:r>
        <w:lastRenderedPageBreak/>
        <w:t>3503-3583-5/23/$31.00 ©2023 IEEE , DOI: 10.1109/ICISCOIS56541.2023.10100432 (Scopus).</w:t>
      </w:r>
    </w:p>
    <w:p w14:paraId="1CA93F10" w14:textId="52AE7984" w:rsidR="006A48D7" w:rsidRDefault="006A48D7" w:rsidP="005C421C">
      <w:pPr>
        <w:pStyle w:val="ListParagraph"/>
        <w:numPr>
          <w:ilvl w:val="0"/>
          <w:numId w:val="12"/>
        </w:numPr>
        <w:spacing w:after="160" w:line="360" w:lineRule="auto"/>
        <w:ind w:right="0"/>
      </w:pPr>
      <w:r>
        <w:t>TS Leelavati, S Madhavi, G Kamal, PVM Raju, K Susmitha, M Vinod, Shaik Aminabee, Revolutionizing Healthcare Delivery: Telemedicine's Influence on Access and Patient Satisfaction, International Journal of Chemical and Biochemical Sciences, Vol.: 24, No.: 5, 2023, pp 106-115, ISSN 2226-9614.</w:t>
      </w:r>
    </w:p>
    <w:p w14:paraId="482AFAE2" w14:textId="77777777" w:rsidR="006A48D7" w:rsidRDefault="006A48D7" w:rsidP="005C421C">
      <w:pPr>
        <w:pStyle w:val="ListParagraph"/>
        <w:numPr>
          <w:ilvl w:val="0"/>
          <w:numId w:val="12"/>
        </w:numPr>
        <w:spacing w:before="43" w:after="0" w:line="360" w:lineRule="auto"/>
        <w:ind w:right="0"/>
        <w:rPr>
          <w:sz w:val="28"/>
        </w:rPr>
      </w:pPr>
      <w:r>
        <w:rPr>
          <w:szCs w:val="20"/>
          <w:shd w:val="clear" w:color="auto" w:fill="FFFFFF"/>
        </w:rPr>
        <w:t>Kumari, M. Y. N., &amp; Leelavati, M. T. GREEN HUMAN RESOURCE MANAGEMENT PRACTICES AND IMPLEMENTATION IN ORGANISATIONS.</w:t>
      </w:r>
    </w:p>
    <w:p w14:paraId="181EBAF3" w14:textId="77777777" w:rsidR="006A48D7" w:rsidRDefault="006A48D7" w:rsidP="005C421C">
      <w:pPr>
        <w:pStyle w:val="ListParagraph"/>
        <w:numPr>
          <w:ilvl w:val="0"/>
          <w:numId w:val="12"/>
        </w:numPr>
        <w:spacing w:after="160" w:line="360" w:lineRule="auto"/>
        <w:ind w:right="0"/>
      </w:pPr>
      <w:r>
        <w:rPr>
          <w:bCs/>
        </w:rPr>
        <w:t>G.Kamal, A Study on Funds Flow Statement in and Organization using Data Analysis” Journal of Education: Rabindrabharati University, Vol.: XXIII, No. : 7, 2020– 2021, pp 187-192, ISSN: 0972-7175.</w:t>
      </w:r>
    </w:p>
    <w:p w14:paraId="77453027" w14:textId="77777777" w:rsidR="006A48D7" w:rsidRDefault="006A48D7" w:rsidP="005C421C">
      <w:pPr>
        <w:pStyle w:val="ListParagraph"/>
        <w:numPr>
          <w:ilvl w:val="0"/>
          <w:numId w:val="12"/>
        </w:numPr>
        <w:spacing w:after="160" w:line="360" w:lineRule="auto"/>
        <w:ind w:right="0"/>
      </w:pPr>
      <w:r>
        <w:rPr>
          <w:szCs w:val="20"/>
          <w:shd w:val="clear" w:color="auto" w:fill="FFFFFF"/>
        </w:rPr>
        <w:t>Vinod, M., &amp; Kamal, G. Employee Welfare Measures Towards Productivity-A Study of Selected Jute Units in West Godavari District, Andhra Pradesh.</w:t>
      </w:r>
    </w:p>
    <w:p w14:paraId="702BAEEB" w14:textId="49C13D56" w:rsidR="006A48D7" w:rsidRDefault="006A48D7" w:rsidP="005C421C">
      <w:pPr>
        <w:pStyle w:val="ListParagraph"/>
        <w:numPr>
          <w:ilvl w:val="0"/>
          <w:numId w:val="12"/>
        </w:numPr>
        <w:spacing w:after="160" w:line="360" w:lineRule="auto"/>
        <w:ind w:right="0"/>
        <w:rPr>
          <w:sz w:val="28"/>
        </w:rPr>
      </w:pPr>
      <w:r>
        <w:t>Leelavati, T. S., Madhavi, S., Hemanth, K. T., &amp; Susmitha, K. (2022). Is Ai The Next Big Thing In Human Resources?</w:t>
      </w:r>
      <w:r w:rsidR="005C421C">
        <w:t xml:space="preserve"> </w:t>
      </w:r>
      <w:r>
        <w:t>. </w:t>
      </w:r>
      <w:r w:rsidR="005C421C">
        <w:t xml:space="preserve"> </w:t>
      </w:r>
      <w:r>
        <w:rPr>
          <w:i/>
          <w:iCs/>
        </w:rPr>
        <w:t>Academy of Marketing Studies Journal</w:t>
      </w:r>
      <w:r>
        <w:t>, </w:t>
      </w:r>
      <w:r>
        <w:rPr>
          <w:i/>
          <w:iCs/>
        </w:rPr>
        <w:t>26</w:t>
      </w:r>
      <w:r>
        <w:t>(4).</w:t>
      </w:r>
    </w:p>
    <w:p w14:paraId="5266E82D" w14:textId="77777777" w:rsidR="006A48D7" w:rsidRDefault="006A48D7" w:rsidP="005C421C">
      <w:pPr>
        <w:pStyle w:val="ListParagraph"/>
        <w:numPr>
          <w:ilvl w:val="0"/>
          <w:numId w:val="12"/>
        </w:numPr>
        <w:spacing w:after="160" w:line="360" w:lineRule="auto"/>
        <w:ind w:right="0"/>
      </w:pPr>
      <w:r>
        <w:t>Rao, A. N. INTERRELATION BETWEEN EMPLOYEE ENGAGEMENT AND INTERNAL BRANDING AND ITS OUTCOMES (A study with reference to Employees from IT sector).</w:t>
      </w:r>
    </w:p>
    <w:p w14:paraId="28ED618C" w14:textId="77777777" w:rsidR="006A48D7" w:rsidRDefault="006A48D7" w:rsidP="005C421C">
      <w:pPr>
        <w:pStyle w:val="ListParagraph"/>
        <w:numPr>
          <w:ilvl w:val="0"/>
          <w:numId w:val="12"/>
        </w:numPr>
        <w:spacing w:after="160" w:line="360" w:lineRule="auto"/>
        <w:ind w:right="0"/>
      </w:pPr>
      <w:r>
        <w:rPr>
          <w:lang w:val="de-DE"/>
        </w:rPr>
        <w:t xml:space="preserve">Kamal, G., Kumar, T. H., &amp; Susmitha, K. (2022). </w:t>
      </w:r>
      <w:r>
        <w:t>Linkage of Indian Equity Market with Developed Economies Equity Markets.</w:t>
      </w:r>
    </w:p>
    <w:p w14:paraId="1D3D9A88" w14:textId="77777777" w:rsidR="006A48D7" w:rsidRDefault="006A48D7" w:rsidP="005C421C">
      <w:pPr>
        <w:pStyle w:val="ListParagraph"/>
        <w:numPr>
          <w:ilvl w:val="0"/>
          <w:numId w:val="12"/>
        </w:numPr>
        <w:spacing w:after="160" w:line="360" w:lineRule="auto"/>
        <w:ind w:right="0"/>
      </w:pPr>
      <w:r>
        <w:t>Tummalapalli, Hemanth &amp; Mutyala, Vinod. (2021). HR ANALYTICS AND METRICS.</w:t>
      </w:r>
    </w:p>
    <w:p w14:paraId="524467C6" w14:textId="77777777" w:rsidR="006A48D7" w:rsidRDefault="006A48D7" w:rsidP="005C421C">
      <w:pPr>
        <w:pStyle w:val="ListParagraph"/>
        <w:numPr>
          <w:ilvl w:val="0"/>
          <w:numId w:val="12"/>
        </w:numPr>
        <w:spacing w:after="160" w:line="360" w:lineRule="auto"/>
        <w:ind w:right="0"/>
      </w:pPr>
      <w:r>
        <w:t>Mutyala, Vinod &amp; Tummalapalli, Hemanth. (2018). Challenges of Recruitment and Selection in Indian Healthcare Industry. 4. 232-234. 10.18231/2454-9150.2018.0615.</w:t>
      </w:r>
    </w:p>
    <w:p w14:paraId="452549D4" w14:textId="77777777" w:rsidR="006A48D7" w:rsidRDefault="006A48D7" w:rsidP="005C421C">
      <w:pPr>
        <w:pStyle w:val="ListParagraph"/>
        <w:numPr>
          <w:ilvl w:val="0"/>
          <w:numId w:val="12"/>
        </w:numPr>
        <w:spacing w:after="160" w:line="360" w:lineRule="auto"/>
        <w:ind w:right="0"/>
      </w:pPr>
      <w:r>
        <w:t>Kumar, H. (2017). The fourth industrial revolution: the digital strom impact on employment. </w:t>
      </w:r>
      <w:r>
        <w:rPr>
          <w:i/>
          <w:iCs/>
        </w:rPr>
        <w:t>Int. J. Res. Comput. Appl. Manag</w:t>
      </w:r>
      <w:r>
        <w:t>, </w:t>
      </w:r>
      <w:r>
        <w:rPr>
          <w:i/>
          <w:iCs/>
        </w:rPr>
        <w:t>7</w:t>
      </w:r>
      <w:r>
        <w:t>(8), 44-46.</w:t>
      </w:r>
    </w:p>
    <w:p w14:paraId="58EFF77E" w14:textId="77777777" w:rsidR="006A48D7" w:rsidRDefault="006A48D7" w:rsidP="005C421C">
      <w:pPr>
        <w:pStyle w:val="ListParagraph"/>
        <w:numPr>
          <w:ilvl w:val="0"/>
          <w:numId w:val="12"/>
        </w:numPr>
        <w:spacing w:after="160" w:line="360" w:lineRule="auto"/>
        <w:ind w:right="0"/>
      </w:pPr>
      <w:r>
        <w:lastRenderedPageBreak/>
        <w:t>Tummalapalli, Hemanth. (2016). Boosting India’s Growth Role of Salary Hikes in 2015. International Journal of Engineering and Management Research. 6.</w:t>
      </w:r>
    </w:p>
    <w:p w14:paraId="1829194D" w14:textId="1EF8C6CC" w:rsidR="00F83043" w:rsidRPr="00BC246D" w:rsidRDefault="00BC246D" w:rsidP="00BC246D">
      <w:pPr>
        <w:pStyle w:val="ListParagraph"/>
        <w:numPr>
          <w:ilvl w:val="0"/>
          <w:numId w:val="12"/>
        </w:numPr>
        <w:spacing w:after="160" w:line="278" w:lineRule="auto"/>
        <w:ind w:right="0"/>
        <w:rPr>
          <w:bCs/>
        </w:rPr>
      </w:pPr>
      <w:r>
        <w:rPr>
          <w:bCs/>
        </w:rPr>
        <w:t>G. Kamal and Kumar, T. Hemanth and Susmitha, K., Linkage of Indian Equity Market with Developed Economies Equity Markets (September 14, 2022). Available at SSRN: </w:t>
      </w:r>
      <w:hyperlink r:id="rId17" w:tgtFrame="_blank" w:history="1">
        <w:r>
          <w:rPr>
            <w:rStyle w:val="Hyperlink"/>
            <w:bCs/>
            <w:szCs w:val="24"/>
          </w:rPr>
          <w:t>https://ssrn.com/abstract=4218617</w:t>
        </w:r>
      </w:hyperlink>
      <w:r>
        <w:rPr>
          <w:bCs/>
        </w:rPr>
        <w:t> or </w:t>
      </w:r>
      <w:hyperlink r:id="rId18" w:tgtFrame="_blank" w:history="1">
        <w:r>
          <w:rPr>
            <w:rStyle w:val="Hyperlink"/>
            <w:bCs/>
            <w:szCs w:val="24"/>
          </w:rPr>
          <w:t>http://dx.doi.org/10.2139/ssrn.4218617</w:t>
        </w:r>
      </w:hyperlink>
      <w:r>
        <w:rPr>
          <w:bCs/>
        </w:rPr>
        <w:t>.</w:t>
      </w:r>
    </w:p>
    <w:p w14:paraId="60CD64FA" w14:textId="77777777" w:rsidR="006A48D7" w:rsidRDefault="006A48D7" w:rsidP="005C421C">
      <w:pPr>
        <w:pStyle w:val="ListParagraph"/>
        <w:numPr>
          <w:ilvl w:val="0"/>
          <w:numId w:val="12"/>
        </w:numPr>
        <w:spacing w:before="43" w:after="0" w:line="360" w:lineRule="auto"/>
        <w:ind w:right="0"/>
        <w:rPr>
          <w:sz w:val="28"/>
        </w:rPr>
      </w:pPr>
      <w:r>
        <w:rPr>
          <w:szCs w:val="20"/>
          <w:shd w:val="clear" w:color="auto" w:fill="FFFFFF"/>
          <w:lang w:val="de-DE"/>
        </w:rPr>
        <w:t xml:space="preserve">Kumari, Y. V. N., Kamal, G., &amp; Bhavani, N. D. (2021). </w:t>
      </w:r>
      <w:r>
        <w:rPr>
          <w:szCs w:val="20"/>
          <w:shd w:val="clear" w:color="auto" w:fill="FFFFFF"/>
        </w:rPr>
        <w:t>Competency Mapping. </w:t>
      </w:r>
      <w:r>
        <w:rPr>
          <w:iCs/>
          <w:szCs w:val="20"/>
          <w:shd w:val="clear" w:color="auto" w:fill="FFFFFF"/>
        </w:rPr>
        <w:t>JAC: A Journal of Composition Theory</w:t>
      </w:r>
      <w:r>
        <w:rPr>
          <w:szCs w:val="20"/>
          <w:shd w:val="clear" w:color="auto" w:fill="FFFFFF"/>
        </w:rPr>
        <w:t>, </w:t>
      </w:r>
      <w:r>
        <w:rPr>
          <w:iCs/>
          <w:szCs w:val="20"/>
          <w:shd w:val="clear" w:color="auto" w:fill="FFFFFF"/>
        </w:rPr>
        <w:t>14</w:t>
      </w:r>
      <w:r>
        <w:rPr>
          <w:szCs w:val="20"/>
          <w:shd w:val="clear" w:color="auto" w:fill="FFFFFF"/>
        </w:rPr>
        <w:t>(8), 59-67.</w:t>
      </w:r>
    </w:p>
    <w:p w14:paraId="63AF5A1F" w14:textId="4CB4E56B" w:rsidR="005C421C" w:rsidRDefault="005C421C" w:rsidP="005C421C">
      <w:pPr>
        <w:pStyle w:val="ListParagraph"/>
        <w:numPr>
          <w:ilvl w:val="0"/>
          <w:numId w:val="12"/>
        </w:numPr>
        <w:spacing w:after="160" w:line="360" w:lineRule="auto"/>
        <w:ind w:right="0"/>
      </w:pPr>
      <w:r>
        <w:t>G.Kamal, Prof. T. Umamaheswara Rao ,Credit Issues Encountered by Women in Marine Fishing Community in Coastal Districts of Andhra Pradesh”. The International Journal of Analytical and Experimental Modal Analysis, Volume XII, Issue X, October/2020, pp: 296:301, ISSN: 0886-9367.</w:t>
      </w:r>
    </w:p>
    <w:p w14:paraId="24AEF6FA" w14:textId="77777777" w:rsidR="005C421C" w:rsidRDefault="005C421C" w:rsidP="005C421C">
      <w:pPr>
        <w:pStyle w:val="ListParagraph"/>
        <w:numPr>
          <w:ilvl w:val="0"/>
          <w:numId w:val="12"/>
        </w:numPr>
        <w:spacing w:before="43" w:after="0" w:line="360" w:lineRule="auto"/>
        <w:ind w:right="0"/>
        <w:rPr>
          <w:sz w:val="28"/>
        </w:rPr>
      </w:pPr>
      <w:r>
        <w:rPr>
          <w:szCs w:val="20"/>
          <w:shd w:val="clear" w:color="auto" w:fill="FFFFFF"/>
        </w:rPr>
        <w:t>Kumari, M. Y. N., &amp; Chalam, G. V. ROLE OF JOB PORTALS AND SOCIAL NETWORKING SITES IN E-RECRUITMENT: AN ANALYSIS.</w:t>
      </w:r>
    </w:p>
    <w:p w14:paraId="2EF10FB0" w14:textId="77777777" w:rsidR="005C421C" w:rsidRDefault="005C421C" w:rsidP="005C421C">
      <w:pPr>
        <w:pStyle w:val="ListParagraph"/>
        <w:numPr>
          <w:ilvl w:val="0"/>
          <w:numId w:val="12"/>
        </w:numPr>
        <w:spacing w:after="160" w:line="360" w:lineRule="auto"/>
        <w:ind w:right="0"/>
      </w:pPr>
      <w:r>
        <w:t>G.Kamal, Role of SHGs in Empowering Women in Marine Fishing Community, International Journal of Emerging Technologies and Innovative Research (</w:t>
      </w:r>
      <w:hyperlink r:id="rId19" w:tgtFrame="_blank" w:history="1">
        <w:r>
          <w:rPr>
            <w:rStyle w:val="Hyperlink"/>
            <w:bCs/>
            <w:szCs w:val="24"/>
          </w:rPr>
          <w:t>www.jetir.org</w:t>
        </w:r>
      </w:hyperlink>
      <w:r>
        <w:t>), ISSN:2349-5162, Vol.5, Issue:9, page no. 169-173, September-2018.</w:t>
      </w:r>
    </w:p>
    <w:p w14:paraId="3B615263" w14:textId="77777777" w:rsidR="006A48D7" w:rsidRDefault="006A48D7" w:rsidP="005C421C">
      <w:pPr>
        <w:pStyle w:val="ListParagraph"/>
        <w:spacing w:after="0" w:line="360" w:lineRule="auto"/>
        <w:ind w:firstLine="0"/>
        <w:rPr>
          <w:szCs w:val="24"/>
        </w:rPr>
      </w:pPr>
    </w:p>
    <w:p w14:paraId="091E469A" w14:textId="77777777" w:rsidR="008C4112" w:rsidRPr="00DB26E4" w:rsidRDefault="008C4112" w:rsidP="002B5C1C">
      <w:pPr>
        <w:spacing w:after="0" w:line="360" w:lineRule="auto"/>
        <w:rPr>
          <w:rFonts w:ascii="Times New Roman" w:hAnsi="Times New Roman" w:cs="Times New Roman"/>
          <w:sz w:val="24"/>
          <w:szCs w:val="24"/>
          <w:lang w:eastAsia="en-IN"/>
        </w:rPr>
      </w:pPr>
    </w:p>
    <w:p w14:paraId="69873173" w14:textId="77777777" w:rsidR="008C4112" w:rsidRPr="00DB26E4" w:rsidRDefault="008C4112" w:rsidP="002B5C1C">
      <w:pPr>
        <w:spacing w:after="0" w:line="360" w:lineRule="auto"/>
        <w:rPr>
          <w:rFonts w:ascii="Times New Roman" w:hAnsi="Times New Roman" w:cs="Times New Roman"/>
          <w:sz w:val="24"/>
          <w:szCs w:val="24"/>
          <w:lang w:eastAsia="en-IN"/>
        </w:rPr>
      </w:pPr>
    </w:p>
    <w:p w14:paraId="0280E8C4" w14:textId="77777777" w:rsidR="008C4112" w:rsidRPr="00DB26E4" w:rsidRDefault="008C4112" w:rsidP="002B5C1C">
      <w:pPr>
        <w:spacing w:after="0" w:line="360" w:lineRule="auto"/>
        <w:rPr>
          <w:rFonts w:ascii="Times New Roman" w:hAnsi="Times New Roman" w:cs="Times New Roman"/>
          <w:sz w:val="24"/>
          <w:szCs w:val="24"/>
          <w:lang w:eastAsia="en-IN"/>
        </w:rPr>
      </w:pPr>
    </w:p>
    <w:p w14:paraId="266E4E78" w14:textId="77777777" w:rsidR="00941EF4" w:rsidRPr="00DB26E4" w:rsidRDefault="00941EF4" w:rsidP="002B5C1C">
      <w:pPr>
        <w:spacing w:after="0" w:line="360" w:lineRule="auto"/>
        <w:rPr>
          <w:rFonts w:ascii="Times New Roman" w:hAnsi="Times New Roman" w:cs="Times New Roman"/>
          <w:b/>
          <w:bCs/>
          <w:sz w:val="24"/>
          <w:szCs w:val="24"/>
        </w:rPr>
      </w:pPr>
    </w:p>
    <w:p w14:paraId="70C50BF6" w14:textId="77777777" w:rsidR="00941EF4" w:rsidRPr="00DB26E4" w:rsidRDefault="00941EF4" w:rsidP="002B5C1C">
      <w:pPr>
        <w:spacing w:after="0" w:line="360" w:lineRule="auto"/>
        <w:rPr>
          <w:rFonts w:ascii="Times New Roman" w:hAnsi="Times New Roman" w:cs="Times New Roman"/>
          <w:sz w:val="24"/>
          <w:szCs w:val="24"/>
        </w:rPr>
      </w:pPr>
    </w:p>
    <w:sectPr w:rsidR="00941EF4" w:rsidRPr="00DB26E4" w:rsidSect="002B5C1C">
      <w:pgSz w:w="11906" w:h="16838"/>
      <w:pgMar w:top="851"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92C97"/>
    <w:multiLevelType w:val="multilevel"/>
    <w:tmpl w:val="A12E0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2532DB"/>
    <w:multiLevelType w:val="hybridMultilevel"/>
    <w:tmpl w:val="853A69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6826D7"/>
    <w:multiLevelType w:val="hybridMultilevel"/>
    <w:tmpl w:val="28F83F2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 w15:restartNumberingAfterBreak="0">
    <w:nsid w:val="308C1B00"/>
    <w:multiLevelType w:val="hybridMultilevel"/>
    <w:tmpl w:val="20CC8DB4"/>
    <w:lvl w:ilvl="0" w:tplc="4009000F">
      <w:start w:val="1"/>
      <w:numFmt w:val="decimal"/>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4" w15:restartNumberingAfterBreak="0">
    <w:nsid w:val="356C2481"/>
    <w:multiLevelType w:val="hybridMultilevel"/>
    <w:tmpl w:val="28F83F2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5" w15:restartNumberingAfterBreak="0">
    <w:nsid w:val="467F29C3"/>
    <w:multiLevelType w:val="hybridMultilevel"/>
    <w:tmpl w:val="28F83F2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6" w15:restartNumberingAfterBreak="0">
    <w:nsid w:val="4C1210A1"/>
    <w:multiLevelType w:val="hybridMultilevel"/>
    <w:tmpl w:val="69707368"/>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2538DC"/>
    <w:multiLevelType w:val="hybridMultilevel"/>
    <w:tmpl w:val="139EE986"/>
    <w:lvl w:ilvl="0" w:tplc="4424786E">
      <w:start w:val="1"/>
      <w:numFmt w:val="decimal"/>
      <w:lvlText w:val="%1."/>
      <w:lvlJc w:val="left"/>
      <w:pPr>
        <w:ind w:left="1211" w:hanging="360"/>
      </w:pPr>
      <w:rPr>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15:restartNumberingAfterBreak="0">
    <w:nsid w:val="53856A37"/>
    <w:multiLevelType w:val="multilevel"/>
    <w:tmpl w:val="34E0DB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2447D88"/>
    <w:multiLevelType w:val="multilevel"/>
    <w:tmpl w:val="60F8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E62333"/>
    <w:multiLevelType w:val="multilevel"/>
    <w:tmpl w:val="0CFA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195ED6"/>
    <w:multiLevelType w:val="hybridMultilevel"/>
    <w:tmpl w:val="28F83F28"/>
    <w:lvl w:ilvl="0" w:tplc="0409000F">
      <w:start w:val="1"/>
      <w:numFmt w:val="decimal"/>
      <w:lvlText w:val="%1."/>
      <w:lvlJc w:val="left"/>
      <w:pPr>
        <w:ind w:left="788" w:hanging="360"/>
      </w:p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2" w15:restartNumberingAfterBreak="0">
    <w:nsid w:val="7DB15213"/>
    <w:multiLevelType w:val="hybridMultilevel"/>
    <w:tmpl w:val="D2E4F0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90233118">
    <w:abstractNumId w:val="3"/>
  </w:num>
  <w:num w:numId="2" w16cid:durableId="16753729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8252672">
    <w:abstractNumId w:val="12"/>
  </w:num>
  <w:num w:numId="4" w16cid:durableId="692615828">
    <w:abstractNumId w:val="1"/>
  </w:num>
  <w:num w:numId="5" w16cid:durableId="1016730057">
    <w:abstractNumId w:val="9"/>
  </w:num>
  <w:num w:numId="6" w16cid:durableId="860895371">
    <w:abstractNumId w:val="0"/>
  </w:num>
  <w:num w:numId="7" w16cid:durableId="1996492973">
    <w:abstractNumId w:val="10"/>
  </w:num>
  <w:num w:numId="8" w16cid:durableId="230972163">
    <w:abstractNumId w:val="2"/>
  </w:num>
  <w:num w:numId="9" w16cid:durableId="1239560864">
    <w:abstractNumId w:val="5"/>
  </w:num>
  <w:num w:numId="10" w16cid:durableId="1863784092">
    <w:abstractNumId w:val="11"/>
  </w:num>
  <w:num w:numId="11" w16cid:durableId="719012418">
    <w:abstractNumId w:val="4"/>
  </w:num>
  <w:num w:numId="12" w16cid:durableId="344409638">
    <w:abstractNumId w:val="6"/>
  </w:num>
  <w:num w:numId="13" w16cid:durableId="16353344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F4"/>
    <w:rsid w:val="000135AA"/>
    <w:rsid w:val="000677B3"/>
    <w:rsid w:val="000F6ACD"/>
    <w:rsid w:val="00153104"/>
    <w:rsid w:val="00167225"/>
    <w:rsid w:val="001C1687"/>
    <w:rsid w:val="00202524"/>
    <w:rsid w:val="00212651"/>
    <w:rsid w:val="002364F8"/>
    <w:rsid w:val="002944E2"/>
    <w:rsid w:val="002B5C1C"/>
    <w:rsid w:val="002C6A1E"/>
    <w:rsid w:val="00384BD0"/>
    <w:rsid w:val="003A17FC"/>
    <w:rsid w:val="003B3483"/>
    <w:rsid w:val="00406D49"/>
    <w:rsid w:val="0045177E"/>
    <w:rsid w:val="00454286"/>
    <w:rsid w:val="004B6E6F"/>
    <w:rsid w:val="00580C01"/>
    <w:rsid w:val="005834E6"/>
    <w:rsid w:val="005C421C"/>
    <w:rsid w:val="005D72E6"/>
    <w:rsid w:val="006004F7"/>
    <w:rsid w:val="006064F2"/>
    <w:rsid w:val="006A48D7"/>
    <w:rsid w:val="00713292"/>
    <w:rsid w:val="00785842"/>
    <w:rsid w:val="00790AE8"/>
    <w:rsid w:val="007D4478"/>
    <w:rsid w:val="007D49DD"/>
    <w:rsid w:val="008424AE"/>
    <w:rsid w:val="008C4112"/>
    <w:rsid w:val="009347DF"/>
    <w:rsid w:val="00941EF4"/>
    <w:rsid w:val="00956BCF"/>
    <w:rsid w:val="009C6A56"/>
    <w:rsid w:val="00A36872"/>
    <w:rsid w:val="00A73ACE"/>
    <w:rsid w:val="00AA71FA"/>
    <w:rsid w:val="00B12B80"/>
    <w:rsid w:val="00B73EE8"/>
    <w:rsid w:val="00BC246D"/>
    <w:rsid w:val="00C1693C"/>
    <w:rsid w:val="00C20B0F"/>
    <w:rsid w:val="00D4111E"/>
    <w:rsid w:val="00D72825"/>
    <w:rsid w:val="00DA4296"/>
    <w:rsid w:val="00DB26E4"/>
    <w:rsid w:val="00E347DB"/>
    <w:rsid w:val="00E801CF"/>
    <w:rsid w:val="00F83043"/>
    <w:rsid w:val="00FA436C"/>
    <w:rsid w:val="00FD00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B3EFB"/>
  <w15:docId w15:val="{E52D490E-C699-4661-9554-7D5142F4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9DD"/>
  </w:style>
  <w:style w:type="paragraph" w:styleId="Heading1">
    <w:name w:val="heading 1"/>
    <w:basedOn w:val="Normal"/>
    <w:next w:val="Normal"/>
    <w:link w:val="Heading1Char"/>
    <w:uiPriority w:val="9"/>
    <w:qFormat/>
    <w:rsid w:val="002944E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1EF4"/>
    <w:pPr>
      <w:keepNext/>
      <w:keepLines/>
      <w:spacing w:before="40" w:after="0" w:line="249" w:lineRule="auto"/>
      <w:ind w:left="8" w:right="473" w:hanging="8"/>
      <w:jc w:val="both"/>
      <w:outlineLvl w:val="2"/>
    </w:pPr>
    <w:rPr>
      <w:rFonts w:asciiTheme="majorHAnsi" w:eastAsiaTheme="majorEastAsia" w:hAnsiTheme="majorHAnsi" w:cstheme="majorBidi"/>
      <w:color w:val="1F3763" w:themeColor="accent1" w:themeShade="7F"/>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EF4"/>
    <w:pPr>
      <w:spacing w:after="5" w:line="249" w:lineRule="auto"/>
      <w:ind w:left="720" w:right="473" w:hanging="8"/>
      <w:contextualSpacing/>
      <w:jc w:val="both"/>
    </w:pPr>
    <w:rPr>
      <w:rFonts w:ascii="Times New Roman" w:eastAsia="Times New Roman" w:hAnsi="Times New Roman" w:cs="Times New Roman"/>
      <w:color w:val="000000"/>
      <w:sz w:val="24"/>
      <w:lang w:eastAsia="en-IN"/>
    </w:rPr>
  </w:style>
  <w:style w:type="character" w:customStyle="1" w:styleId="Heading3Char">
    <w:name w:val="Heading 3 Char"/>
    <w:basedOn w:val="DefaultParagraphFont"/>
    <w:link w:val="Heading3"/>
    <w:uiPriority w:val="9"/>
    <w:semiHidden/>
    <w:rsid w:val="00941EF4"/>
    <w:rPr>
      <w:rFonts w:asciiTheme="majorHAnsi" w:eastAsiaTheme="majorEastAsia" w:hAnsiTheme="majorHAnsi" w:cstheme="majorBidi"/>
      <w:color w:val="1F3763" w:themeColor="accent1" w:themeShade="7F"/>
      <w:sz w:val="24"/>
      <w:szCs w:val="24"/>
      <w:lang w:eastAsia="en-IN"/>
    </w:rPr>
  </w:style>
  <w:style w:type="paragraph" w:styleId="NormalWeb">
    <w:name w:val="Normal (Web)"/>
    <w:basedOn w:val="Normal"/>
    <w:uiPriority w:val="99"/>
    <w:unhideWhenUsed/>
    <w:rsid w:val="00941EF4"/>
    <w:pPr>
      <w:spacing w:before="100" w:after="100" w:line="240" w:lineRule="auto"/>
    </w:pPr>
    <w:rPr>
      <w:rFonts w:ascii="Times New Roman" w:eastAsia="Times New Roman" w:hAnsi="Times New Roman" w:cs="Times New Roman"/>
      <w:kern w:val="0"/>
      <w:sz w:val="24"/>
      <w:szCs w:val="20"/>
      <w:lang w:val="en-US"/>
    </w:rPr>
  </w:style>
  <w:style w:type="character" w:customStyle="1" w:styleId="Heading1Char">
    <w:name w:val="Heading 1 Char"/>
    <w:basedOn w:val="DefaultParagraphFont"/>
    <w:link w:val="Heading1"/>
    <w:uiPriority w:val="9"/>
    <w:rsid w:val="002944E2"/>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73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B26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6E4"/>
    <w:rPr>
      <w:rFonts w:ascii="Tahoma" w:hAnsi="Tahoma" w:cs="Tahoma"/>
      <w:sz w:val="16"/>
      <w:szCs w:val="16"/>
    </w:rPr>
  </w:style>
  <w:style w:type="character" w:styleId="Strong">
    <w:name w:val="Strong"/>
    <w:basedOn w:val="DefaultParagraphFont"/>
    <w:uiPriority w:val="22"/>
    <w:qFormat/>
    <w:rsid w:val="00DB26E4"/>
    <w:rPr>
      <w:b/>
      <w:bCs/>
    </w:rPr>
  </w:style>
  <w:style w:type="character" w:styleId="Hyperlink">
    <w:name w:val="Hyperlink"/>
    <w:basedOn w:val="DefaultParagraphFont"/>
    <w:uiPriority w:val="99"/>
    <w:unhideWhenUsed/>
    <w:rsid w:val="006A48D7"/>
    <w:rPr>
      <w:color w:val="0000FF"/>
      <w:u w:val="single"/>
    </w:rPr>
  </w:style>
  <w:style w:type="character" w:styleId="UnresolvedMention">
    <w:name w:val="Unresolved Mention"/>
    <w:basedOn w:val="DefaultParagraphFont"/>
    <w:uiPriority w:val="99"/>
    <w:semiHidden/>
    <w:unhideWhenUsed/>
    <w:rsid w:val="006004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0897">
      <w:bodyDiv w:val="1"/>
      <w:marLeft w:val="0"/>
      <w:marRight w:val="0"/>
      <w:marTop w:val="0"/>
      <w:marBottom w:val="0"/>
      <w:divBdr>
        <w:top w:val="none" w:sz="0" w:space="0" w:color="auto"/>
        <w:left w:val="none" w:sz="0" w:space="0" w:color="auto"/>
        <w:bottom w:val="none" w:sz="0" w:space="0" w:color="auto"/>
        <w:right w:val="none" w:sz="0" w:space="0" w:color="auto"/>
      </w:divBdr>
    </w:div>
    <w:div w:id="14576524">
      <w:bodyDiv w:val="1"/>
      <w:marLeft w:val="0"/>
      <w:marRight w:val="0"/>
      <w:marTop w:val="0"/>
      <w:marBottom w:val="0"/>
      <w:divBdr>
        <w:top w:val="none" w:sz="0" w:space="0" w:color="auto"/>
        <w:left w:val="none" w:sz="0" w:space="0" w:color="auto"/>
        <w:bottom w:val="none" w:sz="0" w:space="0" w:color="auto"/>
        <w:right w:val="none" w:sz="0" w:space="0" w:color="auto"/>
      </w:divBdr>
    </w:div>
    <w:div w:id="35350592">
      <w:bodyDiv w:val="1"/>
      <w:marLeft w:val="0"/>
      <w:marRight w:val="0"/>
      <w:marTop w:val="0"/>
      <w:marBottom w:val="0"/>
      <w:divBdr>
        <w:top w:val="none" w:sz="0" w:space="0" w:color="auto"/>
        <w:left w:val="none" w:sz="0" w:space="0" w:color="auto"/>
        <w:bottom w:val="none" w:sz="0" w:space="0" w:color="auto"/>
        <w:right w:val="none" w:sz="0" w:space="0" w:color="auto"/>
      </w:divBdr>
    </w:div>
    <w:div w:id="42140177">
      <w:bodyDiv w:val="1"/>
      <w:marLeft w:val="0"/>
      <w:marRight w:val="0"/>
      <w:marTop w:val="0"/>
      <w:marBottom w:val="0"/>
      <w:divBdr>
        <w:top w:val="none" w:sz="0" w:space="0" w:color="auto"/>
        <w:left w:val="none" w:sz="0" w:space="0" w:color="auto"/>
        <w:bottom w:val="none" w:sz="0" w:space="0" w:color="auto"/>
        <w:right w:val="none" w:sz="0" w:space="0" w:color="auto"/>
      </w:divBdr>
    </w:div>
    <w:div w:id="46488670">
      <w:bodyDiv w:val="1"/>
      <w:marLeft w:val="0"/>
      <w:marRight w:val="0"/>
      <w:marTop w:val="0"/>
      <w:marBottom w:val="0"/>
      <w:divBdr>
        <w:top w:val="none" w:sz="0" w:space="0" w:color="auto"/>
        <w:left w:val="none" w:sz="0" w:space="0" w:color="auto"/>
        <w:bottom w:val="none" w:sz="0" w:space="0" w:color="auto"/>
        <w:right w:val="none" w:sz="0" w:space="0" w:color="auto"/>
      </w:divBdr>
    </w:div>
    <w:div w:id="109127473">
      <w:bodyDiv w:val="1"/>
      <w:marLeft w:val="0"/>
      <w:marRight w:val="0"/>
      <w:marTop w:val="0"/>
      <w:marBottom w:val="0"/>
      <w:divBdr>
        <w:top w:val="none" w:sz="0" w:space="0" w:color="auto"/>
        <w:left w:val="none" w:sz="0" w:space="0" w:color="auto"/>
        <w:bottom w:val="none" w:sz="0" w:space="0" w:color="auto"/>
        <w:right w:val="none" w:sz="0" w:space="0" w:color="auto"/>
      </w:divBdr>
    </w:div>
    <w:div w:id="119421444">
      <w:bodyDiv w:val="1"/>
      <w:marLeft w:val="0"/>
      <w:marRight w:val="0"/>
      <w:marTop w:val="0"/>
      <w:marBottom w:val="0"/>
      <w:divBdr>
        <w:top w:val="none" w:sz="0" w:space="0" w:color="auto"/>
        <w:left w:val="none" w:sz="0" w:space="0" w:color="auto"/>
        <w:bottom w:val="none" w:sz="0" w:space="0" w:color="auto"/>
        <w:right w:val="none" w:sz="0" w:space="0" w:color="auto"/>
      </w:divBdr>
    </w:div>
    <w:div w:id="227886164">
      <w:bodyDiv w:val="1"/>
      <w:marLeft w:val="0"/>
      <w:marRight w:val="0"/>
      <w:marTop w:val="0"/>
      <w:marBottom w:val="0"/>
      <w:divBdr>
        <w:top w:val="none" w:sz="0" w:space="0" w:color="auto"/>
        <w:left w:val="none" w:sz="0" w:space="0" w:color="auto"/>
        <w:bottom w:val="none" w:sz="0" w:space="0" w:color="auto"/>
        <w:right w:val="none" w:sz="0" w:space="0" w:color="auto"/>
      </w:divBdr>
    </w:div>
    <w:div w:id="234049413">
      <w:bodyDiv w:val="1"/>
      <w:marLeft w:val="0"/>
      <w:marRight w:val="0"/>
      <w:marTop w:val="0"/>
      <w:marBottom w:val="0"/>
      <w:divBdr>
        <w:top w:val="none" w:sz="0" w:space="0" w:color="auto"/>
        <w:left w:val="none" w:sz="0" w:space="0" w:color="auto"/>
        <w:bottom w:val="none" w:sz="0" w:space="0" w:color="auto"/>
        <w:right w:val="none" w:sz="0" w:space="0" w:color="auto"/>
      </w:divBdr>
    </w:div>
    <w:div w:id="285236891">
      <w:bodyDiv w:val="1"/>
      <w:marLeft w:val="0"/>
      <w:marRight w:val="0"/>
      <w:marTop w:val="0"/>
      <w:marBottom w:val="0"/>
      <w:divBdr>
        <w:top w:val="none" w:sz="0" w:space="0" w:color="auto"/>
        <w:left w:val="none" w:sz="0" w:space="0" w:color="auto"/>
        <w:bottom w:val="none" w:sz="0" w:space="0" w:color="auto"/>
        <w:right w:val="none" w:sz="0" w:space="0" w:color="auto"/>
      </w:divBdr>
    </w:div>
    <w:div w:id="357590162">
      <w:bodyDiv w:val="1"/>
      <w:marLeft w:val="0"/>
      <w:marRight w:val="0"/>
      <w:marTop w:val="0"/>
      <w:marBottom w:val="0"/>
      <w:divBdr>
        <w:top w:val="none" w:sz="0" w:space="0" w:color="auto"/>
        <w:left w:val="none" w:sz="0" w:space="0" w:color="auto"/>
        <w:bottom w:val="none" w:sz="0" w:space="0" w:color="auto"/>
        <w:right w:val="none" w:sz="0" w:space="0" w:color="auto"/>
      </w:divBdr>
    </w:div>
    <w:div w:id="662851658">
      <w:bodyDiv w:val="1"/>
      <w:marLeft w:val="0"/>
      <w:marRight w:val="0"/>
      <w:marTop w:val="0"/>
      <w:marBottom w:val="0"/>
      <w:divBdr>
        <w:top w:val="none" w:sz="0" w:space="0" w:color="auto"/>
        <w:left w:val="none" w:sz="0" w:space="0" w:color="auto"/>
        <w:bottom w:val="none" w:sz="0" w:space="0" w:color="auto"/>
        <w:right w:val="none" w:sz="0" w:space="0" w:color="auto"/>
      </w:divBdr>
    </w:div>
    <w:div w:id="747657959">
      <w:bodyDiv w:val="1"/>
      <w:marLeft w:val="0"/>
      <w:marRight w:val="0"/>
      <w:marTop w:val="0"/>
      <w:marBottom w:val="0"/>
      <w:divBdr>
        <w:top w:val="none" w:sz="0" w:space="0" w:color="auto"/>
        <w:left w:val="none" w:sz="0" w:space="0" w:color="auto"/>
        <w:bottom w:val="none" w:sz="0" w:space="0" w:color="auto"/>
        <w:right w:val="none" w:sz="0" w:space="0" w:color="auto"/>
      </w:divBdr>
    </w:div>
    <w:div w:id="857473278">
      <w:bodyDiv w:val="1"/>
      <w:marLeft w:val="0"/>
      <w:marRight w:val="0"/>
      <w:marTop w:val="0"/>
      <w:marBottom w:val="0"/>
      <w:divBdr>
        <w:top w:val="none" w:sz="0" w:space="0" w:color="auto"/>
        <w:left w:val="none" w:sz="0" w:space="0" w:color="auto"/>
        <w:bottom w:val="none" w:sz="0" w:space="0" w:color="auto"/>
        <w:right w:val="none" w:sz="0" w:space="0" w:color="auto"/>
      </w:divBdr>
    </w:div>
    <w:div w:id="964389764">
      <w:bodyDiv w:val="1"/>
      <w:marLeft w:val="0"/>
      <w:marRight w:val="0"/>
      <w:marTop w:val="0"/>
      <w:marBottom w:val="0"/>
      <w:divBdr>
        <w:top w:val="none" w:sz="0" w:space="0" w:color="auto"/>
        <w:left w:val="none" w:sz="0" w:space="0" w:color="auto"/>
        <w:bottom w:val="none" w:sz="0" w:space="0" w:color="auto"/>
        <w:right w:val="none" w:sz="0" w:space="0" w:color="auto"/>
      </w:divBdr>
    </w:div>
    <w:div w:id="973220231">
      <w:bodyDiv w:val="1"/>
      <w:marLeft w:val="0"/>
      <w:marRight w:val="0"/>
      <w:marTop w:val="0"/>
      <w:marBottom w:val="0"/>
      <w:divBdr>
        <w:top w:val="none" w:sz="0" w:space="0" w:color="auto"/>
        <w:left w:val="none" w:sz="0" w:space="0" w:color="auto"/>
        <w:bottom w:val="none" w:sz="0" w:space="0" w:color="auto"/>
        <w:right w:val="none" w:sz="0" w:space="0" w:color="auto"/>
      </w:divBdr>
    </w:div>
    <w:div w:id="1048457264">
      <w:bodyDiv w:val="1"/>
      <w:marLeft w:val="0"/>
      <w:marRight w:val="0"/>
      <w:marTop w:val="0"/>
      <w:marBottom w:val="0"/>
      <w:divBdr>
        <w:top w:val="none" w:sz="0" w:space="0" w:color="auto"/>
        <w:left w:val="none" w:sz="0" w:space="0" w:color="auto"/>
        <w:bottom w:val="none" w:sz="0" w:space="0" w:color="auto"/>
        <w:right w:val="none" w:sz="0" w:space="0" w:color="auto"/>
      </w:divBdr>
    </w:div>
    <w:div w:id="1570653558">
      <w:bodyDiv w:val="1"/>
      <w:marLeft w:val="0"/>
      <w:marRight w:val="0"/>
      <w:marTop w:val="0"/>
      <w:marBottom w:val="0"/>
      <w:divBdr>
        <w:top w:val="none" w:sz="0" w:space="0" w:color="auto"/>
        <w:left w:val="none" w:sz="0" w:space="0" w:color="auto"/>
        <w:bottom w:val="none" w:sz="0" w:space="0" w:color="auto"/>
        <w:right w:val="none" w:sz="0" w:space="0" w:color="auto"/>
      </w:divBdr>
    </w:div>
    <w:div w:id="1670135239">
      <w:bodyDiv w:val="1"/>
      <w:marLeft w:val="0"/>
      <w:marRight w:val="0"/>
      <w:marTop w:val="0"/>
      <w:marBottom w:val="0"/>
      <w:divBdr>
        <w:top w:val="none" w:sz="0" w:space="0" w:color="auto"/>
        <w:left w:val="none" w:sz="0" w:space="0" w:color="auto"/>
        <w:bottom w:val="none" w:sz="0" w:space="0" w:color="auto"/>
        <w:right w:val="none" w:sz="0" w:space="0" w:color="auto"/>
      </w:divBdr>
    </w:div>
    <w:div w:id="1694722919">
      <w:bodyDiv w:val="1"/>
      <w:marLeft w:val="0"/>
      <w:marRight w:val="0"/>
      <w:marTop w:val="0"/>
      <w:marBottom w:val="0"/>
      <w:divBdr>
        <w:top w:val="none" w:sz="0" w:space="0" w:color="auto"/>
        <w:left w:val="none" w:sz="0" w:space="0" w:color="auto"/>
        <w:bottom w:val="none" w:sz="0" w:space="0" w:color="auto"/>
        <w:right w:val="none" w:sz="0" w:space="0" w:color="auto"/>
      </w:divBdr>
    </w:div>
    <w:div w:id="1731418222">
      <w:bodyDiv w:val="1"/>
      <w:marLeft w:val="0"/>
      <w:marRight w:val="0"/>
      <w:marTop w:val="0"/>
      <w:marBottom w:val="0"/>
      <w:divBdr>
        <w:top w:val="none" w:sz="0" w:space="0" w:color="auto"/>
        <w:left w:val="none" w:sz="0" w:space="0" w:color="auto"/>
        <w:bottom w:val="none" w:sz="0" w:space="0" w:color="auto"/>
        <w:right w:val="none" w:sz="0" w:space="0" w:color="auto"/>
      </w:divBdr>
    </w:div>
    <w:div w:id="1796410298">
      <w:bodyDiv w:val="1"/>
      <w:marLeft w:val="0"/>
      <w:marRight w:val="0"/>
      <w:marTop w:val="0"/>
      <w:marBottom w:val="0"/>
      <w:divBdr>
        <w:top w:val="none" w:sz="0" w:space="0" w:color="auto"/>
        <w:left w:val="none" w:sz="0" w:space="0" w:color="auto"/>
        <w:bottom w:val="none" w:sz="0" w:space="0" w:color="auto"/>
        <w:right w:val="none" w:sz="0" w:space="0" w:color="auto"/>
      </w:divBdr>
    </w:div>
    <w:div w:id="1811287165">
      <w:bodyDiv w:val="1"/>
      <w:marLeft w:val="0"/>
      <w:marRight w:val="0"/>
      <w:marTop w:val="0"/>
      <w:marBottom w:val="0"/>
      <w:divBdr>
        <w:top w:val="none" w:sz="0" w:space="0" w:color="auto"/>
        <w:left w:val="none" w:sz="0" w:space="0" w:color="auto"/>
        <w:bottom w:val="none" w:sz="0" w:space="0" w:color="auto"/>
        <w:right w:val="none" w:sz="0" w:space="0" w:color="auto"/>
      </w:divBdr>
    </w:div>
    <w:div w:id="1814642343">
      <w:bodyDiv w:val="1"/>
      <w:marLeft w:val="0"/>
      <w:marRight w:val="0"/>
      <w:marTop w:val="0"/>
      <w:marBottom w:val="0"/>
      <w:divBdr>
        <w:top w:val="none" w:sz="0" w:space="0" w:color="auto"/>
        <w:left w:val="none" w:sz="0" w:space="0" w:color="auto"/>
        <w:bottom w:val="none" w:sz="0" w:space="0" w:color="auto"/>
        <w:right w:val="none" w:sz="0" w:space="0" w:color="auto"/>
      </w:divBdr>
    </w:div>
    <w:div w:id="1841266448">
      <w:bodyDiv w:val="1"/>
      <w:marLeft w:val="0"/>
      <w:marRight w:val="0"/>
      <w:marTop w:val="0"/>
      <w:marBottom w:val="0"/>
      <w:divBdr>
        <w:top w:val="none" w:sz="0" w:space="0" w:color="auto"/>
        <w:left w:val="none" w:sz="0" w:space="0" w:color="auto"/>
        <w:bottom w:val="none" w:sz="0" w:space="0" w:color="auto"/>
        <w:right w:val="none" w:sz="0" w:space="0" w:color="auto"/>
      </w:divBdr>
    </w:div>
    <w:div w:id="1967160437">
      <w:bodyDiv w:val="1"/>
      <w:marLeft w:val="0"/>
      <w:marRight w:val="0"/>
      <w:marTop w:val="0"/>
      <w:marBottom w:val="0"/>
      <w:divBdr>
        <w:top w:val="none" w:sz="0" w:space="0" w:color="auto"/>
        <w:left w:val="none" w:sz="0" w:space="0" w:color="auto"/>
        <w:bottom w:val="none" w:sz="0" w:space="0" w:color="auto"/>
        <w:right w:val="none" w:sz="0" w:space="0" w:color="auto"/>
      </w:divBdr>
    </w:div>
    <w:div w:id="1981499166">
      <w:bodyDiv w:val="1"/>
      <w:marLeft w:val="0"/>
      <w:marRight w:val="0"/>
      <w:marTop w:val="0"/>
      <w:marBottom w:val="0"/>
      <w:divBdr>
        <w:top w:val="none" w:sz="0" w:space="0" w:color="auto"/>
        <w:left w:val="none" w:sz="0" w:space="0" w:color="auto"/>
        <w:bottom w:val="none" w:sz="0" w:space="0" w:color="auto"/>
        <w:right w:val="none" w:sz="0" w:space="0" w:color="auto"/>
      </w:divBdr>
    </w:div>
    <w:div w:id="1993485290">
      <w:bodyDiv w:val="1"/>
      <w:marLeft w:val="0"/>
      <w:marRight w:val="0"/>
      <w:marTop w:val="0"/>
      <w:marBottom w:val="0"/>
      <w:divBdr>
        <w:top w:val="none" w:sz="0" w:space="0" w:color="auto"/>
        <w:left w:val="none" w:sz="0" w:space="0" w:color="auto"/>
        <w:bottom w:val="none" w:sz="0" w:space="0" w:color="auto"/>
        <w:right w:val="none" w:sz="0" w:space="0" w:color="auto"/>
      </w:divBdr>
    </w:div>
    <w:div w:id="2035575132">
      <w:bodyDiv w:val="1"/>
      <w:marLeft w:val="0"/>
      <w:marRight w:val="0"/>
      <w:marTop w:val="0"/>
      <w:marBottom w:val="0"/>
      <w:divBdr>
        <w:top w:val="none" w:sz="0" w:space="0" w:color="auto"/>
        <w:left w:val="none" w:sz="0" w:space="0" w:color="auto"/>
        <w:bottom w:val="none" w:sz="0" w:space="0" w:color="auto"/>
        <w:right w:val="none" w:sz="0" w:space="0" w:color="auto"/>
      </w:divBdr>
    </w:div>
    <w:div w:id="21049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hyperlink" Target="http://dx.doi.org/10.2139/ssrn.4218617"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hyperlink" Target="https://ssrn.com/abstract=4218617" TargetMode="External"/><Relationship Id="rId2" Type="http://schemas.openxmlformats.org/officeDocument/2006/relationships/styles" Target="styles.xml"/><Relationship Id="rId16" Type="http://schemas.openxmlformats.org/officeDocument/2006/relationships/hyperlink" Target="https://doi.org/10.1007/978-981-99-8745-0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chart" Target="charts/chart11.xml"/><Relationship Id="rId10" Type="http://schemas.openxmlformats.org/officeDocument/2006/relationships/chart" Target="charts/chart6.xml"/><Relationship Id="rId19" Type="http://schemas.openxmlformats.org/officeDocument/2006/relationships/hyperlink" Target="http://www.jetir.org/" TargetMode="Externa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n-IN"/>
              <a:t> Current Ratio</a:t>
            </a:r>
            <a:endParaRPr lang="en-US"/>
          </a:p>
        </c:rich>
      </c:tx>
      <c:overlay val="0"/>
      <c:spPr>
        <a:noFill/>
        <a:ln>
          <a:noFill/>
        </a:ln>
        <a:effectLst/>
      </c:spPr>
    </c:title>
    <c:autoTitleDeleted val="0"/>
    <c:plotArea>
      <c:layout/>
      <c:barChart>
        <c:barDir val="col"/>
        <c:grouping val="stacked"/>
        <c:varyColors val="0"/>
        <c:ser>
          <c:idx val="0"/>
          <c:order val="0"/>
          <c:tx>
            <c:strRef>
              <c:f>Sheet1!$C$1</c:f>
              <c:strCache>
                <c:ptCount val="1"/>
                <c:pt idx="0">
                  <c:v>Column1</c:v>
                </c:pt>
              </c:strCache>
            </c:strRef>
          </c:tx>
          <c:spPr>
            <a:solidFill>
              <a:schemeClr val="accent1"/>
            </a:solidFill>
            <a:ln>
              <a:noFill/>
            </a:ln>
            <a:effectLst/>
          </c:spPr>
          <c:invertIfNegative val="0"/>
          <c:dLbls>
            <c:dLbl>
              <c:idx val="0"/>
              <c:layout>
                <c:manualLayout>
                  <c:x val="-2.121889068003337E-17"/>
                  <c:y val="-0.2003261122757978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BD5-49FD-90C8-A71DE436371D}"/>
                </c:ext>
              </c:extLst>
            </c:dLbl>
            <c:dLbl>
              <c:idx val="1"/>
              <c:layout>
                <c:manualLayout>
                  <c:x val="0"/>
                  <c:y val="-0.2049848590729095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BD5-49FD-90C8-A71DE436371D}"/>
                </c:ext>
              </c:extLst>
            </c:dLbl>
            <c:dLbl>
              <c:idx val="2"/>
              <c:layout>
                <c:manualLayout>
                  <c:x val="-8.4875562720133493E-17"/>
                  <c:y val="-0.2189610994642442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BD5-49FD-90C8-A71DE436371D}"/>
                </c:ext>
              </c:extLst>
            </c:dLbl>
            <c:dLbl>
              <c:idx val="3"/>
              <c:layout>
                <c:manualLayout>
                  <c:x val="-2.3148148148148997E-3"/>
                  <c:y val="-0.2049848590729094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BD5-49FD-90C8-A71DE436371D}"/>
                </c:ext>
              </c:extLst>
            </c:dLbl>
            <c:dLbl>
              <c:idx val="4"/>
              <c:layout>
                <c:manualLayout>
                  <c:x val="0"/>
                  <c:y val="-0.1677148846960169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BD5-49FD-90C8-A71DE436371D}"/>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2023</c:v>
                </c:pt>
                <c:pt idx="1">
                  <c:v>2022</c:v>
                </c:pt>
                <c:pt idx="2">
                  <c:v>2021</c:v>
                </c:pt>
                <c:pt idx="3">
                  <c:v>2020</c:v>
                </c:pt>
                <c:pt idx="4">
                  <c:v>2019</c:v>
                </c:pt>
              </c:numCache>
            </c:numRef>
          </c:cat>
          <c:val>
            <c:numRef>
              <c:f>Sheet1!$C$2:$C$6</c:f>
              <c:numCache>
                <c:formatCode>General</c:formatCode>
                <c:ptCount val="5"/>
                <c:pt idx="0">
                  <c:v>1.36</c:v>
                </c:pt>
                <c:pt idx="1">
                  <c:v>1.44</c:v>
                </c:pt>
                <c:pt idx="2">
                  <c:v>1.44</c:v>
                </c:pt>
                <c:pt idx="3">
                  <c:v>1.36</c:v>
                </c:pt>
                <c:pt idx="4">
                  <c:v>1.03</c:v>
                </c:pt>
              </c:numCache>
            </c:numRef>
          </c:val>
          <c:extLst>
            <c:ext xmlns:c16="http://schemas.microsoft.com/office/drawing/2014/chart" uri="{C3380CC4-5D6E-409C-BE32-E72D297353CC}">
              <c16:uniqueId val="{00000005-5BD5-49FD-90C8-A71DE436371D}"/>
            </c:ext>
          </c:extLst>
        </c:ser>
        <c:dLbls>
          <c:showLegendKey val="0"/>
          <c:showVal val="0"/>
          <c:showCatName val="0"/>
          <c:showSerName val="0"/>
          <c:showPercent val="0"/>
          <c:showBubbleSize val="0"/>
        </c:dLbls>
        <c:gapWidth val="150"/>
        <c:overlap val="100"/>
        <c:axId val="67522560"/>
        <c:axId val="69044096"/>
      </c:barChart>
      <c:catAx>
        <c:axId val="67522560"/>
        <c:scaling>
          <c:orientation val="minMax"/>
        </c:scaling>
        <c:delete val="0"/>
        <c:axPos val="b"/>
        <c:title>
          <c:tx>
            <c:rich>
              <a:bodyPr rot="0" vert="horz"/>
              <a:lstStyle/>
              <a:p>
                <a:pPr>
                  <a:defRPr/>
                </a:pPr>
                <a:r>
                  <a:rPr lang="en-IN"/>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n-US"/>
          </a:p>
        </c:txPr>
        <c:crossAx val="69044096"/>
        <c:crosses val="autoZero"/>
        <c:auto val="1"/>
        <c:lblAlgn val="ctr"/>
        <c:lblOffset val="100"/>
        <c:noMultiLvlLbl val="0"/>
      </c:catAx>
      <c:valAx>
        <c:axId val="69044096"/>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IN">
                    <a:latin typeface="Times New Roman" pitchFamily="18" charset="0"/>
                    <a:cs typeface="Times New Roman" pitchFamily="18" charset="0"/>
                  </a:rPr>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vert="horz"/>
          <a:lstStyle/>
          <a:p>
            <a:pPr>
              <a:defRPr/>
            </a:pPr>
            <a:endParaRPr lang="en-US"/>
          </a:p>
        </c:txPr>
        <c:crossAx val="67522560"/>
        <c:crosses val="autoZero"/>
        <c:crossBetween val="between"/>
        <c:maj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a:effectLst/>
  </c:spPr>
  <c:txPr>
    <a:bodyPr/>
    <a:lstStyle/>
    <a:p>
      <a:pPr>
        <a:defRPr b="1"/>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Fixed asset turnover </a:t>
            </a:r>
            <a:endParaRPr lang="en-IN" b="1"/>
          </a:p>
        </c:rich>
      </c:tx>
      <c:overlay val="0"/>
      <c:spPr>
        <a:noFill/>
        <a:ln>
          <a:noFill/>
        </a:ln>
        <a:effectLst/>
      </c:spPr>
    </c:title>
    <c:autoTitleDeleted val="0"/>
    <c:plotArea>
      <c:layout/>
      <c:barChart>
        <c:barDir val="col"/>
        <c:grouping val="stacked"/>
        <c:varyColors val="0"/>
        <c:ser>
          <c:idx val="0"/>
          <c:order val="0"/>
          <c:tx>
            <c:strRef>
              <c:f>Sheet1!$C$1</c:f>
              <c:strCache>
                <c:ptCount val="1"/>
                <c:pt idx="0">
                  <c:v>Column1</c:v>
                </c:pt>
              </c:strCache>
            </c:strRef>
          </c:tx>
          <c:spPr>
            <a:solidFill>
              <a:schemeClr val="accent1"/>
            </a:solidFill>
            <a:ln>
              <a:noFill/>
            </a:ln>
            <a:effectLst/>
          </c:spPr>
          <c:invertIfNegative val="0"/>
          <c:dLbls>
            <c:dLbl>
              <c:idx val="0"/>
              <c:layout>
                <c:manualLayout>
                  <c:x val="6.5487884741322593E-3"/>
                  <c:y val="-5.592841163310963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94B-416C-A48E-0C956A003650}"/>
                </c:ext>
              </c:extLst>
            </c:dLbl>
            <c:dLbl>
              <c:idx val="1"/>
              <c:layout>
                <c:manualLayout>
                  <c:x val="3.2743942370661453E-3"/>
                  <c:y val="-7.270693512304254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94B-416C-A48E-0C956A003650}"/>
                </c:ext>
              </c:extLst>
            </c:dLbl>
            <c:dLbl>
              <c:idx val="2"/>
              <c:layout>
                <c:manualLayout>
                  <c:x val="6.002986754272701E-17"/>
                  <c:y val="-6.711409395973159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94B-416C-A48E-0C956A003650}"/>
                </c:ext>
              </c:extLst>
            </c:dLbl>
            <c:dLbl>
              <c:idx val="3"/>
              <c:layout>
                <c:manualLayout>
                  <c:x val="0"/>
                  <c:y val="-6.711409395973159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94B-416C-A48E-0C956A003650}"/>
                </c:ext>
              </c:extLst>
            </c:dLbl>
            <c:dLbl>
              <c:idx val="4"/>
              <c:layout>
                <c:manualLayout>
                  <c:x val="-1.2005973508545395E-16"/>
                  <c:y val="-0.1565995525727070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94B-416C-A48E-0C956A003650}"/>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2023</c:v>
                </c:pt>
                <c:pt idx="1">
                  <c:v>2022</c:v>
                </c:pt>
                <c:pt idx="2">
                  <c:v>2021</c:v>
                </c:pt>
                <c:pt idx="3">
                  <c:v>2020</c:v>
                </c:pt>
                <c:pt idx="4">
                  <c:v>2019</c:v>
                </c:pt>
              </c:numCache>
            </c:numRef>
          </c:cat>
          <c:val>
            <c:numRef>
              <c:f>Sheet1!$C$2:$C$6</c:f>
              <c:numCache>
                <c:formatCode>General</c:formatCode>
                <c:ptCount val="5"/>
                <c:pt idx="0">
                  <c:v>0.14000000000000001</c:v>
                </c:pt>
                <c:pt idx="1">
                  <c:v>0.16</c:v>
                </c:pt>
                <c:pt idx="2">
                  <c:v>0.14000000000000001</c:v>
                </c:pt>
                <c:pt idx="3">
                  <c:v>0.14000000000000001</c:v>
                </c:pt>
                <c:pt idx="4">
                  <c:v>1.27</c:v>
                </c:pt>
              </c:numCache>
            </c:numRef>
          </c:val>
          <c:extLst>
            <c:ext xmlns:c16="http://schemas.microsoft.com/office/drawing/2014/chart" uri="{C3380CC4-5D6E-409C-BE32-E72D297353CC}">
              <c16:uniqueId val="{00000005-C94B-416C-A48E-0C956A003650}"/>
            </c:ext>
          </c:extLst>
        </c:ser>
        <c:dLbls>
          <c:showLegendKey val="0"/>
          <c:showVal val="0"/>
          <c:showCatName val="0"/>
          <c:showSerName val="0"/>
          <c:showPercent val="0"/>
          <c:showBubbleSize val="0"/>
        </c:dLbls>
        <c:gapWidth val="150"/>
        <c:overlap val="100"/>
        <c:axId val="225015296"/>
        <c:axId val="225017216"/>
      </c:barChart>
      <c:catAx>
        <c:axId val="2250152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sz="1200" b="1"/>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25017216"/>
        <c:crosses val="autoZero"/>
        <c:auto val="1"/>
        <c:lblAlgn val="ctr"/>
        <c:lblOffset val="100"/>
        <c:noMultiLvlLbl val="0"/>
      </c:catAx>
      <c:valAx>
        <c:axId val="225017216"/>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25015296"/>
        <c:crosses val="autoZero"/>
        <c:crossBetween val="between"/>
        <c:majorUnit val="0.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baseline="0"/>
              <a:t>working capital ratio</a:t>
            </a:r>
            <a:endParaRPr lang="en-US" b="1"/>
          </a:p>
        </c:rich>
      </c:tx>
      <c:overlay val="0"/>
      <c:spPr>
        <a:noFill/>
        <a:ln>
          <a:noFill/>
        </a:ln>
        <a:effectLst/>
      </c:spPr>
    </c:title>
    <c:autoTitleDeleted val="0"/>
    <c:plotArea>
      <c:layout>
        <c:manualLayout>
          <c:layoutTarget val="inner"/>
          <c:xMode val="edge"/>
          <c:yMode val="edge"/>
          <c:x val="0.15231558226274353"/>
          <c:y val="0.2068627450980392"/>
          <c:w val="0.81635609693525146"/>
          <c:h val="0.56688200352664897"/>
        </c:manualLayout>
      </c:layout>
      <c:barChart>
        <c:barDir val="col"/>
        <c:grouping val="stacked"/>
        <c:varyColors val="0"/>
        <c:ser>
          <c:idx val="0"/>
          <c:order val="0"/>
          <c:tx>
            <c:strRef>
              <c:f>Sheet1!$C$1</c:f>
              <c:strCache>
                <c:ptCount val="1"/>
                <c:pt idx="0">
                  <c:v>Column1</c:v>
                </c:pt>
              </c:strCache>
            </c:strRef>
          </c:tx>
          <c:spPr>
            <a:solidFill>
              <a:schemeClr val="accent1"/>
            </a:solidFill>
            <a:ln>
              <a:noFill/>
            </a:ln>
            <a:effectLst/>
          </c:spPr>
          <c:invertIfNegative val="0"/>
          <c:dLbls>
            <c:dLbl>
              <c:idx val="0"/>
              <c:layout>
                <c:manualLayout>
                  <c:x val="0"/>
                  <c:y val="-4.64396284829721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17A-4D7D-A57F-F68FC2788E32}"/>
                </c:ext>
              </c:extLst>
            </c:dLbl>
            <c:dLbl>
              <c:idx val="1"/>
              <c:layout>
                <c:manualLayout>
                  <c:x val="0"/>
                  <c:y val="-3.611971104231167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17A-4D7D-A57F-F68FC2788E32}"/>
                </c:ext>
              </c:extLst>
            </c:dLbl>
            <c:dLbl>
              <c:idx val="2"/>
              <c:layout>
                <c:manualLayout>
                  <c:x val="-1.1486918262875206E-16"/>
                  <c:y val="-4.127966976264187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17A-4D7D-A57F-F68FC2788E32}"/>
                </c:ext>
              </c:extLst>
            </c:dLbl>
            <c:dLbl>
              <c:idx val="3"/>
              <c:layout>
                <c:manualLayout>
                  <c:x val="0"/>
                  <c:y val="-6.191950464396294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17A-4D7D-A57F-F68FC2788E32}"/>
                </c:ext>
              </c:extLst>
            </c:dLbl>
            <c:dLbl>
              <c:idx val="4"/>
              <c:layout>
                <c:manualLayout>
                  <c:x val="3.1328320802003875E-3"/>
                  <c:y val="-0.2992776057791539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17A-4D7D-A57F-F68FC2788E32}"/>
                </c:ext>
              </c:extLst>
            </c:dLbl>
            <c:spPr>
              <a:noFill/>
              <a:ln>
                <a:noFill/>
              </a:ln>
              <a:effectLst/>
            </c:spPr>
            <c:txPr>
              <a:bodyPr wrap="square" lIns="38100" tIns="19050" rIns="38100" bIns="19050" anchor="ctr">
                <a:spAutoFit/>
              </a:bodyPr>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Sheet1!$A$2:$A$6</c:f>
              <c:numCache>
                <c:formatCode>General</c:formatCode>
                <c:ptCount val="5"/>
                <c:pt idx="0">
                  <c:v>2023</c:v>
                </c:pt>
                <c:pt idx="1">
                  <c:v>2022</c:v>
                </c:pt>
                <c:pt idx="2">
                  <c:v>2021</c:v>
                </c:pt>
                <c:pt idx="3">
                  <c:v>2020</c:v>
                </c:pt>
                <c:pt idx="4">
                  <c:v>2019</c:v>
                </c:pt>
              </c:numCache>
            </c:numRef>
          </c:cat>
          <c:val>
            <c:numRef>
              <c:f>Sheet1!$C$2:$C$6</c:f>
              <c:numCache>
                <c:formatCode>General</c:formatCode>
                <c:ptCount val="5"/>
                <c:pt idx="0">
                  <c:v>0.44</c:v>
                </c:pt>
                <c:pt idx="1">
                  <c:v>0.38000000000000039</c:v>
                </c:pt>
                <c:pt idx="2">
                  <c:v>0.34</c:v>
                </c:pt>
                <c:pt idx="3">
                  <c:v>0.43000000000000033</c:v>
                </c:pt>
                <c:pt idx="4">
                  <c:v>22.919999999999987</c:v>
                </c:pt>
              </c:numCache>
            </c:numRef>
          </c:val>
          <c:extLst>
            <c:ext xmlns:c16="http://schemas.microsoft.com/office/drawing/2014/chart" uri="{C3380CC4-5D6E-409C-BE32-E72D297353CC}">
              <c16:uniqueId val="{00000005-117A-4D7D-A57F-F68FC2788E32}"/>
            </c:ext>
          </c:extLst>
        </c:ser>
        <c:dLbls>
          <c:showLegendKey val="0"/>
          <c:showVal val="1"/>
          <c:showCatName val="0"/>
          <c:showSerName val="0"/>
          <c:showPercent val="0"/>
          <c:showBubbleSize val="0"/>
        </c:dLbls>
        <c:gapWidth val="150"/>
        <c:overlap val="100"/>
        <c:axId val="226880896"/>
        <c:axId val="227079680"/>
      </c:barChart>
      <c:catAx>
        <c:axId val="2268808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sz="1200" b="1"/>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27079680"/>
        <c:crosses val="autoZero"/>
        <c:auto val="1"/>
        <c:lblAlgn val="ctr"/>
        <c:lblOffset val="100"/>
        <c:noMultiLvlLbl val="0"/>
      </c:catAx>
      <c:valAx>
        <c:axId val="227079680"/>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IN" sz="1200" b="1"/>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880896"/>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itchFamily="18" charset="0"/>
                <a:ea typeface="+mn-ea"/>
                <a:cs typeface="Times New Roman" pitchFamily="18" charset="0"/>
              </a:defRPr>
            </a:pPr>
            <a:r>
              <a:rPr lang="en-US" b="1" baseline="0">
                <a:solidFill>
                  <a:sysClr val="windowText" lastClr="000000"/>
                </a:solidFill>
                <a:latin typeface="Times New Roman" pitchFamily="18" charset="0"/>
                <a:cs typeface="Times New Roman" pitchFamily="18" charset="0"/>
              </a:rPr>
              <a:t> </a:t>
            </a:r>
            <a:r>
              <a:rPr lang="en-IN" sz="1400" b="1" i="0" u="none" strike="noStrike" baseline="0">
                <a:solidFill>
                  <a:sysClr val="windowText" lastClr="000000"/>
                </a:solidFill>
                <a:effectLst/>
                <a:latin typeface="Times New Roman" pitchFamily="18" charset="0"/>
                <a:cs typeface="Times New Roman" pitchFamily="18" charset="0"/>
              </a:rPr>
              <a:t>Net Working Capital Ratio</a:t>
            </a:r>
            <a:endParaRPr lang="en-US" b="1">
              <a:solidFill>
                <a:sysClr val="windowText" lastClr="000000"/>
              </a:solidFill>
              <a:latin typeface="Times New Roman" pitchFamily="18" charset="0"/>
              <a:cs typeface="Times New Roman" pitchFamily="18" charset="0"/>
            </a:endParaRPr>
          </a:p>
        </c:rich>
      </c:tx>
      <c:overlay val="0"/>
      <c:spPr>
        <a:noFill/>
        <a:ln>
          <a:noFill/>
        </a:ln>
        <a:effectLst/>
      </c:spPr>
    </c:title>
    <c:autoTitleDeleted val="0"/>
    <c:plotArea>
      <c:layout/>
      <c:barChart>
        <c:barDir val="col"/>
        <c:grouping val="stacked"/>
        <c:varyColors val="0"/>
        <c:ser>
          <c:idx val="0"/>
          <c:order val="0"/>
          <c:tx>
            <c:strRef>
              <c:f>Sheet1!$C$1</c:f>
              <c:strCache>
                <c:ptCount val="1"/>
                <c:pt idx="0">
                  <c:v>Column1</c:v>
                </c:pt>
              </c:strCache>
            </c:strRef>
          </c:tx>
          <c:spPr>
            <a:solidFill>
              <a:schemeClr val="accent1"/>
            </a:solidFill>
            <a:ln>
              <a:noFill/>
            </a:ln>
            <a:effectLst/>
          </c:spPr>
          <c:invertIfNegative val="0"/>
          <c:dLbls>
            <c:dLbl>
              <c:idx val="0"/>
              <c:layout>
                <c:manualLayout>
                  <c:x val="0"/>
                  <c:y val="-0.2394513500157549"/>
                </c:manualLayout>
              </c:layout>
              <c:spPr>
                <a:noFill/>
                <a:ln>
                  <a:noFill/>
                </a:ln>
                <a:effectLst/>
              </c:spPr>
              <c:txPr>
                <a:bodyPr wrap="square" lIns="38100" tIns="19050" rIns="38100" bIns="19050" anchor="ctr">
                  <a:spAutoFit/>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8D3-49F3-9F3E-CABDE08D08F0}"/>
                </c:ext>
              </c:extLst>
            </c:dLbl>
            <c:dLbl>
              <c:idx val="1"/>
              <c:layout>
                <c:manualLayout>
                  <c:x val="4.629756915668708E-3"/>
                  <c:y val="-0.19806737373912142"/>
                </c:manualLayout>
              </c:layout>
              <c:spPr>
                <a:noFill/>
                <a:ln>
                  <a:noFill/>
                </a:ln>
                <a:effectLst/>
              </c:spPr>
              <c:txPr>
                <a:bodyPr wrap="square" lIns="38100" tIns="19050" rIns="38100" bIns="19050" anchor="ctr">
                  <a:spAutoFit/>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8D3-49F3-9F3E-CABDE08D08F0}"/>
                </c:ext>
              </c:extLst>
            </c:dLbl>
            <c:dLbl>
              <c:idx val="2"/>
              <c:layout>
                <c:manualLayout>
                  <c:x val="0"/>
                  <c:y val="-0.21271634629248351"/>
                </c:manualLayout>
              </c:layout>
              <c:spPr>
                <a:noFill/>
                <a:ln>
                  <a:noFill/>
                </a:ln>
                <a:effectLst/>
              </c:spPr>
              <c:txPr>
                <a:bodyPr wrap="square" lIns="38100" tIns="19050" rIns="38100" bIns="19050" anchor="ctr">
                  <a:spAutoFit/>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8D3-49F3-9F3E-CABDE08D08F0}"/>
                </c:ext>
              </c:extLst>
            </c:dLbl>
            <c:dLbl>
              <c:idx val="3"/>
              <c:layout>
                <c:manualLayout>
                  <c:x val="-3.2730695762945989E-7"/>
                  <c:y val="-0.1662064351667619"/>
                </c:manualLayout>
              </c:layout>
              <c:spPr>
                <a:noFill/>
                <a:ln>
                  <a:noFill/>
                </a:ln>
                <a:effectLst/>
              </c:spPr>
              <c:txPr>
                <a:bodyPr wrap="square" lIns="38100" tIns="19050" rIns="38100" bIns="19050" anchor="ctr">
                  <a:spAutoFit/>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8D3-49F3-9F3E-CABDE08D08F0}"/>
                </c:ext>
              </c:extLst>
            </c:dLbl>
            <c:dLbl>
              <c:idx val="4"/>
              <c:layout>
                <c:manualLayout>
                  <c:x val="0"/>
                  <c:y val="-5.8105824469870705E-2"/>
                </c:manualLayout>
              </c:layout>
              <c:spPr>
                <a:noFill/>
                <a:ln>
                  <a:noFill/>
                </a:ln>
                <a:effectLst/>
              </c:spPr>
              <c:txPr>
                <a:bodyPr wrap="square" lIns="38100" tIns="19050" rIns="38100" bIns="19050" anchor="ctr">
                  <a:spAutoFit/>
                </a:bodyPr>
                <a:lstStyle/>
                <a:p>
                  <a:pPr>
                    <a:defRPr b="1"/>
                  </a:pPr>
                  <a:endParaRPr lang="en-US"/>
                </a:p>
              </c:txPr>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8D3-49F3-9F3E-CABDE08D08F0}"/>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2023</c:v>
                </c:pt>
                <c:pt idx="1">
                  <c:v>2022</c:v>
                </c:pt>
                <c:pt idx="2">
                  <c:v>2021</c:v>
                </c:pt>
                <c:pt idx="3">
                  <c:v>2020</c:v>
                </c:pt>
                <c:pt idx="4">
                  <c:v>2019</c:v>
                </c:pt>
              </c:numCache>
            </c:numRef>
          </c:cat>
          <c:val>
            <c:numRef>
              <c:f>Sheet1!$C$2:$C$6</c:f>
              <c:numCache>
                <c:formatCode>General</c:formatCode>
                <c:ptCount val="5"/>
                <c:pt idx="0">
                  <c:v>0.26</c:v>
                </c:pt>
                <c:pt idx="1">
                  <c:v>0.3000000000000001</c:v>
                </c:pt>
                <c:pt idx="2">
                  <c:v>0.3000000000000001</c:v>
                </c:pt>
                <c:pt idx="3">
                  <c:v>0.26</c:v>
                </c:pt>
                <c:pt idx="4">
                  <c:v>1.0000000000000004E-2</c:v>
                </c:pt>
              </c:numCache>
            </c:numRef>
          </c:val>
          <c:extLst>
            <c:ext xmlns:c16="http://schemas.microsoft.com/office/drawing/2014/chart" uri="{C3380CC4-5D6E-409C-BE32-E72D297353CC}">
              <c16:uniqueId val="{00000005-C8D3-49F3-9F3E-CABDE08D08F0}"/>
            </c:ext>
          </c:extLst>
        </c:ser>
        <c:dLbls>
          <c:showLegendKey val="0"/>
          <c:showVal val="0"/>
          <c:showCatName val="0"/>
          <c:showSerName val="0"/>
          <c:showPercent val="0"/>
          <c:showBubbleSize val="0"/>
        </c:dLbls>
        <c:gapWidth val="150"/>
        <c:overlap val="100"/>
        <c:axId val="171319296"/>
        <c:axId val="171644800"/>
      </c:barChart>
      <c:catAx>
        <c:axId val="1713192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sz="1200" b="1"/>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1644800"/>
        <c:crosses val="autoZero"/>
        <c:auto val="1"/>
        <c:lblAlgn val="ctr"/>
        <c:lblOffset val="100"/>
        <c:noMultiLvlLbl val="0"/>
      </c:catAx>
      <c:valAx>
        <c:axId val="171644800"/>
        <c:scaling>
          <c:orientation val="minMax"/>
          <c:max val="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itchFamily="18" charset="0"/>
                    <a:ea typeface="+mn-ea"/>
                    <a:cs typeface="Times New Roman" pitchFamily="18" charset="0"/>
                  </a:defRPr>
                </a:pPr>
                <a:r>
                  <a:rPr lang="en-IN" sz="1200" b="1">
                    <a:solidFill>
                      <a:sysClr val="windowText" lastClr="000000"/>
                    </a:solidFill>
                    <a:latin typeface="Times New Roman" pitchFamily="18" charset="0"/>
                    <a:cs typeface="Times New Roman" pitchFamily="18" charset="0"/>
                  </a:rPr>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1319296"/>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baseline="0"/>
              <a:t>Debt equity ratio</a:t>
            </a:r>
            <a:endParaRPr lang="en-US" b="1"/>
          </a:p>
        </c:rich>
      </c:tx>
      <c:overlay val="0"/>
      <c:spPr>
        <a:noFill/>
        <a:ln>
          <a:noFill/>
        </a:ln>
        <a:effectLst/>
      </c:spPr>
    </c:title>
    <c:autoTitleDeleted val="0"/>
    <c:plotArea>
      <c:layout/>
      <c:barChart>
        <c:barDir val="col"/>
        <c:grouping val="stacked"/>
        <c:varyColors val="0"/>
        <c:ser>
          <c:idx val="0"/>
          <c:order val="0"/>
          <c:tx>
            <c:strRef>
              <c:f>Sheet1!$C$1</c:f>
              <c:strCache>
                <c:ptCount val="1"/>
                <c:pt idx="0">
                  <c:v>Column1</c:v>
                </c:pt>
              </c:strCache>
            </c:strRef>
          </c:tx>
          <c:spPr>
            <a:solidFill>
              <a:schemeClr val="accent1"/>
            </a:solidFill>
            <a:ln>
              <a:noFill/>
            </a:ln>
            <a:effectLst/>
          </c:spPr>
          <c:invertIfNegative val="0"/>
          <c:dLbls>
            <c:dLbl>
              <c:idx val="0"/>
              <c:layout>
                <c:manualLayout>
                  <c:x val="3.4188034188034192E-3"/>
                  <c:y val="-0.2786836643937148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434-4087-9352-7E11F40620D3}"/>
                </c:ext>
              </c:extLst>
            </c:dLbl>
            <c:dLbl>
              <c:idx val="1"/>
              <c:layout>
                <c:manualLayout>
                  <c:x val="0"/>
                  <c:y val="-0.2075303883782983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434-4087-9352-7E11F40620D3}"/>
                </c:ext>
              </c:extLst>
            </c:dLbl>
            <c:dLbl>
              <c:idx val="2"/>
              <c:layout>
                <c:manualLayout>
                  <c:x val="-6.2677338624098528E-17"/>
                  <c:y val="-0.1838126297064927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434-4087-9352-7E11F40620D3}"/>
                </c:ext>
              </c:extLst>
            </c:dLbl>
            <c:dLbl>
              <c:idx val="3"/>
              <c:layout>
                <c:manualLayout>
                  <c:x val="0"/>
                  <c:y val="-0.1778831900385413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434-4087-9352-7E11F40620D3}"/>
                </c:ext>
              </c:extLst>
            </c:dLbl>
            <c:dLbl>
              <c:idx val="4"/>
              <c:layout>
                <c:manualLayout>
                  <c:x val="0"/>
                  <c:y val="-0.17195375037059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434-4087-9352-7E11F40620D3}"/>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Sheet1!$A$2:$A$6</c:f>
              <c:numCache>
                <c:formatCode>General</c:formatCode>
                <c:ptCount val="5"/>
                <c:pt idx="0">
                  <c:v>2023</c:v>
                </c:pt>
                <c:pt idx="1">
                  <c:v>2022</c:v>
                </c:pt>
                <c:pt idx="2">
                  <c:v>2021</c:v>
                </c:pt>
                <c:pt idx="3">
                  <c:v>2020</c:v>
                </c:pt>
                <c:pt idx="4">
                  <c:v>2019</c:v>
                </c:pt>
              </c:numCache>
            </c:numRef>
          </c:cat>
          <c:val>
            <c:numRef>
              <c:f>Sheet1!$C$2:$C$6</c:f>
              <c:numCache>
                <c:formatCode>General</c:formatCode>
                <c:ptCount val="5"/>
                <c:pt idx="0">
                  <c:v>279.47000000000003</c:v>
                </c:pt>
                <c:pt idx="1">
                  <c:v>202.15</c:v>
                </c:pt>
                <c:pt idx="2">
                  <c:v>179.03</c:v>
                </c:pt>
                <c:pt idx="3">
                  <c:v>162.62</c:v>
                </c:pt>
                <c:pt idx="4">
                  <c:v>155.05000000000001</c:v>
                </c:pt>
              </c:numCache>
            </c:numRef>
          </c:val>
          <c:extLst>
            <c:ext xmlns:c16="http://schemas.microsoft.com/office/drawing/2014/chart" uri="{C3380CC4-5D6E-409C-BE32-E72D297353CC}">
              <c16:uniqueId val="{00000005-C434-4087-9352-7E11F40620D3}"/>
            </c:ext>
          </c:extLst>
        </c:ser>
        <c:dLbls>
          <c:showLegendKey val="0"/>
          <c:showVal val="0"/>
          <c:showCatName val="0"/>
          <c:showSerName val="0"/>
          <c:showPercent val="0"/>
          <c:showBubbleSize val="0"/>
        </c:dLbls>
        <c:gapWidth val="150"/>
        <c:overlap val="100"/>
        <c:axId val="172033920"/>
        <c:axId val="172123648"/>
      </c:barChart>
      <c:catAx>
        <c:axId val="1720339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sz="1200" b="1"/>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2123648"/>
        <c:crosses val="autoZero"/>
        <c:auto val="1"/>
        <c:lblAlgn val="ctr"/>
        <c:lblOffset val="100"/>
        <c:noMultiLvlLbl val="0"/>
      </c:catAx>
      <c:valAx>
        <c:axId val="172123648"/>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2033920"/>
        <c:crosses val="autoZero"/>
        <c:crossBetween val="between"/>
        <c:majorUnit val="5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baseline="0"/>
              <a:t>Debt to capital ratio</a:t>
            </a:r>
            <a:endParaRPr lang="en-US" b="1"/>
          </a:p>
        </c:rich>
      </c:tx>
      <c:overlay val="0"/>
      <c:spPr>
        <a:noFill/>
        <a:ln>
          <a:noFill/>
        </a:ln>
        <a:effectLst/>
      </c:spPr>
    </c:title>
    <c:autoTitleDeleted val="0"/>
    <c:plotArea>
      <c:layout/>
      <c:barChart>
        <c:barDir val="col"/>
        <c:grouping val="stacked"/>
        <c:varyColors val="0"/>
        <c:ser>
          <c:idx val="0"/>
          <c:order val="0"/>
          <c:tx>
            <c:strRef>
              <c:f>Sheet1!$C$1</c:f>
              <c:strCache>
                <c:ptCount val="1"/>
                <c:pt idx="0">
                  <c:v>Column1</c:v>
                </c:pt>
              </c:strCache>
            </c:strRef>
          </c:tx>
          <c:spPr>
            <a:solidFill>
              <a:schemeClr val="accent1"/>
            </a:solidFill>
            <a:ln>
              <a:noFill/>
            </a:ln>
            <a:effectLst/>
          </c:spPr>
          <c:invertIfNegative val="0"/>
          <c:dLbls>
            <c:dLbl>
              <c:idx val="0"/>
              <c:layout>
                <c:manualLayout>
                  <c:x val="0"/>
                  <c:y val="-0.2099858454768092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16F-42BD-B645-77BBB94B2582}"/>
                </c:ext>
              </c:extLst>
            </c:dLbl>
            <c:dLbl>
              <c:idx val="1"/>
              <c:layout>
                <c:manualLayout>
                  <c:x val="0"/>
                  <c:y val="-0.2159412541243399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6F-42BD-B645-77BBB94B2582}"/>
                </c:ext>
              </c:extLst>
            </c:dLbl>
            <c:dLbl>
              <c:idx val="2"/>
              <c:layout>
                <c:manualLayout>
                  <c:x val="0"/>
                  <c:y val="-0.2021821692009926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16F-42BD-B645-77BBB94B2582}"/>
                </c:ext>
              </c:extLst>
            </c:dLbl>
            <c:dLbl>
              <c:idx val="3"/>
              <c:layout>
                <c:manualLayout>
                  <c:x val="-3.6077854305124912E-3"/>
                  <c:y val="-0.229700339047687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6F-42BD-B645-77BBB94B2582}"/>
                </c:ext>
              </c:extLst>
            </c:dLbl>
            <c:dLbl>
              <c:idx val="4"/>
              <c:layout>
                <c:manualLayout>
                  <c:x val="0"/>
                  <c:y val="-0.2444973139991105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16F-42BD-B645-77BBB94B2582}"/>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2023</c:v>
                </c:pt>
                <c:pt idx="1">
                  <c:v>2022</c:v>
                </c:pt>
                <c:pt idx="2">
                  <c:v>2021</c:v>
                </c:pt>
                <c:pt idx="3">
                  <c:v>2020</c:v>
                </c:pt>
                <c:pt idx="4">
                  <c:v>2019</c:v>
                </c:pt>
              </c:numCache>
            </c:numRef>
          </c:cat>
          <c:val>
            <c:numRef>
              <c:f>Sheet1!$C$2:$C$6</c:f>
              <c:numCache>
                <c:formatCode>General</c:formatCode>
                <c:ptCount val="5"/>
                <c:pt idx="0">
                  <c:v>0.7300000000000002</c:v>
                </c:pt>
                <c:pt idx="1">
                  <c:v>0.69000000000000017</c:v>
                </c:pt>
                <c:pt idx="2">
                  <c:v>0.69000000000000017</c:v>
                </c:pt>
                <c:pt idx="3">
                  <c:v>0.7300000000000002</c:v>
                </c:pt>
                <c:pt idx="4">
                  <c:v>0.8</c:v>
                </c:pt>
              </c:numCache>
            </c:numRef>
          </c:val>
          <c:extLst>
            <c:ext xmlns:c16="http://schemas.microsoft.com/office/drawing/2014/chart" uri="{C3380CC4-5D6E-409C-BE32-E72D297353CC}">
              <c16:uniqueId val="{00000005-D16F-42BD-B645-77BBB94B2582}"/>
            </c:ext>
          </c:extLst>
        </c:ser>
        <c:dLbls>
          <c:showLegendKey val="0"/>
          <c:showVal val="0"/>
          <c:showCatName val="0"/>
          <c:showSerName val="0"/>
          <c:showPercent val="0"/>
          <c:showBubbleSize val="0"/>
        </c:dLbls>
        <c:gapWidth val="150"/>
        <c:overlap val="100"/>
        <c:axId val="201982336"/>
        <c:axId val="201984640"/>
      </c:barChart>
      <c:catAx>
        <c:axId val="201982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1984640"/>
        <c:crosses val="autoZero"/>
        <c:auto val="1"/>
        <c:lblAlgn val="ctr"/>
        <c:lblOffset val="100"/>
        <c:noMultiLvlLbl val="0"/>
      </c:catAx>
      <c:valAx>
        <c:axId val="201984640"/>
        <c:scaling>
          <c:orientation val="minMax"/>
          <c:max val="0.8"/>
          <c:min val="0.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1982336"/>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Proprietary ratio </a:t>
            </a:r>
            <a:endParaRPr lang="en-US" b="1"/>
          </a:p>
        </c:rich>
      </c:tx>
      <c:overlay val="0"/>
      <c:spPr>
        <a:noFill/>
        <a:ln>
          <a:noFill/>
        </a:ln>
        <a:effectLst/>
      </c:spPr>
    </c:title>
    <c:autoTitleDeleted val="0"/>
    <c:plotArea>
      <c:layout/>
      <c:barChart>
        <c:barDir val="col"/>
        <c:grouping val="stacked"/>
        <c:varyColors val="0"/>
        <c:ser>
          <c:idx val="0"/>
          <c:order val="0"/>
          <c:tx>
            <c:strRef>
              <c:f>Sheet1!$C$1</c:f>
              <c:strCache>
                <c:ptCount val="1"/>
                <c:pt idx="0">
                  <c:v>Column1</c:v>
                </c:pt>
              </c:strCache>
            </c:strRef>
          </c:tx>
          <c:spPr>
            <a:solidFill>
              <a:schemeClr val="accent1"/>
            </a:solidFill>
            <a:ln>
              <a:noFill/>
            </a:ln>
            <a:effectLst/>
          </c:spPr>
          <c:invertIfNegative val="0"/>
          <c:dLbls>
            <c:dLbl>
              <c:idx val="0"/>
              <c:layout>
                <c:manualLayout>
                  <c:x val="0"/>
                  <c:y val="-0.1793721973094170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A1A-49C7-AE8E-04EF492ECB66}"/>
                </c:ext>
              </c:extLst>
            </c:dLbl>
            <c:dLbl>
              <c:idx val="1"/>
              <c:layout>
                <c:manualLayout>
                  <c:x val="-3.71402042711235E-3"/>
                  <c:y val="-0.201793721973094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A1A-49C7-AE8E-04EF492ECB66}"/>
                </c:ext>
              </c:extLst>
            </c:dLbl>
            <c:dLbl>
              <c:idx val="2"/>
              <c:layout>
                <c:manualLayout>
                  <c:x val="-6.8089587920329916E-17"/>
                  <c:y val="-0.201793721973094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A1A-49C7-AE8E-04EF492ECB66}"/>
                </c:ext>
              </c:extLst>
            </c:dLbl>
            <c:dLbl>
              <c:idx val="3"/>
              <c:layout>
                <c:manualLayout>
                  <c:x val="0"/>
                  <c:y val="-0.1737668161434978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A1A-49C7-AE8E-04EF492ECB66}"/>
                </c:ext>
              </c:extLst>
            </c:dLbl>
            <c:dLbl>
              <c:idx val="4"/>
              <c:layout>
                <c:manualLayout>
                  <c:x val="0"/>
                  <c:y val="-0.1513452914798208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A1A-49C7-AE8E-04EF492ECB66}"/>
                </c:ext>
              </c:extLst>
            </c:dLbl>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2023</c:v>
                </c:pt>
                <c:pt idx="1">
                  <c:v>2022</c:v>
                </c:pt>
                <c:pt idx="2">
                  <c:v>2021</c:v>
                </c:pt>
                <c:pt idx="3">
                  <c:v>2020</c:v>
                </c:pt>
                <c:pt idx="4">
                  <c:v>2019</c:v>
                </c:pt>
              </c:numCache>
            </c:numRef>
          </c:cat>
          <c:val>
            <c:numRef>
              <c:f>Sheet1!$C$2:$C$6</c:f>
              <c:numCache>
                <c:formatCode>General</c:formatCode>
                <c:ptCount val="5"/>
                <c:pt idx="0">
                  <c:v>0.26</c:v>
                </c:pt>
                <c:pt idx="1">
                  <c:v>0.3000000000000001</c:v>
                </c:pt>
                <c:pt idx="2">
                  <c:v>0.3000000000000001</c:v>
                </c:pt>
                <c:pt idx="3">
                  <c:v>0.26</c:v>
                </c:pt>
                <c:pt idx="4">
                  <c:v>0.21000000000000005</c:v>
                </c:pt>
              </c:numCache>
            </c:numRef>
          </c:val>
          <c:extLst>
            <c:ext xmlns:c16="http://schemas.microsoft.com/office/drawing/2014/chart" uri="{C3380CC4-5D6E-409C-BE32-E72D297353CC}">
              <c16:uniqueId val="{00000005-5A1A-49C7-AE8E-04EF492ECB66}"/>
            </c:ext>
          </c:extLst>
        </c:ser>
        <c:dLbls>
          <c:showLegendKey val="0"/>
          <c:showVal val="0"/>
          <c:showCatName val="0"/>
          <c:showSerName val="0"/>
          <c:showPercent val="0"/>
          <c:showBubbleSize val="0"/>
        </c:dLbls>
        <c:gapWidth val="150"/>
        <c:overlap val="100"/>
        <c:axId val="202982528"/>
        <c:axId val="202984832"/>
      </c:barChart>
      <c:catAx>
        <c:axId val="2029825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year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2984832"/>
        <c:crosses val="autoZero"/>
        <c:auto val="1"/>
        <c:lblAlgn val="ctr"/>
        <c:lblOffset val="100"/>
        <c:noMultiLvlLbl val="0"/>
      </c:catAx>
      <c:valAx>
        <c:axId val="202984832"/>
        <c:scaling>
          <c:orientation val="minMax"/>
          <c:max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2982528"/>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 Return on Equity </a:t>
            </a:r>
            <a:endParaRPr lang="en-US" b="1"/>
          </a:p>
        </c:rich>
      </c:tx>
      <c:overlay val="0"/>
      <c:spPr>
        <a:noFill/>
        <a:ln>
          <a:noFill/>
        </a:ln>
        <a:effectLst/>
      </c:spPr>
    </c:title>
    <c:autoTitleDeleted val="0"/>
    <c:plotArea>
      <c:layout/>
      <c:barChart>
        <c:barDir val="col"/>
        <c:grouping val="stacked"/>
        <c:varyColors val="0"/>
        <c:ser>
          <c:idx val="0"/>
          <c:order val="0"/>
          <c:tx>
            <c:strRef>
              <c:f>Sheet1!$C$1</c:f>
              <c:strCache>
                <c:ptCount val="1"/>
                <c:pt idx="0">
                  <c:v>Column1</c:v>
                </c:pt>
              </c:strCache>
            </c:strRef>
          </c:tx>
          <c:spPr>
            <a:solidFill>
              <a:schemeClr val="accent1"/>
            </a:solidFill>
            <a:ln>
              <a:noFill/>
            </a:ln>
            <a:effectLst/>
          </c:spPr>
          <c:invertIfNegative val="0"/>
          <c:dLbls>
            <c:dLbl>
              <c:idx val="0"/>
              <c:layout>
                <c:manualLayout>
                  <c:x val="3.445305770887168E-3"/>
                  <c:y val="-0.1881626320873460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CC9B-4F12-9B3E-DDFEA3F9BE3B}"/>
                </c:ext>
              </c:extLst>
            </c:dLbl>
            <c:dLbl>
              <c:idx val="1"/>
              <c:layout>
                <c:manualLayout>
                  <c:x val="3.4453057708871047E-3"/>
                  <c:y val="-0.175785694074486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CC9B-4F12-9B3E-DDFEA3F9BE3B}"/>
                </c:ext>
              </c:extLst>
            </c:dLbl>
            <c:dLbl>
              <c:idx val="2"/>
              <c:layout>
                <c:manualLayout>
                  <c:x val="3.4453057708872309E-3"/>
                  <c:y val="-0.113827825425167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CC9B-4F12-9B3E-DDFEA3F9BE3B}"/>
                </c:ext>
              </c:extLst>
            </c:dLbl>
            <c:dLbl>
              <c:idx val="3"/>
              <c:layout>
                <c:manualLayout>
                  <c:x val="3.4453057708870418E-3"/>
                  <c:y val="-0.1014796709890817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CC9B-4F12-9B3E-DDFEA3F9BE3B}"/>
                </c:ext>
              </c:extLst>
            </c:dLbl>
            <c:dLbl>
              <c:idx val="4"/>
              <c:layout>
                <c:manualLayout>
                  <c:x val="-1.2632641893229158E-16"/>
                  <c:y val="-5.82101493818848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CC9B-4F12-9B3E-DDFEA3F9BE3B}"/>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2023</c:v>
                </c:pt>
                <c:pt idx="1">
                  <c:v>2022</c:v>
                </c:pt>
                <c:pt idx="2">
                  <c:v>2021</c:v>
                </c:pt>
                <c:pt idx="3">
                  <c:v>2020</c:v>
                </c:pt>
                <c:pt idx="4">
                  <c:v>2019</c:v>
                </c:pt>
              </c:numCache>
            </c:numRef>
          </c:cat>
          <c:val>
            <c:numRef>
              <c:f>Sheet1!$C$2:$C$6</c:f>
              <c:numCache>
                <c:formatCode>General</c:formatCode>
                <c:ptCount val="5"/>
                <c:pt idx="0">
                  <c:v>12.96</c:v>
                </c:pt>
                <c:pt idx="1">
                  <c:v>10.61</c:v>
                </c:pt>
                <c:pt idx="2">
                  <c:v>5.72</c:v>
                </c:pt>
                <c:pt idx="3">
                  <c:v>5.07</c:v>
                </c:pt>
                <c:pt idx="4">
                  <c:v>3.3299999999999992</c:v>
                </c:pt>
              </c:numCache>
            </c:numRef>
          </c:val>
          <c:extLst>
            <c:ext xmlns:c16="http://schemas.microsoft.com/office/drawing/2014/chart" uri="{C3380CC4-5D6E-409C-BE32-E72D297353CC}">
              <c16:uniqueId val="{00000005-CC9B-4F12-9B3E-DDFEA3F9BE3B}"/>
            </c:ext>
          </c:extLst>
        </c:ser>
        <c:dLbls>
          <c:showLegendKey val="0"/>
          <c:showVal val="1"/>
          <c:showCatName val="0"/>
          <c:showSerName val="0"/>
          <c:showPercent val="0"/>
          <c:showBubbleSize val="0"/>
        </c:dLbls>
        <c:gapWidth val="150"/>
        <c:overlap val="100"/>
        <c:axId val="203528064"/>
        <c:axId val="218459520"/>
      </c:barChart>
      <c:catAx>
        <c:axId val="20352806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8459520"/>
        <c:crosses val="autoZero"/>
        <c:auto val="1"/>
        <c:lblAlgn val="ctr"/>
        <c:lblOffset val="100"/>
        <c:noMultiLvlLbl val="0"/>
      </c:catAx>
      <c:valAx>
        <c:axId val="218459520"/>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3528064"/>
        <c:crosses val="autoZero"/>
        <c:crossBetween val="between"/>
        <c:maj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 Return on assets ratio</a:t>
            </a:r>
            <a:endParaRPr lang="en-US" b="1"/>
          </a:p>
        </c:rich>
      </c:tx>
      <c:overlay val="0"/>
      <c:spPr>
        <a:noFill/>
        <a:ln>
          <a:noFill/>
        </a:ln>
        <a:effectLst/>
      </c:spPr>
    </c:title>
    <c:autoTitleDeleted val="0"/>
    <c:plotArea>
      <c:layout/>
      <c:barChart>
        <c:barDir val="col"/>
        <c:grouping val="stacked"/>
        <c:varyColors val="0"/>
        <c:ser>
          <c:idx val="0"/>
          <c:order val="0"/>
          <c:tx>
            <c:strRef>
              <c:f>Sheet1!$C$1</c:f>
              <c:strCache>
                <c:ptCount val="1"/>
                <c:pt idx="0">
                  <c:v>Column1</c:v>
                </c:pt>
              </c:strCache>
            </c:strRef>
          </c:tx>
          <c:spPr>
            <a:solidFill>
              <a:schemeClr val="accent1"/>
            </a:solidFill>
            <a:ln>
              <a:noFill/>
            </a:ln>
            <a:effectLst/>
          </c:spPr>
          <c:invertIfNegative val="0"/>
          <c:dLbls>
            <c:dLbl>
              <c:idx val="0"/>
              <c:layout>
                <c:manualLayout>
                  <c:x val="3.7453183520599273E-3"/>
                  <c:y val="-0.2128764278296988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F4-416A-8B4A-134B2100EFDE}"/>
                </c:ext>
              </c:extLst>
            </c:dLbl>
            <c:dLbl>
              <c:idx val="1"/>
              <c:layout>
                <c:manualLayout>
                  <c:x val="0"/>
                  <c:y val="-0.2180685358255452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F4-416A-8B4A-134B2100EFDE}"/>
                </c:ext>
              </c:extLst>
            </c:dLbl>
            <c:dLbl>
              <c:idx val="2"/>
              <c:layout>
                <c:manualLayout>
                  <c:x val="3.7453183520598583E-3"/>
                  <c:y val="-0.1557632398753896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F4-416A-8B4A-134B2100EFDE}"/>
                </c:ext>
              </c:extLst>
            </c:dLbl>
            <c:dLbl>
              <c:idx val="3"/>
              <c:layout>
                <c:manualLayout>
                  <c:x val="3.7453183520599273E-3"/>
                  <c:y val="-0.150571131879543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F4-416A-8B4A-134B2100EFDE}"/>
                </c:ext>
              </c:extLst>
            </c:dLbl>
            <c:dLbl>
              <c:idx val="4"/>
              <c:layout>
                <c:manualLayout>
                  <c:x val="-1.373267531651598E-16"/>
                  <c:y val="-9.345794392523382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1F4-416A-8B4A-134B2100EFDE}"/>
                </c:ext>
              </c:extLst>
            </c:dLbl>
            <c:spPr>
              <a:noFill/>
              <a:ln>
                <a:noFill/>
              </a:ln>
              <a:effectLst/>
            </c:spPr>
            <c:txPr>
              <a:bodyPr wrap="square" lIns="38100" tIns="19050" rIns="38100" bIns="19050" anchor="ctr">
                <a:spAutoFit/>
              </a:bodyPr>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Sheet1!$A$2:$A$6</c:f>
              <c:numCache>
                <c:formatCode>General</c:formatCode>
                <c:ptCount val="5"/>
                <c:pt idx="0">
                  <c:v>2023</c:v>
                </c:pt>
                <c:pt idx="1">
                  <c:v>2022</c:v>
                </c:pt>
                <c:pt idx="2">
                  <c:v>2021</c:v>
                </c:pt>
                <c:pt idx="3">
                  <c:v>2020</c:v>
                </c:pt>
                <c:pt idx="4">
                  <c:v>2019</c:v>
                </c:pt>
              </c:numCache>
            </c:numRef>
          </c:cat>
          <c:val>
            <c:numRef>
              <c:f>Sheet1!$C$2:$C$6</c:f>
              <c:numCache>
                <c:formatCode>General</c:formatCode>
                <c:ptCount val="5"/>
                <c:pt idx="0">
                  <c:v>3.0000000000000002E-2</c:v>
                </c:pt>
                <c:pt idx="1">
                  <c:v>3.0000000000000002E-2</c:v>
                </c:pt>
                <c:pt idx="2">
                  <c:v>2.0000000000000007E-2</c:v>
                </c:pt>
                <c:pt idx="3">
                  <c:v>2.0000000000000007E-2</c:v>
                </c:pt>
                <c:pt idx="4">
                  <c:v>1.0000000000000004E-2</c:v>
                </c:pt>
              </c:numCache>
            </c:numRef>
          </c:val>
          <c:extLst>
            <c:ext xmlns:c16="http://schemas.microsoft.com/office/drawing/2014/chart" uri="{C3380CC4-5D6E-409C-BE32-E72D297353CC}">
              <c16:uniqueId val="{00000005-41F4-416A-8B4A-134B2100EFDE}"/>
            </c:ext>
          </c:extLst>
        </c:ser>
        <c:dLbls>
          <c:showLegendKey val="0"/>
          <c:showVal val="1"/>
          <c:showCatName val="0"/>
          <c:showSerName val="0"/>
          <c:showPercent val="0"/>
          <c:showBubbleSize val="0"/>
        </c:dLbls>
        <c:gapWidth val="150"/>
        <c:overlap val="100"/>
        <c:axId val="219539328"/>
        <c:axId val="225231232"/>
      </c:barChart>
      <c:catAx>
        <c:axId val="2195393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25231232"/>
        <c:crosses val="autoZero"/>
        <c:auto val="1"/>
        <c:lblAlgn val="ctr"/>
        <c:lblOffset val="100"/>
        <c:noMultiLvlLbl val="0"/>
      </c:catAx>
      <c:valAx>
        <c:axId val="225231232"/>
        <c:scaling>
          <c:orientation val="minMax"/>
          <c:max val="5.0000000000000024E-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9539328"/>
        <c:crosses val="autoZero"/>
        <c:crossBetween val="between"/>
        <c:majorUnit val="1.0000000000000005E-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 Return on capital employed</a:t>
            </a:r>
            <a:endParaRPr lang="en-US" b="1"/>
          </a:p>
        </c:rich>
      </c:tx>
      <c:overlay val="0"/>
      <c:spPr>
        <a:noFill/>
        <a:ln>
          <a:noFill/>
        </a:ln>
        <a:effectLst/>
      </c:spPr>
    </c:title>
    <c:autoTitleDeleted val="0"/>
    <c:plotArea>
      <c:layout/>
      <c:barChart>
        <c:barDir val="col"/>
        <c:grouping val="stacked"/>
        <c:varyColors val="0"/>
        <c:ser>
          <c:idx val="0"/>
          <c:order val="0"/>
          <c:tx>
            <c:strRef>
              <c:f>Sheet1!$C$1</c:f>
              <c:strCache>
                <c:ptCount val="1"/>
                <c:pt idx="0">
                  <c:v>Column1</c:v>
                </c:pt>
              </c:strCache>
            </c:strRef>
          </c:tx>
          <c:spPr>
            <a:solidFill>
              <a:schemeClr val="accent1"/>
            </a:solidFill>
            <a:ln>
              <a:noFill/>
            </a:ln>
            <a:effectLst/>
          </c:spPr>
          <c:invertIfNegative val="0"/>
          <c:dLbls>
            <c:dLbl>
              <c:idx val="0"/>
              <c:layout>
                <c:manualLayout>
                  <c:x val="-3.1500208844585612E-17"/>
                  <c:y val="-0.1230769230769231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057-41CA-9164-40DABCB4C1EC}"/>
                </c:ext>
              </c:extLst>
            </c:dLbl>
            <c:dLbl>
              <c:idx val="1"/>
              <c:layout>
                <c:manualLayout>
                  <c:x val="-6.3000417689171223E-17"/>
                  <c:y val="-0.12307692307692314"/>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057-41CA-9164-40DABCB4C1EC}"/>
                </c:ext>
              </c:extLst>
            </c:dLbl>
            <c:dLbl>
              <c:idx val="2"/>
              <c:layout>
                <c:manualLayout>
                  <c:x val="3.436426116838425E-3"/>
                  <c:y val="-9.230769230769236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057-41CA-9164-40DABCB4C1EC}"/>
                </c:ext>
              </c:extLst>
            </c:dLbl>
            <c:dLbl>
              <c:idx val="3"/>
              <c:layout>
                <c:manualLayout>
                  <c:x val="0"/>
                  <c:y val="-7.692307692307701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057-41CA-9164-40DABCB4C1EC}"/>
                </c:ext>
              </c:extLst>
            </c:dLbl>
            <c:dLbl>
              <c:idx val="4"/>
              <c:layout>
                <c:manualLayout>
                  <c:x val="0"/>
                  <c:y val="-5.641025641025641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057-41CA-9164-40DABCB4C1EC}"/>
                </c:ext>
              </c:extLst>
            </c:dLbl>
            <c:spPr>
              <a:noFill/>
              <a:ln>
                <a:noFill/>
              </a:ln>
              <a:effectLst/>
            </c:spPr>
            <c:txPr>
              <a:bodyPr wrap="square" lIns="38100" tIns="19050" rIns="38100" bIns="19050" anchor="ctr">
                <a:spAutoFit/>
              </a:bodyPr>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Sheet1!$A$2:$A$6</c:f>
              <c:numCache>
                <c:formatCode>General</c:formatCode>
                <c:ptCount val="5"/>
                <c:pt idx="0">
                  <c:v>2023</c:v>
                </c:pt>
                <c:pt idx="1">
                  <c:v>2022</c:v>
                </c:pt>
                <c:pt idx="2">
                  <c:v>2021</c:v>
                </c:pt>
                <c:pt idx="3">
                  <c:v>2020</c:v>
                </c:pt>
                <c:pt idx="4">
                  <c:v>2019</c:v>
                </c:pt>
              </c:numCache>
            </c:numRef>
          </c:cat>
          <c:val>
            <c:numRef>
              <c:f>Sheet1!$C$2:$C$6</c:f>
              <c:numCache>
                <c:formatCode>General</c:formatCode>
                <c:ptCount val="5"/>
                <c:pt idx="0">
                  <c:v>0.16</c:v>
                </c:pt>
                <c:pt idx="1">
                  <c:v>0.14000000000000001</c:v>
                </c:pt>
                <c:pt idx="2">
                  <c:v>9.0000000000000024E-2</c:v>
                </c:pt>
                <c:pt idx="3">
                  <c:v>0.11</c:v>
                </c:pt>
                <c:pt idx="4">
                  <c:v>2.0000000000000007E-2</c:v>
                </c:pt>
              </c:numCache>
            </c:numRef>
          </c:val>
          <c:extLst>
            <c:ext xmlns:c16="http://schemas.microsoft.com/office/drawing/2014/chart" uri="{C3380CC4-5D6E-409C-BE32-E72D297353CC}">
              <c16:uniqueId val="{00000005-6057-41CA-9164-40DABCB4C1EC}"/>
            </c:ext>
          </c:extLst>
        </c:ser>
        <c:dLbls>
          <c:showLegendKey val="0"/>
          <c:showVal val="1"/>
          <c:showCatName val="0"/>
          <c:showSerName val="0"/>
          <c:showPercent val="0"/>
          <c:showBubbleSize val="0"/>
        </c:dLbls>
        <c:gapWidth val="150"/>
        <c:overlap val="100"/>
        <c:axId val="225019392"/>
        <c:axId val="225021312"/>
      </c:barChart>
      <c:catAx>
        <c:axId val="22501939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25021312"/>
        <c:crosses val="autoZero"/>
        <c:auto val="1"/>
        <c:lblAlgn val="ctr"/>
        <c:lblOffset val="100"/>
        <c:noMultiLvlLbl val="0"/>
      </c:catAx>
      <c:valAx>
        <c:axId val="225021312"/>
        <c:scaling>
          <c:orientation val="minMax"/>
          <c:max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25019392"/>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 Asset Turnover  Ratio</a:t>
            </a:r>
            <a:endParaRPr lang="en-US" b="1"/>
          </a:p>
        </c:rich>
      </c:tx>
      <c:overlay val="0"/>
      <c:spPr>
        <a:noFill/>
        <a:ln>
          <a:noFill/>
        </a:ln>
        <a:effectLst/>
      </c:spPr>
    </c:title>
    <c:autoTitleDeleted val="0"/>
    <c:plotArea>
      <c:layout/>
      <c:barChart>
        <c:barDir val="col"/>
        <c:grouping val="stacked"/>
        <c:varyColors val="0"/>
        <c:ser>
          <c:idx val="0"/>
          <c:order val="0"/>
          <c:tx>
            <c:strRef>
              <c:f>Sheet1!$C$1</c:f>
              <c:strCache>
                <c:ptCount val="1"/>
                <c:pt idx="0">
                  <c:v>Column1</c:v>
                </c:pt>
              </c:strCache>
            </c:strRef>
          </c:tx>
          <c:spPr>
            <a:solidFill>
              <a:schemeClr val="accent1"/>
            </a:solidFill>
            <a:ln>
              <a:noFill/>
            </a:ln>
            <a:effectLst/>
          </c:spPr>
          <c:invertIfNegative val="0"/>
          <c:dLbls>
            <c:dLbl>
              <c:idx val="0"/>
              <c:layout>
                <c:manualLayout>
                  <c:x val="0"/>
                  <c:y val="-0.111809923130677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A88-46F5-9E74-D1849023A604}"/>
                </c:ext>
              </c:extLst>
            </c:dLbl>
            <c:dLbl>
              <c:idx val="1"/>
              <c:layout>
                <c:manualLayout>
                  <c:x val="3.1269543464664856E-3"/>
                  <c:y val="-0.111809923130677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88-46F5-9E74-D1849023A604}"/>
                </c:ext>
              </c:extLst>
            </c:dLbl>
            <c:dLbl>
              <c:idx val="2"/>
              <c:layout>
                <c:manualLayout>
                  <c:x val="3.1269543464665429E-3"/>
                  <c:y val="-0.1024924295364547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AA88-46F5-9E74-D1849023A604}"/>
                </c:ext>
              </c:extLst>
            </c:dLbl>
            <c:dLbl>
              <c:idx val="3"/>
              <c:layout>
                <c:manualLayout>
                  <c:x val="0"/>
                  <c:y val="-0.1164686699277895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88-46F5-9E74-D1849023A604}"/>
                </c:ext>
              </c:extLst>
            </c:dLbl>
            <c:dLbl>
              <c:idx val="4"/>
              <c:layout>
                <c:manualLayout>
                  <c:x val="1.1465366821481436E-16"/>
                  <c:y val="-0.1164686699277895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AA88-46F5-9E74-D1849023A604}"/>
                </c:ext>
              </c:extLst>
            </c:dLbl>
            <c:spPr>
              <a:noFill/>
              <a:ln>
                <a:noFill/>
              </a:ln>
              <a:effectLst/>
            </c:spPr>
            <c:txPr>
              <a:bodyPr wrap="square" lIns="38100" tIns="19050" rIns="38100" bIns="19050" anchor="ctr">
                <a:spAutoFit/>
              </a:bodyPr>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Sheet1!$A$2:$A$6</c:f>
              <c:numCache>
                <c:formatCode>General</c:formatCode>
                <c:ptCount val="5"/>
                <c:pt idx="0">
                  <c:v>2023</c:v>
                </c:pt>
                <c:pt idx="1">
                  <c:v>2022</c:v>
                </c:pt>
                <c:pt idx="2">
                  <c:v>2021</c:v>
                </c:pt>
                <c:pt idx="3">
                  <c:v>2020</c:v>
                </c:pt>
                <c:pt idx="4">
                  <c:v>2019</c:v>
                </c:pt>
              </c:numCache>
            </c:numRef>
          </c:cat>
          <c:val>
            <c:numRef>
              <c:f>Sheet1!$C$2:$C$6</c:f>
              <c:numCache>
                <c:formatCode>General</c:formatCode>
                <c:ptCount val="5"/>
                <c:pt idx="0">
                  <c:v>0.13</c:v>
                </c:pt>
                <c:pt idx="1">
                  <c:v>0.12000000000000002</c:v>
                </c:pt>
                <c:pt idx="2">
                  <c:v>0.11</c:v>
                </c:pt>
                <c:pt idx="3">
                  <c:v>0.13</c:v>
                </c:pt>
                <c:pt idx="4">
                  <c:v>0.13</c:v>
                </c:pt>
              </c:numCache>
            </c:numRef>
          </c:val>
          <c:extLst>
            <c:ext xmlns:c16="http://schemas.microsoft.com/office/drawing/2014/chart" uri="{C3380CC4-5D6E-409C-BE32-E72D297353CC}">
              <c16:uniqueId val="{00000005-AA88-46F5-9E74-D1849023A604}"/>
            </c:ext>
          </c:extLst>
        </c:ser>
        <c:dLbls>
          <c:showLegendKey val="0"/>
          <c:showVal val="1"/>
          <c:showCatName val="0"/>
          <c:showSerName val="0"/>
          <c:showPercent val="0"/>
          <c:showBubbleSize val="0"/>
        </c:dLbls>
        <c:gapWidth val="150"/>
        <c:overlap val="100"/>
        <c:axId val="225189248"/>
        <c:axId val="226747904"/>
      </c:barChart>
      <c:catAx>
        <c:axId val="22518924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26747904"/>
        <c:crosses val="autoZero"/>
        <c:auto val="1"/>
        <c:lblAlgn val="ctr"/>
        <c:lblOffset val="100"/>
        <c:noMultiLvlLbl val="0"/>
      </c:catAx>
      <c:valAx>
        <c:axId val="226747904"/>
        <c:scaling>
          <c:orientation val="minMax"/>
          <c:max val="0.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IN" b="1"/>
                  <a:t>percentage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25189248"/>
        <c:crosses val="autoZero"/>
        <c:crossBetween val="between"/>
        <c:majorUnit val="0.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25400"/>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3432</Words>
  <Characters>19568</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yasasri mannem</dc:creator>
  <cp:lastModifiedBy>yasasri mannem</cp:lastModifiedBy>
  <cp:revision>2</cp:revision>
  <cp:lastPrinted>2024-07-02T15:58:00Z</cp:lastPrinted>
  <dcterms:created xsi:type="dcterms:W3CDTF">2024-07-02T16:05:00Z</dcterms:created>
  <dcterms:modified xsi:type="dcterms:W3CDTF">2024-07-02T16:05:00Z</dcterms:modified>
</cp:coreProperties>
</file>