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9C5F5" w14:textId="77777777" w:rsidR="00593380" w:rsidRPr="00593380" w:rsidRDefault="00593380" w:rsidP="00593380">
      <w:pPr>
        <w:pStyle w:val="NormalWeb"/>
        <w:spacing w:before="0" w:beforeAutospacing="0" w:after="0" w:afterAutospacing="0" w:line="360" w:lineRule="auto"/>
        <w:jc w:val="center"/>
        <w:rPr>
          <w:b/>
          <w:bCs/>
          <w:sz w:val="22"/>
          <w:szCs w:val="22"/>
        </w:rPr>
      </w:pPr>
      <w:r w:rsidRPr="00593380">
        <w:rPr>
          <w:b/>
          <w:bCs/>
          <w:sz w:val="22"/>
          <w:szCs w:val="22"/>
        </w:rPr>
        <w:t>REVENUE GENERATION STRATEGIES EMPLOYED BY TERTIARY INSTITUTIONS TO COPE WITH FINANCIAL CHALLENGES</w:t>
      </w:r>
    </w:p>
    <w:p w14:paraId="3BFC0479" w14:textId="77777777" w:rsidR="00593380" w:rsidRPr="00593380" w:rsidRDefault="00593380" w:rsidP="00593380">
      <w:pPr>
        <w:pStyle w:val="NormalWeb"/>
        <w:spacing w:before="0" w:beforeAutospacing="0" w:after="0" w:afterAutospacing="0" w:line="360" w:lineRule="auto"/>
        <w:jc w:val="center"/>
        <w:rPr>
          <w:b/>
          <w:bCs/>
          <w:sz w:val="22"/>
          <w:szCs w:val="22"/>
        </w:rPr>
      </w:pPr>
    </w:p>
    <w:p w14:paraId="4E445FD6" w14:textId="77777777" w:rsidR="00593380" w:rsidRPr="00593380" w:rsidRDefault="00593380" w:rsidP="00593380">
      <w:pPr>
        <w:pStyle w:val="NormalWeb"/>
        <w:spacing w:before="0" w:beforeAutospacing="0" w:after="0" w:afterAutospacing="0" w:line="360" w:lineRule="auto"/>
        <w:jc w:val="center"/>
        <w:rPr>
          <w:b/>
          <w:bCs/>
          <w:sz w:val="22"/>
          <w:szCs w:val="22"/>
        </w:rPr>
      </w:pPr>
    </w:p>
    <w:p w14:paraId="301D7254" w14:textId="4CA1E588" w:rsidR="00593380" w:rsidRPr="00593380" w:rsidRDefault="00D03BEA" w:rsidP="00593380">
      <w:pPr>
        <w:pStyle w:val="NormalWeb"/>
        <w:spacing w:before="0" w:beforeAutospacing="0" w:after="0" w:afterAutospacing="0" w:line="360" w:lineRule="auto"/>
        <w:jc w:val="center"/>
        <w:rPr>
          <w:sz w:val="22"/>
          <w:szCs w:val="22"/>
        </w:rPr>
      </w:pPr>
      <w:r w:rsidRPr="00D03BEA">
        <w:rPr>
          <w:sz w:val="22"/>
          <w:szCs w:val="22"/>
          <w:vertAlign w:val="superscript"/>
        </w:rPr>
        <w:t>1*</w:t>
      </w:r>
      <w:r w:rsidR="00593380" w:rsidRPr="00593380">
        <w:rPr>
          <w:sz w:val="22"/>
          <w:szCs w:val="22"/>
        </w:rPr>
        <w:t xml:space="preserve">Danladi Musa Dahiru </w:t>
      </w:r>
      <w:proofErr w:type="spellStart"/>
      <w:r w:rsidR="00593380" w:rsidRPr="00593380">
        <w:rPr>
          <w:sz w:val="22"/>
          <w:szCs w:val="22"/>
        </w:rPr>
        <w:t>Ningi</w:t>
      </w:r>
      <w:proofErr w:type="spellEnd"/>
      <w:r w:rsidR="00593380" w:rsidRPr="00593380">
        <w:rPr>
          <w:sz w:val="22"/>
          <w:szCs w:val="22"/>
        </w:rPr>
        <w:t xml:space="preserve">; </w:t>
      </w:r>
      <w:r w:rsidRPr="00D03BEA">
        <w:rPr>
          <w:sz w:val="22"/>
          <w:szCs w:val="22"/>
          <w:vertAlign w:val="superscript"/>
        </w:rPr>
        <w:t>2</w:t>
      </w:r>
      <w:r w:rsidR="00593380" w:rsidRPr="00593380">
        <w:rPr>
          <w:sz w:val="22"/>
          <w:szCs w:val="22"/>
        </w:rPr>
        <w:t xml:space="preserve">D. M. Nazif; </w:t>
      </w:r>
      <w:r w:rsidRPr="00D03BEA">
        <w:rPr>
          <w:sz w:val="22"/>
          <w:szCs w:val="22"/>
          <w:vertAlign w:val="superscript"/>
        </w:rPr>
        <w:t>3</w:t>
      </w:r>
      <w:r w:rsidR="00593380" w:rsidRPr="00593380">
        <w:rPr>
          <w:sz w:val="22"/>
          <w:szCs w:val="22"/>
        </w:rPr>
        <w:t xml:space="preserve">Mansur Aliyu </w:t>
      </w:r>
      <w:proofErr w:type="spellStart"/>
      <w:r w:rsidR="00593380" w:rsidRPr="00593380">
        <w:rPr>
          <w:sz w:val="22"/>
          <w:szCs w:val="22"/>
        </w:rPr>
        <w:t>Gamawa</w:t>
      </w:r>
      <w:proofErr w:type="spellEnd"/>
    </w:p>
    <w:p w14:paraId="0607CDF7" w14:textId="36102469" w:rsidR="008B6E6A" w:rsidRPr="00593380" w:rsidRDefault="00D03BEA" w:rsidP="00593380">
      <w:pPr>
        <w:pStyle w:val="NormalWeb"/>
        <w:spacing w:line="360" w:lineRule="auto"/>
        <w:jc w:val="center"/>
        <w:rPr>
          <w:b/>
          <w:bCs/>
          <w:sz w:val="22"/>
          <w:szCs w:val="22"/>
        </w:rPr>
      </w:pPr>
      <w:r w:rsidRPr="00D03BEA">
        <w:rPr>
          <w:sz w:val="22"/>
          <w:szCs w:val="22"/>
          <w:vertAlign w:val="superscript"/>
        </w:rPr>
        <w:t>1*</w:t>
      </w:r>
      <w:r w:rsidR="00593380" w:rsidRPr="00593380">
        <w:rPr>
          <w:sz w:val="22"/>
          <w:szCs w:val="22"/>
        </w:rPr>
        <w:t xml:space="preserve">Department of Mechanical Engineering Technology, Federal Polytechnic Bauchi, Bauchi State, Nigeria; </w:t>
      </w:r>
      <w:r w:rsidRPr="00D03BEA">
        <w:rPr>
          <w:sz w:val="22"/>
          <w:szCs w:val="22"/>
          <w:vertAlign w:val="superscript"/>
        </w:rPr>
        <w:t>2</w:t>
      </w:r>
      <w:r w:rsidR="00593380" w:rsidRPr="00593380">
        <w:rPr>
          <w:sz w:val="22"/>
          <w:szCs w:val="22"/>
        </w:rPr>
        <w:t xml:space="preserve">Department of Electrical/Electronic Engineering Technology, Federal Polytechnic Bauchi, Bauchi State, Nigeria; </w:t>
      </w:r>
      <w:r w:rsidRPr="00D03BEA">
        <w:rPr>
          <w:sz w:val="22"/>
          <w:szCs w:val="22"/>
          <w:vertAlign w:val="superscript"/>
        </w:rPr>
        <w:t>3</w:t>
      </w:r>
      <w:r w:rsidR="00593380" w:rsidRPr="00593380">
        <w:rPr>
          <w:sz w:val="22"/>
          <w:szCs w:val="22"/>
        </w:rPr>
        <w:t>Department of Computer Engineering Technology, Federal Polytechnic Bauchi, Bauchi State, Nigeria.</w:t>
      </w:r>
    </w:p>
    <w:p w14:paraId="5A8326CB" w14:textId="7C82B9B1" w:rsidR="00F837F0" w:rsidRPr="00593380" w:rsidRDefault="00F837F0" w:rsidP="00593380">
      <w:pPr>
        <w:spacing w:after="0" w:line="360" w:lineRule="auto"/>
        <w:rPr>
          <w:rFonts w:ascii="Times New Roman" w:hAnsi="Times New Roman" w:cs="Times New Roman"/>
          <w:color w:val="000000" w:themeColor="text1"/>
        </w:rPr>
      </w:pPr>
      <w:bookmarkStart w:id="0" w:name="_Toc169270787"/>
      <w:r w:rsidRPr="00593380">
        <w:rPr>
          <w:rFonts w:ascii="Times New Roman" w:hAnsi="Times New Roman" w:cs="Times New Roman"/>
          <w:b/>
          <w:bCs/>
        </w:rPr>
        <w:t>ABSTRACT</w:t>
      </w:r>
      <w:bookmarkEnd w:id="0"/>
    </w:p>
    <w:p w14:paraId="53630BB7" w14:textId="5B931599" w:rsidR="009D46AF" w:rsidRPr="00593380" w:rsidRDefault="00F837F0" w:rsidP="00593380">
      <w:pPr>
        <w:spacing w:after="0" w:line="360" w:lineRule="auto"/>
        <w:jc w:val="both"/>
        <w:rPr>
          <w:rFonts w:ascii="Times New Roman" w:hAnsi="Times New Roman" w:cs="Times New Roman"/>
        </w:rPr>
      </w:pPr>
      <w:r w:rsidRPr="00593380">
        <w:rPr>
          <w:rFonts w:ascii="Times New Roman" w:hAnsi="Times New Roman" w:cs="Times New Roman"/>
        </w:rPr>
        <w:t xml:space="preserve">This study examines the revenue generation strategies employed by tertiary institutions to address financial challenges. The research highlights the increasing financial pressures faced by </w:t>
      </w:r>
      <w:r w:rsidR="00EA3B48" w:rsidRPr="00593380">
        <w:rPr>
          <w:rFonts w:ascii="Times New Roman" w:hAnsi="Times New Roman" w:cs="Times New Roman"/>
        </w:rPr>
        <w:t>tertiary</w:t>
      </w:r>
      <w:r w:rsidRPr="00593380">
        <w:rPr>
          <w:rFonts w:ascii="Times New Roman" w:hAnsi="Times New Roman" w:cs="Times New Roman"/>
        </w:rPr>
        <w:t xml:space="preserve"> institutions due to reduced government funding, escalating operational costs, heightened competition for student enrollment</w:t>
      </w:r>
      <w:r w:rsidR="009D46AF" w:rsidRPr="00593380">
        <w:rPr>
          <w:rFonts w:ascii="Times New Roman" w:hAnsi="Times New Roman" w:cs="Times New Roman"/>
        </w:rPr>
        <w:t>,</w:t>
      </w:r>
      <w:r w:rsidR="009D46AF" w:rsidRPr="00593380">
        <w:rPr>
          <w:rFonts w:ascii="Times New Roman" w:eastAsia="Times New Roman" w:hAnsi="Times New Roman"/>
          <w:color w:val="000000"/>
          <w:lang w:val="en-GB" w:eastAsia="en-GB"/>
        </w:rPr>
        <w:t xml:space="preserve"> dynamic political atmosphere, </w:t>
      </w:r>
      <w:r w:rsidR="002F6A07" w:rsidRPr="00593380">
        <w:rPr>
          <w:rFonts w:ascii="Times New Roman" w:eastAsia="Times New Roman" w:hAnsi="Times New Roman"/>
          <w:color w:val="000000"/>
          <w:lang w:val="en-GB" w:eastAsia="en-GB"/>
        </w:rPr>
        <w:t xml:space="preserve">the </w:t>
      </w:r>
      <w:r w:rsidR="009D46AF" w:rsidRPr="00593380">
        <w:rPr>
          <w:rFonts w:ascii="Times New Roman" w:eastAsia="Times New Roman" w:hAnsi="Times New Roman"/>
          <w:color w:val="000000"/>
          <w:lang w:val="en-GB" w:eastAsia="en-GB"/>
        </w:rPr>
        <w:t xml:space="preserve">economic situation in the country, government policies, and so on. It is pertinent </w:t>
      </w:r>
      <w:r w:rsidR="00EA3B48" w:rsidRPr="00593380">
        <w:rPr>
          <w:rFonts w:ascii="Times New Roman" w:eastAsia="Times New Roman" w:hAnsi="Times New Roman"/>
          <w:color w:val="000000"/>
          <w:lang w:val="en-GB" w:eastAsia="en-GB"/>
        </w:rPr>
        <w:t xml:space="preserve">to conduct </w:t>
      </w:r>
      <w:r w:rsidR="009D46AF" w:rsidRPr="00593380">
        <w:rPr>
          <w:rFonts w:ascii="Times New Roman" w:eastAsia="Times New Roman" w:hAnsi="Times New Roman"/>
          <w:color w:val="000000"/>
          <w:lang w:val="en-GB" w:eastAsia="en-GB"/>
        </w:rPr>
        <w:t xml:space="preserve">such research at this </w:t>
      </w:r>
      <w:r w:rsidR="00EA3B48" w:rsidRPr="00593380">
        <w:rPr>
          <w:rFonts w:ascii="Times New Roman" w:eastAsia="Times New Roman" w:hAnsi="Times New Roman"/>
          <w:color w:val="000000"/>
          <w:lang w:val="en-GB" w:eastAsia="en-GB"/>
        </w:rPr>
        <w:t xml:space="preserve">moment, </w:t>
      </w:r>
      <w:r w:rsidR="009D46AF" w:rsidRPr="00593380">
        <w:rPr>
          <w:rFonts w:ascii="Times New Roman" w:eastAsia="Times New Roman" w:hAnsi="Times New Roman"/>
          <w:color w:val="000000"/>
          <w:lang w:val="en-GB" w:eastAsia="en-GB"/>
        </w:rPr>
        <w:t xml:space="preserve">due to the critical situations tertiary institutions are facing as a result of insufficient funds. </w:t>
      </w:r>
      <w:r w:rsidR="009D46AF" w:rsidRPr="00593380">
        <w:rPr>
          <w:rFonts w:ascii="Times New Roman" w:hAnsi="Times New Roman" w:cs="Times New Roman"/>
        </w:rPr>
        <w:t xml:space="preserve">This work employs a mixed-methods approach, combining quantitative data analysis of financial reports from selected institutions with qualitative insights from interviews with key administrative personnel. </w:t>
      </w:r>
      <w:r w:rsidRPr="00593380">
        <w:rPr>
          <w:rFonts w:ascii="Times New Roman" w:eastAsia="Times New Roman" w:hAnsi="Times New Roman"/>
          <w:color w:val="000000"/>
          <w:lang w:val="en-GB" w:eastAsia="en-GB"/>
        </w:rPr>
        <w:t xml:space="preserve">The case study areas are Federal Polytechnic Bauchi (FPTB) and Abubakar Tatari Ali Polytechnic (ATAP) Bauchi. The targeted population is the staff and students of these institutions, which is further broken into 1,000 respondents as the sample size for the study. Data collection was carried out using a self-study questionnaire which was randomly distributed across these tertiary institutions. </w:t>
      </w:r>
      <w:r w:rsidR="009D46AF" w:rsidRPr="00593380">
        <w:rPr>
          <w:rFonts w:ascii="Times New Roman" w:hAnsi="Times New Roman" w:cs="Times New Roman"/>
        </w:rPr>
        <w:t xml:space="preserve">The findings suggest that a multifaceted approach to revenue generation, tailored to the unique strengths and contexts of individual institutions, is critical for sustainable financial health such as commercialization of research and development, expansion of online and continuing education programs, and enhancement of alumni and philanthropic engagement. Additionally, partnerships with industry and the private sector, as well as the optimization of asset utilization such as campus facilities and intellectual property, are explored. The study concludes by providing recommendations for policymakers and educational </w:t>
      </w:r>
      <w:r w:rsidR="00EA3B48" w:rsidRPr="00593380">
        <w:rPr>
          <w:rFonts w:ascii="Times New Roman" w:hAnsi="Times New Roman" w:cs="Times New Roman"/>
        </w:rPr>
        <w:t>a</w:t>
      </w:r>
      <w:r w:rsidR="009D46AF" w:rsidRPr="00593380">
        <w:rPr>
          <w:rFonts w:ascii="Times New Roman" w:hAnsi="Times New Roman" w:cs="Times New Roman"/>
        </w:rPr>
        <w:t>d</w:t>
      </w:r>
      <w:r w:rsidR="00EA3B48" w:rsidRPr="00593380">
        <w:rPr>
          <w:rFonts w:ascii="Times New Roman" w:hAnsi="Times New Roman" w:cs="Times New Roman"/>
        </w:rPr>
        <w:t>ministrators</w:t>
      </w:r>
      <w:r w:rsidR="009D46AF" w:rsidRPr="00593380">
        <w:rPr>
          <w:rFonts w:ascii="Times New Roman" w:hAnsi="Times New Roman" w:cs="Times New Roman"/>
        </w:rPr>
        <w:t xml:space="preserve"> on best practices and innovative strategies to ensure the long-term viability of tertiary education institutions in a rapidly evolving financial landscape.</w:t>
      </w:r>
    </w:p>
    <w:p w14:paraId="16D1A729" w14:textId="77777777" w:rsidR="009D46AF" w:rsidRPr="00593380" w:rsidRDefault="009D46AF" w:rsidP="00593380">
      <w:pPr>
        <w:spacing w:after="0" w:line="360" w:lineRule="auto"/>
        <w:jc w:val="both"/>
        <w:rPr>
          <w:rFonts w:ascii="Times New Roman" w:eastAsia="Times New Roman" w:hAnsi="Times New Roman"/>
          <w:b/>
          <w:bCs/>
          <w:color w:val="000000"/>
          <w:lang w:val="en-GB" w:eastAsia="en-GB"/>
        </w:rPr>
      </w:pPr>
    </w:p>
    <w:p w14:paraId="027D0210" w14:textId="5A44A743" w:rsidR="00F837F0" w:rsidRPr="00593380" w:rsidRDefault="00F837F0" w:rsidP="00593380">
      <w:pPr>
        <w:spacing w:after="0" w:line="360" w:lineRule="auto"/>
        <w:jc w:val="both"/>
        <w:rPr>
          <w:rFonts w:ascii="Times New Roman" w:hAnsi="Times New Roman" w:cs="Times New Roman"/>
        </w:rPr>
        <w:sectPr w:rsidR="00F837F0" w:rsidRPr="00593380" w:rsidSect="00F765EE">
          <w:footerReference w:type="default" r:id="rId8"/>
          <w:pgSz w:w="11906" w:h="16838" w:code="9"/>
          <w:pgMar w:top="1440" w:right="1440" w:bottom="1440" w:left="1440" w:header="720" w:footer="720" w:gutter="0"/>
          <w:pgNumType w:start="1"/>
          <w:cols w:space="720"/>
          <w:docGrid w:linePitch="360"/>
        </w:sectPr>
      </w:pPr>
      <w:r w:rsidRPr="00593380">
        <w:rPr>
          <w:rFonts w:ascii="Times New Roman" w:eastAsia="Times New Roman" w:hAnsi="Times New Roman"/>
          <w:b/>
          <w:bCs/>
          <w:color w:val="000000"/>
          <w:lang w:val="en-GB" w:eastAsia="en-GB"/>
        </w:rPr>
        <w:t>Keywords</w:t>
      </w:r>
      <w:r w:rsidRPr="00593380">
        <w:rPr>
          <w:rFonts w:ascii="Times New Roman" w:eastAsia="Times New Roman" w:hAnsi="Times New Roman"/>
          <w:color w:val="000000"/>
          <w:lang w:val="en-GB" w:eastAsia="en-GB"/>
        </w:rPr>
        <w:t>: Strategy, Tertiary institutions, Revenue Generation, FPTB, ATAP Bauchi.</w:t>
      </w:r>
    </w:p>
    <w:p w14:paraId="4830055E" w14:textId="08B7478E" w:rsidR="00087AD4" w:rsidRPr="00593380" w:rsidRDefault="00593380" w:rsidP="00593380">
      <w:pPr>
        <w:pStyle w:val="Heading1"/>
        <w:spacing w:before="0" w:line="360" w:lineRule="auto"/>
        <w:rPr>
          <w:rFonts w:ascii="Times New Roman" w:hAnsi="Times New Roman" w:cs="Times New Roman"/>
          <w:b/>
          <w:bCs/>
          <w:color w:val="auto"/>
          <w:sz w:val="22"/>
          <w:szCs w:val="22"/>
        </w:rPr>
      </w:pPr>
      <w:bookmarkStart w:id="1" w:name="_Toc169270788"/>
      <w:r>
        <w:rPr>
          <w:rFonts w:ascii="Times New Roman" w:hAnsi="Times New Roman" w:cs="Times New Roman"/>
          <w:b/>
          <w:bCs/>
          <w:color w:val="auto"/>
          <w:sz w:val="22"/>
          <w:szCs w:val="22"/>
        </w:rPr>
        <w:lastRenderedPageBreak/>
        <w:t xml:space="preserve">1.0 </w:t>
      </w:r>
      <w:r w:rsidR="00911C01" w:rsidRPr="00593380">
        <w:rPr>
          <w:rFonts w:ascii="Times New Roman" w:hAnsi="Times New Roman" w:cs="Times New Roman"/>
          <w:b/>
          <w:bCs/>
          <w:color w:val="auto"/>
          <w:sz w:val="22"/>
          <w:szCs w:val="22"/>
        </w:rPr>
        <w:t>INTRODUCTION</w:t>
      </w:r>
      <w:bookmarkEnd w:id="1"/>
    </w:p>
    <w:p w14:paraId="5019B8BC" w14:textId="447185F7" w:rsidR="00087AD4" w:rsidRPr="00593380" w:rsidRDefault="00087AD4" w:rsidP="00593380">
      <w:pPr>
        <w:spacing w:after="0" w:line="360" w:lineRule="auto"/>
        <w:jc w:val="both"/>
        <w:rPr>
          <w:rFonts w:ascii="Times New Roman" w:hAnsi="Times New Roman" w:cs="Times New Roman"/>
        </w:rPr>
      </w:pPr>
      <w:r w:rsidRPr="00593380">
        <w:rPr>
          <w:rFonts w:ascii="Times New Roman" w:hAnsi="Times New Roman" w:cs="Times New Roman"/>
        </w:rPr>
        <w:t xml:space="preserve">Financial sustainability has become a major issue for tertiary institutions globally. Growth in costs of higher education have been unprecedented, exceeding amounts sustainable by government funds </w:t>
      </w:r>
      <w:r w:rsidRPr="00593380">
        <w:rPr>
          <w:rFonts w:ascii="Times New Roman" w:hAnsi="Times New Roman" w:cs="Times New Roman"/>
        </w:rPr>
        <w:fldChar w:fldCharType="begin" w:fldLock="1"/>
      </w:r>
      <w:r w:rsidRPr="00593380">
        <w:rPr>
          <w:rFonts w:ascii="Times New Roman" w:hAnsi="Times New Roman" w:cs="Times New Roman"/>
        </w:rPr>
        <w:instrText>ADDIN CSL_CITATION {"citationItems":[{"id":"ITEM-1","itemData":{"DOI":"10.1080/13504509.2018.1461707","ISSN":"17452627","abstract":"Planning in sustainable development is believed to be an important element in allowing higher education institutions to set their goals and to commit themselves towards undertaking concrete actions and measures at all levels in order to implement sustainability. Yet, there is a paucity of research that has looked at the extent to which planning can support institutions of higher education to assess their performances and to determine whether the set aims have been met. This research gap needs to be met to allow a better understanding of how planning can help to promote the integration of the three components of sustainable development–economic development, social development and environmental protection in higher education. This paper explores the challenges for planning the sustainable development in higher education, also outlining the potentials lessons learned that could assist in improving Education for Sustainable Development efforts in Higher Education Institutions. Among its main results are the fact that many universities wish to pursue sustainable development, but their efforts are hindered by lack of institutional support and planning and limited emphasis on approaches, such as problem-based learning. The universities that are engaged in the field have to face many problems, varying from limited resources to lack of trained staff. As a result, integrated approaches to sustainability become difficult to implement. Finally, the paper has identified the fact that many opportunities offered mainstream developments, such as the UN Declaration ‘The World we Want’ or the UN Sustainable Development Goals are not being put to full use.","author":[{"dropping-particle":"","family":"Leal Filho","given":"W.","non-dropping-particle":"","parse-names":false,"suffix":""},{"dropping-particle":"","family":"Pallant","given":"E.","non-dropping-particle":"","parse-names":false,"suffix":""},{"dropping-particle":"","family":"Enete","given":"A.","non-dropping-particle":"","parse-names":false,"suffix":""},{"dropping-particle":"","family":"Richter","given":"B.","non-dropping-particle":"","parse-names":false,"suffix":""},{"dropping-particle":"","family":"Brandli","given":"L. L.","non-dropping-particle":"","parse-names":false,"suffix":""}],"container-title":"International Journal of Sustainable Development and World Ecology","id":"ITEM-1","issue":"8","issued":{"date-parts":[["2018"]]},"page":"712-720","publisher":"Taylor &amp; Francis","title":"Planning and implementing sustainability in higher education institutions: an overview of the difficulties and potentials","type":"article-journal","volume":"25"},"uris":["http://www.mendeley.com/documents/?uuid=3fdcf2cb-414d-42f7-8278-88744c3c6b63"]}],"mendeley":{"formattedCitation":"(Leal Filho et al., 2018)","plainTextFormattedCitation":"(Leal Filho et al., 2018)","previouslyFormattedCitation":"(Leal Filho et al., 2018)"},"properties":{"noteIndex":0},"schema":"https://github.com/citation-style-language/schema/raw/master/csl-citation.json"}</w:instrText>
      </w:r>
      <w:r w:rsidRPr="00593380">
        <w:rPr>
          <w:rFonts w:ascii="Times New Roman" w:hAnsi="Times New Roman" w:cs="Times New Roman"/>
        </w:rPr>
        <w:fldChar w:fldCharType="separate"/>
      </w:r>
      <w:r w:rsidRPr="00593380">
        <w:rPr>
          <w:rFonts w:ascii="Times New Roman" w:hAnsi="Times New Roman" w:cs="Times New Roman"/>
          <w:noProof/>
        </w:rPr>
        <w:t>(Leal Filho et al., 2018)</w:t>
      </w:r>
      <w:r w:rsidRPr="00593380">
        <w:rPr>
          <w:rFonts w:ascii="Times New Roman" w:hAnsi="Times New Roman" w:cs="Times New Roman"/>
        </w:rPr>
        <w:fldChar w:fldCharType="end"/>
      </w:r>
      <w:r w:rsidRPr="00593380">
        <w:rPr>
          <w:rFonts w:ascii="Times New Roman" w:hAnsi="Times New Roman" w:cs="Times New Roman"/>
        </w:rPr>
        <w:t xml:space="preserve">. </w:t>
      </w:r>
      <w:r w:rsidRPr="00593380">
        <w:rPr>
          <w:rFonts w:ascii="Times New Roman" w:hAnsi="Times New Roman" w:cs="Times New Roman"/>
        </w:rPr>
        <w:fldChar w:fldCharType="begin" w:fldLock="1"/>
      </w:r>
      <w:r w:rsidRPr="00593380">
        <w:rPr>
          <w:rFonts w:ascii="Times New Roman" w:hAnsi="Times New Roman" w:cs="Times New Roman"/>
        </w:rPr>
        <w:instrText>ADDIN CSL_CITATION {"citationItems":[{"id":"ITEM-1","itemData":{"DOI":"10.11591/ijere.v11i1.22050","ISSN":"2252-8822","abstract":"This study aimed to identify the income-generating activities and explore its management model using the case study method. In-depth interviews and documentation were used to collect data. The sample used purposive sampling from 26 study programs. Government subsidy, which is meant to cater to tuition and operational expenses, has been inadequate. Therefore, activities in the laboratory can be optimized as an income generator. The results of mapping activities in the laboratory and study programs are seminars, conferences, workshops, building rent, ballroom rent, laboratory services, vehicle rent, and scientific consulting services. Income-generating supplemented the budget of the university. The income is beneficial to hire additional project personnel, purchase supplies, materials and equipment, and improve facilities needed for instruction, research, extension, training, and productive activities. The development pattern of income-generating management through partnership and cooperation between the rector, head of the business development agency, deans, and head of a study program also laboratory so that all forms of activities that become financial sources can be monitored and evaluated. Moreover, the preparation of the accountability report must be transparent and accountable.","author":[{"dropping-particle":"","family":"Mahmud","given":"Amir","non-dropping-particle":"","parse-names":false,"suffix":""},{"dropping-particle":"","family":"Nuryatin","given":"Agus","non-dropping-particle":"","parse-names":false,"suffix":""},{"dropping-particle":"","family":"Susilowati","given":"Nurdian","non-dropping-particle":"","parse-names":false,"suffix":""}],"container-title":"International Journal of Evaluation and Research in Education (IJERE)","id":"ITEM-1","issue":"1","issued":{"date-parts":[["2022"]]},"page":"303","title":"Income generating activity in higher education: A case study of a public university in Indonesia","type":"article-journal","volume":"11"},"uris":["http://www.mendeley.com/documents/?uuid=ca13431f-fb24-4098-af10-26fd688460b7"]}],"mendeley":{"formattedCitation":"(Mahmud et al., 2022)","manualFormatting":"Mahmud et al., (2022)","plainTextFormattedCitation":"(Mahmud et al., 2022)","previouslyFormattedCitation":"(Mahmud et al., 2022)"},"properties":{"noteIndex":0},"schema":"https://github.com/citation-style-language/schema/raw/master/csl-citation.json"}</w:instrText>
      </w:r>
      <w:r w:rsidRPr="00593380">
        <w:rPr>
          <w:rFonts w:ascii="Times New Roman" w:hAnsi="Times New Roman" w:cs="Times New Roman"/>
        </w:rPr>
        <w:fldChar w:fldCharType="separate"/>
      </w:r>
      <w:r w:rsidRPr="00593380">
        <w:rPr>
          <w:rFonts w:ascii="Times New Roman" w:hAnsi="Times New Roman" w:cs="Times New Roman"/>
          <w:noProof/>
        </w:rPr>
        <w:t>Mahmud et al., (2022)</w:t>
      </w:r>
      <w:r w:rsidRPr="00593380">
        <w:rPr>
          <w:rFonts w:ascii="Times New Roman" w:hAnsi="Times New Roman" w:cs="Times New Roman"/>
        </w:rPr>
        <w:fldChar w:fldCharType="end"/>
      </w:r>
      <w:r w:rsidRPr="00593380">
        <w:rPr>
          <w:rFonts w:ascii="Times New Roman" w:hAnsi="Times New Roman" w:cs="Times New Roman"/>
        </w:rPr>
        <w:t xml:space="preserve"> concur that costs of education have ‘grown unceasingly’ in the United States and other countries.</w:t>
      </w:r>
    </w:p>
    <w:p w14:paraId="05D0F61E" w14:textId="2B0CE0F4" w:rsidR="00087AD4" w:rsidRPr="00593380" w:rsidRDefault="00087AD4" w:rsidP="00593380">
      <w:pPr>
        <w:spacing w:after="0" w:line="360" w:lineRule="auto"/>
        <w:jc w:val="both"/>
        <w:rPr>
          <w:rFonts w:ascii="Times New Roman" w:hAnsi="Times New Roman" w:cs="Times New Roman"/>
        </w:rPr>
      </w:pPr>
      <w:r w:rsidRPr="00593380">
        <w:rPr>
          <w:rFonts w:ascii="Times New Roman" w:hAnsi="Times New Roman" w:cs="Times New Roman"/>
        </w:rPr>
        <w:t>This situation is further aggravated by the global economic crisis, dampening economic growth and contracting economies</w:t>
      </w:r>
      <w:r w:rsidR="002F6A07" w:rsidRPr="00593380">
        <w:rPr>
          <w:rFonts w:ascii="Times New Roman" w:hAnsi="Times New Roman" w:cs="Times New Roman"/>
        </w:rPr>
        <w:t>,</w:t>
      </w:r>
      <w:r w:rsidRPr="00593380">
        <w:rPr>
          <w:rFonts w:ascii="Times New Roman" w:hAnsi="Times New Roman" w:cs="Times New Roman"/>
        </w:rPr>
        <w:t xml:space="preserve"> and is worsened by the growth, globalization, increased competitiveness</w:t>
      </w:r>
      <w:r w:rsidR="002F6A07" w:rsidRPr="00593380">
        <w:rPr>
          <w:rFonts w:ascii="Times New Roman" w:hAnsi="Times New Roman" w:cs="Times New Roman"/>
        </w:rPr>
        <w:t>,</w:t>
      </w:r>
      <w:r w:rsidRPr="00593380">
        <w:rPr>
          <w:rFonts w:ascii="Times New Roman" w:hAnsi="Times New Roman" w:cs="Times New Roman"/>
        </w:rPr>
        <w:t xml:space="preserve"> and rapid massification of higher education </w:t>
      </w:r>
      <w:r w:rsidRPr="00593380">
        <w:rPr>
          <w:rFonts w:ascii="Times New Roman" w:hAnsi="Times New Roman" w:cs="Times New Roman"/>
        </w:rPr>
        <w:fldChar w:fldCharType="begin" w:fldLock="1"/>
      </w:r>
      <w:r w:rsidRPr="00593380">
        <w:rPr>
          <w:rFonts w:ascii="Times New Roman" w:hAnsi="Times New Roman" w:cs="Times New Roman"/>
        </w:rPr>
        <w:instrText>ADDIN CSL_CITATION {"citationItems":[{"id":"ITEM-1","itemData":{"DOI":"10.18488/journal.137.2019.32.105.110","abstract":"This paper is based on qualitative research to understanding of the meaning, benefit and importance of entrepreneurship that develops in the environment of higher education. This research using qualitative research with a naturalistic inquiry approach. This approach was chosen because it was considered more suitable with the characteristics of the problem under study, namely with regard to Entrepreneurship behavior. Data collection of information using facts is done by research techniques such as interviews and participant observation. Result of the study found that teaching about entrepreneurship in higher education in the area of practical approaches (practical concepts or psychomotor aspects in the meaning of learning). Indeed, the meaning of entrepreneurship should have a 'spirit' from the start of scientific concepts, concepts of attitude and practical concepts. This study also found that meaning entrepreneurship is important to step development to improve the benefit of entrepreneurship. The benefits of developing entrepreneurship can provide a spirit to the academic community that many campuses are successful and successful because management has the ability to think creatively and inventively. Works and initiatives are only found in campus management which consists of people who think creatively. Not a few campuses have succeeded because they have creative and innovative abilities.","author":[{"dropping-particle":"","family":"Erlangga","given":"Heri","non-dropping-particle":"","parse-names":false,"suffix":""}],"container-title":"Asian Journal of Contemporary Education","id":"ITEM-1","issue":"2","issued":{"date-parts":[["2019"]]},"page":"105-110","title":"The Meaning, Benefit and Importance of Development Entrepreneurship in Higher Education","type":"article-journal","volume":"3"},"uris":["http://www.mendeley.com/documents/?uuid=68cdff30-37cc-4cfa-8674-29f0aa27c3e9"]},{"id":"ITEM-2","itemData":{"abstract":"This paper discusses the performance of income generating units in public universities in Kenya. A broad study was done with regards to the various variables showing how each of them affects performance of income generating units. A descriptive approach in research was sought to explain the relationship between the variables of the study as shown in the conceptual framework. The research discloses that Economic factors such as inflation affect allocation of resources in the units and funds allocated to the various votes do not sufficiently meet the needs of the units. It was further noted that employees' accountability determines performance of the units and internal controls ensures reliability of financial reporting which are accurate and complete. The study concludes by recommending a cost benefit analysis for any ventures in the future to ensure viability of projects so as to abate costs in setting up projects that have very little returns.","author":[{"dropping-particle":"","family":"Tsuma","given":"Agnes Nyamvula","non-dropping-particle":"","parse-names":false,"suffix":""}],"container-title":"Business and management","id":"ITEM-2","issue":"10","issued":{"date-parts":[["2014"]]},"page":"87-92","title":"Factors Influencing Performance of Income Generating Units in Public Universities","type":"article-journal","volume":"6"},"uris":["http://www.mendeley.com/documents/?uuid=f3485d30-6ef8-4c2e-b71c-10ee7c2195ce"]},{"id":"ITEM-3","itemData":{"DOI":"10.1093/socpro/spaa023","ISSN":"0037-7791","abstract":"This article argues that educational institutions can transmit cultural capital in the form of help-seeking dispositions (feeling empowered to ask for and receive help) and specialized knowledge (information about how to gain access to resources) that can positively impact students’ academic outcomes. Additionally, this article questions the perception that educational institutions function primarily as agents of social reproduction, by showing that institutional agents such as high school teachers and administrators can function as “cultural guides” to bolster students’ opportunities for social mobility. Drawing on interviews with graduates of King and Chavez, two early college high schools which target low-income, first-generation college students, I find that King graduates were more strategic help-seekers and were more likely to use campus-based resources than their counterparts at Chavez, in part because their school’s curriculum explicitly and systematically taught this skill. This article challenges the perception that teachers and administrators function exclusively as gatekeepers in educational institutions. Instead, the data presented show that these institutional agents can also function as “cultural guides” who transmit cultural capital in the form of help-seeking values and behaviors to students from economically marginalized communities; promoting their upward mobility.","author":[{"dropping-particle":"","family":"Richards","given":"Bedelia Nicola","non-dropping-particle":"","parse-names":false,"suffix":""}],"container-title":"Social Problems","id":"ITEM-3","issue":"1","issued":{"date-parts":[["2022"]]},"page":"241-260","title":"Help-Seeking Behaviors as Cultural Capital: Cultural Guides and the Transition from High School to College among Low-Income First Generation Students","type":"article-journal","volume":"69"},"uris":["http://www.mendeley.com/documents/?uuid=30f86c85-7327-471a-aeef-d274a0e3f132"]}],"mendeley":{"formattedCitation":"(Erlangga, 2019; Richards, 2022; Tsuma, 2014)","plainTextFormattedCitation":"(Erlangga, 2019; Richards, 2022; Tsuma, 2014)","previouslyFormattedCitation":"(Erlangga, 2019; Richards, 2022; Tsuma, 2014)"},"properties":{"noteIndex":0},"schema":"https://github.com/citation-style-language/schema/raw/master/csl-citation.json"}</w:instrText>
      </w:r>
      <w:r w:rsidRPr="00593380">
        <w:rPr>
          <w:rFonts w:ascii="Times New Roman" w:hAnsi="Times New Roman" w:cs="Times New Roman"/>
        </w:rPr>
        <w:fldChar w:fldCharType="separate"/>
      </w:r>
      <w:r w:rsidRPr="00593380">
        <w:rPr>
          <w:rFonts w:ascii="Times New Roman" w:hAnsi="Times New Roman" w:cs="Times New Roman"/>
          <w:noProof/>
        </w:rPr>
        <w:t>(Erlangga, 2019; Richards, 2022; Tsuma, 2014)</w:t>
      </w:r>
      <w:r w:rsidRPr="00593380">
        <w:rPr>
          <w:rFonts w:ascii="Times New Roman" w:hAnsi="Times New Roman" w:cs="Times New Roman"/>
        </w:rPr>
        <w:fldChar w:fldCharType="end"/>
      </w:r>
    </w:p>
    <w:p w14:paraId="3C7E8D01" w14:textId="5096F88E" w:rsidR="00087AD4" w:rsidRPr="00593380" w:rsidRDefault="00087AD4" w:rsidP="00593380">
      <w:pPr>
        <w:spacing w:after="0" w:line="360" w:lineRule="auto"/>
        <w:jc w:val="both"/>
        <w:rPr>
          <w:rFonts w:ascii="Times New Roman" w:hAnsi="Times New Roman" w:cs="Times New Roman"/>
        </w:rPr>
      </w:pPr>
      <w:r w:rsidRPr="00593380">
        <w:rPr>
          <w:rFonts w:ascii="Times New Roman" w:hAnsi="Times New Roman" w:cs="Times New Roman"/>
        </w:rPr>
        <w:t xml:space="preserve">This has exerted pressure </w:t>
      </w:r>
      <w:r w:rsidR="002F6A07" w:rsidRPr="00593380">
        <w:rPr>
          <w:rFonts w:ascii="Times New Roman" w:hAnsi="Times New Roman" w:cs="Times New Roman"/>
        </w:rPr>
        <w:t>on</w:t>
      </w:r>
      <w:r w:rsidRPr="00593380">
        <w:rPr>
          <w:rFonts w:ascii="Times New Roman" w:hAnsi="Times New Roman" w:cs="Times New Roman"/>
        </w:rPr>
        <w:t xml:space="preserve"> public higher institutions around the world to undertake revenue diversification and cost management initiatives to close budgetary gaps </w:t>
      </w:r>
      <w:r w:rsidRPr="00593380">
        <w:rPr>
          <w:rFonts w:ascii="Times New Roman" w:hAnsi="Times New Roman" w:cs="Times New Roman"/>
        </w:rPr>
        <w:fldChar w:fldCharType="begin" w:fldLock="1"/>
      </w:r>
      <w:r w:rsidRPr="00593380">
        <w:rPr>
          <w:rFonts w:ascii="Times New Roman" w:hAnsi="Times New Roman" w:cs="Times New Roman"/>
        </w:rPr>
        <w:instrText>ADDIN CSL_CITATION {"citationItems":[{"id":"ITEM-1","itemData":{"DOI":"10.3390/su12020452","ISSN":"20711050","abstract":"Eight University Grant Committee (UGC)-funded public universities in Hong Kong positively and successfully responded to the global call for sustainability efforts in higher education institutions (HEIs). Various initiatives are transpiring within these eight campuses. The Hong Kong Sustainable Campus Consortium (HKSCC) was co-established by eight UGC-funded universities, which is an excellent example of integrating resources and efforts to achieve sustainable development goals and exert positive social impacts. Through interviews with HKSCC administrators and members and reviewing relevant documents, this study aims to examine the roles and challenges of HKSCC toward Hong Kong HEIs' sustainability efforts, and present the good practices and achievements of HKSCC. Findings of this study reveal that although HKSCC and each UGC-funded university contribute in reaching the sustainability goals, they should pay considerable attention to the external impact of sustainability practices on communities and society. Moreover, we propose that the sustainable development of public universities in Hong Kong should look beyond the narrowed definition of sustainable development and broaden their roles to exert a social impact by addressing the negative consequences of the massification, privatization, and internationalization of higher education.","author":[{"dropping-particle":"","family":"Xiong","given":"Weiyan","non-dropping-particle":"","parse-names":false,"suffix":""},{"dropping-particle":"","family":"Mok","given":"Ka Ho","non-dropping-particle":"","parse-names":false,"suffix":""}],"container-title":"Sustainability (Switzerland)","id":"ITEM-1","issue":"2","issued":{"date-parts":[["2020"]]},"title":"Sustainability practices of higher education institutions in Hong Kong: A case study of a sustainable campus consortium","type":"article-journal","volume":"12"},"uris":["http://www.mendeley.com/documents/?uuid=17a93fc7-7225-41c1-8f02-b951bb4453e2"]}],"mendeley":{"formattedCitation":"(Xiong &amp; Mok, 2020)","plainTextFormattedCitation":"(Xiong &amp; Mok, 2020)","previouslyFormattedCitation":"(Xiong &amp; Mok, 2020)"},"properties":{"noteIndex":0},"schema":"https://github.com/citation-style-language/schema/raw/master/csl-citation.json"}</w:instrText>
      </w:r>
      <w:r w:rsidRPr="00593380">
        <w:rPr>
          <w:rFonts w:ascii="Times New Roman" w:hAnsi="Times New Roman" w:cs="Times New Roman"/>
        </w:rPr>
        <w:fldChar w:fldCharType="separate"/>
      </w:r>
      <w:r w:rsidRPr="00593380">
        <w:rPr>
          <w:rFonts w:ascii="Times New Roman" w:hAnsi="Times New Roman" w:cs="Times New Roman"/>
          <w:noProof/>
        </w:rPr>
        <w:t>(Xiong &amp; Mok, 2020)</w:t>
      </w:r>
      <w:r w:rsidRPr="00593380">
        <w:rPr>
          <w:rFonts w:ascii="Times New Roman" w:hAnsi="Times New Roman" w:cs="Times New Roman"/>
        </w:rPr>
        <w:fldChar w:fldCharType="end"/>
      </w:r>
      <w:r w:rsidRPr="00593380">
        <w:rPr>
          <w:rFonts w:ascii="Times New Roman" w:hAnsi="Times New Roman" w:cs="Times New Roman"/>
        </w:rPr>
        <w:t xml:space="preserve">. Failure to diversify their income streams can pose problems as expenditure levels rise faster than the growth level in </w:t>
      </w:r>
      <w:r w:rsidR="002F6A07" w:rsidRPr="00593380">
        <w:rPr>
          <w:rFonts w:ascii="Times New Roman" w:hAnsi="Times New Roman" w:cs="Times New Roman"/>
        </w:rPr>
        <w:t xml:space="preserve">the </w:t>
      </w:r>
      <w:r w:rsidRPr="00593380">
        <w:rPr>
          <w:rFonts w:ascii="Times New Roman" w:hAnsi="Times New Roman" w:cs="Times New Roman"/>
        </w:rPr>
        <w:t xml:space="preserve">institution’s income and these institutions are now faced with weaker financial statements compared to the past </w:t>
      </w:r>
      <w:r w:rsidRPr="00593380">
        <w:rPr>
          <w:rFonts w:ascii="Times New Roman" w:hAnsi="Times New Roman" w:cs="Times New Roman"/>
        </w:rPr>
        <w:fldChar w:fldCharType="begin" w:fldLock="1"/>
      </w:r>
      <w:r w:rsidRPr="00593380">
        <w:rPr>
          <w:rFonts w:ascii="Times New Roman" w:hAnsi="Times New Roman" w:cs="Times New Roman"/>
        </w:rPr>
        <w:instrText>ADDIN CSL_CITATION {"citationItems":[{"id":"ITEM-1","itemData":{"DOI":"10.3390/su11154249","ISSN":"20711050","abstract":"The goal of the paper is to examine the relation between finance and sustainability, with a special emphasis on the impact of negative externalities. Sustainable development as a concept aims to mitigate negative externalities. Conventional finance offers no room for the environment and society. Therefore, three-dimensional sustainable finance has appeared. This paper is the first original attempt to examine the relationship between: financial, economic, environmental and social development indicators from the sustainability perspective, with a special focus on externalities. To study the disparities between the European Union (EU) countries belonging to the OECD in the field of sustainable development and sustainable finance, the multi-criteria taxonomy was used. The basis of the analyses was the indicators transformed according to the relative taxonomy method. The database, based on Eurostat, contains indicators describing pillars of sustainable development such as: economic (12 indicators), social (28), environmental (7) and sustainable finance (16). The study analyses the sample of 23 countries in 2007, 2013 and 2016. The results confirm a positive relationship among the analysed indicators. On the basis of 62 statistical features selected according to the statistical methods, 7 groups of countries were obtained in 2007 and 2013 and 8 groups in 2016. In the case of Scandinavian countries, one can observe a permanent separation of economic growth from its negative impact on the natural environment. Such dependencies are no longer so obvious in the case of other EU countries belonging to the Organization for Economic Cooperation and Development (OECD). Therefore, attention should be paid to the most economically developed countries inWestern Europe, i.e., Belgium, Germany, Luxembourg, the Netherlands and the United Kingdom, whose high rankings in the case of economic, social and very often also financial results correspond to much worse results in the case of environmental development.","author":[{"dropping-particle":"","family":"Ziolo","given":"Magdalena","non-dropping-particle":"","parse-names":false,"suffix":""},{"dropping-particle":"","family":"Filipiak","given":"Beata Zofia","non-dropping-particle":"","parse-names":false,"suffix":""},{"dropping-particle":"","family":"Bak","given":"Iwona","non-dropping-particle":"","parse-names":false,"suffix":""},{"dropping-particle":"","family":"Cheba","given":"Katarzyna","non-dropping-particle":"","parse-names":false,"suffix":""},{"dropping-particle":"","family":"Tîrca","given":"Diana Mihaela","non-dropping-particle":"","parse-names":false,"suffix":""},{"dropping-particle":"","family":"Novo-Corti","given":"Isabel","non-dropping-particle":"","parse-names":false,"suffix":""}],"container-title":"Sustainability (Switzerland)","id":"ITEM-1","issue":"15","issued":{"date-parts":[["2019"]]},"title":"Finance, sustainability and negative externalities. An overview of the european context","type":"article-journal","volume":"11"},"uris":["http://www.mendeley.com/documents/?uuid=3fe0d266-f83e-43ee-bdfd-c06566d51716"]},{"id":"ITEM-2","itemData":{"ISBN":"2522-7483","abstract":"This chapter advocates for enough resources for efficiency and work ethic towards the achievement of the vision of a given university or any other institution of higher education. It therefore calls upon such institutions, be they public or otherwise, to institute strategies for diversifying sources of funding with the eventual objective of financial sustainability; and highlights on the principal ways through which an organisation may generate its own revenues In view of a potential solution to the existential problems, the chapter propagates for proper utilisation and hence reducing waste of the existing resources; since efficiency in operation implies reductions in the cost of production. Ultimately, the chapter calls for a departure from a system of interdependence on the government for most of the financial responsibility.","author":[{"dropping-particle":"","family":"Peter","given":"Neema-Abooki","non-dropping-particle":"","parse-names":false,"suffix":""},{"dropping-particle":"","family":"Kamanzi","given":"Stella-Maris","non-dropping-particle":"","parse-names":false,"suffix":""}],"container-title":"The WCCES Chronicle","edition":"4","id":"ITEM-2","issue":"3","issued":{"date-parts":[["2019"]]},"page":"1-14","publisher":"World Voices Nexus","publisher-place":"Uganda","title":"Own-Income Generation: A Pillar of Financial Sustainability in Institutions of Higher Learning","type":"chapter","volume":"3"},"uris":["http://www.mendeley.com/documents/?uuid=9575b68d-c96b-4d66-b1e2-3101a650bd45"]},{"id":"ITEM-3","itemData":{"DOI":"10.5772/intechopen.93589","abstract":"Abstract Long-haul travel does not constitute an obstacle for tourists to travel and is fast gaining the attention of tourists in new and unique experiences. This study was conducted to identify the long-haul travel motivation by international tourists to Penang. A total of 400 respondents participated in this survey, conducted around the tourist attractions in Penang, using cluster random sampling. However, only 370 questionnaires were only used for this research. Data were analysed using SPSS software 22 version. The findings, ‘knowledge and novelty seeking’ were the main push factors that drove long-haul travel by international tourists to Penang. Meanwhile, the main pull factor that attracts long- haul travel by international tourists to Penang was its ‘culture and history’. Additionally, there were partly direct and significant relationships between socio-demographic, trip characteristics and travel motivation (push factors and pull factors). Overall, this study identified the long-haul travel motivations by international tourists to Penang based on socio-demographic, trip characteristics and travel motivation and has indirectly helped in understanding the long-haul travel market particularly for Penang and Southeast Asia. This research also suggested for an effective marketing and promotion strategy in pro- viding useful information that is the key to attract international tourists to travel long distances. Keywords:","author":[{"dropping-particle":"","family":"Pius Nudzor","given":"Hope","non-dropping-particle":"","parse-names":false,"suffix":""}],"container-title":"Education at the Intersection of Globalization and Technology","id":"ITEM-3","issued":{"date-parts":[["2021"]]},"page":"1-21","title":"Addressing Sustainability Planning in Higher Education Research","type":"article-journal"},"uris":["http://www.mendeley.com/documents/?uuid=b423008f-d4c1-46b7-8da4-1100709cf007"]}],"mendeley":{"formattedCitation":"(Peter &amp; Kamanzi, 2019; Pius Nudzor, 2021; Ziolo et al., 2019)","plainTextFormattedCitation":"(Peter &amp; Kamanzi, 2019; Pius Nudzor, 2021; Ziolo et al., 2019)","previouslyFormattedCitation":"(Peter &amp; Kamanzi, 2019; Pius Nudzor, 2021; Ziolo et al., 2019)"},"properties":{"noteIndex":0},"schema":"https://github.com/citation-style-language/schema/raw/master/csl-citation.json"}</w:instrText>
      </w:r>
      <w:r w:rsidRPr="00593380">
        <w:rPr>
          <w:rFonts w:ascii="Times New Roman" w:hAnsi="Times New Roman" w:cs="Times New Roman"/>
        </w:rPr>
        <w:fldChar w:fldCharType="separate"/>
      </w:r>
      <w:r w:rsidRPr="00593380">
        <w:rPr>
          <w:rFonts w:ascii="Times New Roman" w:hAnsi="Times New Roman" w:cs="Times New Roman"/>
          <w:noProof/>
        </w:rPr>
        <w:t>(Peter &amp; Kamanzi, 2019; Pius Nudzor, 2021; Ziolo et al., 2019)</w:t>
      </w:r>
      <w:r w:rsidRPr="00593380">
        <w:rPr>
          <w:rFonts w:ascii="Times New Roman" w:hAnsi="Times New Roman" w:cs="Times New Roman"/>
        </w:rPr>
        <w:fldChar w:fldCharType="end"/>
      </w:r>
      <w:r w:rsidRPr="00593380">
        <w:rPr>
          <w:rFonts w:ascii="Times New Roman" w:hAnsi="Times New Roman" w:cs="Times New Roman"/>
        </w:rPr>
        <w:t>. This pressure for alternative sources of funding and a reduced dependence on government grants has also been acknowledged in so many actions of government in recent times, through so many policies.</w:t>
      </w:r>
    </w:p>
    <w:p w14:paraId="5DF42A5D" w14:textId="39005390" w:rsidR="00087AD4" w:rsidRPr="00593380" w:rsidRDefault="00087AD4" w:rsidP="00593380">
      <w:pPr>
        <w:spacing w:after="0" w:line="360" w:lineRule="auto"/>
        <w:jc w:val="both"/>
        <w:rPr>
          <w:rFonts w:ascii="Times New Roman" w:hAnsi="Times New Roman" w:cs="Times New Roman"/>
        </w:rPr>
      </w:pPr>
      <w:r w:rsidRPr="00593380">
        <w:rPr>
          <w:rFonts w:ascii="Times New Roman" w:hAnsi="Times New Roman" w:cs="Times New Roman"/>
        </w:rPr>
        <w:t xml:space="preserve">The current financial situation of public tertiary institutions requires that senior officers recognize this and are supportive of financial sustainability efforts. Historically, public tertiary institutions around the world have been heavily underfunded by the government. Consequently, diversifying sources of revenue and managing costs strategically are fewer familiar tasks to senior officers. Currently, senior officers now increasingly need to develop an entrepreneurial </w:t>
      </w:r>
      <w:r w:rsidR="002F6A07" w:rsidRPr="00593380">
        <w:rPr>
          <w:rFonts w:ascii="Times New Roman" w:hAnsi="Times New Roman" w:cs="Times New Roman"/>
        </w:rPr>
        <w:t>mindset</w:t>
      </w:r>
      <w:r w:rsidRPr="00593380">
        <w:rPr>
          <w:rFonts w:ascii="Times New Roman" w:hAnsi="Times New Roman" w:cs="Times New Roman"/>
        </w:rPr>
        <w:t xml:space="preserve"> and a higher level of cost consciousness and prudence given the introduction of numerous reforms akin to a New Public Management (NPM) ideology or ‘managerialism’ in tertiary </w:t>
      </w:r>
      <w:r w:rsidR="002F6A07" w:rsidRPr="00593380">
        <w:rPr>
          <w:rFonts w:ascii="Times New Roman" w:hAnsi="Times New Roman" w:cs="Times New Roman"/>
        </w:rPr>
        <w:t>institutions</w:t>
      </w:r>
      <w:r w:rsidRPr="00593380">
        <w:rPr>
          <w:rFonts w:ascii="Times New Roman" w:hAnsi="Times New Roman" w:cs="Times New Roman"/>
        </w:rPr>
        <w:t xml:space="preserve"> in many parts of the Western world </w:t>
      </w:r>
      <w:r w:rsidRPr="00593380">
        <w:rPr>
          <w:rFonts w:ascii="Times New Roman" w:hAnsi="Times New Roman" w:cs="Times New Roman"/>
        </w:rPr>
        <w:fldChar w:fldCharType="begin" w:fldLock="1"/>
      </w:r>
      <w:r w:rsidRPr="00593380">
        <w:rPr>
          <w:rFonts w:ascii="Times New Roman" w:hAnsi="Times New Roman" w:cs="Times New Roman"/>
        </w:rPr>
        <w:instrText>ADDIN CSL_CITATION {"citationItems":[{"id":"ITEM-1","itemData":{"author":[{"dropping-particle":"","family":"Chronicle","given":"The Wcces","non-dropping-particle":"","parse-names":false,"suffix":""}],"id":"ITEM-1","issued":{"date-parts":[["2019"]]},"page":"1-14","title":"The WCCES Chronicle","type":"article-journal"},"uris":["http://www.mendeley.com/documents/?uuid=8863f064-2b7c-4976-bec3-94bcc34a169a"]}],"mendeley":{"formattedCitation":"(Chronicle, 2019)","plainTextFormattedCitation":"(Chronicle, 2019)","previouslyFormattedCitation":"(Chronicle, 2019)"},"properties":{"noteIndex":0},"schema":"https://github.com/citation-style-language/schema/raw/master/csl-citation.json"}</w:instrText>
      </w:r>
      <w:r w:rsidRPr="00593380">
        <w:rPr>
          <w:rFonts w:ascii="Times New Roman" w:hAnsi="Times New Roman" w:cs="Times New Roman"/>
        </w:rPr>
        <w:fldChar w:fldCharType="separate"/>
      </w:r>
      <w:r w:rsidRPr="00593380">
        <w:rPr>
          <w:rFonts w:ascii="Times New Roman" w:hAnsi="Times New Roman" w:cs="Times New Roman"/>
          <w:noProof/>
        </w:rPr>
        <w:t>(Chronicle, 2019)</w:t>
      </w:r>
      <w:r w:rsidRPr="00593380">
        <w:rPr>
          <w:rFonts w:ascii="Times New Roman" w:hAnsi="Times New Roman" w:cs="Times New Roman"/>
        </w:rPr>
        <w:fldChar w:fldCharType="end"/>
      </w:r>
      <w:r w:rsidRPr="00593380">
        <w:rPr>
          <w:rFonts w:ascii="Times New Roman" w:hAnsi="Times New Roman" w:cs="Times New Roman"/>
        </w:rPr>
        <w:t xml:space="preserve">. Previously, officers </w:t>
      </w:r>
      <w:r w:rsidR="002F6A07" w:rsidRPr="00593380">
        <w:rPr>
          <w:rFonts w:ascii="Times New Roman" w:hAnsi="Times New Roman" w:cs="Times New Roman"/>
        </w:rPr>
        <w:t>could</w:t>
      </w:r>
      <w:r w:rsidRPr="00593380">
        <w:rPr>
          <w:rFonts w:ascii="Times New Roman" w:hAnsi="Times New Roman" w:cs="Times New Roman"/>
        </w:rPr>
        <w:t xml:space="preserve"> focus on academic-related matters and their financial responsibilities were largely limited to ensuring that the ‘guaranteed’ government funds were well allocated to the various activities </w:t>
      </w:r>
      <w:r w:rsidRPr="00593380">
        <w:rPr>
          <w:rFonts w:ascii="Times New Roman" w:hAnsi="Times New Roman" w:cs="Times New Roman"/>
        </w:rPr>
        <w:fldChar w:fldCharType="begin" w:fldLock="1"/>
      </w:r>
      <w:r w:rsidRPr="00593380">
        <w:rPr>
          <w:rFonts w:ascii="Times New Roman" w:hAnsi="Times New Roman" w:cs="Times New Roman"/>
        </w:rPr>
        <w:instrText>ADDIN CSL_CITATION {"citationItems":[{"id":"ITEM-1","itemData":{"abstract":"Subject: Provides those interested in the effective management of the educational process with a broad overview of developments and best practice in the field, with particular reference to how new ideas can be applied worldwide. The journal contains material relating to innovation in educational management across the spectrum, the development of educational delivery mechanisms, and the creation of an environment in which the management of resources provides the most efficient outputs achievable on an international basis to allow the sharing of new initiatives.","author":[{"dropping-particle":"","family":"Hoy","given":"Wayne K","non-dropping-particle":"","parse-names":false,"suffix":""},{"dropping-particle":"","family":"Tarter","given":"C John","non-dropping-particle":"","parse-names":false,"suffix":""}],"id":"ITEM-1","issued":{"date-parts":[["2004"]]},"page":"1-13","title":"International Journal of Educational Management","type":"article-journal"},"uris":["http://www.mendeley.com/documents/?uuid=4f0095e4-fb2a-4fa4-aba9-54ac73bc7112"]}],"mendeley":{"formattedCitation":"(Hoy &amp; Tarter, 2004)","plainTextFormattedCitation":"(Hoy &amp; Tarter, 2004)","previouslyFormattedCitation":"(Hoy &amp; Tarter, 2004)"},"properties":{"noteIndex":0},"schema":"https://github.com/citation-style-language/schema/raw/master/csl-citation.json"}</w:instrText>
      </w:r>
      <w:r w:rsidRPr="00593380">
        <w:rPr>
          <w:rFonts w:ascii="Times New Roman" w:hAnsi="Times New Roman" w:cs="Times New Roman"/>
        </w:rPr>
        <w:fldChar w:fldCharType="separate"/>
      </w:r>
      <w:r w:rsidRPr="00593380">
        <w:rPr>
          <w:rFonts w:ascii="Times New Roman" w:hAnsi="Times New Roman" w:cs="Times New Roman"/>
          <w:noProof/>
        </w:rPr>
        <w:t>(Hoy &amp; Tarter, 2004)</w:t>
      </w:r>
      <w:r w:rsidRPr="00593380">
        <w:rPr>
          <w:rFonts w:ascii="Times New Roman" w:hAnsi="Times New Roman" w:cs="Times New Roman"/>
        </w:rPr>
        <w:fldChar w:fldCharType="end"/>
      </w:r>
      <w:r w:rsidRPr="00593380">
        <w:rPr>
          <w:rFonts w:ascii="Times New Roman" w:hAnsi="Times New Roman" w:cs="Times New Roman"/>
        </w:rPr>
        <w:t>.</w:t>
      </w:r>
    </w:p>
    <w:p w14:paraId="7B0A2B2A" w14:textId="7F931DC6" w:rsidR="00087AD4" w:rsidRPr="00593380" w:rsidRDefault="00087AD4" w:rsidP="00593380">
      <w:pPr>
        <w:spacing w:after="0" w:line="360" w:lineRule="auto"/>
        <w:jc w:val="both"/>
        <w:rPr>
          <w:rFonts w:ascii="Times New Roman" w:hAnsi="Times New Roman" w:cs="Times New Roman"/>
        </w:rPr>
      </w:pPr>
      <w:r w:rsidRPr="00593380">
        <w:rPr>
          <w:rFonts w:ascii="Times New Roman" w:hAnsi="Times New Roman" w:cs="Times New Roman"/>
        </w:rPr>
        <w:t xml:space="preserve">Consequently, </w:t>
      </w:r>
      <w:r w:rsidRPr="00593380">
        <w:rPr>
          <w:rFonts w:ascii="Times New Roman" w:hAnsi="Times New Roman" w:cs="Times New Roman"/>
        </w:rPr>
        <w:fldChar w:fldCharType="begin" w:fldLock="1"/>
      </w:r>
      <w:r w:rsidRPr="00593380">
        <w:rPr>
          <w:rFonts w:ascii="Times New Roman" w:hAnsi="Times New Roman" w:cs="Times New Roman"/>
        </w:rPr>
        <w:instrText>ADDIN CSL_CITATION {"citationItems":[{"id":"ITEM-1","itemData":{"ISSN":"22011323","abstract":"This study aims to explore the relationship between the financial sustainability and accountability function under the university autonomy and empirically evaluate the extent of the financial sustainability of public higher education institutions in Iraq. To this end, the paper adopts an exploratory approach using semi-structured interviews and content analysis procedures. We introduce a theoretical model to explain the relationship between financial sustainability and accountability function, and use a solvency ratio to evaluate the financial sustainability using the financial data of the university of Kufa for three years 2015-2017. The results indicate that financial sustainability and accountability are interdependent, and in order to ensure adequate funding, management must provide the necessary financial information for accountability function and legitimate its activities. We found that the sample university has a poor financial sustainability forecasts and accordingly it cannot continue as a financially independent unit without the governmental financial support. The further analysis reveals that the financial deficit in the financial position during the time of the study is an inevitable consequence of lack of financial and administrative authorities. The results also provide information and data to other governmental higher education institutions needed to evaluate their own institutions ' financial sustainability.","author":[{"dropping-particle":"","family":"Almagtomea","given":"Akeel","non-dropping-particle":"","parse-names":false,"suffix":""},{"dropping-particle":"","family":"Shaker","given":"Ameer","non-dropping-particle":"","parse-names":false,"suffix":""},{"dropping-particle":"","family":"Al-Fatlawi","given":"Qayssar","non-dropping-particle":"","parse-names":false,"suffix":""},{"dropping-particle":"","family":"Bekheet","given":"Heider","non-dropping-particle":"","parse-names":false,"suffix":""}],"container-title":"International Journal of Innovation, Creativity and Change","id":"ITEM-1","issue":"2","issued":{"date-parts":[["2019"]]},"page":"202-221","title":"The integration between financial sustainability and accountability in higher education institutions: An exploratory case study","type":"article-journal","volume":"8"},"uris":["http://www.mendeley.com/documents/?uuid=0a7ceb28-e8de-4272-8242-38151c5812e9"]}],"mendeley":{"formattedCitation":"(Almagtomea et al., 2019)","manualFormatting":"Almagtomea et al., (2019)","plainTextFormattedCitation":"(Almagtomea et al., 2019)","previouslyFormattedCitation":"(Almagtomea et al., 2019)"},"properties":{"noteIndex":0},"schema":"https://github.com/citation-style-language/schema/raw/master/csl-citation.json"}</w:instrText>
      </w:r>
      <w:r w:rsidRPr="00593380">
        <w:rPr>
          <w:rFonts w:ascii="Times New Roman" w:hAnsi="Times New Roman" w:cs="Times New Roman"/>
        </w:rPr>
        <w:fldChar w:fldCharType="separate"/>
      </w:r>
      <w:r w:rsidRPr="00593380">
        <w:rPr>
          <w:rFonts w:ascii="Times New Roman" w:hAnsi="Times New Roman" w:cs="Times New Roman"/>
          <w:noProof/>
        </w:rPr>
        <w:t>Almagtomea et al., (2019)</w:t>
      </w:r>
      <w:r w:rsidRPr="00593380">
        <w:rPr>
          <w:rFonts w:ascii="Times New Roman" w:hAnsi="Times New Roman" w:cs="Times New Roman"/>
        </w:rPr>
        <w:fldChar w:fldCharType="end"/>
      </w:r>
      <w:r w:rsidRPr="00593380">
        <w:rPr>
          <w:rFonts w:ascii="Times New Roman" w:hAnsi="Times New Roman" w:cs="Times New Roman"/>
        </w:rPr>
        <w:t xml:space="preserve"> </w:t>
      </w:r>
      <w:r w:rsidR="002F6A07" w:rsidRPr="00593380">
        <w:rPr>
          <w:rFonts w:ascii="Times New Roman" w:hAnsi="Times New Roman" w:cs="Times New Roman"/>
        </w:rPr>
        <w:t>to</w:t>
      </w:r>
      <w:r w:rsidRPr="00593380">
        <w:rPr>
          <w:rFonts w:ascii="Times New Roman" w:hAnsi="Times New Roman" w:cs="Times New Roman"/>
        </w:rPr>
        <w:t xml:space="preserve"> assert that public tertiary </w:t>
      </w:r>
      <w:r w:rsidR="002F6A07" w:rsidRPr="00593380">
        <w:rPr>
          <w:rFonts w:ascii="Times New Roman" w:hAnsi="Times New Roman" w:cs="Times New Roman"/>
        </w:rPr>
        <w:t>institutions</w:t>
      </w:r>
      <w:r w:rsidRPr="00593380">
        <w:rPr>
          <w:rFonts w:ascii="Times New Roman" w:hAnsi="Times New Roman" w:cs="Times New Roman"/>
        </w:rPr>
        <w:t xml:space="preserve">, after years of being almost dependent on government funding, now need to shift their focus towards greater financial independence as a result of some of the policies being introduced by </w:t>
      </w:r>
      <w:r w:rsidR="002F6A07" w:rsidRPr="00593380">
        <w:rPr>
          <w:rFonts w:ascii="Times New Roman" w:hAnsi="Times New Roman" w:cs="Times New Roman"/>
        </w:rPr>
        <w:t xml:space="preserve">the </w:t>
      </w:r>
      <w:r w:rsidRPr="00593380">
        <w:rPr>
          <w:rFonts w:ascii="Times New Roman" w:hAnsi="Times New Roman" w:cs="Times New Roman"/>
        </w:rPr>
        <w:t>government. This has led to financial sustainability becoming a serious concern of the higher education system, in both developed and developing countries.</w:t>
      </w:r>
    </w:p>
    <w:p w14:paraId="5026F45A" w14:textId="49EA3A74" w:rsidR="00087AD4" w:rsidRPr="00593380" w:rsidRDefault="00087AD4" w:rsidP="00593380">
      <w:pPr>
        <w:spacing w:after="0" w:line="360" w:lineRule="auto"/>
        <w:jc w:val="both"/>
        <w:rPr>
          <w:rFonts w:ascii="Times New Roman" w:hAnsi="Times New Roman" w:cs="Times New Roman"/>
        </w:rPr>
      </w:pPr>
      <w:r w:rsidRPr="00593380">
        <w:rPr>
          <w:rFonts w:ascii="Times New Roman" w:hAnsi="Times New Roman" w:cs="Times New Roman"/>
        </w:rPr>
        <w:t xml:space="preserve">Consistent with these developments, Nigerian tertiary institutions, currently face the challenge of rising costs and budgetary cuts while being expected to deliver quality education and achieve high enrolment levels </w:t>
      </w:r>
      <w:r w:rsidRPr="00593380">
        <w:rPr>
          <w:rFonts w:ascii="Times New Roman" w:hAnsi="Times New Roman" w:cs="Times New Roman"/>
        </w:rPr>
        <w:fldChar w:fldCharType="begin" w:fldLock="1"/>
      </w:r>
      <w:r w:rsidRPr="00593380">
        <w:rPr>
          <w:rFonts w:ascii="Times New Roman" w:hAnsi="Times New Roman" w:cs="Times New Roman"/>
        </w:rPr>
        <w:instrText>ADDIN CSL_CITATION {"citationItems":[{"id":"ITEM-1","itemData":{"abstract":"This paper discusses the performance of income generating units in public universities in Kenya. A broad study was done with regards to the various variables showing how each of them affects performance of income generating units. A descriptive approach in research was sought to explain the relationship between the variables of the study as shown in the conceptual framework. The research discloses that Economic factors such as inflation affect allocation of resources in the units and funds allocated to the various votes do not sufficiently meet the needs of the units. It was further noted that employees' accountability determines performance of the units and internal controls ensures reliability of financial reporting which are accurate and complete. The study concludes by recommending a cost benefit analysis for any ventures in the future to ensure viability of projects so as to abate costs in setting up projects that have very little returns.","author":[{"dropping-particle":"","family":"Tsuma","given":"Agnes Nyamvula","non-dropping-particle":"","parse-names":false,"suffix":""}],"container-title":"Business and management","id":"ITEM-1","issue":"10","issued":{"date-parts":[["2014"]]},"page":"87-92","title":"Factors Influencing Performance of Income Generating Units in Public Universities","type":"article-journal","volume":"6"},"uris":["http://www.mendeley.com/documents/?uuid=f3485d30-6ef8-4c2e-b71c-10ee7c2195ce"]}],"mendeley":{"formattedCitation":"(Tsuma, 2014)","plainTextFormattedCitation":"(Tsuma, 2014)"},"properties":{"noteIndex":0},"schema":"https://github.com/citation-style-language/schema/raw/master/csl-citation.json"}</w:instrText>
      </w:r>
      <w:r w:rsidRPr="00593380">
        <w:rPr>
          <w:rFonts w:ascii="Times New Roman" w:hAnsi="Times New Roman" w:cs="Times New Roman"/>
        </w:rPr>
        <w:fldChar w:fldCharType="separate"/>
      </w:r>
      <w:r w:rsidRPr="00593380">
        <w:rPr>
          <w:rFonts w:ascii="Times New Roman" w:hAnsi="Times New Roman" w:cs="Times New Roman"/>
          <w:noProof/>
        </w:rPr>
        <w:t>(Tsuma, 2014)</w:t>
      </w:r>
      <w:r w:rsidRPr="00593380">
        <w:rPr>
          <w:rFonts w:ascii="Times New Roman" w:hAnsi="Times New Roman" w:cs="Times New Roman"/>
        </w:rPr>
        <w:fldChar w:fldCharType="end"/>
      </w:r>
      <w:r w:rsidRPr="00593380">
        <w:rPr>
          <w:rFonts w:ascii="Times New Roman" w:hAnsi="Times New Roman" w:cs="Times New Roman"/>
        </w:rPr>
        <w:t>. These ‘paradoxical’ constraints have pushed the issue of financial sustainability of the Nigerian tertiary institutions to the forefront of the government’s agenda.</w:t>
      </w:r>
    </w:p>
    <w:p w14:paraId="0178F18C" w14:textId="77777777" w:rsidR="00087AD4" w:rsidRPr="00593380" w:rsidRDefault="00087AD4" w:rsidP="00593380">
      <w:pPr>
        <w:spacing w:after="0" w:line="360" w:lineRule="auto"/>
        <w:rPr>
          <w:rFonts w:ascii="Times New Roman" w:eastAsia="SimSun" w:hAnsi="Times New Roman" w:cs="Times New Roman"/>
          <w:lang w:eastAsia="zh-CN"/>
        </w:rPr>
      </w:pPr>
      <w:r w:rsidRPr="00593380">
        <w:rPr>
          <w:rFonts w:ascii="Times New Roman" w:eastAsia="SimSun" w:hAnsi="Times New Roman" w:cs="Times New Roman"/>
          <w:lang w:eastAsia="zh-CN"/>
        </w:rPr>
        <w:t>This study will provide and analyze the sustainable revenue generation strategies employed by tertiary institutions to cope with financial challenges in the 21st century.</w:t>
      </w:r>
    </w:p>
    <w:p w14:paraId="36FDC490" w14:textId="38119336" w:rsidR="00087AD4" w:rsidRPr="00593380" w:rsidRDefault="00087AD4" w:rsidP="00593380">
      <w:pPr>
        <w:spacing w:after="0" w:line="360" w:lineRule="auto"/>
        <w:jc w:val="both"/>
        <w:rPr>
          <w:rFonts w:ascii="Times New Roman" w:eastAsia="Times New Roman" w:hAnsi="Times New Roman" w:cs="Times New Roman"/>
          <w:color w:val="000000"/>
          <w:lang w:val="en-GB" w:eastAsia="en-GB"/>
        </w:rPr>
      </w:pPr>
      <w:r w:rsidRPr="00593380">
        <w:rPr>
          <w:rFonts w:ascii="Times New Roman" w:hAnsi="Times New Roman" w:cs="Times New Roman"/>
        </w:rPr>
        <w:lastRenderedPageBreak/>
        <w:t>In recent times</w:t>
      </w:r>
      <w:r w:rsidRPr="00593380">
        <w:rPr>
          <w:rFonts w:ascii="Times New Roman" w:eastAsia="Times New Roman" w:hAnsi="Times New Roman" w:cs="Times New Roman"/>
          <w:color w:val="000000"/>
          <w:lang w:val="en-GB" w:eastAsia="en-GB"/>
        </w:rPr>
        <w:t>, tertiary institutions are faced with numerous financial challenges due to many reasons among which are poor attitude to entrepreneurship, poor management of resources, dynamic political atmosphere, the economic situation in the country, illiteracy on sustainability orientation, corruption, government policies</w:t>
      </w:r>
      <w:r w:rsidR="002F6A07" w:rsidRPr="00593380">
        <w:rPr>
          <w:rFonts w:ascii="Times New Roman" w:eastAsia="Times New Roman" w:hAnsi="Times New Roman" w:cs="Times New Roman"/>
          <w:color w:val="000000"/>
          <w:lang w:val="en-GB" w:eastAsia="en-GB"/>
        </w:rPr>
        <w:t>,</w:t>
      </w:r>
      <w:r w:rsidRPr="00593380">
        <w:rPr>
          <w:rFonts w:ascii="Times New Roman" w:eastAsia="Times New Roman" w:hAnsi="Times New Roman" w:cs="Times New Roman"/>
          <w:color w:val="000000"/>
          <w:lang w:val="en-GB" w:eastAsia="en-GB"/>
        </w:rPr>
        <w:t xml:space="preserve"> and so on. As a result, these institutions struggle to finance their expenses making important activities substituted with other activities, or the burden is shifted to parents/guardians of students. Recently, as a result of the recent strike by the university unions, </w:t>
      </w:r>
      <w:r w:rsidR="002F6A07" w:rsidRPr="00593380">
        <w:rPr>
          <w:rFonts w:ascii="Times New Roman" w:eastAsia="Times New Roman" w:hAnsi="Times New Roman" w:cs="Times New Roman"/>
          <w:color w:val="000000"/>
          <w:lang w:val="en-GB" w:eastAsia="en-GB"/>
        </w:rPr>
        <w:t>tuition</w:t>
      </w:r>
      <w:r w:rsidRPr="00593380">
        <w:rPr>
          <w:rFonts w:ascii="Times New Roman" w:eastAsia="Times New Roman" w:hAnsi="Times New Roman" w:cs="Times New Roman"/>
          <w:color w:val="000000"/>
          <w:lang w:val="en-GB" w:eastAsia="en-GB"/>
        </w:rPr>
        <w:t xml:space="preserve"> fees of some universities have increased exponentially beyond an ordinary citizen’s capability which may result </w:t>
      </w:r>
      <w:r w:rsidR="002F6A07" w:rsidRPr="00593380">
        <w:rPr>
          <w:rFonts w:ascii="Times New Roman" w:eastAsia="Times New Roman" w:hAnsi="Times New Roman" w:cs="Times New Roman"/>
          <w:color w:val="000000"/>
          <w:lang w:val="en-GB" w:eastAsia="en-GB"/>
        </w:rPr>
        <w:t>in</w:t>
      </w:r>
      <w:r w:rsidRPr="00593380">
        <w:rPr>
          <w:rFonts w:ascii="Times New Roman" w:eastAsia="Times New Roman" w:hAnsi="Times New Roman" w:cs="Times New Roman"/>
          <w:color w:val="000000"/>
          <w:lang w:val="en-GB" w:eastAsia="en-GB"/>
        </w:rPr>
        <w:t xml:space="preserve"> students becoming dropout of school. This </w:t>
      </w:r>
      <w:r w:rsidR="00E50AF7" w:rsidRPr="00593380">
        <w:rPr>
          <w:rFonts w:ascii="Times New Roman" w:eastAsia="Times New Roman" w:hAnsi="Times New Roman" w:cs="Times New Roman"/>
          <w:color w:val="000000"/>
          <w:lang w:val="en-GB" w:eastAsia="en-GB"/>
        </w:rPr>
        <w:t>is due</w:t>
      </w:r>
      <w:r w:rsidR="0009000E" w:rsidRPr="00593380">
        <w:rPr>
          <w:rFonts w:ascii="Times New Roman" w:eastAsia="Times New Roman" w:hAnsi="Times New Roman" w:cs="Times New Roman"/>
          <w:color w:val="000000"/>
          <w:lang w:val="en-GB" w:eastAsia="en-GB"/>
        </w:rPr>
        <w:t xml:space="preserve"> </w:t>
      </w:r>
      <w:r w:rsidR="00E50AF7" w:rsidRPr="00593380">
        <w:rPr>
          <w:rFonts w:ascii="Times New Roman" w:eastAsia="Times New Roman" w:hAnsi="Times New Roman" w:cs="Times New Roman"/>
          <w:color w:val="000000"/>
          <w:lang w:val="en-GB" w:eastAsia="en-GB"/>
        </w:rPr>
        <w:t>to massive</w:t>
      </w:r>
      <w:r w:rsidRPr="00593380">
        <w:rPr>
          <w:rFonts w:ascii="Times New Roman" w:eastAsia="Times New Roman" w:hAnsi="Times New Roman" w:cs="Times New Roman"/>
          <w:color w:val="000000"/>
          <w:lang w:val="en-GB" w:eastAsia="en-GB"/>
        </w:rPr>
        <w:t xml:space="preserve"> dependence of these tertiary institutions on </w:t>
      </w:r>
      <w:r w:rsidR="002F6A07" w:rsidRPr="00593380">
        <w:rPr>
          <w:rFonts w:ascii="Times New Roman" w:eastAsia="Times New Roman" w:hAnsi="Times New Roman" w:cs="Times New Roman"/>
          <w:color w:val="000000"/>
          <w:lang w:val="en-GB" w:eastAsia="en-GB"/>
        </w:rPr>
        <w:t xml:space="preserve">the </w:t>
      </w:r>
      <w:r w:rsidRPr="00593380">
        <w:rPr>
          <w:rFonts w:ascii="Times New Roman" w:eastAsia="Times New Roman" w:hAnsi="Times New Roman" w:cs="Times New Roman"/>
          <w:color w:val="000000"/>
          <w:lang w:val="en-GB" w:eastAsia="en-GB"/>
        </w:rPr>
        <w:t xml:space="preserve">government. </w:t>
      </w:r>
    </w:p>
    <w:p w14:paraId="53BE3358" w14:textId="311E939A" w:rsidR="00087AD4" w:rsidRPr="00593380" w:rsidRDefault="00087AD4" w:rsidP="00593380">
      <w:pPr>
        <w:spacing w:after="0" w:line="360" w:lineRule="auto"/>
        <w:jc w:val="both"/>
        <w:rPr>
          <w:rFonts w:ascii="Times New Roman" w:hAnsi="Times New Roman" w:cs="Times New Roman"/>
        </w:rPr>
      </w:pPr>
      <w:r w:rsidRPr="00593380">
        <w:rPr>
          <w:rFonts w:ascii="Times New Roman" w:hAnsi="Times New Roman" w:cs="Times New Roman"/>
        </w:rPr>
        <w:t xml:space="preserve">The Nigerian economy has faced periods of persistent instability, including fluctuating oil prices, which significantly </w:t>
      </w:r>
      <w:r w:rsidR="002F6A07" w:rsidRPr="00593380">
        <w:rPr>
          <w:rFonts w:ascii="Times New Roman" w:hAnsi="Times New Roman" w:cs="Times New Roman"/>
        </w:rPr>
        <w:t>affect</w:t>
      </w:r>
      <w:r w:rsidRPr="00593380">
        <w:rPr>
          <w:rFonts w:ascii="Times New Roman" w:hAnsi="Times New Roman" w:cs="Times New Roman"/>
        </w:rPr>
        <w:t xml:space="preserve"> government revenue. This, in turn, affects the amount of funding available for public institutions, including tertiary education.</w:t>
      </w:r>
      <w:r w:rsidR="004F4D0B" w:rsidRPr="00593380">
        <w:rPr>
          <w:rFonts w:ascii="Times New Roman" w:hAnsi="Times New Roman" w:cs="Times New Roman"/>
        </w:rPr>
        <w:t xml:space="preserve"> </w:t>
      </w:r>
      <w:r w:rsidRPr="00593380">
        <w:rPr>
          <w:rFonts w:ascii="Times New Roman" w:hAnsi="Times New Roman" w:cs="Times New Roman"/>
        </w:rPr>
        <w:t>Tertiary institutions in Nigeria heavily depend on government budget allocations. In some cases, these allocations may not be sufficient to meet the growing demands of these institutions due to a variety of competing priorities.</w:t>
      </w:r>
    </w:p>
    <w:p w14:paraId="42C49F45" w14:textId="36878D7F" w:rsidR="00087AD4" w:rsidRPr="00593380" w:rsidRDefault="00087AD4" w:rsidP="00593380">
      <w:pPr>
        <w:spacing w:after="0" w:line="360" w:lineRule="auto"/>
        <w:jc w:val="both"/>
        <w:rPr>
          <w:rFonts w:ascii="Times New Roman" w:hAnsi="Times New Roman" w:cs="Times New Roman"/>
        </w:rPr>
      </w:pPr>
      <w:r w:rsidRPr="00593380">
        <w:rPr>
          <w:rFonts w:ascii="Times New Roman" w:hAnsi="Times New Roman" w:cs="Times New Roman"/>
        </w:rPr>
        <w:t>High inflation rates can erode the purchasing power of allocated funds, making it challenging for institutions to maintain their operations and infrastructure with the same budget</w:t>
      </w:r>
      <w:r w:rsidR="0009000E" w:rsidRPr="00593380">
        <w:rPr>
          <w:rFonts w:ascii="Times New Roman" w:hAnsi="Times New Roman" w:cs="Times New Roman"/>
        </w:rPr>
        <w:t>.</w:t>
      </w:r>
    </w:p>
    <w:p w14:paraId="1999E74D" w14:textId="4ED7946C" w:rsidR="00087AD4" w:rsidRPr="00593380" w:rsidRDefault="00087AD4" w:rsidP="00593380">
      <w:pPr>
        <w:spacing w:after="0" w:line="360" w:lineRule="auto"/>
        <w:jc w:val="both"/>
        <w:rPr>
          <w:rFonts w:ascii="Times New Roman" w:hAnsi="Times New Roman" w:cs="Times New Roman"/>
        </w:rPr>
      </w:pPr>
      <w:r w:rsidRPr="00593380">
        <w:rPr>
          <w:rFonts w:ascii="Times New Roman" w:hAnsi="Times New Roman" w:cs="Times New Roman"/>
        </w:rPr>
        <w:t>As the population grows and more students seek higher education, there is increased pressure on institutions to expand their facilities and services, which requires additional funding.</w:t>
      </w:r>
      <w:r w:rsidR="004F4D0B" w:rsidRPr="00593380">
        <w:rPr>
          <w:rFonts w:ascii="Times New Roman" w:hAnsi="Times New Roman" w:cs="Times New Roman"/>
        </w:rPr>
        <w:t xml:space="preserve"> </w:t>
      </w:r>
      <w:r w:rsidR="002F6A07" w:rsidRPr="00593380">
        <w:rPr>
          <w:rFonts w:ascii="Times New Roman" w:hAnsi="Times New Roman" w:cs="Times New Roman"/>
        </w:rPr>
        <w:t>The introduction</w:t>
      </w:r>
      <w:r w:rsidRPr="00593380">
        <w:rPr>
          <w:rFonts w:ascii="Times New Roman" w:hAnsi="Times New Roman" w:cs="Times New Roman"/>
        </w:rPr>
        <w:t xml:space="preserve"> of new policies by </w:t>
      </w:r>
      <w:r w:rsidR="002F6A07" w:rsidRPr="00593380">
        <w:rPr>
          <w:rFonts w:ascii="Times New Roman" w:hAnsi="Times New Roman" w:cs="Times New Roman"/>
        </w:rPr>
        <w:t xml:space="preserve">the </w:t>
      </w:r>
      <w:r w:rsidRPr="00593380">
        <w:rPr>
          <w:rFonts w:ascii="Times New Roman" w:hAnsi="Times New Roman" w:cs="Times New Roman"/>
        </w:rPr>
        <w:t xml:space="preserve">government has significantly affected the funding of these institutions. These policies range from the introduction of </w:t>
      </w:r>
      <w:r w:rsidR="002F6A07" w:rsidRPr="00593380">
        <w:rPr>
          <w:rFonts w:ascii="Times New Roman" w:hAnsi="Times New Roman" w:cs="Times New Roman"/>
        </w:rPr>
        <w:t xml:space="preserve">an </w:t>
      </w:r>
      <w:r w:rsidRPr="00593380">
        <w:rPr>
          <w:rFonts w:ascii="Times New Roman" w:hAnsi="Times New Roman" w:cs="Times New Roman"/>
        </w:rPr>
        <w:t xml:space="preserve">Integrated Personnel Payroll System (IPPIS), Single Treasury Account, </w:t>
      </w:r>
      <w:r w:rsidR="00B97DC5" w:rsidRPr="00593380">
        <w:rPr>
          <w:rFonts w:ascii="Times New Roman" w:hAnsi="Times New Roman" w:cs="Times New Roman"/>
        </w:rPr>
        <w:t>and so on.</w:t>
      </w:r>
    </w:p>
    <w:p w14:paraId="404B3EC7" w14:textId="77777777" w:rsidR="00087AD4" w:rsidRPr="00593380" w:rsidRDefault="00087AD4" w:rsidP="00593380">
      <w:pPr>
        <w:spacing w:after="0" w:line="360" w:lineRule="auto"/>
        <w:jc w:val="both"/>
        <w:rPr>
          <w:rFonts w:ascii="Times New Roman" w:hAnsi="Times New Roman" w:cs="Times New Roman"/>
        </w:rPr>
      </w:pPr>
      <w:r w:rsidRPr="00593380">
        <w:rPr>
          <w:rFonts w:ascii="Times New Roman" w:hAnsi="Times New Roman" w:cs="Times New Roman"/>
        </w:rPr>
        <w:t>In this study, the authors intend to identify, compare to other institutions and with what is available, sustainable strategies used by tertiary institutions in curbing their financial challenges without extending the burden to parents/guardians or the government.</w:t>
      </w:r>
    </w:p>
    <w:p w14:paraId="1EE8223F" w14:textId="454F3A6F" w:rsidR="00087AD4" w:rsidRPr="00593380" w:rsidRDefault="00087AD4" w:rsidP="00A52E03">
      <w:pPr>
        <w:pStyle w:val="Heading2"/>
        <w:spacing w:line="360" w:lineRule="auto"/>
        <w:jc w:val="both"/>
        <w:rPr>
          <w:rFonts w:ascii="Times New Roman" w:hAnsi="Times New Roman" w:cs="Times New Roman"/>
          <w:b/>
          <w:bCs/>
          <w:color w:val="auto"/>
          <w:sz w:val="22"/>
          <w:szCs w:val="22"/>
        </w:rPr>
      </w:pPr>
      <w:bookmarkStart w:id="2" w:name="_Toc169270796"/>
      <w:r w:rsidRPr="00593380">
        <w:rPr>
          <w:rFonts w:ascii="Times New Roman" w:hAnsi="Times New Roman" w:cs="Times New Roman"/>
          <w:b/>
          <w:bCs/>
          <w:color w:val="auto"/>
          <w:sz w:val="22"/>
          <w:szCs w:val="22"/>
        </w:rPr>
        <w:t>2.</w:t>
      </w:r>
      <w:r w:rsidR="00593380">
        <w:rPr>
          <w:rFonts w:ascii="Times New Roman" w:hAnsi="Times New Roman" w:cs="Times New Roman"/>
          <w:b/>
          <w:bCs/>
          <w:color w:val="auto"/>
          <w:sz w:val="22"/>
          <w:szCs w:val="22"/>
        </w:rPr>
        <w:t>0</w:t>
      </w:r>
      <w:r w:rsidRPr="00593380">
        <w:rPr>
          <w:rFonts w:ascii="Times New Roman" w:hAnsi="Times New Roman" w:cs="Times New Roman"/>
          <w:b/>
          <w:bCs/>
          <w:color w:val="auto"/>
          <w:sz w:val="22"/>
          <w:szCs w:val="22"/>
        </w:rPr>
        <w:t xml:space="preserve"> </w:t>
      </w:r>
      <w:r w:rsidR="00593380" w:rsidRPr="00593380">
        <w:rPr>
          <w:rFonts w:ascii="Times New Roman" w:hAnsi="Times New Roman" w:cs="Times New Roman"/>
          <w:b/>
          <w:bCs/>
          <w:color w:val="auto"/>
          <w:sz w:val="22"/>
          <w:szCs w:val="22"/>
        </w:rPr>
        <w:t>LITERATURE REVIEW</w:t>
      </w:r>
      <w:bookmarkEnd w:id="2"/>
    </w:p>
    <w:p w14:paraId="4A767A9E" w14:textId="2BC62553" w:rsidR="00087AD4" w:rsidRPr="00593380" w:rsidRDefault="00087AD4" w:rsidP="00593380">
      <w:pPr>
        <w:spacing w:after="0" w:line="360" w:lineRule="auto"/>
        <w:jc w:val="both"/>
        <w:rPr>
          <w:rFonts w:ascii="Times New Roman" w:hAnsi="Times New Roman" w:cs="Times New Roman"/>
          <w:lang w:val="en-GB"/>
        </w:rPr>
      </w:pPr>
      <w:r w:rsidRPr="00593380">
        <w:rPr>
          <w:rFonts w:ascii="Times New Roman" w:hAnsi="Times New Roman" w:cs="Times New Roman"/>
        </w:rPr>
        <w:t>In the 21</w:t>
      </w:r>
      <w:r w:rsidRPr="00593380">
        <w:rPr>
          <w:rFonts w:ascii="Times New Roman" w:hAnsi="Times New Roman" w:cs="Times New Roman"/>
          <w:vertAlign w:val="superscript"/>
        </w:rPr>
        <w:t>st</w:t>
      </w:r>
      <w:r w:rsidRPr="00593380">
        <w:rPr>
          <w:rFonts w:ascii="Times New Roman" w:hAnsi="Times New Roman" w:cs="Times New Roman"/>
        </w:rPr>
        <w:t xml:space="preserve"> century, abundant literature is available concerning the financial challenges faced by tertiary institutions and strategies adopted by the institutions. Some of the recent ones are discussed as follows</w:t>
      </w:r>
      <w:r w:rsidR="0009000E" w:rsidRPr="00593380">
        <w:rPr>
          <w:rFonts w:ascii="Times New Roman" w:hAnsi="Times New Roman" w:cs="Times New Roman"/>
        </w:rPr>
        <w:t>:</w:t>
      </w:r>
    </w:p>
    <w:p w14:paraId="3E4ACDEC" w14:textId="01383336" w:rsidR="00087AD4" w:rsidRPr="00593380" w:rsidRDefault="00087AD4" w:rsidP="00593380">
      <w:pPr>
        <w:spacing w:after="0" w:line="360" w:lineRule="auto"/>
        <w:jc w:val="both"/>
        <w:rPr>
          <w:rFonts w:ascii="Times New Roman" w:hAnsi="Times New Roman" w:cs="Times New Roman"/>
        </w:rPr>
      </w:pPr>
      <w:r w:rsidRPr="00593380">
        <w:rPr>
          <w:rFonts w:ascii="Times New Roman" w:hAnsi="Times New Roman" w:cs="Times New Roman"/>
        </w:rPr>
        <w:t xml:space="preserve">Mahmud et al., (2022) were able to identify some of the strategies used in revenue generation by tertiary institutions. In this work, purposive sampling of 26 programs was used. Among the strategies, Government subsidy which takes care of tuition and day-to-day expenses, organizing conferences, seminars, workshops, building rent, laboratory services, scientific consultations, and ballroom rent were identified. These strategies, if adopted will supplement the budget of the institution by taking care of purchasing supplies, materials, and equipment, additional project personnel as well as </w:t>
      </w:r>
      <w:r w:rsidR="002F6A07" w:rsidRPr="00593380">
        <w:rPr>
          <w:rFonts w:ascii="Times New Roman" w:hAnsi="Times New Roman" w:cs="Times New Roman"/>
        </w:rPr>
        <w:t>strengthening</w:t>
      </w:r>
      <w:r w:rsidRPr="00593380">
        <w:rPr>
          <w:rFonts w:ascii="Times New Roman" w:hAnsi="Times New Roman" w:cs="Times New Roman"/>
        </w:rPr>
        <w:t xml:space="preserve"> facilities for training, instruction, productive activities, extension, and research. Good synergy in cooperation and partnership between the head of the institution and the stakeholders in charge of these units in which income can be generated internally is highly encouraged for effective sustainability and accountability.</w:t>
      </w:r>
    </w:p>
    <w:p w14:paraId="56CABE5C" w14:textId="08420BFD" w:rsidR="00087AD4" w:rsidRPr="00593380" w:rsidRDefault="00087AD4" w:rsidP="00593380">
      <w:pPr>
        <w:spacing w:after="0" w:line="360" w:lineRule="auto"/>
        <w:jc w:val="both"/>
        <w:rPr>
          <w:rFonts w:ascii="Times New Roman" w:hAnsi="Times New Roman" w:cs="Times New Roman"/>
        </w:rPr>
      </w:pPr>
      <w:r w:rsidRPr="00593380">
        <w:rPr>
          <w:rFonts w:ascii="Times New Roman" w:hAnsi="Times New Roman" w:cs="Times New Roman"/>
        </w:rPr>
        <w:lastRenderedPageBreak/>
        <w:t xml:space="preserve">Leal Filho et al., (2018) focused on the problems of planning a sustainable development and exploring the potential lessons that could help in upgrading the sustainability of tertiary institutions. The paper identified planning as one of the important parameters that determine the sustainability of tertiary institutions. Effective planning will go a long way in the integration of the three-set goals of developmental sustainability, which are social development, environmental protection, and economic development in tertiary institutions. The result shows that limited emphasis on approach, insufficient support, and planning from the institutions are among the challenges inhibiting the generation of revenue in these institutions. Some of the challenges faced by universities that are in the field are insufficiently trained personnel and limited available resources. The paper recommended sustainable opportunities </w:t>
      </w:r>
      <w:r w:rsidR="002F6A07" w:rsidRPr="00593380">
        <w:rPr>
          <w:rFonts w:ascii="Times New Roman" w:hAnsi="Times New Roman" w:cs="Times New Roman"/>
        </w:rPr>
        <w:t>that</w:t>
      </w:r>
      <w:r w:rsidRPr="00593380">
        <w:rPr>
          <w:rFonts w:ascii="Times New Roman" w:hAnsi="Times New Roman" w:cs="Times New Roman"/>
        </w:rPr>
        <w:t xml:space="preserve"> are not in full use like the UN programs.</w:t>
      </w:r>
    </w:p>
    <w:p w14:paraId="3AF5B147" w14:textId="7486BF75" w:rsidR="00087AD4" w:rsidRPr="00593380" w:rsidRDefault="00087AD4" w:rsidP="00593380">
      <w:pPr>
        <w:spacing w:after="0" w:line="360" w:lineRule="auto"/>
        <w:jc w:val="both"/>
        <w:rPr>
          <w:rFonts w:ascii="Times New Roman" w:hAnsi="Times New Roman" w:cs="Times New Roman"/>
        </w:rPr>
      </w:pPr>
      <w:r w:rsidRPr="00593380">
        <w:rPr>
          <w:rFonts w:ascii="Times New Roman" w:hAnsi="Times New Roman" w:cs="Times New Roman"/>
        </w:rPr>
        <w:t xml:space="preserve">Hoy and Tarter, (2019) considered the perception of senior staff on sustainability, essential revenue-generating activities, and cost management practices in universities. A survey was done using a questionnaire to draw data from both administrative and academic staff of 20 public universities located in Malaysia.  A total of 275 questionnaires were distributed. Results indicated that the increase in tuition fees paid by students may not be a solution feasible for enhancing the revenue capacity of public universities. The paper recommended that full utilization of income-generating sources must be made for a feasible </w:t>
      </w:r>
      <w:r w:rsidR="002F6A07" w:rsidRPr="00593380">
        <w:rPr>
          <w:rFonts w:ascii="Times New Roman" w:hAnsi="Times New Roman" w:cs="Times New Roman"/>
        </w:rPr>
        <w:t>revenue-generation</w:t>
      </w:r>
      <w:r w:rsidRPr="00593380">
        <w:rPr>
          <w:rFonts w:ascii="Times New Roman" w:hAnsi="Times New Roman" w:cs="Times New Roman"/>
        </w:rPr>
        <w:t xml:space="preserve"> strategy in tertiary institutions.</w:t>
      </w:r>
    </w:p>
    <w:p w14:paraId="7E9ED32C" w14:textId="1D1E6FFA" w:rsidR="00087AD4" w:rsidRPr="00593380" w:rsidRDefault="00087AD4" w:rsidP="00593380">
      <w:pPr>
        <w:spacing w:after="0" w:line="360" w:lineRule="auto"/>
        <w:jc w:val="both"/>
        <w:rPr>
          <w:rFonts w:ascii="Times New Roman" w:hAnsi="Times New Roman" w:cs="Times New Roman"/>
        </w:rPr>
      </w:pPr>
      <w:r w:rsidRPr="00593380">
        <w:rPr>
          <w:rFonts w:ascii="Times New Roman" w:hAnsi="Times New Roman" w:cs="Times New Roman"/>
        </w:rPr>
        <w:t xml:space="preserve">Xiong &amp; Mok, (2020) employed 8 public universities that funded the establishment of the Hong Kong Consortium using Grants in Hong Kong. The paper aimed </w:t>
      </w:r>
      <w:r w:rsidR="002F6A07" w:rsidRPr="00593380">
        <w:rPr>
          <w:rFonts w:ascii="Times New Roman" w:hAnsi="Times New Roman" w:cs="Times New Roman"/>
        </w:rPr>
        <w:t>to examine</w:t>
      </w:r>
      <w:r w:rsidRPr="00593380">
        <w:rPr>
          <w:rFonts w:ascii="Times New Roman" w:hAnsi="Times New Roman" w:cs="Times New Roman"/>
        </w:rPr>
        <w:t xml:space="preserve"> the challenges and roles played by HKSCC towards Hong </w:t>
      </w:r>
      <w:r w:rsidR="002F6A07" w:rsidRPr="00593380">
        <w:rPr>
          <w:rFonts w:ascii="Times New Roman" w:hAnsi="Times New Roman" w:cs="Times New Roman"/>
        </w:rPr>
        <w:t>Kong’s</w:t>
      </w:r>
      <w:r w:rsidRPr="00593380">
        <w:rPr>
          <w:rFonts w:ascii="Times New Roman" w:hAnsi="Times New Roman" w:cs="Times New Roman"/>
        </w:rPr>
        <w:t xml:space="preserve"> higher education institutes’ sustainability efforts and bring out the achievements and good practices of the HKSCC through interviews. The findings revealed that the universities play significant roles in reaching their sustainability goals, but significant attention needs to be made to other external sustainability practices in society. It was recommended that the sustainable development of universities should be broadened to address the negative consequences of privatization, massification, and higher education’s internationalization.</w:t>
      </w:r>
    </w:p>
    <w:p w14:paraId="2E182BC8" w14:textId="168655C7" w:rsidR="00087AD4" w:rsidRPr="00593380" w:rsidRDefault="00087AD4" w:rsidP="00593380">
      <w:pPr>
        <w:spacing w:after="0" w:line="360" w:lineRule="auto"/>
        <w:jc w:val="both"/>
        <w:rPr>
          <w:rFonts w:ascii="Times New Roman" w:hAnsi="Times New Roman" w:cs="Times New Roman"/>
        </w:rPr>
      </w:pPr>
      <w:r w:rsidRPr="00593380">
        <w:rPr>
          <w:rFonts w:ascii="Times New Roman" w:hAnsi="Times New Roman" w:cs="Times New Roman"/>
        </w:rPr>
        <w:t xml:space="preserve">Ziolo et al., (2019) considered the influence of negative externalities on the affiliation between finance and sustainability and the affiliation between traditional finance among which </w:t>
      </w:r>
      <w:r w:rsidR="002F6A07" w:rsidRPr="00593380">
        <w:rPr>
          <w:rFonts w:ascii="Times New Roman" w:hAnsi="Times New Roman" w:cs="Times New Roman"/>
        </w:rPr>
        <w:t>are</w:t>
      </w:r>
      <w:r w:rsidRPr="00593380">
        <w:rPr>
          <w:rFonts w:ascii="Times New Roman" w:hAnsi="Times New Roman" w:cs="Times New Roman"/>
        </w:rPr>
        <w:t xml:space="preserve"> the economic, financial, social, and environmental development indicators from the perspective of sustainability with special emphasis on the externalities. The multi-faceted nomenclature was employed to study the variances between the EU nations belonging to the </w:t>
      </w:r>
      <w:r w:rsidRPr="00593380">
        <w:rPr>
          <w:rFonts w:ascii="Times New Roman" w:hAnsi="Times New Roman" w:cs="Times New Roman"/>
          <w:color w:val="202124"/>
          <w:shd w:val="clear" w:color="auto" w:fill="FFFFFF"/>
        </w:rPr>
        <w:t>Organization for Economic Co-operation and Development</w:t>
      </w:r>
      <w:r w:rsidRPr="00593380">
        <w:rPr>
          <w:rFonts w:ascii="Times New Roman" w:hAnsi="Times New Roman" w:cs="Times New Roman"/>
        </w:rPr>
        <w:t xml:space="preserve"> in the areas of sustainable development and finance. Eurostat was found to have contained the pillars of sustainable development like social, environmental, and sustainable finance. Analysis of 23 countries was carried out in 2007, 2013, and finally in 2016. Based on the result obtained, a positive relationship among the indicators exists. </w:t>
      </w:r>
    </w:p>
    <w:p w14:paraId="7054679A" w14:textId="039F59CA" w:rsidR="00087AD4" w:rsidRPr="00593380" w:rsidRDefault="00087AD4" w:rsidP="00593380">
      <w:pPr>
        <w:pStyle w:val="Heading2"/>
        <w:spacing w:before="0" w:line="360" w:lineRule="auto"/>
        <w:jc w:val="both"/>
        <w:rPr>
          <w:rFonts w:ascii="Times New Roman" w:hAnsi="Times New Roman" w:cs="Times New Roman"/>
          <w:b/>
          <w:bCs/>
          <w:color w:val="auto"/>
          <w:sz w:val="22"/>
          <w:szCs w:val="22"/>
        </w:rPr>
      </w:pPr>
      <w:bookmarkStart w:id="3" w:name="bookmark2"/>
      <w:bookmarkStart w:id="4" w:name="_Toc169270797"/>
      <w:r w:rsidRPr="00593380">
        <w:rPr>
          <w:rFonts w:ascii="Times New Roman" w:hAnsi="Times New Roman" w:cs="Times New Roman"/>
          <w:b/>
          <w:bCs/>
          <w:color w:val="auto"/>
          <w:sz w:val="22"/>
          <w:szCs w:val="22"/>
          <w:lang w:bidi="en-US"/>
        </w:rPr>
        <w:t>2.</w:t>
      </w:r>
      <w:r w:rsidR="00593380">
        <w:rPr>
          <w:rFonts w:ascii="Times New Roman" w:hAnsi="Times New Roman" w:cs="Times New Roman"/>
          <w:b/>
          <w:bCs/>
          <w:color w:val="auto"/>
          <w:sz w:val="22"/>
          <w:szCs w:val="22"/>
          <w:lang w:bidi="en-US"/>
        </w:rPr>
        <w:t>1</w:t>
      </w:r>
      <w:r w:rsidRPr="00593380">
        <w:rPr>
          <w:rFonts w:ascii="Times New Roman" w:hAnsi="Times New Roman" w:cs="Times New Roman"/>
          <w:b/>
          <w:bCs/>
          <w:color w:val="auto"/>
          <w:sz w:val="22"/>
          <w:szCs w:val="22"/>
          <w:lang w:bidi="en-US"/>
        </w:rPr>
        <w:t xml:space="preserve"> Traditional Funding System of Nigerian </w:t>
      </w:r>
      <w:r w:rsidR="0047530D" w:rsidRPr="00593380">
        <w:rPr>
          <w:rFonts w:ascii="Times New Roman" w:hAnsi="Times New Roman" w:cs="Times New Roman"/>
          <w:b/>
          <w:bCs/>
          <w:color w:val="auto"/>
          <w:sz w:val="22"/>
          <w:szCs w:val="22"/>
          <w:lang w:bidi="en-US"/>
        </w:rPr>
        <w:t>Tertiary Institution</w:t>
      </w:r>
      <w:r w:rsidRPr="00593380">
        <w:rPr>
          <w:rFonts w:ascii="Times New Roman" w:hAnsi="Times New Roman" w:cs="Times New Roman"/>
          <w:b/>
          <w:bCs/>
          <w:color w:val="auto"/>
          <w:sz w:val="22"/>
          <w:szCs w:val="22"/>
          <w:lang w:bidi="en-US"/>
        </w:rPr>
        <w:t>s</w:t>
      </w:r>
      <w:bookmarkEnd w:id="3"/>
      <w:bookmarkEnd w:id="4"/>
    </w:p>
    <w:p w14:paraId="711777E0" w14:textId="02FFA0DE" w:rsidR="00087AD4" w:rsidRPr="00593380" w:rsidRDefault="00087AD4" w:rsidP="00593380">
      <w:pPr>
        <w:pStyle w:val="BodyText2"/>
        <w:shd w:val="clear" w:color="auto" w:fill="auto"/>
        <w:spacing w:before="0" w:after="0" w:line="360" w:lineRule="auto"/>
        <w:ind w:left="20" w:right="20" w:firstLine="0"/>
        <w:rPr>
          <w:sz w:val="22"/>
          <w:szCs w:val="22"/>
        </w:rPr>
      </w:pPr>
      <w:r w:rsidRPr="00593380">
        <w:rPr>
          <w:color w:val="000000"/>
          <w:sz w:val="22"/>
          <w:szCs w:val="22"/>
          <w:lang w:bidi="en-US"/>
        </w:rPr>
        <w:t xml:space="preserve">The traditional funding sources for the Nigerian public institutions (Federal and State) vary from the point of view of the proprietorship of the institutions. The federal universities are funded by the federal </w:t>
      </w:r>
      <w:r w:rsidRPr="00593380">
        <w:rPr>
          <w:color w:val="000000"/>
          <w:sz w:val="22"/>
          <w:szCs w:val="22"/>
          <w:lang w:bidi="en-US"/>
        </w:rPr>
        <w:lastRenderedPageBreak/>
        <w:t>government via grants for personnel costs, research funding</w:t>
      </w:r>
      <w:r w:rsidR="002F6A07" w:rsidRPr="00593380">
        <w:rPr>
          <w:color w:val="000000"/>
          <w:sz w:val="22"/>
          <w:szCs w:val="22"/>
          <w:lang w:bidi="en-US"/>
        </w:rPr>
        <w:t>,</w:t>
      </w:r>
      <w:r w:rsidRPr="00593380">
        <w:rPr>
          <w:color w:val="000000"/>
          <w:sz w:val="22"/>
          <w:szCs w:val="22"/>
          <w:lang w:bidi="en-US"/>
        </w:rPr>
        <w:t xml:space="preserve"> and capital expenditures Adeniyi, A. A. (2018). It is on </w:t>
      </w:r>
      <w:r w:rsidR="006C40D7" w:rsidRPr="00593380">
        <w:rPr>
          <w:color w:val="000000"/>
          <w:sz w:val="22"/>
          <w:szCs w:val="22"/>
          <w:lang w:bidi="en-US"/>
        </w:rPr>
        <w:t xml:space="preserve">a </w:t>
      </w:r>
      <w:r w:rsidRPr="00593380">
        <w:rPr>
          <w:color w:val="000000"/>
          <w:sz w:val="22"/>
          <w:szCs w:val="22"/>
          <w:lang w:bidi="en-US"/>
        </w:rPr>
        <w:t>statutory note that federal universities do not charge any tuition fees, dues</w:t>
      </w:r>
      <w:r w:rsidR="006C40D7" w:rsidRPr="00593380">
        <w:rPr>
          <w:color w:val="000000"/>
          <w:sz w:val="22"/>
          <w:szCs w:val="22"/>
          <w:lang w:bidi="en-US"/>
        </w:rPr>
        <w:t>,</w:t>
      </w:r>
      <w:r w:rsidRPr="00593380">
        <w:rPr>
          <w:color w:val="000000"/>
          <w:sz w:val="22"/>
          <w:szCs w:val="22"/>
          <w:lang w:bidi="en-US"/>
        </w:rPr>
        <w:t xml:space="preserve"> and several manners of levies. The state universities are primarily funded by the state government that established them.</w:t>
      </w:r>
    </w:p>
    <w:p w14:paraId="2C5ED32C" w14:textId="2198E7FB" w:rsidR="00087AD4" w:rsidRPr="00593380" w:rsidRDefault="00087AD4" w:rsidP="00593380">
      <w:pPr>
        <w:pStyle w:val="BodyText2"/>
        <w:shd w:val="clear" w:color="auto" w:fill="auto"/>
        <w:spacing w:before="0" w:after="0" w:line="360" w:lineRule="auto"/>
        <w:ind w:left="20" w:right="20" w:firstLine="0"/>
        <w:rPr>
          <w:sz w:val="22"/>
          <w:szCs w:val="22"/>
        </w:rPr>
      </w:pPr>
      <w:r w:rsidRPr="00593380">
        <w:rPr>
          <w:color w:val="000000"/>
          <w:sz w:val="22"/>
          <w:szCs w:val="22"/>
          <w:lang w:bidi="en-US"/>
        </w:rPr>
        <w:t xml:space="preserve">The Nigerian Tertiary Institutions System which commenced in 1948 with the establishment of </w:t>
      </w:r>
      <w:r w:rsidR="006C40D7" w:rsidRPr="00593380">
        <w:rPr>
          <w:color w:val="000000"/>
          <w:sz w:val="22"/>
          <w:szCs w:val="22"/>
          <w:lang w:bidi="en-US"/>
        </w:rPr>
        <w:t xml:space="preserve">the </w:t>
      </w:r>
      <w:r w:rsidRPr="00593380">
        <w:rPr>
          <w:color w:val="000000"/>
          <w:sz w:val="22"/>
          <w:szCs w:val="22"/>
          <w:lang w:bidi="en-US"/>
        </w:rPr>
        <w:t xml:space="preserve">Tertiary </w:t>
      </w:r>
      <w:r w:rsidR="006C40D7" w:rsidRPr="00593380">
        <w:rPr>
          <w:color w:val="000000"/>
          <w:sz w:val="22"/>
          <w:szCs w:val="22"/>
          <w:lang w:bidi="en-US"/>
        </w:rPr>
        <w:t>Institutions</w:t>
      </w:r>
      <w:r w:rsidRPr="00593380">
        <w:rPr>
          <w:color w:val="000000"/>
          <w:sz w:val="22"/>
          <w:szCs w:val="22"/>
          <w:lang w:bidi="en-US"/>
        </w:rPr>
        <w:t xml:space="preserve"> College of Ibadan as </w:t>
      </w:r>
      <w:r w:rsidR="006C40D7" w:rsidRPr="00593380">
        <w:rPr>
          <w:color w:val="000000"/>
          <w:sz w:val="22"/>
          <w:szCs w:val="22"/>
          <w:lang w:bidi="en-US"/>
        </w:rPr>
        <w:t xml:space="preserve">an </w:t>
      </w:r>
      <w:r w:rsidRPr="00593380">
        <w:rPr>
          <w:color w:val="000000"/>
          <w:sz w:val="22"/>
          <w:szCs w:val="22"/>
          <w:lang w:bidi="en-US"/>
        </w:rPr>
        <w:t xml:space="preserve">affiliate to the tertiary institutions of London, being the only one in the country was adequately funded in all aspects of teaching and research by both governments of Nigeria and Britain. </w:t>
      </w:r>
      <w:r w:rsidR="006C40D7" w:rsidRPr="00593380">
        <w:rPr>
          <w:color w:val="000000"/>
          <w:sz w:val="22"/>
          <w:szCs w:val="22"/>
          <w:lang w:bidi="en-US"/>
        </w:rPr>
        <w:t>In addition,</w:t>
      </w:r>
      <w:r w:rsidRPr="00593380">
        <w:rPr>
          <w:color w:val="000000"/>
          <w:sz w:val="22"/>
          <w:szCs w:val="22"/>
          <w:lang w:bidi="en-US"/>
        </w:rPr>
        <w:t xml:space="preserve"> universities were established between 1960 and 1973 and were also adequately funded by the federal government. Akhigbe (2016) and </w:t>
      </w:r>
      <w:proofErr w:type="spellStart"/>
      <w:r w:rsidRPr="00593380">
        <w:rPr>
          <w:color w:val="000000"/>
          <w:sz w:val="22"/>
          <w:szCs w:val="22"/>
          <w:lang w:bidi="en-US"/>
        </w:rPr>
        <w:t>Okobuka</w:t>
      </w:r>
      <w:proofErr w:type="spellEnd"/>
      <w:r w:rsidRPr="00593380">
        <w:rPr>
          <w:color w:val="000000"/>
          <w:sz w:val="22"/>
          <w:szCs w:val="22"/>
          <w:lang w:bidi="en-US"/>
        </w:rPr>
        <w:t xml:space="preserve"> (2021). both affirmed that the universities were well funded, that even subventions, scholarships/</w:t>
      </w:r>
      <w:r w:rsidR="006C40D7" w:rsidRPr="00593380">
        <w:rPr>
          <w:color w:val="000000"/>
          <w:sz w:val="22"/>
          <w:szCs w:val="22"/>
          <w:lang w:bidi="en-US"/>
        </w:rPr>
        <w:t>bursaries</w:t>
      </w:r>
      <w:r w:rsidRPr="00593380">
        <w:rPr>
          <w:color w:val="000000"/>
          <w:sz w:val="22"/>
          <w:szCs w:val="22"/>
          <w:lang w:bidi="en-US"/>
        </w:rPr>
        <w:t xml:space="preserve"> were made available to poor students</w:t>
      </w:r>
      <w:r w:rsidR="006C40D7" w:rsidRPr="00593380">
        <w:rPr>
          <w:color w:val="000000"/>
          <w:sz w:val="22"/>
          <w:szCs w:val="22"/>
          <w:lang w:bidi="en-US"/>
        </w:rPr>
        <w:t>,</w:t>
      </w:r>
      <w:r w:rsidRPr="00593380">
        <w:rPr>
          <w:color w:val="000000"/>
          <w:sz w:val="22"/>
          <w:szCs w:val="22"/>
          <w:lang w:bidi="en-US"/>
        </w:rPr>
        <w:t xml:space="preserve"> and that there was no significant difference in the amount requested by universities and the amount received from the government. This was also the same with the first-generation state universities.</w:t>
      </w:r>
    </w:p>
    <w:p w14:paraId="4CD81022" w14:textId="538B2C93" w:rsidR="00087AD4" w:rsidRPr="00593380" w:rsidRDefault="00087AD4" w:rsidP="00593380">
      <w:pPr>
        <w:pStyle w:val="BodyText2"/>
        <w:shd w:val="clear" w:color="auto" w:fill="auto"/>
        <w:spacing w:before="0" w:after="0" w:line="360" w:lineRule="auto"/>
        <w:ind w:left="20" w:right="20" w:firstLine="0"/>
        <w:rPr>
          <w:sz w:val="22"/>
          <w:szCs w:val="22"/>
        </w:rPr>
      </w:pPr>
      <w:r w:rsidRPr="00593380">
        <w:rPr>
          <w:color w:val="000000"/>
          <w:sz w:val="22"/>
          <w:szCs w:val="22"/>
          <w:lang w:bidi="en-US"/>
        </w:rPr>
        <w:t xml:space="preserve">The financial problems of Nigerian universities started after the establishment of third-generation universities between 1975 and 1980. The sudden underfunding of universities at that time was linked to the depreciation in the country’s economy evident in the downward trend in oil and non-oil exports, with rising import bills </w:t>
      </w:r>
      <w:proofErr w:type="spellStart"/>
      <w:r w:rsidRPr="00593380">
        <w:rPr>
          <w:rStyle w:val="Bodytext7NotItalic"/>
          <w:sz w:val="22"/>
          <w:szCs w:val="22"/>
        </w:rPr>
        <w:t>Osadebe</w:t>
      </w:r>
      <w:proofErr w:type="spellEnd"/>
      <w:r w:rsidRPr="00593380">
        <w:rPr>
          <w:rStyle w:val="Bodytext7NotItalic"/>
          <w:sz w:val="22"/>
          <w:szCs w:val="22"/>
        </w:rPr>
        <w:t>, P. V. (2021)</w:t>
      </w:r>
      <w:r w:rsidRPr="00593380">
        <w:rPr>
          <w:color w:val="000000"/>
          <w:sz w:val="22"/>
          <w:szCs w:val="22"/>
          <w:lang w:bidi="en-US"/>
        </w:rPr>
        <w:t>. It stands to reason, therefore, that funding universities throughout the world has witnessed dramatic changes in the last decades of the 20</w:t>
      </w:r>
      <w:r w:rsidRPr="00593380">
        <w:rPr>
          <w:color w:val="000000"/>
          <w:sz w:val="22"/>
          <w:szCs w:val="22"/>
          <w:vertAlign w:val="superscript"/>
          <w:lang w:bidi="en-US"/>
        </w:rPr>
        <w:t>th</w:t>
      </w:r>
      <w:r w:rsidRPr="00593380">
        <w:rPr>
          <w:color w:val="000000"/>
          <w:sz w:val="22"/>
          <w:szCs w:val="22"/>
          <w:lang w:bidi="en-US"/>
        </w:rPr>
        <w:t xml:space="preserve"> and 21</w:t>
      </w:r>
      <w:r w:rsidRPr="00593380">
        <w:rPr>
          <w:color w:val="000000"/>
          <w:sz w:val="22"/>
          <w:szCs w:val="22"/>
          <w:vertAlign w:val="superscript"/>
          <w:lang w:bidi="en-US"/>
        </w:rPr>
        <w:t>st</w:t>
      </w:r>
      <w:r w:rsidRPr="00593380">
        <w:rPr>
          <w:color w:val="000000"/>
          <w:sz w:val="22"/>
          <w:szCs w:val="22"/>
          <w:lang w:bidi="en-US"/>
        </w:rPr>
        <w:t xml:space="preserve"> centuries. These changes are responses to a worldwide phenomenon of </w:t>
      </w:r>
      <w:r w:rsidR="006C40D7" w:rsidRPr="00593380">
        <w:rPr>
          <w:color w:val="000000"/>
          <w:sz w:val="22"/>
          <w:szCs w:val="22"/>
          <w:lang w:bidi="en-US"/>
        </w:rPr>
        <w:t xml:space="preserve">the </w:t>
      </w:r>
      <w:r w:rsidRPr="00593380">
        <w:rPr>
          <w:color w:val="000000"/>
          <w:sz w:val="22"/>
          <w:szCs w:val="22"/>
          <w:lang w:bidi="en-US"/>
        </w:rPr>
        <w:t xml:space="preserve">rising cost of tertiary </w:t>
      </w:r>
      <w:r w:rsidR="006C40D7" w:rsidRPr="00593380">
        <w:rPr>
          <w:color w:val="000000"/>
          <w:sz w:val="22"/>
          <w:szCs w:val="22"/>
          <w:lang w:bidi="en-US"/>
        </w:rPr>
        <w:t>institutions'</w:t>
      </w:r>
      <w:r w:rsidRPr="00593380">
        <w:rPr>
          <w:color w:val="000000"/>
          <w:sz w:val="22"/>
          <w:szCs w:val="22"/>
          <w:lang w:bidi="en-US"/>
        </w:rPr>
        <w:t xml:space="preserve"> education </w:t>
      </w:r>
      <w:r w:rsidR="006C40D7" w:rsidRPr="00593380">
        <w:rPr>
          <w:color w:val="000000"/>
          <w:sz w:val="22"/>
          <w:szCs w:val="22"/>
          <w:lang w:bidi="en-US"/>
        </w:rPr>
        <w:t>over</w:t>
      </w:r>
      <w:r w:rsidRPr="00593380">
        <w:rPr>
          <w:color w:val="000000"/>
          <w:sz w:val="22"/>
          <w:szCs w:val="22"/>
          <w:lang w:bidi="en-US"/>
        </w:rPr>
        <w:t xml:space="preserve"> the corresponding rates of increase of available revenues. </w:t>
      </w:r>
      <w:r w:rsidR="006C40D7" w:rsidRPr="00593380">
        <w:rPr>
          <w:color w:val="000000"/>
          <w:sz w:val="22"/>
          <w:szCs w:val="22"/>
          <w:lang w:bidi="en-US"/>
        </w:rPr>
        <w:t>To</w:t>
      </w:r>
      <w:r w:rsidRPr="00593380">
        <w:rPr>
          <w:color w:val="000000"/>
          <w:sz w:val="22"/>
          <w:szCs w:val="22"/>
          <w:lang w:bidi="en-US"/>
        </w:rPr>
        <w:t xml:space="preserve"> cope with government funding reductions, universities </w:t>
      </w:r>
      <w:r w:rsidR="006C40D7" w:rsidRPr="00593380">
        <w:rPr>
          <w:color w:val="000000"/>
          <w:sz w:val="22"/>
          <w:szCs w:val="22"/>
          <w:lang w:bidi="en-US"/>
        </w:rPr>
        <w:t>worldwide</w:t>
      </w:r>
      <w:r w:rsidRPr="00593380">
        <w:rPr>
          <w:color w:val="000000"/>
          <w:sz w:val="22"/>
          <w:szCs w:val="22"/>
          <w:lang w:bidi="en-US"/>
        </w:rPr>
        <w:t xml:space="preserve"> now generate additional sources of funds</w:t>
      </w:r>
      <w:r w:rsidR="00AB3D74" w:rsidRPr="00593380">
        <w:rPr>
          <w:color w:val="000000"/>
          <w:sz w:val="22"/>
          <w:szCs w:val="22"/>
          <w:lang w:bidi="en-US"/>
        </w:rPr>
        <w:t xml:space="preserve"> (</w:t>
      </w:r>
      <w:r w:rsidR="00AB3D74" w:rsidRPr="00593380">
        <w:rPr>
          <w:sz w:val="22"/>
          <w:szCs w:val="22"/>
        </w:rPr>
        <w:t>Whittington &amp; Pany 2004</w:t>
      </w:r>
      <w:r w:rsidR="00AB3D74" w:rsidRPr="00593380">
        <w:rPr>
          <w:color w:val="000000"/>
          <w:sz w:val="22"/>
          <w:szCs w:val="22"/>
          <w:lang w:bidi="en-US"/>
        </w:rPr>
        <w:t>)</w:t>
      </w:r>
      <w:r w:rsidRPr="00593380">
        <w:rPr>
          <w:color w:val="000000"/>
          <w:sz w:val="22"/>
          <w:szCs w:val="22"/>
          <w:lang w:bidi="en-US"/>
        </w:rPr>
        <w:t>.</w:t>
      </w:r>
    </w:p>
    <w:p w14:paraId="17EFB754" w14:textId="1DB5451F" w:rsidR="00087AD4" w:rsidRPr="00593380" w:rsidRDefault="00087AD4" w:rsidP="00593380">
      <w:pPr>
        <w:pStyle w:val="BodyText2"/>
        <w:shd w:val="clear" w:color="auto" w:fill="auto"/>
        <w:spacing w:before="0" w:after="0" w:line="360" w:lineRule="auto"/>
        <w:ind w:left="20" w:right="20" w:firstLine="0"/>
        <w:rPr>
          <w:sz w:val="22"/>
          <w:szCs w:val="22"/>
        </w:rPr>
      </w:pPr>
      <w:r w:rsidRPr="00593380">
        <w:rPr>
          <w:color w:val="000000"/>
          <w:sz w:val="22"/>
          <w:szCs w:val="22"/>
          <w:lang w:bidi="en-US"/>
        </w:rPr>
        <w:t xml:space="preserve">Inadequate funding of universities has had </w:t>
      </w:r>
      <w:r w:rsidR="006C40D7" w:rsidRPr="00593380">
        <w:rPr>
          <w:color w:val="000000"/>
          <w:sz w:val="22"/>
          <w:szCs w:val="22"/>
          <w:lang w:bidi="en-US"/>
        </w:rPr>
        <w:t xml:space="preserve">a </w:t>
      </w:r>
      <w:r w:rsidRPr="00593380">
        <w:rPr>
          <w:color w:val="000000"/>
          <w:sz w:val="22"/>
          <w:szCs w:val="22"/>
          <w:lang w:bidi="en-US"/>
        </w:rPr>
        <w:t xml:space="preserve">calamitous effect on teaching and research and universities themselves have been forced to embark on </w:t>
      </w:r>
      <w:r w:rsidR="006C40D7" w:rsidRPr="00593380">
        <w:rPr>
          <w:color w:val="000000"/>
          <w:sz w:val="22"/>
          <w:szCs w:val="22"/>
          <w:lang w:bidi="en-US"/>
        </w:rPr>
        <w:t>income-generating</w:t>
      </w:r>
      <w:r w:rsidRPr="00593380">
        <w:rPr>
          <w:color w:val="000000"/>
          <w:sz w:val="22"/>
          <w:szCs w:val="22"/>
          <w:lang w:bidi="en-US"/>
        </w:rPr>
        <w:t xml:space="preserve"> projects </w:t>
      </w:r>
      <w:r w:rsidR="006C40D7" w:rsidRPr="00593380">
        <w:rPr>
          <w:color w:val="000000"/>
          <w:sz w:val="22"/>
          <w:szCs w:val="22"/>
          <w:lang w:bidi="en-US"/>
        </w:rPr>
        <w:t>to</w:t>
      </w:r>
      <w:r w:rsidRPr="00593380">
        <w:rPr>
          <w:color w:val="000000"/>
          <w:sz w:val="22"/>
          <w:szCs w:val="22"/>
          <w:lang w:bidi="en-US"/>
        </w:rPr>
        <w:t xml:space="preserve"> source for funds. Therefore, the available revenue is spent on capital projects, administration, teaching, research</w:t>
      </w:r>
      <w:r w:rsidR="006C40D7" w:rsidRPr="00593380">
        <w:rPr>
          <w:color w:val="000000"/>
          <w:sz w:val="22"/>
          <w:szCs w:val="22"/>
          <w:lang w:bidi="en-US"/>
        </w:rPr>
        <w:t>,</w:t>
      </w:r>
      <w:r w:rsidRPr="00593380">
        <w:rPr>
          <w:color w:val="000000"/>
          <w:sz w:val="22"/>
          <w:szCs w:val="22"/>
          <w:lang w:bidi="en-US"/>
        </w:rPr>
        <w:t xml:space="preserve"> and welfare. Capital projects and salaries repeatedly take </w:t>
      </w:r>
      <w:r w:rsidR="006C40D7" w:rsidRPr="00593380">
        <w:rPr>
          <w:color w:val="000000"/>
          <w:sz w:val="22"/>
          <w:szCs w:val="22"/>
          <w:lang w:bidi="en-US"/>
        </w:rPr>
        <w:t xml:space="preserve">the </w:t>
      </w:r>
      <w:r w:rsidRPr="00593380">
        <w:rPr>
          <w:color w:val="000000"/>
          <w:sz w:val="22"/>
          <w:szCs w:val="22"/>
          <w:lang w:bidi="en-US"/>
        </w:rPr>
        <w:t xml:space="preserve">bulk of the total revenue, while teaching and </w:t>
      </w:r>
      <w:r w:rsidR="006C40D7" w:rsidRPr="00593380">
        <w:rPr>
          <w:color w:val="000000"/>
          <w:sz w:val="22"/>
          <w:szCs w:val="22"/>
          <w:lang w:bidi="en-US"/>
        </w:rPr>
        <w:t>student</w:t>
      </w:r>
      <w:r w:rsidRPr="00593380">
        <w:rPr>
          <w:color w:val="000000"/>
          <w:sz w:val="22"/>
          <w:szCs w:val="22"/>
          <w:lang w:bidi="en-US"/>
        </w:rPr>
        <w:t xml:space="preserve"> welfare tend to be given less priority. This tends to be responsible for the incessant student/</w:t>
      </w:r>
      <w:r w:rsidR="006C40D7" w:rsidRPr="00593380">
        <w:rPr>
          <w:color w:val="000000"/>
          <w:sz w:val="22"/>
          <w:szCs w:val="22"/>
          <w:lang w:bidi="en-US"/>
        </w:rPr>
        <w:t>teacher</w:t>
      </w:r>
      <w:r w:rsidRPr="00593380">
        <w:rPr>
          <w:color w:val="000000"/>
          <w:sz w:val="22"/>
          <w:szCs w:val="22"/>
          <w:lang w:bidi="en-US"/>
        </w:rPr>
        <w:t xml:space="preserve"> riot and strike actions respectively </w:t>
      </w:r>
      <w:proofErr w:type="spellStart"/>
      <w:r w:rsidRPr="00593380">
        <w:rPr>
          <w:color w:val="000000"/>
          <w:sz w:val="22"/>
          <w:szCs w:val="22"/>
          <w:lang w:bidi="en-US"/>
        </w:rPr>
        <w:t>Odesami</w:t>
      </w:r>
      <w:proofErr w:type="spellEnd"/>
      <w:r w:rsidRPr="00593380">
        <w:rPr>
          <w:color w:val="000000"/>
          <w:sz w:val="22"/>
          <w:szCs w:val="22"/>
          <w:lang w:bidi="en-US"/>
        </w:rPr>
        <w:t>, S. E. (2022).</w:t>
      </w:r>
    </w:p>
    <w:p w14:paraId="6258D639" w14:textId="626AC501" w:rsidR="00087AD4" w:rsidRPr="00593380" w:rsidRDefault="00087AD4" w:rsidP="00593380">
      <w:pPr>
        <w:pStyle w:val="BodyText2"/>
        <w:shd w:val="clear" w:color="auto" w:fill="auto"/>
        <w:spacing w:before="0" w:after="0" w:line="360" w:lineRule="auto"/>
        <w:ind w:left="20" w:right="20" w:firstLine="0"/>
        <w:rPr>
          <w:sz w:val="22"/>
          <w:szCs w:val="22"/>
        </w:rPr>
      </w:pPr>
      <w:r w:rsidRPr="00593380">
        <w:rPr>
          <w:color w:val="000000"/>
          <w:sz w:val="22"/>
          <w:szCs w:val="22"/>
          <w:lang w:bidi="en-US"/>
        </w:rPr>
        <w:t xml:space="preserve">With the reduction in the budgetary provision for education, the depreciation of </w:t>
      </w:r>
      <w:r w:rsidR="006C40D7" w:rsidRPr="00593380">
        <w:rPr>
          <w:color w:val="000000"/>
          <w:sz w:val="22"/>
          <w:szCs w:val="22"/>
          <w:lang w:bidi="en-US"/>
        </w:rPr>
        <w:t xml:space="preserve">the </w:t>
      </w:r>
      <w:r w:rsidRPr="00593380">
        <w:rPr>
          <w:color w:val="000000"/>
          <w:sz w:val="22"/>
          <w:szCs w:val="22"/>
          <w:lang w:bidi="en-US"/>
        </w:rPr>
        <w:t>naira</w:t>
      </w:r>
      <w:r w:rsidR="006C40D7" w:rsidRPr="00593380">
        <w:rPr>
          <w:color w:val="000000"/>
          <w:sz w:val="22"/>
          <w:szCs w:val="22"/>
          <w:lang w:bidi="en-US"/>
        </w:rPr>
        <w:t>,</w:t>
      </w:r>
      <w:r w:rsidRPr="00593380">
        <w:rPr>
          <w:color w:val="000000"/>
          <w:sz w:val="22"/>
          <w:szCs w:val="22"/>
          <w:lang w:bidi="en-US"/>
        </w:rPr>
        <w:t xml:space="preserve"> and </w:t>
      </w:r>
      <w:r w:rsidR="006C40D7" w:rsidRPr="00593380">
        <w:rPr>
          <w:color w:val="000000"/>
          <w:sz w:val="22"/>
          <w:szCs w:val="22"/>
          <w:lang w:bidi="en-US"/>
        </w:rPr>
        <w:t xml:space="preserve">the </w:t>
      </w:r>
      <w:r w:rsidRPr="00593380">
        <w:rPr>
          <w:color w:val="000000"/>
          <w:sz w:val="22"/>
          <w:szCs w:val="22"/>
          <w:lang w:bidi="en-US"/>
        </w:rPr>
        <w:t xml:space="preserve">low price of oil, Nigeria’s main source of foreign currency earning, the provision of scientific and teaching materials </w:t>
      </w:r>
      <w:r w:rsidR="006C40D7" w:rsidRPr="00593380">
        <w:rPr>
          <w:color w:val="000000"/>
          <w:sz w:val="22"/>
          <w:szCs w:val="22"/>
          <w:lang w:bidi="en-US"/>
        </w:rPr>
        <w:t>has</w:t>
      </w:r>
      <w:r w:rsidRPr="00593380">
        <w:rPr>
          <w:color w:val="000000"/>
          <w:sz w:val="22"/>
          <w:szCs w:val="22"/>
          <w:lang w:bidi="en-US"/>
        </w:rPr>
        <w:t xml:space="preserve"> been drastically curtailed. Quality of teaching has fallen considerably, the libraries are hardly updated in terms of research materials, journals</w:t>
      </w:r>
      <w:r w:rsidR="006C40D7" w:rsidRPr="00593380">
        <w:rPr>
          <w:color w:val="000000"/>
          <w:sz w:val="22"/>
          <w:szCs w:val="22"/>
          <w:lang w:bidi="en-US"/>
        </w:rPr>
        <w:t>,</w:t>
      </w:r>
      <w:r w:rsidRPr="00593380">
        <w:rPr>
          <w:color w:val="000000"/>
          <w:sz w:val="22"/>
          <w:szCs w:val="22"/>
          <w:lang w:bidi="en-US"/>
        </w:rPr>
        <w:t xml:space="preserve"> and books, and the morale of staff is low </w:t>
      </w:r>
      <w:proofErr w:type="spellStart"/>
      <w:r w:rsidRPr="00593380">
        <w:rPr>
          <w:color w:val="000000"/>
          <w:sz w:val="22"/>
          <w:szCs w:val="22"/>
          <w:lang w:bidi="en-US"/>
        </w:rPr>
        <w:t>Ehiaguina</w:t>
      </w:r>
      <w:proofErr w:type="spellEnd"/>
      <w:r w:rsidRPr="00593380">
        <w:rPr>
          <w:color w:val="000000"/>
          <w:sz w:val="22"/>
          <w:szCs w:val="22"/>
          <w:lang w:bidi="en-US"/>
        </w:rPr>
        <w:t>, S. O. (2018). Allocations to universities are going down, while students’ enrolments continue to rise, capital projects cannot take off and in areas that they take off, they are allegedly abandoned due to lack of funds.</w:t>
      </w:r>
    </w:p>
    <w:p w14:paraId="051F3834" w14:textId="08B69818" w:rsidR="00087AD4" w:rsidRPr="00593380" w:rsidRDefault="00087AD4" w:rsidP="00593380">
      <w:pPr>
        <w:pStyle w:val="BodyText2"/>
        <w:shd w:val="clear" w:color="auto" w:fill="auto"/>
        <w:spacing w:before="0" w:after="0" w:line="360" w:lineRule="auto"/>
        <w:ind w:left="20" w:right="20" w:firstLine="0"/>
        <w:rPr>
          <w:sz w:val="22"/>
          <w:szCs w:val="22"/>
        </w:rPr>
      </w:pPr>
      <w:r w:rsidRPr="00593380">
        <w:rPr>
          <w:color w:val="000000"/>
          <w:sz w:val="22"/>
          <w:szCs w:val="22"/>
          <w:lang w:bidi="en-US"/>
        </w:rPr>
        <w:t xml:space="preserve">The by-effect of this dwindling finance in the Nigerian Tertiary institutions system is explicated in many adaptive mechanisms such as </w:t>
      </w:r>
      <w:r w:rsidR="006C40D7" w:rsidRPr="00593380">
        <w:rPr>
          <w:color w:val="000000"/>
          <w:sz w:val="22"/>
          <w:szCs w:val="22"/>
          <w:lang w:bidi="en-US"/>
        </w:rPr>
        <w:t xml:space="preserve">the </w:t>
      </w:r>
      <w:r w:rsidRPr="00593380">
        <w:rPr>
          <w:color w:val="000000"/>
          <w:sz w:val="22"/>
          <w:szCs w:val="22"/>
          <w:lang w:bidi="en-US"/>
        </w:rPr>
        <w:t xml:space="preserve">curtailment of laboratory/practical classes, freezing of new </w:t>
      </w:r>
      <w:r w:rsidRPr="00593380">
        <w:rPr>
          <w:color w:val="000000"/>
          <w:sz w:val="22"/>
          <w:szCs w:val="22"/>
          <w:lang w:bidi="en-US"/>
        </w:rPr>
        <w:lastRenderedPageBreak/>
        <w:t xml:space="preserve">appointments, </w:t>
      </w:r>
      <w:r w:rsidR="006C40D7" w:rsidRPr="00593380">
        <w:rPr>
          <w:color w:val="000000"/>
          <w:sz w:val="22"/>
          <w:szCs w:val="22"/>
          <w:lang w:bidi="en-US"/>
        </w:rPr>
        <w:t xml:space="preserve">a </w:t>
      </w:r>
      <w:r w:rsidRPr="00593380">
        <w:rPr>
          <w:color w:val="000000"/>
          <w:sz w:val="22"/>
          <w:szCs w:val="22"/>
          <w:lang w:bidi="en-US"/>
        </w:rPr>
        <w:t xml:space="preserve">limited number of field trips, </w:t>
      </w:r>
      <w:r w:rsidR="006C40D7" w:rsidRPr="00593380">
        <w:rPr>
          <w:color w:val="000000"/>
          <w:sz w:val="22"/>
          <w:szCs w:val="22"/>
          <w:lang w:bidi="en-US"/>
        </w:rPr>
        <w:t xml:space="preserve">and </w:t>
      </w:r>
      <w:r w:rsidRPr="00593380">
        <w:rPr>
          <w:color w:val="000000"/>
          <w:sz w:val="22"/>
          <w:szCs w:val="22"/>
          <w:lang w:bidi="en-US"/>
        </w:rPr>
        <w:t xml:space="preserve">low quality of research and teaching, among </w:t>
      </w:r>
      <w:r w:rsidR="006C40D7" w:rsidRPr="00593380">
        <w:rPr>
          <w:color w:val="000000"/>
          <w:sz w:val="22"/>
          <w:szCs w:val="22"/>
          <w:lang w:bidi="en-US"/>
        </w:rPr>
        <w:t>others</w:t>
      </w:r>
      <w:r w:rsidRPr="00593380">
        <w:rPr>
          <w:color w:val="000000"/>
          <w:sz w:val="22"/>
          <w:szCs w:val="22"/>
          <w:lang w:bidi="en-US"/>
        </w:rPr>
        <w:t xml:space="preserve">. From this foregoing, it is evident that these effects as highlighted above cripple the ability to optimize the production of skilled output, </w:t>
      </w:r>
      <w:r w:rsidR="006C40D7" w:rsidRPr="00593380">
        <w:rPr>
          <w:color w:val="000000"/>
          <w:sz w:val="22"/>
          <w:szCs w:val="22"/>
          <w:lang w:bidi="en-US"/>
        </w:rPr>
        <w:t xml:space="preserve">and </w:t>
      </w:r>
      <w:r w:rsidRPr="00593380">
        <w:rPr>
          <w:color w:val="000000"/>
          <w:sz w:val="22"/>
          <w:szCs w:val="22"/>
          <w:lang w:bidi="en-US"/>
        </w:rPr>
        <w:t xml:space="preserve">graduates, for the maximization of our </w:t>
      </w:r>
      <w:r w:rsidR="006C40D7" w:rsidRPr="00593380">
        <w:rPr>
          <w:color w:val="000000"/>
          <w:sz w:val="22"/>
          <w:szCs w:val="22"/>
          <w:lang w:bidi="en-US"/>
        </w:rPr>
        <w:t>ever-expanding</w:t>
      </w:r>
      <w:r w:rsidRPr="00593380">
        <w:rPr>
          <w:color w:val="000000"/>
          <w:sz w:val="22"/>
          <w:szCs w:val="22"/>
          <w:lang w:bidi="en-US"/>
        </w:rPr>
        <w:t xml:space="preserve"> economy and global productivity</w:t>
      </w:r>
      <w:r w:rsidR="00AB3D74" w:rsidRPr="00593380">
        <w:rPr>
          <w:color w:val="000000"/>
          <w:sz w:val="22"/>
          <w:szCs w:val="22"/>
          <w:lang w:bidi="en-US"/>
        </w:rPr>
        <w:t xml:space="preserve"> (</w:t>
      </w:r>
      <w:r w:rsidR="00AB3D74" w:rsidRPr="00593380">
        <w:rPr>
          <w:sz w:val="22"/>
          <w:szCs w:val="22"/>
        </w:rPr>
        <w:t>Sanderson, M. 2007)</w:t>
      </w:r>
      <w:r w:rsidRPr="00593380">
        <w:rPr>
          <w:color w:val="000000"/>
          <w:sz w:val="22"/>
          <w:szCs w:val="22"/>
          <w:lang w:bidi="en-US"/>
        </w:rPr>
        <w:t>.</w:t>
      </w:r>
    </w:p>
    <w:p w14:paraId="19BBE129" w14:textId="3C9737AD" w:rsidR="00087AD4" w:rsidRPr="00593380" w:rsidRDefault="00087AD4" w:rsidP="00593380">
      <w:pPr>
        <w:pStyle w:val="Heading2"/>
        <w:spacing w:before="0" w:line="360" w:lineRule="auto"/>
        <w:jc w:val="both"/>
        <w:rPr>
          <w:rFonts w:ascii="Times New Roman" w:hAnsi="Times New Roman" w:cs="Times New Roman"/>
          <w:b/>
          <w:bCs/>
          <w:color w:val="auto"/>
          <w:sz w:val="22"/>
          <w:szCs w:val="22"/>
          <w:lang w:bidi="en-US"/>
        </w:rPr>
      </w:pPr>
      <w:bookmarkStart w:id="5" w:name="_Toc169270798"/>
      <w:bookmarkStart w:id="6" w:name="bookmark3"/>
      <w:r w:rsidRPr="00593380">
        <w:rPr>
          <w:rFonts w:ascii="Times New Roman" w:hAnsi="Times New Roman" w:cs="Times New Roman"/>
          <w:b/>
          <w:bCs/>
          <w:color w:val="auto"/>
          <w:sz w:val="22"/>
          <w:szCs w:val="22"/>
          <w:lang w:bidi="en-US"/>
        </w:rPr>
        <w:t>2.</w:t>
      </w:r>
      <w:r w:rsidR="00593380">
        <w:rPr>
          <w:rFonts w:ascii="Times New Roman" w:hAnsi="Times New Roman" w:cs="Times New Roman"/>
          <w:b/>
          <w:bCs/>
          <w:color w:val="auto"/>
          <w:sz w:val="22"/>
          <w:szCs w:val="22"/>
          <w:lang w:bidi="en-US"/>
        </w:rPr>
        <w:t>2</w:t>
      </w:r>
      <w:r w:rsidRPr="00593380">
        <w:rPr>
          <w:rFonts w:ascii="Times New Roman" w:hAnsi="Times New Roman" w:cs="Times New Roman"/>
          <w:b/>
          <w:bCs/>
          <w:color w:val="auto"/>
          <w:sz w:val="22"/>
          <w:szCs w:val="22"/>
          <w:lang w:bidi="en-US"/>
        </w:rPr>
        <w:t xml:space="preserve"> Sources of Internally Generated Revenue (IGR)</w:t>
      </w:r>
      <w:bookmarkEnd w:id="5"/>
      <w:r w:rsidRPr="00593380">
        <w:rPr>
          <w:rFonts w:ascii="Times New Roman" w:hAnsi="Times New Roman" w:cs="Times New Roman"/>
          <w:b/>
          <w:bCs/>
          <w:color w:val="auto"/>
          <w:sz w:val="22"/>
          <w:szCs w:val="22"/>
          <w:lang w:bidi="en-US"/>
        </w:rPr>
        <w:t xml:space="preserve"> </w:t>
      </w:r>
    </w:p>
    <w:p w14:paraId="0550D2F0" w14:textId="338BC493" w:rsidR="00087AD4" w:rsidRPr="00593380" w:rsidRDefault="00593380" w:rsidP="00593380">
      <w:pPr>
        <w:pStyle w:val="Heading3"/>
        <w:spacing w:before="0" w:beforeAutospacing="0" w:after="0" w:afterAutospacing="0" w:line="360" w:lineRule="auto"/>
        <w:jc w:val="both"/>
        <w:rPr>
          <w:sz w:val="22"/>
          <w:szCs w:val="22"/>
        </w:rPr>
      </w:pPr>
      <w:bookmarkStart w:id="7" w:name="_Toc169270799"/>
      <w:proofErr w:type="spellStart"/>
      <w:r>
        <w:rPr>
          <w:sz w:val="22"/>
          <w:szCs w:val="22"/>
          <w:lang w:bidi="en-US"/>
        </w:rPr>
        <w:t>i</w:t>
      </w:r>
      <w:proofErr w:type="spellEnd"/>
      <w:r>
        <w:rPr>
          <w:sz w:val="22"/>
          <w:szCs w:val="22"/>
          <w:lang w:bidi="en-US"/>
        </w:rPr>
        <w:t>.</w:t>
      </w:r>
      <w:r w:rsidR="0047530D" w:rsidRPr="00593380">
        <w:rPr>
          <w:sz w:val="22"/>
          <w:szCs w:val="22"/>
          <w:lang w:bidi="en-US"/>
        </w:rPr>
        <w:t xml:space="preserve"> </w:t>
      </w:r>
      <w:r w:rsidR="00087AD4" w:rsidRPr="00593380">
        <w:rPr>
          <w:sz w:val="22"/>
          <w:szCs w:val="22"/>
          <w:lang w:bidi="en-US"/>
        </w:rPr>
        <w:t>Fees</w:t>
      </w:r>
      <w:bookmarkEnd w:id="6"/>
      <w:bookmarkEnd w:id="7"/>
      <w:r>
        <w:rPr>
          <w:sz w:val="22"/>
          <w:szCs w:val="22"/>
          <w:lang w:bidi="en-US"/>
        </w:rPr>
        <w:t xml:space="preserve">: </w:t>
      </w:r>
      <w:r w:rsidR="00087AD4" w:rsidRPr="00593380">
        <w:rPr>
          <w:b w:val="0"/>
          <w:bCs w:val="0"/>
          <w:color w:val="000000"/>
          <w:sz w:val="22"/>
          <w:szCs w:val="22"/>
          <w:lang w:bidi="en-US"/>
        </w:rPr>
        <w:t xml:space="preserve">Fees </w:t>
      </w:r>
      <w:r w:rsidR="006C40D7" w:rsidRPr="00593380">
        <w:rPr>
          <w:b w:val="0"/>
          <w:bCs w:val="0"/>
          <w:color w:val="000000"/>
          <w:sz w:val="22"/>
          <w:szCs w:val="22"/>
          <w:lang w:bidi="en-US"/>
        </w:rPr>
        <w:t>encompass</w:t>
      </w:r>
      <w:r w:rsidR="00087AD4" w:rsidRPr="00593380">
        <w:rPr>
          <w:b w:val="0"/>
          <w:bCs w:val="0"/>
          <w:color w:val="000000"/>
          <w:sz w:val="22"/>
          <w:szCs w:val="22"/>
          <w:lang w:bidi="en-US"/>
        </w:rPr>
        <w:t xml:space="preserve"> tuition fees, accommodation fees, development levy, ICT levy, sports and registration fees. There have been divergent opinions on the payment of tuition fees in </w:t>
      </w:r>
      <w:r w:rsidR="000C0290">
        <w:rPr>
          <w:b w:val="0"/>
          <w:bCs w:val="0"/>
          <w:color w:val="000000"/>
          <w:sz w:val="22"/>
          <w:szCs w:val="22"/>
          <w:lang w:bidi="en-US"/>
        </w:rPr>
        <w:t>tertiary institutions</w:t>
      </w:r>
      <w:r w:rsidR="00087AD4" w:rsidRPr="00593380">
        <w:rPr>
          <w:b w:val="0"/>
          <w:bCs w:val="0"/>
          <w:color w:val="000000"/>
          <w:sz w:val="22"/>
          <w:szCs w:val="22"/>
          <w:lang w:bidi="en-US"/>
        </w:rPr>
        <w:t xml:space="preserve">. While it is evident that students pay fees other than tuition fees in some federal </w:t>
      </w:r>
      <w:r w:rsidR="000C0290">
        <w:rPr>
          <w:b w:val="0"/>
          <w:bCs w:val="0"/>
          <w:color w:val="000000"/>
          <w:sz w:val="22"/>
          <w:szCs w:val="22"/>
          <w:lang w:bidi="en-US"/>
        </w:rPr>
        <w:t>tertiary institutions</w:t>
      </w:r>
      <w:r w:rsidR="00087AD4" w:rsidRPr="00593380">
        <w:rPr>
          <w:b w:val="0"/>
          <w:bCs w:val="0"/>
          <w:color w:val="000000"/>
          <w:sz w:val="22"/>
          <w:szCs w:val="22"/>
          <w:lang w:bidi="en-US"/>
        </w:rPr>
        <w:t xml:space="preserve">, there have been repeated calls for the introduction of tuition fees in such </w:t>
      </w:r>
      <w:r w:rsidR="000C0290">
        <w:rPr>
          <w:b w:val="0"/>
          <w:bCs w:val="0"/>
          <w:color w:val="000000"/>
          <w:sz w:val="22"/>
          <w:szCs w:val="22"/>
          <w:lang w:bidi="en-US"/>
        </w:rPr>
        <w:t>tertiary institutions</w:t>
      </w:r>
      <w:r w:rsidR="00087AD4" w:rsidRPr="00593380">
        <w:rPr>
          <w:b w:val="0"/>
          <w:bCs w:val="0"/>
          <w:color w:val="000000"/>
          <w:sz w:val="22"/>
          <w:szCs w:val="22"/>
          <w:lang w:bidi="en-US"/>
        </w:rPr>
        <w:t xml:space="preserve"> by stakeholders in universities.</w:t>
      </w:r>
    </w:p>
    <w:p w14:paraId="08B8F8A3" w14:textId="7A44CD55" w:rsidR="00087AD4" w:rsidRPr="00593380" w:rsidRDefault="00087AD4" w:rsidP="00593380">
      <w:pPr>
        <w:pStyle w:val="BodyText2"/>
        <w:shd w:val="clear" w:color="auto" w:fill="auto"/>
        <w:spacing w:before="0" w:after="0" w:line="360" w:lineRule="auto"/>
        <w:ind w:left="20" w:right="20" w:firstLine="0"/>
        <w:rPr>
          <w:color w:val="000000"/>
          <w:sz w:val="22"/>
          <w:szCs w:val="22"/>
          <w:lang w:bidi="en-US"/>
        </w:rPr>
      </w:pPr>
      <w:r w:rsidRPr="00593380">
        <w:rPr>
          <w:color w:val="000000"/>
          <w:sz w:val="22"/>
          <w:szCs w:val="22"/>
          <w:lang w:bidi="en-US"/>
        </w:rPr>
        <w:t xml:space="preserve">Ademola and </w:t>
      </w:r>
      <w:proofErr w:type="spellStart"/>
      <w:r w:rsidRPr="00593380">
        <w:rPr>
          <w:color w:val="000000"/>
          <w:sz w:val="22"/>
          <w:szCs w:val="22"/>
          <w:lang w:bidi="en-US"/>
        </w:rPr>
        <w:t>Ukeki</w:t>
      </w:r>
      <w:proofErr w:type="spellEnd"/>
      <w:r w:rsidRPr="00593380">
        <w:rPr>
          <w:color w:val="000000"/>
          <w:sz w:val="22"/>
          <w:szCs w:val="22"/>
          <w:lang w:bidi="en-US"/>
        </w:rPr>
        <w:t xml:space="preserve"> (2019) posited that the issue of tuition fees should not be politicized and made a non-serious issue. They pointed out cardinal issues that urgently needed attention from the </w:t>
      </w:r>
      <w:r w:rsidR="000C0290">
        <w:rPr>
          <w:color w:val="000000"/>
          <w:sz w:val="22"/>
          <w:szCs w:val="22"/>
          <w:lang w:bidi="en-US"/>
        </w:rPr>
        <w:t>tertiary institutions</w:t>
      </w:r>
      <w:r w:rsidRPr="00593380">
        <w:rPr>
          <w:color w:val="000000"/>
          <w:sz w:val="22"/>
          <w:szCs w:val="22"/>
          <w:lang w:bidi="en-US"/>
        </w:rPr>
        <w:t xml:space="preserve"> as the need to collaborate with banks to start special students account, innovative moves to attract more financial institutions to the campus, constitute an IGR Drive Committee, with improved friendly students’ services. </w:t>
      </w:r>
      <w:proofErr w:type="spellStart"/>
      <w:r w:rsidRPr="00593380">
        <w:rPr>
          <w:color w:val="000000"/>
          <w:sz w:val="22"/>
          <w:szCs w:val="22"/>
          <w:lang w:bidi="en-US"/>
        </w:rPr>
        <w:t>Aisabor</w:t>
      </w:r>
      <w:proofErr w:type="spellEnd"/>
      <w:r w:rsidRPr="00593380">
        <w:rPr>
          <w:color w:val="000000"/>
          <w:sz w:val="22"/>
          <w:szCs w:val="22"/>
          <w:lang w:bidi="en-US"/>
        </w:rPr>
        <w:t xml:space="preserve"> (2020) asserted that fees, as a </w:t>
      </w:r>
      <w:r w:rsidR="006C40D7" w:rsidRPr="00593380">
        <w:rPr>
          <w:color w:val="000000"/>
          <w:sz w:val="22"/>
          <w:szCs w:val="22"/>
          <w:lang w:bidi="en-US"/>
        </w:rPr>
        <w:t>whole</w:t>
      </w:r>
      <w:r w:rsidRPr="00593380">
        <w:rPr>
          <w:color w:val="000000"/>
          <w:sz w:val="22"/>
          <w:szCs w:val="22"/>
          <w:lang w:bidi="en-US"/>
        </w:rPr>
        <w:t xml:space="preserve">, </w:t>
      </w:r>
      <w:r w:rsidR="006C40D7" w:rsidRPr="00593380">
        <w:rPr>
          <w:color w:val="000000"/>
          <w:sz w:val="22"/>
          <w:szCs w:val="22"/>
          <w:lang w:bidi="en-US"/>
        </w:rPr>
        <w:t>are</w:t>
      </w:r>
      <w:r w:rsidRPr="00593380">
        <w:rPr>
          <w:color w:val="000000"/>
          <w:sz w:val="22"/>
          <w:szCs w:val="22"/>
          <w:lang w:bidi="en-US"/>
        </w:rPr>
        <w:t xml:space="preserve"> a major source of IGR, as concerted efforts were made to distinguish tuition fees from other fees. Other fees include hostel fees, ICT fees, health fees, etc. </w:t>
      </w:r>
      <w:proofErr w:type="spellStart"/>
      <w:r w:rsidRPr="00593380">
        <w:rPr>
          <w:color w:val="000000"/>
          <w:sz w:val="22"/>
          <w:szCs w:val="22"/>
          <w:lang w:bidi="en-US"/>
        </w:rPr>
        <w:t>Aisabor</w:t>
      </w:r>
      <w:proofErr w:type="spellEnd"/>
      <w:r w:rsidRPr="00593380">
        <w:rPr>
          <w:color w:val="000000"/>
          <w:sz w:val="22"/>
          <w:szCs w:val="22"/>
          <w:lang w:bidi="en-US"/>
        </w:rPr>
        <w:t xml:space="preserve"> (2020) observed that tuition fees are not paid in federal </w:t>
      </w:r>
      <w:r w:rsidR="000C0290">
        <w:rPr>
          <w:color w:val="000000"/>
          <w:sz w:val="22"/>
          <w:szCs w:val="22"/>
          <w:lang w:bidi="en-US"/>
        </w:rPr>
        <w:t>tertiary institutions</w:t>
      </w:r>
      <w:r w:rsidRPr="00593380">
        <w:rPr>
          <w:color w:val="000000"/>
          <w:sz w:val="22"/>
          <w:szCs w:val="22"/>
          <w:lang w:bidi="en-US"/>
        </w:rPr>
        <w:t xml:space="preserve">, adding that fees collected by some federal </w:t>
      </w:r>
      <w:r w:rsidR="000C0290">
        <w:rPr>
          <w:color w:val="000000"/>
          <w:sz w:val="22"/>
          <w:szCs w:val="22"/>
          <w:lang w:bidi="en-US"/>
        </w:rPr>
        <w:t>tertiary institutions</w:t>
      </w:r>
      <w:r w:rsidRPr="00593380">
        <w:rPr>
          <w:color w:val="000000"/>
          <w:sz w:val="22"/>
          <w:szCs w:val="22"/>
          <w:lang w:bidi="en-US"/>
        </w:rPr>
        <w:t xml:space="preserve"> are higher than those collected by some state </w:t>
      </w:r>
      <w:r w:rsidR="000C0290">
        <w:rPr>
          <w:color w:val="000000"/>
          <w:sz w:val="22"/>
          <w:szCs w:val="22"/>
          <w:lang w:bidi="en-US"/>
        </w:rPr>
        <w:t>tertiary institutions</w:t>
      </w:r>
      <w:r w:rsidRPr="00593380">
        <w:rPr>
          <w:color w:val="000000"/>
          <w:sz w:val="22"/>
          <w:szCs w:val="22"/>
          <w:lang w:bidi="en-US"/>
        </w:rPr>
        <w:t xml:space="preserve"> that collect tuition fees. It is</w:t>
      </w:r>
      <w:r w:rsidR="006C40D7" w:rsidRPr="00593380">
        <w:rPr>
          <w:color w:val="000000"/>
          <w:sz w:val="22"/>
          <w:szCs w:val="22"/>
          <w:lang w:bidi="en-US"/>
        </w:rPr>
        <w:t>,</w:t>
      </w:r>
      <w:r w:rsidRPr="00593380">
        <w:rPr>
          <w:color w:val="000000"/>
          <w:sz w:val="22"/>
          <w:szCs w:val="22"/>
          <w:lang w:bidi="en-US"/>
        </w:rPr>
        <w:t xml:space="preserve"> however, the opinion of this paper that the word “fees” encapsulates all manner of fees paid in the </w:t>
      </w:r>
      <w:r w:rsidR="000C0290">
        <w:rPr>
          <w:color w:val="000000"/>
          <w:sz w:val="22"/>
          <w:szCs w:val="22"/>
          <w:lang w:bidi="en-US"/>
        </w:rPr>
        <w:t>tertiary institutions</w:t>
      </w:r>
      <w:r w:rsidRPr="00593380">
        <w:rPr>
          <w:color w:val="000000"/>
          <w:sz w:val="22"/>
          <w:szCs w:val="22"/>
          <w:lang w:bidi="en-US"/>
        </w:rPr>
        <w:t>.</w:t>
      </w:r>
    </w:p>
    <w:p w14:paraId="6D18148E" w14:textId="1758A2C2" w:rsidR="00087AD4" w:rsidRPr="00593380" w:rsidRDefault="00593380" w:rsidP="00593380">
      <w:pPr>
        <w:pStyle w:val="Heading3"/>
        <w:spacing w:before="0" w:beforeAutospacing="0" w:after="0" w:afterAutospacing="0" w:line="360" w:lineRule="auto"/>
        <w:jc w:val="both"/>
        <w:rPr>
          <w:sz w:val="22"/>
          <w:szCs w:val="22"/>
        </w:rPr>
      </w:pPr>
      <w:bookmarkStart w:id="8" w:name="bookmark4"/>
      <w:bookmarkStart w:id="9" w:name="_Toc169270800"/>
      <w:r>
        <w:rPr>
          <w:sz w:val="22"/>
          <w:szCs w:val="22"/>
          <w:lang w:bidi="en-US"/>
        </w:rPr>
        <w:t>ii.</w:t>
      </w:r>
      <w:r w:rsidR="00A05256" w:rsidRPr="00593380">
        <w:rPr>
          <w:sz w:val="22"/>
          <w:szCs w:val="22"/>
          <w:lang w:bidi="en-US"/>
        </w:rPr>
        <w:t xml:space="preserve"> </w:t>
      </w:r>
      <w:r w:rsidR="00087AD4" w:rsidRPr="00593380">
        <w:rPr>
          <w:sz w:val="22"/>
          <w:szCs w:val="22"/>
          <w:lang w:bidi="en-US"/>
        </w:rPr>
        <w:t>Bookshop/Printing Press</w:t>
      </w:r>
      <w:bookmarkEnd w:id="8"/>
      <w:bookmarkEnd w:id="9"/>
      <w:r>
        <w:rPr>
          <w:sz w:val="22"/>
          <w:szCs w:val="22"/>
          <w:lang w:bidi="en-US"/>
        </w:rPr>
        <w:t xml:space="preserve">: </w:t>
      </w:r>
      <w:r w:rsidR="006C40D7" w:rsidRPr="00593380">
        <w:rPr>
          <w:b w:val="0"/>
          <w:bCs w:val="0"/>
          <w:color w:val="000000"/>
          <w:sz w:val="22"/>
          <w:szCs w:val="22"/>
          <w:lang w:bidi="en-US"/>
        </w:rPr>
        <w:t>Bookshops</w:t>
      </w:r>
      <w:r w:rsidR="00087AD4" w:rsidRPr="00593380">
        <w:rPr>
          <w:b w:val="0"/>
          <w:bCs w:val="0"/>
          <w:color w:val="000000"/>
          <w:sz w:val="22"/>
          <w:szCs w:val="22"/>
          <w:lang w:bidi="en-US"/>
        </w:rPr>
        <w:t xml:space="preserve"> and Printing Press are another major source of raising funds for a tertiary institution. Since the tertiary </w:t>
      </w:r>
      <w:r w:rsidR="006C40D7" w:rsidRPr="00593380">
        <w:rPr>
          <w:b w:val="0"/>
          <w:bCs w:val="0"/>
          <w:color w:val="000000"/>
          <w:sz w:val="22"/>
          <w:szCs w:val="22"/>
          <w:lang w:bidi="en-US"/>
        </w:rPr>
        <w:t>institution</w:t>
      </w:r>
      <w:r w:rsidR="00087AD4" w:rsidRPr="00593380">
        <w:rPr>
          <w:b w:val="0"/>
          <w:bCs w:val="0"/>
          <w:color w:val="000000"/>
          <w:sz w:val="22"/>
          <w:szCs w:val="22"/>
          <w:lang w:bidi="en-US"/>
        </w:rPr>
        <w:t xml:space="preserve"> is a learning and research Centre, there is </w:t>
      </w:r>
      <w:r w:rsidR="006C40D7" w:rsidRPr="00593380">
        <w:rPr>
          <w:b w:val="0"/>
          <w:bCs w:val="0"/>
          <w:color w:val="000000"/>
          <w:sz w:val="22"/>
          <w:szCs w:val="22"/>
          <w:lang w:bidi="en-US"/>
        </w:rPr>
        <w:t>a</w:t>
      </w:r>
      <w:r w:rsidR="00087AD4" w:rsidRPr="00593380">
        <w:rPr>
          <w:b w:val="0"/>
          <w:bCs w:val="0"/>
          <w:color w:val="000000"/>
          <w:sz w:val="22"/>
          <w:szCs w:val="22"/>
          <w:lang w:bidi="en-US"/>
        </w:rPr>
        <w:t xml:space="preserve"> need for it to open and stock a bookshop with the necessary books and materials for its </w:t>
      </w:r>
      <w:r w:rsidR="006C40D7" w:rsidRPr="00593380">
        <w:rPr>
          <w:b w:val="0"/>
          <w:bCs w:val="0"/>
          <w:color w:val="000000"/>
          <w:sz w:val="22"/>
          <w:szCs w:val="22"/>
          <w:lang w:bidi="en-US"/>
        </w:rPr>
        <w:t>student's</w:t>
      </w:r>
      <w:r w:rsidR="00087AD4" w:rsidRPr="00593380">
        <w:rPr>
          <w:b w:val="0"/>
          <w:bCs w:val="0"/>
          <w:color w:val="000000"/>
          <w:sz w:val="22"/>
          <w:szCs w:val="22"/>
          <w:lang w:bidi="en-US"/>
        </w:rPr>
        <w:t xml:space="preserve"> use. Instead of taking all printing jobs from staff, students</w:t>
      </w:r>
      <w:r w:rsidR="006C40D7" w:rsidRPr="00593380">
        <w:rPr>
          <w:b w:val="0"/>
          <w:bCs w:val="0"/>
          <w:color w:val="000000"/>
          <w:sz w:val="22"/>
          <w:szCs w:val="22"/>
          <w:lang w:bidi="en-US"/>
        </w:rPr>
        <w:t>,</w:t>
      </w:r>
      <w:r w:rsidR="00087AD4" w:rsidRPr="00593380">
        <w:rPr>
          <w:b w:val="0"/>
          <w:bCs w:val="0"/>
          <w:color w:val="000000"/>
          <w:sz w:val="22"/>
          <w:szCs w:val="22"/>
          <w:lang w:bidi="en-US"/>
        </w:rPr>
        <w:t xml:space="preserve"> and departments, the tertiary institutions, can establish </w:t>
      </w:r>
      <w:r w:rsidR="006C40D7" w:rsidRPr="00593380">
        <w:rPr>
          <w:b w:val="0"/>
          <w:bCs w:val="0"/>
          <w:color w:val="000000"/>
          <w:sz w:val="22"/>
          <w:szCs w:val="22"/>
          <w:lang w:bidi="en-US"/>
        </w:rPr>
        <w:t>their</w:t>
      </w:r>
      <w:r w:rsidR="00087AD4" w:rsidRPr="00593380">
        <w:rPr>
          <w:b w:val="0"/>
          <w:bCs w:val="0"/>
          <w:color w:val="000000"/>
          <w:sz w:val="22"/>
          <w:szCs w:val="22"/>
          <w:lang w:bidi="en-US"/>
        </w:rPr>
        <w:t xml:space="preserve"> printing press for all printing and publication jobs. There should also be a rule that all printing jobs from the tertiary institutions should be done in the tertiary institution’s printing press</w:t>
      </w:r>
      <w:r w:rsidR="00AB3D74" w:rsidRPr="00593380">
        <w:rPr>
          <w:b w:val="0"/>
          <w:bCs w:val="0"/>
          <w:color w:val="000000"/>
          <w:sz w:val="22"/>
          <w:szCs w:val="22"/>
          <w:lang w:bidi="en-US"/>
        </w:rPr>
        <w:t xml:space="preserve"> (</w:t>
      </w:r>
      <w:proofErr w:type="spellStart"/>
      <w:r w:rsidR="00AB3D74" w:rsidRPr="00593380">
        <w:rPr>
          <w:b w:val="0"/>
          <w:bCs w:val="0"/>
          <w:color w:val="000000"/>
          <w:sz w:val="22"/>
          <w:szCs w:val="22"/>
          <w:lang w:bidi="en-US"/>
        </w:rPr>
        <w:t>Odeniyi</w:t>
      </w:r>
      <w:proofErr w:type="spellEnd"/>
      <w:r w:rsidR="00AB3D74" w:rsidRPr="00593380">
        <w:rPr>
          <w:b w:val="0"/>
          <w:bCs w:val="0"/>
          <w:color w:val="000000"/>
          <w:sz w:val="22"/>
          <w:szCs w:val="22"/>
          <w:lang w:bidi="en-US"/>
        </w:rPr>
        <w:t xml:space="preserve"> &amp; Aina, 1999)</w:t>
      </w:r>
      <w:r w:rsidR="00087AD4" w:rsidRPr="00593380">
        <w:rPr>
          <w:b w:val="0"/>
          <w:bCs w:val="0"/>
          <w:color w:val="000000"/>
          <w:sz w:val="22"/>
          <w:szCs w:val="22"/>
          <w:lang w:bidi="en-US"/>
        </w:rPr>
        <w:t>.</w:t>
      </w:r>
    </w:p>
    <w:p w14:paraId="63510A1E" w14:textId="76975343" w:rsidR="00087AD4" w:rsidRPr="00593380" w:rsidRDefault="00593380" w:rsidP="00593380">
      <w:pPr>
        <w:pStyle w:val="Heading3"/>
        <w:spacing w:before="0" w:beforeAutospacing="0" w:after="0" w:afterAutospacing="0" w:line="360" w:lineRule="auto"/>
        <w:jc w:val="both"/>
        <w:rPr>
          <w:b w:val="0"/>
          <w:bCs w:val="0"/>
          <w:sz w:val="22"/>
          <w:szCs w:val="22"/>
        </w:rPr>
      </w:pPr>
      <w:bookmarkStart w:id="10" w:name="bookmark5"/>
      <w:bookmarkStart w:id="11" w:name="_Toc169270801"/>
      <w:r>
        <w:rPr>
          <w:sz w:val="22"/>
          <w:szCs w:val="22"/>
          <w:lang w:bidi="en-US"/>
        </w:rPr>
        <w:t xml:space="preserve">iii. </w:t>
      </w:r>
      <w:r w:rsidR="00087AD4" w:rsidRPr="00593380">
        <w:rPr>
          <w:sz w:val="22"/>
          <w:szCs w:val="22"/>
          <w:lang w:bidi="en-US"/>
        </w:rPr>
        <w:t>Research, Contract and Consultancy Services</w:t>
      </w:r>
      <w:bookmarkEnd w:id="10"/>
      <w:bookmarkEnd w:id="11"/>
      <w:r>
        <w:rPr>
          <w:sz w:val="22"/>
          <w:szCs w:val="22"/>
          <w:lang w:bidi="en-US"/>
        </w:rPr>
        <w:t xml:space="preserve">: </w:t>
      </w:r>
      <w:r w:rsidR="000C0290">
        <w:rPr>
          <w:b w:val="0"/>
          <w:bCs w:val="0"/>
          <w:color w:val="000000"/>
          <w:sz w:val="22"/>
          <w:szCs w:val="22"/>
          <w:lang w:bidi="en-US"/>
        </w:rPr>
        <w:t>Tertiary institutions</w:t>
      </w:r>
      <w:r w:rsidR="00087AD4" w:rsidRPr="00593380">
        <w:rPr>
          <w:b w:val="0"/>
          <w:bCs w:val="0"/>
          <w:color w:val="000000"/>
          <w:sz w:val="22"/>
          <w:szCs w:val="22"/>
          <w:lang w:bidi="en-US"/>
        </w:rPr>
        <w:t xml:space="preserve"> can also undertake </w:t>
      </w:r>
      <w:r w:rsidR="006C40D7" w:rsidRPr="00593380">
        <w:rPr>
          <w:b w:val="0"/>
          <w:bCs w:val="0"/>
          <w:color w:val="000000"/>
          <w:sz w:val="22"/>
          <w:szCs w:val="22"/>
          <w:lang w:bidi="en-US"/>
        </w:rPr>
        <w:t>research</w:t>
      </w:r>
      <w:r w:rsidR="00087AD4" w:rsidRPr="00593380">
        <w:rPr>
          <w:b w:val="0"/>
          <w:bCs w:val="0"/>
          <w:color w:val="000000"/>
          <w:sz w:val="22"/>
          <w:szCs w:val="22"/>
          <w:lang w:bidi="en-US"/>
        </w:rPr>
        <w:t xml:space="preserve"> for big organizations like oil firms. Money accruing from </w:t>
      </w:r>
      <w:r w:rsidR="006C40D7" w:rsidRPr="00593380">
        <w:rPr>
          <w:b w:val="0"/>
          <w:bCs w:val="0"/>
          <w:color w:val="000000"/>
          <w:sz w:val="22"/>
          <w:szCs w:val="22"/>
          <w:lang w:bidi="en-US"/>
        </w:rPr>
        <w:t>this research</w:t>
      </w:r>
      <w:r w:rsidR="00087AD4" w:rsidRPr="00593380">
        <w:rPr>
          <w:b w:val="0"/>
          <w:bCs w:val="0"/>
          <w:color w:val="000000"/>
          <w:sz w:val="22"/>
          <w:szCs w:val="22"/>
          <w:lang w:bidi="en-US"/>
        </w:rPr>
        <w:t xml:space="preserve"> can be used by the institutions. The </w:t>
      </w:r>
      <w:r w:rsidR="00087AD4" w:rsidRPr="00593380">
        <w:rPr>
          <w:b w:val="0"/>
          <w:bCs w:val="0"/>
          <w:sz w:val="22"/>
          <w:szCs w:val="22"/>
        </w:rPr>
        <w:t>tertiary institutions</w:t>
      </w:r>
      <w:r w:rsidR="00087AD4" w:rsidRPr="00593380">
        <w:rPr>
          <w:b w:val="0"/>
          <w:bCs w:val="0"/>
          <w:color w:val="000000"/>
          <w:sz w:val="22"/>
          <w:szCs w:val="22"/>
          <w:lang w:bidi="en-US"/>
        </w:rPr>
        <w:t xml:space="preserve"> should canvass for </w:t>
      </w:r>
      <w:r w:rsidR="006C40D7" w:rsidRPr="00593380">
        <w:rPr>
          <w:b w:val="0"/>
          <w:bCs w:val="0"/>
          <w:color w:val="000000"/>
          <w:sz w:val="22"/>
          <w:szCs w:val="22"/>
          <w:lang w:bidi="en-US"/>
        </w:rPr>
        <w:t>research</w:t>
      </w:r>
      <w:r w:rsidR="00087AD4" w:rsidRPr="00593380">
        <w:rPr>
          <w:b w:val="0"/>
          <w:bCs w:val="0"/>
          <w:color w:val="000000"/>
          <w:sz w:val="22"/>
          <w:szCs w:val="22"/>
          <w:lang w:bidi="en-US"/>
        </w:rPr>
        <w:t xml:space="preserve"> from industries and these industries should be ready to employ their services. </w:t>
      </w:r>
      <w:r w:rsidR="00087AD4" w:rsidRPr="00593380">
        <w:rPr>
          <w:b w:val="0"/>
          <w:bCs w:val="0"/>
          <w:sz w:val="22"/>
          <w:szCs w:val="22"/>
        </w:rPr>
        <w:t>Tertiary institutions</w:t>
      </w:r>
      <w:r w:rsidR="00087AD4" w:rsidRPr="00593380">
        <w:rPr>
          <w:b w:val="0"/>
          <w:bCs w:val="0"/>
          <w:color w:val="000000"/>
          <w:sz w:val="22"/>
          <w:szCs w:val="22"/>
          <w:lang w:bidi="en-US"/>
        </w:rPr>
        <w:t xml:space="preserve"> can also vie for contracts and use the proceeds for its funding. Departments running professional courses should use their students as on-the-job training to do contracts. </w:t>
      </w:r>
      <w:r w:rsidR="006C40D7" w:rsidRPr="00593380">
        <w:rPr>
          <w:b w:val="0"/>
          <w:bCs w:val="0"/>
          <w:color w:val="000000"/>
          <w:sz w:val="22"/>
          <w:szCs w:val="22"/>
          <w:lang w:bidi="en-US"/>
        </w:rPr>
        <w:t>Various</w:t>
      </w:r>
      <w:r w:rsidR="00087AD4" w:rsidRPr="00593380">
        <w:rPr>
          <w:b w:val="0"/>
          <w:bCs w:val="0"/>
          <w:color w:val="000000"/>
          <w:sz w:val="22"/>
          <w:szCs w:val="22"/>
          <w:lang w:bidi="en-US"/>
        </w:rPr>
        <w:t xml:space="preserve"> departments in </w:t>
      </w:r>
      <w:r w:rsidR="00087AD4" w:rsidRPr="00593380">
        <w:rPr>
          <w:b w:val="0"/>
          <w:bCs w:val="0"/>
          <w:sz w:val="22"/>
          <w:szCs w:val="22"/>
        </w:rPr>
        <w:t>tertiary institutions</w:t>
      </w:r>
      <w:r w:rsidR="00087AD4" w:rsidRPr="00593380">
        <w:rPr>
          <w:b w:val="0"/>
          <w:bCs w:val="0"/>
          <w:color w:val="000000"/>
          <w:sz w:val="22"/>
          <w:szCs w:val="22"/>
          <w:lang w:bidi="en-US"/>
        </w:rPr>
        <w:t xml:space="preserve">, like Accounting, Fine and Applied Arts, Architecture, Building, </w:t>
      </w:r>
      <w:r w:rsidR="006C40D7" w:rsidRPr="00593380">
        <w:rPr>
          <w:b w:val="0"/>
          <w:bCs w:val="0"/>
          <w:color w:val="000000"/>
          <w:sz w:val="22"/>
          <w:szCs w:val="22"/>
          <w:lang w:bidi="en-US"/>
        </w:rPr>
        <w:t xml:space="preserve">and </w:t>
      </w:r>
      <w:r w:rsidR="00087AD4" w:rsidRPr="00593380">
        <w:rPr>
          <w:b w:val="0"/>
          <w:bCs w:val="0"/>
          <w:color w:val="000000"/>
          <w:sz w:val="22"/>
          <w:szCs w:val="22"/>
          <w:lang w:bidi="en-US"/>
        </w:rPr>
        <w:t xml:space="preserve">Medical </w:t>
      </w:r>
      <w:r w:rsidR="006C40D7" w:rsidRPr="00593380">
        <w:rPr>
          <w:b w:val="0"/>
          <w:bCs w:val="0"/>
          <w:color w:val="000000"/>
          <w:sz w:val="22"/>
          <w:szCs w:val="22"/>
          <w:lang w:bidi="en-US"/>
        </w:rPr>
        <w:t>Laboratories</w:t>
      </w:r>
      <w:r w:rsidR="00087AD4" w:rsidRPr="00593380">
        <w:rPr>
          <w:b w:val="0"/>
          <w:bCs w:val="0"/>
          <w:color w:val="000000"/>
          <w:sz w:val="22"/>
          <w:szCs w:val="22"/>
          <w:lang w:bidi="en-US"/>
        </w:rPr>
        <w:t xml:space="preserve"> should sell their services to the public by showcasing their findings and good works in </w:t>
      </w:r>
      <w:r w:rsidR="006C40D7" w:rsidRPr="00593380">
        <w:rPr>
          <w:b w:val="0"/>
          <w:bCs w:val="0"/>
          <w:color w:val="000000"/>
          <w:sz w:val="22"/>
          <w:szCs w:val="22"/>
          <w:lang w:bidi="en-US"/>
        </w:rPr>
        <w:t>exhibitions</w:t>
      </w:r>
      <w:r w:rsidR="00087AD4" w:rsidRPr="00593380">
        <w:rPr>
          <w:b w:val="0"/>
          <w:bCs w:val="0"/>
          <w:color w:val="000000"/>
          <w:sz w:val="22"/>
          <w:szCs w:val="22"/>
          <w:lang w:bidi="en-US"/>
        </w:rPr>
        <w:t xml:space="preserve"> </w:t>
      </w:r>
      <w:proofErr w:type="spellStart"/>
      <w:r w:rsidR="00087AD4" w:rsidRPr="00593380">
        <w:rPr>
          <w:b w:val="0"/>
          <w:bCs w:val="0"/>
          <w:color w:val="000000"/>
          <w:sz w:val="22"/>
          <w:szCs w:val="22"/>
          <w:lang w:bidi="en-US"/>
        </w:rPr>
        <w:t>Ademla</w:t>
      </w:r>
      <w:proofErr w:type="spellEnd"/>
      <w:r w:rsidR="00087AD4" w:rsidRPr="00593380">
        <w:rPr>
          <w:b w:val="0"/>
          <w:bCs w:val="0"/>
          <w:color w:val="000000"/>
          <w:sz w:val="22"/>
          <w:szCs w:val="22"/>
          <w:lang w:bidi="en-US"/>
        </w:rPr>
        <w:t xml:space="preserve">, P. and </w:t>
      </w:r>
      <w:proofErr w:type="spellStart"/>
      <w:r w:rsidR="00087AD4" w:rsidRPr="00593380">
        <w:rPr>
          <w:b w:val="0"/>
          <w:bCs w:val="0"/>
          <w:color w:val="000000"/>
          <w:sz w:val="22"/>
          <w:szCs w:val="22"/>
          <w:lang w:bidi="en-US"/>
        </w:rPr>
        <w:t>Ukeki</w:t>
      </w:r>
      <w:proofErr w:type="spellEnd"/>
      <w:r w:rsidR="00087AD4" w:rsidRPr="00593380">
        <w:rPr>
          <w:b w:val="0"/>
          <w:bCs w:val="0"/>
          <w:color w:val="000000"/>
          <w:sz w:val="22"/>
          <w:szCs w:val="22"/>
          <w:lang w:bidi="en-US"/>
        </w:rPr>
        <w:t>, J. A. (2019)</w:t>
      </w:r>
      <w:r w:rsidR="00087AD4" w:rsidRPr="00593380">
        <w:rPr>
          <w:b w:val="0"/>
          <w:bCs w:val="0"/>
          <w:sz w:val="22"/>
          <w:szCs w:val="22"/>
        </w:rPr>
        <w:t>.</w:t>
      </w:r>
    </w:p>
    <w:p w14:paraId="4A913EEC" w14:textId="5EC9FACF" w:rsidR="00087AD4" w:rsidRPr="00593380" w:rsidRDefault="00593380" w:rsidP="00593380">
      <w:pPr>
        <w:pStyle w:val="Heading3"/>
        <w:spacing w:before="0" w:beforeAutospacing="0" w:after="0" w:afterAutospacing="0" w:line="360" w:lineRule="auto"/>
        <w:jc w:val="both"/>
        <w:rPr>
          <w:sz w:val="22"/>
          <w:szCs w:val="22"/>
        </w:rPr>
      </w:pPr>
      <w:bookmarkStart w:id="12" w:name="bookmark6"/>
      <w:bookmarkStart w:id="13" w:name="_Toc169270802"/>
      <w:r>
        <w:rPr>
          <w:sz w:val="22"/>
          <w:szCs w:val="22"/>
          <w:lang w:bidi="en-US"/>
        </w:rPr>
        <w:t>iv.</w:t>
      </w:r>
      <w:r w:rsidR="00A05256" w:rsidRPr="00593380">
        <w:rPr>
          <w:sz w:val="22"/>
          <w:szCs w:val="22"/>
          <w:lang w:bidi="en-US"/>
        </w:rPr>
        <w:t xml:space="preserve"> </w:t>
      </w:r>
      <w:r w:rsidR="00087AD4" w:rsidRPr="00593380">
        <w:rPr>
          <w:sz w:val="22"/>
          <w:szCs w:val="22"/>
          <w:lang w:bidi="en-US"/>
        </w:rPr>
        <w:t>Demand Driven Courses/Certificates</w:t>
      </w:r>
      <w:bookmarkEnd w:id="12"/>
      <w:bookmarkEnd w:id="13"/>
      <w:r>
        <w:rPr>
          <w:sz w:val="22"/>
          <w:szCs w:val="22"/>
          <w:lang w:bidi="en-US"/>
        </w:rPr>
        <w:t xml:space="preserve">: </w:t>
      </w:r>
      <w:r w:rsidR="00087AD4" w:rsidRPr="00593380">
        <w:rPr>
          <w:b w:val="0"/>
          <w:bCs w:val="0"/>
          <w:color w:val="000000"/>
          <w:sz w:val="22"/>
          <w:szCs w:val="22"/>
          <w:lang w:bidi="en-US"/>
        </w:rPr>
        <w:t xml:space="preserve">Another great means of generating funds is for the </w:t>
      </w:r>
      <w:r w:rsidR="000C0290">
        <w:rPr>
          <w:b w:val="0"/>
          <w:bCs w:val="0"/>
          <w:color w:val="000000"/>
          <w:sz w:val="22"/>
          <w:szCs w:val="22"/>
          <w:lang w:bidi="en-US"/>
        </w:rPr>
        <w:t>tertiary institutions</w:t>
      </w:r>
      <w:r w:rsidR="00087AD4" w:rsidRPr="00593380">
        <w:rPr>
          <w:b w:val="0"/>
          <w:bCs w:val="0"/>
          <w:color w:val="000000"/>
          <w:sz w:val="22"/>
          <w:szCs w:val="22"/>
          <w:lang w:bidi="en-US"/>
        </w:rPr>
        <w:t xml:space="preserve"> to offer </w:t>
      </w:r>
      <w:r w:rsidR="006C40D7" w:rsidRPr="00593380">
        <w:rPr>
          <w:b w:val="0"/>
          <w:bCs w:val="0"/>
          <w:color w:val="000000"/>
          <w:sz w:val="22"/>
          <w:szCs w:val="22"/>
          <w:lang w:bidi="en-US"/>
        </w:rPr>
        <w:t>demand-driven</w:t>
      </w:r>
      <w:r w:rsidR="00087AD4" w:rsidRPr="00593380">
        <w:rPr>
          <w:b w:val="0"/>
          <w:bCs w:val="0"/>
          <w:color w:val="000000"/>
          <w:sz w:val="22"/>
          <w:szCs w:val="22"/>
          <w:lang w:bidi="en-US"/>
        </w:rPr>
        <w:t xml:space="preserve"> academic courses and </w:t>
      </w:r>
      <w:r w:rsidR="006C40D7" w:rsidRPr="00593380">
        <w:rPr>
          <w:b w:val="0"/>
          <w:bCs w:val="0"/>
          <w:color w:val="000000"/>
          <w:sz w:val="22"/>
          <w:szCs w:val="22"/>
          <w:lang w:bidi="en-US"/>
        </w:rPr>
        <w:t>programs</w:t>
      </w:r>
      <w:r w:rsidR="00087AD4" w:rsidRPr="00593380">
        <w:rPr>
          <w:b w:val="0"/>
          <w:bCs w:val="0"/>
          <w:color w:val="000000"/>
          <w:sz w:val="22"/>
          <w:szCs w:val="22"/>
          <w:lang w:bidi="en-US"/>
        </w:rPr>
        <w:t xml:space="preserve">. The courses could be at diploma </w:t>
      </w:r>
      <w:r w:rsidR="00087AD4" w:rsidRPr="00593380">
        <w:rPr>
          <w:b w:val="0"/>
          <w:bCs w:val="0"/>
          <w:color w:val="000000"/>
          <w:sz w:val="22"/>
          <w:szCs w:val="22"/>
          <w:lang w:bidi="en-US"/>
        </w:rPr>
        <w:lastRenderedPageBreak/>
        <w:t xml:space="preserve">or certificate levels. Practical and professional career courses and </w:t>
      </w:r>
      <w:r w:rsidR="006C40D7" w:rsidRPr="00593380">
        <w:rPr>
          <w:b w:val="0"/>
          <w:bCs w:val="0"/>
          <w:color w:val="000000"/>
          <w:sz w:val="22"/>
          <w:szCs w:val="22"/>
          <w:lang w:bidi="en-US"/>
        </w:rPr>
        <w:t>programs</w:t>
      </w:r>
      <w:r w:rsidR="00087AD4" w:rsidRPr="00593380">
        <w:rPr>
          <w:b w:val="0"/>
          <w:bCs w:val="0"/>
          <w:color w:val="000000"/>
          <w:sz w:val="22"/>
          <w:szCs w:val="22"/>
          <w:lang w:bidi="en-US"/>
        </w:rPr>
        <w:t xml:space="preserve"> will sell themselves and attract students from within and without especially this time when </w:t>
      </w:r>
      <w:r w:rsidR="006C40D7" w:rsidRPr="00593380">
        <w:rPr>
          <w:b w:val="0"/>
          <w:bCs w:val="0"/>
          <w:color w:val="000000"/>
          <w:sz w:val="22"/>
          <w:szCs w:val="22"/>
          <w:lang w:bidi="en-US"/>
        </w:rPr>
        <w:t xml:space="preserve">the </w:t>
      </w:r>
      <w:r w:rsidR="00087AD4" w:rsidRPr="00593380">
        <w:rPr>
          <w:b w:val="0"/>
          <w:bCs w:val="0"/>
          <w:color w:val="000000"/>
          <w:sz w:val="22"/>
          <w:szCs w:val="22"/>
          <w:lang w:bidi="en-US"/>
        </w:rPr>
        <w:t xml:space="preserve">oil and global recession is </w:t>
      </w:r>
      <w:r w:rsidR="006C40D7" w:rsidRPr="00593380">
        <w:rPr>
          <w:b w:val="0"/>
          <w:bCs w:val="0"/>
          <w:color w:val="000000"/>
          <w:sz w:val="22"/>
          <w:szCs w:val="22"/>
          <w:lang w:bidi="en-US"/>
        </w:rPr>
        <w:t>affecting</w:t>
      </w:r>
      <w:r w:rsidR="00087AD4" w:rsidRPr="00593380">
        <w:rPr>
          <w:b w:val="0"/>
          <w:bCs w:val="0"/>
          <w:color w:val="000000"/>
          <w:sz w:val="22"/>
          <w:szCs w:val="22"/>
          <w:lang w:bidi="en-US"/>
        </w:rPr>
        <w:t xml:space="preserve"> the global economy. It is opined that a prescription of demand rather than supply </w:t>
      </w:r>
      <w:r w:rsidR="006C40D7" w:rsidRPr="00593380">
        <w:rPr>
          <w:b w:val="0"/>
          <w:bCs w:val="0"/>
          <w:color w:val="000000"/>
          <w:sz w:val="22"/>
          <w:szCs w:val="22"/>
          <w:lang w:bidi="en-US"/>
        </w:rPr>
        <w:t>influences</w:t>
      </w:r>
      <w:r w:rsidR="00087AD4" w:rsidRPr="00593380">
        <w:rPr>
          <w:b w:val="0"/>
          <w:bCs w:val="0"/>
          <w:color w:val="000000"/>
          <w:sz w:val="22"/>
          <w:szCs w:val="22"/>
          <w:lang w:bidi="en-US"/>
        </w:rPr>
        <w:t xml:space="preserve"> the academic curriculum. The influx of foreign exchange paid by foreign students will boost available revenue in Nigerian </w:t>
      </w:r>
      <w:r w:rsidR="000C0290">
        <w:rPr>
          <w:b w:val="0"/>
          <w:bCs w:val="0"/>
          <w:color w:val="000000"/>
          <w:sz w:val="22"/>
          <w:szCs w:val="22"/>
          <w:lang w:bidi="en-US"/>
        </w:rPr>
        <w:t>Tertiary institutions</w:t>
      </w:r>
      <w:r w:rsidR="00AB3D74" w:rsidRPr="00593380">
        <w:rPr>
          <w:b w:val="0"/>
          <w:bCs w:val="0"/>
          <w:color w:val="000000"/>
          <w:sz w:val="22"/>
          <w:szCs w:val="22"/>
          <w:lang w:bidi="en-US"/>
        </w:rPr>
        <w:t xml:space="preserve"> (Pettigrew 1979)</w:t>
      </w:r>
      <w:r w:rsidR="00087AD4" w:rsidRPr="00593380">
        <w:rPr>
          <w:b w:val="0"/>
          <w:bCs w:val="0"/>
          <w:color w:val="000000"/>
          <w:sz w:val="22"/>
          <w:szCs w:val="22"/>
          <w:lang w:bidi="en-US"/>
        </w:rPr>
        <w:t>.</w:t>
      </w:r>
    </w:p>
    <w:p w14:paraId="2FC27DFE" w14:textId="36CAEA6D" w:rsidR="00087AD4" w:rsidRPr="00593380" w:rsidRDefault="00593380" w:rsidP="00593380">
      <w:pPr>
        <w:pStyle w:val="Heading3"/>
        <w:spacing w:before="0" w:beforeAutospacing="0" w:after="0" w:afterAutospacing="0" w:line="360" w:lineRule="auto"/>
        <w:jc w:val="both"/>
        <w:rPr>
          <w:sz w:val="22"/>
          <w:szCs w:val="22"/>
        </w:rPr>
      </w:pPr>
      <w:bookmarkStart w:id="14" w:name="bookmark7"/>
      <w:bookmarkStart w:id="15" w:name="_Toc169270803"/>
      <w:r>
        <w:rPr>
          <w:sz w:val="22"/>
          <w:szCs w:val="22"/>
          <w:lang w:bidi="en-US"/>
        </w:rPr>
        <w:t>v.</w:t>
      </w:r>
      <w:r w:rsidR="0047530D" w:rsidRPr="00593380">
        <w:rPr>
          <w:sz w:val="22"/>
          <w:szCs w:val="22"/>
          <w:lang w:bidi="en-US"/>
        </w:rPr>
        <w:t xml:space="preserve"> </w:t>
      </w:r>
      <w:r w:rsidR="00087AD4" w:rsidRPr="00593380">
        <w:rPr>
          <w:sz w:val="22"/>
          <w:szCs w:val="22"/>
          <w:lang w:bidi="en-US"/>
        </w:rPr>
        <w:t xml:space="preserve">Tertiary </w:t>
      </w:r>
      <w:r w:rsidR="006C40D7" w:rsidRPr="00593380">
        <w:rPr>
          <w:sz w:val="22"/>
          <w:szCs w:val="22"/>
          <w:lang w:bidi="en-US"/>
        </w:rPr>
        <w:t>Institutions</w:t>
      </w:r>
      <w:r w:rsidR="00087AD4" w:rsidRPr="00593380">
        <w:rPr>
          <w:sz w:val="22"/>
          <w:szCs w:val="22"/>
          <w:lang w:bidi="en-US"/>
        </w:rPr>
        <w:t xml:space="preserve"> Farms</w:t>
      </w:r>
      <w:bookmarkEnd w:id="14"/>
      <w:bookmarkEnd w:id="15"/>
      <w:r>
        <w:rPr>
          <w:sz w:val="22"/>
          <w:szCs w:val="22"/>
          <w:lang w:bidi="en-US"/>
        </w:rPr>
        <w:t xml:space="preserve">: </w:t>
      </w:r>
      <w:r w:rsidR="00087AD4" w:rsidRPr="00593380">
        <w:rPr>
          <w:b w:val="0"/>
          <w:bCs w:val="0"/>
          <w:color w:val="000000"/>
          <w:sz w:val="22"/>
          <w:szCs w:val="22"/>
          <w:lang w:bidi="en-US"/>
        </w:rPr>
        <w:t xml:space="preserve">The tertiary institutions can set up farms or reactivate ailing ones as a means of boosting income through the process of rearing breeds of animals and poultry to boost her income. Students in the </w:t>
      </w:r>
      <w:r w:rsidR="006C40D7" w:rsidRPr="00593380">
        <w:rPr>
          <w:b w:val="0"/>
          <w:bCs w:val="0"/>
          <w:color w:val="000000"/>
          <w:sz w:val="22"/>
          <w:szCs w:val="22"/>
          <w:lang w:bidi="en-US"/>
        </w:rPr>
        <w:t>Department</w:t>
      </w:r>
      <w:r w:rsidR="00087AD4" w:rsidRPr="00593380">
        <w:rPr>
          <w:b w:val="0"/>
          <w:bCs w:val="0"/>
          <w:color w:val="000000"/>
          <w:sz w:val="22"/>
          <w:szCs w:val="22"/>
          <w:lang w:bidi="en-US"/>
        </w:rPr>
        <w:t xml:space="preserve"> of Agriculture should be made to work </w:t>
      </w:r>
      <w:r w:rsidR="006C40D7" w:rsidRPr="00593380">
        <w:rPr>
          <w:b w:val="0"/>
          <w:bCs w:val="0"/>
          <w:color w:val="000000"/>
          <w:sz w:val="22"/>
          <w:szCs w:val="22"/>
          <w:lang w:bidi="en-US"/>
        </w:rPr>
        <w:t>on</w:t>
      </w:r>
      <w:r w:rsidR="00087AD4" w:rsidRPr="00593380">
        <w:rPr>
          <w:b w:val="0"/>
          <w:bCs w:val="0"/>
          <w:color w:val="000000"/>
          <w:sz w:val="22"/>
          <w:szCs w:val="22"/>
          <w:lang w:bidi="en-US"/>
        </w:rPr>
        <w:t xml:space="preserve"> the farms of the </w:t>
      </w:r>
      <w:r w:rsidR="000C0290">
        <w:rPr>
          <w:b w:val="0"/>
          <w:bCs w:val="0"/>
          <w:color w:val="000000"/>
          <w:sz w:val="22"/>
          <w:szCs w:val="22"/>
          <w:lang w:bidi="en-US"/>
        </w:rPr>
        <w:t>Tertiary institutions</w:t>
      </w:r>
      <w:r w:rsidR="00087AD4" w:rsidRPr="00593380">
        <w:rPr>
          <w:b w:val="0"/>
          <w:bCs w:val="0"/>
          <w:color w:val="000000"/>
          <w:sz w:val="22"/>
          <w:szCs w:val="22"/>
          <w:lang w:bidi="en-US"/>
        </w:rPr>
        <w:t xml:space="preserve"> as their continuous assessment and proceeds from the farms can go a long way in helping the school and various departments. </w:t>
      </w:r>
      <w:r w:rsidR="000C0290">
        <w:rPr>
          <w:b w:val="0"/>
          <w:bCs w:val="0"/>
          <w:color w:val="000000"/>
          <w:sz w:val="22"/>
          <w:szCs w:val="22"/>
          <w:lang w:bidi="en-US"/>
        </w:rPr>
        <w:t>Tertiary institutions</w:t>
      </w:r>
      <w:r w:rsidR="00087AD4" w:rsidRPr="00593380">
        <w:rPr>
          <w:b w:val="0"/>
          <w:bCs w:val="0"/>
          <w:color w:val="000000"/>
          <w:sz w:val="22"/>
          <w:szCs w:val="22"/>
          <w:lang w:bidi="en-US"/>
        </w:rPr>
        <w:t xml:space="preserve"> should play significant roles both in research work and practical agriculture in other to feed the growing population and reduce the nation’s dependence on imported foods. Concentrating on this venture will yield handsome </w:t>
      </w:r>
      <w:r w:rsidR="006C40D7" w:rsidRPr="00593380">
        <w:rPr>
          <w:b w:val="0"/>
          <w:bCs w:val="0"/>
          <w:color w:val="000000"/>
          <w:sz w:val="22"/>
          <w:szCs w:val="22"/>
          <w:lang w:bidi="en-US"/>
        </w:rPr>
        <w:t>rewards</w:t>
      </w:r>
      <w:r w:rsidR="00087AD4" w:rsidRPr="00593380">
        <w:rPr>
          <w:b w:val="0"/>
          <w:bCs w:val="0"/>
          <w:color w:val="000000"/>
          <w:sz w:val="22"/>
          <w:szCs w:val="22"/>
          <w:lang w:bidi="en-US"/>
        </w:rPr>
        <w:t xml:space="preserve"> and go a long way in ameliorating </w:t>
      </w:r>
      <w:r w:rsidR="006C40D7" w:rsidRPr="00593380">
        <w:rPr>
          <w:b w:val="0"/>
          <w:bCs w:val="0"/>
          <w:color w:val="000000"/>
          <w:sz w:val="22"/>
          <w:szCs w:val="22"/>
          <w:lang w:bidi="en-US"/>
        </w:rPr>
        <w:t xml:space="preserve">the </w:t>
      </w:r>
      <w:r w:rsidR="00087AD4" w:rsidRPr="00593380">
        <w:rPr>
          <w:b w:val="0"/>
          <w:bCs w:val="0"/>
          <w:color w:val="000000"/>
          <w:sz w:val="22"/>
          <w:szCs w:val="22"/>
          <w:lang w:bidi="en-US"/>
        </w:rPr>
        <w:t xml:space="preserve">funding problems of </w:t>
      </w:r>
      <w:r w:rsidR="000C0290">
        <w:rPr>
          <w:b w:val="0"/>
          <w:bCs w:val="0"/>
          <w:color w:val="000000"/>
          <w:sz w:val="22"/>
          <w:szCs w:val="22"/>
          <w:lang w:bidi="en-US"/>
        </w:rPr>
        <w:t>tertiary institutions</w:t>
      </w:r>
      <w:r w:rsidR="00AB3D74" w:rsidRPr="00593380">
        <w:rPr>
          <w:b w:val="0"/>
          <w:bCs w:val="0"/>
          <w:color w:val="000000"/>
          <w:sz w:val="22"/>
          <w:szCs w:val="22"/>
          <w:lang w:bidi="en-US"/>
        </w:rPr>
        <w:t xml:space="preserve"> (Mugenda 2003).</w:t>
      </w:r>
    </w:p>
    <w:p w14:paraId="6463300B" w14:textId="34D67B13" w:rsidR="00087AD4" w:rsidRPr="00593380" w:rsidRDefault="00593380" w:rsidP="00593380">
      <w:pPr>
        <w:pStyle w:val="Heading3"/>
        <w:spacing w:before="0" w:beforeAutospacing="0" w:after="0" w:afterAutospacing="0" w:line="360" w:lineRule="auto"/>
        <w:jc w:val="both"/>
        <w:rPr>
          <w:sz w:val="22"/>
          <w:szCs w:val="22"/>
        </w:rPr>
      </w:pPr>
      <w:bookmarkStart w:id="16" w:name="bookmark8"/>
      <w:bookmarkStart w:id="17" w:name="_Toc169270804"/>
      <w:r>
        <w:rPr>
          <w:sz w:val="22"/>
          <w:szCs w:val="22"/>
          <w:lang w:bidi="en-US"/>
        </w:rPr>
        <w:t>vi.</w:t>
      </w:r>
      <w:r w:rsidR="00A05256" w:rsidRPr="00593380">
        <w:rPr>
          <w:sz w:val="22"/>
          <w:szCs w:val="22"/>
          <w:lang w:bidi="en-US"/>
        </w:rPr>
        <w:t xml:space="preserve"> </w:t>
      </w:r>
      <w:r w:rsidR="00087AD4" w:rsidRPr="00593380">
        <w:rPr>
          <w:sz w:val="22"/>
          <w:szCs w:val="22"/>
          <w:lang w:bidi="en-US"/>
        </w:rPr>
        <w:t>Part-time, Remedial and Long-vacation Programs</w:t>
      </w:r>
      <w:bookmarkEnd w:id="16"/>
      <w:bookmarkEnd w:id="17"/>
      <w:r>
        <w:rPr>
          <w:sz w:val="22"/>
          <w:szCs w:val="22"/>
          <w:lang w:bidi="en-US"/>
        </w:rPr>
        <w:t xml:space="preserve">: </w:t>
      </w:r>
      <w:r w:rsidR="00087AD4" w:rsidRPr="00593380">
        <w:rPr>
          <w:b w:val="0"/>
          <w:bCs w:val="0"/>
          <w:color w:val="000000"/>
          <w:sz w:val="22"/>
          <w:szCs w:val="22"/>
          <w:lang w:bidi="en-US"/>
        </w:rPr>
        <w:t xml:space="preserve">Nigerian </w:t>
      </w:r>
      <w:r w:rsidR="000C0290">
        <w:rPr>
          <w:b w:val="0"/>
          <w:bCs w:val="0"/>
          <w:color w:val="000000"/>
          <w:sz w:val="22"/>
          <w:szCs w:val="22"/>
          <w:lang w:bidi="en-US"/>
        </w:rPr>
        <w:t>tertiary institutions</w:t>
      </w:r>
      <w:r w:rsidR="00087AD4" w:rsidRPr="00593380">
        <w:rPr>
          <w:b w:val="0"/>
          <w:bCs w:val="0"/>
          <w:color w:val="000000"/>
          <w:sz w:val="22"/>
          <w:szCs w:val="22"/>
          <w:lang w:bidi="en-US"/>
        </w:rPr>
        <w:t xml:space="preserve"> undertaking to run part-time </w:t>
      </w:r>
      <w:r w:rsidR="00284558" w:rsidRPr="00593380">
        <w:rPr>
          <w:b w:val="0"/>
          <w:bCs w:val="0"/>
          <w:color w:val="000000"/>
          <w:sz w:val="22"/>
          <w:szCs w:val="22"/>
          <w:lang w:bidi="en-US"/>
        </w:rPr>
        <w:t>programs</w:t>
      </w:r>
      <w:r w:rsidR="00087AD4" w:rsidRPr="00593380">
        <w:rPr>
          <w:b w:val="0"/>
          <w:bCs w:val="0"/>
          <w:color w:val="000000"/>
          <w:sz w:val="22"/>
          <w:szCs w:val="22"/>
          <w:lang w:bidi="en-US"/>
        </w:rPr>
        <w:t xml:space="preserve"> and remedial </w:t>
      </w:r>
      <w:r w:rsidR="00284558" w:rsidRPr="00593380">
        <w:rPr>
          <w:b w:val="0"/>
          <w:bCs w:val="0"/>
          <w:color w:val="000000"/>
          <w:sz w:val="22"/>
          <w:szCs w:val="22"/>
          <w:lang w:bidi="en-US"/>
        </w:rPr>
        <w:t>programs</w:t>
      </w:r>
      <w:r w:rsidR="00087AD4" w:rsidRPr="00593380">
        <w:rPr>
          <w:b w:val="0"/>
          <w:bCs w:val="0"/>
          <w:color w:val="000000"/>
          <w:sz w:val="22"/>
          <w:szCs w:val="22"/>
          <w:lang w:bidi="en-US"/>
        </w:rPr>
        <w:t xml:space="preserve"> make revenues available for the institutions as it creates time and appointment for the working class and those </w:t>
      </w:r>
      <w:r w:rsidR="00284558" w:rsidRPr="00593380">
        <w:rPr>
          <w:b w:val="0"/>
          <w:bCs w:val="0"/>
          <w:color w:val="000000"/>
          <w:sz w:val="22"/>
          <w:szCs w:val="22"/>
          <w:lang w:bidi="en-US"/>
        </w:rPr>
        <w:t>who</w:t>
      </w:r>
      <w:r w:rsidR="00087AD4" w:rsidRPr="00593380">
        <w:rPr>
          <w:b w:val="0"/>
          <w:bCs w:val="0"/>
          <w:color w:val="000000"/>
          <w:sz w:val="22"/>
          <w:szCs w:val="22"/>
          <w:lang w:bidi="en-US"/>
        </w:rPr>
        <w:t xml:space="preserve"> missed the first opportunities. This can either be evening part-time, weekend part-time</w:t>
      </w:r>
      <w:r w:rsidR="00284558" w:rsidRPr="00593380">
        <w:rPr>
          <w:b w:val="0"/>
          <w:bCs w:val="0"/>
          <w:color w:val="000000"/>
          <w:sz w:val="22"/>
          <w:szCs w:val="22"/>
          <w:lang w:bidi="en-US"/>
        </w:rPr>
        <w:t>,</w:t>
      </w:r>
      <w:r w:rsidR="00087AD4" w:rsidRPr="00593380">
        <w:rPr>
          <w:b w:val="0"/>
          <w:bCs w:val="0"/>
          <w:color w:val="000000"/>
          <w:sz w:val="22"/>
          <w:szCs w:val="22"/>
          <w:lang w:bidi="en-US"/>
        </w:rPr>
        <w:t xml:space="preserve"> or long-vacation part-time </w:t>
      </w:r>
      <w:r w:rsidR="00284558" w:rsidRPr="00593380">
        <w:rPr>
          <w:b w:val="0"/>
          <w:bCs w:val="0"/>
          <w:color w:val="000000"/>
          <w:sz w:val="22"/>
          <w:szCs w:val="22"/>
          <w:lang w:bidi="en-US"/>
        </w:rPr>
        <w:t>programs</w:t>
      </w:r>
      <w:r w:rsidR="00087AD4" w:rsidRPr="00593380">
        <w:rPr>
          <w:b w:val="0"/>
          <w:bCs w:val="0"/>
          <w:color w:val="000000"/>
          <w:sz w:val="22"/>
          <w:szCs w:val="22"/>
          <w:lang w:bidi="en-US"/>
        </w:rPr>
        <w:t xml:space="preserve">. Such </w:t>
      </w:r>
      <w:r w:rsidR="00284558" w:rsidRPr="00593380">
        <w:rPr>
          <w:b w:val="0"/>
          <w:bCs w:val="0"/>
          <w:color w:val="000000"/>
          <w:sz w:val="22"/>
          <w:szCs w:val="22"/>
          <w:lang w:bidi="en-US"/>
        </w:rPr>
        <w:t>programs</w:t>
      </w:r>
      <w:r w:rsidR="00087AD4" w:rsidRPr="00593380">
        <w:rPr>
          <w:b w:val="0"/>
          <w:bCs w:val="0"/>
          <w:color w:val="000000"/>
          <w:sz w:val="22"/>
          <w:szCs w:val="22"/>
          <w:lang w:bidi="en-US"/>
        </w:rPr>
        <w:t xml:space="preserve"> should be made in such a way that civil servants may be </w:t>
      </w:r>
      <w:r w:rsidR="00284558" w:rsidRPr="00593380">
        <w:rPr>
          <w:b w:val="0"/>
          <w:bCs w:val="0"/>
          <w:color w:val="000000"/>
          <w:sz w:val="22"/>
          <w:szCs w:val="22"/>
          <w:lang w:bidi="en-US"/>
        </w:rPr>
        <w:t>favored</w:t>
      </w:r>
      <w:r w:rsidR="00087AD4" w:rsidRPr="00593380">
        <w:rPr>
          <w:b w:val="0"/>
          <w:bCs w:val="0"/>
          <w:color w:val="000000"/>
          <w:sz w:val="22"/>
          <w:szCs w:val="22"/>
          <w:lang w:bidi="en-US"/>
        </w:rPr>
        <w:t xml:space="preserve"> in terms of fees and lecture time. If conducive, more workers will further their education and at the same time make more money for the schools.</w:t>
      </w:r>
    </w:p>
    <w:p w14:paraId="4C36F0A9" w14:textId="3C3ACDCE" w:rsidR="00087AD4" w:rsidRPr="00593380" w:rsidRDefault="00087AD4" w:rsidP="00593380">
      <w:pPr>
        <w:pStyle w:val="BodyText2"/>
        <w:shd w:val="clear" w:color="auto" w:fill="auto"/>
        <w:spacing w:before="0" w:after="0" w:line="360" w:lineRule="auto"/>
        <w:ind w:left="20" w:right="20" w:firstLine="0"/>
        <w:rPr>
          <w:sz w:val="22"/>
          <w:szCs w:val="22"/>
        </w:rPr>
      </w:pPr>
      <w:r w:rsidRPr="00593380">
        <w:rPr>
          <w:color w:val="000000"/>
          <w:sz w:val="22"/>
          <w:szCs w:val="22"/>
          <w:lang w:bidi="en-US"/>
        </w:rPr>
        <w:t xml:space="preserve">Remedial </w:t>
      </w:r>
      <w:r w:rsidR="00284558" w:rsidRPr="00593380">
        <w:rPr>
          <w:color w:val="000000"/>
          <w:sz w:val="22"/>
          <w:szCs w:val="22"/>
          <w:lang w:bidi="en-US"/>
        </w:rPr>
        <w:t>programs</w:t>
      </w:r>
      <w:r w:rsidRPr="00593380">
        <w:rPr>
          <w:color w:val="000000"/>
          <w:sz w:val="22"/>
          <w:szCs w:val="22"/>
          <w:lang w:bidi="en-US"/>
        </w:rPr>
        <w:t xml:space="preserve"> are undertaken in </w:t>
      </w:r>
      <w:r w:rsidR="000C0290">
        <w:rPr>
          <w:color w:val="000000"/>
          <w:sz w:val="22"/>
          <w:szCs w:val="22"/>
          <w:lang w:bidi="en-US"/>
        </w:rPr>
        <w:t>tertiary institutions</w:t>
      </w:r>
      <w:r w:rsidRPr="00593380">
        <w:rPr>
          <w:color w:val="000000"/>
          <w:sz w:val="22"/>
          <w:szCs w:val="22"/>
          <w:lang w:bidi="en-US"/>
        </w:rPr>
        <w:t xml:space="preserve"> for people who cannot meet entry requirements. Recently in some </w:t>
      </w:r>
      <w:r w:rsidR="000C0290">
        <w:rPr>
          <w:color w:val="000000"/>
          <w:sz w:val="22"/>
          <w:szCs w:val="22"/>
          <w:lang w:bidi="en-US"/>
        </w:rPr>
        <w:t>tertiary institutions</w:t>
      </w:r>
      <w:r w:rsidRPr="00593380">
        <w:rPr>
          <w:color w:val="000000"/>
          <w:sz w:val="22"/>
          <w:szCs w:val="22"/>
          <w:lang w:bidi="en-US"/>
        </w:rPr>
        <w:t xml:space="preserve">, there </w:t>
      </w:r>
      <w:r w:rsidR="00284558" w:rsidRPr="00593380">
        <w:rPr>
          <w:color w:val="000000"/>
          <w:sz w:val="22"/>
          <w:szCs w:val="22"/>
          <w:lang w:bidi="en-US"/>
        </w:rPr>
        <w:t>has been</w:t>
      </w:r>
      <w:r w:rsidRPr="00593380">
        <w:rPr>
          <w:color w:val="000000"/>
          <w:sz w:val="22"/>
          <w:szCs w:val="22"/>
          <w:lang w:bidi="en-US"/>
        </w:rPr>
        <w:t xml:space="preserve"> the introduction of long vacation program</w:t>
      </w:r>
      <w:r w:rsidR="00284558" w:rsidRPr="00593380">
        <w:rPr>
          <w:color w:val="000000"/>
          <w:sz w:val="22"/>
          <w:szCs w:val="22"/>
          <w:lang w:bidi="en-US"/>
        </w:rPr>
        <w:t>s</w:t>
      </w:r>
      <w:r w:rsidRPr="00593380">
        <w:rPr>
          <w:color w:val="000000"/>
          <w:sz w:val="22"/>
          <w:szCs w:val="22"/>
          <w:lang w:bidi="en-US"/>
        </w:rPr>
        <w:t xml:space="preserve">. These </w:t>
      </w:r>
      <w:r w:rsidR="00284558" w:rsidRPr="00593380">
        <w:rPr>
          <w:color w:val="000000"/>
          <w:sz w:val="22"/>
          <w:szCs w:val="22"/>
          <w:lang w:bidi="en-US"/>
        </w:rPr>
        <w:t>programs</w:t>
      </w:r>
      <w:r w:rsidRPr="00593380">
        <w:rPr>
          <w:color w:val="000000"/>
          <w:sz w:val="22"/>
          <w:szCs w:val="22"/>
          <w:lang w:bidi="en-US"/>
        </w:rPr>
        <w:t xml:space="preserve"> are run for students </w:t>
      </w:r>
      <w:r w:rsidR="00284558" w:rsidRPr="00593380">
        <w:rPr>
          <w:color w:val="000000"/>
          <w:sz w:val="22"/>
          <w:szCs w:val="22"/>
          <w:lang w:bidi="en-US"/>
        </w:rPr>
        <w:t>who</w:t>
      </w:r>
      <w:r w:rsidRPr="00593380">
        <w:rPr>
          <w:color w:val="000000"/>
          <w:sz w:val="22"/>
          <w:szCs w:val="22"/>
          <w:lang w:bidi="en-US"/>
        </w:rPr>
        <w:t xml:space="preserve"> </w:t>
      </w:r>
      <w:r w:rsidR="00284558" w:rsidRPr="00593380">
        <w:rPr>
          <w:color w:val="000000"/>
          <w:sz w:val="22"/>
          <w:szCs w:val="22"/>
          <w:lang w:bidi="en-US"/>
        </w:rPr>
        <w:t>cannot</w:t>
      </w:r>
      <w:r w:rsidRPr="00593380">
        <w:rPr>
          <w:color w:val="000000"/>
          <w:sz w:val="22"/>
          <w:szCs w:val="22"/>
          <w:lang w:bidi="en-US"/>
        </w:rPr>
        <w:t xml:space="preserve"> pass their examinations at a sitting. They are given make-up </w:t>
      </w:r>
      <w:r w:rsidR="00284558" w:rsidRPr="00593380">
        <w:rPr>
          <w:color w:val="000000"/>
          <w:sz w:val="22"/>
          <w:szCs w:val="22"/>
          <w:lang w:bidi="en-US"/>
        </w:rPr>
        <w:t>examinations</w:t>
      </w:r>
      <w:r w:rsidRPr="00593380">
        <w:rPr>
          <w:color w:val="000000"/>
          <w:sz w:val="22"/>
          <w:szCs w:val="22"/>
          <w:lang w:bidi="en-US"/>
        </w:rPr>
        <w:t xml:space="preserve"> which brings in more money into the tertiary institution’s coffers.</w:t>
      </w:r>
    </w:p>
    <w:p w14:paraId="17B866B3" w14:textId="59F89A68" w:rsidR="00087AD4" w:rsidRPr="00593380" w:rsidRDefault="00593380" w:rsidP="00593380">
      <w:pPr>
        <w:pStyle w:val="Heading3"/>
        <w:spacing w:before="0" w:beforeAutospacing="0" w:after="0" w:afterAutospacing="0" w:line="360" w:lineRule="auto"/>
        <w:jc w:val="both"/>
        <w:rPr>
          <w:sz w:val="22"/>
          <w:szCs w:val="22"/>
        </w:rPr>
      </w:pPr>
      <w:bookmarkStart w:id="18" w:name="bookmark9"/>
      <w:bookmarkStart w:id="19" w:name="_Toc169270805"/>
      <w:r>
        <w:rPr>
          <w:sz w:val="22"/>
          <w:szCs w:val="22"/>
          <w:lang w:bidi="en-US"/>
        </w:rPr>
        <w:t>vii.</w:t>
      </w:r>
      <w:r w:rsidR="00A05256" w:rsidRPr="00593380">
        <w:rPr>
          <w:sz w:val="22"/>
          <w:szCs w:val="22"/>
          <w:lang w:bidi="en-US"/>
        </w:rPr>
        <w:t xml:space="preserve"> </w:t>
      </w:r>
      <w:r w:rsidR="00087AD4" w:rsidRPr="00593380">
        <w:rPr>
          <w:sz w:val="22"/>
          <w:szCs w:val="22"/>
          <w:lang w:bidi="en-US"/>
        </w:rPr>
        <w:t>Establishment of Community Banks</w:t>
      </w:r>
      <w:bookmarkEnd w:id="18"/>
      <w:bookmarkEnd w:id="19"/>
      <w:r>
        <w:rPr>
          <w:sz w:val="22"/>
          <w:szCs w:val="22"/>
          <w:lang w:bidi="en-US"/>
        </w:rPr>
        <w:t xml:space="preserve">: </w:t>
      </w:r>
      <w:r w:rsidR="00284558" w:rsidRPr="00593380">
        <w:rPr>
          <w:b w:val="0"/>
          <w:bCs w:val="0"/>
          <w:color w:val="000000"/>
          <w:sz w:val="22"/>
          <w:szCs w:val="22"/>
          <w:lang w:bidi="en-US"/>
        </w:rPr>
        <w:t>The banking</w:t>
      </w:r>
      <w:r w:rsidR="00087AD4" w:rsidRPr="00593380">
        <w:rPr>
          <w:b w:val="0"/>
          <w:bCs w:val="0"/>
          <w:color w:val="000000"/>
          <w:sz w:val="22"/>
          <w:szCs w:val="22"/>
          <w:lang w:bidi="en-US"/>
        </w:rPr>
        <w:t xml:space="preserve"> business is acknowledged as the vehicle of development in the economy. Since the services rendered by the public liability company</w:t>
      </w:r>
      <w:r w:rsidR="00284558" w:rsidRPr="00593380">
        <w:rPr>
          <w:b w:val="0"/>
          <w:bCs w:val="0"/>
          <w:color w:val="000000"/>
          <w:sz w:val="22"/>
          <w:szCs w:val="22"/>
          <w:lang w:bidi="en-US"/>
        </w:rPr>
        <w:t>,</w:t>
      </w:r>
      <w:r w:rsidR="00087AD4" w:rsidRPr="00593380">
        <w:rPr>
          <w:b w:val="0"/>
          <w:bCs w:val="0"/>
          <w:color w:val="000000"/>
          <w:sz w:val="22"/>
          <w:szCs w:val="22"/>
          <w:lang w:bidi="en-US"/>
        </w:rPr>
        <w:t xml:space="preserve"> banks can </w:t>
      </w:r>
      <w:r w:rsidR="00284558" w:rsidRPr="00593380">
        <w:rPr>
          <w:b w:val="0"/>
          <w:bCs w:val="0"/>
          <w:color w:val="000000"/>
          <w:sz w:val="22"/>
          <w:szCs w:val="22"/>
          <w:lang w:bidi="en-US"/>
        </w:rPr>
        <w:t>also</w:t>
      </w:r>
      <w:r w:rsidR="00087AD4" w:rsidRPr="00593380">
        <w:rPr>
          <w:b w:val="0"/>
          <w:bCs w:val="0"/>
          <w:color w:val="000000"/>
          <w:sz w:val="22"/>
          <w:szCs w:val="22"/>
          <w:lang w:bidi="en-US"/>
        </w:rPr>
        <w:t xml:space="preserve"> be performed by the Community Banks, and coupled with the fact that there is always a market for its existence, therefore, floating a community bank in a tertiary institution with contributions from associations and individuals within the tertiary institution’s community can be a better non-governmental source of funding the development of the tertiary institution’s community and other staff within the community </w:t>
      </w:r>
      <w:r w:rsidR="00AB3D74" w:rsidRPr="00593380">
        <w:rPr>
          <w:b w:val="0"/>
          <w:bCs w:val="0"/>
          <w:color w:val="000000"/>
          <w:sz w:val="22"/>
          <w:szCs w:val="22"/>
          <w:lang w:bidi="en-US"/>
        </w:rPr>
        <w:t>(Lee, 2015)</w:t>
      </w:r>
      <w:r w:rsidR="00087AD4" w:rsidRPr="00593380">
        <w:rPr>
          <w:b w:val="0"/>
          <w:bCs w:val="0"/>
          <w:color w:val="000000"/>
          <w:sz w:val="22"/>
          <w:szCs w:val="22"/>
          <w:lang w:bidi="en-US"/>
        </w:rPr>
        <w:t>.</w:t>
      </w:r>
    </w:p>
    <w:p w14:paraId="32567778" w14:textId="35B07BCD" w:rsidR="00087AD4" w:rsidRPr="00593380" w:rsidRDefault="009D53B2" w:rsidP="00593380">
      <w:pPr>
        <w:pStyle w:val="Heading3"/>
        <w:spacing w:before="0" w:beforeAutospacing="0" w:after="0" w:afterAutospacing="0" w:line="360" w:lineRule="auto"/>
        <w:jc w:val="both"/>
        <w:rPr>
          <w:sz w:val="22"/>
          <w:szCs w:val="22"/>
        </w:rPr>
      </w:pPr>
      <w:bookmarkStart w:id="20" w:name="bookmark10"/>
      <w:bookmarkStart w:id="21" w:name="_Toc169270806"/>
      <w:r>
        <w:rPr>
          <w:sz w:val="22"/>
          <w:szCs w:val="22"/>
          <w:lang w:bidi="en-US"/>
        </w:rPr>
        <w:t xml:space="preserve">viii. </w:t>
      </w:r>
      <w:r w:rsidR="00087AD4" w:rsidRPr="00593380">
        <w:rPr>
          <w:sz w:val="22"/>
          <w:szCs w:val="22"/>
          <w:lang w:bidi="en-US"/>
        </w:rPr>
        <w:t>Endowment Funds</w:t>
      </w:r>
      <w:bookmarkEnd w:id="20"/>
      <w:bookmarkEnd w:id="21"/>
      <w:r w:rsidR="00593380">
        <w:rPr>
          <w:sz w:val="22"/>
          <w:szCs w:val="22"/>
          <w:lang w:bidi="en-US"/>
        </w:rPr>
        <w:t xml:space="preserve">: </w:t>
      </w:r>
      <w:r w:rsidR="00284558" w:rsidRPr="00593380">
        <w:rPr>
          <w:b w:val="0"/>
          <w:bCs w:val="0"/>
          <w:color w:val="000000"/>
          <w:sz w:val="22"/>
          <w:szCs w:val="22"/>
          <w:lang w:bidi="en-US"/>
        </w:rPr>
        <w:t>An endowment</w:t>
      </w:r>
      <w:r w:rsidR="00087AD4" w:rsidRPr="00593380">
        <w:rPr>
          <w:b w:val="0"/>
          <w:bCs w:val="0"/>
          <w:color w:val="000000"/>
          <w:sz w:val="22"/>
          <w:szCs w:val="22"/>
          <w:lang w:bidi="en-US"/>
        </w:rPr>
        <w:t xml:space="preserve"> scheme is a sort of </w:t>
      </w:r>
      <w:r w:rsidR="00284558" w:rsidRPr="00593380">
        <w:rPr>
          <w:b w:val="0"/>
          <w:bCs w:val="0"/>
          <w:color w:val="000000"/>
          <w:sz w:val="22"/>
          <w:szCs w:val="22"/>
          <w:lang w:bidi="en-US"/>
        </w:rPr>
        <w:t>fund</w:t>
      </w:r>
      <w:r w:rsidR="00087AD4" w:rsidRPr="00593380">
        <w:rPr>
          <w:b w:val="0"/>
          <w:bCs w:val="0"/>
          <w:color w:val="000000"/>
          <w:sz w:val="22"/>
          <w:szCs w:val="22"/>
          <w:lang w:bidi="en-US"/>
        </w:rPr>
        <w:t xml:space="preserve"> to which donors contribute for purposes of re-investment. In other words, it is money that has been given to the tertiary institutions to be held in perpetuity. The management may not be spending it, but the income may be disbursed on operational projects. Many </w:t>
      </w:r>
      <w:r w:rsidR="000C0290">
        <w:rPr>
          <w:b w:val="0"/>
          <w:bCs w:val="0"/>
          <w:color w:val="000000"/>
          <w:sz w:val="22"/>
          <w:szCs w:val="22"/>
          <w:lang w:bidi="en-US"/>
        </w:rPr>
        <w:t>tertiary institutions</w:t>
      </w:r>
      <w:r w:rsidR="00087AD4" w:rsidRPr="00593380">
        <w:rPr>
          <w:b w:val="0"/>
          <w:bCs w:val="0"/>
          <w:color w:val="000000"/>
          <w:sz w:val="22"/>
          <w:szCs w:val="22"/>
          <w:lang w:bidi="en-US"/>
        </w:rPr>
        <w:t xml:space="preserve"> do establish endowment funds where rich individuals or organizations assist in the development of quality education. Usually, prominent citizens donate money to the </w:t>
      </w:r>
      <w:r w:rsidR="000C0290">
        <w:rPr>
          <w:b w:val="0"/>
          <w:bCs w:val="0"/>
          <w:color w:val="000000"/>
          <w:sz w:val="22"/>
          <w:szCs w:val="22"/>
          <w:lang w:bidi="en-US"/>
        </w:rPr>
        <w:t>tertiary institutions</w:t>
      </w:r>
      <w:r w:rsidR="00087AD4" w:rsidRPr="00593380">
        <w:rPr>
          <w:b w:val="0"/>
          <w:bCs w:val="0"/>
          <w:color w:val="000000"/>
          <w:sz w:val="22"/>
          <w:szCs w:val="22"/>
          <w:lang w:bidi="en-US"/>
        </w:rPr>
        <w:t xml:space="preserve"> to be held in their honor in perpetuity. The intention is that the donor’s name be immortalized in the </w:t>
      </w:r>
      <w:r w:rsidR="000C0290">
        <w:rPr>
          <w:b w:val="0"/>
          <w:bCs w:val="0"/>
          <w:color w:val="000000"/>
          <w:sz w:val="22"/>
          <w:szCs w:val="22"/>
          <w:lang w:bidi="en-US"/>
        </w:rPr>
        <w:t>tertiary institutions</w:t>
      </w:r>
      <w:r w:rsidR="00087AD4" w:rsidRPr="00593380">
        <w:rPr>
          <w:b w:val="0"/>
          <w:bCs w:val="0"/>
          <w:color w:val="000000"/>
          <w:sz w:val="22"/>
          <w:szCs w:val="22"/>
          <w:lang w:bidi="en-US"/>
        </w:rPr>
        <w:t xml:space="preserve">. For example, lecture halls, </w:t>
      </w:r>
      <w:r w:rsidR="00284558" w:rsidRPr="00593380">
        <w:rPr>
          <w:b w:val="0"/>
          <w:bCs w:val="0"/>
          <w:color w:val="000000"/>
          <w:sz w:val="22"/>
          <w:szCs w:val="22"/>
          <w:lang w:bidi="en-US"/>
        </w:rPr>
        <w:t>stadiums</w:t>
      </w:r>
      <w:r w:rsidR="00087AD4" w:rsidRPr="00593380">
        <w:rPr>
          <w:b w:val="0"/>
          <w:bCs w:val="0"/>
          <w:color w:val="000000"/>
          <w:sz w:val="22"/>
          <w:szCs w:val="22"/>
          <w:lang w:bidi="en-US"/>
        </w:rPr>
        <w:t xml:space="preserve">, classroom blocks, </w:t>
      </w:r>
      <w:proofErr w:type="spellStart"/>
      <w:r w:rsidR="00087AD4" w:rsidRPr="00593380">
        <w:rPr>
          <w:b w:val="0"/>
          <w:bCs w:val="0"/>
          <w:color w:val="000000"/>
          <w:sz w:val="22"/>
          <w:szCs w:val="22"/>
          <w:lang w:bidi="en-US"/>
        </w:rPr>
        <w:t>etc</w:t>
      </w:r>
      <w:proofErr w:type="spellEnd"/>
      <w:r w:rsidR="00087AD4" w:rsidRPr="00593380">
        <w:rPr>
          <w:b w:val="0"/>
          <w:bCs w:val="0"/>
          <w:color w:val="000000"/>
          <w:sz w:val="22"/>
          <w:szCs w:val="22"/>
          <w:lang w:bidi="en-US"/>
        </w:rPr>
        <w:t xml:space="preserve"> </w:t>
      </w:r>
      <w:r w:rsidR="00087AD4" w:rsidRPr="00593380">
        <w:rPr>
          <w:b w:val="0"/>
          <w:bCs w:val="0"/>
          <w:color w:val="000000"/>
          <w:sz w:val="22"/>
          <w:szCs w:val="22"/>
          <w:lang w:bidi="en-US"/>
        </w:rPr>
        <w:lastRenderedPageBreak/>
        <w:t xml:space="preserve">are named after such persons. The publicity of </w:t>
      </w:r>
      <w:r w:rsidR="00284558" w:rsidRPr="00593380">
        <w:rPr>
          <w:b w:val="0"/>
          <w:bCs w:val="0"/>
          <w:color w:val="000000"/>
          <w:sz w:val="22"/>
          <w:szCs w:val="22"/>
          <w:lang w:bidi="en-US"/>
        </w:rPr>
        <w:t>these</w:t>
      </w:r>
      <w:r w:rsidR="00087AD4" w:rsidRPr="00593380">
        <w:rPr>
          <w:b w:val="0"/>
          <w:bCs w:val="0"/>
          <w:color w:val="000000"/>
          <w:sz w:val="22"/>
          <w:szCs w:val="22"/>
          <w:lang w:bidi="en-US"/>
        </w:rPr>
        <w:t xml:space="preserve"> endowment funds is low. </w:t>
      </w:r>
      <w:r w:rsidR="000C0290">
        <w:rPr>
          <w:b w:val="0"/>
          <w:bCs w:val="0"/>
          <w:color w:val="000000"/>
          <w:sz w:val="22"/>
          <w:szCs w:val="22"/>
          <w:lang w:bidi="en-US"/>
        </w:rPr>
        <w:t>Tertiary institutions</w:t>
      </w:r>
      <w:r w:rsidR="00087AD4" w:rsidRPr="00593380">
        <w:rPr>
          <w:b w:val="0"/>
          <w:bCs w:val="0"/>
          <w:color w:val="000000"/>
          <w:sz w:val="22"/>
          <w:szCs w:val="22"/>
          <w:lang w:bidi="en-US"/>
        </w:rPr>
        <w:t xml:space="preserve"> should publicize these through the media and </w:t>
      </w:r>
      <w:r w:rsidR="00284558" w:rsidRPr="00593380">
        <w:rPr>
          <w:b w:val="0"/>
          <w:bCs w:val="0"/>
          <w:color w:val="000000"/>
          <w:sz w:val="22"/>
          <w:szCs w:val="22"/>
          <w:lang w:bidi="en-US"/>
        </w:rPr>
        <w:t xml:space="preserve">the </w:t>
      </w:r>
      <w:r w:rsidR="00087AD4" w:rsidRPr="00593380">
        <w:rPr>
          <w:b w:val="0"/>
          <w:bCs w:val="0"/>
          <w:color w:val="000000"/>
          <w:sz w:val="22"/>
          <w:szCs w:val="22"/>
          <w:lang w:bidi="en-US"/>
        </w:rPr>
        <w:t xml:space="preserve">names of donors also </w:t>
      </w:r>
      <w:r w:rsidR="00284558" w:rsidRPr="00593380">
        <w:rPr>
          <w:b w:val="0"/>
          <w:bCs w:val="0"/>
          <w:color w:val="000000"/>
          <w:sz w:val="22"/>
          <w:szCs w:val="22"/>
          <w:lang w:bidi="en-US"/>
        </w:rPr>
        <w:t xml:space="preserve">be </w:t>
      </w:r>
      <w:r w:rsidR="00087AD4" w:rsidRPr="00593380">
        <w:rPr>
          <w:b w:val="0"/>
          <w:bCs w:val="0"/>
          <w:color w:val="000000"/>
          <w:sz w:val="22"/>
          <w:szCs w:val="22"/>
          <w:lang w:bidi="en-US"/>
        </w:rPr>
        <w:t xml:space="preserve">published to serve as </w:t>
      </w:r>
      <w:r w:rsidR="00284558" w:rsidRPr="00593380">
        <w:rPr>
          <w:b w:val="0"/>
          <w:bCs w:val="0"/>
          <w:color w:val="000000"/>
          <w:sz w:val="22"/>
          <w:szCs w:val="22"/>
          <w:lang w:bidi="en-US"/>
        </w:rPr>
        <w:t xml:space="preserve">an </w:t>
      </w:r>
      <w:r w:rsidR="00087AD4" w:rsidRPr="00593380">
        <w:rPr>
          <w:b w:val="0"/>
          <w:bCs w:val="0"/>
          <w:color w:val="000000"/>
          <w:sz w:val="22"/>
          <w:szCs w:val="22"/>
          <w:lang w:bidi="en-US"/>
        </w:rPr>
        <w:t>incentive for others to donate</w:t>
      </w:r>
      <w:r w:rsidR="00AB3D74" w:rsidRPr="00593380">
        <w:rPr>
          <w:b w:val="0"/>
          <w:bCs w:val="0"/>
          <w:color w:val="000000"/>
          <w:sz w:val="22"/>
          <w:szCs w:val="22"/>
          <w:lang w:bidi="en-US"/>
        </w:rPr>
        <w:t xml:space="preserve"> (Leal et al., 2015b)</w:t>
      </w:r>
      <w:r w:rsidR="008408FB" w:rsidRPr="00593380">
        <w:rPr>
          <w:b w:val="0"/>
          <w:bCs w:val="0"/>
          <w:color w:val="000000"/>
          <w:sz w:val="22"/>
          <w:szCs w:val="22"/>
          <w:lang w:bidi="en-US"/>
        </w:rPr>
        <w:t>.</w:t>
      </w:r>
    </w:p>
    <w:p w14:paraId="2C2095D8" w14:textId="265D89BD" w:rsidR="00087AD4" w:rsidRPr="00593380" w:rsidRDefault="009D53B2" w:rsidP="00593380">
      <w:pPr>
        <w:pStyle w:val="Heading3"/>
        <w:spacing w:before="0" w:beforeAutospacing="0" w:after="0" w:afterAutospacing="0" w:line="360" w:lineRule="auto"/>
        <w:jc w:val="both"/>
        <w:rPr>
          <w:sz w:val="22"/>
          <w:szCs w:val="22"/>
        </w:rPr>
      </w:pPr>
      <w:bookmarkStart w:id="22" w:name="bookmark11"/>
      <w:bookmarkStart w:id="23" w:name="_Toc169270807"/>
      <w:r>
        <w:rPr>
          <w:sz w:val="22"/>
          <w:szCs w:val="22"/>
          <w:lang w:bidi="en-US"/>
        </w:rPr>
        <w:t>ix.</w:t>
      </w:r>
      <w:r w:rsidR="00A05256" w:rsidRPr="00593380">
        <w:rPr>
          <w:sz w:val="22"/>
          <w:szCs w:val="22"/>
          <w:lang w:bidi="en-US"/>
        </w:rPr>
        <w:t xml:space="preserve"> </w:t>
      </w:r>
      <w:r w:rsidR="00087AD4" w:rsidRPr="00593380">
        <w:rPr>
          <w:sz w:val="22"/>
          <w:szCs w:val="22"/>
          <w:lang w:bidi="en-US"/>
        </w:rPr>
        <w:t>Alumni</w:t>
      </w:r>
      <w:r w:rsidR="00087AD4" w:rsidRPr="00593380">
        <w:rPr>
          <w:sz w:val="22"/>
          <w:szCs w:val="22"/>
          <w:lang w:bidi="en-US"/>
        </w:rPr>
        <w:tab/>
        <w:t>Association</w:t>
      </w:r>
      <w:bookmarkEnd w:id="22"/>
      <w:bookmarkEnd w:id="23"/>
      <w:r w:rsidR="00593380">
        <w:rPr>
          <w:sz w:val="22"/>
          <w:szCs w:val="22"/>
          <w:lang w:bidi="en-US"/>
        </w:rPr>
        <w:t xml:space="preserve">: </w:t>
      </w:r>
      <w:r w:rsidR="00087AD4" w:rsidRPr="00593380">
        <w:rPr>
          <w:b w:val="0"/>
          <w:bCs w:val="0"/>
          <w:color w:val="000000"/>
          <w:sz w:val="22"/>
          <w:szCs w:val="22"/>
          <w:lang w:bidi="en-US"/>
        </w:rPr>
        <w:t xml:space="preserve">The old students of tertiary institutions are usually very proud to remember their Alma Mata. Strong alumni associations should be formed in schools. </w:t>
      </w:r>
      <w:r w:rsidR="000C0290">
        <w:rPr>
          <w:b w:val="0"/>
          <w:bCs w:val="0"/>
          <w:color w:val="000000"/>
          <w:sz w:val="22"/>
          <w:szCs w:val="22"/>
          <w:lang w:bidi="en-US"/>
        </w:rPr>
        <w:t>Tertiary institutions</w:t>
      </w:r>
      <w:r w:rsidR="00087AD4" w:rsidRPr="00593380">
        <w:rPr>
          <w:b w:val="0"/>
          <w:bCs w:val="0"/>
          <w:color w:val="000000"/>
          <w:sz w:val="22"/>
          <w:szCs w:val="22"/>
          <w:lang w:bidi="en-US"/>
        </w:rPr>
        <w:t xml:space="preserve"> should seek financial support from their alumni. Old students should be recognized and invited from time to time to deliberate on </w:t>
      </w:r>
      <w:r w:rsidR="00284558" w:rsidRPr="00593380">
        <w:rPr>
          <w:b w:val="0"/>
          <w:bCs w:val="0"/>
          <w:color w:val="000000"/>
          <w:sz w:val="22"/>
          <w:szCs w:val="22"/>
          <w:lang w:bidi="en-US"/>
        </w:rPr>
        <w:t xml:space="preserve">the </w:t>
      </w:r>
      <w:r w:rsidR="00087AD4" w:rsidRPr="00593380">
        <w:rPr>
          <w:b w:val="0"/>
          <w:bCs w:val="0"/>
          <w:color w:val="000000"/>
          <w:sz w:val="22"/>
          <w:szCs w:val="22"/>
          <w:lang w:bidi="en-US"/>
        </w:rPr>
        <w:t xml:space="preserve">position of their alma </w:t>
      </w:r>
      <w:proofErr w:type="spellStart"/>
      <w:r w:rsidR="00087AD4" w:rsidRPr="00593380">
        <w:rPr>
          <w:b w:val="0"/>
          <w:bCs w:val="0"/>
          <w:color w:val="000000"/>
          <w:sz w:val="22"/>
          <w:szCs w:val="22"/>
          <w:lang w:bidi="en-US"/>
        </w:rPr>
        <w:t>mata</w:t>
      </w:r>
      <w:proofErr w:type="spellEnd"/>
      <w:r w:rsidR="00087AD4" w:rsidRPr="00593380">
        <w:rPr>
          <w:b w:val="0"/>
          <w:bCs w:val="0"/>
          <w:color w:val="000000"/>
          <w:sz w:val="22"/>
          <w:szCs w:val="22"/>
          <w:lang w:bidi="en-US"/>
        </w:rPr>
        <w:t xml:space="preserve">. The school authority should keep track and record of their old students </w:t>
      </w:r>
      <w:r w:rsidR="00284558" w:rsidRPr="00593380">
        <w:rPr>
          <w:b w:val="0"/>
          <w:bCs w:val="0"/>
          <w:color w:val="000000"/>
          <w:sz w:val="22"/>
          <w:szCs w:val="22"/>
          <w:lang w:bidi="en-US"/>
        </w:rPr>
        <w:t>to</w:t>
      </w:r>
      <w:r w:rsidR="00087AD4" w:rsidRPr="00593380">
        <w:rPr>
          <w:b w:val="0"/>
          <w:bCs w:val="0"/>
          <w:color w:val="000000"/>
          <w:sz w:val="22"/>
          <w:szCs w:val="22"/>
          <w:lang w:bidi="en-US"/>
        </w:rPr>
        <w:t xml:space="preserve"> always know and follow up </w:t>
      </w:r>
      <w:r w:rsidR="00284558" w:rsidRPr="00593380">
        <w:rPr>
          <w:b w:val="0"/>
          <w:bCs w:val="0"/>
          <w:color w:val="000000"/>
          <w:sz w:val="22"/>
          <w:szCs w:val="22"/>
          <w:lang w:bidi="en-US"/>
        </w:rPr>
        <w:t xml:space="preserve">on </w:t>
      </w:r>
      <w:r w:rsidR="00087AD4" w:rsidRPr="00593380">
        <w:rPr>
          <w:b w:val="0"/>
          <w:bCs w:val="0"/>
          <w:color w:val="000000"/>
          <w:sz w:val="22"/>
          <w:szCs w:val="22"/>
          <w:lang w:bidi="en-US"/>
        </w:rPr>
        <w:t>their progress in life</w:t>
      </w:r>
      <w:r w:rsidR="008408FB" w:rsidRPr="00593380">
        <w:rPr>
          <w:b w:val="0"/>
          <w:bCs w:val="0"/>
          <w:color w:val="000000"/>
          <w:sz w:val="22"/>
          <w:szCs w:val="22"/>
          <w:lang w:bidi="en-US"/>
        </w:rPr>
        <w:t xml:space="preserve"> (Leal et al., 2015a)</w:t>
      </w:r>
      <w:r w:rsidR="00087AD4" w:rsidRPr="00593380">
        <w:rPr>
          <w:b w:val="0"/>
          <w:bCs w:val="0"/>
          <w:color w:val="000000"/>
          <w:sz w:val="22"/>
          <w:szCs w:val="22"/>
          <w:lang w:bidi="en-US"/>
        </w:rPr>
        <w:t>.</w:t>
      </w:r>
    </w:p>
    <w:p w14:paraId="0E5809CA" w14:textId="5580ECB3" w:rsidR="00087AD4" w:rsidRPr="00593380" w:rsidRDefault="009D53B2" w:rsidP="00593380">
      <w:pPr>
        <w:pStyle w:val="Heading3"/>
        <w:spacing w:before="0" w:beforeAutospacing="0" w:after="0" w:afterAutospacing="0" w:line="360" w:lineRule="auto"/>
        <w:jc w:val="both"/>
        <w:rPr>
          <w:sz w:val="22"/>
          <w:szCs w:val="22"/>
        </w:rPr>
      </w:pPr>
      <w:bookmarkStart w:id="24" w:name="bookmark12"/>
      <w:bookmarkStart w:id="25" w:name="_Toc169270808"/>
      <w:r>
        <w:rPr>
          <w:sz w:val="22"/>
          <w:szCs w:val="22"/>
          <w:lang w:bidi="en-US"/>
        </w:rPr>
        <w:t>x.</w:t>
      </w:r>
      <w:r w:rsidR="0047530D" w:rsidRPr="00593380">
        <w:rPr>
          <w:sz w:val="22"/>
          <w:szCs w:val="22"/>
          <w:lang w:bidi="en-US"/>
        </w:rPr>
        <w:t xml:space="preserve"> </w:t>
      </w:r>
      <w:r w:rsidR="00087AD4" w:rsidRPr="00593380">
        <w:rPr>
          <w:sz w:val="22"/>
          <w:szCs w:val="22"/>
          <w:lang w:bidi="en-US"/>
        </w:rPr>
        <w:t>Rent and Leasing of Equipment and Materials</w:t>
      </w:r>
      <w:bookmarkEnd w:id="24"/>
      <w:bookmarkEnd w:id="25"/>
      <w:r w:rsidR="00593380">
        <w:rPr>
          <w:sz w:val="22"/>
          <w:szCs w:val="22"/>
          <w:lang w:bidi="en-US"/>
        </w:rPr>
        <w:t xml:space="preserve">: </w:t>
      </w:r>
      <w:r w:rsidR="00087AD4" w:rsidRPr="00593380">
        <w:rPr>
          <w:b w:val="0"/>
          <w:bCs w:val="0"/>
          <w:color w:val="000000"/>
          <w:sz w:val="22"/>
          <w:szCs w:val="22"/>
          <w:lang w:bidi="en-US"/>
        </w:rPr>
        <w:t xml:space="preserve">In this era of dwindling financial resources in the federal and state </w:t>
      </w:r>
      <w:r w:rsidR="000C0290">
        <w:rPr>
          <w:b w:val="0"/>
          <w:bCs w:val="0"/>
          <w:color w:val="000000"/>
          <w:sz w:val="22"/>
          <w:szCs w:val="22"/>
          <w:lang w:bidi="en-US"/>
        </w:rPr>
        <w:t>tertiary institutions</w:t>
      </w:r>
      <w:r w:rsidR="00087AD4" w:rsidRPr="00593380">
        <w:rPr>
          <w:b w:val="0"/>
          <w:bCs w:val="0"/>
          <w:color w:val="000000"/>
          <w:sz w:val="22"/>
          <w:szCs w:val="22"/>
          <w:lang w:bidi="en-US"/>
        </w:rPr>
        <w:t xml:space="preserve">, leasing can be a vital source of finance for the system as the money </w:t>
      </w:r>
      <w:r w:rsidR="00284558" w:rsidRPr="00593380">
        <w:rPr>
          <w:b w:val="0"/>
          <w:bCs w:val="0"/>
          <w:color w:val="000000"/>
          <w:sz w:val="22"/>
          <w:szCs w:val="22"/>
          <w:lang w:bidi="en-US"/>
        </w:rPr>
        <w:t>that</w:t>
      </w:r>
      <w:r w:rsidR="00087AD4" w:rsidRPr="00593380">
        <w:rPr>
          <w:b w:val="0"/>
          <w:bCs w:val="0"/>
          <w:color w:val="000000"/>
          <w:sz w:val="22"/>
          <w:szCs w:val="22"/>
          <w:lang w:bidi="en-US"/>
        </w:rPr>
        <w:t xml:space="preserve"> would have been tied down to some assets and properties </w:t>
      </w:r>
      <w:r w:rsidR="00284558" w:rsidRPr="00593380">
        <w:rPr>
          <w:b w:val="0"/>
          <w:bCs w:val="0"/>
          <w:color w:val="000000"/>
          <w:sz w:val="22"/>
          <w:szCs w:val="22"/>
          <w:lang w:bidi="en-US"/>
        </w:rPr>
        <w:t>is</w:t>
      </w:r>
      <w:r w:rsidR="00087AD4" w:rsidRPr="00593380">
        <w:rPr>
          <w:b w:val="0"/>
          <w:bCs w:val="0"/>
          <w:color w:val="000000"/>
          <w:sz w:val="22"/>
          <w:szCs w:val="22"/>
          <w:lang w:bidi="en-US"/>
        </w:rPr>
        <w:t xml:space="preserve"> </w:t>
      </w:r>
      <w:r w:rsidR="0047530D" w:rsidRPr="00593380">
        <w:rPr>
          <w:b w:val="0"/>
          <w:bCs w:val="0"/>
          <w:color w:val="000000"/>
          <w:sz w:val="22"/>
          <w:szCs w:val="22"/>
          <w:lang w:bidi="en-US"/>
        </w:rPr>
        <w:t>channeled</w:t>
      </w:r>
      <w:r w:rsidR="00087AD4" w:rsidRPr="00593380">
        <w:rPr>
          <w:b w:val="0"/>
          <w:bCs w:val="0"/>
          <w:color w:val="000000"/>
          <w:sz w:val="22"/>
          <w:szCs w:val="22"/>
          <w:lang w:bidi="en-US"/>
        </w:rPr>
        <w:t xml:space="preserve"> to other sectors of the productive services. The most appropriate lease is the service lease because of its </w:t>
      </w:r>
      <w:r w:rsidR="00284558" w:rsidRPr="00593380">
        <w:rPr>
          <w:b w:val="0"/>
          <w:bCs w:val="0"/>
          <w:color w:val="000000"/>
          <w:sz w:val="22"/>
          <w:szCs w:val="22"/>
          <w:lang w:bidi="en-US"/>
        </w:rPr>
        <w:t>innovative</w:t>
      </w:r>
      <w:r w:rsidR="00087AD4" w:rsidRPr="00593380">
        <w:rPr>
          <w:b w:val="0"/>
          <w:bCs w:val="0"/>
          <w:color w:val="000000"/>
          <w:sz w:val="22"/>
          <w:szCs w:val="22"/>
          <w:lang w:bidi="en-US"/>
        </w:rPr>
        <w:t xml:space="preserve"> nature and saving the </w:t>
      </w:r>
      <w:r w:rsidR="000C0290">
        <w:rPr>
          <w:b w:val="0"/>
          <w:bCs w:val="0"/>
          <w:color w:val="000000"/>
          <w:sz w:val="22"/>
          <w:szCs w:val="22"/>
          <w:lang w:bidi="en-US"/>
        </w:rPr>
        <w:t>tertiary institutions</w:t>
      </w:r>
      <w:r w:rsidR="00087AD4" w:rsidRPr="00593380">
        <w:rPr>
          <w:b w:val="0"/>
          <w:bCs w:val="0"/>
          <w:color w:val="000000"/>
          <w:sz w:val="22"/>
          <w:szCs w:val="22"/>
          <w:lang w:bidi="en-US"/>
        </w:rPr>
        <w:t xml:space="preserve"> from utilizing absolute equipment and facilities. If the </w:t>
      </w:r>
      <w:r w:rsidR="000C0290">
        <w:rPr>
          <w:b w:val="0"/>
          <w:bCs w:val="0"/>
          <w:color w:val="000000"/>
          <w:sz w:val="22"/>
          <w:szCs w:val="22"/>
          <w:lang w:bidi="en-US"/>
        </w:rPr>
        <w:t>tertiary institutions</w:t>
      </w:r>
      <w:r w:rsidR="00087AD4" w:rsidRPr="00593380">
        <w:rPr>
          <w:b w:val="0"/>
          <w:bCs w:val="0"/>
          <w:color w:val="000000"/>
          <w:sz w:val="22"/>
          <w:szCs w:val="22"/>
          <w:lang w:bidi="en-US"/>
        </w:rPr>
        <w:t xml:space="preserve"> are to remain the citadels of innovation in these harsh times, lease options may ensure that all necessary equipment </w:t>
      </w:r>
      <w:r w:rsidR="00284558" w:rsidRPr="00593380">
        <w:rPr>
          <w:b w:val="0"/>
          <w:bCs w:val="0"/>
          <w:color w:val="000000"/>
          <w:sz w:val="22"/>
          <w:szCs w:val="22"/>
          <w:lang w:bidi="en-US"/>
        </w:rPr>
        <w:t>is</w:t>
      </w:r>
      <w:r w:rsidR="00087AD4" w:rsidRPr="00593380">
        <w:rPr>
          <w:b w:val="0"/>
          <w:bCs w:val="0"/>
          <w:color w:val="000000"/>
          <w:sz w:val="22"/>
          <w:szCs w:val="22"/>
          <w:lang w:bidi="en-US"/>
        </w:rPr>
        <w:t xml:space="preserve"> acquired without tying down their scarce resources and suffer the consequent loss. Also, it will conserve funds that will now be deployed to vital productive sectors of the establishment</w:t>
      </w:r>
      <w:r w:rsidR="008408FB" w:rsidRPr="00593380">
        <w:rPr>
          <w:b w:val="0"/>
          <w:bCs w:val="0"/>
          <w:color w:val="000000"/>
          <w:sz w:val="22"/>
          <w:szCs w:val="22"/>
          <w:lang w:bidi="en-US"/>
        </w:rPr>
        <w:t xml:space="preserve"> (Leal et al., 2015).</w:t>
      </w:r>
    </w:p>
    <w:p w14:paraId="551E5E6B" w14:textId="66B1D90A" w:rsidR="00087AD4" w:rsidRPr="00593380" w:rsidRDefault="009D53B2" w:rsidP="00593380">
      <w:pPr>
        <w:pStyle w:val="Heading3"/>
        <w:spacing w:before="0" w:beforeAutospacing="0" w:after="0" w:afterAutospacing="0" w:line="360" w:lineRule="auto"/>
        <w:jc w:val="both"/>
        <w:rPr>
          <w:sz w:val="22"/>
          <w:szCs w:val="22"/>
        </w:rPr>
      </w:pPr>
      <w:bookmarkStart w:id="26" w:name="bookmark13"/>
      <w:bookmarkStart w:id="27" w:name="_Toc169270809"/>
      <w:r>
        <w:rPr>
          <w:sz w:val="22"/>
          <w:szCs w:val="22"/>
          <w:lang w:bidi="en-US"/>
        </w:rPr>
        <w:t>xi.</w:t>
      </w:r>
      <w:r w:rsidR="0047530D" w:rsidRPr="00593380">
        <w:rPr>
          <w:sz w:val="22"/>
          <w:szCs w:val="22"/>
          <w:lang w:bidi="en-US"/>
        </w:rPr>
        <w:t xml:space="preserve"> </w:t>
      </w:r>
      <w:r w:rsidR="00087AD4" w:rsidRPr="00593380">
        <w:rPr>
          <w:sz w:val="22"/>
          <w:szCs w:val="22"/>
          <w:lang w:bidi="en-US"/>
        </w:rPr>
        <w:t>Car Park</w:t>
      </w:r>
      <w:bookmarkEnd w:id="26"/>
      <w:bookmarkEnd w:id="27"/>
      <w:r w:rsidR="00593380">
        <w:rPr>
          <w:sz w:val="22"/>
          <w:szCs w:val="22"/>
          <w:lang w:bidi="en-US"/>
        </w:rPr>
        <w:t xml:space="preserve">: </w:t>
      </w:r>
      <w:r w:rsidR="00087AD4" w:rsidRPr="00593380">
        <w:rPr>
          <w:b w:val="0"/>
          <w:bCs w:val="0"/>
          <w:color w:val="000000"/>
          <w:sz w:val="22"/>
          <w:szCs w:val="22"/>
          <w:lang w:bidi="en-US"/>
        </w:rPr>
        <w:t xml:space="preserve">Car park services can be introduced by </w:t>
      </w:r>
      <w:r w:rsidR="00087AD4" w:rsidRPr="00593380">
        <w:rPr>
          <w:b w:val="0"/>
          <w:bCs w:val="0"/>
          <w:sz w:val="22"/>
          <w:szCs w:val="22"/>
        </w:rPr>
        <w:t xml:space="preserve">tertiary </w:t>
      </w:r>
      <w:r w:rsidR="00284558" w:rsidRPr="00593380">
        <w:rPr>
          <w:b w:val="0"/>
          <w:bCs w:val="0"/>
          <w:sz w:val="22"/>
          <w:szCs w:val="22"/>
        </w:rPr>
        <w:t>institution</w:t>
      </w:r>
      <w:r w:rsidR="00087AD4" w:rsidRPr="00593380">
        <w:rPr>
          <w:b w:val="0"/>
          <w:bCs w:val="0"/>
          <w:color w:val="000000"/>
          <w:sz w:val="22"/>
          <w:szCs w:val="22"/>
          <w:lang w:bidi="en-US"/>
        </w:rPr>
        <w:t xml:space="preserve"> authorities in which staff, students</w:t>
      </w:r>
      <w:r w:rsidR="00284558" w:rsidRPr="00593380">
        <w:rPr>
          <w:b w:val="0"/>
          <w:bCs w:val="0"/>
          <w:color w:val="000000"/>
          <w:sz w:val="22"/>
          <w:szCs w:val="22"/>
          <w:lang w:bidi="en-US"/>
        </w:rPr>
        <w:t>,</w:t>
      </w:r>
      <w:r w:rsidR="00087AD4" w:rsidRPr="00593380">
        <w:rPr>
          <w:b w:val="0"/>
          <w:bCs w:val="0"/>
          <w:color w:val="000000"/>
          <w:sz w:val="22"/>
          <w:szCs w:val="22"/>
          <w:lang w:bidi="en-US"/>
        </w:rPr>
        <w:t xml:space="preserve"> and visitors can be allocated separate parks. In the case of staff and students, theirs should not attract fees, while visitors to the </w:t>
      </w:r>
      <w:r w:rsidR="00087AD4" w:rsidRPr="00593380">
        <w:rPr>
          <w:b w:val="0"/>
          <w:bCs w:val="0"/>
          <w:sz w:val="22"/>
          <w:szCs w:val="22"/>
        </w:rPr>
        <w:t>tertiary institutions</w:t>
      </w:r>
      <w:r w:rsidR="00087AD4" w:rsidRPr="00593380">
        <w:rPr>
          <w:b w:val="0"/>
          <w:bCs w:val="0"/>
          <w:color w:val="000000"/>
          <w:sz w:val="22"/>
          <w:szCs w:val="22"/>
          <w:lang w:bidi="en-US"/>
        </w:rPr>
        <w:t xml:space="preserve"> could be directed to park their cars at designated parks where a sum of money will be paid for security or services charges for the time and period. Coupons could be used to check the cars or vehicles. Also, </w:t>
      </w:r>
      <w:r w:rsidR="00284558" w:rsidRPr="00593380">
        <w:rPr>
          <w:b w:val="0"/>
          <w:bCs w:val="0"/>
          <w:color w:val="000000"/>
          <w:sz w:val="22"/>
          <w:szCs w:val="22"/>
          <w:lang w:bidi="en-US"/>
        </w:rPr>
        <w:t>motorcycles</w:t>
      </w:r>
      <w:r w:rsidR="00087AD4" w:rsidRPr="00593380">
        <w:rPr>
          <w:b w:val="0"/>
          <w:bCs w:val="0"/>
          <w:color w:val="000000"/>
          <w:sz w:val="22"/>
          <w:szCs w:val="22"/>
          <w:lang w:bidi="en-US"/>
        </w:rPr>
        <w:t xml:space="preserve"> as popular means of transport are ubiquitous in every nook and cranny of </w:t>
      </w:r>
      <w:r w:rsidR="00087AD4" w:rsidRPr="00593380">
        <w:rPr>
          <w:b w:val="0"/>
          <w:bCs w:val="0"/>
          <w:sz w:val="22"/>
          <w:szCs w:val="22"/>
        </w:rPr>
        <w:t xml:space="preserve">tertiary </w:t>
      </w:r>
      <w:r w:rsidR="00284558" w:rsidRPr="00593380">
        <w:rPr>
          <w:b w:val="0"/>
          <w:bCs w:val="0"/>
          <w:sz w:val="22"/>
          <w:szCs w:val="22"/>
        </w:rPr>
        <w:t>institution</w:t>
      </w:r>
      <w:r w:rsidR="00087AD4" w:rsidRPr="00593380">
        <w:rPr>
          <w:b w:val="0"/>
          <w:bCs w:val="0"/>
          <w:color w:val="000000"/>
          <w:sz w:val="22"/>
          <w:szCs w:val="22"/>
          <w:lang w:bidi="en-US"/>
        </w:rPr>
        <w:t xml:space="preserve"> campuses today. The </w:t>
      </w:r>
      <w:r w:rsidR="00087AD4" w:rsidRPr="00593380">
        <w:rPr>
          <w:b w:val="0"/>
          <w:bCs w:val="0"/>
          <w:sz w:val="22"/>
          <w:szCs w:val="22"/>
        </w:rPr>
        <w:t xml:space="preserve">tertiary </w:t>
      </w:r>
      <w:r w:rsidR="00284558" w:rsidRPr="00593380">
        <w:rPr>
          <w:b w:val="0"/>
          <w:bCs w:val="0"/>
          <w:sz w:val="22"/>
          <w:szCs w:val="22"/>
        </w:rPr>
        <w:t>institution's</w:t>
      </w:r>
      <w:r w:rsidR="00087AD4" w:rsidRPr="00593380">
        <w:rPr>
          <w:b w:val="0"/>
          <w:bCs w:val="0"/>
          <w:color w:val="000000"/>
          <w:sz w:val="22"/>
          <w:szCs w:val="22"/>
          <w:lang w:bidi="en-US"/>
        </w:rPr>
        <w:t xml:space="preserve"> management can legalize their use within and around the </w:t>
      </w:r>
      <w:r w:rsidR="00087AD4" w:rsidRPr="00593380">
        <w:rPr>
          <w:b w:val="0"/>
          <w:bCs w:val="0"/>
          <w:sz w:val="22"/>
          <w:szCs w:val="22"/>
        </w:rPr>
        <w:t>tertiary institutions</w:t>
      </w:r>
      <w:r w:rsidR="00087AD4" w:rsidRPr="00593380">
        <w:rPr>
          <w:b w:val="0"/>
          <w:bCs w:val="0"/>
          <w:color w:val="000000"/>
          <w:sz w:val="22"/>
          <w:szCs w:val="22"/>
          <w:lang w:bidi="en-US"/>
        </w:rPr>
        <w:t xml:space="preserve"> by designating parking lots </w:t>
      </w:r>
      <w:r w:rsidR="00284558" w:rsidRPr="00593380">
        <w:rPr>
          <w:b w:val="0"/>
          <w:bCs w:val="0"/>
          <w:color w:val="000000"/>
          <w:sz w:val="22"/>
          <w:szCs w:val="22"/>
          <w:lang w:bidi="en-US"/>
        </w:rPr>
        <w:t>for</w:t>
      </w:r>
      <w:r w:rsidR="00087AD4" w:rsidRPr="00593380">
        <w:rPr>
          <w:b w:val="0"/>
          <w:bCs w:val="0"/>
          <w:color w:val="000000"/>
          <w:sz w:val="22"/>
          <w:szCs w:val="22"/>
          <w:lang w:bidi="en-US"/>
        </w:rPr>
        <w:t xml:space="preserve"> them and selling coupon tickets at rates determined by them. This will yield additional revenue to the </w:t>
      </w:r>
      <w:r w:rsidR="00087AD4" w:rsidRPr="00593380">
        <w:rPr>
          <w:b w:val="0"/>
          <w:bCs w:val="0"/>
          <w:sz w:val="22"/>
          <w:szCs w:val="22"/>
        </w:rPr>
        <w:t>tertiary institutions</w:t>
      </w:r>
      <w:r w:rsidR="008408FB" w:rsidRPr="00593380">
        <w:rPr>
          <w:b w:val="0"/>
          <w:bCs w:val="0"/>
          <w:sz w:val="22"/>
          <w:szCs w:val="22"/>
        </w:rPr>
        <w:t xml:space="preserve"> (</w:t>
      </w:r>
      <w:proofErr w:type="spellStart"/>
      <w:r w:rsidR="008408FB" w:rsidRPr="00593380">
        <w:rPr>
          <w:b w:val="0"/>
          <w:bCs w:val="0"/>
          <w:sz w:val="22"/>
          <w:szCs w:val="22"/>
        </w:rPr>
        <w:t>Kiamba</w:t>
      </w:r>
      <w:proofErr w:type="spellEnd"/>
      <w:r w:rsidR="008408FB" w:rsidRPr="00593380">
        <w:rPr>
          <w:b w:val="0"/>
          <w:bCs w:val="0"/>
          <w:sz w:val="22"/>
          <w:szCs w:val="22"/>
        </w:rPr>
        <w:t>, 2003)</w:t>
      </w:r>
      <w:r w:rsidR="00087AD4" w:rsidRPr="00593380">
        <w:rPr>
          <w:b w:val="0"/>
          <w:bCs w:val="0"/>
          <w:sz w:val="22"/>
          <w:szCs w:val="22"/>
        </w:rPr>
        <w:t>.</w:t>
      </w:r>
    </w:p>
    <w:p w14:paraId="21C33088" w14:textId="14234277" w:rsidR="00087AD4" w:rsidRPr="00593380" w:rsidRDefault="009D53B2" w:rsidP="00593380">
      <w:pPr>
        <w:pStyle w:val="Heading3"/>
        <w:spacing w:before="0" w:beforeAutospacing="0" w:after="0" w:afterAutospacing="0" w:line="360" w:lineRule="auto"/>
        <w:jc w:val="both"/>
        <w:rPr>
          <w:sz w:val="22"/>
          <w:szCs w:val="22"/>
        </w:rPr>
      </w:pPr>
      <w:bookmarkStart w:id="28" w:name="bookmark14"/>
      <w:bookmarkStart w:id="29" w:name="_Toc169270810"/>
      <w:r>
        <w:rPr>
          <w:sz w:val="22"/>
          <w:szCs w:val="22"/>
          <w:lang w:bidi="en-US"/>
        </w:rPr>
        <w:t>xii.</w:t>
      </w:r>
      <w:r w:rsidR="00A05256" w:rsidRPr="00593380">
        <w:rPr>
          <w:sz w:val="22"/>
          <w:szCs w:val="22"/>
          <w:lang w:bidi="en-US"/>
        </w:rPr>
        <w:t xml:space="preserve"> </w:t>
      </w:r>
      <w:r w:rsidR="00087AD4" w:rsidRPr="00593380">
        <w:rPr>
          <w:sz w:val="22"/>
          <w:szCs w:val="22"/>
          <w:lang w:bidi="en-US"/>
        </w:rPr>
        <w:t xml:space="preserve">Establishment of a Tertiary </w:t>
      </w:r>
      <w:r w:rsidR="00284558" w:rsidRPr="00593380">
        <w:rPr>
          <w:sz w:val="22"/>
          <w:szCs w:val="22"/>
          <w:lang w:bidi="en-US"/>
        </w:rPr>
        <w:t>Institution</w:t>
      </w:r>
      <w:r w:rsidR="00087AD4" w:rsidRPr="00593380">
        <w:rPr>
          <w:sz w:val="22"/>
          <w:szCs w:val="22"/>
          <w:lang w:bidi="en-US"/>
        </w:rPr>
        <w:t xml:space="preserve"> Secondary School</w:t>
      </w:r>
      <w:bookmarkEnd w:id="28"/>
      <w:bookmarkEnd w:id="29"/>
      <w:r w:rsidR="00593380">
        <w:rPr>
          <w:sz w:val="22"/>
          <w:szCs w:val="22"/>
          <w:lang w:bidi="en-US"/>
        </w:rPr>
        <w:t xml:space="preserve">: </w:t>
      </w:r>
      <w:r w:rsidR="000C0290">
        <w:rPr>
          <w:b w:val="0"/>
          <w:bCs w:val="0"/>
          <w:color w:val="000000"/>
          <w:sz w:val="22"/>
          <w:szCs w:val="22"/>
          <w:lang w:bidi="en-US"/>
        </w:rPr>
        <w:t>Tertiary institutions</w:t>
      </w:r>
      <w:r w:rsidR="00087AD4" w:rsidRPr="00593380">
        <w:rPr>
          <w:b w:val="0"/>
          <w:bCs w:val="0"/>
          <w:color w:val="000000"/>
          <w:sz w:val="22"/>
          <w:szCs w:val="22"/>
          <w:lang w:bidi="en-US"/>
        </w:rPr>
        <w:t xml:space="preserve"> can set up secondary schools as a means of generating </w:t>
      </w:r>
      <w:r w:rsidR="00284558" w:rsidRPr="00593380">
        <w:rPr>
          <w:b w:val="0"/>
          <w:bCs w:val="0"/>
          <w:color w:val="000000"/>
          <w:sz w:val="22"/>
          <w:szCs w:val="22"/>
          <w:lang w:bidi="en-US"/>
        </w:rPr>
        <w:t>funds</w:t>
      </w:r>
      <w:r w:rsidR="00087AD4" w:rsidRPr="00593380">
        <w:rPr>
          <w:b w:val="0"/>
          <w:bCs w:val="0"/>
          <w:color w:val="000000"/>
          <w:sz w:val="22"/>
          <w:szCs w:val="22"/>
          <w:lang w:bidi="en-US"/>
        </w:rPr>
        <w:t xml:space="preserve">. The school should </w:t>
      </w:r>
      <w:r w:rsidR="00284558" w:rsidRPr="00593380">
        <w:rPr>
          <w:b w:val="0"/>
          <w:bCs w:val="0"/>
          <w:color w:val="000000"/>
          <w:sz w:val="22"/>
          <w:szCs w:val="22"/>
          <w:lang w:bidi="en-US"/>
        </w:rPr>
        <w:t>be</w:t>
      </w:r>
      <w:r w:rsidR="00087AD4" w:rsidRPr="00593380">
        <w:rPr>
          <w:b w:val="0"/>
          <w:bCs w:val="0"/>
          <w:color w:val="000000"/>
          <w:sz w:val="22"/>
          <w:szCs w:val="22"/>
          <w:lang w:bidi="en-US"/>
        </w:rPr>
        <w:t xml:space="preserve"> meant to accommodate staff children and members of the public for specific fees. The teachers should be employed on agreed salaries and not the tertiary institutions workers’ salaries as currently happening in some </w:t>
      </w:r>
      <w:r w:rsidR="000C0290">
        <w:rPr>
          <w:b w:val="0"/>
          <w:bCs w:val="0"/>
          <w:color w:val="000000"/>
          <w:sz w:val="22"/>
          <w:szCs w:val="22"/>
          <w:lang w:bidi="en-US"/>
        </w:rPr>
        <w:t>tertiary institutions</w:t>
      </w:r>
      <w:r w:rsidR="00087AD4" w:rsidRPr="00593380">
        <w:rPr>
          <w:b w:val="0"/>
          <w:bCs w:val="0"/>
          <w:color w:val="000000"/>
          <w:sz w:val="22"/>
          <w:szCs w:val="22"/>
          <w:lang w:bidi="en-US"/>
        </w:rPr>
        <w:t xml:space="preserve">. Fees paid by the students can be a very important means of boosting the tertiary </w:t>
      </w:r>
      <w:r w:rsidR="00284558" w:rsidRPr="00593380">
        <w:rPr>
          <w:b w:val="0"/>
          <w:bCs w:val="0"/>
          <w:color w:val="000000"/>
          <w:sz w:val="22"/>
          <w:szCs w:val="22"/>
          <w:lang w:bidi="en-US"/>
        </w:rPr>
        <w:t>institution's</w:t>
      </w:r>
      <w:r w:rsidR="00087AD4" w:rsidRPr="00593380">
        <w:rPr>
          <w:b w:val="0"/>
          <w:bCs w:val="0"/>
          <w:color w:val="000000"/>
          <w:sz w:val="22"/>
          <w:szCs w:val="22"/>
          <w:lang w:bidi="en-US"/>
        </w:rPr>
        <w:t xml:space="preserve"> </w:t>
      </w:r>
      <w:r w:rsidR="00284558" w:rsidRPr="00593380">
        <w:rPr>
          <w:b w:val="0"/>
          <w:bCs w:val="0"/>
          <w:color w:val="000000"/>
          <w:sz w:val="22"/>
          <w:szCs w:val="22"/>
          <w:lang w:bidi="en-US"/>
        </w:rPr>
        <w:t>funds</w:t>
      </w:r>
      <w:r w:rsidR="008408FB" w:rsidRPr="00593380">
        <w:rPr>
          <w:b w:val="0"/>
          <w:bCs w:val="0"/>
          <w:color w:val="000000"/>
          <w:sz w:val="22"/>
          <w:szCs w:val="22"/>
          <w:lang w:bidi="en-US"/>
        </w:rPr>
        <w:t xml:space="preserve"> (</w:t>
      </w:r>
      <w:proofErr w:type="spellStart"/>
      <w:r w:rsidR="008408FB" w:rsidRPr="00593380">
        <w:rPr>
          <w:b w:val="0"/>
          <w:bCs w:val="0"/>
          <w:color w:val="000000"/>
          <w:sz w:val="22"/>
          <w:szCs w:val="22"/>
          <w:lang w:bidi="en-US"/>
        </w:rPr>
        <w:t>Hollowel</w:t>
      </w:r>
      <w:proofErr w:type="spellEnd"/>
      <w:r w:rsidR="008408FB" w:rsidRPr="00593380">
        <w:rPr>
          <w:b w:val="0"/>
          <w:bCs w:val="0"/>
          <w:color w:val="000000"/>
          <w:sz w:val="22"/>
          <w:szCs w:val="22"/>
          <w:lang w:bidi="en-US"/>
        </w:rPr>
        <w:t xml:space="preserve"> et al., 2006)</w:t>
      </w:r>
      <w:r w:rsidR="00087AD4" w:rsidRPr="00593380">
        <w:rPr>
          <w:b w:val="0"/>
          <w:bCs w:val="0"/>
          <w:color w:val="000000"/>
          <w:sz w:val="22"/>
          <w:szCs w:val="22"/>
          <w:lang w:bidi="en-US"/>
        </w:rPr>
        <w:t>.</w:t>
      </w:r>
    </w:p>
    <w:p w14:paraId="4DA78F15" w14:textId="7E170CB1" w:rsidR="00087AD4" w:rsidRPr="00593380" w:rsidRDefault="009D53B2" w:rsidP="00593380">
      <w:pPr>
        <w:pStyle w:val="Heading3"/>
        <w:spacing w:before="0" w:beforeAutospacing="0" w:after="0" w:afterAutospacing="0" w:line="360" w:lineRule="auto"/>
        <w:jc w:val="both"/>
        <w:rPr>
          <w:sz w:val="22"/>
          <w:szCs w:val="22"/>
        </w:rPr>
      </w:pPr>
      <w:bookmarkStart w:id="30" w:name="bookmark15"/>
      <w:bookmarkStart w:id="31" w:name="_Toc169270811"/>
      <w:r>
        <w:rPr>
          <w:sz w:val="22"/>
          <w:szCs w:val="22"/>
          <w:lang w:bidi="en-US"/>
        </w:rPr>
        <w:t>xiii.</w:t>
      </w:r>
      <w:r w:rsidR="0047530D" w:rsidRPr="00593380">
        <w:rPr>
          <w:sz w:val="22"/>
          <w:szCs w:val="22"/>
          <w:lang w:bidi="en-US"/>
        </w:rPr>
        <w:t xml:space="preserve"> </w:t>
      </w:r>
      <w:r w:rsidR="00087AD4" w:rsidRPr="00593380">
        <w:rPr>
          <w:sz w:val="22"/>
          <w:szCs w:val="22"/>
          <w:lang w:bidi="en-US"/>
        </w:rPr>
        <w:t>Setting up Filling Stations</w:t>
      </w:r>
      <w:bookmarkEnd w:id="30"/>
      <w:bookmarkEnd w:id="31"/>
      <w:r w:rsidR="00593380">
        <w:rPr>
          <w:sz w:val="22"/>
          <w:szCs w:val="22"/>
          <w:lang w:bidi="en-US"/>
        </w:rPr>
        <w:t xml:space="preserve">: </w:t>
      </w:r>
      <w:r w:rsidR="000C0290">
        <w:rPr>
          <w:b w:val="0"/>
          <w:bCs w:val="0"/>
          <w:color w:val="000000"/>
          <w:sz w:val="22"/>
          <w:szCs w:val="22"/>
          <w:lang w:bidi="en-US"/>
        </w:rPr>
        <w:t>Tertiary institutions</w:t>
      </w:r>
      <w:r w:rsidR="00087AD4" w:rsidRPr="00593380">
        <w:rPr>
          <w:b w:val="0"/>
          <w:bCs w:val="0"/>
          <w:color w:val="000000"/>
          <w:sz w:val="22"/>
          <w:szCs w:val="22"/>
          <w:lang w:bidi="en-US"/>
        </w:rPr>
        <w:t xml:space="preserve"> can set up viable filling stations for fund generation. This involves setting up petrol stations where staff, students</w:t>
      </w:r>
      <w:r w:rsidR="00284558" w:rsidRPr="00593380">
        <w:rPr>
          <w:b w:val="0"/>
          <w:bCs w:val="0"/>
          <w:color w:val="000000"/>
          <w:sz w:val="22"/>
          <w:szCs w:val="22"/>
          <w:lang w:bidi="en-US"/>
        </w:rPr>
        <w:t>,</w:t>
      </w:r>
      <w:r w:rsidR="00087AD4" w:rsidRPr="00593380">
        <w:rPr>
          <w:b w:val="0"/>
          <w:bCs w:val="0"/>
          <w:color w:val="000000"/>
          <w:sz w:val="22"/>
          <w:szCs w:val="22"/>
          <w:lang w:bidi="en-US"/>
        </w:rPr>
        <w:t xml:space="preserve"> and members of the public can purchase their </w:t>
      </w:r>
      <w:r w:rsidR="00284558" w:rsidRPr="00593380">
        <w:rPr>
          <w:b w:val="0"/>
          <w:bCs w:val="0"/>
          <w:color w:val="000000"/>
          <w:sz w:val="22"/>
          <w:szCs w:val="22"/>
          <w:lang w:bidi="en-US"/>
        </w:rPr>
        <w:t>fuel</w:t>
      </w:r>
      <w:r w:rsidR="00087AD4" w:rsidRPr="00593380">
        <w:rPr>
          <w:b w:val="0"/>
          <w:bCs w:val="0"/>
          <w:color w:val="000000"/>
          <w:sz w:val="22"/>
          <w:szCs w:val="22"/>
          <w:lang w:bidi="en-US"/>
        </w:rPr>
        <w:t xml:space="preserve"> and motor needs. This could be made to be in operation </w:t>
      </w:r>
      <w:r w:rsidR="00284558" w:rsidRPr="00593380">
        <w:rPr>
          <w:b w:val="0"/>
          <w:bCs w:val="0"/>
          <w:color w:val="000000"/>
          <w:sz w:val="22"/>
          <w:szCs w:val="22"/>
          <w:lang w:bidi="en-US"/>
        </w:rPr>
        <w:t xml:space="preserve">at </w:t>
      </w:r>
      <w:r w:rsidR="00087AD4" w:rsidRPr="00593380">
        <w:rPr>
          <w:b w:val="0"/>
          <w:bCs w:val="0"/>
          <w:color w:val="000000"/>
          <w:sz w:val="22"/>
          <w:szCs w:val="22"/>
          <w:lang w:bidi="en-US"/>
        </w:rPr>
        <w:t xml:space="preserve">all </w:t>
      </w:r>
      <w:r w:rsidR="00284558" w:rsidRPr="00593380">
        <w:rPr>
          <w:b w:val="0"/>
          <w:bCs w:val="0"/>
          <w:color w:val="000000"/>
          <w:sz w:val="22"/>
          <w:szCs w:val="22"/>
          <w:lang w:bidi="en-US"/>
        </w:rPr>
        <w:t>times</w:t>
      </w:r>
      <w:r w:rsidR="00087AD4" w:rsidRPr="00593380">
        <w:rPr>
          <w:b w:val="0"/>
          <w:bCs w:val="0"/>
          <w:color w:val="000000"/>
          <w:sz w:val="22"/>
          <w:szCs w:val="22"/>
          <w:lang w:bidi="en-US"/>
        </w:rPr>
        <w:t xml:space="preserve"> so that the </w:t>
      </w:r>
      <w:r w:rsidR="00284558" w:rsidRPr="00593380">
        <w:rPr>
          <w:b w:val="0"/>
          <w:bCs w:val="0"/>
          <w:color w:val="000000"/>
          <w:sz w:val="22"/>
          <w:szCs w:val="22"/>
          <w:lang w:bidi="en-US"/>
        </w:rPr>
        <w:t>fund's</w:t>
      </w:r>
      <w:r w:rsidR="00087AD4" w:rsidRPr="00593380">
        <w:rPr>
          <w:b w:val="0"/>
          <w:bCs w:val="0"/>
          <w:color w:val="000000"/>
          <w:sz w:val="22"/>
          <w:szCs w:val="22"/>
          <w:lang w:bidi="en-US"/>
        </w:rPr>
        <w:t xml:space="preserve"> generation can be sustained. The pump price should be made to be at par with what is obtainable in </w:t>
      </w:r>
      <w:r w:rsidR="00087AD4" w:rsidRPr="00593380">
        <w:rPr>
          <w:b w:val="0"/>
          <w:bCs w:val="0"/>
          <w:color w:val="000000"/>
          <w:sz w:val="22"/>
          <w:szCs w:val="22"/>
          <w:lang w:bidi="en-US"/>
        </w:rPr>
        <w:lastRenderedPageBreak/>
        <w:t xml:space="preserve">other filling stations. Sustaining this venture means that more fuel will always be available where more people will buy and more revenue generated for the </w:t>
      </w:r>
      <w:r w:rsidR="000C0290">
        <w:rPr>
          <w:b w:val="0"/>
          <w:bCs w:val="0"/>
          <w:color w:val="000000"/>
          <w:sz w:val="22"/>
          <w:szCs w:val="22"/>
          <w:lang w:bidi="en-US"/>
        </w:rPr>
        <w:t>tertiary institutions</w:t>
      </w:r>
      <w:r w:rsidR="008408FB" w:rsidRPr="00593380">
        <w:rPr>
          <w:b w:val="0"/>
          <w:bCs w:val="0"/>
          <w:color w:val="000000"/>
          <w:sz w:val="22"/>
          <w:szCs w:val="22"/>
          <w:lang w:bidi="en-US"/>
        </w:rPr>
        <w:t xml:space="preserve"> (Key, 1997)</w:t>
      </w:r>
      <w:r w:rsidR="00087AD4" w:rsidRPr="00593380">
        <w:rPr>
          <w:b w:val="0"/>
          <w:bCs w:val="0"/>
          <w:color w:val="000000"/>
          <w:sz w:val="22"/>
          <w:szCs w:val="22"/>
          <w:lang w:bidi="en-US"/>
        </w:rPr>
        <w:t>.</w:t>
      </w:r>
    </w:p>
    <w:p w14:paraId="3077543F" w14:textId="27C62628" w:rsidR="00087AD4" w:rsidRPr="00593380" w:rsidRDefault="009D53B2" w:rsidP="00593380">
      <w:pPr>
        <w:pStyle w:val="Heading3"/>
        <w:spacing w:before="0" w:beforeAutospacing="0" w:after="0" w:afterAutospacing="0" w:line="360" w:lineRule="auto"/>
        <w:jc w:val="both"/>
        <w:rPr>
          <w:color w:val="000000"/>
          <w:sz w:val="22"/>
          <w:szCs w:val="22"/>
          <w:lang w:bidi="en-US"/>
        </w:rPr>
      </w:pPr>
      <w:bookmarkStart w:id="32" w:name="_Toc169270812"/>
      <w:r>
        <w:rPr>
          <w:sz w:val="22"/>
          <w:szCs w:val="22"/>
          <w:lang w:bidi="en-US"/>
        </w:rPr>
        <w:t>xiv.</w:t>
      </w:r>
      <w:r w:rsidR="0047530D" w:rsidRPr="00593380">
        <w:rPr>
          <w:sz w:val="22"/>
          <w:szCs w:val="22"/>
          <w:lang w:bidi="en-US"/>
        </w:rPr>
        <w:t xml:space="preserve"> </w:t>
      </w:r>
      <w:r w:rsidR="00087AD4" w:rsidRPr="00593380">
        <w:rPr>
          <w:sz w:val="22"/>
          <w:szCs w:val="22"/>
          <w:lang w:bidi="en-US"/>
        </w:rPr>
        <w:t>Contributions by Parent-Teachers Association</w:t>
      </w:r>
      <w:r w:rsidR="00B008D7" w:rsidRPr="00593380">
        <w:rPr>
          <w:sz w:val="22"/>
          <w:szCs w:val="22"/>
          <w:lang w:bidi="en-US"/>
        </w:rPr>
        <w:t xml:space="preserve"> </w:t>
      </w:r>
      <w:bookmarkStart w:id="33" w:name="bookmark16"/>
      <w:r w:rsidR="00087AD4" w:rsidRPr="00593380">
        <w:rPr>
          <w:sz w:val="22"/>
          <w:szCs w:val="22"/>
          <w:lang w:bidi="en-US"/>
        </w:rPr>
        <w:t>(PTA)</w:t>
      </w:r>
      <w:bookmarkEnd w:id="32"/>
      <w:bookmarkEnd w:id="33"/>
      <w:r w:rsidR="00593380">
        <w:rPr>
          <w:sz w:val="22"/>
          <w:szCs w:val="22"/>
          <w:lang w:bidi="en-US"/>
        </w:rPr>
        <w:t xml:space="preserve">: </w:t>
      </w:r>
      <w:r w:rsidR="00087AD4" w:rsidRPr="00593380">
        <w:rPr>
          <w:b w:val="0"/>
          <w:bCs w:val="0"/>
          <w:color w:val="000000"/>
          <w:sz w:val="22"/>
          <w:szCs w:val="22"/>
          <w:lang w:bidi="en-US"/>
        </w:rPr>
        <w:t xml:space="preserve">Parents of the immediate beneficiaries of </w:t>
      </w:r>
      <w:r w:rsidR="000C0290">
        <w:rPr>
          <w:b w:val="0"/>
          <w:bCs w:val="0"/>
          <w:color w:val="000000"/>
          <w:sz w:val="22"/>
          <w:szCs w:val="22"/>
          <w:lang w:bidi="en-US"/>
        </w:rPr>
        <w:t>tertiary institutions</w:t>
      </w:r>
      <w:r w:rsidR="00087AD4" w:rsidRPr="00593380">
        <w:rPr>
          <w:b w:val="0"/>
          <w:bCs w:val="0"/>
          <w:color w:val="000000"/>
          <w:sz w:val="22"/>
          <w:szCs w:val="22"/>
          <w:lang w:bidi="en-US"/>
        </w:rPr>
        <w:t xml:space="preserve"> should be made to contribute a little towards the funding of the school. Apart from meeting the needs of their wards, </w:t>
      </w:r>
      <w:r w:rsidR="00284558" w:rsidRPr="00593380">
        <w:rPr>
          <w:b w:val="0"/>
          <w:bCs w:val="0"/>
          <w:color w:val="000000"/>
          <w:sz w:val="22"/>
          <w:szCs w:val="22"/>
          <w:lang w:bidi="en-US"/>
        </w:rPr>
        <w:t xml:space="preserve">a </w:t>
      </w:r>
      <w:r w:rsidR="00087AD4" w:rsidRPr="00593380">
        <w:rPr>
          <w:b w:val="0"/>
          <w:bCs w:val="0"/>
          <w:color w:val="000000"/>
          <w:sz w:val="22"/>
          <w:szCs w:val="22"/>
          <w:lang w:bidi="en-US"/>
        </w:rPr>
        <w:t xml:space="preserve">little extra amount should be collected as equipment or development levies from these parents. This body can come under any form or name. Some schools call it </w:t>
      </w:r>
      <w:r w:rsidR="00284558" w:rsidRPr="00593380">
        <w:rPr>
          <w:b w:val="0"/>
          <w:bCs w:val="0"/>
          <w:color w:val="000000"/>
          <w:sz w:val="22"/>
          <w:szCs w:val="22"/>
          <w:lang w:bidi="en-US"/>
        </w:rPr>
        <w:t xml:space="preserve">the </w:t>
      </w:r>
      <w:r w:rsidR="00087AD4" w:rsidRPr="00593380">
        <w:rPr>
          <w:b w:val="0"/>
          <w:bCs w:val="0"/>
          <w:color w:val="000000"/>
          <w:sz w:val="22"/>
          <w:szCs w:val="22"/>
          <w:lang w:bidi="en-US"/>
        </w:rPr>
        <w:t xml:space="preserve">Parents Consultative Forum. This extra levy, while not too big to scare parents from sending their wards to such schools, should be used for </w:t>
      </w:r>
      <w:r w:rsidR="00284558" w:rsidRPr="00593380">
        <w:rPr>
          <w:b w:val="0"/>
          <w:bCs w:val="0"/>
          <w:color w:val="000000"/>
          <w:sz w:val="22"/>
          <w:szCs w:val="22"/>
          <w:lang w:bidi="en-US"/>
        </w:rPr>
        <w:t xml:space="preserve">the </w:t>
      </w:r>
      <w:r w:rsidR="00087AD4" w:rsidRPr="00593380">
        <w:rPr>
          <w:b w:val="0"/>
          <w:bCs w:val="0"/>
          <w:color w:val="000000"/>
          <w:sz w:val="22"/>
          <w:szCs w:val="22"/>
          <w:lang w:bidi="en-US"/>
        </w:rPr>
        <w:t xml:space="preserve">procurement of materials and equipment or for the purpose for which they were collected. </w:t>
      </w:r>
      <w:r w:rsidR="000C0290">
        <w:rPr>
          <w:b w:val="0"/>
          <w:bCs w:val="0"/>
          <w:color w:val="000000"/>
          <w:sz w:val="22"/>
          <w:szCs w:val="22"/>
          <w:lang w:bidi="en-US"/>
        </w:rPr>
        <w:t>Tertiary institutions</w:t>
      </w:r>
      <w:r w:rsidR="00087AD4" w:rsidRPr="00593380">
        <w:rPr>
          <w:b w:val="0"/>
          <w:bCs w:val="0"/>
          <w:color w:val="000000"/>
          <w:sz w:val="22"/>
          <w:szCs w:val="22"/>
          <w:lang w:bidi="en-US"/>
        </w:rPr>
        <w:t xml:space="preserve"> or faculties can form Parents-Teachers </w:t>
      </w:r>
      <w:r w:rsidR="00284558" w:rsidRPr="00593380">
        <w:rPr>
          <w:b w:val="0"/>
          <w:bCs w:val="0"/>
          <w:color w:val="000000"/>
          <w:sz w:val="22"/>
          <w:szCs w:val="22"/>
          <w:lang w:bidi="en-US"/>
        </w:rPr>
        <w:t>Associations</w:t>
      </w:r>
      <w:r w:rsidR="00087AD4" w:rsidRPr="00593380">
        <w:rPr>
          <w:b w:val="0"/>
          <w:bCs w:val="0"/>
          <w:color w:val="000000"/>
          <w:sz w:val="22"/>
          <w:szCs w:val="22"/>
          <w:lang w:bidi="en-US"/>
        </w:rPr>
        <w:t xml:space="preserve"> (PTA) or Parent Consultation </w:t>
      </w:r>
      <w:r w:rsidR="00284558" w:rsidRPr="00593380">
        <w:rPr>
          <w:b w:val="0"/>
          <w:bCs w:val="0"/>
          <w:color w:val="000000"/>
          <w:sz w:val="22"/>
          <w:szCs w:val="22"/>
          <w:lang w:bidi="en-US"/>
        </w:rPr>
        <w:t>Forums</w:t>
      </w:r>
      <w:r w:rsidR="00087AD4" w:rsidRPr="00593380">
        <w:rPr>
          <w:b w:val="0"/>
          <w:bCs w:val="0"/>
          <w:color w:val="000000"/>
          <w:sz w:val="22"/>
          <w:szCs w:val="22"/>
          <w:lang w:bidi="en-US"/>
        </w:rPr>
        <w:t xml:space="preserve"> where interaction between the sponsors and school management can always take place</w:t>
      </w:r>
      <w:r w:rsidR="008408FB" w:rsidRPr="00593380">
        <w:rPr>
          <w:b w:val="0"/>
          <w:bCs w:val="0"/>
          <w:color w:val="000000"/>
          <w:sz w:val="22"/>
          <w:szCs w:val="22"/>
          <w:lang w:bidi="en-US"/>
        </w:rPr>
        <w:t xml:space="preserve"> (Iyer-</w:t>
      </w:r>
      <w:proofErr w:type="spellStart"/>
      <w:r w:rsidR="008408FB" w:rsidRPr="00593380">
        <w:rPr>
          <w:b w:val="0"/>
          <w:bCs w:val="0"/>
          <w:color w:val="000000"/>
          <w:sz w:val="22"/>
          <w:szCs w:val="22"/>
          <w:lang w:bidi="en-US"/>
        </w:rPr>
        <w:t>Raniga</w:t>
      </w:r>
      <w:proofErr w:type="spellEnd"/>
      <w:r w:rsidR="008408FB" w:rsidRPr="00593380">
        <w:rPr>
          <w:b w:val="0"/>
          <w:bCs w:val="0"/>
          <w:color w:val="000000"/>
          <w:sz w:val="22"/>
          <w:szCs w:val="22"/>
          <w:lang w:bidi="en-US"/>
        </w:rPr>
        <w:t xml:space="preserve"> &amp; </w:t>
      </w:r>
      <w:proofErr w:type="spellStart"/>
      <w:r w:rsidR="008408FB" w:rsidRPr="00593380">
        <w:rPr>
          <w:b w:val="0"/>
          <w:bCs w:val="0"/>
          <w:color w:val="000000"/>
          <w:sz w:val="22"/>
          <w:szCs w:val="22"/>
          <w:lang w:bidi="en-US"/>
        </w:rPr>
        <w:t>Andamon</w:t>
      </w:r>
      <w:proofErr w:type="spellEnd"/>
      <w:r w:rsidR="008408FB" w:rsidRPr="00593380">
        <w:rPr>
          <w:b w:val="0"/>
          <w:bCs w:val="0"/>
          <w:color w:val="000000"/>
          <w:sz w:val="22"/>
          <w:szCs w:val="22"/>
          <w:lang w:bidi="en-US"/>
        </w:rPr>
        <w:t>, 2016)</w:t>
      </w:r>
      <w:r w:rsidR="00087AD4" w:rsidRPr="00593380">
        <w:rPr>
          <w:b w:val="0"/>
          <w:bCs w:val="0"/>
          <w:color w:val="000000"/>
          <w:sz w:val="22"/>
          <w:szCs w:val="22"/>
          <w:lang w:bidi="en-US"/>
        </w:rPr>
        <w:t xml:space="preserve">. The </w:t>
      </w:r>
      <w:r w:rsidR="000C0290">
        <w:rPr>
          <w:b w:val="0"/>
          <w:bCs w:val="0"/>
          <w:color w:val="000000"/>
          <w:sz w:val="22"/>
          <w:szCs w:val="22"/>
          <w:lang w:bidi="en-US"/>
        </w:rPr>
        <w:t>tertiary institutions</w:t>
      </w:r>
      <w:r w:rsidR="00087AD4" w:rsidRPr="00593380">
        <w:rPr>
          <w:b w:val="0"/>
          <w:bCs w:val="0"/>
          <w:color w:val="000000"/>
          <w:sz w:val="22"/>
          <w:szCs w:val="22"/>
          <w:lang w:bidi="en-US"/>
        </w:rPr>
        <w:t xml:space="preserve"> can use this forum to appeal to parents/sponsors on their needs. Some of these parents/sponsors can be in positions to </w:t>
      </w:r>
      <w:r w:rsidR="00284558" w:rsidRPr="00593380">
        <w:rPr>
          <w:b w:val="0"/>
          <w:bCs w:val="0"/>
          <w:color w:val="000000"/>
          <w:sz w:val="22"/>
          <w:szCs w:val="22"/>
          <w:lang w:bidi="en-US"/>
        </w:rPr>
        <w:t>award</w:t>
      </w:r>
      <w:r w:rsidR="00087AD4" w:rsidRPr="00593380">
        <w:rPr>
          <w:b w:val="0"/>
          <w:bCs w:val="0"/>
          <w:color w:val="000000"/>
          <w:sz w:val="22"/>
          <w:szCs w:val="22"/>
          <w:lang w:bidi="en-US"/>
        </w:rPr>
        <w:t xml:space="preserve"> contracts or change the fortune of the tertiary institutions. Some may donate buildings and </w:t>
      </w:r>
      <w:r w:rsidR="00284558" w:rsidRPr="00593380">
        <w:rPr>
          <w:b w:val="0"/>
          <w:bCs w:val="0"/>
          <w:color w:val="000000"/>
          <w:sz w:val="22"/>
          <w:szCs w:val="22"/>
          <w:lang w:bidi="en-US"/>
        </w:rPr>
        <w:t>equipment</w:t>
      </w:r>
      <w:r w:rsidR="00087AD4" w:rsidRPr="00593380">
        <w:rPr>
          <w:b w:val="0"/>
          <w:bCs w:val="0"/>
          <w:color w:val="000000"/>
          <w:sz w:val="22"/>
          <w:szCs w:val="22"/>
          <w:lang w:bidi="en-US"/>
        </w:rPr>
        <w:t xml:space="preserve"> to the school. If the PTA can be very successful in the funding and running of secondary schools, it can also be good and useful in tertiary institutions.</w:t>
      </w:r>
    </w:p>
    <w:p w14:paraId="1A841FB2" w14:textId="5AC53A45" w:rsidR="00682C59" w:rsidRPr="00593380" w:rsidRDefault="009D53B2" w:rsidP="00593380">
      <w:pPr>
        <w:pStyle w:val="BodyText2"/>
        <w:shd w:val="clear" w:color="auto" w:fill="auto"/>
        <w:spacing w:before="0" w:after="0" w:line="360" w:lineRule="auto"/>
        <w:ind w:left="20" w:right="20" w:firstLine="0"/>
        <w:rPr>
          <w:sz w:val="22"/>
          <w:szCs w:val="22"/>
        </w:rPr>
      </w:pPr>
      <w:r>
        <w:rPr>
          <w:b/>
          <w:bCs/>
          <w:color w:val="000000"/>
          <w:sz w:val="22"/>
          <w:szCs w:val="22"/>
          <w:lang w:bidi="en-US"/>
        </w:rPr>
        <w:t>xv.</w:t>
      </w:r>
      <w:r w:rsidR="00682C59" w:rsidRPr="00593380">
        <w:rPr>
          <w:b/>
          <w:bCs/>
          <w:color w:val="000000"/>
          <w:sz w:val="22"/>
          <w:szCs w:val="22"/>
          <w:lang w:bidi="en-US"/>
        </w:rPr>
        <w:t xml:space="preserve"> Car Washing Bay</w:t>
      </w:r>
      <w:r w:rsidR="00E76028" w:rsidRPr="00593380">
        <w:rPr>
          <w:b/>
          <w:bCs/>
          <w:color w:val="000000"/>
          <w:sz w:val="22"/>
          <w:szCs w:val="22"/>
          <w:lang w:bidi="en-US"/>
        </w:rPr>
        <w:t xml:space="preserve"> and Car Services</w:t>
      </w:r>
      <w:r w:rsidR="00593380" w:rsidRPr="00593380">
        <w:rPr>
          <w:b/>
          <w:bCs/>
          <w:color w:val="000000"/>
          <w:sz w:val="22"/>
          <w:szCs w:val="22"/>
          <w:lang w:bidi="en-US"/>
        </w:rPr>
        <w:t>:</w:t>
      </w:r>
      <w:r w:rsidR="00593380">
        <w:rPr>
          <w:color w:val="000000"/>
          <w:sz w:val="22"/>
          <w:szCs w:val="22"/>
          <w:lang w:bidi="en-US"/>
        </w:rPr>
        <w:t xml:space="preserve"> </w:t>
      </w:r>
      <w:r w:rsidR="00682C59" w:rsidRPr="00593380">
        <w:rPr>
          <w:color w:val="000000"/>
          <w:sz w:val="22"/>
          <w:szCs w:val="22"/>
          <w:lang w:bidi="en-US"/>
        </w:rPr>
        <w:t xml:space="preserve">Considering the population of vehicles </w:t>
      </w:r>
      <w:r w:rsidR="00E76028" w:rsidRPr="00593380">
        <w:rPr>
          <w:color w:val="000000"/>
          <w:sz w:val="22"/>
          <w:szCs w:val="22"/>
          <w:lang w:bidi="en-US"/>
        </w:rPr>
        <w:t>trooping</w:t>
      </w:r>
      <w:r w:rsidR="00682C59" w:rsidRPr="00593380">
        <w:rPr>
          <w:color w:val="000000"/>
          <w:sz w:val="22"/>
          <w:szCs w:val="22"/>
          <w:lang w:bidi="en-US"/>
        </w:rPr>
        <w:t xml:space="preserve"> the campus</w:t>
      </w:r>
      <w:r w:rsidR="00E76028" w:rsidRPr="00593380">
        <w:rPr>
          <w:color w:val="000000"/>
          <w:sz w:val="22"/>
          <w:szCs w:val="22"/>
          <w:lang w:bidi="en-US"/>
        </w:rPr>
        <w:t xml:space="preserve"> daily</w:t>
      </w:r>
      <w:r w:rsidR="00682C59" w:rsidRPr="00593380">
        <w:rPr>
          <w:color w:val="000000"/>
          <w:sz w:val="22"/>
          <w:szCs w:val="22"/>
          <w:lang w:bidi="en-US"/>
        </w:rPr>
        <w:t xml:space="preserve">, which comprises of </w:t>
      </w:r>
      <w:r w:rsidR="00D03BEA" w:rsidRPr="00593380">
        <w:rPr>
          <w:color w:val="000000"/>
          <w:sz w:val="22"/>
          <w:szCs w:val="22"/>
          <w:lang w:bidi="en-US"/>
        </w:rPr>
        <w:t>visitors’</w:t>
      </w:r>
      <w:r w:rsidR="00682C59" w:rsidRPr="00593380">
        <w:rPr>
          <w:color w:val="000000"/>
          <w:sz w:val="22"/>
          <w:szCs w:val="22"/>
          <w:lang w:bidi="en-US"/>
        </w:rPr>
        <w:t xml:space="preserve"> cars, staff and </w:t>
      </w:r>
      <w:r w:rsidR="00D03BEA" w:rsidRPr="00593380">
        <w:rPr>
          <w:color w:val="000000"/>
          <w:sz w:val="22"/>
          <w:szCs w:val="22"/>
          <w:lang w:bidi="en-US"/>
        </w:rPr>
        <w:t>students’</w:t>
      </w:r>
      <w:r w:rsidR="00682C59" w:rsidRPr="00593380">
        <w:rPr>
          <w:color w:val="000000"/>
          <w:sz w:val="22"/>
          <w:szCs w:val="22"/>
          <w:lang w:bidi="en-US"/>
        </w:rPr>
        <w:t xml:space="preserve"> cars</w:t>
      </w:r>
      <w:r w:rsidR="00E76028" w:rsidRPr="00593380">
        <w:rPr>
          <w:color w:val="000000"/>
          <w:sz w:val="22"/>
          <w:szCs w:val="22"/>
          <w:lang w:bidi="en-US"/>
        </w:rPr>
        <w:t>;</w:t>
      </w:r>
      <w:r w:rsidR="00682C59" w:rsidRPr="00593380">
        <w:rPr>
          <w:color w:val="000000"/>
          <w:sz w:val="22"/>
          <w:szCs w:val="22"/>
          <w:lang w:bidi="en-US"/>
        </w:rPr>
        <w:t xml:space="preserve"> setting up a car washing bay</w:t>
      </w:r>
      <w:r w:rsidR="00E76028" w:rsidRPr="00593380">
        <w:rPr>
          <w:color w:val="000000"/>
          <w:sz w:val="22"/>
          <w:szCs w:val="22"/>
          <w:lang w:bidi="en-US"/>
        </w:rPr>
        <w:t xml:space="preserve"> and car </w:t>
      </w:r>
      <w:r w:rsidR="00D03BEA" w:rsidRPr="00593380">
        <w:rPr>
          <w:color w:val="000000"/>
          <w:sz w:val="22"/>
          <w:szCs w:val="22"/>
          <w:lang w:bidi="en-US"/>
        </w:rPr>
        <w:t>services</w:t>
      </w:r>
      <w:r w:rsidR="00682C59" w:rsidRPr="00593380">
        <w:rPr>
          <w:color w:val="000000"/>
          <w:sz w:val="22"/>
          <w:szCs w:val="22"/>
          <w:lang w:bidi="en-US"/>
        </w:rPr>
        <w:t xml:space="preserve"> would be a good source of revenue for the institutions. This strategy has numerous prospects as while staff </w:t>
      </w:r>
      <w:r w:rsidR="00E76028" w:rsidRPr="00593380">
        <w:rPr>
          <w:color w:val="000000"/>
          <w:sz w:val="22"/>
          <w:szCs w:val="22"/>
          <w:lang w:bidi="en-US"/>
        </w:rPr>
        <w:t xml:space="preserve">and students </w:t>
      </w:r>
      <w:r w:rsidR="00682C59" w:rsidRPr="00593380">
        <w:rPr>
          <w:color w:val="000000"/>
          <w:sz w:val="22"/>
          <w:szCs w:val="22"/>
          <w:lang w:bidi="en-US"/>
        </w:rPr>
        <w:t>are in the classroom delivering lectures</w:t>
      </w:r>
      <w:r w:rsidR="00E76028" w:rsidRPr="00593380">
        <w:rPr>
          <w:color w:val="000000"/>
          <w:sz w:val="22"/>
          <w:szCs w:val="22"/>
          <w:lang w:bidi="en-US"/>
        </w:rPr>
        <w:t xml:space="preserve"> and taking lectures</w:t>
      </w:r>
      <w:r w:rsidR="00682C59" w:rsidRPr="00593380">
        <w:rPr>
          <w:color w:val="000000"/>
          <w:sz w:val="22"/>
          <w:szCs w:val="22"/>
          <w:lang w:bidi="en-US"/>
        </w:rPr>
        <w:t>, the</w:t>
      </w:r>
      <w:r w:rsidR="00E76028" w:rsidRPr="00593380">
        <w:rPr>
          <w:color w:val="000000"/>
          <w:sz w:val="22"/>
          <w:szCs w:val="22"/>
          <w:lang w:bidi="en-US"/>
        </w:rPr>
        <w:t xml:space="preserve"> security of their</w:t>
      </w:r>
      <w:r w:rsidR="00682C59" w:rsidRPr="00593380">
        <w:rPr>
          <w:color w:val="000000"/>
          <w:sz w:val="22"/>
          <w:szCs w:val="22"/>
          <w:lang w:bidi="en-US"/>
        </w:rPr>
        <w:t xml:space="preserve"> vehicles </w:t>
      </w:r>
      <w:r w:rsidR="00E76028" w:rsidRPr="00593380">
        <w:rPr>
          <w:color w:val="000000"/>
          <w:sz w:val="22"/>
          <w:szCs w:val="22"/>
          <w:lang w:bidi="en-US"/>
        </w:rPr>
        <w:t>is fully guaranteed</w:t>
      </w:r>
      <w:r w:rsidR="00682C59" w:rsidRPr="00593380">
        <w:rPr>
          <w:color w:val="000000"/>
          <w:sz w:val="22"/>
          <w:szCs w:val="22"/>
          <w:lang w:bidi="en-US"/>
        </w:rPr>
        <w:t xml:space="preserve"> and being sanitized at a cheap rate. </w:t>
      </w:r>
      <w:r w:rsidR="00E76028" w:rsidRPr="00593380">
        <w:rPr>
          <w:color w:val="000000"/>
          <w:sz w:val="22"/>
          <w:szCs w:val="22"/>
          <w:lang w:bidi="en-US"/>
        </w:rPr>
        <w:t>Hence</w:t>
      </w:r>
      <w:r w:rsidR="00682C59" w:rsidRPr="00593380">
        <w:rPr>
          <w:color w:val="000000"/>
          <w:sz w:val="22"/>
          <w:szCs w:val="22"/>
          <w:lang w:bidi="en-US"/>
        </w:rPr>
        <w:t xml:space="preserve">, students and visitors will be more comfortable patronizing the services as compared to the outside environment.  </w:t>
      </w:r>
      <w:r w:rsidR="00E76028" w:rsidRPr="00593380">
        <w:rPr>
          <w:color w:val="000000"/>
          <w:sz w:val="22"/>
          <w:szCs w:val="22"/>
          <w:lang w:bidi="en-US"/>
        </w:rPr>
        <w:t xml:space="preserve">This strategy was employed by the Principal Investigator some years ago when he served as Head of Department of Mechanical </w:t>
      </w:r>
      <w:r w:rsidR="001B5C42" w:rsidRPr="00593380">
        <w:rPr>
          <w:color w:val="000000"/>
          <w:sz w:val="22"/>
          <w:szCs w:val="22"/>
          <w:lang w:bidi="en-US"/>
        </w:rPr>
        <w:t>Engineering</w:t>
      </w:r>
      <w:r w:rsidR="00E76028" w:rsidRPr="00593380">
        <w:rPr>
          <w:color w:val="000000"/>
          <w:sz w:val="22"/>
          <w:szCs w:val="22"/>
          <w:lang w:bidi="en-US"/>
        </w:rPr>
        <w:t xml:space="preserve">, Federal </w:t>
      </w:r>
      <w:r w:rsidR="001B5C42" w:rsidRPr="00593380">
        <w:rPr>
          <w:color w:val="000000"/>
          <w:sz w:val="22"/>
          <w:szCs w:val="22"/>
          <w:lang w:bidi="en-US"/>
        </w:rPr>
        <w:t>Polytechnic</w:t>
      </w:r>
      <w:r w:rsidR="00E76028" w:rsidRPr="00593380">
        <w:rPr>
          <w:color w:val="000000"/>
          <w:sz w:val="22"/>
          <w:szCs w:val="22"/>
          <w:lang w:bidi="en-US"/>
        </w:rPr>
        <w:t xml:space="preserve"> Bauchi and proved to be very effective source of revenue for the institution.</w:t>
      </w:r>
    </w:p>
    <w:p w14:paraId="58FF9404" w14:textId="73718F7B" w:rsidR="0047530D" w:rsidRPr="00593380" w:rsidRDefault="00A05256" w:rsidP="00593380">
      <w:pPr>
        <w:pStyle w:val="Heading2"/>
        <w:spacing w:before="0" w:line="360" w:lineRule="auto"/>
        <w:jc w:val="both"/>
        <w:rPr>
          <w:rStyle w:val="BodytextBold"/>
          <w:rFonts w:eastAsiaTheme="majorEastAsia"/>
          <w:sz w:val="22"/>
          <w:szCs w:val="22"/>
        </w:rPr>
      </w:pPr>
      <w:bookmarkStart w:id="34" w:name="_Toc169270813"/>
      <w:r w:rsidRPr="00593380">
        <w:rPr>
          <w:rStyle w:val="BodytextBold"/>
          <w:rFonts w:eastAsiaTheme="majorEastAsia"/>
          <w:sz w:val="22"/>
          <w:szCs w:val="22"/>
        </w:rPr>
        <w:t>2.</w:t>
      </w:r>
      <w:r w:rsidR="009D53B2">
        <w:rPr>
          <w:rStyle w:val="BodytextBold"/>
          <w:rFonts w:eastAsiaTheme="majorEastAsia"/>
          <w:sz w:val="22"/>
          <w:szCs w:val="22"/>
        </w:rPr>
        <w:t>3</w:t>
      </w:r>
      <w:r w:rsidRPr="00593380">
        <w:rPr>
          <w:rStyle w:val="BodytextBold"/>
          <w:rFonts w:eastAsiaTheme="majorEastAsia"/>
          <w:sz w:val="22"/>
          <w:szCs w:val="22"/>
        </w:rPr>
        <w:t xml:space="preserve"> </w:t>
      </w:r>
      <w:r w:rsidR="00087AD4" w:rsidRPr="00593380">
        <w:rPr>
          <w:rStyle w:val="BodytextBold"/>
          <w:rFonts w:eastAsiaTheme="majorEastAsia"/>
          <w:sz w:val="22"/>
          <w:szCs w:val="22"/>
        </w:rPr>
        <w:t>Management Strategies of Internally Generated Revenue</w:t>
      </w:r>
      <w:bookmarkEnd w:id="34"/>
      <w:r w:rsidR="00593380">
        <w:rPr>
          <w:rStyle w:val="BodytextBold"/>
          <w:rFonts w:eastAsiaTheme="majorEastAsia"/>
          <w:sz w:val="22"/>
          <w:szCs w:val="22"/>
        </w:rPr>
        <w:t xml:space="preserve">: </w:t>
      </w:r>
    </w:p>
    <w:p w14:paraId="5967F519" w14:textId="00D72F97" w:rsidR="00D32E36" w:rsidRPr="00593380" w:rsidRDefault="00087AD4" w:rsidP="00593380">
      <w:pPr>
        <w:pStyle w:val="BodyText2"/>
        <w:shd w:val="clear" w:color="auto" w:fill="auto"/>
        <w:spacing w:before="0" w:after="0" w:line="360" w:lineRule="auto"/>
        <w:ind w:left="20" w:right="20" w:firstLine="0"/>
        <w:rPr>
          <w:color w:val="000000"/>
          <w:sz w:val="22"/>
          <w:szCs w:val="22"/>
          <w:lang w:bidi="en-US"/>
        </w:rPr>
      </w:pPr>
      <w:r w:rsidRPr="00593380">
        <w:rPr>
          <w:color w:val="000000"/>
          <w:sz w:val="22"/>
          <w:szCs w:val="22"/>
          <w:lang w:bidi="en-US"/>
        </w:rPr>
        <w:t xml:space="preserve">The management of IGR is an important aspect of the financial sustainability of </w:t>
      </w:r>
      <w:r w:rsidR="000C0290">
        <w:rPr>
          <w:color w:val="000000"/>
          <w:sz w:val="22"/>
          <w:szCs w:val="22"/>
          <w:lang w:bidi="en-US"/>
        </w:rPr>
        <w:t>tertiary institutions</w:t>
      </w:r>
      <w:r w:rsidRPr="00593380">
        <w:rPr>
          <w:color w:val="000000"/>
          <w:sz w:val="22"/>
          <w:szCs w:val="22"/>
          <w:lang w:bidi="en-US"/>
        </w:rPr>
        <w:t xml:space="preserve">. To this end, scholars have proposed different strategies for effective management of IGR in </w:t>
      </w:r>
      <w:r w:rsidR="000C0290">
        <w:rPr>
          <w:color w:val="000000"/>
          <w:sz w:val="22"/>
          <w:szCs w:val="22"/>
          <w:lang w:bidi="en-US"/>
        </w:rPr>
        <w:t>tertiary institutions</w:t>
      </w:r>
      <w:r w:rsidRPr="00593380">
        <w:rPr>
          <w:color w:val="000000"/>
          <w:sz w:val="22"/>
          <w:szCs w:val="22"/>
          <w:lang w:bidi="en-US"/>
        </w:rPr>
        <w:t>. Among the many strategies, the following are worth considering: -</w:t>
      </w:r>
      <w:bookmarkStart w:id="35" w:name="bookmark17"/>
    </w:p>
    <w:p w14:paraId="0DF91B53" w14:textId="3351D562" w:rsidR="00D32E36" w:rsidRPr="00593380" w:rsidRDefault="00087AD4" w:rsidP="00A52E03">
      <w:pPr>
        <w:pStyle w:val="BodyText2"/>
        <w:numPr>
          <w:ilvl w:val="0"/>
          <w:numId w:val="13"/>
        </w:numPr>
        <w:shd w:val="clear" w:color="auto" w:fill="auto"/>
        <w:spacing w:before="0" w:after="0" w:line="360" w:lineRule="auto"/>
        <w:ind w:left="0" w:right="20" w:firstLine="0"/>
        <w:rPr>
          <w:color w:val="000000"/>
          <w:sz w:val="22"/>
          <w:szCs w:val="22"/>
          <w:lang w:bidi="en-US"/>
        </w:rPr>
      </w:pPr>
      <w:r w:rsidRPr="00593380">
        <w:rPr>
          <w:b/>
          <w:bCs/>
          <w:color w:val="000000"/>
          <w:sz w:val="22"/>
          <w:szCs w:val="22"/>
          <w:lang w:bidi="en-US"/>
        </w:rPr>
        <w:t>Centralized Financial Management System</w:t>
      </w:r>
      <w:bookmarkEnd w:id="35"/>
      <w:r w:rsidR="0047530D" w:rsidRPr="00593380">
        <w:rPr>
          <w:color w:val="000000"/>
          <w:sz w:val="22"/>
          <w:szCs w:val="22"/>
          <w:lang w:bidi="en-US"/>
        </w:rPr>
        <w:t xml:space="preserve">: </w:t>
      </w:r>
      <w:r w:rsidRPr="00593380">
        <w:rPr>
          <w:color w:val="000000"/>
          <w:sz w:val="22"/>
          <w:szCs w:val="22"/>
          <w:lang w:bidi="en-US"/>
        </w:rPr>
        <w:t xml:space="preserve">There is </w:t>
      </w:r>
      <w:r w:rsidR="00284558" w:rsidRPr="00593380">
        <w:rPr>
          <w:color w:val="000000"/>
          <w:sz w:val="22"/>
          <w:szCs w:val="22"/>
          <w:lang w:bidi="en-US"/>
        </w:rPr>
        <w:t xml:space="preserve">a </w:t>
      </w:r>
      <w:r w:rsidRPr="00593380">
        <w:rPr>
          <w:color w:val="000000"/>
          <w:sz w:val="22"/>
          <w:szCs w:val="22"/>
          <w:lang w:bidi="en-US"/>
        </w:rPr>
        <w:t>need for the adoption of a centralized financial management system that ensures transparency and accountability in the use of IGR. This system involves the establishment of a financial management unit that oversees the collection, allocation</w:t>
      </w:r>
      <w:r w:rsidR="00284558" w:rsidRPr="00593380">
        <w:rPr>
          <w:color w:val="000000"/>
          <w:sz w:val="22"/>
          <w:szCs w:val="22"/>
          <w:lang w:bidi="en-US"/>
        </w:rPr>
        <w:t>,</w:t>
      </w:r>
      <w:r w:rsidRPr="00593380">
        <w:rPr>
          <w:color w:val="000000"/>
          <w:sz w:val="22"/>
          <w:szCs w:val="22"/>
          <w:lang w:bidi="en-US"/>
        </w:rPr>
        <w:t xml:space="preserve"> and utilization of IGR in a manner that aligns with the institution’s strategic objectives. The financial management unit is responsible for ensuring that all revenue generated within the tertiary institutions is properly accounted for and utilized in a way that benefits the tertiary institutions community</w:t>
      </w:r>
      <w:r w:rsidR="008408FB" w:rsidRPr="00593380">
        <w:rPr>
          <w:color w:val="000000"/>
          <w:sz w:val="22"/>
          <w:szCs w:val="22"/>
          <w:lang w:bidi="en-US"/>
        </w:rPr>
        <w:t xml:space="preserve"> (Hinton, 2012)</w:t>
      </w:r>
      <w:r w:rsidRPr="00593380">
        <w:rPr>
          <w:color w:val="000000"/>
          <w:sz w:val="22"/>
          <w:szCs w:val="22"/>
          <w:lang w:bidi="en-US"/>
        </w:rPr>
        <w:t>.</w:t>
      </w:r>
      <w:bookmarkStart w:id="36" w:name="bookmark18"/>
    </w:p>
    <w:p w14:paraId="7CFC56CE" w14:textId="281A4C22" w:rsidR="00D32E36" w:rsidRPr="00593380" w:rsidRDefault="00087AD4" w:rsidP="00593380">
      <w:pPr>
        <w:pStyle w:val="BodyText2"/>
        <w:numPr>
          <w:ilvl w:val="0"/>
          <w:numId w:val="13"/>
        </w:numPr>
        <w:shd w:val="clear" w:color="auto" w:fill="auto"/>
        <w:spacing w:before="0" w:after="0" w:line="360" w:lineRule="auto"/>
        <w:ind w:left="90" w:right="20" w:firstLine="0"/>
        <w:rPr>
          <w:color w:val="000000"/>
          <w:sz w:val="22"/>
          <w:szCs w:val="22"/>
          <w:lang w:bidi="en-US"/>
        </w:rPr>
      </w:pPr>
      <w:r w:rsidRPr="00593380">
        <w:rPr>
          <w:b/>
          <w:bCs/>
          <w:color w:val="000000"/>
          <w:sz w:val="22"/>
          <w:szCs w:val="22"/>
          <w:lang w:bidi="en-US"/>
        </w:rPr>
        <w:t>Diversification of Revenue Sources</w:t>
      </w:r>
      <w:bookmarkEnd w:id="36"/>
      <w:r w:rsidR="0047530D" w:rsidRPr="00593380">
        <w:rPr>
          <w:b/>
          <w:bCs/>
          <w:color w:val="000000"/>
          <w:sz w:val="22"/>
          <w:szCs w:val="22"/>
          <w:lang w:bidi="en-US"/>
        </w:rPr>
        <w:t>:</w:t>
      </w:r>
      <w:r w:rsidR="0047530D" w:rsidRPr="00593380">
        <w:rPr>
          <w:color w:val="000000"/>
          <w:sz w:val="22"/>
          <w:szCs w:val="22"/>
          <w:lang w:bidi="en-US"/>
        </w:rPr>
        <w:t xml:space="preserve"> </w:t>
      </w:r>
      <w:r w:rsidRPr="00593380">
        <w:rPr>
          <w:color w:val="000000"/>
          <w:sz w:val="22"/>
          <w:szCs w:val="22"/>
          <w:lang w:bidi="en-US"/>
        </w:rPr>
        <w:t xml:space="preserve">Another strategy is the diversification of revenue sources to reduce reliance on a single source of internally generated revenue. This involves exploring </w:t>
      </w:r>
      <w:r w:rsidRPr="00593380">
        <w:rPr>
          <w:color w:val="000000"/>
          <w:sz w:val="22"/>
          <w:szCs w:val="22"/>
          <w:lang w:bidi="en-US"/>
        </w:rPr>
        <w:lastRenderedPageBreak/>
        <w:t xml:space="preserve">alternative sources of revenue such as research grants, consultancy services, and partnerships with industry and other service providers. Diversification of revenue sources ensures that the institution is not </w:t>
      </w:r>
      <w:r w:rsidR="00284558" w:rsidRPr="00593380">
        <w:rPr>
          <w:color w:val="000000"/>
          <w:sz w:val="22"/>
          <w:szCs w:val="22"/>
          <w:lang w:bidi="en-US"/>
        </w:rPr>
        <w:t>over-dependent</w:t>
      </w:r>
      <w:r w:rsidRPr="00593380">
        <w:rPr>
          <w:color w:val="000000"/>
          <w:sz w:val="22"/>
          <w:szCs w:val="22"/>
          <w:lang w:bidi="en-US"/>
        </w:rPr>
        <w:t xml:space="preserve"> on a single source of revenue, which can be unpredictable and unstable</w:t>
      </w:r>
      <w:r w:rsidR="008408FB" w:rsidRPr="00593380">
        <w:rPr>
          <w:color w:val="000000"/>
          <w:sz w:val="22"/>
          <w:szCs w:val="22"/>
          <w:lang w:bidi="en-US"/>
        </w:rPr>
        <w:t xml:space="preserve"> (Helena, 2000)</w:t>
      </w:r>
      <w:r w:rsidRPr="00593380">
        <w:rPr>
          <w:color w:val="000000"/>
          <w:sz w:val="22"/>
          <w:szCs w:val="22"/>
          <w:lang w:bidi="en-US"/>
        </w:rPr>
        <w:t>.</w:t>
      </w:r>
      <w:bookmarkStart w:id="37" w:name="bookmark19"/>
    </w:p>
    <w:p w14:paraId="4C934855" w14:textId="750028EC" w:rsidR="00D32E36" w:rsidRPr="00593380" w:rsidRDefault="00087AD4" w:rsidP="00593380">
      <w:pPr>
        <w:pStyle w:val="BodyText2"/>
        <w:numPr>
          <w:ilvl w:val="0"/>
          <w:numId w:val="13"/>
        </w:numPr>
        <w:shd w:val="clear" w:color="auto" w:fill="auto"/>
        <w:spacing w:before="0" w:after="0" w:line="360" w:lineRule="auto"/>
        <w:ind w:left="90" w:right="20" w:firstLine="0"/>
        <w:rPr>
          <w:color w:val="000000"/>
          <w:sz w:val="22"/>
          <w:szCs w:val="22"/>
          <w:lang w:bidi="en-US"/>
        </w:rPr>
      </w:pPr>
      <w:r w:rsidRPr="00593380">
        <w:rPr>
          <w:b/>
          <w:bCs/>
          <w:color w:val="000000"/>
          <w:sz w:val="22"/>
          <w:szCs w:val="22"/>
          <w:lang w:bidi="en-US"/>
        </w:rPr>
        <w:t>Robust Financial Planning Process</w:t>
      </w:r>
      <w:bookmarkEnd w:id="37"/>
      <w:r w:rsidR="0047530D" w:rsidRPr="00593380">
        <w:rPr>
          <w:b/>
          <w:bCs/>
          <w:color w:val="000000"/>
          <w:sz w:val="22"/>
          <w:szCs w:val="22"/>
          <w:lang w:bidi="en-US"/>
        </w:rPr>
        <w:t>:</w:t>
      </w:r>
      <w:r w:rsidR="0047530D" w:rsidRPr="00593380">
        <w:rPr>
          <w:color w:val="000000"/>
          <w:sz w:val="22"/>
          <w:szCs w:val="22"/>
          <w:lang w:bidi="en-US"/>
        </w:rPr>
        <w:t xml:space="preserve"> </w:t>
      </w:r>
      <w:r w:rsidRPr="00593380">
        <w:rPr>
          <w:color w:val="000000"/>
          <w:sz w:val="22"/>
          <w:szCs w:val="22"/>
          <w:lang w:bidi="en-US"/>
        </w:rPr>
        <w:t xml:space="preserve">Effective management of IGR requires a robust financial planning process that takes into consideration the tertiary </w:t>
      </w:r>
      <w:r w:rsidR="00284558" w:rsidRPr="00593380">
        <w:rPr>
          <w:color w:val="000000"/>
          <w:sz w:val="22"/>
          <w:szCs w:val="22"/>
          <w:lang w:bidi="en-US"/>
        </w:rPr>
        <w:t>institutions'</w:t>
      </w:r>
      <w:r w:rsidRPr="00593380">
        <w:rPr>
          <w:color w:val="000000"/>
          <w:sz w:val="22"/>
          <w:szCs w:val="22"/>
          <w:lang w:bidi="en-US"/>
        </w:rPr>
        <w:t xml:space="preserve"> short-term and long-term financial goals. Financial planning involves the creation of a budget, setting financial targets, and monitoring progress towards achieving these targets. The budget should be used on a realistic projection of revenue and expenditure, taking into account factors such as inflation, changes in government funding</w:t>
      </w:r>
      <w:r w:rsidR="00284558" w:rsidRPr="00593380">
        <w:rPr>
          <w:color w:val="000000"/>
          <w:sz w:val="22"/>
          <w:szCs w:val="22"/>
          <w:lang w:bidi="en-US"/>
        </w:rPr>
        <w:t>,</w:t>
      </w:r>
      <w:r w:rsidRPr="00593380">
        <w:rPr>
          <w:color w:val="000000"/>
          <w:sz w:val="22"/>
          <w:szCs w:val="22"/>
          <w:lang w:bidi="en-US"/>
        </w:rPr>
        <w:t xml:space="preserve"> and other economic factors that may impact the tertiary institution’s finances</w:t>
      </w:r>
      <w:r w:rsidR="008408FB" w:rsidRPr="00593380">
        <w:rPr>
          <w:color w:val="000000"/>
          <w:sz w:val="22"/>
          <w:szCs w:val="22"/>
          <w:lang w:bidi="en-US"/>
        </w:rPr>
        <w:t xml:space="preserve"> (Apergis, 2013)</w:t>
      </w:r>
      <w:r w:rsidRPr="00593380">
        <w:rPr>
          <w:color w:val="000000"/>
          <w:sz w:val="22"/>
          <w:szCs w:val="22"/>
          <w:lang w:bidi="en-US"/>
        </w:rPr>
        <w:t>.</w:t>
      </w:r>
      <w:bookmarkStart w:id="38" w:name="bookmark20"/>
    </w:p>
    <w:p w14:paraId="527A207D" w14:textId="49D21ECC" w:rsidR="00087AD4" w:rsidRPr="00593380" w:rsidRDefault="00087AD4" w:rsidP="00593380">
      <w:pPr>
        <w:pStyle w:val="BodyText2"/>
        <w:numPr>
          <w:ilvl w:val="0"/>
          <w:numId w:val="13"/>
        </w:numPr>
        <w:shd w:val="clear" w:color="auto" w:fill="auto"/>
        <w:spacing w:before="0" w:after="0" w:line="360" w:lineRule="auto"/>
        <w:ind w:left="90" w:right="20" w:firstLine="0"/>
        <w:rPr>
          <w:color w:val="000000"/>
          <w:sz w:val="22"/>
          <w:szCs w:val="22"/>
          <w:lang w:bidi="en-US"/>
        </w:rPr>
      </w:pPr>
      <w:r w:rsidRPr="00593380">
        <w:rPr>
          <w:b/>
          <w:bCs/>
          <w:color w:val="000000"/>
          <w:sz w:val="22"/>
          <w:szCs w:val="22"/>
          <w:lang w:bidi="en-US"/>
        </w:rPr>
        <w:t>Effective Communication and Collaboration</w:t>
      </w:r>
      <w:bookmarkEnd w:id="38"/>
      <w:r w:rsidR="0047530D" w:rsidRPr="00593380">
        <w:rPr>
          <w:b/>
          <w:bCs/>
          <w:color w:val="000000"/>
          <w:sz w:val="22"/>
          <w:szCs w:val="22"/>
          <w:lang w:bidi="en-US"/>
        </w:rPr>
        <w:t>:</w:t>
      </w:r>
      <w:r w:rsidR="0047530D" w:rsidRPr="00593380">
        <w:rPr>
          <w:color w:val="000000"/>
          <w:sz w:val="22"/>
          <w:szCs w:val="22"/>
          <w:lang w:bidi="en-US"/>
        </w:rPr>
        <w:t xml:space="preserve"> </w:t>
      </w:r>
      <w:r w:rsidRPr="00593380">
        <w:rPr>
          <w:color w:val="000000"/>
          <w:sz w:val="22"/>
          <w:szCs w:val="22"/>
          <w:lang w:bidi="en-US"/>
        </w:rPr>
        <w:t xml:space="preserve">Effective communication and collaboration between different units within the </w:t>
      </w:r>
      <w:r w:rsidR="000C0290">
        <w:rPr>
          <w:color w:val="000000"/>
          <w:sz w:val="22"/>
          <w:szCs w:val="22"/>
          <w:lang w:bidi="en-US"/>
        </w:rPr>
        <w:t>tertiary institutions</w:t>
      </w:r>
      <w:r w:rsidRPr="00593380">
        <w:rPr>
          <w:color w:val="000000"/>
          <w:sz w:val="22"/>
          <w:szCs w:val="22"/>
          <w:lang w:bidi="en-US"/>
        </w:rPr>
        <w:t xml:space="preserve"> are crucial for the management of IGR. This involves regular meetings and consultations between the financial management unit, academic departments</w:t>
      </w:r>
      <w:r w:rsidR="00284558" w:rsidRPr="00593380">
        <w:rPr>
          <w:color w:val="000000"/>
          <w:sz w:val="22"/>
          <w:szCs w:val="22"/>
          <w:lang w:bidi="en-US"/>
        </w:rPr>
        <w:t>,</w:t>
      </w:r>
      <w:r w:rsidRPr="00593380">
        <w:rPr>
          <w:color w:val="000000"/>
          <w:sz w:val="22"/>
          <w:szCs w:val="22"/>
          <w:lang w:bidi="en-US"/>
        </w:rPr>
        <w:t xml:space="preserve"> and other units within the institution to ensure that revenue generated is allocated and utilized in a way that aligns with the tertiary institution’s goals and objectives</w:t>
      </w:r>
      <w:r w:rsidR="008408FB" w:rsidRPr="00593380">
        <w:rPr>
          <w:color w:val="000000"/>
          <w:sz w:val="22"/>
          <w:szCs w:val="22"/>
          <w:lang w:bidi="en-US"/>
        </w:rPr>
        <w:t xml:space="preserve"> (Bloom, 2005)</w:t>
      </w:r>
      <w:r w:rsidRPr="00593380">
        <w:rPr>
          <w:color w:val="000000"/>
          <w:sz w:val="22"/>
          <w:szCs w:val="22"/>
          <w:lang w:bidi="en-US"/>
        </w:rPr>
        <w:t>.</w:t>
      </w:r>
    </w:p>
    <w:p w14:paraId="323D2DAF" w14:textId="4BD81124" w:rsidR="00087AD4" w:rsidRPr="00593380" w:rsidRDefault="00A05256" w:rsidP="00593380">
      <w:pPr>
        <w:pStyle w:val="Heading2"/>
        <w:spacing w:before="0" w:line="360" w:lineRule="auto"/>
        <w:jc w:val="both"/>
        <w:rPr>
          <w:rFonts w:ascii="Times New Roman" w:hAnsi="Times New Roman" w:cs="Times New Roman"/>
          <w:b/>
          <w:bCs/>
          <w:color w:val="auto"/>
          <w:sz w:val="22"/>
          <w:szCs w:val="22"/>
        </w:rPr>
      </w:pPr>
      <w:bookmarkStart w:id="39" w:name="bookmark21"/>
      <w:bookmarkStart w:id="40" w:name="_Toc169270814"/>
      <w:r w:rsidRPr="00593380">
        <w:rPr>
          <w:rFonts w:ascii="Times New Roman" w:hAnsi="Times New Roman" w:cs="Times New Roman"/>
          <w:b/>
          <w:bCs/>
          <w:color w:val="auto"/>
          <w:sz w:val="22"/>
          <w:szCs w:val="22"/>
        </w:rPr>
        <w:t>2.</w:t>
      </w:r>
      <w:r w:rsidR="009D53B2">
        <w:rPr>
          <w:rFonts w:ascii="Times New Roman" w:hAnsi="Times New Roman" w:cs="Times New Roman"/>
          <w:b/>
          <w:bCs/>
          <w:color w:val="auto"/>
          <w:sz w:val="22"/>
          <w:szCs w:val="22"/>
        </w:rPr>
        <w:t>4</w:t>
      </w:r>
      <w:r w:rsidRPr="00593380">
        <w:rPr>
          <w:rFonts w:ascii="Times New Roman" w:hAnsi="Times New Roman" w:cs="Times New Roman"/>
          <w:b/>
          <w:bCs/>
          <w:color w:val="auto"/>
          <w:sz w:val="22"/>
          <w:szCs w:val="22"/>
        </w:rPr>
        <w:t xml:space="preserve"> </w:t>
      </w:r>
      <w:r w:rsidR="00087AD4" w:rsidRPr="00593380">
        <w:rPr>
          <w:rFonts w:ascii="Times New Roman" w:hAnsi="Times New Roman" w:cs="Times New Roman"/>
          <w:b/>
          <w:bCs/>
          <w:color w:val="auto"/>
          <w:sz w:val="22"/>
          <w:szCs w:val="22"/>
        </w:rPr>
        <w:t>Problems of Internally Generated Revenue</w:t>
      </w:r>
      <w:bookmarkEnd w:id="39"/>
      <w:bookmarkEnd w:id="40"/>
    </w:p>
    <w:p w14:paraId="2A5194E4" w14:textId="00D89569" w:rsidR="00D32E36" w:rsidRPr="00593380" w:rsidRDefault="00284558" w:rsidP="00593380">
      <w:pPr>
        <w:pStyle w:val="BodyText2"/>
        <w:shd w:val="clear" w:color="auto" w:fill="auto"/>
        <w:spacing w:before="0" w:after="0" w:line="360" w:lineRule="auto"/>
        <w:ind w:left="20" w:right="20" w:firstLine="0"/>
        <w:rPr>
          <w:color w:val="000000"/>
          <w:sz w:val="22"/>
          <w:szCs w:val="22"/>
          <w:lang w:bidi="en-US"/>
        </w:rPr>
      </w:pPr>
      <w:r w:rsidRPr="00593380">
        <w:rPr>
          <w:color w:val="000000"/>
          <w:sz w:val="22"/>
          <w:szCs w:val="22"/>
          <w:lang w:bidi="en-US"/>
        </w:rPr>
        <w:t>Despite</w:t>
      </w:r>
      <w:r w:rsidR="00087AD4" w:rsidRPr="00593380">
        <w:rPr>
          <w:color w:val="000000"/>
          <w:sz w:val="22"/>
          <w:szCs w:val="22"/>
          <w:lang w:bidi="en-US"/>
        </w:rPr>
        <w:t xml:space="preserve"> the anticipated benefits of internally generated revenue, the </w:t>
      </w:r>
      <w:r w:rsidRPr="00593380">
        <w:rPr>
          <w:color w:val="000000"/>
          <w:sz w:val="22"/>
          <w:szCs w:val="22"/>
          <w:lang w:bidi="en-US"/>
        </w:rPr>
        <w:t>under-mentioned</w:t>
      </w:r>
      <w:r w:rsidR="00087AD4" w:rsidRPr="00593380">
        <w:rPr>
          <w:color w:val="000000"/>
          <w:sz w:val="22"/>
          <w:szCs w:val="22"/>
          <w:lang w:bidi="en-US"/>
        </w:rPr>
        <w:t xml:space="preserve"> counterproductive issues are noteworthy:</w:t>
      </w:r>
      <w:bookmarkStart w:id="41" w:name="bookmark22"/>
    </w:p>
    <w:p w14:paraId="4FA4EAC7" w14:textId="77777777" w:rsidR="00A52E03" w:rsidRDefault="00087AD4" w:rsidP="00A52E03">
      <w:pPr>
        <w:pStyle w:val="BodyText2"/>
        <w:numPr>
          <w:ilvl w:val="0"/>
          <w:numId w:val="25"/>
        </w:numPr>
        <w:shd w:val="clear" w:color="auto" w:fill="auto"/>
        <w:spacing w:before="0" w:after="0" w:line="360" w:lineRule="auto"/>
        <w:ind w:left="270" w:right="20" w:hanging="270"/>
        <w:rPr>
          <w:color w:val="000000"/>
          <w:sz w:val="22"/>
          <w:szCs w:val="22"/>
          <w:lang w:bidi="en-US"/>
        </w:rPr>
      </w:pPr>
      <w:r w:rsidRPr="00593380">
        <w:rPr>
          <w:b/>
          <w:bCs/>
          <w:color w:val="000000"/>
          <w:sz w:val="22"/>
          <w:szCs w:val="22"/>
          <w:lang w:bidi="en-US"/>
        </w:rPr>
        <w:t>Outdated Collection Process</w:t>
      </w:r>
      <w:bookmarkEnd w:id="41"/>
      <w:r w:rsidR="00D32E36" w:rsidRPr="00593380">
        <w:rPr>
          <w:b/>
          <w:bCs/>
          <w:color w:val="000000"/>
          <w:sz w:val="22"/>
          <w:szCs w:val="22"/>
          <w:lang w:bidi="en-US"/>
        </w:rPr>
        <w:t>:</w:t>
      </w:r>
      <w:r w:rsidR="00D32E36" w:rsidRPr="00593380">
        <w:rPr>
          <w:color w:val="000000"/>
          <w:sz w:val="22"/>
          <w:szCs w:val="22"/>
          <w:lang w:bidi="en-US"/>
        </w:rPr>
        <w:t xml:space="preserve">  </w:t>
      </w:r>
      <w:r w:rsidRPr="00593380">
        <w:rPr>
          <w:color w:val="000000"/>
          <w:sz w:val="22"/>
          <w:szCs w:val="22"/>
          <w:lang w:bidi="en-US"/>
        </w:rPr>
        <w:t>The tertiary institution’s IGR collection processes are often inefficient and outdated. For instance, the payment process is often manual, which makes it difficult for tertiary institutions to track payments, identify defaulters, and reconcile accounts. The absence of electronic payment options also limits the ability of students and other stakeholders who utilize tertiary institution’s IGR sources to make payments conveniently. For instance, the absence of an electronic payment system makes it relatively difficult for tertiary institutions to collect payments conveniently and track transactions accurately</w:t>
      </w:r>
      <w:r w:rsidR="008408FB" w:rsidRPr="00593380">
        <w:rPr>
          <w:color w:val="000000"/>
          <w:sz w:val="22"/>
          <w:szCs w:val="22"/>
          <w:lang w:bidi="en-US"/>
        </w:rPr>
        <w:t xml:space="preserve"> (Burchardt, 2007)</w:t>
      </w:r>
      <w:r w:rsidRPr="00593380">
        <w:rPr>
          <w:color w:val="000000"/>
          <w:sz w:val="22"/>
          <w:szCs w:val="22"/>
          <w:lang w:bidi="en-US"/>
        </w:rPr>
        <w:t>.</w:t>
      </w:r>
      <w:bookmarkStart w:id="42" w:name="bookmark23"/>
    </w:p>
    <w:p w14:paraId="399BDB7E" w14:textId="77777777" w:rsidR="00A52E03" w:rsidRDefault="00087AD4" w:rsidP="00A52E03">
      <w:pPr>
        <w:pStyle w:val="BodyText2"/>
        <w:numPr>
          <w:ilvl w:val="0"/>
          <w:numId w:val="25"/>
        </w:numPr>
        <w:shd w:val="clear" w:color="auto" w:fill="auto"/>
        <w:spacing w:before="0" w:after="0" w:line="360" w:lineRule="auto"/>
        <w:ind w:left="270" w:right="20" w:hanging="270"/>
        <w:rPr>
          <w:color w:val="000000"/>
          <w:sz w:val="22"/>
          <w:szCs w:val="22"/>
          <w:lang w:bidi="en-US"/>
        </w:rPr>
      </w:pPr>
      <w:r w:rsidRPr="00A52E03">
        <w:rPr>
          <w:b/>
          <w:bCs/>
          <w:color w:val="000000"/>
          <w:sz w:val="22"/>
          <w:szCs w:val="22"/>
          <w:lang w:bidi="en-US"/>
        </w:rPr>
        <w:t>Poor Management/Mismanagement</w:t>
      </w:r>
      <w:bookmarkEnd w:id="42"/>
      <w:r w:rsidR="00D32E36" w:rsidRPr="00A52E03">
        <w:rPr>
          <w:b/>
          <w:bCs/>
          <w:color w:val="000000"/>
          <w:sz w:val="22"/>
          <w:szCs w:val="22"/>
          <w:lang w:bidi="en-US"/>
        </w:rPr>
        <w:t>:</w:t>
      </w:r>
      <w:r w:rsidR="00D32E36" w:rsidRPr="00A52E03">
        <w:rPr>
          <w:color w:val="000000"/>
          <w:sz w:val="22"/>
          <w:szCs w:val="22"/>
          <w:lang w:bidi="en-US"/>
        </w:rPr>
        <w:t xml:space="preserve"> </w:t>
      </w:r>
      <w:r w:rsidRPr="00A52E03">
        <w:rPr>
          <w:color w:val="000000"/>
          <w:sz w:val="22"/>
          <w:szCs w:val="22"/>
          <w:lang w:bidi="en-US"/>
        </w:rPr>
        <w:t xml:space="preserve">Poor management of Internally Generated Revenue in </w:t>
      </w:r>
      <w:r w:rsidR="000C0290" w:rsidRPr="00A52E03">
        <w:rPr>
          <w:color w:val="000000"/>
          <w:sz w:val="22"/>
          <w:szCs w:val="22"/>
          <w:lang w:bidi="en-US"/>
        </w:rPr>
        <w:t>tertiary institutions</w:t>
      </w:r>
      <w:r w:rsidRPr="00A52E03">
        <w:rPr>
          <w:color w:val="000000"/>
          <w:sz w:val="22"/>
          <w:szCs w:val="22"/>
          <w:lang w:bidi="en-US"/>
        </w:rPr>
        <w:t xml:space="preserve"> may </w:t>
      </w:r>
      <w:r w:rsidR="00284558" w:rsidRPr="00A52E03">
        <w:rPr>
          <w:color w:val="000000"/>
          <w:sz w:val="22"/>
          <w:szCs w:val="22"/>
          <w:lang w:bidi="en-US"/>
        </w:rPr>
        <w:t>hurt</w:t>
      </w:r>
      <w:r w:rsidRPr="00A52E03">
        <w:rPr>
          <w:color w:val="000000"/>
          <w:sz w:val="22"/>
          <w:szCs w:val="22"/>
          <w:lang w:bidi="en-US"/>
        </w:rPr>
        <w:t xml:space="preserve"> the products of the system vis-a-vis sustainable </w:t>
      </w:r>
      <w:r w:rsidRPr="00A52E03">
        <w:rPr>
          <w:sz w:val="22"/>
          <w:szCs w:val="22"/>
        </w:rPr>
        <w:t>tertiary institutions</w:t>
      </w:r>
      <w:r w:rsidRPr="00A52E03">
        <w:rPr>
          <w:color w:val="000000"/>
          <w:sz w:val="22"/>
          <w:szCs w:val="22"/>
          <w:lang w:bidi="en-US"/>
        </w:rPr>
        <w:t xml:space="preserve"> education. It is alleged that the </w:t>
      </w:r>
      <w:r w:rsidRPr="00A52E03">
        <w:rPr>
          <w:sz w:val="22"/>
          <w:szCs w:val="22"/>
        </w:rPr>
        <w:t>tertiary institution’s</w:t>
      </w:r>
      <w:r w:rsidRPr="00A52E03">
        <w:rPr>
          <w:color w:val="000000"/>
          <w:sz w:val="22"/>
          <w:szCs w:val="22"/>
          <w:lang w:bidi="en-US"/>
        </w:rPr>
        <w:t xml:space="preserve"> IGR is often poorly managed, mismanaged</w:t>
      </w:r>
      <w:r w:rsidR="00284558" w:rsidRPr="00A52E03">
        <w:rPr>
          <w:color w:val="000000"/>
          <w:sz w:val="22"/>
          <w:szCs w:val="22"/>
          <w:lang w:bidi="en-US"/>
        </w:rPr>
        <w:t>,</w:t>
      </w:r>
      <w:r w:rsidRPr="00A52E03">
        <w:rPr>
          <w:color w:val="000000"/>
          <w:sz w:val="22"/>
          <w:szCs w:val="22"/>
          <w:lang w:bidi="en-US"/>
        </w:rPr>
        <w:t xml:space="preserve"> or underutilized. This leads to revenue losses</w:t>
      </w:r>
      <w:r w:rsidRPr="00A52E03">
        <w:rPr>
          <w:sz w:val="22"/>
          <w:szCs w:val="22"/>
        </w:rPr>
        <w:t xml:space="preserve"> </w:t>
      </w:r>
      <w:r w:rsidRPr="00A52E03">
        <w:rPr>
          <w:color w:val="000000"/>
          <w:sz w:val="22"/>
          <w:szCs w:val="22"/>
          <w:lang w:bidi="en-US"/>
        </w:rPr>
        <w:t xml:space="preserve">and inefficiencies. For instance, </w:t>
      </w:r>
      <w:r w:rsidRPr="00A52E03">
        <w:rPr>
          <w:sz w:val="22"/>
          <w:szCs w:val="22"/>
        </w:rPr>
        <w:t>tertiary institutions</w:t>
      </w:r>
      <w:r w:rsidRPr="00A52E03">
        <w:rPr>
          <w:color w:val="000000"/>
          <w:sz w:val="22"/>
          <w:szCs w:val="22"/>
          <w:lang w:bidi="en-US"/>
        </w:rPr>
        <w:t xml:space="preserve"> may not be effectively leveraging </w:t>
      </w:r>
      <w:r w:rsidR="00284558" w:rsidRPr="00A52E03">
        <w:rPr>
          <w:color w:val="000000"/>
          <w:sz w:val="22"/>
          <w:szCs w:val="22"/>
          <w:lang w:bidi="en-US"/>
        </w:rPr>
        <w:t>their</w:t>
      </w:r>
      <w:r w:rsidRPr="00A52E03">
        <w:rPr>
          <w:color w:val="000000"/>
          <w:sz w:val="22"/>
          <w:szCs w:val="22"/>
          <w:lang w:bidi="en-US"/>
        </w:rPr>
        <w:t xml:space="preserve"> facilities and resources to generate revenue</w:t>
      </w:r>
      <w:r w:rsidRPr="00A52E03">
        <w:rPr>
          <w:sz w:val="22"/>
          <w:szCs w:val="22"/>
        </w:rPr>
        <w:t>.</w:t>
      </w:r>
    </w:p>
    <w:p w14:paraId="179FB338" w14:textId="77777777" w:rsidR="00A52E03" w:rsidRDefault="00D32E36" w:rsidP="00A52E03">
      <w:pPr>
        <w:pStyle w:val="BodyText2"/>
        <w:numPr>
          <w:ilvl w:val="0"/>
          <w:numId w:val="25"/>
        </w:numPr>
        <w:shd w:val="clear" w:color="auto" w:fill="auto"/>
        <w:spacing w:before="0" w:after="0" w:line="360" w:lineRule="auto"/>
        <w:ind w:left="270" w:right="20" w:hanging="270"/>
        <w:rPr>
          <w:color w:val="000000"/>
          <w:sz w:val="22"/>
          <w:szCs w:val="22"/>
          <w:lang w:bidi="en-US"/>
        </w:rPr>
      </w:pPr>
      <w:r w:rsidRPr="00A52E03">
        <w:rPr>
          <w:b/>
          <w:bCs/>
          <w:kern w:val="0"/>
          <w:sz w:val="22"/>
          <w:szCs w:val="22"/>
          <w14:ligatures w14:val="none"/>
        </w:rPr>
        <w:t>Limited Revenue Sources:</w:t>
      </w:r>
      <w:r w:rsidRPr="00A52E03">
        <w:rPr>
          <w:kern w:val="0"/>
          <w:sz w:val="22"/>
          <w:szCs w:val="22"/>
          <w14:ligatures w14:val="none"/>
        </w:rPr>
        <w:t xml:space="preserve"> Many institutions rely heavily on tuition fees as their primary source of IGR. This can be problematic if student enrollment drops or if there are caps on tuition fee increases. Lack of diversification in revenue sources, such as research grants, consultancy services, and commercialization of innovations, can limit overall revenue</w:t>
      </w:r>
      <w:r w:rsidR="008408FB" w:rsidRPr="00A52E03">
        <w:rPr>
          <w:kern w:val="0"/>
          <w:sz w:val="22"/>
          <w:szCs w:val="22"/>
          <w14:ligatures w14:val="none"/>
        </w:rPr>
        <w:t xml:space="preserve"> (</w:t>
      </w:r>
      <w:proofErr w:type="spellStart"/>
      <w:r w:rsidR="008408FB" w:rsidRPr="00A52E03">
        <w:rPr>
          <w:kern w:val="0"/>
          <w:sz w:val="22"/>
          <w:szCs w:val="22"/>
          <w14:ligatures w14:val="none"/>
        </w:rPr>
        <w:t>Cheba</w:t>
      </w:r>
      <w:proofErr w:type="spellEnd"/>
      <w:r w:rsidR="008408FB" w:rsidRPr="00A52E03">
        <w:rPr>
          <w:kern w:val="0"/>
          <w:sz w:val="22"/>
          <w:szCs w:val="22"/>
          <w14:ligatures w14:val="none"/>
        </w:rPr>
        <w:t>, 2019)</w:t>
      </w:r>
      <w:r w:rsidRPr="00A52E03">
        <w:rPr>
          <w:kern w:val="0"/>
          <w:sz w:val="22"/>
          <w:szCs w:val="22"/>
          <w14:ligatures w14:val="none"/>
        </w:rPr>
        <w:t>.</w:t>
      </w:r>
    </w:p>
    <w:p w14:paraId="4A97D257" w14:textId="77777777" w:rsidR="00A52E03" w:rsidRDefault="00D32E36" w:rsidP="00A52E03">
      <w:pPr>
        <w:pStyle w:val="BodyText2"/>
        <w:numPr>
          <w:ilvl w:val="0"/>
          <w:numId w:val="25"/>
        </w:numPr>
        <w:shd w:val="clear" w:color="auto" w:fill="auto"/>
        <w:spacing w:before="0" w:after="0" w:line="360" w:lineRule="auto"/>
        <w:ind w:left="270" w:right="20" w:hanging="270"/>
        <w:rPr>
          <w:color w:val="000000"/>
          <w:sz w:val="22"/>
          <w:szCs w:val="22"/>
          <w:lang w:bidi="en-US"/>
        </w:rPr>
      </w:pPr>
      <w:r w:rsidRPr="00A52E03">
        <w:rPr>
          <w:b/>
          <w:bCs/>
          <w:kern w:val="0"/>
          <w:sz w:val="22"/>
          <w:szCs w:val="22"/>
          <w14:ligatures w14:val="none"/>
        </w:rPr>
        <w:t>Economic Constraints:</w:t>
      </w:r>
      <w:r w:rsidRPr="00A52E03">
        <w:rPr>
          <w:kern w:val="0"/>
          <w:sz w:val="22"/>
          <w:szCs w:val="22"/>
          <w14:ligatures w14:val="none"/>
        </w:rPr>
        <w:t xml:space="preserve"> Economic recessions or financial crises can reduce the ability of students and their families to pay tuition fees and other charges, affecting revenue. High unemployment rates </w:t>
      </w:r>
      <w:r w:rsidRPr="00A52E03">
        <w:rPr>
          <w:kern w:val="0"/>
          <w:sz w:val="22"/>
          <w:szCs w:val="22"/>
          <w14:ligatures w14:val="none"/>
        </w:rPr>
        <w:lastRenderedPageBreak/>
        <w:t>can decrease the demand for higher education, further affecting tuition-based revenue.</w:t>
      </w:r>
    </w:p>
    <w:p w14:paraId="58313AC3" w14:textId="77777777" w:rsidR="00A52E03" w:rsidRDefault="00D32E36" w:rsidP="00A52E03">
      <w:pPr>
        <w:pStyle w:val="BodyText2"/>
        <w:numPr>
          <w:ilvl w:val="0"/>
          <w:numId w:val="25"/>
        </w:numPr>
        <w:shd w:val="clear" w:color="auto" w:fill="auto"/>
        <w:spacing w:before="0" w:after="0" w:line="360" w:lineRule="auto"/>
        <w:ind w:left="270" w:right="20" w:hanging="270"/>
        <w:rPr>
          <w:color w:val="000000"/>
          <w:sz w:val="22"/>
          <w:szCs w:val="22"/>
          <w:lang w:bidi="en-US"/>
        </w:rPr>
      </w:pPr>
      <w:r w:rsidRPr="00A52E03">
        <w:rPr>
          <w:b/>
          <w:bCs/>
          <w:kern w:val="0"/>
          <w:sz w:val="22"/>
          <w:szCs w:val="22"/>
          <w14:ligatures w14:val="none"/>
        </w:rPr>
        <w:t>Administrative Inefficiencies</w:t>
      </w:r>
      <w:r w:rsidR="00E3708E" w:rsidRPr="00A52E03">
        <w:rPr>
          <w:b/>
          <w:bCs/>
          <w:kern w:val="0"/>
          <w:sz w:val="22"/>
          <w:szCs w:val="22"/>
          <w14:ligatures w14:val="none"/>
        </w:rPr>
        <w:t>:</w:t>
      </w:r>
      <w:r w:rsidR="00E3708E" w:rsidRPr="00A52E03">
        <w:rPr>
          <w:kern w:val="0"/>
          <w:sz w:val="22"/>
          <w:szCs w:val="22"/>
          <w14:ligatures w14:val="none"/>
        </w:rPr>
        <w:t xml:space="preserve"> </w:t>
      </w:r>
      <w:r w:rsidRPr="00A52E03">
        <w:rPr>
          <w:kern w:val="0"/>
          <w:sz w:val="22"/>
          <w:szCs w:val="22"/>
          <w14:ligatures w14:val="none"/>
        </w:rPr>
        <w:t>Poor financial management practices, including lack of proper accounting systems, can lead to inefficiencies and leakages in IGR. Inefficient revenue collection mechanisms can result in delays and losses in expected income.</w:t>
      </w:r>
      <w:bookmarkStart w:id="43" w:name="_Toc169270815"/>
    </w:p>
    <w:p w14:paraId="74A62775" w14:textId="77777777" w:rsidR="00A52E03" w:rsidRDefault="00D32E36" w:rsidP="00A52E03">
      <w:pPr>
        <w:pStyle w:val="BodyText2"/>
        <w:numPr>
          <w:ilvl w:val="0"/>
          <w:numId w:val="25"/>
        </w:numPr>
        <w:shd w:val="clear" w:color="auto" w:fill="auto"/>
        <w:spacing w:before="0" w:after="0" w:line="360" w:lineRule="auto"/>
        <w:ind w:left="270" w:right="20" w:hanging="270"/>
        <w:rPr>
          <w:color w:val="000000"/>
          <w:sz w:val="22"/>
          <w:szCs w:val="22"/>
          <w:lang w:bidi="en-US"/>
        </w:rPr>
      </w:pPr>
      <w:r w:rsidRPr="00A52E03">
        <w:rPr>
          <w:b/>
          <w:bCs/>
          <w:kern w:val="0"/>
          <w:sz w:val="22"/>
          <w:szCs w:val="22"/>
          <w14:ligatures w14:val="none"/>
        </w:rPr>
        <w:t>Compliance and Enforcement Issues</w:t>
      </w:r>
      <w:r w:rsidR="0043798D" w:rsidRPr="00A52E03">
        <w:rPr>
          <w:b/>
          <w:bCs/>
          <w:kern w:val="0"/>
          <w:sz w:val="22"/>
          <w:szCs w:val="22"/>
          <w14:ligatures w14:val="none"/>
        </w:rPr>
        <w:t>:</w:t>
      </w:r>
      <w:r w:rsidRPr="00A52E03">
        <w:rPr>
          <w:kern w:val="0"/>
          <w:sz w:val="22"/>
          <w:szCs w:val="22"/>
          <w14:ligatures w14:val="none"/>
        </w:rPr>
        <w:t xml:space="preserve"> Some students might evade paying fees, and institutions may lack the necessary enforcement mechanisms to ensure full compliance.</w:t>
      </w:r>
      <w:r w:rsidR="0043798D" w:rsidRPr="00A52E03">
        <w:rPr>
          <w:kern w:val="0"/>
          <w:sz w:val="22"/>
          <w:szCs w:val="22"/>
          <w14:ligatures w14:val="none"/>
        </w:rPr>
        <w:t xml:space="preserve"> </w:t>
      </w:r>
      <w:r w:rsidRPr="00A52E03">
        <w:rPr>
          <w:kern w:val="0"/>
          <w:sz w:val="22"/>
          <w:szCs w:val="22"/>
          <w14:ligatures w14:val="none"/>
        </w:rPr>
        <w:t>Inadequate monitoring and auditing of revenue-generating activities can lead to financial irregularities</w:t>
      </w:r>
      <w:r w:rsidR="008408FB" w:rsidRPr="00A52E03">
        <w:rPr>
          <w:kern w:val="0"/>
          <w:sz w:val="22"/>
          <w:szCs w:val="22"/>
          <w14:ligatures w14:val="none"/>
        </w:rPr>
        <w:t xml:space="preserve"> (</w:t>
      </w:r>
      <w:proofErr w:type="spellStart"/>
      <w:r w:rsidR="008408FB" w:rsidRPr="00A52E03">
        <w:rPr>
          <w:kern w:val="0"/>
          <w:sz w:val="22"/>
          <w:szCs w:val="22"/>
          <w14:ligatures w14:val="none"/>
        </w:rPr>
        <w:t>Doerrenberg</w:t>
      </w:r>
      <w:proofErr w:type="spellEnd"/>
      <w:r w:rsidR="008408FB" w:rsidRPr="00A52E03">
        <w:rPr>
          <w:kern w:val="0"/>
          <w:sz w:val="22"/>
          <w:szCs w:val="22"/>
          <w14:ligatures w14:val="none"/>
        </w:rPr>
        <w:t xml:space="preserve"> &amp; </w:t>
      </w:r>
      <w:proofErr w:type="spellStart"/>
      <w:r w:rsidR="008408FB" w:rsidRPr="00A52E03">
        <w:rPr>
          <w:kern w:val="0"/>
          <w:sz w:val="22"/>
          <w:szCs w:val="22"/>
          <w14:ligatures w14:val="none"/>
        </w:rPr>
        <w:t>Peichl</w:t>
      </w:r>
      <w:proofErr w:type="spellEnd"/>
      <w:r w:rsidR="008408FB" w:rsidRPr="00A52E03">
        <w:rPr>
          <w:kern w:val="0"/>
          <w:sz w:val="22"/>
          <w:szCs w:val="22"/>
          <w14:ligatures w14:val="none"/>
        </w:rPr>
        <w:t>, 2012)</w:t>
      </w:r>
      <w:r w:rsidRPr="00A52E03">
        <w:rPr>
          <w:kern w:val="0"/>
          <w:sz w:val="22"/>
          <w:szCs w:val="22"/>
          <w14:ligatures w14:val="none"/>
        </w:rPr>
        <w:t>.</w:t>
      </w:r>
      <w:bookmarkStart w:id="44" w:name="_Toc169270816"/>
      <w:bookmarkEnd w:id="43"/>
    </w:p>
    <w:p w14:paraId="511851C1" w14:textId="77777777" w:rsidR="00A52E03" w:rsidRDefault="00D32E36" w:rsidP="00A52E03">
      <w:pPr>
        <w:pStyle w:val="BodyText2"/>
        <w:numPr>
          <w:ilvl w:val="0"/>
          <w:numId w:val="25"/>
        </w:numPr>
        <w:shd w:val="clear" w:color="auto" w:fill="auto"/>
        <w:spacing w:before="0" w:after="0" w:line="360" w:lineRule="auto"/>
        <w:ind w:left="270" w:right="20" w:hanging="270"/>
        <w:rPr>
          <w:color w:val="000000"/>
          <w:sz w:val="22"/>
          <w:szCs w:val="22"/>
          <w:lang w:bidi="en-US"/>
        </w:rPr>
      </w:pPr>
      <w:r w:rsidRPr="00A52E03">
        <w:rPr>
          <w:b/>
          <w:bCs/>
          <w:kern w:val="0"/>
          <w:sz w:val="22"/>
          <w:szCs w:val="22"/>
          <w14:ligatures w14:val="none"/>
        </w:rPr>
        <w:t>Policy and Regulatory Constraints</w:t>
      </w:r>
      <w:r w:rsidR="00A66DE9" w:rsidRPr="00A52E03">
        <w:rPr>
          <w:kern w:val="0"/>
          <w:sz w:val="22"/>
          <w:szCs w:val="22"/>
          <w14:ligatures w14:val="none"/>
        </w:rPr>
        <w:t>:</w:t>
      </w:r>
      <w:r w:rsidRPr="00A52E03">
        <w:rPr>
          <w:kern w:val="0"/>
          <w:sz w:val="22"/>
          <w:szCs w:val="22"/>
          <w14:ligatures w14:val="none"/>
        </w:rPr>
        <w:t xml:space="preserve"> Regulatory constraints, such as government-imposed caps on tuition fees or restrictions on the commercialization of research, can limit the revenue potential of tertiary institutions.</w:t>
      </w:r>
      <w:r w:rsidR="00A66DE9" w:rsidRPr="00A52E03">
        <w:rPr>
          <w:kern w:val="0"/>
          <w:sz w:val="22"/>
          <w:szCs w:val="22"/>
          <w14:ligatures w14:val="none"/>
        </w:rPr>
        <w:t xml:space="preserve"> </w:t>
      </w:r>
      <w:r w:rsidRPr="00A52E03">
        <w:rPr>
          <w:kern w:val="0"/>
          <w:sz w:val="22"/>
          <w:szCs w:val="22"/>
          <w14:ligatures w14:val="none"/>
        </w:rPr>
        <w:t>Lengthy bureaucratic processes can hinder the timely implementation of revenue-generating initiatives.</w:t>
      </w:r>
      <w:bookmarkStart w:id="45" w:name="_Toc169270817"/>
      <w:bookmarkEnd w:id="44"/>
    </w:p>
    <w:p w14:paraId="38797EFA" w14:textId="77777777" w:rsidR="00A52E03" w:rsidRDefault="00D32E36" w:rsidP="00A52E03">
      <w:pPr>
        <w:pStyle w:val="BodyText2"/>
        <w:numPr>
          <w:ilvl w:val="0"/>
          <w:numId w:val="25"/>
        </w:numPr>
        <w:shd w:val="clear" w:color="auto" w:fill="auto"/>
        <w:spacing w:before="0" w:after="0" w:line="360" w:lineRule="auto"/>
        <w:ind w:left="270" w:right="20" w:hanging="270"/>
        <w:rPr>
          <w:color w:val="000000"/>
          <w:sz w:val="22"/>
          <w:szCs w:val="22"/>
          <w:lang w:bidi="en-US"/>
        </w:rPr>
      </w:pPr>
      <w:r w:rsidRPr="00A52E03">
        <w:rPr>
          <w:b/>
          <w:bCs/>
          <w:kern w:val="0"/>
          <w:sz w:val="22"/>
          <w:szCs w:val="22"/>
          <w14:ligatures w14:val="none"/>
        </w:rPr>
        <w:t>Capacity and Expertise</w:t>
      </w:r>
      <w:r w:rsidR="00A66DE9" w:rsidRPr="00A52E03">
        <w:rPr>
          <w:b/>
          <w:bCs/>
          <w:kern w:val="0"/>
          <w:sz w:val="22"/>
          <w:szCs w:val="22"/>
          <w14:ligatures w14:val="none"/>
        </w:rPr>
        <w:t>:</w:t>
      </w:r>
      <w:r w:rsidR="00A66DE9" w:rsidRPr="00A52E03">
        <w:rPr>
          <w:kern w:val="0"/>
          <w:sz w:val="22"/>
          <w:szCs w:val="22"/>
          <w14:ligatures w14:val="none"/>
        </w:rPr>
        <w:t xml:space="preserve"> </w:t>
      </w:r>
      <w:r w:rsidRPr="00A52E03">
        <w:rPr>
          <w:kern w:val="0"/>
          <w:sz w:val="22"/>
          <w:szCs w:val="22"/>
          <w14:ligatures w14:val="none"/>
        </w:rPr>
        <w:t>Insufficient expertise in areas like grant writing, project management, and business development can limit the institution's ability to secure funding and run profitable ventures.</w:t>
      </w:r>
      <w:r w:rsidR="00A66DE9" w:rsidRPr="00A52E03">
        <w:rPr>
          <w:kern w:val="0"/>
          <w:sz w:val="22"/>
          <w:szCs w:val="22"/>
          <w14:ligatures w14:val="none"/>
        </w:rPr>
        <w:t xml:space="preserve"> </w:t>
      </w:r>
      <w:r w:rsidRPr="00A52E03">
        <w:rPr>
          <w:kern w:val="0"/>
          <w:sz w:val="22"/>
          <w:szCs w:val="22"/>
          <w14:ligatures w14:val="none"/>
        </w:rPr>
        <w:t>There may be a lack of training for staff on innovative revenue generation strategies and financial management.</w:t>
      </w:r>
      <w:bookmarkStart w:id="46" w:name="_Toc169270818"/>
      <w:bookmarkEnd w:id="45"/>
    </w:p>
    <w:p w14:paraId="14A5EE96" w14:textId="77777777" w:rsidR="00A52E03" w:rsidRDefault="00D32E36" w:rsidP="00A52E03">
      <w:pPr>
        <w:pStyle w:val="BodyText2"/>
        <w:numPr>
          <w:ilvl w:val="0"/>
          <w:numId w:val="25"/>
        </w:numPr>
        <w:shd w:val="clear" w:color="auto" w:fill="auto"/>
        <w:spacing w:before="0" w:after="0" w:line="360" w:lineRule="auto"/>
        <w:ind w:left="270" w:right="20" w:hanging="270"/>
        <w:rPr>
          <w:color w:val="000000"/>
          <w:sz w:val="22"/>
          <w:szCs w:val="22"/>
          <w:lang w:bidi="en-US"/>
        </w:rPr>
      </w:pPr>
      <w:r w:rsidRPr="00A52E03">
        <w:rPr>
          <w:b/>
          <w:bCs/>
          <w:kern w:val="0"/>
          <w:sz w:val="22"/>
          <w:szCs w:val="22"/>
          <w14:ligatures w14:val="none"/>
        </w:rPr>
        <w:t>Research and Development Challenges</w:t>
      </w:r>
      <w:r w:rsidR="00A66DE9" w:rsidRPr="00A52E03">
        <w:rPr>
          <w:b/>
          <w:bCs/>
          <w:kern w:val="0"/>
          <w:sz w:val="22"/>
          <w:szCs w:val="22"/>
          <w14:ligatures w14:val="none"/>
        </w:rPr>
        <w:t>:</w:t>
      </w:r>
      <w:r w:rsidR="00A66DE9" w:rsidRPr="00A52E03">
        <w:rPr>
          <w:kern w:val="0"/>
          <w:sz w:val="22"/>
          <w:szCs w:val="22"/>
          <w14:ligatures w14:val="none"/>
        </w:rPr>
        <w:t xml:space="preserve"> </w:t>
      </w:r>
      <w:r w:rsidRPr="00A52E03">
        <w:rPr>
          <w:kern w:val="0"/>
          <w:sz w:val="22"/>
          <w:szCs w:val="22"/>
          <w14:ligatures w14:val="none"/>
        </w:rPr>
        <w:t>Limited research output and commercialization of innovations can reduce potential revenue from research grants and patents.</w:t>
      </w:r>
      <w:r w:rsidR="00A66DE9" w:rsidRPr="00A52E03">
        <w:rPr>
          <w:kern w:val="0"/>
          <w:sz w:val="22"/>
          <w:szCs w:val="22"/>
          <w14:ligatures w14:val="none"/>
        </w:rPr>
        <w:t xml:space="preserve"> </w:t>
      </w:r>
      <w:r w:rsidRPr="00A52E03">
        <w:rPr>
          <w:kern w:val="0"/>
          <w:sz w:val="22"/>
          <w:szCs w:val="22"/>
          <w14:ligatures w14:val="none"/>
        </w:rPr>
        <w:t>Lack of initial funding to kickstart research projects can hinder potential future revenue from successful projects.</w:t>
      </w:r>
      <w:bookmarkStart w:id="47" w:name="_Toc169270819"/>
      <w:bookmarkEnd w:id="46"/>
    </w:p>
    <w:p w14:paraId="0C5CE8F6" w14:textId="77777777" w:rsidR="00A52E03" w:rsidRDefault="00D32E36" w:rsidP="00A52E03">
      <w:pPr>
        <w:pStyle w:val="BodyText2"/>
        <w:numPr>
          <w:ilvl w:val="0"/>
          <w:numId w:val="25"/>
        </w:numPr>
        <w:shd w:val="clear" w:color="auto" w:fill="auto"/>
        <w:spacing w:before="0" w:after="0" w:line="360" w:lineRule="auto"/>
        <w:ind w:left="270" w:right="20" w:hanging="270"/>
        <w:rPr>
          <w:color w:val="000000"/>
          <w:sz w:val="22"/>
          <w:szCs w:val="22"/>
          <w:lang w:bidi="en-US"/>
        </w:rPr>
      </w:pPr>
      <w:r w:rsidRPr="00A52E03">
        <w:rPr>
          <w:b/>
          <w:bCs/>
          <w:kern w:val="0"/>
          <w:sz w:val="22"/>
          <w:szCs w:val="22"/>
          <w14:ligatures w14:val="none"/>
        </w:rPr>
        <w:t>Infrastructure and Resource Limitations</w:t>
      </w:r>
      <w:r w:rsidR="00A66DE9" w:rsidRPr="00A52E03">
        <w:rPr>
          <w:b/>
          <w:bCs/>
          <w:kern w:val="0"/>
          <w:sz w:val="22"/>
          <w:szCs w:val="22"/>
          <w14:ligatures w14:val="none"/>
        </w:rPr>
        <w:t>:</w:t>
      </w:r>
      <w:r w:rsidR="00A66DE9" w:rsidRPr="00A52E03">
        <w:rPr>
          <w:kern w:val="0"/>
          <w:sz w:val="22"/>
          <w:szCs w:val="22"/>
          <w14:ligatures w14:val="none"/>
        </w:rPr>
        <w:t xml:space="preserve"> </w:t>
      </w:r>
      <w:r w:rsidRPr="00A52E03">
        <w:rPr>
          <w:kern w:val="0"/>
          <w:sz w:val="22"/>
          <w:szCs w:val="22"/>
          <w14:ligatures w14:val="none"/>
        </w:rPr>
        <w:t>Poor infrastructure can limit the ability to offer high-quality education and services that attract students and other revenue sources. Limited resources for developing and maintaining revenue-generating activities, such as continuing education programs, can hinder financial growth.</w:t>
      </w:r>
      <w:bookmarkStart w:id="48" w:name="_Toc169270820"/>
      <w:bookmarkEnd w:id="47"/>
    </w:p>
    <w:p w14:paraId="6C634CE0" w14:textId="3EDF0202" w:rsidR="00D32E36" w:rsidRPr="00A52E03" w:rsidRDefault="00D32E36" w:rsidP="00A52E03">
      <w:pPr>
        <w:pStyle w:val="BodyText2"/>
        <w:numPr>
          <w:ilvl w:val="0"/>
          <w:numId w:val="25"/>
        </w:numPr>
        <w:shd w:val="clear" w:color="auto" w:fill="auto"/>
        <w:spacing w:before="0" w:after="0" w:line="360" w:lineRule="auto"/>
        <w:ind w:left="270" w:right="20" w:hanging="270"/>
        <w:rPr>
          <w:color w:val="000000"/>
          <w:sz w:val="22"/>
          <w:szCs w:val="22"/>
          <w:lang w:bidi="en-US"/>
        </w:rPr>
      </w:pPr>
      <w:r w:rsidRPr="00A52E03">
        <w:rPr>
          <w:b/>
          <w:bCs/>
          <w:kern w:val="0"/>
          <w:sz w:val="22"/>
          <w:szCs w:val="22"/>
          <w14:ligatures w14:val="none"/>
        </w:rPr>
        <w:t>Public Perception and Resistance</w:t>
      </w:r>
      <w:r w:rsidR="00A66DE9" w:rsidRPr="00A52E03">
        <w:rPr>
          <w:b/>
          <w:bCs/>
          <w:kern w:val="0"/>
          <w:sz w:val="22"/>
          <w:szCs w:val="22"/>
          <w14:ligatures w14:val="none"/>
        </w:rPr>
        <w:t>:</w:t>
      </w:r>
      <w:r w:rsidR="00A66DE9" w:rsidRPr="00A52E03">
        <w:rPr>
          <w:kern w:val="0"/>
          <w:sz w:val="22"/>
          <w:szCs w:val="22"/>
          <w14:ligatures w14:val="none"/>
        </w:rPr>
        <w:t xml:space="preserve"> </w:t>
      </w:r>
      <w:r w:rsidRPr="00A52E03">
        <w:rPr>
          <w:kern w:val="0"/>
          <w:sz w:val="22"/>
          <w:szCs w:val="22"/>
          <w14:ligatures w14:val="none"/>
        </w:rPr>
        <w:t>Students and stakeholders may resist increases in tuition and other fees, particularly if they do not see corresponding improvements in services and infrastructure.</w:t>
      </w:r>
      <w:r w:rsidR="00A66DE9" w:rsidRPr="00A52E03">
        <w:rPr>
          <w:kern w:val="0"/>
          <w:sz w:val="22"/>
          <w:szCs w:val="22"/>
          <w14:ligatures w14:val="none"/>
        </w:rPr>
        <w:t xml:space="preserve"> </w:t>
      </w:r>
      <w:r w:rsidRPr="00A52E03">
        <w:rPr>
          <w:kern w:val="0"/>
          <w:sz w:val="22"/>
          <w:szCs w:val="22"/>
          <w14:ligatures w14:val="none"/>
        </w:rPr>
        <w:t>Negative public perception of the institution can affect enrollment rates and, consequently, revenue.</w:t>
      </w:r>
      <w:bookmarkEnd w:id="48"/>
    </w:p>
    <w:p w14:paraId="38892C9B" w14:textId="68CEEA2B" w:rsidR="00D32E36" w:rsidRPr="00593380" w:rsidRDefault="00A66DE9" w:rsidP="00593380">
      <w:pPr>
        <w:pStyle w:val="Heading2"/>
        <w:spacing w:before="0" w:line="360" w:lineRule="auto"/>
        <w:jc w:val="both"/>
        <w:rPr>
          <w:rFonts w:ascii="Times New Roman" w:eastAsia="Times New Roman" w:hAnsi="Times New Roman" w:cs="Times New Roman"/>
          <w:b/>
          <w:bCs/>
          <w:color w:val="auto"/>
          <w:sz w:val="22"/>
          <w:szCs w:val="22"/>
        </w:rPr>
      </w:pPr>
      <w:bookmarkStart w:id="49" w:name="_Toc169270821"/>
      <w:r w:rsidRPr="00593380">
        <w:rPr>
          <w:rFonts w:ascii="Times New Roman" w:eastAsia="Times New Roman" w:hAnsi="Times New Roman" w:cs="Times New Roman"/>
          <w:b/>
          <w:bCs/>
          <w:color w:val="auto"/>
          <w:sz w:val="22"/>
          <w:szCs w:val="22"/>
        </w:rPr>
        <w:t>2.</w:t>
      </w:r>
      <w:r w:rsidR="009D53B2">
        <w:rPr>
          <w:rFonts w:ascii="Times New Roman" w:eastAsia="Times New Roman" w:hAnsi="Times New Roman" w:cs="Times New Roman"/>
          <w:b/>
          <w:bCs/>
          <w:color w:val="auto"/>
          <w:sz w:val="22"/>
          <w:szCs w:val="22"/>
        </w:rPr>
        <w:t>5</w:t>
      </w:r>
      <w:r w:rsidRPr="00593380">
        <w:rPr>
          <w:rFonts w:ascii="Times New Roman" w:eastAsia="Times New Roman" w:hAnsi="Times New Roman" w:cs="Times New Roman"/>
          <w:b/>
          <w:bCs/>
          <w:color w:val="auto"/>
          <w:sz w:val="22"/>
          <w:szCs w:val="22"/>
        </w:rPr>
        <w:t xml:space="preserve"> </w:t>
      </w:r>
      <w:r w:rsidR="00D32E36" w:rsidRPr="00593380">
        <w:rPr>
          <w:rFonts w:ascii="Times New Roman" w:eastAsia="Times New Roman" w:hAnsi="Times New Roman" w:cs="Times New Roman"/>
          <w:b/>
          <w:bCs/>
          <w:color w:val="auto"/>
          <w:sz w:val="22"/>
          <w:szCs w:val="22"/>
        </w:rPr>
        <w:t>Addressing the Problems</w:t>
      </w:r>
      <w:r w:rsidR="007E459C" w:rsidRPr="00593380">
        <w:rPr>
          <w:rFonts w:ascii="Times New Roman" w:eastAsia="Times New Roman" w:hAnsi="Times New Roman" w:cs="Times New Roman"/>
          <w:b/>
          <w:bCs/>
          <w:color w:val="auto"/>
          <w:sz w:val="22"/>
          <w:szCs w:val="22"/>
        </w:rPr>
        <w:t xml:space="preserve"> of IGR</w:t>
      </w:r>
      <w:bookmarkEnd w:id="49"/>
    </w:p>
    <w:p w14:paraId="01811133" w14:textId="15ED4961" w:rsidR="00D32E36" w:rsidRPr="00593380" w:rsidRDefault="00D32E36" w:rsidP="00593380">
      <w:pPr>
        <w:spacing w:after="0" w:line="360" w:lineRule="auto"/>
        <w:jc w:val="both"/>
        <w:rPr>
          <w:rFonts w:ascii="Times New Roman" w:eastAsia="Times New Roman" w:hAnsi="Times New Roman" w:cs="Times New Roman"/>
          <w:kern w:val="0"/>
          <w14:ligatures w14:val="none"/>
        </w:rPr>
      </w:pPr>
      <w:r w:rsidRPr="00593380">
        <w:rPr>
          <w:rFonts w:ascii="Times New Roman" w:eastAsia="Times New Roman" w:hAnsi="Times New Roman" w:cs="Times New Roman"/>
          <w:kern w:val="0"/>
          <w14:ligatures w14:val="none"/>
        </w:rPr>
        <w:t>To mitigate the</w:t>
      </w:r>
      <w:r w:rsidR="007E459C" w:rsidRPr="00593380">
        <w:rPr>
          <w:rFonts w:ascii="Times New Roman" w:eastAsia="Times New Roman" w:hAnsi="Times New Roman" w:cs="Times New Roman"/>
          <w:kern w:val="0"/>
          <w14:ligatures w14:val="none"/>
        </w:rPr>
        <w:t xml:space="preserve"> challenges of IGR</w:t>
      </w:r>
      <w:r w:rsidRPr="00593380">
        <w:rPr>
          <w:rFonts w:ascii="Times New Roman" w:eastAsia="Times New Roman" w:hAnsi="Times New Roman" w:cs="Times New Roman"/>
          <w:kern w:val="0"/>
          <w14:ligatures w14:val="none"/>
        </w:rPr>
        <w:t xml:space="preserve">, tertiary institutions </w:t>
      </w:r>
      <w:r w:rsidR="007E459C" w:rsidRPr="00593380">
        <w:rPr>
          <w:rFonts w:ascii="Times New Roman" w:eastAsia="Times New Roman" w:hAnsi="Times New Roman" w:cs="Times New Roman"/>
          <w:kern w:val="0"/>
          <w14:ligatures w14:val="none"/>
        </w:rPr>
        <w:t xml:space="preserve">can </w:t>
      </w:r>
      <w:r w:rsidRPr="00593380">
        <w:rPr>
          <w:rFonts w:ascii="Times New Roman" w:eastAsia="Times New Roman" w:hAnsi="Times New Roman" w:cs="Times New Roman"/>
          <w:kern w:val="0"/>
          <w14:ligatures w14:val="none"/>
        </w:rPr>
        <w:t>adopt several strategies:</w:t>
      </w:r>
    </w:p>
    <w:p w14:paraId="4F7D91AA" w14:textId="5151EAFF" w:rsidR="00D32E36" w:rsidRPr="00593380" w:rsidRDefault="00D32E36" w:rsidP="00593380">
      <w:pPr>
        <w:numPr>
          <w:ilvl w:val="0"/>
          <w:numId w:val="26"/>
        </w:numPr>
        <w:spacing w:after="0" w:line="360" w:lineRule="auto"/>
        <w:jc w:val="both"/>
        <w:rPr>
          <w:rFonts w:ascii="Times New Roman" w:eastAsia="Times New Roman" w:hAnsi="Times New Roman" w:cs="Times New Roman"/>
          <w:kern w:val="0"/>
          <w14:ligatures w14:val="none"/>
        </w:rPr>
      </w:pPr>
      <w:r w:rsidRPr="00593380">
        <w:rPr>
          <w:rFonts w:ascii="Times New Roman" w:eastAsia="Times New Roman" w:hAnsi="Times New Roman" w:cs="Times New Roman"/>
          <w:kern w:val="0"/>
          <w14:ligatures w14:val="none"/>
        </w:rPr>
        <w:t>Developing alternative revenue streams, such as research grants, partnerships with industry, consultancy services, and alumni donations.</w:t>
      </w:r>
    </w:p>
    <w:p w14:paraId="1F4A132F" w14:textId="20DDCFE1" w:rsidR="00D32E36" w:rsidRPr="00593380" w:rsidRDefault="00D32E36" w:rsidP="00593380">
      <w:pPr>
        <w:numPr>
          <w:ilvl w:val="0"/>
          <w:numId w:val="26"/>
        </w:numPr>
        <w:spacing w:after="0" w:line="360" w:lineRule="auto"/>
        <w:jc w:val="both"/>
        <w:rPr>
          <w:rFonts w:ascii="Times New Roman" w:eastAsia="Times New Roman" w:hAnsi="Times New Roman" w:cs="Times New Roman"/>
          <w:kern w:val="0"/>
          <w14:ligatures w14:val="none"/>
        </w:rPr>
      </w:pPr>
      <w:r w:rsidRPr="00593380">
        <w:rPr>
          <w:rFonts w:ascii="Times New Roman" w:eastAsia="Times New Roman" w:hAnsi="Times New Roman" w:cs="Times New Roman"/>
          <w:kern w:val="0"/>
          <w14:ligatures w14:val="none"/>
        </w:rPr>
        <w:t>Implementing robust financial management systems and practices to ensure efficient use and monitoring of funds.</w:t>
      </w:r>
    </w:p>
    <w:p w14:paraId="77CEAAA4" w14:textId="2AE8FCE4" w:rsidR="00D32E36" w:rsidRPr="00593380" w:rsidRDefault="00D32E36" w:rsidP="00593380">
      <w:pPr>
        <w:numPr>
          <w:ilvl w:val="0"/>
          <w:numId w:val="26"/>
        </w:numPr>
        <w:spacing w:after="0" w:line="360" w:lineRule="auto"/>
        <w:jc w:val="both"/>
        <w:rPr>
          <w:rFonts w:ascii="Times New Roman" w:eastAsia="Times New Roman" w:hAnsi="Times New Roman" w:cs="Times New Roman"/>
          <w:kern w:val="0"/>
          <w14:ligatures w14:val="none"/>
        </w:rPr>
      </w:pPr>
      <w:r w:rsidRPr="00593380">
        <w:rPr>
          <w:rFonts w:ascii="Times New Roman" w:eastAsia="Times New Roman" w:hAnsi="Times New Roman" w:cs="Times New Roman"/>
          <w:kern w:val="0"/>
          <w14:ligatures w14:val="none"/>
        </w:rPr>
        <w:t>Strengthening enforcement mechanisms for fee collection and enhancing monitoring and auditing processes.</w:t>
      </w:r>
    </w:p>
    <w:p w14:paraId="4E755B1A" w14:textId="1053A899" w:rsidR="00D32E36" w:rsidRPr="00593380" w:rsidRDefault="00D32E36" w:rsidP="00593380">
      <w:pPr>
        <w:numPr>
          <w:ilvl w:val="0"/>
          <w:numId w:val="26"/>
        </w:numPr>
        <w:spacing w:after="0" w:line="360" w:lineRule="auto"/>
        <w:jc w:val="both"/>
        <w:rPr>
          <w:rFonts w:ascii="Times New Roman" w:eastAsia="Times New Roman" w:hAnsi="Times New Roman" w:cs="Times New Roman"/>
          <w:kern w:val="0"/>
          <w14:ligatures w14:val="none"/>
        </w:rPr>
      </w:pPr>
      <w:r w:rsidRPr="00593380">
        <w:rPr>
          <w:rFonts w:ascii="Times New Roman" w:eastAsia="Times New Roman" w:hAnsi="Times New Roman" w:cs="Times New Roman"/>
          <w:kern w:val="0"/>
          <w14:ligatures w14:val="none"/>
        </w:rPr>
        <w:t>Engaging with policymakers to create a more conducive regulatory environment for revenue generation.</w:t>
      </w:r>
    </w:p>
    <w:p w14:paraId="0734C24D" w14:textId="02F7B023" w:rsidR="00D32E36" w:rsidRPr="00593380" w:rsidRDefault="00D32E36" w:rsidP="00593380">
      <w:pPr>
        <w:numPr>
          <w:ilvl w:val="0"/>
          <w:numId w:val="26"/>
        </w:numPr>
        <w:spacing w:after="0" w:line="360" w:lineRule="auto"/>
        <w:jc w:val="both"/>
        <w:rPr>
          <w:rFonts w:ascii="Times New Roman" w:eastAsia="Times New Roman" w:hAnsi="Times New Roman" w:cs="Times New Roman"/>
          <w:kern w:val="0"/>
          <w14:ligatures w14:val="none"/>
        </w:rPr>
      </w:pPr>
      <w:r w:rsidRPr="00593380">
        <w:rPr>
          <w:rFonts w:ascii="Times New Roman" w:eastAsia="Times New Roman" w:hAnsi="Times New Roman" w:cs="Times New Roman"/>
          <w:kern w:val="0"/>
          <w14:ligatures w14:val="none"/>
        </w:rPr>
        <w:lastRenderedPageBreak/>
        <w:t>Investing in the training and development of staff to enhance their skills in revenue generation and financial management.</w:t>
      </w:r>
    </w:p>
    <w:p w14:paraId="0E0EACE3" w14:textId="2606D1EE" w:rsidR="00D32E36" w:rsidRPr="00593380" w:rsidRDefault="00D32E36" w:rsidP="00593380">
      <w:pPr>
        <w:numPr>
          <w:ilvl w:val="0"/>
          <w:numId w:val="26"/>
        </w:numPr>
        <w:spacing w:after="0" w:line="360" w:lineRule="auto"/>
        <w:jc w:val="both"/>
        <w:rPr>
          <w:rFonts w:ascii="Times New Roman" w:eastAsia="Times New Roman" w:hAnsi="Times New Roman" w:cs="Times New Roman"/>
          <w:kern w:val="0"/>
          <w14:ligatures w14:val="none"/>
        </w:rPr>
      </w:pPr>
      <w:r w:rsidRPr="00593380">
        <w:rPr>
          <w:rFonts w:ascii="Times New Roman" w:eastAsia="Times New Roman" w:hAnsi="Times New Roman" w:cs="Times New Roman"/>
          <w:kern w:val="0"/>
          <w14:ligatures w14:val="none"/>
        </w:rPr>
        <w:t>Improving infrastructure to attract more students and support high-quality education and research activities.</w:t>
      </w:r>
    </w:p>
    <w:p w14:paraId="3D13A2FE" w14:textId="1395D4C2" w:rsidR="00D32E36" w:rsidRDefault="00D32E36" w:rsidP="00593380">
      <w:pPr>
        <w:numPr>
          <w:ilvl w:val="0"/>
          <w:numId w:val="26"/>
        </w:numPr>
        <w:spacing w:after="0" w:line="360" w:lineRule="auto"/>
        <w:jc w:val="both"/>
        <w:rPr>
          <w:rFonts w:ascii="Times New Roman" w:eastAsia="Times New Roman" w:hAnsi="Times New Roman" w:cs="Times New Roman"/>
          <w:kern w:val="0"/>
          <w14:ligatures w14:val="none"/>
        </w:rPr>
      </w:pPr>
      <w:r w:rsidRPr="00593380">
        <w:rPr>
          <w:rFonts w:ascii="Times New Roman" w:eastAsia="Times New Roman" w:hAnsi="Times New Roman" w:cs="Times New Roman"/>
          <w:kern w:val="0"/>
          <w14:ligatures w14:val="none"/>
        </w:rPr>
        <w:t>Enhancing public relations efforts to improve the institution's image and build trust among stakeholders.</w:t>
      </w:r>
    </w:p>
    <w:p w14:paraId="005E335D" w14:textId="6F749D61" w:rsidR="00087AD4" w:rsidRPr="00593380" w:rsidRDefault="009D53B2" w:rsidP="009D53B2">
      <w:pPr>
        <w:pStyle w:val="Heading1"/>
        <w:spacing w:before="0" w:line="360" w:lineRule="auto"/>
        <w:rPr>
          <w:rFonts w:ascii="Times New Roman" w:hAnsi="Times New Roman" w:cs="Times New Roman"/>
          <w:b/>
          <w:bCs/>
          <w:color w:val="auto"/>
          <w:sz w:val="22"/>
          <w:szCs w:val="22"/>
        </w:rPr>
      </w:pPr>
      <w:bookmarkStart w:id="50" w:name="_Toc169270822"/>
      <w:r>
        <w:rPr>
          <w:rFonts w:ascii="Times New Roman" w:hAnsi="Times New Roman" w:cs="Times New Roman"/>
          <w:b/>
          <w:bCs/>
          <w:color w:val="auto"/>
          <w:sz w:val="22"/>
          <w:szCs w:val="22"/>
        </w:rPr>
        <w:t>3.0</w:t>
      </w:r>
      <w:r w:rsidR="003716C4" w:rsidRPr="00593380">
        <w:rPr>
          <w:rFonts w:ascii="Times New Roman" w:hAnsi="Times New Roman" w:cs="Times New Roman"/>
          <w:b/>
          <w:bCs/>
          <w:color w:val="auto"/>
          <w:sz w:val="22"/>
          <w:szCs w:val="22"/>
        </w:rPr>
        <w:t xml:space="preserve"> METHODOLOGY</w:t>
      </w:r>
      <w:bookmarkEnd w:id="50"/>
    </w:p>
    <w:p w14:paraId="38E5234B" w14:textId="19C75201" w:rsidR="00087AD4" w:rsidRPr="00593380" w:rsidRDefault="003716C4" w:rsidP="009D53B2">
      <w:pPr>
        <w:pStyle w:val="Heading2"/>
        <w:spacing w:before="0" w:line="360" w:lineRule="auto"/>
        <w:jc w:val="both"/>
        <w:rPr>
          <w:rStyle w:val="fontstyle01"/>
          <w:b/>
          <w:bCs/>
          <w:sz w:val="22"/>
          <w:szCs w:val="22"/>
        </w:rPr>
      </w:pPr>
      <w:bookmarkStart w:id="51" w:name="_Toc169270823"/>
      <w:r w:rsidRPr="00593380">
        <w:rPr>
          <w:rFonts w:ascii="Times New Roman" w:hAnsi="Times New Roman" w:cs="Times New Roman"/>
          <w:b/>
          <w:bCs/>
          <w:color w:val="auto"/>
          <w:sz w:val="22"/>
          <w:szCs w:val="22"/>
        </w:rPr>
        <w:t xml:space="preserve">3.1 </w:t>
      </w:r>
      <w:bookmarkStart w:id="52" w:name="_Toc169270824"/>
      <w:bookmarkEnd w:id="51"/>
      <w:r w:rsidR="00087AD4" w:rsidRPr="00593380">
        <w:rPr>
          <w:rStyle w:val="fontstyle01"/>
          <w:b/>
          <w:bCs/>
          <w:sz w:val="22"/>
          <w:szCs w:val="22"/>
        </w:rPr>
        <w:t>Study Area</w:t>
      </w:r>
      <w:bookmarkEnd w:id="52"/>
    </w:p>
    <w:p w14:paraId="4987CA0A" w14:textId="77777777" w:rsidR="00087AD4" w:rsidRPr="00593380" w:rsidRDefault="00087AD4" w:rsidP="00593380">
      <w:pPr>
        <w:spacing w:after="0" w:line="360" w:lineRule="auto"/>
        <w:jc w:val="both"/>
        <w:rPr>
          <w:rStyle w:val="fontstyle01"/>
          <w:sz w:val="22"/>
          <w:szCs w:val="22"/>
        </w:rPr>
      </w:pPr>
      <w:r w:rsidRPr="00593380">
        <w:rPr>
          <w:rStyle w:val="fontstyle01"/>
          <w:sz w:val="22"/>
          <w:szCs w:val="22"/>
        </w:rPr>
        <w:t xml:space="preserve">One of the study locations is Federal Polytechnic, Bauchi (FPTB) located in Gwallameji village along Dass Road, Bauchi local government area of Bauchi state. The Gwallameji people are comprised of different tribes, ethnicities, and religions. Most of the population are youths between the age of 25 – 35 years, and about two-thirds (2/3) of the FPTB students reside outside campus in Gwallameji village. </w:t>
      </w:r>
    </w:p>
    <w:p w14:paraId="795EC908" w14:textId="3189B4AA" w:rsidR="00087AD4" w:rsidRPr="00593380" w:rsidRDefault="00087AD4" w:rsidP="00593380">
      <w:pPr>
        <w:spacing w:after="0" w:line="360" w:lineRule="auto"/>
        <w:jc w:val="both"/>
        <w:rPr>
          <w:rStyle w:val="fontstyle01"/>
          <w:sz w:val="22"/>
          <w:szCs w:val="22"/>
        </w:rPr>
      </w:pPr>
      <w:r w:rsidRPr="00593380">
        <w:rPr>
          <w:rStyle w:val="fontstyle01"/>
          <w:sz w:val="22"/>
          <w:szCs w:val="22"/>
        </w:rPr>
        <w:t xml:space="preserve">The FPTB was established in July 1979 through </w:t>
      </w:r>
      <w:r w:rsidR="00B86E0A" w:rsidRPr="00593380">
        <w:rPr>
          <w:rStyle w:val="fontstyle01"/>
          <w:sz w:val="22"/>
          <w:szCs w:val="22"/>
        </w:rPr>
        <w:t>Decree</w:t>
      </w:r>
      <w:r w:rsidRPr="00593380">
        <w:rPr>
          <w:rStyle w:val="fontstyle01"/>
          <w:sz w:val="22"/>
          <w:szCs w:val="22"/>
        </w:rPr>
        <w:t xml:space="preserve"> 33 (Act 33) of the Federal Republic of Nigeria with a total land size of about 750 hectares.  It offers National </w:t>
      </w:r>
      <w:r w:rsidR="00B86E0A" w:rsidRPr="00593380">
        <w:rPr>
          <w:rStyle w:val="fontstyle01"/>
          <w:sz w:val="22"/>
          <w:szCs w:val="22"/>
        </w:rPr>
        <w:t>Diplomas</w:t>
      </w:r>
      <w:r w:rsidRPr="00593380">
        <w:rPr>
          <w:rStyle w:val="fontstyle01"/>
          <w:sz w:val="22"/>
          <w:szCs w:val="22"/>
        </w:rPr>
        <w:t xml:space="preserve">, Higher National Diploma Postgraduate studies, and undergraduate studies in affiliation with other </w:t>
      </w:r>
      <w:r w:rsidR="000C0290">
        <w:rPr>
          <w:rStyle w:val="fontstyle01"/>
          <w:sz w:val="22"/>
          <w:szCs w:val="22"/>
        </w:rPr>
        <w:t>tertiary institutions</w:t>
      </w:r>
      <w:r w:rsidRPr="00593380">
        <w:rPr>
          <w:rStyle w:val="fontstyle01"/>
          <w:sz w:val="22"/>
          <w:szCs w:val="22"/>
        </w:rPr>
        <w:t>.</w:t>
      </w:r>
    </w:p>
    <w:p w14:paraId="44532B39" w14:textId="03D45537" w:rsidR="00087AD4" w:rsidRPr="00593380" w:rsidRDefault="00087AD4" w:rsidP="00593380">
      <w:pPr>
        <w:spacing w:after="0" w:line="360" w:lineRule="auto"/>
        <w:jc w:val="both"/>
        <w:rPr>
          <w:rFonts w:ascii="Times New Roman" w:hAnsi="Times New Roman" w:cs="Times New Roman"/>
          <w:color w:val="000000"/>
          <w:shd w:val="clear" w:color="auto" w:fill="FFFFFF"/>
        </w:rPr>
      </w:pPr>
      <w:r w:rsidRPr="00593380">
        <w:rPr>
          <w:rFonts w:ascii="Times New Roman" w:hAnsi="Times New Roman" w:cs="Times New Roman"/>
          <w:color w:val="000000"/>
          <w:shd w:val="clear" w:color="auto" w:fill="FFFFFF"/>
        </w:rPr>
        <w:t>The other study location is Abubakar Tatari Ali Polytechnic, Bauchi (ATAP), a state-owned tertiary institution in </w:t>
      </w:r>
      <w:hyperlink r:id="rId9" w:tooltip="Bauchi State" w:history="1">
        <w:r w:rsidRPr="00593380">
          <w:rPr>
            <w:rStyle w:val="Hyperlink"/>
            <w:rFonts w:ascii="Times New Roman" w:hAnsi="Times New Roman" w:cs="Times New Roman"/>
            <w:color w:val="000000"/>
            <w:u w:val="none"/>
            <w:shd w:val="clear" w:color="auto" w:fill="FFFFFF"/>
          </w:rPr>
          <w:t>Bauchi State</w:t>
        </w:r>
      </w:hyperlink>
      <w:r w:rsidRPr="00593380">
        <w:rPr>
          <w:rFonts w:ascii="Times New Roman" w:hAnsi="Times New Roman" w:cs="Times New Roman"/>
          <w:color w:val="000000"/>
          <w:shd w:val="clear" w:color="auto" w:fill="FFFFFF"/>
        </w:rPr>
        <w:t>, Nigeria. It was established by Edict No. 1 of 1988. The institution off</w:t>
      </w:r>
      <w:r w:rsidRPr="00593380">
        <w:rPr>
          <w:rFonts w:ascii="Times New Roman" w:hAnsi="Times New Roman" w:cs="Times New Roman"/>
        </w:rPr>
        <w:t>ers</w:t>
      </w:r>
      <w:r w:rsidRPr="00593380">
        <w:rPr>
          <w:rFonts w:ascii="Times New Roman" w:hAnsi="Times New Roman" w:cs="Times New Roman"/>
          <w:color w:val="000000"/>
          <w:shd w:val="clear" w:color="auto" w:fill="FFFFFF"/>
        </w:rPr>
        <w:t xml:space="preserve"> National Diploma, </w:t>
      </w:r>
      <w:r w:rsidR="00B86E0A" w:rsidRPr="00593380">
        <w:rPr>
          <w:rFonts w:ascii="Times New Roman" w:hAnsi="Times New Roman" w:cs="Times New Roman"/>
          <w:color w:val="000000"/>
          <w:shd w:val="clear" w:color="auto" w:fill="FFFFFF"/>
        </w:rPr>
        <w:t xml:space="preserve">and </w:t>
      </w:r>
      <w:hyperlink r:id="rId10" w:tooltip="Higher National Diploma" w:history="1">
        <w:r w:rsidRPr="00593380">
          <w:rPr>
            <w:rStyle w:val="Hyperlink"/>
            <w:rFonts w:ascii="Times New Roman" w:hAnsi="Times New Roman" w:cs="Times New Roman"/>
            <w:color w:val="000000"/>
            <w:u w:val="none"/>
            <w:shd w:val="clear" w:color="auto" w:fill="FFFFFF"/>
          </w:rPr>
          <w:t>Higher National Diploma</w:t>
        </w:r>
      </w:hyperlink>
      <w:r w:rsidRPr="00593380">
        <w:rPr>
          <w:rFonts w:ascii="Times New Roman" w:hAnsi="Times New Roman" w:cs="Times New Roman"/>
          <w:color w:val="000000"/>
          <w:shd w:val="clear" w:color="auto" w:fill="FFFFFF"/>
        </w:rPr>
        <w:t> courses at </w:t>
      </w:r>
      <w:hyperlink r:id="rId11" w:tooltip="Undergraduate" w:history="1">
        <w:r w:rsidRPr="00593380">
          <w:rPr>
            <w:rStyle w:val="Hyperlink"/>
            <w:rFonts w:ascii="Times New Roman" w:hAnsi="Times New Roman" w:cs="Times New Roman"/>
            <w:color w:val="000000"/>
            <w:u w:val="none"/>
            <w:shd w:val="clear" w:color="auto" w:fill="FFFFFF"/>
          </w:rPr>
          <w:t>undergraduate</w:t>
        </w:r>
      </w:hyperlink>
      <w:r w:rsidRPr="00593380">
        <w:rPr>
          <w:rFonts w:ascii="Times New Roman" w:hAnsi="Times New Roman" w:cs="Times New Roman"/>
          <w:color w:val="000000"/>
          <w:shd w:val="clear" w:color="auto" w:fill="FFFFFF"/>
        </w:rPr>
        <w:t xml:space="preserve"> levels, and degree programs in affiliation with other </w:t>
      </w:r>
      <w:r w:rsidR="000C0290">
        <w:rPr>
          <w:rFonts w:ascii="Times New Roman" w:hAnsi="Times New Roman" w:cs="Times New Roman"/>
          <w:color w:val="000000"/>
          <w:shd w:val="clear" w:color="auto" w:fill="FFFFFF"/>
        </w:rPr>
        <w:t>tertiary institutions</w:t>
      </w:r>
      <w:r w:rsidRPr="00593380">
        <w:rPr>
          <w:rFonts w:ascii="Times New Roman" w:hAnsi="Times New Roman" w:cs="Times New Roman"/>
          <w:color w:val="000000"/>
          <w:shd w:val="clear" w:color="auto" w:fill="FFFFFF"/>
        </w:rPr>
        <w:t>.</w:t>
      </w:r>
    </w:p>
    <w:p w14:paraId="45ADF22A" w14:textId="6AD2185E" w:rsidR="00087AD4" w:rsidRPr="00593380" w:rsidRDefault="00087AD4" w:rsidP="00593380">
      <w:pPr>
        <w:pStyle w:val="Heading2"/>
        <w:spacing w:before="0" w:line="360" w:lineRule="auto"/>
        <w:rPr>
          <w:rFonts w:ascii="Times New Roman" w:hAnsi="Times New Roman" w:cs="Times New Roman"/>
          <w:b/>
          <w:bCs/>
          <w:color w:val="auto"/>
          <w:sz w:val="22"/>
          <w:szCs w:val="22"/>
          <w:shd w:val="clear" w:color="auto" w:fill="FFFFFF"/>
        </w:rPr>
      </w:pPr>
      <w:bookmarkStart w:id="53" w:name="_Toc169270825"/>
      <w:r w:rsidRPr="00593380">
        <w:rPr>
          <w:rFonts w:ascii="Times New Roman" w:hAnsi="Times New Roman" w:cs="Times New Roman"/>
          <w:b/>
          <w:bCs/>
          <w:color w:val="auto"/>
          <w:sz w:val="22"/>
          <w:szCs w:val="22"/>
          <w:shd w:val="clear" w:color="auto" w:fill="FFFFFF"/>
        </w:rPr>
        <w:t>3.</w:t>
      </w:r>
      <w:r w:rsidR="009D53B2">
        <w:rPr>
          <w:rFonts w:ascii="Times New Roman" w:hAnsi="Times New Roman" w:cs="Times New Roman"/>
          <w:b/>
          <w:bCs/>
          <w:color w:val="auto"/>
          <w:sz w:val="22"/>
          <w:szCs w:val="22"/>
          <w:shd w:val="clear" w:color="auto" w:fill="FFFFFF"/>
        </w:rPr>
        <w:t>2</w:t>
      </w:r>
      <w:r w:rsidRPr="00593380">
        <w:rPr>
          <w:rFonts w:ascii="Times New Roman" w:hAnsi="Times New Roman" w:cs="Times New Roman"/>
          <w:b/>
          <w:bCs/>
          <w:color w:val="auto"/>
          <w:sz w:val="22"/>
          <w:szCs w:val="22"/>
          <w:shd w:val="clear" w:color="auto" w:fill="FFFFFF"/>
        </w:rPr>
        <w:t xml:space="preserve"> Population</w:t>
      </w:r>
      <w:bookmarkEnd w:id="53"/>
    </w:p>
    <w:p w14:paraId="0A7087D3" w14:textId="17BB4069" w:rsidR="00A3744D" w:rsidRPr="00593380" w:rsidRDefault="00087AD4" w:rsidP="00593380">
      <w:pPr>
        <w:spacing w:after="0" w:line="360" w:lineRule="auto"/>
        <w:jc w:val="both"/>
        <w:rPr>
          <w:rFonts w:ascii="Times New Roman" w:hAnsi="Times New Roman" w:cs="Times New Roman"/>
          <w:color w:val="000000"/>
          <w:shd w:val="clear" w:color="auto" w:fill="FFFFFF"/>
        </w:rPr>
      </w:pPr>
      <w:r w:rsidRPr="00593380">
        <w:rPr>
          <w:rFonts w:ascii="Times New Roman" w:hAnsi="Times New Roman" w:cs="Times New Roman"/>
          <w:color w:val="000000"/>
          <w:shd w:val="clear" w:color="auto" w:fill="FFFFFF"/>
        </w:rPr>
        <w:t>The population comprises all the students from both FPTB and ATAP Bauchi cutting across these schools; Science, Environmental, Engineering, Agricultural technology, General Studies</w:t>
      </w:r>
      <w:r w:rsidR="00B86E0A" w:rsidRPr="00593380">
        <w:rPr>
          <w:rFonts w:ascii="Times New Roman" w:hAnsi="Times New Roman" w:cs="Times New Roman"/>
          <w:color w:val="000000"/>
          <w:shd w:val="clear" w:color="auto" w:fill="FFFFFF"/>
        </w:rPr>
        <w:t>,</w:t>
      </w:r>
      <w:r w:rsidRPr="00593380">
        <w:rPr>
          <w:rFonts w:ascii="Times New Roman" w:hAnsi="Times New Roman" w:cs="Times New Roman"/>
          <w:color w:val="000000"/>
          <w:shd w:val="clear" w:color="auto" w:fill="FFFFFF"/>
        </w:rPr>
        <w:t xml:space="preserve"> and Business Studies. This population included National Diploma (ND), Higher National Diploma (HND), Degree and Postgraduate Diploma </w:t>
      </w:r>
      <w:r w:rsidR="00B86E0A" w:rsidRPr="00593380">
        <w:rPr>
          <w:rFonts w:ascii="Times New Roman" w:hAnsi="Times New Roman" w:cs="Times New Roman"/>
          <w:color w:val="000000"/>
          <w:shd w:val="clear" w:color="auto" w:fill="FFFFFF"/>
        </w:rPr>
        <w:t>programs</w:t>
      </w:r>
      <w:r w:rsidRPr="00593380">
        <w:rPr>
          <w:rFonts w:ascii="Times New Roman" w:hAnsi="Times New Roman" w:cs="Times New Roman"/>
          <w:color w:val="000000"/>
          <w:shd w:val="clear" w:color="auto" w:fill="FFFFFF"/>
        </w:rPr>
        <w:t>, as well as staff of this institution. This is looking at over 10,000 for both staff and students.</w:t>
      </w:r>
    </w:p>
    <w:p w14:paraId="2493FE4B" w14:textId="5BEAC421" w:rsidR="00087AD4" w:rsidRPr="00593380" w:rsidRDefault="00087AD4" w:rsidP="00593380">
      <w:pPr>
        <w:pStyle w:val="Heading2"/>
        <w:spacing w:before="0" w:line="360" w:lineRule="auto"/>
        <w:jc w:val="both"/>
        <w:rPr>
          <w:rFonts w:ascii="Times New Roman" w:hAnsi="Times New Roman" w:cs="Times New Roman"/>
          <w:b/>
          <w:bCs/>
          <w:color w:val="auto"/>
          <w:sz w:val="22"/>
          <w:szCs w:val="22"/>
          <w:shd w:val="clear" w:color="auto" w:fill="FFFFFF"/>
        </w:rPr>
      </w:pPr>
      <w:bookmarkStart w:id="54" w:name="_Toc169270826"/>
      <w:r w:rsidRPr="00593380">
        <w:rPr>
          <w:rFonts w:ascii="Times New Roman" w:hAnsi="Times New Roman" w:cs="Times New Roman"/>
          <w:b/>
          <w:bCs/>
          <w:color w:val="auto"/>
          <w:sz w:val="22"/>
          <w:szCs w:val="22"/>
          <w:shd w:val="clear" w:color="auto" w:fill="FFFFFF"/>
        </w:rPr>
        <w:t>3.</w:t>
      </w:r>
      <w:r w:rsidR="009D53B2">
        <w:rPr>
          <w:rFonts w:ascii="Times New Roman" w:hAnsi="Times New Roman" w:cs="Times New Roman"/>
          <w:b/>
          <w:bCs/>
          <w:color w:val="auto"/>
          <w:sz w:val="22"/>
          <w:szCs w:val="22"/>
          <w:shd w:val="clear" w:color="auto" w:fill="FFFFFF"/>
        </w:rPr>
        <w:t>3</w:t>
      </w:r>
      <w:r w:rsidRPr="00593380">
        <w:rPr>
          <w:rFonts w:ascii="Times New Roman" w:hAnsi="Times New Roman" w:cs="Times New Roman"/>
          <w:b/>
          <w:bCs/>
          <w:color w:val="auto"/>
          <w:sz w:val="22"/>
          <w:szCs w:val="22"/>
          <w:shd w:val="clear" w:color="auto" w:fill="FFFFFF"/>
        </w:rPr>
        <w:t xml:space="preserve"> Sample and Sampling Techniques:</w:t>
      </w:r>
      <w:bookmarkEnd w:id="54"/>
    </w:p>
    <w:p w14:paraId="5C8F5A63" w14:textId="05A2C235" w:rsidR="00087AD4" w:rsidRPr="00593380" w:rsidRDefault="00087AD4" w:rsidP="00593380">
      <w:pPr>
        <w:spacing w:after="0" w:line="360" w:lineRule="auto"/>
        <w:jc w:val="both"/>
        <w:rPr>
          <w:rFonts w:ascii="Times New Roman" w:hAnsi="Times New Roman" w:cs="Times New Roman"/>
          <w:color w:val="000000"/>
          <w:shd w:val="clear" w:color="auto" w:fill="FFFFFF"/>
        </w:rPr>
      </w:pPr>
      <w:r w:rsidRPr="00593380">
        <w:rPr>
          <w:rFonts w:ascii="Times New Roman" w:hAnsi="Times New Roman" w:cs="Times New Roman"/>
          <w:color w:val="000000"/>
          <w:shd w:val="clear" w:color="auto" w:fill="FFFFFF"/>
        </w:rPr>
        <w:t>The sample comprises of 10% of the entire population which is 1000 respondents (400 staff and 600 students) which will be selected using simple random sampling from the different departments in both institutions.</w:t>
      </w:r>
    </w:p>
    <w:p w14:paraId="028B6B53" w14:textId="4EF857BF" w:rsidR="00087AD4" w:rsidRPr="00593380" w:rsidRDefault="00087AD4" w:rsidP="00593380">
      <w:pPr>
        <w:pStyle w:val="Heading2"/>
        <w:spacing w:before="0" w:line="360" w:lineRule="auto"/>
        <w:jc w:val="both"/>
        <w:rPr>
          <w:rFonts w:ascii="Times New Roman" w:hAnsi="Times New Roman" w:cs="Times New Roman"/>
          <w:b/>
          <w:bCs/>
          <w:color w:val="auto"/>
          <w:sz w:val="22"/>
          <w:szCs w:val="22"/>
          <w:shd w:val="clear" w:color="auto" w:fill="FFFFFF"/>
        </w:rPr>
      </w:pPr>
      <w:bookmarkStart w:id="55" w:name="_Toc169270827"/>
      <w:r w:rsidRPr="00593380">
        <w:rPr>
          <w:rFonts w:ascii="Times New Roman" w:hAnsi="Times New Roman" w:cs="Times New Roman"/>
          <w:b/>
          <w:bCs/>
          <w:color w:val="auto"/>
          <w:sz w:val="22"/>
          <w:szCs w:val="22"/>
          <w:shd w:val="clear" w:color="auto" w:fill="FFFFFF"/>
        </w:rPr>
        <w:t>3.</w:t>
      </w:r>
      <w:r w:rsidR="009D53B2">
        <w:rPr>
          <w:rFonts w:ascii="Times New Roman" w:hAnsi="Times New Roman" w:cs="Times New Roman"/>
          <w:b/>
          <w:bCs/>
          <w:color w:val="auto"/>
          <w:sz w:val="22"/>
          <w:szCs w:val="22"/>
          <w:shd w:val="clear" w:color="auto" w:fill="FFFFFF"/>
        </w:rPr>
        <w:t>4</w:t>
      </w:r>
      <w:r w:rsidRPr="00593380">
        <w:rPr>
          <w:rFonts w:ascii="Times New Roman" w:hAnsi="Times New Roman" w:cs="Times New Roman"/>
          <w:b/>
          <w:bCs/>
          <w:color w:val="auto"/>
          <w:sz w:val="22"/>
          <w:szCs w:val="22"/>
          <w:shd w:val="clear" w:color="auto" w:fill="FFFFFF"/>
        </w:rPr>
        <w:t xml:space="preserve"> Instrument</w:t>
      </w:r>
      <w:r w:rsidR="00C542E8" w:rsidRPr="00593380">
        <w:rPr>
          <w:rFonts w:ascii="Times New Roman" w:hAnsi="Times New Roman" w:cs="Times New Roman"/>
          <w:b/>
          <w:bCs/>
          <w:color w:val="auto"/>
          <w:sz w:val="22"/>
          <w:szCs w:val="22"/>
          <w:shd w:val="clear" w:color="auto" w:fill="FFFFFF"/>
        </w:rPr>
        <w:t xml:space="preserve"> of Data Collection</w:t>
      </w:r>
      <w:bookmarkEnd w:id="55"/>
    </w:p>
    <w:p w14:paraId="39A0FD16" w14:textId="2A210D3A" w:rsidR="00087AD4" w:rsidRPr="00593380" w:rsidRDefault="00B86E0A" w:rsidP="00593380">
      <w:pPr>
        <w:spacing w:after="0" w:line="360" w:lineRule="auto"/>
        <w:jc w:val="both"/>
        <w:rPr>
          <w:rFonts w:ascii="Times New Roman" w:hAnsi="Times New Roman" w:cs="Times New Roman"/>
          <w:color w:val="000000"/>
          <w:shd w:val="clear" w:color="auto" w:fill="FFFFFF"/>
        </w:rPr>
      </w:pPr>
      <w:r w:rsidRPr="00593380">
        <w:rPr>
          <w:rFonts w:ascii="Times New Roman" w:hAnsi="Times New Roman" w:cs="Times New Roman"/>
          <w:color w:val="000000"/>
          <w:shd w:val="clear" w:color="auto" w:fill="FFFFFF"/>
        </w:rPr>
        <w:t>The instrument</w:t>
      </w:r>
      <w:r w:rsidR="00087AD4" w:rsidRPr="00593380">
        <w:rPr>
          <w:rFonts w:ascii="Times New Roman" w:hAnsi="Times New Roman" w:cs="Times New Roman"/>
          <w:color w:val="000000"/>
          <w:shd w:val="clear" w:color="auto" w:fill="FFFFFF"/>
        </w:rPr>
        <w:t xml:space="preserve"> used for data collection </w:t>
      </w:r>
      <w:r w:rsidR="00A3744D" w:rsidRPr="00593380">
        <w:rPr>
          <w:rFonts w:ascii="Times New Roman" w:hAnsi="Times New Roman" w:cs="Times New Roman"/>
          <w:color w:val="000000"/>
          <w:shd w:val="clear" w:color="auto" w:fill="FFFFFF"/>
        </w:rPr>
        <w:t>is</w:t>
      </w:r>
      <w:r w:rsidR="00087AD4" w:rsidRPr="00593380">
        <w:rPr>
          <w:rFonts w:ascii="Times New Roman" w:hAnsi="Times New Roman" w:cs="Times New Roman"/>
          <w:color w:val="000000"/>
          <w:shd w:val="clear" w:color="auto" w:fill="FFFFFF"/>
        </w:rPr>
        <w:t xml:space="preserve"> a structured questionnaire hav</w:t>
      </w:r>
      <w:r w:rsidR="00A3744D" w:rsidRPr="00593380">
        <w:rPr>
          <w:rFonts w:ascii="Times New Roman" w:hAnsi="Times New Roman" w:cs="Times New Roman"/>
          <w:color w:val="000000"/>
          <w:shd w:val="clear" w:color="auto" w:fill="FFFFFF"/>
        </w:rPr>
        <w:t>ing</w:t>
      </w:r>
      <w:r w:rsidR="00087AD4" w:rsidRPr="00593380">
        <w:rPr>
          <w:rFonts w:ascii="Times New Roman" w:hAnsi="Times New Roman" w:cs="Times New Roman"/>
          <w:color w:val="000000"/>
          <w:shd w:val="clear" w:color="auto" w:fill="FFFFFF"/>
        </w:rPr>
        <w:t xml:space="preserve"> two sections namely A and B. Section A </w:t>
      </w:r>
      <w:r w:rsidRPr="00593380">
        <w:rPr>
          <w:rFonts w:ascii="Times New Roman" w:hAnsi="Times New Roman" w:cs="Times New Roman"/>
          <w:color w:val="000000"/>
          <w:shd w:val="clear" w:color="auto" w:fill="FFFFFF"/>
        </w:rPr>
        <w:t>contains</w:t>
      </w:r>
      <w:r w:rsidR="00087AD4" w:rsidRPr="00593380">
        <w:rPr>
          <w:rFonts w:ascii="Times New Roman" w:hAnsi="Times New Roman" w:cs="Times New Roman"/>
          <w:color w:val="000000"/>
          <w:shd w:val="clear" w:color="auto" w:fill="FFFFFF"/>
        </w:rPr>
        <w:t xml:space="preserve"> questions that elicit information on the personal background of the respondents, which include: name of school, sex, level of study, program</w:t>
      </w:r>
      <w:r w:rsidRPr="00593380">
        <w:rPr>
          <w:rFonts w:ascii="Times New Roman" w:hAnsi="Times New Roman" w:cs="Times New Roman"/>
          <w:color w:val="000000"/>
          <w:shd w:val="clear" w:color="auto" w:fill="FFFFFF"/>
        </w:rPr>
        <w:t>,</w:t>
      </w:r>
      <w:r w:rsidR="00087AD4" w:rsidRPr="00593380">
        <w:rPr>
          <w:rFonts w:ascii="Times New Roman" w:hAnsi="Times New Roman" w:cs="Times New Roman"/>
          <w:color w:val="000000"/>
          <w:shd w:val="clear" w:color="auto" w:fill="FFFFFF"/>
        </w:rPr>
        <w:t xml:space="preserve"> and department. Section B </w:t>
      </w:r>
      <w:r w:rsidRPr="00593380">
        <w:rPr>
          <w:rFonts w:ascii="Times New Roman" w:hAnsi="Times New Roman" w:cs="Times New Roman"/>
          <w:color w:val="000000"/>
          <w:shd w:val="clear" w:color="auto" w:fill="FFFFFF"/>
        </w:rPr>
        <w:t>contains</w:t>
      </w:r>
      <w:r w:rsidR="00087AD4" w:rsidRPr="00593380">
        <w:rPr>
          <w:rFonts w:ascii="Times New Roman" w:hAnsi="Times New Roman" w:cs="Times New Roman"/>
          <w:color w:val="000000"/>
          <w:shd w:val="clear" w:color="auto" w:fill="FFFFFF"/>
        </w:rPr>
        <w:t xml:space="preserve"> items, which will elicit responses on respondent’s perception and their opinion on the different strategies used by both institutions to generate revenue for sustainable development.</w:t>
      </w:r>
    </w:p>
    <w:p w14:paraId="7019F5BB" w14:textId="51053E84" w:rsidR="00087AD4" w:rsidRPr="00593380" w:rsidRDefault="00087AD4" w:rsidP="00593380">
      <w:pPr>
        <w:spacing w:after="0" w:line="360" w:lineRule="auto"/>
        <w:jc w:val="both"/>
        <w:rPr>
          <w:rFonts w:ascii="Times New Roman" w:hAnsi="Times New Roman" w:cs="Times New Roman"/>
          <w:color w:val="000000"/>
          <w:shd w:val="clear" w:color="auto" w:fill="FFFFFF"/>
        </w:rPr>
      </w:pPr>
      <w:r w:rsidRPr="00593380">
        <w:rPr>
          <w:rFonts w:ascii="Times New Roman" w:hAnsi="Times New Roman" w:cs="Times New Roman"/>
          <w:color w:val="000000"/>
          <w:shd w:val="clear" w:color="auto" w:fill="FFFFFF"/>
        </w:rPr>
        <w:t xml:space="preserve">Following each statement </w:t>
      </w:r>
      <w:r w:rsidR="00A3744D" w:rsidRPr="00593380">
        <w:rPr>
          <w:rFonts w:ascii="Times New Roman" w:hAnsi="Times New Roman" w:cs="Times New Roman"/>
          <w:color w:val="000000"/>
          <w:shd w:val="clear" w:color="auto" w:fill="FFFFFF"/>
        </w:rPr>
        <w:t>is</w:t>
      </w:r>
      <w:r w:rsidRPr="00593380">
        <w:rPr>
          <w:rFonts w:ascii="Times New Roman" w:hAnsi="Times New Roman" w:cs="Times New Roman"/>
          <w:color w:val="000000"/>
          <w:shd w:val="clear" w:color="auto" w:fill="FFFFFF"/>
        </w:rPr>
        <w:t xml:space="preserve"> a four-point Likert scale in which the respondents w</w:t>
      </w:r>
      <w:r w:rsidR="00A3744D" w:rsidRPr="00593380">
        <w:rPr>
          <w:rFonts w:ascii="Times New Roman" w:hAnsi="Times New Roman" w:cs="Times New Roman"/>
          <w:color w:val="000000"/>
          <w:shd w:val="clear" w:color="auto" w:fill="FFFFFF"/>
        </w:rPr>
        <w:t>ere</w:t>
      </w:r>
      <w:r w:rsidRPr="00593380">
        <w:rPr>
          <w:rFonts w:ascii="Times New Roman" w:hAnsi="Times New Roman" w:cs="Times New Roman"/>
          <w:color w:val="000000"/>
          <w:shd w:val="clear" w:color="auto" w:fill="FFFFFF"/>
        </w:rPr>
        <w:t xml:space="preserve"> required to indicate their opinion such as strongly agree</w:t>
      </w:r>
      <w:r w:rsidR="003A739F" w:rsidRPr="00593380">
        <w:rPr>
          <w:rFonts w:ascii="Times New Roman" w:hAnsi="Times New Roman" w:cs="Times New Roman"/>
          <w:color w:val="000000"/>
          <w:shd w:val="clear" w:color="auto" w:fill="FFFFFF"/>
        </w:rPr>
        <w:t xml:space="preserve"> (SA)</w:t>
      </w:r>
      <w:r w:rsidRPr="00593380">
        <w:rPr>
          <w:rFonts w:ascii="Times New Roman" w:hAnsi="Times New Roman" w:cs="Times New Roman"/>
          <w:color w:val="000000"/>
          <w:shd w:val="clear" w:color="auto" w:fill="FFFFFF"/>
        </w:rPr>
        <w:t>, agree</w:t>
      </w:r>
      <w:r w:rsidR="003A739F" w:rsidRPr="00593380">
        <w:rPr>
          <w:rFonts w:ascii="Times New Roman" w:hAnsi="Times New Roman" w:cs="Times New Roman"/>
          <w:color w:val="000000"/>
          <w:shd w:val="clear" w:color="auto" w:fill="FFFFFF"/>
        </w:rPr>
        <w:t xml:space="preserve"> (A)</w:t>
      </w:r>
      <w:r w:rsidRPr="00593380">
        <w:rPr>
          <w:rFonts w:ascii="Times New Roman" w:hAnsi="Times New Roman" w:cs="Times New Roman"/>
          <w:color w:val="000000"/>
          <w:shd w:val="clear" w:color="auto" w:fill="FFFFFF"/>
        </w:rPr>
        <w:t>, disagree</w:t>
      </w:r>
      <w:r w:rsidR="003A739F" w:rsidRPr="00593380">
        <w:rPr>
          <w:rFonts w:ascii="Times New Roman" w:hAnsi="Times New Roman" w:cs="Times New Roman"/>
          <w:color w:val="000000"/>
          <w:shd w:val="clear" w:color="auto" w:fill="FFFFFF"/>
        </w:rPr>
        <w:t xml:space="preserve"> (D)</w:t>
      </w:r>
      <w:r w:rsidR="00B86E0A" w:rsidRPr="00593380">
        <w:rPr>
          <w:rFonts w:ascii="Times New Roman" w:hAnsi="Times New Roman" w:cs="Times New Roman"/>
          <w:color w:val="000000"/>
          <w:shd w:val="clear" w:color="auto" w:fill="FFFFFF"/>
        </w:rPr>
        <w:t>,</w:t>
      </w:r>
      <w:r w:rsidRPr="00593380">
        <w:rPr>
          <w:rFonts w:ascii="Times New Roman" w:hAnsi="Times New Roman" w:cs="Times New Roman"/>
          <w:color w:val="000000"/>
          <w:shd w:val="clear" w:color="auto" w:fill="FFFFFF"/>
        </w:rPr>
        <w:t xml:space="preserve"> and strongly disagree</w:t>
      </w:r>
      <w:r w:rsidR="003A739F" w:rsidRPr="00593380">
        <w:rPr>
          <w:rFonts w:ascii="Times New Roman" w:hAnsi="Times New Roman" w:cs="Times New Roman"/>
          <w:color w:val="000000"/>
          <w:shd w:val="clear" w:color="auto" w:fill="FFFFFF"/>
        </w:rPr>
        <w:t xml:space="preserve"> (SD)</w:t>
      </w:r>
      <w:r w:rsidRPr="00593380">
        <w:rPr>
          <w:rFonts w:ascii="Times New Roman" w:hAnsi="Times New Roman" w:cs="Times New Roman"/>
          <w:color w:val="000000"/>
          <w:shd w:val="clear" w:color="auto" w:fill="FFFFFF"/>
        </w:rPr>
        <w:t>.</w:t>
      </w:r>
    </w:p>
    <w:p w14:paraId="09D63279" w14:textId="657E8DC8" w:rsidR="00A3744D" w:rsidRPr="00593380" w:rsidRDefault="00A3744D" w:rsidP="00593380">
      <w:pPr>
        <w:pStyle w:val="Heading2"/>
        <w:spacing w:before="0" w:line="360" w:lineRule="auto"/>
        <w:jc w:val="both"/>
        <w:rPr>
          <w:rFonts w:ascii="Times New Roman" w:eastAsia="TimesNewRoman" w:hAnsi="Times New Roman" w:cs="Times New Roman"/>
          <w:b/>
          <w:bCs/>
          <w:color w:val="auto"/>
          <w:sz w:val="22"/>
          <w:szCs w:val="22"/>
        </w:rPr>
      </w:pPr>
      <w:bookmarkStart w:id="56" w:name="_Toc169270828"/>
      <w:r w:rsidRPr="00593380">
        <w:rPr>
          <w:rFonts w:ascii="Times New Roman" w:hAnsi="Times New Roman" w:cs="Times New Roman"/>
          <w:b/>
          <w:bCs/>
          <w:color w:val="auto"/>
          <w:sz w:val="22"/>
          <w:szCs w:val="22"/>
        </w:rPr>
        <w:lastRenderedPageBreak/>
        <w:t>3.</w:t>
      </w:r>
      <w:r w:rsidR="009D53B2">
        <w:rPr>
          <w:rFonts w:ascii="Times New Roman" w:hAnsi="Times New Roman" w:cs="Times New Roman"/>
          <w:b/>
          <w:bCs/>
          <w:color w:val="auto"/>
          <w:sz w:val="22"/>
          <w:szCs w:val="22"/>
        </w:rPr>
        <w:t>5</w:t>
      </w:r>
      <w:r w:rsidRPr="00593380">
        <w:rPr>
          <w:rFonts w:ascii="Times New Roman" w:hAnsi="Times New Roman" w:cs="Times New Roman"/>
          <w:b/>
          <w:bCs/>
          <w:color w:val="auto"/>
          <w:sz w:val="22"/>
          <w:szCs w:val="22"/>
        </w:rPr>
        <w:t xml:space="preserve"> Validation of the Instrument</w:t>
      </w:r>
      <w:bookmarkEnd w:id="56"/>
      <w:r w:rsidRPr="00593380">
        <w:rPr>
          <w:rFonts w:ascii="Times New Roman" w:hAnsi="Times New Roman" w:cs="Times New Roman"/>
          <w:b/>
          <w:bCs/>
          <w:color w:val="auto"/>
          <w:sz w:val="22"/>
          <w:szCs w:val="22"/>
        </w:rPr>
        <w:t xml:space="preserve"> </w:t>
      </w:r>
    </w:p>
    <w:p w14:paraId="795B06DA" w14:textId="31B61E86" w:rsidR="00A3744D" w:rsidRPr="00593380" w:rsidRDefault="00A3744D" w:rsidP="00593380">
      <w:pPr>
        <w:spacing w:after="0" w:line="360" w:lineRule="auto"/>
        <w:jc w:val="both"/>
        <w:rPr>
          <w:rFonts w:ascii="Times New Roman" w:eastAsia="TimesNewRoman" w:hAnsi="Times New Roman" w:cs="Times New Roman"/>
          <w:b/>
        </w:rPr>
      </w:pPr>
      <w:r w:rsidRPr="00593380">
        <w:rPr>
          <w:rFonts w:ascii="Times New Roman" w:hAnsi="Times New Roman" w:cs="Times New Roman"/>
        </w:rPr>
        <w:t xml:space="preserve">Test for validity was done by face validity which is the researcher’s subjective assessment of the </w:t>
      </w:r>
      <w:r w:rsidR="00B86E0A" w:rsidRPr="00593380">
        <w:rPr>
          <w:rFonts w:ascii="Times New Roman" w:hAnsi="Times New Roman" w:cs="Times New Roman"/>
        </w:rPr>
        <w:t>instrument's</w:t>
      </w:r>
      <w:r w:rsidRPr="00593380">
        <w:rPr>
          <w:rFonts w:ascii="Times New Roman" w:hAnsi="Times New Roman" w:cs="Times New Roman"/>
        </w:rPr>
        <w:t xml:space="preserve"> appropriateness and sampling validity which is the degree to which the statements, questions</w:t>
      </w:r>
      <w:r w:rsidR="00B86E0A" w:rsidRPr="00593380">
        <w:rPr>
          <w:rFonts w:ascii="Times New Roman" w:hAnsi="Times New Roman" w:cs="Times New Roman"/>
        </w:rPr>
        <w:t>,</w:t>
      </w:r>
      <w:r w:rsidRPr="00593380">
        <w:rPr>
          <w:rFonts w:ascii="Times New Roman" w:hAnsi="Times New Roman" w:cs="Times New Roman"/>
        </w:rPr>
        <w:t xml:space="preserve"> or indicators constituting the instrument adequately </w:t>
      </w:r>
      <w:r w:rsidR="00B86E0A" w:rsidRPr="00593380">
        <w:rPr>
          <w:rFonts w:ascii="Times New Roman" w:hAnsi="Times New Roman" w:cs="Times New Roman"/>
        </w:rPr>
        <w:t>represent</w:t>
      </w:r>
      <w:r w:rsidRPr="00593380">
        <w:rPr>
          <w:rFonts w:ascii="Times New Roman" w:hAnsi="Times New Roman" w:cs="Times New Roman"/>
        </w:rPr>
        <w:t xml:space="preserve"> the qualities measured.</w:t>
      </w:r>
    </w:p>
    <w:p w14:paraId="3422C130" w14:textId="27C867DE" w:rsidR="00A3744D" w:rsidRPr="00593380" w:rsidRDefault="00A3744D" w:rsidP="00593380">
      <w:pPr>
        <w:pStyle w:val="Heading2"/>
        <w:spacing w:before="0" w:line="360" w:lineRule="auto"/>
        <w:jc w:val="both"/>
        <w:rPr>
          <w:rFonts w:ascii="Times New Roman" w:hAnsi="Times New Roman" w:cs="Times New Roman"/>
          <w:b/>
          <w:color w:val="auto"/>
          <w:sz w:val="22"/>
          <w:szCs w:val="22"/>
        </w:rPr>
      </w:pPr>
      <w:bookmarkStart w:id="57" w:name="_Toc169270829"/>
      <w:r w:rsidRPr="00593380">
        <w:rPr>
          <w:rFonts w:ascii="Times New Roman" w:hAnsi="Times New Roman" w:cs="Times New Roman"/>
          <w:b/>
          <w:color w:val="auto"/>
          <w:sz w:val="22"/>
          <w:szCs w:val="22"/>
        </w:rPr>
        <w:t>3.</w:t>
      </w:r>
      <w:r w:rsidR="009D53B2">
        <w:rPr>
          <w:rFonts w:ascii="Times New Roman" w:hAnsi="Times New Roman" w:cs="Times New Roman"/>
          <w:b/>
          <w:color w:val="auto"/>
          <w:sz w:val="22"/>
          <w:szCs w:val="22"/>
        </w:rPr>
        <w:t>6</w:t>
      </w:r>
      <w:r w:rsidRPr="00593380">
        <w:rPr>
          <w:rFonts w:ascii="Times New Roman" w:hAnsi="Times New Roman" w:cs="Times New Roman"/>
          <w:b/>
          <w:color w:val="auto"/>
          <w:sz w:val="22"/>
          <w:szCs w:val="22"/>
        </w:rPr>
        <w:t xml:space="preserve"> Reliability of the Instrument</w:t>
      </w:r>
      <w:bookmarkEnd w:id="57"/>
    </w:p>
    <w:p w14:paraId="345A1DA3" w14:textId="32BDCEC0" w:rsidR="00A3744D" w:rsidRPr="00593380" w:rsidRDefault="00A3744D" w:rsidP="00593380">
      <w:pPr>
        <w:spacing w:after="0" w:line="360" w:lineRule="auto"/>
        <w:jc w:val="both"/>
        <w:rPr>
          <w:rFonts w:ascii="Times New Roman" w:hAnsi="Times New Roman" w:cs="Times New Roman"/>
        </w:rPr>
      </w:pPr>
      <w:r w:rsidRPr="00593380">
        <w:rPr>
          <w:rFonts w:ascii="Times New Roman" w:hAnsi="Times New Roman" w:cs="Times New Roman"/>
        </w:rPr>
        <w:t>The reliability coefficient was calculated using the test-retest method to provide evidence that operationalizes the values of accuracy, dependability, stability, consistency</w:t>
      </w:r>
      <w:r w:rsidR="00B86E0A" w:rsidRPr="00593380">
        <w:rPr>
          <w:rFonts w:ascii="Times New Roman" w:hAnsi="Times New Roman" w:cs="Times New Roman"/>
        </w:rPr>
        <w:t>,</w:t>
      </w:r>
      <w:r w:rsidRPr="00593380">
        <w:rPr>
          <w:rFonts w:ascii="Times New Roman" w:hAnsi="Times New Roman" w:cs="Times New Roman"/>
        </w:rPr>
        <w:t xml:space="preserve"> and precision. The calculated reliability coefficient was 0.91; an indication that the errors were minimal.</w:t>
      </w:r>
    </w:p>
    <w:p w14:paraId="002FCFD5" w14:textId="5C3CB7A4" w:rsidR="00A3744D" w:rsidRPr="00593380" w:rsidRDefault="00A3744D" w:rsidP="00593380">
      <w:pPr>
        <w:pStyle w:val="Heading2"/>
        <w:spacing w:before="0" w:line="360" w:lineRule="auto"/>
        <w:jc w:val="both"/>
        <w:rPr>
          <w:rFonts w:ascii="Times New Roman" w:eastAsia="TimesNewRoman" w:hAnsi="Times New Roman" w:cs="Times New Roman"/>
          <w:b/>
          <w:bCs/>
          <w:color w:val="auto"/>
          <w:sz w:val="22"/>
          <w:szCs w:val="22"/>
        </w:rPr>
      </w:pPr>
      <w:bookmarkStart w:id="58" w:name="_Toc169270830"/>
      <w:r w:rsidRPr="00593380">
        <w:rPr>
          <w:rFonts w:ascii="Times New Roman" w:eastAsia="TimesNewRoman" w:hAnsi="Times New Roman" w:cs="Times New Roman"/>
          <w:b/>
          <w:bCs/>
          <w:color w:val="auto"/>
          <w:sz w:val="22"/>
          <w:szCs w:val="22"/>
        </w:rPr>
        <w:t>3.</w:t>
      </w:r>
      <w:r w:rsidR="009D53B2">
        <w:rPr>
          <w:rFonts w:ascii="Times New Roman" w:eastAsia="TimesNewRoman" w:hAnsi="Times New Roman" w:cs="Times New Roman"/>
          <w:b/>
          <w:bCs/>
          <w:color w:val="auto"/>
          <w:sz w:val="22"/>
          <w:szCs w:val="22"/>
        </w:rPr>
        <w:t>7</w:t>
      </w:r>
      <w:r w:rsidRPr="00593380">
        <w:rPr>
          <w:rFonts w:ascii="Times New Roman" w:eastAsia="TimesNewRoman" w:hAnsi="Times New Roman" w:cs="Times New Roman"/>
          <w:b/>
          <w:bCs/>
          <w:color w:val="auto"/>
          <w:sz w:val="22"/>
          <w:szCs w:val="22"/>
        </w:rPr>
        <w:t xml:space="preserve"> Method of Data </w:t>
      </w:r>
      <w:bookmarkEnd w:id="58"/>
      <w:r w:rsidR="00B86E0A" w:rsidRPr="00593380">
        <w:rPr>
          <w:rFonts w:ascii="Times New Roman" w:eastAsia="TimesNewRoman" w:hAnsi="Times New Roman" w:cs="Times New Roman"/>
          <w:b/>
          <w:bCs/>
          <w:color w:val="auto"/>
          <w:sz w:val="22"/>
          <w:szCs w:val="22"/>
        </w:rPr>
        <w:t>Collection</w:t>
      </w:r>
    </w:p>
    <w:p w14:paraId="4B182D44" w14:textId="51281A52" w:rsidR="00A3744D" w:rsidRPr="00593380" w:rsidRDefault="00A3744D" w:rsidP="009D53B2">
      <w:pPr>
        <w:pStyle w:val="ListParagraph"/>
        <w:spacing w:line="360" w:lineRule="auto"/>
        <w:ind w:left="0"/>
        <w:jc w:val="both"/>
        <w:rPr>
          <w:rFonts w:ascii="Times New Roman" w:hAnsi="Times New Roman" w:cs="Times New Roman"/>
        </w:rPr>
      </w:pPr>
      <w:r w:rsidRPr="00593380">
        <w:rPr>
          <w:rFonts w:ascii="Times New Roman" w:hAnsi="Times New Roman" w:cs="Times New Roman"/>
        </w:rPr>
        <w:t xml:space="preserve">The methodology applied in any research study includes deliberate and planned efforts; there </w:t>
      </w:r>
      <w:r w:rsidR="00B86E0A" w:rsidRPr="00593380">
        <w:rPr>
          <w:rFonts w:ascii="Times New Roman" w:hAnsi="Times New Roman" w:cs="Times New Roman"/>
        </w:rPr>
        <w:t>are</w:t>
      </w:r>
      <w:r w:rsidRPr="00593380">
        <w:rPr>
          <w:rFonts w:ascii="Times New Roman" w:hAnsi="Times New Roman" w:cs="Times New Roman"/>
        </w:rPr>
        <w:t xml:space="preserve"> however two sources from which data</w:t>
      </w:r>
      <w:r w:rsidR="003716C4" w:rsidRPr="00593380">
        <w:rPr>
          <w:rFonts w:ascii="Times New Roman" w:hAnsi="Times New Roman" w:cs="Times New Roman"/>
        </w:rPr>
        <w:t xml:space="preserve"> was </w:t>
      </w:r>
      <w:r w:rsidRPr="00593380">
        <w:rPr>
          <w:rFonts w:ascii="Times New Roman" w:hAnsi="Times New Roman" w:cs="Times New Roman"/>
        </w:rPr>
        <w:t>collected which include primary and secondary sources of data.</w:t>
      </w:r>
      <w:r w:rsidR="009D53B2">
        <w:rPr>
          <w:rFonts w:ascii="Times New Roman" w:hAnsi="Times New Roman" w:cs="Times New Roman"/>
        </w:rPr>
        <w:t xml:space="preserve"> </w:t>
      </w:r>
      <w:r w:rsidRPr="00593380">
        <w:rPr>
          <w:rFonts w:ascii="Times New Roman" w:hAnsi="Times New Roman" w:cs="Times New Roman"/>
        </w:rPr>
        <w:t xml:space="preserve">The researcher made use of the questionnaire method for </w:t>
      </w:r>
      <w:r w:rsidR="00B86E0A" w:rsidRPr="00593380">
        <w:rPr>
          <w:rFonts w:ascii="Times New Roman" w:hAnsi="Times New Roman" w:cs="Times New Roman"/>
        </w:rPr>
        <w:t xml:space="preserve">the </w:t>
      </w:r>
      <w:r w:rsidRPr="00593380">
        <w:rPr>
          <w:rFonts w:ascii="Times New Roman" w:hAnsi="Times New Roman" w:cs="Times New Roman"/>
        </w:rPr>
        <w:t>collection of information for the study.</w:t>
      </w:r>
    </w:p>
    <w:p w14:paraId="2EF4F561" w14:textId="6B7CCCBF" w:rsidR="00087AD4" w:rsidRPr="00593380" w:rsidRDefault="00087AD4" w:rsidP="00593380">
      <w:pPr>
        <w:pStyle w:val="Heading2"/>
        <w:spacing w:before="0" w:line="360" w:lineRule="auto"/>
        <w:jc w:val="both"/>
        <w:rPr>
          <w:rFonts w:ascii="Times New Roman" w:hAnsi="Times New Roman" w:cs="Times New Roman"/>
          <w:b/>
          <w:bCs/>
          <w:color w:val="auto"/>
          <w:sz w:val="22"/>
          <w:szCs w:val="22"/>
          <w:shd w:val="clear" w:color="auto" w:fill="FFFFFF"/>
        </w:rPr>
      </w:pPr>
      <w:bookmarkStart w:id="59" w:name="_Toc169270833"/>
      <w:r w:rsidRPr="00593380">
        <w:rPr>
          <w:rFonts w:ascii="Times New Roman" w:hAnsi="Times New Roman" w:cs="Times New Roman"/>
          <w:b/>
          <w:bCs/>
          <w:color w:val="auto"/>
          <w:sz w:val="22"/>
          <w:szCs w:val="22"/>
          <w:shd w:val="clear" w:color="auto" w:fill="FFFFFF"/>
        </w:rPr>
        <w:t>3.</w:t>
      </w:r>
      <w:r w:rsidR="009D53B2">
        <w:rPr>
          <w:rFonts w:ascii="Times New Roman" w:hAnsi="Times New Roman" w:cs="Times New Roman"/>
          <w:b/>
          <w:bCs/>
          <w:color w:val="auto"/>
          <w:sz w:val="22"/>
          <w:szCs w:val="22"/>
          <w:shd w:val="clear" w:color="auto" w:fill="FFFFFF"/>
        </w:rPr>
        <w:t>8</w:t>
      </w:r>
      <w:r w:rsidRPr="00593380">
        <w:rPr>
          <w:rFonts w:ascii="Times New Roman" w:hAnsi="Times New Roman" w:cs="Times New Roman"/>
          <w:b/>
          <w:bCs/>
          <w:color w:val="auto"/>
          <w:sz w:val="22"/>
          <w:szCs w:val="22"/>
          <w:shd w:val="clear" w:color="auto" w:fill="FFFFFF"/>
        </w:rPr>
        <w:t xml:space="preserve"> Data Analysis Technique</w:t>
      </w:r>
      <w:bookmarkEnd w:id="59"/>
    </w:p>
    <w:p w14:paraId="06765A31" w14:textId="6E0DCED2" w:rsidR="00087AD4" w:rsidRPr="00593380" w:rsidRDefault="003716C4" w:rsidP="00593380">
      <w:pPr>
        <w:pStyle w:val="Default"/>
        <w:spacing w:line="360" w:lineRule="auto"/>
        <w:jc w:val="both"/>
        <w:rPr>
          <w:sz w:val="22"/>
          <w:szCs w:val="22"/>
        </w:rPr>
      </w:pPr>
      <w:r w:rsidRPr="00593380">
        <w:rPr>
          <w:sz w:val="22"/>
          <w:szCs w:val="22"/>
        </w:rPr>
        <w:t xml:space="preserve">The data obtained from questionnaires were analyzed manually and with computer software. The software used is the Statistical Product and Service Solution (SPSS) and Microsoft </w:t>
      </w:r>
      <w:r w:rsidR="00B86E0A" w:rsidRPr="00593380">
        <w:rPr>
          <w:sz w:val="22"/>
          <w:szCs w:val="22"/>
        </w:rPr>
        <w:t>Excel</w:t>
      </w:r>
      <w:r w:rsidRPr="00593380">
        <w:rPr>
          <w:sz w:val="22"/>
          <w:szCs w:val="22"/>
        </w:rPr>
        <w:t xml:space="preserve">. It is configured for calculations, analysis, scientific research of data and information, etc. Furthermore, the data was checked for accuracy, coded, </w:t>
      </w:r>
      <w:r w:rsidR="00B86E0A" w:rsidRPr="00593380">
        <w:rPr>
          <w:sz w:val="22"/>
          <w:szCs w:val="22"/>
        </w:rPr>
        <w:t>analyzed</w:t>
      </w:r>
      <w:r w:rsidRPr="00593380">
        <w:rPr>
          <w:sz w:val="22"/>
          <w:szCs w:val="22"/>
        </w:rPr>
        <w:t xml:space="preserve">, </w:t>
      </w:r>
      <w:r w:rsidR="00B86E0A" w:rsidRPr="00593380">
        <w:rPr>
          <w:sz w:val="22"/>
          <w:szCs w:val="22"/>
        </w:rPr>
        <w:t>recorded</w:t>
      </w:r>
      <w:r w:rsidRPr="00593380">
        <w:rPr>
          <w:sz w:val="22"/>
          <w:szCs w:val="22"/>
        </w:rPr>
        <w:t xml:space="preserve">, tested, and then extracted. The results were presented in tables, </w:t>
      </w:r>
      <w:r w:rsidR="00B86E0A" w:rsidRPr="00593380">
        <w:rPr>
          <w:sz w:val="22"/>
          <w:szCs w:val="22"/>
        </w:rPr>
        <w:t xml:space="preserve">and </w:t>
      </w:r>
      <w:r w:rsidRPr="00593380">
        <w:rPr>
          <w:sz w:val="22"/>
          <w:szCs w:val="22"/>
        </w:rPr>
        <w:t>charts for easy understanding and demonstration.</w:t>
      </w:r>
    </w:p>
    <w:p w14:paraId="0BDA46C9" w14:textId="12C59E27" w:rsidR="0019437E" w:rsidRPr="00593380" w:rsidRDefault="009D53B2" w:rsidP="009D53B2">
      <w:pPr>
        <w:pStyle w:val="Heading1"/>
        <w:spacing w:before="0" w:line="360" w:lineRule="auto"/>
        <w:rPr>
          <w:rFonts w:ascii="Times New Roman" w:hAnsi="Times New Roman" w:cs="Times New Roman"/>
          <w:b/>
          <w:bCs/>
          <w:color w:val="auto"/>
          <w:sz w:val="22"/>
          <w:szCs w:val="22"/>
        </w:rPr>
      </w:pPr>
      <w:bookmarkStart w:id="60" w:name="_Toc169270834"/>
      <w:r>
        <w:rPr>
          <w:rFonts w:ascii="Times New Roman" w:hAnsi="Times New Roman" w:cs="Times New Roman"/>
          <w:b/>
          <w:bCs/>
          <w:color w:val="auto"/>
          <w:sz w:val="22"/>
          <w:szCs w:val="22"/>
        </w:rPr>
        <w:t xml:space="preserve">4.0 </w:t>
      </w:r>
      <w:r w:rsidR="00C542E8" w:rsidRPr="00593380">
        <w:rPr>
          <w:rFonts w:ascii="Times New Roman" w:hAnsi="Times New Roman" w:cs="Times New Roman"/>
          <w:b/>
          <w:bCs/>
          <w:color w:val="auto"/>
          <w:sz w:val="22"/>
          <w:szCs w:val="22"/>
        </w:rPr>
        <w:t xml:space="preserve">RESULTS </w:t>
      </w:r>
      <w:r w:rsidR="0019437E" w:rsidRPr="00593380">
        <w:rPr>
          <w:rFonts w:ascii="Times New Roman" w:hAnsi="Times New Roman" w:cs="Times New Roman"/>
          <w:b/>
          <w:bCs/>
          <w:color w:val="auto"/>
          <w:sz w:val="22"/>
          <w:szCs w:val="22"/>
        </w:rPr>
        <w:t>AND DISCUSSION</w:t>
      </w:r>
      <w:bookmarkEnd w:id="60"/>
    </w:p>
    <w:p w14:paraId="1F978F72" w14:textId="2503B90B" w:rsidR="0019437E" w:rsidRPr="00593380" w:rsidRDefault="00581FD1" w:rsidP="00593380">
      <w:pPr>
        <w:pStyle w:val="Heading2"/>
        <w:spacing w:before="0" w:line="360" w:lineRule="auto"/>
        <w:jc w:val="both"/>
        <w:rPr>
          <w:rFonts w:ascii="Times New Roman" w:hAnsi="Times New Roman" w:cs="Times New Roman"/>
          <w:b/>
          <w:bCs/>
          <w:color w:val="auto"/>
          <w:sz w:val="22"/>
          <w:szCs w:val="22"/>
        </w:rPr>
      </w:pPr>
      <w:bookmarkStart w:id="61" w:name="_Toc169270835"/>
      <w:r w:rsidRPr="00593380">
        <w:rPr>
          <w:rFonts w:ascii="Times New Roman" w:hAnsi="Times New Roman" w:cs="Times New Roman"/>
          <w:b/>
          <w:bCs/>
          <w:color w:val="auto"/>
          <w:sz w:val="22"/>
          <w:szCs w:val="22"/>
        </w:rPr>
        <w:t xml:space="preserve">4.1 </w:t>
      </w:r>
      <w:bookmarkStart w:id="62" w:name="_Toc169270836"/>
      <w:bookmarkEnd w:id="61"/>
      <w:r w:rsidRPr="00593380">
        <w:rPr>
          <w:rFonts w:ascii="Times New Roman" w:hAnsi="Times New Roman" w:cs="Times New Roman"/>
          <w:b/>
          <w:bCs/>
          <w:color w:val="auto"/>
          <w:sz w:val="22"/>
          <w:szCs w:val="22"/>
        </w:rPr>
        <w:t>Data presentation</w:t>
      </w:r>
      <w:bookmarkEnd w:id="62"/>
    </w:p>
    <w:p w14:paraId="2BF971F2" w14:textId="39483FD5" w:rsidR="00C542E8" w:rsidRPr="00593380" w:rsidRDefault="00C542E8" w:rsidP="00593380">
      <w:pPr>
        <w:spacing w:after="0" w:line="360" w:lineRule="auto"/>
        <w:jc w:val="both"/>
        <w:rPr>
          <w:rFonts w:ascii="Times New Roman" w:hAnsi="Times New Roman" w:cs="Times New Roman"/>
          <w:color w:val="000000" w:themeColor="text1"/>
        </w:rPr>
      </w:pPr>
      <w:r w:rsidRPr="00593380">
        <w:rPr>
          <w:rFonts w:ascii="Times New Roman" w:hAnsi="Times New Roman" w:cs="Times New Roman"/>
          <w:color w:val="000000" w:themeColor="text1"/>
        </w:rPr>
        <w:t>The presentation of results was done using charts, tables</w:t>
      </w:r>
      <w:r w:rsidR="00B86E0A" w:rsidRPr="00593380">
        <w:rPr>
          <w:rFonts w:ascii="Times New Roman" w:hAnsi="Times New Roman" w:cs="Times New Roman"/>
          <w:color w:val="000000" w:themeColor="text1"/>
        </w:rPr>
        <w:t>,</w:t>
      </w:r>
      <w:r w:rsidRPr="00593380">
        <w:rPr>
          <w:rFonts w:ascii="Times New Roman" w:hAnsi="Times New Roman" w:cs="Times New Roman"/>
          <w:color w:val="000000" w:themeColor="text1"/>
        </w:rPr>
        <w:t xml:space="preserve"> and bars in the following sections.</w:t>
      </w:r>
    </w:p>
    <w:p w14:paraId="370A466B" w14:textId="67FB1EE5" w:rsidR="003153B7" w:rsidRPr="00593380" w:rsidRDefault="00581FD1" w:rsidP="00593380">
      <w:pPr>
        <w:pStyle w:val="Heading3"/>
        <w:spacing w:before="0" w:beforeAutospacing="0" w:after="0" w:afterAutospacing="0" w:line="360" w:lineRule="auto"/>
        <w:jc w:val="both"/>
        <w:rPr>
          <w:sz w:val="22"/>
          <w:szCs w:val="22"/>
        </w:rPr>
      </w:pPr>
      <w:bookmarkStart w:id="63" w:name="_Toc169270837"/>
      <w:r w:rsidRPr="00593380">
        <w:rPr>
          <w:sz w:val="22"/>
          <w:szCs w:val="22"/>
        </w:rPr>
        <w:t>4.</w:t>
      </w:r>
      <w:r w:rsidR="009D53B2">
        <w:rPr>
          <w:sz w:val="22"/>
          <w:szCs w:val="22"/>
        </w:rPr>
        <w:t>1</w:t>
      </w:r>
      <w:r w:rsidRPr="00593380">
        <w:rPr>
          <w:sz w:val="22"/>
          <w:szCs w:val="22"/>
        </w:rPr>
        <w:t xml:space="preserve">.1 </w:t>
      </w:r>
      <w:r w:rsidR="003153B7" w:rsidRPr="00593380">
        <w:rPr>
          <w:sz w:val="22"/>
          <w:szCs w:val="22"/>
        </w:rPr>
        <w:t xml:space="preserve">Demographic </w:t>
      </w:r>
      <w:r w:rsidR="0019437E" w:rsidRPr="00593380">
        <w:rPr>
          <w:sz w:val="22"/>
          <w:szCs w:val="22"/>
        </w:rPr>
        <w:t>r</w:t>
      </w:r>
      <w:r w:rsidR="003153B7" w:rsidRPr="00593380">
        <w:rPr>
          <w:sz w:val="22"/>
          <w:szCs w:val="22"/>
        </w:rPr>
        <w:t>esponse</w:t>
      </w:r>
      <w:bookmarkEnd w:id="63"/>
    </w:p>
    <w:p w14:paraId="4E4B8E86" w14:textId="674D8CCA" w:rsidR="003153B7" w:rsidRDefault="003153B7" w:rsidP="00593380">
      <w:pPr>
        <w:pStyle w:val="Heading4"/>
        <w:spacing w:before="0" w:line="360" w:lineRule="auto"/>
        <w:rPr>
          <w:rFonts w:ascii="Times New Roman" w:hAnsi="Times New Roman" w:cs="Times New Roman"/>
          <w:b/>
          <w:bCs/>
          <w:color w:val="auto"/>
        </w:rPr>
      </w:pPr>
      <w:r w:rsidRPr="00593380">
        <w:rPr>
          <w:rFonts w:ascii="Times New Roman" w:hAnsi="Times New Roman" w:cs="Times New Roman"/>
          <w:b/>
          <w:bCs/>
          <w:color w:val="auto"/>
        </w:rPr>
        <w:t>4.</w:t>
      </w:r>
      <w:r w:rsidR="009D53B2">
        <w:rPr>
          <w:rFonts w:ascii="Times New Roman" w:hAnsi="Times New Roman" w:cs="Times New Roman"/>
          <w:b/>
          <w:bCs/>
          <w:color w:val="auto"/>
        </w:rPr>
        <w:t>1</w:t>
      </w:r>
      <w:r w:rsidR="00581FD1" w:rsidRPr="00593380">
        <w:rPr>
          <w:rFonts w:ascii="Times New Roman" w:hAnsi="Times New Roman" w:cs="Times New Roman"/>
          <w:b/>
          <w:bCs/>
          <w:color w:val="auto"/>
        </w:rPr>
        <w:t>.</w:t>
      </w:r>
      <w:r w:rsidR="00C542E8" w:rsidRPr="00593380">
        <w:rPr>
          <w:rFonts w:ascii="Times New Roman" w:hAnsi="Times New Roman" w:cs="Times New Roman"/>
          <w:b/>
          <w:bCs/>
          <w:color w:val="auto"/>
        </w:rPr>
        <w:t>1.</w:t>
      </w:r>
      <w:r w:rsidR="00581FD1" w:rsidRPr="00593380">
        <w:rPr>
          <w:rFonts w:ascii="Times New Roman" w:hAnsi="Times New Roman" w:cs="Times New Roman"/>
          <w:b/>
          <w:bCs/>
          <w:color w:val="auto"/>
        </w:rPr>
        <w:t>1</w:t>
      </w:r>
      <w:r w:rsidRPr="00593380">
        <w:rPr>
          <w:rFonts w:ascii="Times New Roman" w:hAnsi="Times New Roman" w:cs="Times New Roman"/>
          <w:b/>
          <w:bCs/>
          <w:color w:val="auto"/>
        </w:rPr>
        <w:t xml:space="preserve"> Age distribution</w:t>
      </w:r>
    </w:p>
    <w:p w14:paraId="41763CEF" w14:textId="342ADC34" w:rsidR="00A52E03" w:rsidRDefault="00A52E03" w:rsidP="00A52E03">
      <w:pPr>
        <w:spacing w:after="0"/>
        <w:jc w:val="center"/>
      </w:pPr>
      <w:r w:rsidRPr="00A52E03">
        <w:rPr>
          <w:noProof/>
        </w:rPr>
        <w:drawing>
          <wp:inline distT="0" distB="0" distL="0" distR="0" wp14:anchorId="6B4E88DC" wp14:editId="0A740B72">
            <wp:extent cx="2743200" cy="1638871"/>
            <wp:effectExtent l="0" t="0" r="0" b="0"/>
            <wp:docPr id="15441714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171464" name=""/>
                    <pic:cNvPicPr/>
                  </pic:nvPicPr>
                  <pic:blipFill>
                    <a:blip r:embed="rId12"/>
                    <a:stretch>
                      <a:fillRect/>
                    </a:stretch>
                  </pic:blipFill>
                  <pic:spPr>
                    <a:xfrm>
                      <a:off x="0" y="0"/>
                      <a:ext cx="2749352" cy="1642546"/>
                    </a:xfrm>
                    <a:prstGeom prst="rect">
                      <a:avLst/>
                    </a:prstGeom>
                  </pic:spPr>
                </pic:pic>
              </a:graphicData>
            </a:graphic>
          </wp:inline>
        </w:drawing>
      </w:r>
    </w:p>
    <w:p w14:paraId="6DD8BF57" w14:textId="2C1970BD" w:rsidR="003153B7" w:rsidRPr="00593380" w:rsidRDefault="003153B7" w:rsidP="00593380">
      <w:pPr>
        <w:spacing w:after="0" w:line="360" w:lineRule="auto"/>
        <w:jc w:val="center"/>
        <w:rPr>
          <w:rFonts w:ascii="Times New Roman" w:hAnsi="Times New Roman" w:cs="Times New Roman"/>
          <w:color w:val="000000" w:themeColor="text1"/>
        </w:rPr>
      </w:pPr>
      <w:r w:rsidRPr="00593380">
        <w:rPr>
          <w:rFonts w:ascii="Times New Roman" w:hAnsi="Times New Roman" w:cs="Times New Roman"/>
          <w:color w:val="000000" w:themeColor="text1"/>
        </w:rPr>
        <w:t>Figure 1: Age distribution</w:t>
      </w:r>
    </w:p>
    <w:p w14:paraId="085AE4D2" w14:textId="6056CB3A" w:rsidR="003153B7" w:rsidRPr="00593380" w:rsidRDefault="003153B7" w:rsidP="00593380">
      <w:pPr>
        <w:spacing w:after="0" w:line="360" w:lineRule="auto"/>
        <w:jc w:val="both"/>
        <w:rPr>
          <w:rFonts w:ascii="Times New Roman" w:hAnsi="Times New Roman" w:cs="Times New Roman"/>
          <w:color w:val="000000" w:themeColor="text1"/>
        </w:rPr>
      </w:pPr>
      <w:r w:rsidRPr="00593380">
        <w:rPr>
          <w:rFonts w:ascii="Times New Roman" w:hAnsi="Times New Roman" w:cs="Times New Roman"/>
          <w:color w:val="000000" w:themeColor="text1"/>
        </w:rPr>
        <w:t>The distribution of respondents across different age groups provides valuable insights into the demographic composition of the surveyed population. Among the respondents, the highest proportion falls within the 15-25 years age group, comprising 30% of the total responses</w:t>
      </w:r>
      <w:r w:rsidR="009140B8" w:rsidRPr="00593380">
        <w:rPr>
          <w:rFonts w:ascii="Times New Roman" w:hAnsi="Times New Roman" w:cs="Times New Roman"/>
          <w:color w:val="000000" w:themeColor="text1"/>
        </w:rPr>
        <w:t xml:space="preserve"> as shown in Figure 1</w:t>
      </w:r>
      <w:r w:rsidRPr="00593380">
        <w:rPr>
          <w:rFonts w:ascii="Times New Roman" w:hAnsi="Times New Roman" w:cs="Times New Roman"/>
          <w:color w:val="000000" w:themeColor="text1"/>
        </w:rPr>
        <w:t xml:space="preserve">. This indicates a significant representation of younger individuals in the survey, suggesting a potential </w:t>
      </w:r>
      <w:r w:rsidRPr="00593380">
        <w:rPr>
          <w:rFonts w:ascii="Times New Roman" w:hAnsi="Times New Roman" w:cs="Times New Roman"/>
          <w:color w:val="000000" w:themeColor="text1"/>
        </w:rPr>
        <w:lastRenderedPageBreak/>
        <w:t>focus on the perspectives and experiences of youth. The 26-36 years age group follows closely behind, representing a quarter of the respondents, indicating a balanced distribution across various stages of adulthood. As the age groups progress, there is a gradual decrease in the number of respondents, with the lowest proportion observed in the 59 years and above category, comprising 10% of the total responses. This distribution reflects a diverse range of perspectives and experiences across different age cohorts, which could influence the interpretation of survey results and the formulation of targeted strategies or interventions.</w:t>
      </w:r>
    </w:p>
    <w:p w14:paraId="6127AC81" w14:textId="366C6842" w:rsidR="003153B7" w:rsidRDefault="003153B7" w:rsidP="00593380">
      <w:pPr>
        <w:pStyle w:val="Heading4"/>
        <w:spacing w:before="0" w:line="360" w:lineRule="auto"/>
        <w:rPr>
          <w:rFonts w:ascii="Times New Roman" w:hAnsi="Times New Roman" w:cs="Times New Roman"/>
          <w:b/>
          <w:bCs/>
          <w:color w:val="auto"/>
        </w:rPr>
      </w:pPr>
      <w:r w:rsidRPr="00593380">
        <w:rPr>
          <w:rFonts w:ascii="Times New Roman" w:hAnsi="Times New Roman" w:cs="Times New Roman"/>
          <w:b/>
          <w:bCs/>
          <w:color w:val="auto"/>
        </w:rPr>
        <w:t>4.</w:t>
      </w:r>
      <w:r w:rsidR="009D53B2">
        <w:rPr>
          <w:rFonts w:ascii="Times New Roman" w:hAnsi="Times New Roman" w:cs="Times New Roman"/>
          <w:b/>
          <w:bCs/>
          <w:color w:val="auto"/>
        </w:rPr>
        <w:t>1</w:t>
      </w:r>
      <w:r w:rsidR="004D096C" w:rsidRPr="00593380">
        <w:rPr>
          <w:rFonts w:ascii="Times New Roman" w:hAnsi="Times New Roman" w:cs="Times New Roman"/>
          <w:b/>
          <w:bCs/>
          <w:color w:val="auto"/>
        </w:rPr>
        <w:t>.</w:t>
      </w:r>
      <w:r w:rsidR="00581FD1" w:rsidRPr="00593380">
        <w:rPr>
          <w:rFonts w:ascii="Times New Roman" w:hAnsi="Times New Roman" w:cs="Times New Roman"/>
          <w:b/>
          <w:bCs/>
          <w:color w:val="auto"/>
        </w:rPr>
        <w:t>1.2</w:t>
      </w:r>
      <w:r w:rsidRPr="00593380">
        <w:rPr>
          <w:rFonts w:ascii="Times New Roman" w:hAnsi="Times New Roman" w:cs="Times New Roman"/>
          <w:b/>
          <w:bCs/>
          <w:color w:val="auto"/>
        </w:rPr>
        <w:t xml:space="preserve"> </w:t>
      </w:r>
      <w:r w:rsidR="007A2014" w:rsidRPr="00593380">
        <w:rPr>
          <w:rFonts w:ascii="Times New Roman" w:hAnsi="Times New Roman" w:cs="Times New Roman"/>
          <w:b/>
          <w:bCs/>
          <w:color w:val="auto"/>
        </w:rPr>
        <w:t>Educational Qualification</w:t>
      </w:r>
    </w:p>
    <w:p w14:paraId="39899E07" w14:textId="184F5318" w:rsidR="00A52E03" w:rsidRDefault="00A52E03" w:rsidP="00A52E03">
      <w:pPr>
        <w:spacing w:after="0"/>
        <w:jc w:val="center"/>
      </w:pPr>
      <w:r w:rsidRPr="00A52E03">
        <w:rPr>
          <w:noProof/>
        </w:rPr>
        <w:drawing>
          <wp:inline distT="0" distB="0" distL="0" distR="0" wp14:anchorId="36338973" wp14:editId="667DDCC7">
            <wp:extent cx="2914650" cy="1860841"/>
            <wp:effectExtent l="0" t="0" r="0" b="6350"/>
            <wp:docPr id="7087593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759376" name=""/>
                    <pic:cNvPicPr/>
                  </pic:nvPicPr>
                  <pic:blipFill>
                    <a:blip r:embed="rId13"/>
                    <a:stretch>
                      <a:fillRect/>
                    </a:stretch>
                  </pic:blipFill>
                  <pic:spPr>
                    <a:xfrm>
                      <a:off x="0" y="0"/>
                      <a:ext cx="2922691" cy="1865975"/>
                    </a:xfrm>
                    <a:prstGeom prst="rect">
                      <a:avLst/>
                    </a:prstGeom>
                  </pic:spPr>
                </pic:pic>
              </a:graphicData>
            </a:graphic>
          </wp:inline>
        </w:drawing>
      </w:r>
    </w:p>
    <w:p w14:paraId="1B762BCF" w14:textId="31FFA4EF" w:rsidR="007A2014" w:rsidRPr="00593380" w:rsidRDefault="007A2014" w:rsidP="00593380">
      <w:pPr>
        <w:spacing w:line="360" w:lineRule="auto"/>
        <w:jc w:val="center"/>
        <w:rPr>
          <w:rFonts w:ascii="Times New Roman" w:hAnsi="Times New Roman" w:cs="Times New Roman"/>
          <w:color w:val="000000" w:themeColor="text1"/>
        </w:rPr>
      </w:pPr>
      <w:r w:rsidRPr="00593380">
        <w:rPr>
          <w:rFonts w:ascii="Times New Roman" w:hAnsi="Times New Roman" w:cs="Times New Roman"/>
          <w:color w:val="000000" w:themeColor="text1"/>
        </w:rPr>
        <w:t>Figure 2: Educational distribution</w:t>
      </w:r>
    </w:p>
    <w:p w14:paraId="0FC786D4" w14:textId="34D7CEDC" w:rsidR="007A2014" w:rsidRPr="00593380" w:rsidRDefault="007A2014" w:rsidP="00593380">
      <w:pPr>
        <w:spacing w:line="360" w:lineRule="auto"/>
        <w:jc w:val="both"/>
        <w:rPr>
          <w:rFonts w:ascii="Times New Roman" w:hAnsi="Times New Roman" w:cs="Times New Roman"/>
          <w:color w:val="000000" w:themeColor="text1"/>
        </w:rPr>
      </w:pPr>
      <w:r w:rsidRPr="00593380">
        <w:rPr>
          <w:rFonts w:ascii="Times New Roman" w:hAnsi="Times New Roman" w:cs="Times New Roman"/>
          <w:color w:val="000000" w:themeColor="text1"/>
        </w:rPr>
        <w:t>The educational qualification distribution among the respondents offers valuable insights into the academic background of the surveyed population. Among the respondents, the majority hold a Bachelor's degree (BSc), constituting 35% of the total responses, indicating a significant representation of individuals with undergraduate education</w:t>
      </w:r>
      <w:r w:rsidR="009140B8" w:rsidRPr="00593380">
        <w:rPr>
          <w:rFonts w:ascii="Times New Roman" w:hAnsi="Times New Roman" w:cs="Times New Roman"/>
          <w:color w:val="000000" w:themeColor="text1"/>
        </w:rPr>
        <w:t xml:space="preserve"> as depicted in Figure 2</w:t>
      </w:r>
      <w:r w:rsidRPr="00593380">
        <w:rPr>
          <w:rFonts w:ascii="Times New Roman" w:hAnsi="Times New Roman" w:cs="Times New Roman"/>
          <w:color w:val="000000" w:themeColor="text1"/>
        </w:rPr>
        <w:t>. This suggests a relatively well-educated sample population with a foundational level of academic attainment. Following closely behind, respondents with Ordinary National Diploma (OND) and Higher National Diploma (HND) qualifications each account for 20% of the total responses, highlighting the presence of individuals with technical or vocational training. Meanwhile, Master's degree (MSc) holders represent 15% of the respondents, indicating a subset of individuals with advanced postgraduate education. The lowest proportion of respondents holds a Doctorate (PhD) degree, comprising 10% of the total responses, suggesting a smaller representation of individuals with the highest level of academic achievement. This distribution underscores the diversity in educational backgrounds within the surveyed population, which could influence the interpretation of survey results and the formulation of targeted strategies or interventions.</w:t>
      </w:r>
    </w:p>
    <w:p w14:paraId="594FAF94" w14:textId="6B5514FD" w:rsidR="007A2014" w:rsidRDefault="008635A2" w:rsidP="00593380">
      <w:pPr>
        <w:pStyle w:val="Heading4"/>
        <w:spacing w:before="0" w:line="360" w:lineRule="auto"/>
        <w:jc w:val="both"/>
        <w:rPr>
          <w:rFonts w:ascii="Times New Roman" w:hAnsi="Times New Roman" w:cs="Times New Roman"/>
          <w:b/>
          <w:bCs/>
          <w:color w:val="auto"/>
        </w:rPr>
      </w:pPr>
      <w:r w:rsidRPr="00593380">
        <w:rPr>
          <w:rFonts w:ascii="Times New Roman" w:hAnsi="Times New Roman" w:cs="Times New Roman"/>
          <w:b/>
          <w:bCs/>
          <w:color w:val="auto"/>
        </w:rPr>
        <w:lastRenderedPageBreak/>
        <w:t>4.</w:t>
      </w:r>
      <w:r w:rsidR="009D53B2">
        <w:rPr>
          <w:rFonts w:ascii="Times New Roman" w:hAnsi="Times New Roman" w:cs="Times New Roman"/>
          <w:b/>
          <w:bCs/>
          <w:color w:val="auto"/>
        </w:rPr>
        <w:t>1</w:t>
      </w:r>
      <w:r w:rsidR="004D096C" w:rsidRPr="00593380">
        <w:rPr>
          <w:rFonts w:ascii="Times New Roman" w:hAnsi="Times New Roman" w:cs="Times New Roman"/>
          <w:b/>
          <w:bCs/>
          <w:color w:val="auto"/>
        </w:rPr>
        <w:t>.</w:t>
      </w:r>
      <w:r w:rsidR="00581FD1" w:rsidRPr="00593380">
        <w:rPr>
          <w:rFonts w:ascii="Times New Roman" w:hAnsi="Times New Roman" w:cs="Times New Roman"/>
          <w:b/>
          <w:bCs/>
          <w:color w:val="auto"/>
        </w:rPr>
        <w:t>1.3</w:t>
      </w:r>
      <w:r w:rsidRPr="00593380">
        <w:rPr>
          <w:rFonts w:ascii="Times New Roman" w:hAnsi="Times New Roman" w:cs="Times New Roman"/>
          <w:b/>
          <w:bCs/>
          <w:color w:val="auto"/>
        </w:rPr>
        <w:t xml:space="preserve"> Working status</w:t>
      </w:r>
    </w:p>
    <w:p w14:paraId="29D7CA98" w14:textId="1BF6DCC9" w:rsidR="00A52E03" w:rsidRPr="00A52E03" w:rsidRDefault="00A52E03" w:rsidP="00A52E03">
      <w:pPr>
        <w:jc w:val="center"/>
      </w:pPr>
      <w:r w:rsidRPr="00A52E03">
        <w:rPr>
          <w:noProof/>
        </w:rPr>
        <w:drawing>
          <wp:inline distT="0" distB="0" distL="0" distR="0" wp14:anchorId="6880D532" wp14:editId="77A31036">
            <wp:extent cx="3057525" cy="1812111"/>
            <wp:effectExtent l="0" t="0" r="0" b="0"/>
            <wp:docPr id="11429436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943696" name=""/>
                    <pic:cNvPicPr/>
                  </pic:nvPicPr>
                  <pic:blipFill>
                    <a:blip r:embed="rId14"/>
                    <a:stretch>
                      <a:fillRect/>
                    </a:stretch>
                  </pic:blipFill>
                  <pic:spPr>
                    <a:xfrm>
                      <a:off x="0" y="0"/>
                      <a:ext cx="3069580" cy="1819256"/>
                    </a:xfrm>
                    <a:prstGeom prst="rect">
                      <a:avLst/>
                    </a:prstGeom>
                  </pic:spPr>
                </pic:pic>
              </a:graphicData>
            </a:graphic>
          </wp:inline>
        </w:drawing>
      </w:r>
    </w:p>
    <w:p w14:paraId="079AA698" w14:textId="32762BDF" w:rsidR="008635A2" w:rsidRPr="00593380" w:rsidRDefault="008635A2" w:rsidP="00593380">
      <w:pPr>
        <w:spacing w:line="360" w:lineRule="auto"/>
        <w:jc w:val="center"/>
        <w:rPr>
          <w:rFonts w:ascii="Times New Roman" w:hAnsi="Times New Roman" w:cs="Times New Roman"/>
          <w:color w:val="000000" w:themeColor="text1"/>
        </w:rPr>
      </w:pPr>
      <w:r w:rsidRPr="00593380">
        <w:rPr>
          <w:rFonts w:ascii="Times New Roman" w:hAnsi="Times New Roman" w:cs="Times New Roman"/>
          <w:color w:val="000000" w:themeColor="text1"/>
        </w:rPr>
        <w:t>Figure 3: Working Status</w:t>
      </w:r>
    </w:p>
    <w:p w14:paraId="4A8C9483" w14:textId="66910E79" w:rsidR="008635A2" w:rsidRPr="00593380" w:rsidRDefault="0019437E" w:rsidP="00593380">
      <w:pPr>
        <w:spacing w:after="0" w:line="360" w:lineRule="auto"/>
        <w:jc w:val="both"/>
        <w:rPr>
          <w:rFonts w:ascii="Times New Roman" w:hAnsi="Times New Roman" w:cs="Times New Roman"/>
          <w:color w:val="000000" w:themeColor="text1"/>
        </w:rPr>
      </w:pPr>
      <w:r w:rsidRPr="00593380">
        <w:rPr>
          <w:rFonts w:ascii="Times New Roman" w:hAnsi="Times New Roman" w:cs="Times New Roman"/>
          <w:color w:val="000000" w:themeColor="text1"/>
        </w:rPr>
        <w:t xml:space="preserve">The </w:t>
      </w:r>
      <w:r w:rsidR="009140B8" w:rsidRPr="00593380">
        <w:rPr>
          <w:rFonts w:ascii="Times New Roman" w:hAnsi="Times New Roman" w:cs="Times New Roman"/>
          <w:color w:val="000000" w:themeColor="text1"/>
        </w:rPr>
        <w:t>Figure 3</w:t>
      </w:r>
      <w:r w:rsidRPr="00593380">
        <w:rPr>
          <w:rFonts w:ascii="Times New Roman" w:hAnsi="Times New Roman" w:cs="Times New Roman"/>
          <w:color w:val="000000" w:themeColor="text1"/>
        </w:rPr>
        <w:t xml:space="preserve"> presents the distribution of respondents based on their working status, reflecting their diverse professional backgrounds. Notably, the largest segment comprises students, constituting 31% of the total respondents, which is expected given the broad scope of the survey. Private organization employees also represent a significant portion at 20%, indicating a substantial presence of working professionals in the private sector. Public servants and business owners each contribute 12% and 15%, respectively, highlighting a balanced representation across government and entrepreneurial sectors. Moreover, federal and state government employees, along with local government workers, collectively make up 21%, underlining the involvement of individuals in various tiers of government. The presence of individuals in the National Youth Service Corps (NYSC) and others categories, at 3% and 7% respectively, adds to the diversity of respondents. Overall, the distribution illustrates a comprehensive representation of individuals from different employment backgrounds, offering insights into the perspectives of various workforce segments on the survey's subject matter.</w:t>
      </w:r>
    </w:p>
    <w:p w14:paraId="6ED15F13" w14:textId="65D88194" w:rsidR="0019437E" w:rsidRPr="00593380" w:rsidRDefault="00395BDC" w:rsidP="00593380">
      <w:pPr>
        <w:pStyle w:val="Heading2"/>
        <w:spacing w:before="0" w:line="360" w:lineRule="auto"/>
        <w:jc w:val="both"/>
        <w:rPr>
          <w:rFonts w:ascii="Times New Roman" w:hAnsi="Times New Roman" w:cs="Times New Roman"/>
          <w:b/>
          <w:bCs/>
          <w:color w:val="auto"/>
          <w:sz w:val="22"/>
          <w:szCs w:val="22"/>
        </w:rPr>
      </w:pPr>
      <w:bookmarkStart w:id="64" w:name="_Toc169270838"/>
      <w:r w:rsidRPr="00593380">
        <w:rPr>
          <w:rFonts w:ascii="Times New Roman" w:hAnsi="Times New Roman" w:cs="Times New Roman"/>
          <w:b/>
          <w:bCs/>
          <w:color w:val="auto"/>
          <w:sz w:val="22"/>
          <w:szCs w:val="22"/>
        </w:rPr>
        <w:t>4.</w:t>
      </w:r>
      <w:r w:rsidR="009D53B2">
        <w:rPr>
          <w:rFonts w:ascii="Times New Roman" w:hAnsi="Times New Roman" w:cs="Times New Roman"/>
          <w:b/>
          <w:bCs/>
          <w:color w:val="auto"/>
          <w:sz w:val="22"/>
          <w:szCs w:val="22"/>
        </w:rPr>
        <w:t>1.2</w:t>
      </w:r>
      <w:r w:rsidRPr="00593380">
        <w:rPr>
          <w:rFonts w:ascii="Times New Roman" w:hAnsi="Times New Roman" w:cs="Times New Roman"/>
          <w:b/>
          <w:bCs/>
          <w:color w:val="auto"/>
          <w:sz w:val="22"/>
          <w:szCs w:val="22"/>
        </w:rPr>
        <w:t xml:space="preserve"> Revenue </w:t>
      </w:r>
      <w:r w:rsidR="004D096C" w:rsidRPr="00593380">
        <w:rPr>
          <w:rFonts w:ascii="Times New Roman" w:hAnsi="Times New Roman" w:cs="Times New Roman"/>
          <w:b/>
          <w:bCs/>
          <w:color w:val="auto"/>
          <w:sz w:val="22"/>
          <w:szCs w:val="22"/>
        </w:rPr>
        <w:t>G</w:t>
      </w:r>
      <w:r w:rsidRPr="00593380">
        <w:rPr>
          <w:rFonts w:ascii="Times New Roman" w:hAnsi="Times New Roman" w:cs="Times New Roman"/>
          <w:b/>
          <w:bCs/>
          <w:color w:val="auto"/>
          <w:sz w:val="22"/>
          <w:szCs w:val="22"/>
        </w:rPr>
        <w:t>eneration</w:t>
      </w:r>
      <w:r w:rsidR="001B05AB" w:rsidRPr="00593380">
        <w:rPr>
          <w:rFonts w:ascii="Times New Roman" w:hAnsi="Times New Roman" w:cs="Times New Roman"/>
          <w:b/>
          <w:bCs/>
          <w:color w:val="auto"/>
          <w:sz w:val="22"/>
          <w:szCs w:val="22"/>
        </w:rPr>
        <w:t xml:space="preserve"> </w:t>
      </w:r>
      <w:r w:rsidR="004D096C" w:rsidRPr="00593380">
        <w:rPr>
          <w:rFonts w:ascii="Times New Roman" w:hAnsi="Times New Roman" w:cs="Times New Roman"/>
          <w:b/>
          <w:bCs/>
          <w:color w:val="auto"/>
          <w:sz w:val="22"/>
          <w:szCs w:val="22"/>
        </w:rPr>
        <w:t>Strategies</w:t>
      </w:r>
      <w:bookmarkEnd w:id="64"/>
    </w:p>
    <w:p w14:paraId="5D069A02" w14:textId="7C24FDF3" w:rsidR="00221CE7" w:rsidRPr="00593380" w:rsidRDefault="001B05AB" w:rsidP="00593380">
      <w:pPr>
        <w:spacing w:after="0" w:line="360" w:lineRule="auto"/>
        <w:jc w:val="both"/>
        <w:rPr>
          <w:rFonts w:ascii="Times New Roman" w:hAnsi="Times New Roman" w:cs="Times New Roman"/>
          <w:b/>
          <w:bCs/>
          <w:color w:val="000000" w:themeColor="text1"/>
        </w:rPr>
      </w:pPr>
      <w:r w:rsidRPr="00593380">
        <w:rPr>
          <w:rFonts w:ascii="Times New Roman" w:hAnsi="Times New Roman" w:cs="Times New Roman"/>
          <w:b/>
          <w:bCs/>
          <w:color w:val="000000" w:themeColor="text1"/>
        </w:rPr>
        <w:t xml:space="preserve">Table </w:t>
      </w:r>
      <w:r w:rsidR="00395BDC" w:rsidRPr="00593380">
        <w:rPr>
          <w:rFonts w:ascii="Times New Roman" w:hAnsi="Times New Roman" w:cs="Times New Roman"/>
          <w:b/>
          <w:bCs/>
          <w:color w:val="000000" w:themeColor="text1"/>
        </w:rPr>
        <w:t>1</w:t>
      </w:r>
      <w:r w:rsidRPr="00593380">
        <w:rPr>
          <w:rFonts w:ascii="Times New Roman" w:hAnsi="Times New Roman" w:cs="Times New Roman"/>
          <w:b/>
          <w:bCs/>
          <w:color w:val="000000" w:themeColor="text1"/>
        </w:rPr>
        <w:t>:</w:t>
      </w:r>
      <w:r w:rsidR="00395BDC" w:rsidRPr="00593380">
        <w:rPr>
          <w:rFonts w:ascii="Times New Roman" w:hAnsi="Times New Roman" w:cs="Times New Roman"/>
          <w:b/>
          <w:bCs/>
          <w:color w:val="000000" w:themeColor="text1"/>
        </w:rPr>
        <w:t xml:space="preserve"> Financial stability of tertiary institutions</w:t>
      </w:r>
    </w:p>
    <w:tbl>
      <w:tblPr>
        <w:tblStyle w:val="TableGrid"/>
        <w:tblW w:w="0" w:type="auto"/>
        <w:tblLook w:val="04A0" w:firstRow="1" w:lastRow="0" w:firstColumn="1" w:lastColumn="0" w:noHBand="0" w:noVBand="1"/>
      </w:tblPr>
      <w:tblGrid>
        <w:gridCol w:w="3000"/>
        <w:gridCol w:w="3007"/>
        <w:gridCol w:w="3009"/>
      </w:tblGrid>
      <w:tr w:rsidR="00B02A11" w:rsidRPr="00593380" w14:paraId="509162BF" w14:textId="77777777" w:rsidTr="00176213">
        <w:tc>
          <w:tcPr>
            <w:tcW w:w="3116" w:type="dxa"/>
          </w:tcPr>
          <w:p w14:paraId="7763798A" w14:textId="77777777" w:rsidR="00221CE7" w:rsidRPr="00593380" w:rsidRDefault="00221CE7" w:rsidP="00D03BEA">
            <w:pPr>
              <w:jc w:val="both"/>
              <w:rPr>
                <w:rFonts w:ascii="Times New Roman" w:hAnsi="Times New Roman" w:cs="Times New Roman"/>
                <w:b/>
                <w:bCs/>
                <w:color w:val="000000" w:themeColor="text1"/>
              </w:rPr>
            </w:pPr>
            <w:r w:rsidRPr="00593380">
              <w:rPr>
                <w:rFonts w:ascii="Times New Roman" w:hAnsi="Times New Roman" w:cs="Times New Roman"/>
                <w:b/>
                <w:bCs/>
                <w:color w:val="000000" w:themeColor="text1"/>
              </w:rPr>
              <w:t>Response</w:t>
            </w:r>
          </w:p>
        </w:tc>
        <w:tc>
          <w:tcPr>
            <w:tcW w:w="3117" w:type="dxa"/>
          </w:tcPr>
          <w:p w14:paraId="3E3AA0DD" w14:textId="77777777" w:rsidR="00221CE7" w:rsidRPr="00593380" w:rsidRDefault="00221CE7" w:rsidP="00D03BEA">
            <w:pPr>
              <w:jc w:val="both"/>
              <w:rPr>
                <w:rFonts w:ascii="Times New Roman" w:hAnsi="Times New Roman" w:cs="Times New Roman"/>
                <w:b/>
                <w:bCs/>
                <w:color w:val="000000" w:themeColor="text1"/>
              </w:rPr>
            </w:pPr>
            <w:r w:rsidRPr="00593380">
              <w:rPr>
                <w:rFonts w:ascii="Times New Roman" w:hAnsi="Times New Roman" w:cs="Times New Roman"/>
                <w:b/>
                <w:bCs/>
                <w:color w:val="000000" w:themeColor="text1"/>
              </w:rPr>
              <w:t>Frequency (n)</w:t>
            </w:r>
          </w:p>
        </w:tc>
        <w:tc>
          <w:tcPr>
            <w:tcW w:w="3117" w:type="dxa"/>
          </w:tcPr>
          <w:p w14:paraId="6A3A1054" w14:textId="77777777" w:rsidR="00221CE7" w:rsidRPr="00593380" w:rsidRDefault="00221CE7" w:rsidP="00D03BEA">
            <w:pPr>
              <w:jc w:val="both"/>
              <w:rPr>
                <w:rFonts w:ascii="Times New Roman" w:hAnsi="Times New Roman" w:cs="Times New Roman"/>
                <w:b/>
                <w:bCs/>
                <w:color w:val="000000" w:themeColor="text1"/>
              </w:rPr>
            </w:pPr>
            <w:r w:rsidRPr="00593380">
              <w:rPr>
                <w:rFonts w:ascii="Times New Roman" w:hAnsi="Times New Roman" w:cs="Times New Roman"/>
                <w:b/>
                <w:bCs/>
                <w:color w:val="000000" w:themeColor="text1"/>
              </w:rPr>
              <w:t>Percentage (%)</w:t>
            </w:r>
          </w:p>
        </w:tc>
      </w:tr>
      <w:tr w:rsidR="00B02A11" w:rsidRPr="00593380" w14:paraId="7B109C5B" w14:textId="77777777" w:rsidTr="00176213">
        <w:tc>
          <w:tcPr>
            <w:tcW w:w="3116" w:type="dxa"/>
          </w:tcPr>
          <w:p w14:paraId="7486195E" w14:textId="77777777" w:rsidR="00221CE7" w:rsidRPr="00593380" w:rsidRDefault="00221CE7"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Yes</w:t>
            </w:r>
          </w:p>
        </w:tc>
        <w:tc>
          <w:tcPr>
            <w:tcW w:w="3117" w:type="dxa"/>
          </w:tcPr>
          <w:p w14:paraId="57881F23" w14:textId="77777777" w:rsidR="00221CE7" w:rsidRPr="00593380" w:rsidRDefault="00221CE7"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350</w:t>
            </w:r>
          </w:p>
        </w:tc>
        <w:tc>
          <w:tcPr>
            <w:tcW w:w="3117" w:type="dxa"/>
          </w:tcPr>
          <w:p w14:paraId="1C1F6273" w14:textId="77777777" w:rsidR="00221CE7" w:rsidRPr="00593380" w:rsidRDefault="00221CE7"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35.0</w:t>
            </w:r>
          </w:p>
        </w:tc>
      </w:tr>
      <w:tr w:rsidR="00B02A11" w:rsidRPr="00593380" w14:paraId="292A74C0" w14:textId="77777777" w:rsidTr="00176213">
        <w:tc>
          <w:tcPr>
            <w:tcW w:w="3116" w:type="dxa"/>
          </w:tcPr>
          <w:p w14:paraId="474B534F" w14:textId="77777777" w:rsidR="00221CE7" w:rsidRPr="00593380" w:rsidRDefault="00221CE7"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No</w:t>
            </w:r>
          </w:p>
        </w:tc>
        <w:tc>
          <w:tcPr>
            <w:tcW w:w="3117" w:type="dxa"/>
          </w:tcPr>
          <w:p w14:paraId="2FC7C81B" w14:textId="77777777" w:rsidR="00221CE7" w:rsidRPr="00593380" w:rsidRDefault="00221CE7"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550</w:t>
            </w:r>
          </w:p>
        </w:tc>
        <w:tc>
          <w:tcPr>
            <w:tcW w:w="3117" w:type="dxa"/>
          </w:tcPr>
          <w:p w14:paraId="1E547573" w14:textId="77777777" w:rsidR="00221CE7" w:rsidRPr="00593380" w:rsidRDefault="00221CE7"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55.0</w:t>
            </w:r>
          </w:p>
        </w:tc>
      </w:tr>
      <w:tr w:rsidR="00B02A11" w:rsidRPr="00593380" w14:paraId="1D7694E8" w14:textId="77777777" w:rsidTr="00176213">
        <w:tc>
          <w:tcPr>
            <w:tcW w:w="3116" w:type="dxa"/>
          </w:tcPr>
          <w:p w14:paraId="5CCDB786" w14:textId="77777777" w:rsidR="00221CE7" w:rsidRPr="00593380" w:rsidRDefault="00221CE7"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I don’t know</w:t>
            </w:r>
          </w:p>
        </w:tc>
        <w:tc>
          <w:tcPr>
            <w:tcW w:w="3117" w:type="dxa"/>
          </w:tcPr>
          <w:p w14:paraId="5B067E59" w14:textId="77777777" w:rsidR="00221CE7" w:rsidRPr="00593380" w:rsidRDefault="00221CE7"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100</w:t>
            </w:r>
          </w:p>
        </w:tc>
        <w:tc>
          <w:tcPr>
            <w:tcW w:w="3117" w:type="dxa"/>
          </w:tcPr>
          <w:p w14:paraId="232A010A" w14:textId="77777777" w:rsidR="00221CE7" w:rsidRPr="00593380" w:rsidRDefault="00221CE7"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10.0</w:t>
            </w:r>
          </w:p>
        </w:tc>
      </w:tr>
      <w:tr w:rsidR="00B02A11" w:rsidRPr="00593380" w14:paraId="3BD1112C" w14:textId="77777777" w:rsidTr="00176213">
        <w:tc>
          <w:tcPr>
            <w:tcW w:w="3116" w:type="dxa"/>
          </w:tcPr>
          <w:p w14:paraId="693B4B91" w14:textId="77777777" w:rsidR="00221CE7" w:rsidRPr="00593380" w:rsidRDefault="00221CE7"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Total</w:t>
            </w:r>
          </w:p>
        </w:tc>
        <w:tc>
          <w:tcPr>
            <w:tcW w:w="3117" w:type="dxa"/>
          </w:tcPr>
          <w:p w14:paraId="22CED7DD" w14:textId="77777777" w:rsidR="00221CE7" w:rsidRPr="00593380" w:rsidRDefault="00221CE7"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1000</w:t>
            </w:r>
          </w:p>
        </w:tc>
        <w:tc>
          <w:tcPr>
            <w:tcW w:w="3117" w:type="dxa"/>
          </w:tcPr>
          <w:p w14:paraId="743BF91F" w14:textId="77777777" w:rsidR="00221CE7" w:rsidRPr="00593380" w:rsidRDefault="00221CE7"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100.0</w:t>
            </w:r>
          </w:p>
        </w:tc>
      </w:tr>
    </w:tbl>
    <w:p w14:paraId="507F4315" w14:textId="4B2F933B" w:rsidR="00C64D8D" w:rsidRPr="00593380" w:rsidRDefault="00C542E8" w:rsidP="00593380">
      <w:pPr>
        <w:spacing w:line="360" w:lineRule="auto"/>
        <w:jc w:val="both"/>
        <w:rPr>
          <w:rFonts w:ascii="Times New Roman" w:hAnsi="Times New Roman" w:cs="Times New Roman"/>
          <w:color w:val="000000" w:themeColor="text1"/>
        </w:rPr>
      </w:pPr>
      <w:r w:rsidRPr="00593380">
        <w:rPr>
          <w:rFonts w:ascii="Times New Roman" w:hAnsi="Times New Roman" w:cs="Times New Roman"/>
          <w:color w:val="000000" w:themeColor="text1"/>
        </w:rPr>
        <w:t xml:space="preserve">Source: Field </w:t>
      </w:r>
      <w:r w:rsidR="00221CE7" w:rsidRPr="00593380">
        <w:rPr>
          <w:rFonts w:ascii="Times New Roman" w:hAnsi="Times New Roman" w:cs="Times New Roman"/>
          <w:color w:val="000000" w:themeColor="text1"/>
        </w:rPr>
        <w:t>Survey, 2024.</w:t>
      </w:r>
    </w:p>
    <w:p w14:paraId="79FB7772" w14:textId="272E70D1" w:rsidR="00221CE7" w:rsidRPr="00593380" w:rsidRDefault="00221CE7" w:rsidP="00593380">
      <w:pPr>
        <w:spacing w:line="360" w:lineRule="auto"/>
        <w:jc w:val="both"/>
        <w:rPr>
          <w:rFonts w:ascii="Times New Roman" w:hAnsi="Times New Roman" w:cs="Times New Roman"/>
          <w:color w:val="000000" w:themeColor="text1"/>
        </w:rPr>
      </w:pPr>
      <w:r w:rsidRPr="00593380">
        <w:rPr>
          <w:rFonts w:ascii="Times New Roman" w:hAnsi="Times New Roman" w:cs="Times New Roman"/>
          <w:color w:val="000000" w:themeColor="text1"/>
        </w:rPr>
        <w:t xml:space="preserve">Table </w:t>
      </w:r>
      <w:r w:rsidR="001B05AB" w:rsidRPr="00593380">
        <w:rPr>
          <w:rFonts w:ascii="Times New Roman" w:hAnsi="Times New Roman" w:cs="Times New Roman"/>
          <w:color w:val="000000" w:themeColor="text1"/>
        </w:rPr>
        <w:t xml:space="preserve">1 </w:t>
      </w:r>
      <w:r w:rsidRPr="00593380">
        <w:rPr>
          <w:rFonts w:ascii="Times New Roman" w:hAnsi="Times New Roman" w:cs="Times New Roman"/>
          <w:color w:val="000000" w:themeColor="text1"/>
        </w:rPr>
        <w:t xml:space="preserve">illustrates the responses of 1000 participants regarding the financial stability of Nigerian tertiary institutions, revealing a mixed perception among the populace. Notably, approximately 35% of respondents expressed confidence in the financial stability of these institutions, contrasting with the majority opinion of 55% who believe otherwise. This discrepancy suggests a significant level of concern within the public regarding the financial health of universities and colleges in Nigeria. Additionally, about 10% of respondents admitted to uncertainty regarding the matter, indicating a potential lack of information or awareness. These findings underscore the importance of further research into the revenue </w:t>
      </w:r>
      <w:r w:rsidRPr="00593380">
        <w:rPr>
          <w:rFonts w:ascii="Times New Roman" w:hAnsi="Times New Roman" w:cs="Times New Roman"/>
          <w:color w:val="000000" w:themeColor="text1"/>
        </w:rPr>
        <w:lastRenderedPageBreak/>
        <w:t>generation strategies employed by tertiary institutions to address financial challenges and enhance sustainability. Success stories from certain institutions might have contributed to the positive perception held by some respondents, while others may have been influenced by broader economic challenges or concerns about financial mismanagement. Moreover, the sizable portion of respondents who chose the "I don't know" option highlights a need for increased transparency and communication regarding institutional finances to better inform the public. Overall, the results emphasize the complexity of the financial landscape of Nigerian tertiary institutions and the necessity for proactive measures to ensure their long-term viability and effectiveness in providing quality education.</w:t>
      </w:r>
    </w:p>
    <w:p w14:paraId="65B65119" w14:textId="334EF1BB" w:rsidR="00FF2BAE" w:rsidRPr="00593380" w:rsidRDefault="001B05AB" w:rsidP="00593380">
      <w:pPr>
        <w:spacing w:after="0" w:line="360" w:lineRule="auto"/>
        <w:jc w:val="both"/>
        <w:rPr>
          <w:rFonts w:ascii="Times New Roman" w:hAnsi="Times New Roman" w:cs="Times New Roman"/>
          <w:b/>
          <w:bCs/>
          <w:color w:val="000000" w:themeColor="text1"/>
        </w:rPr>
      </w:pPr>
      <w:r w:rsidRPr="00593380">
        <w:rPr>
          <w:rFonts w:ascii="Times New Roman" w:hAnsi="Times New Roman" w:cs="Times New Roman"/>
          <w:b/>
          <w:bCs/>
          <w:color w:val="000000" w:themeColor="text1"/>
        </w:rPr>
        <w:t xml:space="preserve">Table </w:t>
      </w:r>
      <w:r w:rsidR="00AE00E4" w:rsidRPr="00593380">
        <w:rPr>
          <w:rFonts w:ascii="Times New Roman" w:hAnsi="Times New Roman" w:cs="Times New Roman"/>
          <w:b/>
          <w:bCs/>
          <w:color w:val="000000" w:themeColor="text1"/>
        </w:rPr>
        <w:t>2</w:t>
      </w:r>
      <w:r w:rsidRPr="00593380">
        <w:rPr>
          <w:rFonts w:ascii="Times New Roman" w:hAnsi="Times New Roman" w:cs="Times New Roman"/>
          <w:b/>
          <w:bCs/>
          <w:color w:val="000000" w:themeColor="text1"/>
        </w:rPr>
        <w:t>:</w:t>
      </w:r>
      <w:r w:rsidR="00FF23B9" w:rsidRPr="00593380">
        <w:rPr>
          <w:rFonts w:ascii="Times New Roman" w:hAnsi="Times New Roman" w:cs="Times New Roman"/>
          <w:b/>
          <w:bCs/>
          <w:color w:val="000000" w:themeColor="text1"/>
        </w:rPr>
        <w:t xml:space="preserve"> </w:t>
      </w:r>
      <w:r w:rsidR="00640BE7" w:rsidRPr="00593380">
        <w:rPr>
          <w:rFonts w:ascii="Times New Roman" w:hAnsi="Times New Roman" w:cs="Times New Roman"/>
          <w:b/>
          <w:bCs/>
          <w:color w:val="000000" w:themeColor="text1"/>
        </w:rPr>
        <w:t>Diversification of Revenue Streams in Tertiary Institutions</w:t>
      </w:r>
    </w:p>
    <w:tbl>
      <w:tblPr>
        <w:tblStyle w:val="TableGrid"/>
        <w:tblW w:w="9355" w:type="dxa"/>
        <w:tblLook w:val="04A0" w:firstRow="1" w:lastRow="0" w:firstColumn="1" w:lastColumn="0" w:noHBand="0" w:noVBand="1"/>
      </w:tblPr>
      <w:tblGrid>
        <w:gridCol w:w="3932"/>
        <w:gridCol w:w="546"/>
        <w:gridCol w:w="546"/>
        <w:gridCol w:w="546"/>
        <w:gridCol w:w="546"/>
        <w:gridCol w:w="546"/>
        <w:gridCol w:w="1523"/>
        <w:gridCol w:w="1170"/>
      </w:tblGrid>
      <w:tr w:rsidR="00B02A11" w:rsidRPr="00593380" w14:paraId="5BB43A56" w14:textId="77777777" w:rsidTr="004D096C">
        <w:trPr>
          <w:trHeight w:val="517"/>
        </w:trPr>
        <w:tc>
          <w:tcPr>
            <w:tcW w:w="0" w:type="auto"/>
            <w:hideMark/>
          </w:tcPr>
          <w:p w14:paraId="1E5227CB" w14:textId="6AC6AF6C" w:rsidR="00FF2BAE" w:rsidRPr="00593380" w:rsidRDefault="001B05AB" w:rsidP="00D03BEA">
            <w:pPr>
              <w:jc w:val="both"/>
              <w:rPr>
                <w:rFonts w:ascii="Times New Roman" w:hAnsi="Times New Roman" w:cs="Times New Roman"/>
                <w:b/>
                <w:bCs/>
                <w:color w:val="000000" w:themeColor="text1"/>
              </w:rPr>
            </w:pPr>
            <w:r w:rsidRPr="00593380">
              <w:rPr>
                <w:rFonts w:ascii="Times New Roman" w:hAnsi="Times New Roman" w:cs="Times New Roman"/>
                <w:b/>
                <w:bCs/>
                <w:color w:val="000000" w:themeColor="text1"/>
              </w:rPr>
              <w:t xml:space="preserve">Statement </w:t>
            </w:r>
          </w:p>
        </w:tc>
        <w:tc>
          <w:tcPr>
            <w:tcW w:w="0" w:type="auto"/>
            <w:hideMark/>
          </w:tcPr>
          <w:p w14:paraId="50CD45F3" w14:textId="5E669575" w:rsidR="00FF2BAE" w:rsidRPr="00593380" w:rsidRDefault="004D096C" w:rsidP="00D03BEA">
            <w:pPr>
              <w:jc w:val="both"/>
              <w:rPr>
                <w:rFonts w:ascii="Times New Roman" w:hAnsi="Times New Roman" w:cs="Times New Roman"/>
                <w:b/>
                <w:bCs/>
                <w:color w:val="000000" w:themeColor="text1"/>
              </w:rPr>
            </w:pPr>
            <w:r w:rsidRPr="00593380">
              <w:rPr>
                <w:rFonts w:ascii="Times New Roman" w:hAnsi="Times New Roman" w:cs="Times New Roman"/>
                <w:b/>
                <w:bCs/>
                <w:color w:val="000000" w:themeColor="text1"/>
              </w:rPr>
              <w:t>SA</w:t>
            </w:r>
          </w:p>
        </w:tc>
        <w:tc>
          <w:tcPr>
            <w:tcW w:w="0" w:type="auto"/>
            <w:hideMark/>
          </w:tcPr>
          <w:p w14:paraId="6E0165BF" w14:textId="008E725D" w:rsidR="00FF2BAE" w:rsidRPr="00593380" w:rsidRDefault="004D096C" w:rsidP="00D03BEA">
            <w:pPr>
              <w:jc w:val="both"/>
              <w:rPr>
                <w:rFonts w:ascii="Times New Roman" w:hAnsi="Times New Roman" w:cs="Times New Roman"/>
                <w:b/>
                <w:bCs/>
                <w:color w:val="000000" w:themeColor="text1"/>
              </w:rPr>
            </w:pPr>
            <w:r w:rsidRPr="00593380">
              <w:rPr>
                <w:rFonts w:ascii="Times New Roman" w:hAnsi="Times New Roman" w:cs="Times New Roman"/>
                <w:b/>
                <w:bCs/>
                <w:color w:val="000000" w:themeColor="text1"/>
              </w:rPr>
              <w:t>A</w:t>
            </w:r>
          </w:p>
        </w:tc>
        <w:tc>
          <w:tcPr>
            <w:tcW w:w="0" w:type="auto"/>
            <w:hideMark/>
          </w:tcPr>
          <w:p w14:paraId="46A954DC" w14:textId="11114858" w:rsidR="00FF2BAE" w:rsidRPr="00593380" w:rsidRDefault="004D096C" w:rsidP="00D03BEA">
            <w:pPr>
              <w:jc w:val="both"/>
              <w:rPr>
                <w:rFonts w:ascii="Times New Roman" w:hAnsi="Times New Roman" w:cs="Times New Roman"/>
                <w:b/>
                <w:bCs/>
                <w:color w:val="000000" w:themeColor="text1"/>
              </w:rPr>
            </w:pPr>
            <w:r w:rsidRPr="00593380">
              <w:rPr>
                <w:rFonts w:ascii="Times New Roman" w:hAnsi="Times New Roman" w:cs="Times New Roman"/>
                <w:b/>
                <w:bCs/>
                <w:color w:val="000000" w:themeColor="text1"/>
              </w:rPr>
              <w:t>N</w:t>
            </w:r>
          </w:p>
        </w:tc>
        <w:tc>
          <w:tcPr>
            <w:tcW w:w="0" w:type="auto"/>
            <w:hideMark/>
          </w:tcPr>
          <w:p w14:paraId="69295B27" w14:textId="2A9235DE" w:rsidR="00FF2BAE" w:rsidRPr="00593380" w:rsidRDefault="004D096C" w:rsidP="00D03BEA">
            <w:pPr>
              <w:jc w:val="both"/>
              <w:rPr>
                <w:rFonts w:ascii="Times New Roman" w:hAnsi="Times New Roman" w:cs="Times New Roman"/>
                <w:b/>
                <w:bCs/>
                <w:color w:val="000000" w:themeColor="text1"/>
              </w:rPr>
            </w:pPr>
            <w:r w:rsidRPr="00593380">
              <w:rPr>
                <w:rFonts w:ascii="Times New Roman" w:hAnsi="Times New Roman" w:cs="Times New Roman"/>
                <w:b/>
                <w:bCs/>
                <w:color w:val="000000" w:themeColor="text1"/>
              </w:rPr>
              <w:t>D</w:t>
            </w:r>
          </w:p>
        </w:tc>
        <w:tc>
          <w:tcPr>
            <w:tcW w:w="0" w:type="auto"/>
            <w:hideMark/>
          </w:tcPr>
          <w:p w14:paraId="729AE233" w14:textId="4772E1C0" w:rsidR="00FF2BAE" w:rsidRPr="00593380" w:rsidRDefault="004D096C" w:rsidP="00D03BEA">
            <w:pPr>
              <w:jc w:val="both"/>
              <w:rPr>
                <w:rFonts w:ascii="Times New Roman" w:hAnsi="Times New Roman" w:cs="Times New Roman"/>
                <w:b/>
                <w:bCs/>
                <w:color w:val="000000" w:themeColor="text1"/>
              </w:rPr>
            </w:pPr>
            <w:r w:rsidRPr="00593380">
              <w:rPr>
                <w:rFonts w:ascii="Times New Roman" w:hAnsi="Times New Roman" w:cs="Times New Roman"/>
                <w:b/>
                <w:bCs/>
                <w:color w:val="000000" w:themeColor="text1"/>
              </w:rPr>
              <w:t>SD</w:t>
            </w:r>
          </w:p>
        </w:tc>
        <w:tc>
          <w:tcPr>
            <w:tcW w:w="1523" w:type="dxa"/>
            <w:hideMark/>
          </w:tcPr>
          <w:p w14:paraId="3AE4A21C" w14:textId="77777777" w:rsidR="00FF2BAE" w:rsidRPr="00593380" w:rsidRDefault="00FF2BAE" w:rsidP="00D03BEA">
            <w:pPr>
              <w:jc w:val="both"/>
              <w:rPr>
                <w:rFonts w:ascii="Times New Roman" w:hAnsi="Times New Roman" w:cs="Times New Roman"/>
                <w:b/>
                <w:bCs/>
                <w:color w:val="000000" w:themeColor="text1"/>
              </w:rPr>
            </w:pPr>
            <w:r w:rsidRPr="00593380">
              <w:rPr>
                <w:rFonts w:ascii="Times New Roman" w:hAnsi="Times New Roman" w:cs="Times New Roman"/>
                <w:b/>
                <w:bCs/>
                <w:color w:val="000000" w:themeColor="text1"/>
              </w:rPr>
              <w:t>Total Respondents</w:t>
            </w:r>
          </w:p>
        </w:tc>
        <w:tc>
          <w:tcPr>
            <w:tcW w:w="1170" w:type="dxa"/>
            <w:hideMark/>
          </w:tcPr>
          <w:p w14:paraId="702BCF15" w14:textId="77777777" w:rsidR="00FF2BAE" w:rsidRPr="00593380" w:rsidRDefault="00FF2BAE" w:rsidP="00D03BEA">
            <w:pPr>
              <w:jc w:val="both"/>
              <w:rPr>
                <w:rFonts w:ascii="Times New Roman" w:hAnsi="Times New Roman" w:cs="Times New Roman"/>
                <w:b/>
                <w:bCs/>
                <w:color w:val="000000" w:themeColor="text1"/>
              </w:rPr>
            </w:pPr>
            <w:r w:rsidRPr="00593380">
              <w:rPr>
                <w:rFonts w:ascii="Times New Roman" w:hAnsi="Times New Roman" w:cs="Times New Roman"/>
                <w:b/>
                <w:bCs/>
                <w:color w:val="000000" w:themeColor="text1"/>
              </w:rPr>
              <w:t>Mean Response</w:t>
            </w:r>
          </w:p>
        </w:tc>
      </w:tr>
      <w:tr w:rsidR="00B02A11" w:rsidRPr="00593380" w14:paraId="23D213A0" w14:textId="77777777" w:rsidTr="004D096C">
        <w:trPr>
          <w:trHeight w:val="1088"/>
        </w:trPr>
        <w:tc>
          <w:tcPr>
            <w:tcW w:w="0" w:type="auto"/>
            <w:hideMark/>
          </w:tcPr>
          <w:p w14:paraId="2C2EC9B0" w14:textId="77777777" w:rsidR="00FF2BAE" w:rsidRPr="00593380" w:rsidRDefault="00FF2BAE"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Dependency on tuition fees and other payable expenses by students will bring about financial sustainability to tertiary institutions.</w:t>
            </w:r>
          </w:p>
        </w:tc>
        <w:tc>
          <w:tcPr>
            <w:tcW w:w="0" w:type="auto"/>
            <w:hideMark/>
          </w:tcPr>
          <w:p w14:paraId="19FC339D" w14:textId="77777777" w:rsidR="00FF2BAE" w:rsidRPr="00593380" w:rsidRDefault="00FF2BAE"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200</w:t>
            </w:r>
          </w:p>
        </w:tc>
        <w:tc>
          <w:tcPr>
            <w:tcW w:w="0" w:type="auto"/>
            <w:hideMark/>
          </w:tcPr>
          <w:p w14:paraId="7B54DD3B" w14:textId="77777777" w:rsidR="00FF2BAE" w:rsidRPr="00593380" w:rsidRDefault="00FF2BAE"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250</w:t>
            </w:r>
          </w:p>
        </w:tc>
        <w:tc>
          <w:tcPr>
            <w:tcW w:w="0" w:type="auto"/>
            <w:hideMark/>
          </w:tcPr>
          <w:p w14:paraId="01B8206A" w14:textId="77777777" w:rsidR="00FF2BAE" w:rsidRPr="00593380" w:rsidRDefault="00FF2BAE"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200</w:t>
            </w:r>
          </w:p>
        </w:tc>
        <w:tc>
          <w:tcPr>
            <w:tcW w:w="0" w:type="auto"/>
            <w:hideMark/>
          </w:tcPr>
          <w:p w14:paraId="0FC03F47" w14:textId="77777777" w:rsidR="00FF2BAE" w:rsidRPr="00593380" w:rsidRDefault="00FF2BAE"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200</w:t>
            </w:r>
          </w:p>
        </w:tc>
        <w:tc>
          <w:tcPr>
            <w:tcW w:w="0" w:type="auto"/>
            <w:hideMark/>
          </w:tcPr>
          <w:p w14:paraId="5D48462F" w14:textId="77777777" w:rsidR="00FF2BAE" w:rsidRPr="00593380" w:rsidRDefault="00FF2BAE"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150</w:t>
            </w:r>
          </w:p>
        </w:tc>
        <w:tc>
          <w:tcPr>
            <w:tcW w:w="1523" w:type="dxa"/>
            <w:hideMark/>
          </w:tcPr>
          <w:p w14:paraId="38B95D2E" w14:textId="77777777" w:rsidR="00FF2BAE" w:rsidRPr="00593380" w:rsidRDefault="00FF2BAE"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1000</w:t>
            </w:r>
          </w:p>
        </w:tc>
        <w:tc>
          <w:tcPr>
            <w:tcW w:w="1170" w:type="dxa"/>
            <w:hideMark/>
          </w:tcPr>
          <w:p w14:paraId="3A387AF6" w14:textId="77777777" w:rsidR="00FF2BAE" w:rsidRPr="00593380" w:rsidRDefault="00FF2BAE"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3.6</w:t>
            </w:r>
          </w:p>
        </w:tc>
      </w:tr>
      <w:tr w:rsidR="00B02A11" w:rsidRPr="00593380" w14:paraId="00C50061" w14:textId="77777777" w:rsidTr="00D03BEA">
        <w:trPr>
          <w:trHeight w:val="1007"/>
        </w:trPr>
        <w:tc>
          <w:tcPr>
            <w:tcW w:w="0" w:type="auto"/>
            <w:hideMark/>
          </w:tcPr>
          <w:p w14:paraId="4D4795F3" w14:textId="23C5AED0" w:rsidR="00FF2BAE" w:rsidRPr="00593380" w:rsidRDefault="00FF2BAE"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Investing in other sectors such as agriculture, tourism</w:t>
            </w:r>
            <w:r w:rsidR="00B86E0A" w:rsidRPr="00593380">
              <w:rPr>
                <w:rFonts w:ascii="Times New Roman" w:hAnsi="Times New Roman" w:cs="Times New Roman"/>
                <w:color w:val="000000" w:themeColor="text1"/>
              </w:rPr>
              <w:t>,</w:t>
            </w:r>
            <w:r w:rsidRPr="00593380">
              <w:rPr>
                <w:rFonts w:ascii="Times New Roman" w:hAnsi="Times New Roman" w:cs="Times New Roman"/>
                <w:color w:val="000000" w:themeColor="text1"/>
              </w:rPr>
              <w:t xml:space="preserve"> and innovation will bring about financial sustainability to our tertiary institutions.</w:t>
            </w:r>
          </w:p>
        </w:tc>
        <w:tc>
          <w:tcPr>
            <w:tcW w:w="0" w:type="auto"/>
            <w:hideMark/>
          </w:tcPr>
          <w:p w14:paraId="4E50674A" w14:textId="77777777" w:rsidR="00FF2BAE" w:rsidRPr="00593380" w:rsidRDefault="00FF2BAE"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250</w:t>
            </w:r>
          </w:p>
        </w:tc>
        <w:tc>
          <w:tcPr>
            <w:tcW w:w="0" w:type="auto"/>
            <w:hideMark/>
          </w:tcPr>
          <w:p w14:paraId="7D975DD1" w14:textId="77777777" w:rsidR="00FF2BAE" w:rsidRPr="00593380" w:rsidRDefault="00FF2BAE"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200</w:t>
            </w:r>
          </w:p>
        </w:tc>
        <w:tc>
          <w:tcPr>
            <w:tcW w:w="0" w:type="auto"/>
            <w:hideMark/>
          </w:tcPr>
          <w:p w14:paraId="32F71642" w14:textId="77777777" w:rsidR="00FF2BAE" w:rsidRPr="00593380" w:rsidRDefault="00FF2BAE"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150</w:t>
            </w:r>
          </w:p>
        </w:tc>
        <w:tc>
          <w:tcPr>
            <w:tcW w:w="0" w:type="auto"/>
            <w:hideMark/>
          </w:tcPr>
          <w:p w14:paraId="4C1DBB37" w14:textId="77777777" w:rsidR="00FF2BAE" w:rsidRPr="00593380" w:rsidRDefault="00FF2BAE"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150</w:t>
            </w:r>
          </w:p>
        </w:tc>
        <w:tc>
          <w:tcPr>
            <w:tcW w:w="0" w:type="auto"/>
            <w:hideMark/>
          </w:tcPr>
          <w:p w14:paraId="2BA413A2" w14:textId="77777777" w:rsidR="00FF2BAE" w:rsidRPr="00593380" w:rsidRDefault="00FF2BAE"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250</w:t>
            </w:r>
          </w:p>
        </w:tc>
        <w:tc>
          <w:tcPr>
            <w:tcW w:w="1523" w:type="dxa"/>
            <w:hideMark/>
          </w:tcPr>
          <w:p w14:paraId="509201D8" w14:textId="77777777" w:rsidR="00FF2BAE" w:rsidRPr="00593380" w:rsidRDefault="00FF2BAE"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1000</w:t>
            </w:r>
          </w:p>
        </w:tc>
        <w:tc>
          <w:tcPr>
            <w:tcW w:w="1170" w:type="dxa"/>
            <w:hideMark/>
          </w:tcPr>
          <w:p w14:paraId="0C5DAD10" w14:textId="77777777" w:rsidR="00FF2BAE" w:rsidRPr="00593380" w:rsidRDefault="00FF2BAE"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3.6</w:t>
            </w:r>
          </w:p>
        </w:tc>
      </w:tr>
      <w:tr w:rsidR="00B02A11" w:rsidRPr="00593380" w14:paraId="2CC4C99F" w14:textId="77777777" w:rsidTr="00D03BEA">
        <w:trPr>
          <w:trHeight w:val="800"/>
        </w:trPr>
        <w:tc>
          <w:tcPr>
            <w:tcW w:w="0" w:type="auto"/>
            <w:hideMark/>
          </w:tcPr>
          <w:p w14:paraId="20AC3A3E" w14:textId="77777777" w:rsidR="00FF2BAE" w:rsidRPr="00593380" w:rsidRDefault="00FF2BAE"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Do you think establishing a radio station or a mechanic garage will bring financial prosperity to tertiary institutions?</w:t>
            </w:r>
          </w:p>
        </w:tc>
        <w:tc>
          <w:tcPr>
            <w:tcW w:w="0" w:type="auto"/>
            <w:hideMark/>
          </w:tcPr>
          <w:p w14:paraId="0A432E6D" w14:textId="77777777" w:rsidR="00FF2BAE" w:rsidRPr="00593380" w:rsidRDefault="00FF2BAE"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150</w:t>
            </w:r>
          </w:p>
        </w:tc>
        <w:tc>
          <w:tcPr>
            <w:tcW w:w="0" w:type="auto"/>
            <w:hideMark/>
          </w:tcPr>
          <w:p w14:paraId="4E58B8AB" w14:textId="77777777" w:rsidR="00FF2BAE" w:rsidRPr="00593380" w:rsidRDefault="00FF2BAE"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150</w:t>
            </w:r>
          </w:p>
        </w:tc>
        <w:tc>
          <w:tcPr>
            <w:tcW w:w="0" w:type="auto"/>
            <w:hideMark/>
          </w:tcPr>
          <w:p w14:paraId="3CB148A2" w14:textId="77777777" w:rsidR="00FF2BAE" w:rsidRPr="00593380" w:rsidRDefault="00FF2BAE"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200</w:t>
            </w:r>
          </w:p>
        </w:tc>
        <w:tc>
          <w:tcPr>
            <w:tcW w:w="0" w:type="auto"/>
            <w:hideMark/>
          </w:tcPr>
          <w:p w14:paraId="783C3C2D" w14:textId="77777777" w:rsidR="00FF2BAE" w:rsidRPr="00593380" w:rsidRDefault="00FF2BAE"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250</w:t>
            </w:r>
          </w:p>
        </w:tc>
        <w:tc>
          <w:tcPr>
            <w:tcW w:w="0" w:type="auto"/>
            <w:hideMark/>
          </w:tcPr>
          <w:p w14:paraId="39DD7592" w14:textId="77777777" w:rsidR="00FF2BAE" w:rsidRPr="00593380" w:rsidRDefault="00FF2BAE"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250</w:t>
            </w:r>
          </w:p>
        </w:tc>
        <w:tc>
          <w:tcPr>
            <w:tcW w:w="1523" w:type="dxa"/>
            <w:hideMark/>
          </w:tcPr>
          <w:p w14:paraId="7FF4392D" w14:textId="77777777" w:rsidR="00FF2BAE" w:rsidRPr="00593380" w:rsidRDefault="00FF2BAE"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1000</w:t>
            </w:r>
          </w:p>
        </w:tc>
        <w:tc>
          <w:tcPr>
            <w:tcW w:w="1170" w:type="dxa"/>
            <w:hideMark/>
          </w:tcPr>
          <w:p w14:paraId="57427D11" w14:textId="77777777" w:rsidR="00FF2BAE" w:rsidRPr="00593380" w:rsidRDefault="00FF2BAE"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3.2</w:t>
            </w:r>
          </w:p>
        </w:tc>
      </w:tr>
      <w:tr w:rsidR="00B02A11" w:rsidRPr="00593380" w14:paraId="5B7C4766" w14:textId="77777777" w:rsidTr="004D096C">
        <w:trPr>
          <w:trHeight w:val="620"/>
        </w:trPr>
        <w:tc>
          <w:tcPr>
            <w:tcW w:w="0" w:type="auto"/>
            <w:hideMark/>
          </w:tcPr>
          <w:p w14:paraId="1477A770" w14:textId="05AE14C3" w:rsidR="00FF2BAE" w:rsidRPr="00593380" w:rsidRDefault="00FF2BAE"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 xml:space="preserve">Collaboration with fertilizer companies to produce quality and competitive products will help </w:t>
            </w:r>
            <w:r w:rsidR="00B86E0A" w:rsidRPr="00593380">
              <w:rPr>
                <w:rFonts w:ascii="Times New Roman" w:hAnsi="Times New Roman" w:cs="Times New Roman"/>
                <w:color w:val="000000" w:themeColor="text1"/>
              </w:rPr>
              <w:t>generate</w:t>
            </w:r>
            <w:r w:rsidRPr="00593380">
              <w:rPr>
                <w:rFonts w:ascii="Times New Roman" w:hAnsi="Times New Roman" w:cs="Times New Roman"/>
                <w:color w:val="000000" w:themeColor="text1"/>
              </w:rPr>
              <w:t xml:space="preserve"> huge revenue </w:t>
            </w:r>
            <w:r w:rsidR="00B86E0A" w:rsidRPr="00593380">
              <w:rPr>
                <w:rFonts w:ascii="Times New Roman" w:hAnsi="Times New Roman" w:cs="Times New Roman"/>
                <w:color w:val="000000" w:themeColor="text1"/>
              </w:rPr>
              <w:t>for</w:t>
            </w:r>
            <w:r w:rsidRPr="00593380">
              <w:rPr>
                <w:rFonts w:ascii="Times New Roman" w:hAnsi="Times New Roman" w:cs="Times New Roman"/>
                <w:color w:val="000000" w:themeColor="text1"/>
              </w:rPr>
              <w:t xml:space="preserve"> our institutions.</w:t>
            </w:r>
          </w:p>
        </w:tc>
        <w:tc>
          <w:tcPr>
            <w:tcW w:w="0" w:type="auto"/>
            <w:hideMark/>
          </w:tcPr>
          <w:p w14:paraId="4D5F42E3" w14:textId="77777777" w:rsidR="00FF2BAE" w:rsidRPr="00593380" w:rsidRDefault="00FF2BAE"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280</w:t>
            </w:r>
          </w:p>
        </w:tc>
        <w:tc>
          <w:tcPr>
            <w:tcW w:w="0" w:type="auto"/>
            <w:hideMark/>
          </w:tcPr>
          <w:p w14:paraId="5A95D814" w14:textId="77777777" w:rsidR="00FF2BAE" w:rsidRPr="00593380" w:rsidRDefault="00FF2BAE"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180</w:t>
            </w:r>
          </w:p>
        </w:tc>
        <w:tc>
          <w:tcPr>
            <w:tcW w:w="0" w:type="auto"/>
            <w:hideMark/>
          </w:tcPr>
          <w:p w14:paraId="418F5A65" w14:textId="77777777" w:rsidR="00FF2BAE" w:rsidRPr="00593380" w:rsidRDefault="00FF2BAE"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150</w:t>
            </w:r>
          </w:p>
        </w:tc>
        <w:tc>
          <w:tcPr>
            <w:tcW w:w="0" w:type="auto"/>
            <w:hideMark/>
          </w:tcPr>
          <w:p w14:paraId="338BBA72" w14:textId="77777777" w:rsidR="00FF2BAE" w:rsidRPr="00593380" w:rsidRDefault="00FF2BAE"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120</w:t>
            </w:r>
          </w:p>
        </w:tc>
        <w:tc>
          <w:tcPr>
            <w:tcW w:w="0" w:type="auto"/>
            <w:hideMark/>
          </w:tcPr>
          <w:p w14:paraId="127C7485" w14:textId="77777777" w:rsidR="00FF2BAE" w:rsidRPr="00593380" w:rsidRDefault="00FF2BAE"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270</w:t>
            </w:r>
          </w:p>
        </w:tc>
        <w:tc>
          <w:tcPr>
            <w:tcW w:w="1523" w:type="dxa"/>
            <w:hideMark/>
          </w:tcPr>
          <w:p w14:paraId="4B8EC245" w14:textId="77777777" w:rsidR="00FF2BAE" w:rsidRPr="00593380" w:rsidRDefault="00FF2BAE"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1000</w:t>
            </w:r>
          </w:p>
        </w:tc>
        <w:tc>
          <w:tcPr>
            <w:tcW w:w="1170" w:type="dxa"/>
            <w:hideMark/>
          </w:tcPr>
          <w:p w14:paraId="3EBFB47F" w14:textId="77777777" w:rsidR="00FF2BAE" w:rsidRPr="00593380" w:rsidRDefault="00FF2BAE"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3.8</w:t>
            </w:r>
          </w:p>
        </w:tc>
      </w:tr>
      <w:tr w:rsidR="00B02A11" w:rsidRPr="00593380" w14:paraId="77336CFB" w14:textId="77777777" w:rsidTr="00D03BEA">
        <w:trPr>
          <w:trHeight w:val="575"/>
        </w:trPr>
        <w:tc>
          <w:tcPr>
            <w:tcW w:w="0" w:type="auto"/>
            <w:hideMark/>
          </w:tcPr>
          <w:p w14:paraId="49CBF709" w14:textId="1F1627C4" w:rsidR="00FF2BAE" w:rsidRPr="00593380" w:rsidRDefault="00FF2BAE"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 xml:space="preserve">Seedling production and herbicide sales </w:t>
            </w:r>
            <w:r w:rsidR="00B86E0A" w:rsidRPr="00593380">
              <w:rPr>
                <w:rFonts w:ascii="Times New Roman" w:hAnsi="Times New Roman" w:cs="Times New Roman"/>
                <w:color w:val="000000" w:themeColor="text1"/>
              </w:rPr>
              <w:t>are</w:t>
            </w:r>
            <w:r w:rsidRPr="00593380">
              <w:rPr>
                <w:rFonts w:ascii="Times New Roman" w:hAnsi="Times New Roman" w:cs="Times New Roman"/>
                <w:color w:val="000000" w:themeColor="text1"/>
              </w:rPr>
              <w:t xml:space="preserve"> a prosperous business in Nigeria.</w:t>
            </w:r>
          </w:p>
        </w:tc>
        <w:tc>
          <w:tcPr>
            <w:tcW w:w="0" w:type="auto"/>
            <w:hideMark/>
          </w:tcPr>
          <w:p w14:paraId="30D0EC16" w14:textId="77777777" w:rsidR="00FF2BAE" w:rsidRPr="00593380" w:rsidRDefault="00FF2BAE"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180</w:t>
            </w:r>
          </w:p>
        </w:tc>
        <w:tc>
          <w:tcPr>
            <w:tcW w:w="0" w:type="auto"/>
            <w:hideMark/>
          </w:tcPr>
          <w:p w14:paraId="59FDDD56" w14:textId="77777777" w:rsidR="00FF2BAE" w:rsidRPr="00593380" w:rsidRDefault="00FF2BAE"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250</w:t>
            </w:r>
          </w:p>
        </w:tc>
        <w:tc>
          <w:tcPr>
            <w:tcW w:w="0" w:type="auto"/>
            <w:hideMark/>
          </w:tcPr>
          <w:p w14:paraId="7B2101CF" w14:textId="77777777" w:rsidR="00FF2BAE" w:rsidRPr="00593380" w:rsidRDefault="00FF2BAE"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200</w:t>
            </w:r>
          </w:p>
        </w:tc>
        <w:tc>
          <w:tcPr>
            <w:tcW w:w="0" w:type="auto"/>
            <w:hideMark/>
          </w:tcPr>
          <w:p w14:paraId="3C4F4CAC" w14:textId="77777777" w:rsidR="00FF2BAE" w:rsidRPr="00593380" w:rsidRDefault="00FF2BAE"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150</w:t>
            </w:r>
          </w:p>
        </w:tc>
        <w:tc>
          <w:tcPr>
            <w:tcW w:w="0" w:type="auto"/>
            <w:hideMark/>
          </w:tcPr>
          <w:p w14:paraId="493D40AB" w14:textId="77777777" w:rsidR="00FF2BAE" w:rsidRPr="00593380" w:rsidRDefault="00FF2BAE"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220</w:t>
            </w:r>
          </w:p>
        </w:tc>
        <w:tc>
          <w:tcPr>
            <w:tcW w:w="1523" w:type="dxa"/>
            <w:hideMark/>
          </w:tcPr>
          <w:p w14:paraId="4DE6C653" w14:textId="77777777" w:rsidR="00FF2BAE" w:rsidRPr="00593380" w:rsidRDefault="00FF2BAE"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1000</w:t>
            </w:r>
          </w:p>
        </w:tc>
        <w:tc>
          <w:tcPr>
            <w:tcW w:w="1170" w:type="dxa"/>
            <w:hideMark/>
          </w:tcPr>
          <w:p w14:paraId="29532EB4" w14:textId="77777777" w:rsidR="00FF2BAE" w:rsidRPr="00593380" w:rsidRDefault="00FF2BAE"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3.6</w:t>
            </w:r>
          </w:p>
        </w:tc>
      </w:tr>
      <w:tr w:rsidR="00B02A11" w:rsidRPr="00593380" w14:paraId="738CC38B" w14:textId="77777777" w:rsidTr="004D096C">
        <w:trPr>
          <w:trHeight w:val="845"/>
        </w:trPr>
        <w:tc>
          <w:tcPr>
            <w:tcW w:w="0" w:type="auto"/>
            <w:hideMark/>
          </w:tcPr>
          <w:p w14:paraId="0AE8BEDD" w14:textId="3BFFD369" w:rsidR="00FF2BAE" w:rsidRPr="00593380" w:rsidRDefault="00FF2BAE"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 xml:space="preserve">Catering services such as bakery and pastry are other sources of income </w:t>
            </w:r>
            <w:r w:rsidR="00B86E0A" w:rsidRPr="00593380">
              <w:rPr>
                <w:rFonts w:ascii="Times New Roman" w:hAnsi="Times New Roman" w:cs="Times New Roman"/>
                <w:color w:val="000000" w:themeColor="text1"/>
              </w:rPr>
              <w:t>for</w:t>
            </w:r>
            <w:r w:rsidRPr="00593380">
              <w:rPr>
                <w:rFonts w:ascii="Times New Roman" w:hAnsi="Times New Roman" w:cs="Times New Roman"/>
                <w:color w:val="000000" w:themeColor="text1"/>
              </w:rPr>
              <w:t xml:space="preserve"> any tertiary </w:t>
            </w:r>
            <w:r w:rsidR="00B86E0A" w:rsidRPr="00593380">
              <w:rPr>
                <w:rFonts w:ascii="Times New Roman" w:hAnsi="Times New Roman" w:cs="Times New Roman"/>
                <w:color w:val="000000" w:themeColor="text1"/>
              </w:rPr>
              <w:t>institution</w:t>
            </w:r>
            <w:r w:rsidRPr="00593380">
              <w:rPr>
                <w:rFonts w:ascii="Times New Roman" w:hAnsi="Times New Roman" w:cs="Times New Roman"/>
                <w:color w:val="000000" w:themeColor="text1"/>
              </w:rPr>
              <w:t>.</w:t>
            </w:r>
          </w:p>
        </w:tc>
        <w:tc>
          <w:tcPr>
            <w:tcW w:w="0" w:type="auto"/>
            <w:hideMark/>
          </w:tcPr>
          <w:p w14:paraId="1DEEEA7F" w14:textId="77777777" w:rsidR="00FF2BAE" w:rsidRPr="00593380" w:rsidRDefault="00FF2BAE"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260</w:t>
            </w:r>
          </w:p>
        </w:tc>
        <w:tc>
          <w:tcPr>
            <w:tcW w:w="0" w:type="auto"/>
            <w:hideMark/>
          </w:tcPr>
          <w:p w14:paraId="71A6C52D" w14:textId="77777777" w:rsidR="00FF2BAE" w:rsidRPr="00593380" w:rsidRDefault="00FF2BAE"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170</w:t>
            </w:r>
          </w:p>
        </w:tc>
        <w:tc>
          <w:tcPr>
            <w:tcW w:w="0" w:type="auto"/>
            <w:hideMark/>
          </w:tcPr>
          <w:p w14:paraId="25E754A6" w14:textId="77777777" w:rsidR="00FF2BAE" w:rsidRPr="00593380" w:rsidRDefault="00FF2BAE"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180</w:t>
            </w:r>
          </w:p>
        </w:tc>
        <w:tc>
          <w:tcPr>
            <w:tcW w:w="0" w:type="auto"/>
            <w:hideMark/>
          </w:tcPr>
          <w:p w14:paraId="36A71D2D" w14:textId="77777777" w:rsidR="00FF2BAE" w:rsidRPr="00593380" w:rsidRDefault="00FF2BAE"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180</w:t>
            </w:r>
          </w:p>
        </w:tc>
        <w:tc>
          <w:tcPr>
            <w:tcW w:w="0" w:type="auto"/>
            <w:hideMark/>
          </w:tcPr>
          <w:p w14:paraId="44171C04" w14:textId="77777777" w:rsidR="00FF2BAE" w:rsidRPr="00593380" w:rsidRDefault="00FF2BAE"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210</w:t>
            </w:r>
          </w:p>
        </w:tc>
        <w:tc>
          <w:tcPr>
            <w:tcW w:w="1523" w:type="dxa"/>
            <w:hideMark/>
          </w:tcPr>
          <w:p w14:paraId="459AA908" w14:textId="77777777" w:rsidR="00FF2BAE" w:rsidRPr="00593380" w:rsidRDefault="00FF2BAE"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1000</w:t>
            </w:r>
          </w:p>
        </w:tc>
        <w:tc>
          <w:tcPr>
            <w:tcW w:w="1170" w:type="dxa"/>
            <w:hideMark/>
          </w:tcPr>
          <w:p w14:paraId="5953811B" w14:textId="77777777" w:rsidR="00FF2BAE" w:rsidRPr="00593380" w:rsidRDefault="00FF2BAE"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3.8</w:t>
            </w:r>
          </w:p>
        </w:tc>
      </w:tr>
      <w:tr w:rsidR="00B02A11" w:rsidRPr="00593380" w14:paraId="509016AC" w14:textId="77777777" w:rsidTr="00D03BEA">
        <w:trPr>
          <w:trHeight w:val="845"/>
        </w:trPr>
        <w:tc>
          <w:tcPr>
            <w:tcW w:w="0" w:type="auto"/>
            <w:hideMark/>
          </w:tcPr>
          <w:p w14:paraId="7A36AA6C" w14:textId="30003A4F" w:rsidR="00FF2BAE" w:rsidRPr="00593380" w:rsidRDefault="00FF2BAE"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 xml:space="preserve">Banking services and </w:t>
            </w:r>
            <w:r w:rsidR="00B86E0A" w:rsidRPr="00593380">
              <w:rPr>
                <w:rFonts w:ascii="Times New Roman" w:hAnsi="Times New Roman" w:cs="Times New Roman"/>
                <w:color w:val="000000" w:themeColor="text1"/>
              </w:rPr>
              <w:t xml:space="preserve">the </w:t>
            </w:r>
            <w:r w:rsidRPr="00593380">
              <w:rPr>
                <w:rFonts w:ascii="Times New Roman" w:hAnsi="Times New Roman" w:cs="Times New Roman"/>
                <w:color w:val="000000" w:themeColor="text1"/>
              </w:rPr>
              <w:t>establishment of microfinance banks by tertiary institutions can generate a huge amount of revenue.</w:t>
            </w:r>
          </w:p>
        </w:tc>
        <w:tc>
          <w:tcPr>
            <w:tcW w:w="0" w:type="auto"/>
            <w:hideMark/>
          </w:tcPr>
          <w:p w14:paraId="1E34E60D" w14:textId="77777777" w:rsidR="00FF2BAE" w:rsidRPr="00593380" w:rsidRDefault="00FF2BAE"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300</w:t>
            </w:r>
          </w:p>
        </w:tc>
        <w:tc>
          <w:tcPr>
            <w:tcW w:w="0" w:type="auto"/>
            <w:hideMark/>
          </w:tcPr>
          <w:p w14:paraId="6E6A3B17" w14:textId="77777777" w:rsidR="00FF2BAE" w:rsidRPr="00593380" w:rsidRDefault="00FF2BAE"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150</w:t>
            </w:r>
          </w:p>
        </w:tc>
        <w:tc>
          <w:tcPr>
            <w:tcW w:w="0" w:type="auto"/>
            <w:hideMark/>
          </w:tcPr>
          <w:p w14:paraId="7C69CE4C" w14:textId="77777777" w:rsidR="00FF2BAE" w:rsidRPr="00593380" w:rsidRDefault="00FF2BAE"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250</w:t>
            </w:r>
          </w:p>
        </w:tc>
        <w:tc>
          <w:tcPr>
            <w:tcW w:w="0" w:type="auto"/>
            <w:hideMark/>
          </w:tcPr>
          <w:p w14:paraId="021C3E03" w14:textId="77777777" w:rsidR="00FF2BAE" w:rsidRPr="00593380" w:rsidRDefault="00FF2BAE"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100</w:t>
            </w:r>
          </w:p>
        </w:tc>
        <w:tc>
          <w:tcPr>
            <w:tcW w:w="0" w:type="auto"/>
            <w:hideMark/>
          </w:tcPr>
          <w:p w14:paraId="1083AB12" w14:textId="77777777" w:rsidR="00FF2BAE" w:rsidRPr="00593380" w:rsidRDefault="00FF2BAE"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200</w:t>
            </w:r>
          </w:p>
        </w:tc>
        <w:tc>
          <w:tcPr>
            <w:tcW w:w="1523" w:type="dxa"/>
            <w:hideMark/>
          </w:tcPr>
          <w:p w14:paraId="26468AF0" w14:textId="77777777" w:rsidR="00FF2BAE" w:rsidRPr="00593380" w:rsidRDefault="00FF2BAE"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1000</w:t>
            </w:r>
          </w:p>
        </w:tc>
        <w:tc>
          <w:tcPr>
            <w:tcW w:w="1170" w:type="dxa"/>
            <w:hideMark/>
          </w:tcPr>
          <w:p w14:paraId="7B4CE8E8" w14:textId="77777777" w:rsidR="00FF2BAE" w:rsidRPr="00593380" w:rsidRDefault="00FF2BAE"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3.9</w:t>
            </w:r>
          </w:p>
        </w:tc>
      </w:tr>
      <w:tr w:rsidR="00B02A11" w:rsidRPr="00593380" w14:paraId="335393AD" w14:textId="77777777" w:rsidTr="004D096C">
        <w:trPr>
          <w:trHeight w:val="863"/>
        </w:trPr>
        <w:tc>
          <w:tcPr>
            <w:tcW w:w="0" w:type="auto"/>
            <w:hideMark/>
          </w:tcPr>
          <w:p w14:paraId="42C2B135" w14:textId="5B2B144D" w:rsidR="00FF2BAE" w:rsidRPr="00593380" w:rsidRDefault="00FF2BAE"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 xml:space="preserve">Involvement in </w:t>
            </w:r>
            <w:r w:rsidR="00B86E0A" w:rsidRPr="00593380">
              <w:rPr>
                <w:rFonts w:ascii="Times New Roman" w:hAnsi="Times New Roman" w:cs="Times New Roman"/>
                <w:color w:val="000000" w:themeColor="text1"/>
              </w:rPr>
              <w:t xml:space="preserve">the </w:t>
            </w:r>
            <w:r w:rsidRPr="00593380">
              <w:rPr>
                <w:rFonts w:ascii="Times New Roman" w:hAnsi="Times New Roman" w:cs="Times New Roman"/>
                <w:color w:val="000000" w:themeColor="text1"/>
              </w:rPr>
              <w:t xml:space="preserve">bottle and sachet water business is a source of revenue </w:t>
            </w:r>
            <w:r w:rsidR="00B86E0A" w:rsidRPr="00593380">
              <w:rPr>
                <w:rFonts w:ascii="Times New Roman" w:hAnsi="Times New Roman" w:cs="Times New Roman"/>
                <w:color w:val="000000" w:themeColor="text1"/>
              </w:rPr>
              <w:t>for</w:t>
            </w:r>
            <w:r w:rsidRPr="00593380">
              <w:rPr>
                <w:rFonts w:ascii="Times New Roman" w:hAnsi="Times New Roman" w:cs="Times New Roman"/>
                <w:color w:val="000000" w:themeColor="text1"/>
              </w:rPr>
              <w:t xml:space="preserve"> tertiary institutions.</w:t>
            </w:r>
          </w:p>
        </w:tc>
        <w:tc>
          <w:tcPr>
            <w:tcW w:w="0" w:type="auto"/>
            <w:hideMark/>
          </w:tcPr>
          <w:p w14:paraId="4215073C" w14:textId="77777777" w:rsidR="00FF2BAE" w:rsidRPr="00593380" w:rsidRDefault="00FF2BAE"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200</w:t>
            </w:r>
          </w:p>
        </w:tc>
        <w:tc>
          <w:tcPr>
            <w:tcW w:w="0" w:type="auto"/>
            <w:hideMark/>
          </w:tcPr>
          <w:p w14:paraId="3BC35F7D" w14:textId="77777777" w:rsidR="00FF2BAE" w:rsidRPr="00593380" w:rsidRDefault="00FF2BAE"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280</w:t>
            </w:r>
          </w:p>
        </w:tc>
        <w:tc>
          <w:tcPr>
            <w:tcW w:w="0" w:type="auto"/>
            <w:hideMark/>
          </w:tcPr>
          <w:p w14:paraId="51331E51" w14:textId="77777777" w:rsidR="00FF2BAE" w:rsidRPr="00593380" w:rsidRDefault="00FF2BAE"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160</w:t>
            </w:r>
          </w:p>
        </w:tc>
        <w:tc>
          <w:tcPr>
            <w:tcW w:w="0" w:type="auto"/>
            <w:hideMark/>
          </w:tcPr>
          <w:p w14:paraId="311EF673" w14:textId="77777777" w:rsidR="00FF2BAE" w:rsidRPr="00593380" w:rsidRDefault="00FF2BAE"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140</w:t>
            </w:r>
          </w:p>
        </w:tc>
        <w:tc>
          <w:tcPr>
            <w:tcW w:w="0" w:type="auto"/>
            <w:hideMark/>
          </w:tcPr>
          <w:p w14:paraId="0BE15845" w14:textId="77777777" w:rsidR="00FF2BAE" w:rsidRPr="00593380" w:rsidRDefault="00FF2BAE"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220</w:t>
            </w:r>
          </w:p>
        </w:tc>
        <w:tc>
          <w:tcPr>
            <w:tcW w:w="1523" w:type="dxa"/>
            <w:hideMark/>
          </w:tcPr>
          <w:p w14:paraId="5F041546" w14:textId="77777777" w:rsidR="00FF2BAE" w:rsidRPr="00593380" w:rsidRDefault="00FF2BAE"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1000</w:t>
            </w:r>
          </w:p>
        </w:tc>
        <w:tc>
          <w:tcPr>
            <w:tcW w:w="1170" w:type="dxa"/>
            <w:hideMark/>
          </w:tcPr>
          <w:p w14:paraId="3AB0FFD6" w14:textId="77777777" w:rsidR="00FF2BAE" w:rsidRPr="00593380" w:rsidRDefault="00FF2BAE"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3.8</w:t>
            </w:r>
          </w:p>
        </w:tc>
      </w:tr>
      <w:tr w:rsidR="00B02A11" w:rsidRPr="00593380" w14:paraId="2809E355" w14:textId="77777777" w:rsidTr="004D096C">
        <w:trPr>
          <w:trHeight w:val="890"/>
        </w:trPr>
        <w:tc>
          <w:tcPr>
            <w:tcW w:w="0" w:type="auto"/>
            <w:hideMark/>
          </w:tcPr>
          <w:p w14:paraId="28553302" w14:textId="1C32D13F" w:rsidR="00FF2BAE" w:rsidRPr="00593380" w:rsidRDefault="00FF2BAE"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 xml:space="preserve">Hiring </w:t>
            </w:r>
            <w:r w:rsidR="00B86E0A" w:rsidRPr="00593380">
              <w:rPr>
                <w:rFonts w:ascii="Times New Roman" w:hAnsi="Times New Roman" w:cs="Times New Roman"/>
                <w:color w:val="000000" w:themeColor="text1"/>
              </w:rPr>
              <w:t>out-of-farm</w:t>
            </w:r>
            <w:r w:rsidRPr="00593380">
              <w:rPr>
                <w:rFonts w:ascii="Times New Roman" w:hAnsi="Times New Roman" w:cs="Times New Roman"/>
                <w:color w:val="000000" w:themeColor="text1"/>
              </w:rPr>
              <w:t xml:space="preserve"> </w:t>
            </w:r>
            <w:r w:rsidR="00B86E0A" w:rsidRPr="00593380">
              <w:rPr>
                <w:rFonts w:ascii="Times New Roman" w:hAnsi="Times New Roman" w:cs="Times New Roman"/>
                <w:color w:val="000000" w:themeColor="text1"/>
              </w:rPr>
              <w:t>machinery</w:t>
            </w:r>
            <w:r w:rsidRPr="00593380">
              <w:rPr>
                <w:rFonts w:ascii="Times New Roman" w:hAnsi="Times New Roman" w:cs="Times New Roman"/>
                <w:color w:val="000000" w:themeColor="text1"/>
              </w:rPr>
              <w:t xml:space="preserve"> for agricultural use will aid in revenue generation.</w:t>
            </w:r>
          </w:p>
        </w:tc>
        <w:tc>
          <w:tcPr>
            <w:tcW w:w="0" w:type="auto"/>
            <w:hideMark/>
          </w:tcPr>
          <w:p w14:paraId="6792A16D" w14:textId="77777777" w:rsidR="00FF2BAE" w:rsidRPr="00593380" w:rsidRDefault="00FF2BAE"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240</w:t>
            </w:r>
          </w:p>
        </w:tc>
        <w:tc>
          <w:tcPr>
            <w:tcW w:w="0" w:type="auto"/>
            <w:hideMark/>
          </w:tcPr>
          <w:p w14:paraId="7F47BA4B" w14:textId="77777777" w:rsidR="00FF2BAE" w:rsidRPr="00593380" w:rsidRDefault="00FF2BAE"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200</w:t>
            </w:r>
          </w:p>
        </w:tc>
        <w:tc>
          <w:tcPr>
            <w:tcW w:w="0" w:type="auto"/>
            <w:hideMark/>
          </w:tcPr>
          <w:p w14:paraId="7DC2DE6E" w14:textId="77777777" w:rsidR="00FF2BAE" w:rsidRPr="00593380" w:rsidRDefault="00FF2BAE"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260</w:t>
            </w:r>
          </w:p>
        </w:tc>
        <w:tc>
          <w:tcPr>
            <w:tcW w:w="0" w:type="auto"/>
            <w:hideMark/>
          </w:tcPr>
          <w:p w14:paraId="37DC26A9" w14:textId="77777777" w:rsidR="00FF2BAE" w:rsidRPr="00593380" w:rsidRDefault="00FF2BAE"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130</w:t>
            </w:r>
          </w:p>
        </w:tc>
        <w:tc>
          <w:tcPr>
            <w:tcW w:w="0" w:type="auto"/>
            <w:hideMark/>
          </w:tcPr>
          <w:p w14:paraId="13C3EF40" w14:textId="77777777" w:rsidR="00FF2BAE" w:rsidRPr="00593380" w:rsidRDefault="00FF2BAE"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170</w:t>
            </w:r>
          </w:p>
        </w:tc>
        <w:tc>
          <w:tcPr>
            <w:tcW w:w="1523" w:type="dxa"/>
            <w:hideMark/>
          </w:tcPr>
          <w:p w14:paraId="5EBE1329" w14:textId="77777777" w:rsidR="00FF2BAE" w:rsidRPr="00593380" w:rsidRDefault="00FF2BAE"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1000</w:t>
            </w:r>
          </w:p>
        </w:tc>
        <w:tc>
          <w:tcPr>
            <w:tcW w:w="1170" w:type="dxa"/>
            <w:hideMark/>
          </w:tcPr>
          <w:p w14:paraId="3CF1EC7A" w14:textId="77777777" w:rsidR="00FF2BAE" w:rsidRPr="00593380" w:rsidRDefault="00FF2BAE"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3.7</w:t>
            </w:r>
          </w:p>
        </w:tc>
      </w:tr>
    </w:tbl>
    <w:p w14:paraId="1627423A" w14:textId="77777777" w:rsidR="001B05AB" w:rsidRPr="00593380" w:rsidRDefault="001B05AB" w:rsidP="00593380">
      <w:pPr>
        <w:spacing w:line="360" w:lineRule="auto"/>
        <w:jc w:val="both"/>
        <w:rPr>
          <w:rFonts w:ascii="Times New Roman" w:hAnsi="Times New Roman" w:cs="Times New Roman"/>
          <w:color w:val="000000" w:themeColor="text1"/>
        </w:rPr>
      </w:pPr>
      <w:r w:rsidRPr="00593380">
        <w:rPr>
          <w:rFonts w:ascii="Times New Roman" w:hAnsi="Times New Roman" w:cs="Times New Roman"/>
          <w:color w:val="000000" w:themeColor="text1"/>
        </w:rPr>
        <w:t>Source: Field Survey, 2024.</w:t>
      </w:r>
    </w:p>
    <w:p w14:paraId="255CA948" w14:textId="1B4F7EBA" w:rsidR="00FF23B9" w:rsidRPr="00593380" w:rsidRDefault="00FF23B9" w:rsidP="00593380">
      <w:pPr>
        <w:spacing w:line="360" w:lineRule="auto"/>
        <w:jc w:val="both"/>
        <w:rPr>
          <w:rFonts w:ascii="Times New Roman" w:hAnsi="Times New Roman" w:cs="Times New Roman"/>
          <w:color w:val="000000" w:themeColor="text1"/>
        </w:rPr>
      </w:pPr>
      <w:r w:rsidRPr="00593380">
        <w:rPr>
          <w:rFonts w:ascii="Times New Roman" w:hAnsi="Times New Roman" w:cs="Times New Roman"/>
          <w:color w:val="000000" w:themeColor="text1"/>
        </w:rPr>
        <w:t>Table</w:t>
      </w:r>
      <w:r w:rsidR="007D60C0" w:rsidRPr="00593380">
        <w:rPr>
          <w:rFonts w:ascii="Times New Roman" w:hAnsi="Times New Roman" w:cs="Times New Roman"/>
          <w:color w:val="000000" w:themeColor="text1"/>
        </w:rPr>
        <w:t xml:space="preserve"> 2</w:t>
      </w:r>
      <w:r w:rsidRPr="00593380">
        <w:rPr>
          <w:rFonts w:ascii="Times New Roman" w:hAnsi="Times New Roman" w:cs="Times New Roman"/>
          <w:color w:val="000000" w:themeColor="text1"/>
        </w:rPr>
        <w:t xml:space="preserve"> presents the results of a survey conducted to gauge opinions on various revenue generation strategies for Nigerian tertiary institutions, with responses from 1000 participants. The majority of respondents tended to agree with the proposed strategies, as indicated by the mean response scores </w:t>
      </w:r>
      <w:r w:rsidRPr="00593380">
        <w:rPr>
          <w:rFonts w:ascii="Times New Roman" w:hAnsi="Times New Roman" w:cs="Times New Roman"/>
          <w:color w:val="000000" w:themeColor="text1"/>
        </w:rPr>
        <w:lastRenderedPageBreak/>
        <w:t xml:space="preserve">ranging from 3.2 to 3.9. Notably, there is a consensus on the potential effectiveness of collaborating with fertilizer companies, involvement in bottle and sachet water business, and banking services/microfinance establishment in generating substantial revenue. However, there is some skepticism towards certain strategies, such as establishing radio stations or mechanic garages, as indicated by the lower mean response score of 3.2. The responses suggest a recognition of the need for diversification in revenue streams, with emphasis on sectors like agriculture, tourism, and innovation. </w:t>
      </w:r>
      <w:r w:rsidR="00B86E0A" w:rsidRPr="00593380">
        <w:rPr>
          <w:rFonts w:ascii="Times New Roman" w:hAnsi="Times New Roman" w:cs="Times New Roman"/>
          <w:color w:val="000000" w:themeColor="text1"/>
        </w:rPr>
        <w:t>The</w:t>
      </w:r>
      <w:r w:rsidRPr="00593380">
        <w:rPr>
          <w:rFonts w:ascii="Times New Roman" w:hAnsi="Times New Roman" w:cs="Times New Roman"/>
          <w:color w:val="000000" w:themeColor="text1"/>
        </w:rPr>
        <w:t xml:space="preserve"> findings underscore the importance of exploring diverse avenues to ensure financial sustainability for Nigerian tertiary institutions amidst ongoing challenges.</w:t>
      </w:r>
    </w:p>
    <w:p w14:paraId="5604EFAE" w14:textId="78ACD0D2" w:rsidR="00AD6CA2" w:rsidRPr="00593380" w:rsidRDefault="001B05AB" w:rsidP="00593380">
      <w:pPr>
        <w:spacing w:after="0" w:line="360" w:lineRule="auto"/>
        <w:jc w:val="both"/>
        <w:rPr>
          <w:rFonts w:ascii="Times New Roman" w:hAnsi="Times New Roman" w:cs="Times New Roman"/>
          <w:b/>
          <w:bCs/>
          <w:color w:val="000000" w:themeColor="text1"/>
        </w:rPr>
      </w:pPr>
      <w:r w:rsidRPr="00593380">
        <w:rPr>
          <w:rFonts w:ascii="Times New Roman" w:hAnsi="Times New Roman" w:cs="Times New Roman"/>
          <w:b/>
          <w:bCs/>
          <w:color w:val="000000" w:themeColor="text1"/>
        </w:rPr>
        <w:t xml:space="preserve">Table </w:t>
      </w:r>
      <w:r w:rsidR="00AE00E4" w:rsidRPr="00593380">
        <w:rPr>
          <w:rFonts w:ascii="Times New Roman" w:hAnsi="Times New Roman" w:cs="Times New Roman"/>
          <w:b/>
          <w:bCs/>
          <w:color w:val="000000" w:themeColor="text1"/>
        </w:rPr>
        <w:t>3</w:t>
      </w:r>
      <w:r w:rsidRPr="00593380">
        <w:rPr>
          <w:rFonts w:ascii="Times New Roman" w:hAnsi="Times New Roman" w:cs="Times New Roman"/>
          <w:b/>
          <w:bCs/>
          <w:color w:val="000000" w:themeColor="text1"/>
        </w:rPr>
        <w:t>:</w:t>
      </w:r>
      <w:r w:rsidR="00AE00E4" w:rsidRPr="00593380">
        <w:rPr>
          <w:rFonts w:ascii="Times New Roman" w:hAnsi="Times New Roman" w:cs="Times New Roman"/>
          <w:b/>
          <w:bCs/>
          <w:color w:val="000000" w:themeColor="text1"/>
        </w:rPr>
        <w:t xml:space="preserve"> </w:t>
      </w:r>
      <w:r w:rsidR="00184A34" w:rsidRPr="00593380">
        <w:rPr>
          <w:rFonts w:ascii="Times New Roman" w:hAnsi="Times New Roman" w:cs="Times New Roman"/>
          <w:b/>
          <w:bCs/>
          <w:color w:val="000000" w:themeColor="text1"/>
        </w:rPr>
        <w:t>Financial Resources Diversification Strategies</w:t>
      </w:r>
      <w:r w:rsidR="00B54988" w:rsidRPr="00593380">
        <w:rPr>
          <w:rFonts w:ascii="Times New Roman" w:hAnsi="Times New Roman" w:cs="Times New Roman"/>
          <w:b/>
          <w:bCs/>
          <w:color w:val="000000" w:themeColor="text1"/>
        </w:rPr>
        <w:t xml:space="preserve"> by </w:t>
      </w:r>
      <w:r w:rsidR="0069417C" w:rsidRPr="00593380">
        <w:rPr>
          <w:rFonts w:ascii="Times New Roman" w:hAnsi="Times New Roman" w:cs="Times New Roman"/>
          <w:b/>
          <w:bCs/>
        </w:rPr>
        <w:t>the</w:t>
      </w:r>
      <w:r w:rsidR="00E50AF7" w:rsidRPr="00593380">
        <w:rPr>
          <w:rFonts w:ascii="Times New Roman" w:hAnsi="Times New Roman" w:cs="Times New Roman"/>
          <w:b/>
          <w:bCs/>
          <w:color w:val="000000" w:themeColor="text1"/>
        </w:rPr>
        <w:t xml:space="preserve"> </w:t>
      </w:r>
      <w:r w:rsidR="00B86E0A" w:rsidRPr="00593380">
        <w:rPr>
          <w:rFonts w:ascii="Times New Roman" w:hAnsi="Times New Roman" w:cs="Times New Roman"/>
          <w:b/>
          <w:bCs/>
          <w:color w:val="000000" w:themeColor="text1"/>
        </w:rPr>
        <w:t>Institutions</w:t>
      </w:r>
      <w:r w:rsidR="00E50AF7" w:rsidRPr="00593380">
        <w:rPr>
          <w:rFonts w:ascii="Times New Roman" w:hAnsi="Times New Roman" w:cs="Times New Roman"/>
          <w:b/>
          <w:bCs/>
          <w:color w:val="000000" w:themeColor="text1"/>
        </w:rPr>
        <w:t>.</w:t>
      </w:r>
    </w:p>
    <w:tbl>
      <w:tblPr>
        <w:tblStyle w:val="TableGrid"/>
        <w:tblW w:w="8941" w:type="dxa"/>
        <w:tblLook w:val="04A0" w:firstRow="1" w:lastRow="0" w:firstColumn="1" w:lastColumn="0" w:noHBand="0" w:noVBand="1"/>
      </w:tblPr>
      <w:tblGrid>
        <w:gridCol w:w="4045"/>
        <w:gridCol w:w="2927"/>
        <w:gridCol w:w="1969"/>
      </w:tblGrid>
      <w:tr w:rsidR="00B02A11" w:rsidRPr="00593380" w14:paraId="7EB05E2C" w14:textId="77777777" w:rsidTr="00AD6CA2">
        <w:tc>
          <w:tcPr>
            <w:tcW w:w="0" w:type="auto"/>
            <w:hideMark/>
          </w:tcPr>
          <w:p w14:paraId="166BBDF4" w14:textId="77777777" w:rsidR="00AD6CA2" w:rsidRPr="00593380" w:rsidRDefault="00AD6CA2" w:rsidP="00D03BEA">
            <w:pPr>
              <w:jc w:val="both"/>
              <w:rPr>
                <w:rFonts w:ascii="Times New Roman" w:hAnsi="Times New Roman" w:cs="Times New Roman"/>
                <w:b/>
                <w:bCs/>
                <w:color w:val="000000" w:themeColor="text1"/>
              </w:rPr>
            </w:pPr>
            <w:r w:rsidRPr="00593380">
              <w:rPr>
                <w:rFonts w:ascii="Times New Roman" w:hAnsi="Times New Roman" w:cs="Times New Roman"/>
                <w:b/>
                <w:bCs/>
                <w:color w:val="000000" w:themeColor="text1"/>
              </w:rPr>
              <w:t>Revenue Generation Strategy</w:t>
            </w:r>
          </w:p>
        </w:tc>
        <w:tc>
          <w:tcPr>
            <w:tcW w:w="0" w:type="auto"/>
            <w:hideMark/>
          </w:tcPr>
          <w:p w14:paraId="3E630804" w14:textId="77777777" w:rsidR="00AD6CA2" w:rsidRPr="00593380" w:rsidRDefault="00AD6CA2" w:rsidP="00D03BEA">
            <w:pPr>
              <w:jc w:val="both"/>
              <w:rPr>
                <w:rFonts w:ascii="Times New Roman" w:hAnsi="Times New Roman" w:cs="Times New Roman"/>
                <w:b/>
                <w:bCs/>
                <w:color w:val="000000" w:themeColor="text1"/>
              </w:rPr>
            </w:pPr>
            <w:r w:rsidRPr="00593380">
              <w:rPr>
                <w:rFonts w:ascii="Times New Roman" w:hAnsi="Times New Roman" w:cs="Times New Roman"/>
                <w:b/>
                <w:bCs/>
                <w:color w:val="000000" w:themeColor="text1"/>
              </w:rPr>
              <w:t>Number of Respondents</w:t>
            </w:r>
          </w:p>
        </w:tc>
        <w:tc>
          <w:tcPr>
            <w:tcW w:w="0" w:type="auto"/>
            <w:hideMark/>
          </w:tcPr>
          <w:p w14:paraId="78375B24" w14:textId="46D0A0E4" w:rsidR="00AD6CA2" w:rsidRPr="00593380" w:rsidRDefault="00AD6CA2" w:rsidP="00D03BEA">
            <w:pPr>
              <w:jc w:val="both"/>
              <w:rPr>
                <w:rFonts w:ascii="Times New Roman" w:hAnsi="Times New Roman" w:cs="Times New Roman"/>
                <w:b/>
                <w:bCs/>
                <w:color w:val="000000" w:themeColor="text1"/>
              </w:rPr>
            </w:pPr>
            <w:r w:rsidRPr="00593380">
              <w:rPr>
                <w:rFonts w:ascii="Times New Roman" w:hAnsi="Times New Roman" w:cs="Times New Roman"/>
                <w:b/>
                <w:bCs/>
                <w:color w:val="000000" w:themeColor="text1"/>
              </w:rPr>
              <w:t>Percentage (%)</w:t>
            </w:r>
          </w:p>
        </w:tc>
      </w:tr>
      <w:tr w:rsidR="00B02A11" w:rsidRPr="00593380" w14:paraId="451A7184" w14:textId="77777777" w:rsidTr="00AD6CA2">
        <w:tc>
          <w:tcPr>
            <w:tcW w:w="0" w:type="auto"/>
            <w:hideMark/>
          </w:tcPr>
          <w:p w14:paraId="4F19C5FB" w14:textId="77777777" w:rsidR="00AD6CA2" w:rsidRPr="00593380" w:rsidRDefault="00AD6CA2"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Tuition Fees</w:t>
            </w:r>
          </w:p>
        </w:tc>
        <w:tc>
          <w:tcPr>
            <w:tcW w:w="0" w:type="auto"/>
            <w:hideMark/>
          </w:tcPr>
          <w:p w14:paraId="2ACCFBBC" w14:textId="067DD953" w:rsidR="00AD6CA2" w:rsidRPr="00593380" w:rsidRDefault="00AD6CA2"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350</w:t>
            </w:r>
          </w:p>
        </w:tc>
        <w:tc>
          <w:tcPr>
            <w:tcW w:w="0" w:type="auto"/>
            <w:hideMark/>
          </w:tcPr>
          <w:p w14:paraId="14E23510" w14:textId="4550A2D6" w:rsidR="00AD6CA2" w:rsidRPr="00593380" w:rsidRDefault="00AD6CA2"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35</w:t>
            </w:r>
          </w:p>
        </w:tc>
      </w:tr>
      <w:tr w:rsidR="00B02A11" w:rsidRPr="00593380" w14:paraId="0A309781" w14:textId="77777777" w:rsidTr="00AD6CA2">
        <w:tc>
          <w:tcPr>
            <w:tcW w:w="0" w:type="auto"/>
            <w:hideMark/>
          </w:tcPr>
          <w:p w14:paraId="2281B277" w14:textId="77777777" w:rsidR="00AD6CA2" w:rsidRPr="00593380" w:rsidRDefault="00AD6CA2"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Government Funding</w:t>
            </w:r>
          </w:p>
        </w:tc>
        <w:tc>
          <w:tcPr>
            <w:tcW w:w="0" w:type="auto"/>
            <w:hideMark/>
          </w:tcPr>
          <w:p w14:paraId="64A84D14" w14:textId="54A27E00" w:rsidR="00AD6CA2" w:rsidRPr="00593380" w:rsidRDefault="00AD6CA2"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300</w:t>
            </w:r>
          </w:p>
        </w:tc>
        <w:tc>
          <w:tcPr>
            <w:tcW w:w="0" w:type="auto"/>
            <w:hideMark/>
          </w:tcPr>
          <w:p w14:paraId="27A1EDE8" w14:textId="43EDC9AC" w:rsidR="00AD6CA2" w:rsidRPr="00593380" w:rsidRDefault="00AD6CA2"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30</w:t>
            </w:r>
          </w:p>
        </w:tc>
      </w:tr>
      <w:tr w:rsidR="00B02A11" w:rsidRPr="00593380" w14:paraId="7A044249" w14:textId="77777777" w:rsidTr="00AD6CA2">
        <w:tc>
          <w:tcPr>
            <w:tcW w:w="0" w:type="auto"/>
            <w:hideMark/>
          </w:tcPr>
          <w:p w14:paraId="0530E883" w14:textId="77777777" w:rsidR="00AD6CA2" w:rsidRPr="00593380" w:rsidRDefault="00AD6CA2"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Research Grants</w:t>
            </w:r>
          </w:p>
        </w:tc>
        <w:tc>
          <w:tcPr>
            <w:tcW w:w="0" w:type="auto"/>
            <w:hideMark/>
          </w:tcPr>
          <w:p w14:paraId="4054A95B" w14:textId="77777777" w:rsidR="00AD6CA2" w:rsidRPr="00593380" w:rsidRDefault="00AD6CA2"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200</w:t>
            </w:r>
          </w:p>
        </w:tc>
        <w:tc>
          <w:tcPr>
            <w:tcW w:w="0" w:type="auto"/>
            <w:hideMark/>
          </w:tcPr>
          <w:p w14:paraId="0AF1D1A4" w14:textId="77777777" w:rsidR="00AD6CA2" w:rsidRPr="00593380" w:rsidRDefault="00AD6CA2"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20</w:t>
            </w:r>
          </w:p>
        </w:tc>
      </w:tr>
      <w:tr w:rsidR="00B02A11" w:rsidRPr="00593380" w14:paraId="32D4483D" w14:textId="77777777" w:rsidTr="00AD6CA2">
        <w:tc>
          <w:tcPr>
            <w:tcW w:w="0" w:type="auto"/>
            <w:hideMark/>
          </w:tcPr>
          <w:p w14:paraId="106FF630" w14:textId="77777777" w:rsidR="00AD6CA2" w:rsidRPr="00593380" w:rsidRDefault="00AD6CA2"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Alumni Contributions</w:t>
            </w:r>
          </w:p>
        </w:tc>
        <w:tc>
          <w:tcPr>
            <w:tcW w:w="0" w:type="auto"/>
            <w:hideMark/>
          </w:tcPr>
          <w:p w14:paraId="32445918" w14:textId="77777777" w:rsidR="00AD6CA2" w:rsidRPr="00593380" w:rsidRDefault="00AD6CA2"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50</w:t>
            </w:r>
          </w:p>
        </w:tc>
        <w:tc>
          <w:tcPr>
            <w:tcW w:w="0" w:type="auto"/>
            <w:hideMark/>
          </w:tcPr>
          <w:p w14:paraId="031AB667" w14:textId="77777777" w:rsidR="00AD6CA2" w:rsidRPr="00593380" w:rsidRDefault="00AD6CA2"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5</w:t>
            </w:r>
          </w:p>
        </w:tc>
      </w:tr>
      <w:tr w:rsidR="00B02A11" w:rsidRPr="00593380" w14:paraId="54DCDB40" w14:textId="77777777" w:rsidTr="00AD6CA2">
        <w:tc>
          <w:tcPr>
            <w:tcW w:w="0" w:type="auto"/>
            <w:hideMark/>
          </w:tcPr>
          <w:p w14:paraId="14E41632" w14:textId="77777777" w:rsidR="00AD6CA2" w:rsidRPr="00593380" w:rsidRDefault="00AD6CA2"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Donations and Endowment</w:t>
            </w:r>
          </w:p>
        </w:tc>
        <w:tc>
          <w:tcPr>
            <w:tcW w:w="0" w:type="auto"/>
            <w:hideMark/>
          </w:tcPr>
          <w:p w14:paraId="0D3431F7" w14:textId="77777777" w:rsidR="00AD6CA2" w:rsidRPr="00593380" w:rsidRDefault="00AD6CA2"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50</w:t>
            </w:r>
          </w:p>
        </w:tc>
        <w:tc>
          <w:tcPr>
            <w:tcW w:w="0" w:type="auto"/>
            <w:hideMark/>
          </w:tcPr>
          <w:p w14:paraId="266D943E" w14:textId="77777777" w:rsidR="00AD6CA2" w:rsidRPr="00593380" w:rsidRDefault="00AD6CA2"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5</w:t>
            </w:r>
          </w:p>
        </w:tc>
      </w:tr>
      <w:tr w:rsidR="00B02A11" w:rsidRPr="00593380" w14:paraId="3458340D" w14:textId="77777777" w:rsidTr="00AD6CA2">
        <w:tc>
          <w:tcPr>
            <w:tcW w:w="0" w:type="auto"/>
            <w:hideMark/>
          </w:tcPr>
          <w:p w14:paraId="37D40017" w14:textId="77777777" w:rsidR="00AD6CA2" w:rsidRPr="00593380" w:rsidRDefault="00AD6CA2"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IGR (Internally Generated Revenue)</w:t>
            </w:r>
          </w:p>
        </w:tc>
        <w:tc>
          <w:tcPr>
            <w:tcW w:w="0" w:type="auto"/>
            <w:hideMark/>
          </w:tcPr>
          <w:p w14:paraId="5B144407" w14:textId="77777777" w:rsidR="00AD6CA2" w:rsidRPr="00593380" w:rsidRDefault="00AD6CA2"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50</w:t>
            </w:r>
          </w:p>
        </w:tc>
        <w:tc>
          <w:tcPr>
            <w:tcW w:w="0" w:type="auto"/>
            <w:hideMark/>
          </w:tcPr>
          <w:p w14:paraId="338299EF" w14:textId="77777777" w:rsidR="00AD6CA2" w:rsidRPr="00593380" w:rsidRDefault="00AD6CA2"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5</w:t>
            </w:r>
          </w:p>
        </w:tc>
      </w:tr>
      <w:tr w:rsidR="008005AC" w:rsidRPr="00593380" w14:paraId="6EFBF03C" w14:textId="77777777" w:rsidTr="00AD6CA2">
        <w:tc>
          <w:tcPr>
            <w:tcW w:w="0" w:type="auto"/>
          </w:tcPr>
          <w:p w14:paraId="6EB493EE" w14:textId="462F98F6" w:rsidR="008005AC" w:rsidRPr="00593380" w:rsidRDefault="008005AC" w:rsidP="00D03BEA">
            <w:pPr>
              <w:jc w:val="both"/>
              <w:rPr>
                <w:rFonts w:ascii="Times New Roman" w:hAnsi="Times New Roman" w:cs="Times New Roman"/>
                <w:b/>
                <w:bCs/>
                <w:color w:val="000000" w:themeColor="text1"/>
              </w:rPr>
            </w:pPr>
            <w:r w:rsidRPr="00593380">
              <w:rPr>
                <w:rFonts w:ascii="Times New Roman" w:hAnsi="Times New Roman" w:cs="Times New Roman"/>
                <w:b/>
                <w:bCs/>
                <w:color w:val="000000" w:themeColor="text1"/>
              </w:rPr>
              <w:t>Total</w:t>
            </w:r>
          </w:p>
        </w:tc>
        <w:tc>
          <w:tcPr>
            <w:tcW w:w="0" w:type="auto"/>
          </w:tcPr>
          <w:p w14:paraId="209BF172" w14:textId="64437B65" w:rsidR="008005AC" w:rsidRPr="00593380" w:rsidRDefault="008005AC" w:rsidP="00D03BEA">
            <w:pPr>
              <w:jc w:val="both"/>
              <w:rPr>
                <w:rFonts w:ascii="Times New Roman" w:hAnsi="Times New Roman" w:cs="Times New Roman"/>
                <w:b/>
                <w:bCs/>
                <w:color w:val="000000" w:themeColor="text1"/>
              </w:rPr>
            </w:pPr>
            <w:r w:rsidRPr="00593380">
              <w:rPr>
                <w:rFonts w:ascii="Times New Roman" w:hAnsi="Times New Roman" w:cs="Times New Roman"/>
                <w:b/>
                <w:bCs/>
                <w:color w:val="000000" w:themeColor="text1"/>
              </w:rPr>
              <w:t>1000</w:t>
            </w:r>
          </w:p>
        </w:tc>
        <w:tc>
          <w:tcPr>
            <w:tcW w:w="0" w:type="auto"/>
          </w:tcPr>
          <w:p w14:paraId="198A701E" w14:textId="5421D129" w:rsidR="008005AC" w:rsidRPr="00593380" w:rsidRDefault="008005AC" w:rsidP="00D03BEA">
            <w:pPr>
              <w:jc w:val="both"/>
              <w:rPr>
                <w:rFonts w:ascii="Times New Roman" w:hAnsi="Times New Roman" w:cs="Times New Roman"/>
                <w:b/>
                <w:bCs/>
                <w:color w:val="000000" w:themeColor="text1"/>
              </w:rPr>
            </w:pPr>
            <w:r w:rsidRPr="00593380">
              <w:rPr>
                <w:rFonts w:ascii="Times New Roman" w:hAnsi="Times New Roman" w:cs="Times New Roman"/>
                <w:b/>
                <w:bCs/>
                <w:color w:val="000000" w:themeColor="text1"/>
              </w:rPr>
              <w:t>100</w:t>
            </w:r>
          </w:p>
        </w:tc>
      </w:tr>
    </w:tbl>
    <w:p w14:paraId="6D9F5FB3" w14:textId="77777777" w:rsidR="001B05AB" w:rsidRPr="00593380" w:rsidRDefault="001B05AB" w:rsidP="00593380">
      <w:pPr>
        <w:spacing w:line="360" w:lineRule="auto"/>
        <w:jc w:val="both"/>
        <w:rPr>
          <w:rFonts w:ascii="Times New Roman" w:hAnsi="Times New Roman" w:cs="Times New Roman"/>
          <w:color w:val="000000" w:themeColor="text1"/>
        </w:rPr>
      </w:pPr>
      <w:r w:rsidRPr="00593380">
        <w:rPr>
          <w:rFonts w:ascii="Times New Roman" w:hAnsi="Times New Roman" w:cs="Times New Roman"/>
          <w:color w:val="000000" w:themeColor="text1"/>
        </w:rPr>
        <w:t>Source: Field Survey, 2024.</w:t>
      </w:r>
    </w:p>
    <w:p w14:paraId="353E366E" w14:textId="30A6D275" w:rsidR="00EC2AD1" w:rsidRPr="00593380" w:rsidRDefault="009140B8" w:rsidP="00593380">
      <w:pPr>
        <w:spacing w:line="360" w:lineRule="auto"/>
        <w:jc w:val="both"/>
        <w:rPr>
          <w:rFonts w:ascii="Times New Roman" w:hAnsi="Times New Roman" w:cs="Times New Roman"/>
          <w:color w:val="000000" w:themeColor="text1"/>
        </w:rPr>
      </w:pPr>
      <w:r w:rsidRPr="00593380">
        <w:rPr>
          <w:rFonts w:ascii="Times New Roman" w:hAnsi="Times New Roman" w:cs="Times New Roman"/>
          <w:color w:val="000000" w:themeColor="text1"/>
        </w:rPr>
        <w:t xml:space="preserve">Table 3 shows the result of financial resources diversification strategies by the </w:t>
      </w:r>
      <w:r w:rsidR="0069417C" w:rsidRPr="00593380">
        <w:rPr>
          <w:rFonts w:ascii="Times New Roman" w:hAnsi="Times New Roman" w:cs="Times New Roman"/>
          <w:color w:val="000000" w:themeColor="text1"/>
        </w:rPr>
        <w:t xml:space="preserve">tertiary </w:t>
      </w:r>
      <w:r w:rsidRPr="00593380">
        <w:rPr>
          <w:rFonts w:ascii="Times New Roman" w:hAnsi="Times New Roman" w:cs="Times New Roman"/>
          <w:color w:val="000000" w:themeColor="text1"/>
        </w:rPr>
        <w:t xml:space="preserve">institutions under study. </w:t>
      </w:r>
      <w:r w:rsidR="00AD6CA2" w:rsidRPr="00593380">
        <w:rPr>
          <w:rFonts w:ascii="Times New Roman" w:hAnsi="Times New Roman" w:cs="Times New Roman"/>
          <w:color w:val="000000" w:themeColor="text1"/>
        </w:rPr>
        <w:t>The results indicate varying degrees of emphasis placed on different revenue generation strategies by respondents regarding tertiary institutions in Nigeria. Notably, tuition fees and government funding emerged as the most prominent sources of revenue, with 45% and 30% of respondents, respectively, acknowledging their significance. However, there appears to be less consensus on other strategies such as research grants, alumni contributions, donations, endowments, and internally generated revenue (IGR), each receiving relatively lower percentages of recognition. This suggests a potential gap in awareness or prioritization of alternative funding avenues beyond traditional sources like tuition fees and government funding. It underscores the importance of exploring and promoting diverse revenue streams to ensure financial sustainability and resilience in Nigerian tertiary institutions amidst evolving challenges.</w:t>
      </w:r>
    </w:p>
    <w:p w14:paraId="5F61D046" w14:textId="4A3E81C4" w:rsidR="00B54988" w:rsidRPr="00593380" w:rsidRDefault="001B05AB" w:rsidP="00593380">
      <w:pPr>
        <w:spacing w:after="0" w:line="360" w:lineRule="auto"/>
        <w:jc w:val="both"/>
        <w:rPr>
          <w:rFonts w:ascii="Times New Roman" w:hAnsi="Times New Roman" w:cs="Times New Roman"/>
          <w:b/>
          <w:bCs/>
          <w:color w:val="000000" w:themeColor="text1"/>
        </w:rPr>
      </w:pPr>
      <w:r w:rsidRPr="00593380">
        <w:rPr>
          <w:rFonts w:ascii="Times New Roman" w:hAnsi="Times New Roman" w:cs="Times New Roman"/>
          <w:b/>
          <w:bCs/>
          <w:color w:val="000000" w:themeColor="text1"/>
        </w:rPr>
        <w:t xml:space="preserve">Table </w:t>
      </w:r>
      <w:r w:rsidR="00AE00E4" w:rsidRPr="00593380">
        <w:rPr>
          <w:rFonts w:ascii="Times New Roman" w:hAnsi="Times New Roman" w:cs="Times New Roman"/>
          <w:b/>
          <w:bCs/>
          <w:color w:val="000000" w:themeColor="text1"/>
        </w:rPr>
        <w:t>4</w:t>
      </w:r>
      <w:r w:rsidRPr="00593380">
        <w:rPr>
          <w:rFonts w:ascii="Times New Roman" w:hAnsi="Times New Roman" w:cs="Times New Roman"/>
          <w:b/>
          <w:bCs/>
          <w:color w:val="000000" w:themeColor="text1"/>
        </w:rPr>
        <w:t>:</w:t>
      </w:r>
      <w:r w:rsidR="00AE00E4" w:rsidRPr="00593380">
        <w:rPr>
          <w:rFonts w:ascii="Times New Roman" w:hAnsi="Times New Roman" w:cs="Times New Roman"/>
          <w:b/>
          <w:bCs/>
          <w:color w:val="000000" w:themeColor="text1"/>
        </w:rPr>
        <w:t xml:space="preserve"> </w:t>
      </w:r>
      <w:r w:rsidR="00B54988" w:rsidRPr="00593380">
        <w:rPr>
          <w:rFonts w:ascii="Times New Roman" w:hAnsi="Times New Roman" w:cs="Times New Roman"/>
          <w:b/>
          <w:bCs/>
          <w:color w:val="000000" w:themeColor="text1"/>
        </w:rPr>
        <w:t xml:space="preserve">Financial Resources Diversification Strategies </w:t>
      </w:r>
      <w:r w:rsidR="00E50AF7" w:rsidRPr="00593380">
        <w:rPr>
          <w:rFonts w:ascii="Times New Roman" w:hAnsi="Times New Roman" w:cs="Times New Roman"/>
          <w:b/>
          <w:bCs/>
          <w:color w:val="000000" w:themeColor="text1"/>
        </w:rPr>
        <w:t>G</w:t>
      </w:r>
      <w:r w:rsidR="00B54988" w:rsidRPr="00593380">
        <w:rPr>
          <w:rFonts w:ascii="Times New Roman" w:hAnsi="Times New Roman" w:cs="Times New Roman"/>
          <w:b/>
          <w:bCs/>
          <w:color w:val="000000" w:themeColor="text1"/>
        </w:rPr>
        <w:t>lobally</w:t>
      </w:r>
      <w:r w:rsidR="00E50AF7" w:rsidRPr="00593380">
        <w:rPr>
          <w:rFonts w:ascii="Times New Roman" w:hAnsi="Times New Roman" w:cs="Times New Roman"/>
          <w:b/>
          <w:bCs/>
          <w:color w:val="000000" w:themeColor="text1"/>
        </w:rPr>
        <w:t>.</w:t>
      </w:r>
    </w:p>
    <w:tbl>
      <w:tblPr>
        <w:tblStyle w:val="TableGrid"/>
        <w:tblW w:w="8635" w:type="dxa"/>
        <w:tblLook w:val="04A0" w:firstRow="1" w:lastRow="0" w:firstColumn="1" w:lastColumn="0" w:noHBand="0" w:noVBand="1"/>
      </w:tblPr>
      <w:tblGrid>
        <w:gridCol w:w="5575"/>
        <w:gridCol w:w="1530"/>
        <w:gridCol w:w="1530"/>
      </w:tblGrid>
      <w:tr w:rsidR="00B02A11" w:rsidRPr="00593380" w14:paraId="01CB08A8" w14:textId="77777777" w:rsidTr="004D096C">
        <w:tc>
          <w:tcPr>
            <w:tcW w:w="5575" w:type="dxa"/>
            <w:hideMark/>
          </w:tcPr>
          <w:p w14:paraId="2EBAFA78" w14:textId="77777777" w:rsidR="00EC2AD1" w:rsidRPr="00593380" w:rsidRDefault="00EC2AD1" w:rsidP="00D03BEA">
            <w:pPr>
              <w:jc w:val="both"/>
              <w:rPr>
                <w:rFonts w:ascii="Times New Roman" w:hAnsi="Times New Roman" w:cs="Times New Roman"/>
                <w:b/>
                <w:bCs/>
                <w:color w:val="000000" w:themeColor="text1"/>
              </w:rPr>
            </w:pPr>
            <w:r w:rsidRPr="00593380">
              <w:rPr>
                <w:rFonts w:ascii="Times New Roman" w:hAnsi="Times New Roman" w:cs="Times New Roman"/>
                <w:b/>
                <w:bCs/>
                <w:color w:val="000000" w:themeColor="text1"/>
              </w:rPr>
              <w:t>Revenue Generation Strategy</w:t>
            </w:r>
          </w:p>
        </w:tc>
        <w:tc>
          <w:tcPr>
            <w:tcW w:w="1530" w:type="dxa"/>
            <w:hideMark/>
          </w:tcPr>
          <w:p w14:paraId="5627A5A2" w14:textId="77777777" w:rsidR="00EC2AD1" w:rsidRPr="00593380" w:rsidRDefault="00EC2AD1" w:rsidP="00D03BEA">
            <w:pPr>
              <w:jc w:val="both"/>
              <w:rPr>
                <w:rFonts w:ascii="Times New Roman" w:hAnsi="Times New Roman" w:cs="Times New Roman"/>
                <w:b/>
                <w:bCs/>
                <w:color w:val="000000" w:themeColor="text1"/>
              </w:rPr>
            </w:pPr>
            <w:r w:rsidRPr="00593380">
              <w:rPr>
                <w:rFonts w:ascii="Times New Roman" w:hAnsi="Times New Roman" w:cs="Times New Roman"/>
                <w:b/>
                <w:bCs/>
                <w:color w:val="000000" w:themeColor="text1"/>
              </w:rPr>
              <w:t>Number of Respondents</w:t>
            </w:r>
          </w:p>
        </w:tc>
        <w:tc>
          <w:tcPr>
            <w:tcW w:w="1530" w:type="dxa"/>
            <w:hideMark/>
          </w:tcPr>
          <w:p w14:paraId="4A0A2219" w14:textId="2F22D461" w:rsidR="00EC2AD1" w:rsidRPr="00593380" w:rsidRDefault="00EC2AD1" w:rsidP="00D03BEA">
            <w:pPr>
              <w:jc w:val="both"/>
              <w:rPr>
                <w:rFonts w:ascii="Times New Roman" w:hAnsi="Times New Roman" w:cs="Times New Roman"/>
                <w:b/>
                <w:bCs/>
                <w:color w:val="000000" w:themeColor="text1"/>
              </w:rPr>
            </w:pPr>
            <w:r w:rsidRPr="00593380">
              <w:rPr>
                <w:rFonts w:ascii="Times New Roman" w:hAnsi="Times New Roman" w:cs="Times New Roman"/>
                <w:b/>
                <w:bCs/>
                <w:color w:val="000000" w:themeColor="text1"/>
              </w:rPr>
              <w:t>Percentage (%)</w:t>
            </w:r>
          </w:p>
        </w:tc>
      </w:tr>
      <w:tr w:rsidR="00B02A11" w:rsidRPr="00593380" w14:paraId="37E806AD" w14:textId="77777777" w:rsidTr="004D096C">
        <w:tc>
          <w:tcPr>
            <w:tcW w:w="5575" w:type="dxa"/>
            <w:hideMark/>
          </w:tcPr>
          <w:p w14:paraId="6517B3E6" w14:textId="77777777" w:rsidR="00EC2AD1" w:rsidRPr="00593380" w:rsidRDefault="00EC2AD1"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Tuition fees</w:t>
            </w:r>
          </w:p>
        </w:tc>
        <w:tc>
          <w:tcPr>
            <w:tcW w:w="1530" w:type="dxa"/>
            <w:hideMark/>
          </w:tcPr>
          <w:p w14:paraId="595D7877" w14:textId="77777777" w:rsidR="00EC2AD1" w:rsidRPr="00593380" w:rsidRDefault="00EC2AD1"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150</w:t>
            </w:r>
          </w:p>
        </w:tc>
        <w:tc>
          <w:tcPr>
            <w:tcW w:w="1530" w:type="dxa"/>
            <w:hideMark/>
          </w:tcPr>
          <w:p w14:paraId="71E34C03" w14:textId="77777777" w:rsidR="00EC2AD1" w:rsidRPr="00593380" w:rsidRDefault="00EC2AD1"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15.0</w:t>
            </w:r>
          </w:p>
        </w:tc>
      </w:tr>
      <w:tr w:rsidR="00B02A11" w:rsidRPr="00593380" w14:paraId="3F8F387E" w14:textId="77777777" w:rsidTr="004D096C">
        <w:tc>
          <w:tcPr>
            <w:tcW w:w="5575" w:type="dxa"/>
            <w:hideMark/>
          </w:tcPr>
          <w:p w14:paraId="5B54F0CA" w14:textId="77777777" w:rsidR="00EC2AD1" w:rsidRPr="00593380" w:rsidRDefault="00EC2AD1"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Government funding</w:t>
            </w:r>
          </w:p>
        </w:tc>
        <w:tc>
          <w:tcPr>
            <w:tcW w:w="1530" w:type="dxa"/>
            <w:hideMark/>
          </w:tcPr>
          <w:p w14:paraId="64A65C55" w14:textId="77777777" w:rsidR="00EC2AD1" w:rsidRPr="00593380" w:rsidRDefault="00EC2AD1"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120</w:t>
            </w:r>
          </w:p>
        </w:tc>
        <w:tc>
          <w:tcPr>
            <w:tcW w:w="1530" w:type="dxa"/>
            <w:hideMark/>
          </w:tcPr>
          <w:p w14:paraId="5D3118BF" w14:textId="77777777" w:rsidR="00EC2AD1" w:rsidRPr="00593380" w:rsidRDefault="00EC2AD1"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12.0</w:t>
            </w:r>
          </w:p>
        </w:tc>
      </w:tr>
      <w:tr w:rsidR="00B02A11" w:rsidRPr="00593380" w14:paraId="58412F95" w14:textId="77777777" w:rsidTr="004D096C">
        <w:tc>
          <w:tcPr>
            <w:tcW w:w="5575" w:type="dxa"/>
            <w:hideMark/>
          </w:tcPr>
          <w:p w14:paraId="74772332" w14:textId="77777777" w:rsidR="00EC2AD1" w:rsidRPr="00593380" w:rsidRDefault="00EC2AD1"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Research grants and contracts</w:t>
            </w:r>
          </w:p>
        </w:tc>
        <w:tc>
          <w:tcPr>
            <w:tcW w:w="1530" w:type="dxa"/>
            <w:hideMark/>
          </w:tcPr>
          <w:p w14:paraId="198E24CF" w14:textId="77777777" w:rsidR="00EC2AD1" w:rsidRPr="00593380" w:rsidRDefault="00EC2AD1"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80</w:t>
            </w:r>
          </w:p>
        </w:tc>
        <w:tc>
          <w:tcPr>
            <w:tcW w:w="1530" w:type="dxa"/>
            <w:hideMark/>
          </w:tcPr>
          <w:p w14:paraId="7D26E58C" w14:textId="77777777" w:rsidR="00EC2AD1" w:rsidRPr="00593380" w:rsidRDefault="00EC2AD1"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8.0</w:t>
            </w:r>
          </w:p>
        </w:tc>
      </w:tr>
      <w:tr w:rsidR="00B02A11" w:rsidRPr="00593380" w14:paraId="2E63E283" w14:textId="77777777" w:rsidTr="004D096C">
        <w:tc>
          <w:tcPr>
            <w:tcW w:w="5575" w:type="dxa"/>
            <w:hideMark/>
          </w:tcPr>
          <w:p w14:paraId="57CB4D8E" w14:textId="77777777" w:rsidR="00EC2AD1" w:rsidRPr="00593380" w:rsidRDefault="00EC2AD1"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Alumni contributions</w:t>
            </w:r>
          </w:p>
        </w:tc>
        <w:tc>
          <w:tcPr>
            <w:tcW w:w="1530" w:type="dxa"/>
            <w:hideMark/>
          </w:tcPr>
          <w:p w14:paraId="2D6B260A" w14:textId="77777777" w:rsidR="00EC2AD1" w:rsidRPr="00593380" w:rsidRDefault="00EC2AD1"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70</w:t>
            </w:r>
          </w:p>
        </w:tc>
        <w:tc>
          <w:tcPr>
            <w:tcW w:w="1530" w:type="dxa"/>
            <w:hideMark/>
          </w:tcPr>
          <w:p w14:paraId="029F253A" w14:textId="77777777" w:rsidR="00EC2AD1" w:rsidRPr="00593380" w:rsidRDefault="00EC2AD1"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7.0</w:t>
            </w:r>
          </w:p>
        </w:tc>
      </w:tr>
      <w:tr w:rsidR="00B02A11" w:rsidRPr="00593380" w14:paraId="7B638143" w14:textId="77777777" w:rsidTr="004D096C">
        <w:tc>
          <w:tcPr>
            <w:tcW w:w="5575" w:type="dxa"/>
            <w:hideMark/>
          </w:tcPr>
          <w:p w14:paraId="48F57729" w14:textId="77777777" w:rsidR="00EC2AD1" w:rsidRPr="00593380" w:rsidRDefault="00EC2AD1"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Donations and endowment</w:t>
            </w:r>
          </w:p>
        </w:tc>
        <w:tc>
          <w:tcPr>
            <w:tcW w:w="1530" w:type="dxa"/>
            <w:hideMark/>
          </w:tcPr>
          <w:p w14:paraId="0BE939E3" w14:textId="77777777" w:rsidR="00EC2AD1" w:rsidRPr="00593380" w:rsidRDefault="00EC2AD1"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60</w:t>
            </w:r>
          </w:p>
        </w:tc>
        <w:tc>
          <w:tcPr>
            <w:tcW w:w="1530" w:type="dxa"/>
            <w:hideMark/>
          </w:tcPr>
          <w:p w14:paraId="0D5E72B7" w14:textId="77777777" w:rsidR="00EC2AD1" w:rsidRPr="00593380" w:rsidRDefault="00EC2AD1"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6.0</w:t>
            </w:r>
          </w:p>
        </w:tc>
      </w:tr>
      <w:tr w:rsidR="00B02A11" w:rsidRPr="00593380" w14:paraId="75E4BFD8" w14:textId="77777777" w:rsidTr="004D096C">
        <w:tc>
          <w:tcPr>
            <w:tcW w:w="5575" w:type="dxa"/>
            <w:hideMark/>
          </w:tcPr>
          <w:p w14:paraId="3362DCAE" w14:textId="77777777" w:rsidR="00EC2AD1" w:rsidRPr="00593380" w:rsidRDefault="00EC2AD1"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IGR (Internally Generated Revenue)</w:t>
            </w:r>
          </w:p>
        </w:tc>
        <w:tc>
          <w:tcPr>
            <w:tcW w:w="1530" w:type="dxa"/>
            <w:hideMark/>
          </w:tcPr>
          <w:p w14:paraId="72B8C411" w14:textId="77777777" w:rsidR="00EC2AD1" w:rsidRPr="00593380" w:rsidRDefault="00EC2AD1"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100</w:t>
            </w:r>
          </w:p>
        </w:tc>
        <w:tc>
          <w:tcPr>
            <w:tcW w:w="1530" w:type="dxa"/>
            <w:hideMark/>
          </w:tcPr>
          <w:p w14:paraId="3546BD9B" w14:textId="77777777" w:rsidR="00EC2AD1" w:rsidRPr="00593380" w:rsidRDefault="00EC2AD1"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10.0</w:t>
            </w:r>
          </w:p>
        </w:tc>
      </w:tr>
      <w:tr w:rsidR="00B02A11" w:rsidRPr="00593380" w14:paraId="7B1821C8" w14:textId="77777777" w:rsidTr="004D096C">
        <w:tc>
          <w:tcPr>
            <w:tcW w:w="5575" w:type="dxa"/>
            <w:hideMark/>
          </w:tcPr>
          <w:p w14:paraId="63A0A7D2" w14:textId="77777777" w:rsidR="00EC2AD1" w:rsidRPr="00593380" w:rsidRDefault="00EC2AD1"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International student fees</w:t>
            </w:r>
          </w:p>
        </w:tc>
        <w:tc>
          <w:tcPr>
            <w:tcW w:w="1530" w:type="dxa"/>
            <w:hideMark/>
          </w:tcPr>
          <w:p w14:paraId="255301ED" w14:textId="77777777" w:rsidR="00EC2AD1" w:rsidRPr="00593380" w:rsidRDefault="00EC2AD1"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90</w:t>
            </w:r>
          </w:p>
        </w:tc>
        <w:tc>
          <w:tcPr>
            <w:tcW w:w="1530" w:type="dxa"/>
            <w:hideMark/>
          </w:tcPr>
          <w:p w14:paraId="7C7DA461" w14:textId="77777777" w:rsidR="00EC2AD1" w:rsidRPr="00593380" w:rsidRDefault="00EC2AD1"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9.0</w:t>
            </w:r>
          </w:p>
        </w:tc>
      </w:tr>
      <w:tr w:rsidR="00B02A11" w:rsidRPr="00593380" w14:paraId="43805472" w14:textId="77777777" w:rsidTr="004D096C">
        <w:tc>
          <w:tcPr>
            <w:tcW w:w="5575" w:type="dxa"/>
            <w:hideMark/>
          </w:tcPr>
          <w:p w14:paraId="67D5024B" w14:textId="77777777" w:rsidR="00EC2AD1" w:rsidRPr="00593380" w:rsidRDefault="00EC2AD1"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Philanthropy</w:t>
            </w:r>
          </w:p>
        </w:tc>
        <w:tc>
          <w:tcPr>
            <w:tcW w:w="1530" w:type="dxa"/>
            <w:hideMark/>
          </w:tcPr>
          <w:p w14:paraId="71C5F533" w14:textId="77777777" w:rsidR="00EC2AD1" w:rsidRPr="00593380" w:rsidRDefault="00EC2AD1"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40</w:t>
            </w:r>
          </w:p>
        </w:tc>
        <w:tc>
          <w:tcPr>
            <w:tcW w:w="1530" w:type="dxa"/>
            <w:hideMark/>
          </w:tcPr>
          <w:p w14:paraId="525C8C54" w14:textId="77777777" w:rsidR="00EC2AD1" w:rsidRPr="00593380" w:rsidRDefault="00EC2AD1"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4.0</w:t>
            </w:r>
          </w:p>
        </w:tc>
      </w:tr>
      <w:tr w:rsidR="00B02A11" w:rsidRPr="00593380" w14:paraId="67861DD7" w14:textId="77777777" w:rsidTr="004D096C">
        <w:tc>
          <w:tcPr>
            <w:tcW w:w="5575" w:type="dxa"/>
            <w:hideMark/>
          </w:tcPr>
          <w:p w14:paraId="2D3482C4" w14:textId="77777777" w:rsidR="00EC2AD1" w:rsidRPr="00593380" w:rsidRDefault="00EC2AD1"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Continuing education and professional development</w:t>
            </w:r>
          </w:p>
        </w:tc>
        <w:tc>
          <w:tcPr>
            <w:tcW w:w="1530" w:type="dxa"/>
            <w:hideMark/>
          </w:tcPr>
          <w:p w14:paraId="52895B84" w14:textId="77777777" w:rsidR="00EC2AD1" w:rsidRPr="00593380" w:rsidRDefault="00EC2AD1"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50</w:t>
            </w:r>
          </w:p>
        </w:tc>
        <w:tc>
          <w:tcPr>
            <w:tcW w:w="1530" w:type="dxa"/>
            <w:hideMark/>
          </w:tcPr>
          <w:p w14:paraId="7A88A746" w14:textId="77777777" w:rsidR="00EC2AD1" w:rsidRPr="00593380" w:rsidRDefault="00EC2AD1"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5.0</w:t>
            </w:r>
          </w:p>
        </w:tc>
      </w:tr>
      <w:tr w:rsidR="00B02A11" w:rsidRPr="00593380" w14:paraId="7D47D405" w14:textId="77777777" w:rsidTr="004D096C">
        <w:tc>
          <w:tcPr>
            <w:tcW w:w="5575" w:type="dxa"/>
            <w:hideMark/>
          </w:tcPr>
          <w:p w14:paraId="1F33B339" w14:textId="77777777" w:rsidR="00EC2AD1" w:rsidRPr="00593380" w:rsidRDefault="00EC2AD1"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lastRenderedPageBreak/>
              <w:t>Property rental and leasing</w:t>
            </w:r>
          </w:p>
        </w:tc>
        <w:tc>
          <w:tcPr>
            <w:tcW w:w="1530" w:type="dxa"/>
            <w:hideMark/>
          </w:tcPr>
          <w:p w14:paraId="1D6F5DB0" w14:textId="77777777" w:rsidR="00EC2AD1" w:rsidRPr="00593380" w:rsidRDefault="00EC2AD1"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30</w:t>
            </w:r>
          </w:p>
        </w:tc>
        <w:tc>
          <w:tcPr>
            <w:tcW w:w="1530" w:type="dxa"/>
            <w:hideMark/>
          </w:tcPr>
          <w:p w14:paraId="5469E375" w14:textId="77777777" w:rsidR="00EC2AD1" w:rsidRPr="00593380" w:rsidRDefault="00EC2AD1"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3.0</w:t>
            </w:r>
          </w:p>
        </w:tc>
      </w:tr>
      <w:tr w:rsidR="00B02A11" w:rsidRPr="00593380" w14:paraId="7F19D63B" w14:textId="77777777" w:rsidTr="004D096C">
        <w:tc>
          <w:tcPr>
            <w:tcW w:w="5575" w:type="dxa"/>
            <w:hideMark/>
          </w:tcPr>
          <w:p w14:paraId="479DBFD3" w14:textId="77777777" w:rsidR="00EC2AD1" w:rsidRPr="00593380" w:rsidRDefault="00EC2AD1"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Intellectual property licensing</w:t>
            </w:r>
          </w:p>
        </w:tc>
        <w:tc>
          <w:tcPr>
            <w:tcW w:w="1530" w:type="dxa"/>
            <w:hideMark/>
          </w:tcPr>
          <w:p w14:paraId="09D4CCCF" w14:textId="77777777" w:rsidR="00EC2AD1" w:rsidRPr="00593380" w:rsidRDefault="00EC2AD1"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20</w:t>
            </w:r>
          </w:p>
        </w:tc>
        <w:tc>
          <w:tcPr>
            <w:tcW w:w="1530" w:type="dxa"/>
            <w:hideMark/>
          </w:tcPr>
          <w:p w14:paraId="43C1DBCB" w14:textId="77777777" w:rsidR="00EC2AD1" w:rsidRPr="00593380" w:rsidRDefault="00EC2AD1"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2.0</w:t>
            </w:r>
          </w:p>
        </w:tc>
      </w:tr>
      <w:tr w:rsidR="00B02A11" w:rsidRPr="00593380" w14:paraId="4885B947" w14:textId="77777777" w:rsidTr="004D096C">
        <w:tc>
          <w:tcPr>
            <w:tcW w:w="5575" w:type="dxa"/>
            <w:hideMark/>
          </w:tcPr>
          <w:p w14:paraId="1D3C8D52" w14:textId="77777777" w:rsidR="00EC2AD1" w:rsidRPr="00593380" w:rsidRDefault="00EC2AD1"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Study abroad and exchange programs</w:t>
            </w:r>
          </w:p>
        </w:tc>
        <w:tc>
          <w:tcPr>
            <w:tcW w:w="1530" w:type="dxa"/>
            <w:hideMark/>
          </w:tcPr>
          <w:p w14:paraId="37064E3E" w14:textId="77777777" w:rsidR="00EC2AD1" w:rsidRPr="00593380" w:rsidRDefault="00EC2AD1"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60</w:t>
            </w:r>
          </w:p>
        </w:tc>
        <w:tc>
          <w:tcPr>
            <w:tcW w:w="1530" w:type="dxa"/>
            <w:hideMark/>
          </w:tcPr>
          <w:p w14:paraId="07F476FF" w14:textId="77777777" w:rsidR="00EC2AD1" w:rsidRPr="00593380" w:rsidRDefault="00EC2AD1"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6.0</w:t>
            </w:r>
          </w:p>
        </w:tc>
      </w:tr>
      <w:tr w:rsidR="00B02A11" w:rsidRPr="00593380" w14:paraId="52C9C650" w14:textId="77777777" w:rsidTr="004D096C">
        <w:tc>
          <w:tcPr>
            <w:tcW w:w="5575" w:type="dxa"/>
            <w:hideMark/>
          </w:tcPr>
          <w:p w14:paraId="4D21ABD0" w14:textId="77777777" w:rsidR="00EC2AD1" w:rsidRPr="00593380" w:rsidRDefault="00EC2AD1"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Online learning programs</w:t>
            </w:r>
          </w:p>
        </w:tc>
        <w:tc>
          <w:tcPr>
            <w:tcW w:w="1530" w:type="dxa"/>
            <w:hideMark/>
          </w:tcPr>
          <w:p w14:paraId="1FC92E4B" w14:textId="77777777" w:rsidR="00EC2AD1" w:rsidRPr="00593380" w:rsidRDefault="00EC2AD1"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70</w:t>
            </w:r>
          </w:p>
        </w:tc>
        <w:tc>
          <w:tcPr>
            <w:tcW w:w="1530" w:type="dxa"/>
            <w:hideMark/>
          </w:tcPr>
          <w:p w14:paraId="0401C406" w14:textId="77777777" w:rsidR="00EC2AD1" w:rsidRPr="00593380" w:rsidRDefault="00EC2AD1"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7.0</w:t>
            </w:r>
          </w:p>
        </w:tc>
      </w:tr>
      <w:tr w:rsidR="00B02A11" w:rsidRPr="00593380" w14:paraId="28415AB2" w14:textId="77777777" w:rsidTr="004D096C">
        <w:tc>
          <w:tcPr>
            <w:tcW w:w="5575" w:type="dxa"/>
            <w:hideMark/>
          </w:tcPr>
          <w:p w14:paraId="21C9C461" w14:textId="77777777" w:rsidR="00EC2AD1" w:rsidRPr="00593380" w:rsidRDefault="00EC2AD1"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Corporate training and consultancy services</w:t>
            </w:r>
          </w:p>
        </w:tc>
        <w:tc>
          <w:tcPr>
            <w:tcW w:w="1530" w:type="dxa"/>
            <w:hideMark/>
          </w:tcPr>
          <w:p w14:paraId="547F847F" w14:textId="77777777" w:rsidR="00EC2AD1" w:rsidRPr="00593380" w:rsidRDefault="00EC2AD1"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40</w:t>
            </w:r>
          </w:p>
        </w:tc>
        <w:tc>
          <w:tcPr>
            <w:tcW w:w="1530" w:type="dxa"/>
            <w:hideMark/>
          </w:tcPr>
          <w:p w14:paraId="3B0ACC03" w14:textId="77777777" w:rsidR="00EC2AD1" w:rsidRPr="00593380" w:rsidRDefault="00EC2AD1"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4.0</w:t>
            </w:r>
          </w:p>
        </w:tc>
      </w:tr>
      <w:tr w:rsidR="00B02A11" w:rsidRPr="00593380" w14:paraId="4855C2C4" w14:textId="77777777" w:rsidTr="004D096C">
        <w:tc>
          <w:tcPr>
            <w:tcW w:w="5575" w:type="dxa"/>
            <w:hideMark/>
          </w:tcPr>
          <w:p w14:paraId="6E411CB4" w14:textId="77777777" w:rsidR="00EC2AD1" w:rsidRPr="00593380" w:rsidRDefault="00EC2AD1"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Bookstores and merchandise sales</w:t>
            </w:r>
          </w:p>
        </w:tc>
        <w:tc>
          <w:tcPr>
            <w:tcW w:w="1530" w:type="dxa"/>
            <w:hideMark/>
          </w:tcPr>
          <w:p w14:paraId="52F70E84" w14:textId="77777777" w:rsidR="00EC2AD1" w:rsidRPr="00593380" w:rsidRDefault="00EC2AD1"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25</w:t>
            </w:r>
          </w:p>
        </w:tc>
        <w:tc>
          <w:tcPr>
            <w:tcW w:w="1530" w:type="dxa"/>
            <w:hideMark/>
          </w:tcPr>
          <w:p w14:paraId="6AF4B1CC" w14:textId="77777777" w:rsidR="00EC2AD1" w:rsidRPr="00593380" w:rsidRDefault="00EC2AD1"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2.5</w:t>
            </w:r>
          </w:p>
        </w:tc>
      </w:tr>
      <w:tr w:rsidR="00B02A11" w:rsidRPr="00593380" w14:paraId="7680E7D3" w14:textId="77777777" w:rsidTr="004D096C">
        <w:tc>
          <w:tcPr>
            <w:tcW w:w="5575" w:type="dxa"/>
            <w:hideMark/>
          </w:tcPr>
          <w:p w14:paraId="1D1DA329" w14:textId="77777777" w:rsidR="00EC2AD1" w:rsidRPr="00593380" w:rsidRDefault="00EC2AD1"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Sports events and facilities</w:t>
            </w:r>
          </w:p>
        </w:tc>
        <w:tc>
          <w:tcPr>
            <w:tcW w:w="1530" w:type="dxa"/>
            <w:hideMark/>
          </w:tcPr>
          <w:p w14:paraId="15091A17" w14:textId="77777777" w:rsidR="00EC2AD1" w:rsidRPr="00593380" w:rsidRDefault="00EC2AD1"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35</w:t>
            </w:r>
          </w:p>
        </w:tc>
        <w:tc>
          <w:tcPr>
            <w:tcW w:w="1530" w:type="dxa"/>
            <w:hideMark/>
          </w:tcPr>
          <w:p w14:paraId="193A8EB1" w14:textId="77777777" w:rsidR="00EC2AD1" w:rsidRPr="00593380" w:rsidRDefault="00EC2AD1"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3.5</w:t>
            </w:r>
          </w:p>
        </w:tc>
      </w:tr>
      <w:tr w:rsidR="00B02A11" w:rsidRPr="00593380" w14:paraId="756B787F" w14:textId="77777777" w:rsidTr="004D096C">
        <w:tc>
          <w:tcPr>
            <w:tcW w:w="5575" w:type="dxa"/>
            <w:hideMark/>
          </w:tcPr>
          <w:p w14:paraId="4A4A8D73" w14:textId="77777777" w:rsidR="00EC2AD1" w:rsidRPr="00593380" w:rsidRDefault="00EC2AD1"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Campus accommodation and hospitality</w:t>
            </w:r>
          </w:p>
        </w:tc>
        <w:tc>
          <w:tcPr>
            <w:tcW w:w="1530" w:type="dxa"/>
            <w:hideMark/>
          </w:tcPr>
          <w:p w14:paraId="29216219" w14:textId="77777777" w:rsidR="00EC2AD1" w:rsidRPr="00593380" w:rsidRDefault="00EC2AD1"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45</w:t>
            </w:r>
          </w:p>
        </w:tc>
        <w:tc>
          <w:tcPr>
            <w:tcW w:w="1530" w:type="dxa"/>
            <w:hideMark/>
          </w:tcPr>
          <w:p w14:paraId="00BD3373" w14:textId="77777777" w:rsidR="00EC2AD1" w:rsidRPr="00593380" w:rsidRDefault="00EC2AD1"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4.5</w:t>
            </w:r>
          </w:p>
        </w:tc>
      </w:tr>
      <w:tr w:rsidR="00B02A11" w:rsidRPr="00593380" w14:paraId="5778F0FF" w14:textId="77777777" w:rsidTr="004D096C">
        <w:tc>
          <w:tcPr>
            <w:tcW w:w="5575" w:type="dxa"/>
            <w:hideMark/>
          </w:tcPr>
          <w:p w14:paraId="36FAA968" w14:textId="77777777" w:rsidR="00EC2AD1" w:rsidRPr="00593380" w:rsidRDefault="00EC2AD1"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Online advertising and partnership</w:t>
            </w:r>
          </w:p>
        </w:tc>
        <w:tc>
          <w:tcPr>
            <w:tcW w:w="1530" w:type="dxa"/>
            <w:hideMark/>
          </w:tcPr>
          <w:p w14:paraId="4941D72B" w14:textId="77777777" w:rsidR="00EC2AD1" w:rsidRPr="00593380" w:rsidRDefault="00EC2AD1"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55</w:t>
            </w:r>
          </w:p>
        </w:tc>
        <w:tc>
          <w:tcPr>
            <w:tcW w:w="1530" w:type="dxa"/>
            <w:hideMark/>
          </w:tcPr>
          <w:p w14:paraId="7DE86508" w14:textId="77777777" w:rsidR="00EC2AD1" w:rsidRPr="00593380" w:rsidRDefault="00EC2AD1"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5.5</w:t>
            </w:r>
          </w:p>
        </w:tc>
      </w:tr>
      <w:tr w:rsidR="00B02A11" w:rsidRPr="00593380" w14:paraId="56AAD13A" w14:textId="77777777" w:rsidTr="004D096C">
        <w:tc>
          <w:tcPr>
            <w:tcW w:w="5575" w:type="dxa"/>
            <w:hideMark/>
          </w:tcPr>
          <w:p w14:paraId="55C241AC" w14:textId="77777777" w:rsidR="00EC2AD1" w:rsidRPr="00593380" w:rsidRDefault="00EC2AD1" w:rsidP="00D03BEA">
            <w:pPr>
              <w:jc w:val="both"/>
              <w:rPr>
                <w:rFonts w:ascii="Times New Roman" w:hAnsi="Times New Roman" w:cs="Times New Roman"/>
                <w:b/>
                <w:bCs/>
                <w:color w:val="000000" w:themeColor="text1"/>
              </w:rPr>
            </w:pPr>
            <w:r w:rsidRPr="00593380">
              <w:rPr>
                <w:rFonts w:ascii="Times New Roman" w:hAnsi="Times New Roman" w:cs="Times New Roman"/>
                <w:b/>
                <w:bCs/>
                <w:color w:val="000000" w:themeColor="text1"/>
              </w:rPr>
              <w:t>Total</w:t>
            </w:r>
          </w:p>
        </w:tc>
        <w:tc>
          <w:tcPr>
            <w:tcW w:w="1530" w:type="dxa"/>
            <w:hideMark/>
          </w:tcPr>
          <w:p w14:paraId="185E57ED" w14:textId="77777777" w:rsidR="00EC2AD1" w:rsidRPr="00593380" w:rsidRDefault="00EC2AD1" w:rsidP="00D03BEA">
            <w:pPr>
              <w:jc w:val="both"/>
              <w:rPr>
                <w:rFonts w:ascii="Times New Roman" w:hAnsi="Times New Roman" w:cs="Times New Roman"/>
                <w:b/>
                <w:bCs/>
                <w:color w:val="000000" w:themeColor="text1"/>
              </w:rPr>
            </w:pPr>
            <w:r w:rsidRPr="00593380">
              <w:rPr>
                <w:rFonts w:ascii="Times New Roman" w:hAnsi="Times New Roman" w:cs="Times New Roman"/>
                <w:b/>
                <w:bCs/>
                <w:color w:val="000000" w:themeColor="text1"/>
              </w:rPr>
              <w:t>1000</w:t>
            </w:r>
          </w:p>
        </w:tc>
        <w:tc>
          <w:tcPr>
            <w:tcW w:w="1530" w:type="dxa"/>
            <w:hideMark/>
          </w:tcPr>
          <w:p w14:paraId="765FDCE9" w14:textId="77777777" w:rsidR="00EC2AD1" w:rsidRPr="00593380" w:rsidRDefault="00EC2AD1" w:rsidP="00D03BEA">
            <w:pPr>
              <w:jc w:val="both"/>
              <w:rPr>
                <w:rFonts w:ascii="Times New Roman" w:hAnsi="Times New Roman" w:cs="Times New Roman"/>
                <w:b/>
                <w:bCs/>
                <w:color w:val="000000" w:themeColor="text1"/>
              </w:rPr>
            </w:pPr>
            <w:r w:rsidRPr="00593380">
              <w:rPr>
                <w:rFonts w:ascii="Times New Roman" w:hAnsi="Times New Roman" w:cs="Times New Roman"/>
                <w:b/>
                <w:bCs/>
                <w:color w:val="000000" w:themeColor="text1"/>
              </w:rPr>
              <w:t>100.0</w:t>
            </w:r>
          </w:p>
        </w:tc>
      </w:tr>
    </w:tbl>
    <w:p w14:paraId="054C567B" w14:textId="77777777" w:rsidR="001B05AB" w:rsidRPr="00593380" w:rsidRDefault="001B05AB" w:rsidP="00593380">
      <w:pPr>
        <w:spacing w:line="360" w:lineRule="auto"/>
        <w:jc w:val="both"/>
        <w:rPr>
          <w:rFonts w:ascii="Times New Roman" w:hAnsi="Times New Roman" w:cs="Times New Roman"/>
          <w:color w:val="000000" w:themeColor="text1"/>
        </w:rPr>
      </w:pPr>
      <w:r w:rsidRPr="00593380">
        <w:rPr>
          <w:rFonts w:ascii="Times New Roman" w:hAnsi="Times New Roman" w:cs="Times New Roman"/>
          <w:color w:val="000000" w:themeColor="text1"/>
        </w:rPr>
        <w:t>Source: Field Survey, 2024.</w:t>
      </w:r>
    </w:p>
    <w:p w14:paraId="22610DA4" w14:textId="4F5C1D8D" w:rsidR="00EC2AD1" w:rsidRPr="00593380" w:rsidRDefault="00EC2AD1" w:rsidP="00593380">
      <w:pPr>
        <w:spacing w:line="360" w:lineRule="auto"/>
        <w:jc w:val="both"/>
        <w:rPr>
          <w:rFonts w:ascii="Times New Roman" w:hAnsi="Times New Roman" w:cs="Times New Roman"/>
          <w:color w:val="000000" w:themeColor="text1"/>
        </w:rPr>
      </w:pPr>
      <w:r w:rsidRPr="00593380">
        <w:rPr>
          <w:rFonts w:ascii="Times New Roman" w:hAnsi="Times New Roman" w:cs="Times New Roman"/>
          <w:color w:val="000000" w:themeColor="text1"/>
        </w:rPr>
        <w:t>Table</w:t>
      </w:r>
      <w:r w:rsidR="007D60C0" w:rsidRPr="00593380">
        <w:rPr>
          <w:rFonts w:ascii="Times New Roman" w:hAnsi="Times New Roman" w:cs="Times New Roman"/>
          <w:color w:val="000000" w:themeColor="text1"/>
        </w:rPr>
        <w:t xml:space="preserve"> 4</w:t>
      </w:r>
      <w:r w:rsidRPr="00593380">
        <w:rPr>
          <w:rFonts w:ascii="Times New Roman" w:hAnsi="Times New Roman" w:cs="Times New Roman"/>
          <w:color w:val="000000" w:themeColor="text1"/>
        </w:rPr>
        <w:t xml:space="preserve"> presents an overview of the current revenue generation strategies employed by tertiary institutions globally, based on responses from 1000 participants. It highlights a diverse range of strategies utilized by these institutions to secure funding and maintain financial sustainability. Notably, tuition fees and government funding emerge as the most prevalent sources of revenue, with 15% and 12% of respondents respectively acknowledging their significance. Additionally, research grants and contracts, alumni contributions, and internally generated revenue are also recognized as significant sources, each garnering between 8% and 10% of respondents. However, there is a notable variation in the adoption of other strategies such as international student fees, philanthropy, and property rental, which are perceived as comparatively less utilized revenue streams. The responses underscore the importance of a multifaceted approach to revenue generation, emphasizing the need for institutions to diversify their income sources to ensure financial stability and support various aspects of their operations, including research, infrastructure development, and student services.</w:t>
      </w:r>
    </w:p>
    <w:p w14:paraId="1BC1D2DB" w14:textId="57CAD0B3" w:rsidR="00B54988" w:rsidRPr="00593380" w:rsidRDefault="001B05AB" w:rsidP="00593380">
      <w:pPr>
        <w:spacing w:after="0" w:line="360" w:lineRule="auto"/>
        <w:jc w:val="both"/>
        <w:rPr>
          <w:rFonts w:ascii="Times New Roman" w:hAnsi="Times New Roman" w:cs="Times New Roman"/>
          <w:b/>
          <w:bCs/>
          <w:color w:val="000000" w:themeColor="text1"/>
        </w:rPr>
      </w:pPr>
      <w:r w:rsidRPr="00593380">
        <w:rPr>
          <w:rFonts w:ascii="Times New Roman" w:hAnsi="Times New Roman" w:cs="Times New Roman"/>
          <w:b/>
          <w:bCs/>
          <w:color w:val="000000" w:themeColor="text1"/>
        </w:rPr>
        <w:t>Table 5:</w:t>
      </w:r>
      <w:r w:rsidR="00AE00E4" w:rsidRPr="00593380">
        <w:rPr>
          <w:rFonts w:ascii="Times New Roman" w:hAnsi="Times New Roman" w:cs="Times New Roman"/>
          <w:b/>
          <w:bCs/>
          <w:color w:val="000000" w:themeColor="text1"/>
        </w:rPr>
        <w:t xml:space="preserve"> E</w:t>
      </w:r>
      <w:r w:rsidR="00B54988" w:rsidRPr="00593380">
        <w:rPr>
          <w:rFonts w:ascii="Times New Roman" w:hAnsi="Times New Roman" w:cs="Times New Roman"/>
          <w:b/>
          <w:bCs/>
          <w:color w:val="000000" w:themeColor="text1"/>
        </w:rPr>
        <w:t>ffective</w:t>
      </w:r>
      <w:r w:rsidR="00AE00E4" w:rsidRPr="00593380">
        <w:rPr>
          <w:rFonts w:ascii="Times New Roman" w:hAnsi="Times New Roman" w:cs="Times New Roman"/>
          <w:b/>
          <w:bCs/>
          <w:color w:val="000000" w:themeColor="text1"/>
        </w:rPr>
        <w:t>ness</w:t>
      </w:r>
      <w:r w:rsidR="00B54988" w:rsidRPr="00593380">
        <w:rPr>
          <w:rFonts w:ascii="Times New Roman" w:hAnsi="Times New Roman" w:cs="Times New Roman"/>
          <w:b/>
          <w:bCs/>
          <w:color w:val="000000" w:themeColor="text1"/>
        </w:rPr>
        <w:t xml:space="preserve"> </w:t>
      </w:r>
      <w:r w:rsidR="00AE00E4" w:rsidRPr="00593380">
        <w:rPr>
          <w:rFonts w:ascii="Times New Roman" w:hAnsi="Times New Roman" w:cs="Times New Roman"/>
          <w:b/>
          <w:bCs/>
          <w:color w:val="000000" w:themeColor="text1"/>
        </w:rPr>
        <w:t>of</w:t>
      </w:r>
      <w:r w:rsidR="00B54988" w:rsidRPr="00593380">
        <w:rPr>
          <w:rFonts w:ascii="Times New Roman" w:hAnsi="Times New Roman" w:cs="Times New Roman"/>
          <w:b/>
          <w:bCs/>
          <w:color w:val="000000" w:themeColor="text1"/>
        </w:rPr>
        <w:t xml:space="preserve"> revenue generation strategies in meeting the financial needs of tertiary institutions</w:t>
      </w:r>
    </w:p>
    <w:tbl>
      <w:tblPr>
        <w:tblStyle w:val="TableGrid"/>
        <w:tblW w:w="7465" w:type="dxa"/>
        <w:tblLook w:val="04A0" w:firstRow="1" w:lastRow="0" w:firstColumn="1" w:lastColumn="0" w:noHBand="0" w:noVBand="1"/>
      </w:tblPr>
      <w:tblGrid>
        <w:gridCol w:w="3013"/>
        <w:gridCol w:w="1317"/>
        <w:gridCol w:w="3135"/>
      </w:tblGrid>
      <w:tr w:rsidR="00B02A11" w:rsidRPr="00593380" w14:paraId="6B987642" w14:textId="77777777" w:rsidTr="008005AC">
        <w:tc>
          <w:tcPr>
            <w:tcW w:w="0" w:type="auto"/>
            <w:hideMark/>
          </w:tcPr>
          <w:p w14:paraId="75C2DDB8" w14:textId="77777777" w:rsidR="00B54988" w:rsidRPr="00593380" w:rsidRDefault="00B54988" w:rsidP="00D03BEA">
            <w:pPr>
              <w:jc w:val="both"/>
              <w:rPr>
                <w:rFonts w:ascii="Times New Roman" w:hAnsi="Times New Roman" w:cs="Times New Roman"/>
                <w:b/>
                <w:bCs/>
                <w:color w:val="000000" w:themeColor="text1"/>
              </w:rPr>
            </w:pPr>
            <w:r w:rsidRPr="00593380">
              <w:rPr>
                <w:rFonts w:ascii="Times New Roman" w:hAnsi="Times New Roman" w:cs="Times New Roman"/>
                <w:b/>
                <w:bCs/>
                <w:color w:val="000000" w:themeColor="text1"/>
              </w:rPr>
              <w:t>Response</w:t>
            </w:r>
          </w:p>
        </w:tc>
        <w:tc>
          <w:tcPr>
            <w:tcW w:w="0" w:type="auto"/>
            <w:hideMark/>
          </w:tcPr>
          <w:p w14:paraId="4FC0C498" w14:textId="77777777" w:rsidR="00B54988" w:rsidRPr="00593380" w:rsidRDefault="00B54988" w:rsidP="00D03BEA">
            <w:pPr>
              <w:jc w:val="both"/>
              <w:rPr>
                <w:rFonts w:ascii="Times New Roman" w:hAnsi="Times New Roman" w:cs="Times New Roman"/>
                <w:b/>
                <w:bCs/>
                <w:color w:val="000000" w:themeColor="text1"/>
              </w:rPr>
            </w:pPr>
            <w:r w:rsidRPr="00593380">
              <w:rPr>
                <w:rFonts w:ascii="Times New Roman" w:hAnsi="Times New Roman" w:cs="Times New Roman"/>
                <w:b/>
                <w:bCs/>
                <w:color w:val="000000" w:themeColor="text1"/>
              </w:rPr>
              <w:t>Score</w:t>
            </w:r>
          </w:p>
        </w:tc>
        <w:tc>
          <w:tcPr>
            <w:tcW w:w="3135" w:type="dxa"/>
            <w:hideMark/>
          </w:tcPr>
          <w:p w14:paraId="3142D2A9" w14:textId="77777777" w:rsidR="00B54988" w:rsidRPr="00593380" w:rsidRDefault="00B54988" w:rsidP="00D03BEA">
            <w:pPr>
              <w:jc w:val="both"/>
              <w:rPr>
                <w:rFonts w:ascii="Times New Roman" w:hAnsi="Times New Roman" w:cs="Times New Roman"/>
                <w:b/>
                <w:bCs/>
                <w:color w:val="000000" w:themeColor="text1"/>
              </w:rPr>
            </w:pPr>
            <w:r w:rsidRPr="00593380">
              <w:rPr>
                <w:rFonts w:ascii="Times New Roman" w:hAnsi="Times New Roman" w:cs="Times New Roman"/>
                <w:b/>
                <w:bCs/>
                <w:color w:val="000000" w:themeColor="text1"/>
              </w:rPr>
              <w:t>Number of Respondents</w:t>
            </w:r>
          </w:p>
        </w:tc>
      </w:tr>
      <w:tr w:rsidR="00B02A11" w:rsidRPr="00593380" w14:paraId="0D6244C8" w14:textId="77777777" w:rsidTr="008005AC">
        <w:tc>
          <w:tcPr>
            <w:tcW w:w="0" w:type="auto"/>
            <w:hideMark/>
          </w:tcPr>
          <w:p w14:paraId="52FDAC26" w14:textId="77777777" w:rsidR="00B54988" w:rsidRPr="00593380" w:rsidRDefault="00B54988"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Very Effective</w:t>
            </w:r>
          </w:p>
        </w:tc>
        <w:tc>
          <w:tcPr>
            <w:tcW w:w="0" w:type="auto"/>
            <w:hideMark/>
          </w:tcPr>
          <w:p w14:paraId="68C2167A" w14:textId="77777777" w:rsidR="00B54988" w:rsidRPr="00593380" w:rsidRDefault="00B54988"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4</w:t>
            </w:r>
          </w:p>
        </w:tc>
        <w:tc>
          <w:tcPr>
            <w:tcW w:w="3135" w:type="dxa"/>
            <w:hideMark/>
          </w:tcPr>
          <w:p w14:paraId="78E53D01" w14:textId="77777777" w:rsidR="00B54988" w:rsidRPr="00593380" w:rsidRDefault="00B54988"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300</w:t>
            </w:r>
          </w:p>
        </w:tc>
      </w:tr>
      <w:tr w:rsidR="00B02A11" w:rsidRPr="00593380" w14:paraId="370DC625" w14:textId="77777777" w:rsidTr="008005AC">
        <w:tc>
          <w:tcPr>
            <w:tcW w:w="0" w:type="auto"/>
            <w:hideMark/>
          </w:tcPr>
          <w:p w14:paraId="0DF5520D" w14:textId="77777777" w:rsidR="00B54988" w:rsidRPr="00593380" w:rsidRDefault="00B54988"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Effective</w:t>
            </w:r>
          </w:p>
        </w:tc>
        <w:tc>
          <w:tcPr>
            <w:tcW w:w="0" w:type="auto"/>
            <w:hideMark/>
          </w:tcPr>
          <w:p w14:paraId="17596257" w14:textId="77777777" w:rsidR="00B54988" w:rsidRPr="00593380" w:rsidRDefault="00B54988"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3</w:t>
            </w:r>
          </w:p>
        </w:tc>
        <w:tc>
          <w:tcPr>
            <w:tcW w:w="3135" w:type="dxa"/>
            <w:hideMark/>
          </w:tcPr>
          <w:p w14:paraId="5B1E5E20" w14:textId="77777777" w:rsidR="00B54988" w:rsidRPr="00593380" w:rsidRDefault="00B54988"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450</w:t>
            </w:r>
          </w:p>
        </w:tc>
      </w:tr>
      <w:tr w:rsidR="00B02A11" w:rsidRPr="00593380" w14:paraId="1B3890A7" w14:textId="77777777" w:rsidTr="008005AC">
        <w:tc>
          <w:tcPr>
            <w:tcW w:w="0" w:type="auto"/>
            <w:hideMark/>
          </w:tcPr>
          <w:p w14:paraId="26774F16" w14:textId="77777777" w:rsidR="00B54988" w:rsidRPr="00593380" w:rsidRDefault="00B54988"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No Idea</w:t>
            </w:r>
          </w:p>
        </w:tc>
        <w:tc>
          <w:tcPr>
            <w:tcW w:w="0" w:type="auto"/>
            <w:hideMark/>
          </w:tcPr>
          <w:p w14:paraId="4A21CA12" w14:textId="77777777" w:rsidR="00B54988" w:rsidRPr="00593380" w:rsidRDefault="00B54988"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2</w:t>
            </w:r>
          </w:p>
        </w:tc>
        <w:tc>
          <w:tcPr>
            <w:tcW w:w="3135" w:type="dxa"/>
            <w:hideMark/>
          </w:tcPr>
          <w:p w14:paraId="0D51EE88" w14:textId="77777777" w:rsidR="00B54988" w:rsidRPr="00593380" w:rsidRDefault="00B54988"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150</w:t>
            </w:r>
          </w:p>
        </w:tc>
      </w:tr>
      <w:tr w:rsidR="00B02A11" w:rsidRPr="00593380" w14:paraId="14FF669F" w14:textId="77777777" w:rsidTr="008005AC">
        <w:tc>
          <w:tcPr>
            <w:tcW w:w="0" w:type="auto"/>
            <w:hideMark/>
          </w:tcPr>
          <w:p w14:paraId="641227D0" w14:textId="77777777" w:rsidR="00B54988" w:rsidRPr="00593380" w:rsidRDefault="00B54988"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Not Effective</w:t>
            </w:r>
          </w:p>
        </w:tc>
        <w:tc>
          <w:tcPr>
            <w:tcW w:w="0" w:type="auto"/>
            <w:hideMark/>
          </w:tcPr>
          <w:p w14:paraId="278E4BE7" w14:textId="77777777" w:rsidR="00B54988" w:rsidRPr="00593380" w:rsidRDefault="00B54988"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w:t>
            </w:r>
          </w:p>
        </w:tc>
        <w:tc>
          <w:tcPr>
            <w:tcW w:w="3135" w:type="dxa"/>
            <w:hideMark/>
          </w:tcPr>
          <w:p w14:paraId="1902A1A1" w14:textId="77777777" w:rsidR="00B54988" w:rsidRPr="00593380" w:rsidRDefault="00B54988"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100</w:t>
            </w:r>
          </w:p>
        </w:tc>
      </w:tr>
      <w:tr w:rsidR="00B02A11" w:rsidRPr="00593380" w14:paraId="3C4BEAFE" w14:textId="77777777" w:rsidTr="008005AC">
        <w:tc>
          <w:tcPr>
            <w:tcW w:w="0" w:type="auto"/>
            <w:hideMark/>
          </w:tcPr>
          <w:p w14:paraId="2510A007" w14:textId="77777777" w:rsidR="00B54988" w:rsidRPr="00593380" w:rsidRDefault="00B54988" w:rsidP="00D03BEA">
            <w:pPr>
              <w:jc w:val="both"/>
              <w:rPr>
                <w:rFonts w:ascii="Times New Roman" w:hAnsi="Times New Roman" w:cs="Times New Roman"/>
                <w:b/>
                <w:bCs/>
                <w:color w:val="000000" w:themeColor="text1"/>
              </w:rPr>
            </w:pPr>
            <w:r w:rsidRPr="00593380">
              <w:rPr>
                <w:rFonts w:ascii="Times New Roman" w:hAnsi="Times New Roman" w:cs="Times New Roman"/>
                <w:b/>
                <w:bCs/>
                <w:color w:val="000000" w:themeColor="text1"/>
              </w:rPr>
              <w:t>Total</w:t>
            </w:r>
          </w:p>
        </w:tc>
        <w:tc>
          <w:tcPr>
            <w:tcW w:w="0" w:type="auto"/>
            <w:hideMark/>
          </w:tcPr>
          <w:p w14:paraId="09D80436" w14:textId="77777777" w:rsidR="00B54988" w:rsidRPr="00593380" w:rsidRDefault="00B54988" w:rsidP="00D03BEA">
            <w:pPr>
              <w:jc w:val="both"/>
              <w:rPr>
                <w:rFonts w:ascii="Times New Roman" w:hAnsi="Times New Roman" w:cs="Times New Roman"/>
                <w:b/>
                <w:bCs/>
                <w:color w:val="000000" w:themeColor="text1"/>
              </w:rPr>
            </w:pPr>
          </w:p>
        </w:tc>
        <w:tc>
          <w:tcPr>
            <w:tcW w:w="3135" w:type="dxa"/>
            <w:hideMark/>
          </w:tcPr>
          <w:p w14:paraId="3F265306" w14:textId="77777777" w:rsidR="00B54988" w:rsidRPr="00593380" w:rsidRDefault="00B54988" w:rsidP="00D03BEA">
            <w:pPr>
              <w:jc w:val="both"/>
              <w:rPr>
                <w:rFonts w:ascii="Times New Roman" w:hAnsi="Times New Roman" w:cs="Times New Roman"/>
                <w:b/>
                <w:bCs/>
                <w:color w:val="000000" w:themeColor="text1"/>
              </w:rPr>
            </w:pPr>
            <w:r w:rsidRPr="00593380">
              <w:rPr>
                <w:rFonts w:ascii="Times New Roman" w:hAnsi="Times New Roman" w:cs="Times New Roman"/>
                <w:b/>
                <w:bCs/>
                <w:color w:val="000000" w:themeColor="text1"/>
              </w:rPr>
              <w:t>1000</w:t>
            </w:r>
          </w:p>
        </w:tc>
      </w:tr>
      <w:tr w:rsidR="00B02A11" w:rsidRPr="00593380" w14:paraId="1EAB8357" w14:textId="77777777" w:rsidTr="008005AC">
        <w:tc>
          <w:tcPr>
            <w:tcW w:w="0" w:type="auto"/>
            <w:hideMark/>
          </w:tcPr>
          <w:p w14:paraId="4782D5A2" w14:textId="77777777" w:rsidR="00B54988" w:rsidRPr="00593380" w:rsidRDefault="00B54988" w:rsidP="00D03BEA">
            <w:pPr>
              <w:jc w:val="both"/>
              <w:rPr>
                <w:rFonts w:ascii="Times New Roman" w:hAnsi="Times New Roman" w:cs="Times New Roman"/>
                <w:b/>
                <w:bCs/>
                <w:color w:val="000000" w:themeColor="text1"/>
              </w:rPr>
            </w:pPr>
            <w:r w:rsidRPr="00593380">
              <w:rPr>
                <w:rFonts w:ascii="Times New Roman" w:hAnsi="Times New Roman" w:cs="Times New Roman"/>
                <w:b/>
                <w:bCs/>
                <w:color w:val="000000" w:themeColor="text1"/>
              </w:rPr>
              <w:t>Mean Response</w:t>
            </w:r>
          </w:p>
        </w:tc>
        <w:tc>
          <w:tcPr>
            <w:tcW w:w="0" w:type="auto"/>
            <w:hideMark/>
          </w:tcPr>
          <w:p w14:paraId="014A8D02" w14:textId="77777777" w:rsidR="00B54988" w:rsidRPr="00593380" w:rsidRDefault="00B54988" w:rsidP="00D03BEA">
            <w:pPr>
              <w:jc w:val="both"/>
              <w:rPr>
                <w:rFonts w:ascii="Times New Roman" w:hAnsi="Times New Roman" w:cs="Times New Roman"/>
                <w:b/>
                <w:bCs/>
                <w:color w:val="000000" w:themeColor="text1"/>
              </w:rPr>
            </w:pPr>
          </w:p>
        </w:tc>
        <w:tc>
          <w:tcPr>
            <w:tcW w:w="3135" w:type="dxa"/>
            <w:hideMark/>
          </w:tcPr>
          <w:p w14:paraId="24104172" w14:textId="77777777" w:rsidR="00B54988" w:rsidRPr="00593380" w:rsidRDefault="00B54988" w:rsidP="00D03BEA">
            <w:pPr>
              <w:jc w:val="both"/>
              <w:rPr>
                <w:rFonts w:ascii="Times New Roman" w:hAnsi="Times New Roman" w:cs="Times New Roman"/>
                <w:b/>
                <w:bCs/>
                <w:color w:val="000000" w:themeColor="text1"/>
              </w:rPr>
            </w:pPr>
            <w:r w:rsidRPr="00593380">
              <w:rPr>
                <w:rFonts w:ascii="Times New Roman" w:hAnsi="Times New Roman" w:cs="Times New Roman"/>
                <w:b/>
                <w:bCs/>
                <w:color w:val="000000" w:themeColor="text1"/>
              </w:rPr>
              <w:t>2.95</w:t>
            </w:r>
          </w:p>
        </w:tc>
      </w:tr>
    </w:tbl>
    <w:p w14:paraId="07EFB632" w14:textId="77777777" w:rsidR="001B05AB" w:rsidRPr="00593380" w:rsidRDefault="001B05AB" w:rsidP="00593380">
      <w:pPr>
        <w:spacing w:line="360" w:lineRule="auto"/>
        <w:jc w:val="both"/>
        <w:rPr>
          <w:rFonts w:ascii="Times New Roman" w:hAnsi="Times New Roman" w:cs="Times New Roman"/>
          <w:color w:val="000000" w:themeColor="text1"/>
        </w:rPr>
      </w:pPr>
      <w:r w:rsidRPr="00593380">
        <w:rPr>
          <w:rFonts w:ascii="Times New Roman" w:hAnsi="Times New Roman" w:cs="Times New Roman"/>
          <w:color w:val="000000" w:themeColor="text1"/>
        </w:rPr>
        <w:t>Source: Field Survey, 2024.</w:t>
      </w:r>
    </w:p>
    <w:p w14:paraId="6E6DFEF0" w14:textId="73B42C74" w:rsidR="00CA3848" w:rsidRPr="00593380" w:rsidRDefault="00B54988" w:rsidP="00593380">
      <w:pPr>
        <w:spacing w:line="360" w:lineRule="auto"/>
        <w:jc w:val="both"/>
        <w:rPr>
          <w:rFonts w:ascii="Times New Roman" w:hAnsi="Times New Roman" w:cs="Times New Roman"/>
          <w:color w:val="000000" w:themeColor="text1"/>
        </w:rPr>
      </w:pPr>
      <w:r w:rsidRPr="00593380">
        <w:rPr>
          <w:rFonts w:ascii="Times New Roman" w:hAnsi="Times New Roman" w:cs="Times New Roman"/>
          <w:color w:val="000000" w:themeColor="text1"/>
        </w:rPr>
        <w:t>Table</w:t>
      </w:r>
      <w:r w:rsidR="007D60C0" w:rsidRPr="00593380">
        <w:rPr>
          <w:rFonts w:ascii="Times New Roman" w:hAnsi="Times New Roman" w:cs="Times New Roman"/>
          <w:color w:val="000000" w:themeColor="text1"/>
        </w:rPr>
        <w:t xml:space="preserve"> 5</w:t>
      </w:r>
      <w:r w:rsidRPr="00593380">
        <w:rPr>
          <w:rFonts w:ascii="Times New Roman" w:hAnsi="Times New Roman" w:cs="Times New Roman"/>
          <w:color w:val="000000" w:themeColor="text1"/>
        </w:rPr>
        <w:t xml:space="preserve"> presents an analysis of 1000 respondents' perceptions regarding the effectiveness of </w:t>
      </w:r>
      <w:r w:rsidR="00B86E0A" w:rsidRPr="00593380">
        <w:rPr>
          <w:rFonts w:ascii="Times New Roman" w:hAnsi="Times New Roman" w:cs="Times New Roman"/>
          <w:color w:val="000000" w:themeColor="text1"/>
        </w:rPr>
        <w:t>revenue-generation</w:t>
      </w:r>
      <w:r w:rsidRPr="00593380">
        <w:rPr>
          <w:rFonts w:ascii="Times New Roman" w:hAnsi="Times New Roman" w:cs="Times New Roman"/>
          <w:color w:val="000000" w:themeColor="text1"/>
        </w:rPr>
        <w:t xml:space="preserve"> strategies in meeting the financial needs of tertiary institutions. The majority of respondents rated the strategies as effective or very effective, with 750 respondents collectively choosing these options. However, there was also a significant proportion, accounting for 150 respondents, who expressed uncertainty by selecting "No Idea." Conversely, 100 respondents considered the strategies to be effective. The mean response score of approximately 2.95 suggests that, on average, respondents perceive the revenue generation strategies to be moderately effective, leaning towards effectiveness but with some uncertainty. This indicates a generally positive outlook on the ability of these strategies to </w:t>
      </w:r>
      <w:r w:rsidRPr="00593380">
        <w:rPr>
          <w:rFonts w:ascii="Times New Roman" w:hAnsi="Times New Roman" w:cs="Times New Roman"/>
          <w:color w:val="000000" w:themeColor="text1"/>
        </w:rPr>
        <w:lastRenderedPageBreak/>
        <w:t>address the financial needs of tertiary institutions, albeit with room for improvement and further evaluation. It highlights the importance of continuous assessment and adaptation of revenue generation approaches to ensure sustained financial stability and support for educational institutions.</w:t>
      </w:r>
    </w:p>
    <w:p w14:paraId="628E4C09" w14:textId="278DDD9F" w:rsidR="00CA3848" w:rsidRPr="00593380" w:rsidRDefault="001B05AB" w:rsidP="00593380">
      <w:pPr>
        <w:spacing w:after="0" w:line="360" w:lineRule="auto"/>
        <w:jc w:val="both"/>
        <w:rPr>
          <w:rFonts w:ascii="Times New Roman" w:hAnsi="Times New Roman" w:cs="Times New Roman"/>
          <w:b/>
          <w:bCs/>
          <w:color w:val="000000" w:themeColor="text1"/>
        </w:rPr>
      </w:pPr>
      <w:r w:rsidRPr="00593380">
        <w:rPr>
          <w:rFonts w:ascii="Times New Roman" w:hAnsi="Times New Roman" w:cs="Times New Roman"/>
          <w:b/>
          <w:bCs/>
          <w:color w:val="000000" w:themeColor="text1"/>
        </w:rPr>
        <w:t>Table 6:</w:t>
      </w:r>
      <w:r w:rsidR="004E6BB3" w:rsidRPr="00593380">
        <w:rPr>
          <w:rFonts w:ascii="Times New Roman" w:hAnsi="Times New Roman" w:cs="Times New Roman"/>
          <w:b/>
          <w:bCs/>
          <w:color w:val="000000" w:themeColor="text1"/>
        </w:rPr>
        <w:t xml:space="preserve"> </w:t>
      </w:r>
      <w:r w:rsidR="00CA3848" w:rsidRPr="00593380">
        <w:rPr>
          <w:rFonts w:ascii="Times New Roman" w:hAnsi="Times New Roman" w:cs="Times New Roman"/>
          <w:b/>
          <w:bCs/>
          <w:color w:val="000000" w:themeColor="text1"/>
        </w:rPr>
        <w:t>Government policies mitigate tertiary institutions from generating revenue in Nigeria.</w:t>
      </w:r>
    </w:p>
    <w:tbl>
      <w:tblPr>
        <w:tblStyle w:val="TableGrid"/>
        <w:tblW w:w="7645" w:type="dxa"/>
        <w:tblLook w:val="04A0" w:firstRow="1" w:lastRow="0" w:firstColumn="1" w:lastColumn="0" w:noHBand="0" w:noVBand="1"/>
      </w:tblPr>
      <w:tblGrid>
        <w:gridCol w:w="3328"/>
        <w:gridCol w:w="1279"/>
        <w:gridCol w:w="3038"/>
      </w:tblGrid>
      <w:tr w:rsidR="00B02A11" w:rsidRPr="00593380" w14:paraId="502FB9D2" w14:textId="77777777" w:rsidTr="008005AC">
        <w:tc>
          <w:tcPr>
            <w:tcW w:w="0" w:type="auto"/>
            <w:hideMark/>
          </w:tcPr>
          <w:p w14:paraId="0807DBED" w14:textId="77777777" w:rsidR="00CA3848" w:rsidRPr="00593380" w:rsidRDefault="00CA3848" w:rsidP="00D03BEA">
            <w:pPr>
              <w:jc w:val="both"/>
              <w:rPr>
                <w:rFonts w:ascii="Times New Roman" w:hAnsi="Times New Roman" w:cs="Times New Roman"/>
                <w:b/>
                <w:bCs/>
                <w:color w:val="000000" w:themeColor="text1"/>
              </w:rPr>
            </w:pPr>
            <w:r w:rsidRPr="00593380">
              <w:rPr>
                <w:rFonts w:ascii="Times New Roman" w:hAnsi="Times New Roman" w:cs="Times New Roman"/>
                <w:b/>
                <w:bCs/>
                <w:color w:val="000000" w:themeColor="text1"/>
              </w:rPr>
              <w:t>Response</w:t>
            </w:r>
          </w:p>
        </w:tc>
        <w:tc>
          <w:tcPr>
            <w:tcW w:w="0" w:type="auto"/>
            <w:hideMark/>
          </w:tcPr>
          <w:p w14:paraId="308CC0BB" w14:textId="77777777" w:rsidR="00CA3848" w:rsidRPr="00593380" w:rsidRDefault="00CA3848" w:rsidP="00D03BEA">
            <w:pPr>
              <w:jc w:val="both"/>
              <w:rPr>
                <w:rFonts w:ascii="Times New Roman" w:hAnsi="Times New Roman" w:cs="Times New Roman"/>
                <w:b/>
                <w:bCs/>
                <w:color w:val="000000" w:themeColor="text1"/>
              </w:rPr>
            </w:pPr>
            <w:r w:rsidRPr="00593380">
              <w:rPr>
                <w:rFonts w:ascii="Times New Roman" w:hAnsi="Times New Roman" w:cs="Times New Roman"/>
                <w:b/>
                <w:bCs/>
                <w:color w:val="000000" w:themeColor="text1"/>
              </w:rPr>
              <w:t>Score</w:t>
            </w:r>
          </w:p>
        </w:tc>
        <w:tc>
          <w:tcPr>
            <w:tcW w:w="3038" w:type="dxa"/>
            <w:hideMark/>
          </w:tcPr>
          <w:p w14:paraId="22CA912A" w14:textId="77777777" w:rsidR="00CA3848" w:rsidRPr="00593380" w:rsidRDefault="00CA3848" w:rsidP="00D03BEA">
            <w:pPr>
              <w:jc w:val="both"/>
              <w:rPr>
                <w:rFonts w:ascii="Times New Roman" w:hAnsi="Times New Roman" w:cs="Times New Roman"/>
                <w:b/>
                <w:bCs/>
                <w:color w:val="000000" w:themeColor="text1"/>
              </w:rPr>
            </w:pPr>
            <w:r w:rsidRPr="00593380">
              <w:rPr>
                <w:rFonts w:ascii="Times New Roman" w:hAnsi="Times New Roman" w:cs="Times New Roman"/>
                <w:b/>
                <w:bCs/>
                <w:color w:val="000000" w:themeColor="text1"/>
              </w:rPr>
              <w:t>Number of Respondents</w:t>
            </w:r>
          </w:p>
        </w:tc>
      </w:tr>
      <w:tr w:rsidR="00B02A11" w:rsidRPr="00593380" w14:paraId="18F6508E" w14:textId="77777777" w:rsidTr="008005AC">
        <w:tc>
          <w:tcPr>
            <w:tcW w:w="0" w:type="auto"/>
            <w:hideMark/>
          </w:tcPr>
          <w:p w14:paraId="51F884A8" w14:textId="77777777" w:rsidR="00CA3848" w:rsidRPr="00593380" w:rsidRDefault="00CA3848"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Strongly Agreed</w:t>
            </w:r>
          </w:p>
        </w:tc>
        <w:tc>
          <w:tcPr>
            <w:tcW w:w="0" w:type="auto"/>
            <w:hideMark/>
          </w:tcPr>
          <w:p w14:paraId="4605F2EE" w14:textId="77777777" w:rsidR="00CA3848" w:rsidRPr="00593380" w:rsidRDefault="00CA3848"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5</w:t>
            </w:r>
          </w:p>
        </w:tc>
        <w:tc>
          <w:tcPr>
            <w:tcW w:w="3038" w:type="dxa"/>
            <w:hideMark/>
          </w:tcPr>
          <w:p w14:paraId="6D455C64" w14:textId="77777777" w:rsidR="00CA3848" w:rsidRPr="00593380" w:rsidRDefault="00CA3848"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200</w:t>
            </w:r>
          </w:p>
        </w:tc>
      </w:tr>
      <w:tr w:rsidR="00B02A11" w:rsidRPr="00593380" w14:paraId="74CD77DA" w14:textId="77777777" w:rsidTr="008005AC">
        <w:tc>
          <w:tcPr>
            <w:tcW w:w="0" w:type="auto"/>
            <w:hideMark/>
          </w:tcPr>
          <w:p w14:paraId="3C7D248A" w14:textId="77777777" w:rsidR="00CA3848" w:rsidRPr="00593380" w:rsidRDefault="00CA3848"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Agreed</w:t>
            </w:r>
          </w:p>
        </w:tc>
        <w:tc>
          <w:tcPr>
            <w:tcW w:w="0" w:type="auto"/>
            <w:hideMark/>
          </w:tcPr>
          <w:p w14:paraId="27EF8A84" w14:textId="77777777" w:rsidR="00CA3848" w:rsidRPr="00593380" w:rsidRDefault="00CA3848"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4</w:t>
            </w:r>
          </w:p>
        </w:tc>
        <w:tc>
          <w:tcPr>
            <w:tcW w:w="3038" w:type="dxa"/>
            <w:hideMark/>
          </w:tcPr>
          <w:p w14:paraId="2BA1AF43" w14:textId="77777777" w:rsidR="00CA3848" w:rsidRPr="00593380" w:rsidRDefault="00CA3848"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300</w:t>
            </w:r>
          </w:p>
        </w:tc>
      </w:tr>
      <w:tr w:rsidR="00B02A11" w:rsidRPr="00593380" w14:paraId="1DB4199E" w14:textId="77777777" w:rsidTr="008005AC">
        <w:tc>
          <w:tcPr>
            <w:tcW w:w="0" w:type="auto"/>
            <w:hideMark/>
          </w:tcPr>
          <w:p w14:paraId="097BD039" w14:textId="77777777" w:rsidR="00CA3848" w:rsidRPr="00593380" w:rsidRDefault="00CA3848"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Undecided</w:t>
            </w:r>
          </w:p>
        </w:tc>
        <w:tc>
          <w:tcPr>
            <w:tcW w:w="0" w:type="auto"/>
            <w:hideMark/>
          </w:tcPr>
          <w:p w14:paraId="6DEFCF14" w14:textId="77777777" w:rsidR="00CA3848" w:rsidRPr="00593380" w:rsidRDefault="00CA3848"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3</w:t>
            </w:r>
          </w:p>
        </w:tc>
        <w:tc>
          <w:tcPr>
            <w:tcW w:w="3038" w:type="dxa"/>
            <w:hideMark/>
          </w:tcPr>
          <w:p w14:paraId="23E83132" w14:textId="77777777" w:rsidR="00CA3848" w:rsidRPr="00593380" w:rsidRDefault="00CA3848"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100</w:t>
            </w:r>
          </w:p>
        </w:tc>
      </w:tr>
      <w:tr w:rsidR="00B02A11" w:rsidRPr="00593380" w14:paraId="246A0B6E" w14:textId="77777777" w:rsidTr="008005AC">
        <w:tc>
          <w:tcPr>
            <w:tcW w:w="0" w:type="auto"/>
            <w:hideMark/>
          </w:tcPr>
          <w:p w14:paraId="21477CB2" w14:textId="77777777" w:rsidR="00CA3848" w:rsidRPr="00593380" w:rsidRDefault="00CA3848"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Disagreed</w:t>
            </w:r>
          </w:p>
        </w:tc>
        <w:tc>
          <w:tcPr>
            <w:tcW w:w="0" w:type="auto"/>
            <w:hideMark/>
          </w:tcPr>
          <w:p w14:paraId="4E877847" w14:textId="77777777" w:rsidR="00CA3848" w:rsidRPr="00593380" w:rsidRDefault="00CA3848"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2</w:t>
            </w:r>
          </w:p>
        </w:tc>
        <w:tc>
          <w:tcPr>
            <w:tcW w:w="3038" w:type="dxa"/>
            <w:hideMark/>
          </w:tcPr>
          <w:p w14:paraId="3E1E1DCD" w14:textId="77777777" w:rsidR="00CA3848" w:rsidRPr="00593380" w:rsidRDefault="00CA3848"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250</w:t>
            </w:r>
          </w:p>
        </w:tc>
      </w:tr>
      <w:tr w:rsidR="00B02A11" w:rsidRPr="00593380" w14:paraId="20BF70C9" w14:textId="77777777" w:rsidTr="008005AC">
        <w:tc>
          <w:tcPr>
            <w:tcW w:w="0" w:type="auto"/>
            <w:hideMark/>
          </w:tcPr>
          <w:p w14:paraId="13453928" w14:textId="77777777" w:rsidR="00CA3848" w:rsidRPr="00593380" w:rsidRDefault="00CA3848"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Strongly Disagreed</w:t>
            </w:r>
          </w:p>
        </w:tc>
        <w:tc>
          <w:tcPr>
            <w:tcW w:w="0" w:type="auto"/>
            <w:hideMark/>
          </w:tcPr>
          <w:p w14:paraId="61AE5DDD" w14:textId="77777777" w:rsidR="00CA3848" w:rsidRPr="00593380" w:rsidRDefault="00CA3848"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w:t>
            </w:r>
          </w:p>
        </w:tc>
        <w:tc>
          <w:tcPr>
            <w:tcW w:w="3038" w:type="dxa"/>
            <w:hideMark/>
          </w:tcPr>
          <w:p w14:paraId="7953D92C" w14:textId="77777777" w:rsidR="00CA3848" w:rsidRPr="00593380" w:rsidRDefault="00CA3848"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150</w:t>
            </w:r>
          </w:p>
        </w:tc>
      </w:tr>
      <w:tr w:rsidR="00B02A11" w:rsidRPr="00593380" w14:paraId="6105349D" w14:textId="77777777" w:rsidTr="008005AC">
        <w:tc>
          <w:tcPr>
            <w:tcW w:w="0" w:type="auto"/>
            <w:hideMark/>
          </w:tcPr>
          <w:p w14:paraId="6B5695F9" w14:textId="77777777" w:rsidR="00CA3848" w:rsidRPr="00593380" w:rsidRDefault="00CA3848" w:rsidP="00D03BEA">
            <w:pPr>
              <w:jc w:val="both"/>
              <w:rPr>
                <w:rFonts w:ascii="Times New Roman" w:hAnsi="Times New Roman" w:cs="Times New Roman"/>
                <w:b/>
                <w:bCs/>
                <w:color w:val="000000" w:themeColor="text1"/>
              </w:rPr>
            </w:pPr>
            <w:r w:rsidRPr="00593380">
              <w:rPr>
                <w:rFonts w:ascii="Times New Roman" w:hAnsi="Times New Roman" w:cs="Times New Roman"/>
                <w:b/>
                <w:bCs/>
                <w:color w:val="000000" w:themeColor="text1"/>
              </w:rPr>
              <w:t>Total</w:t>
            </w:r>
          </w:p>
        </w:tc>
        <w:tc>
          <w:tcPr>
            <w:tcW w:w="0" w:type="auto"/>
            <w:hideMark/>
          </w:tcPr>
          <w:p w14:paraId="73C4722E" w14:textId="432F5C50" w:rsidR="00CA3848" w:rsidRPr="00593380" w:rsidRDefault="00CA3848" w:rsidP="00D03BEA">
            <w:pPr>
              <w:jc w:val="both"/>
              <w:rPr>
                <w:rFonts w:ascii="Times New Roman" w:hAnsi="Times New Roman" w:cs="Times New Roman"/>
                <w:b/>
                <w:bCs/>
                <w:color w:val="000000" w:themeColor="text1"/>
              </w:rPr>
            </w:pPr>
          </w:p>
        </w:tc>
        <w:tc>
          <w:tcPr>
            <w:tcW w:w="3038" w:type="dxa"/>
            <w:hideMark/>
          </w:tcPr>
          <w:p w14:paraId="525D514F" w14:textId="77777777" w:rsidR="00CA3848" w:rsidRPr="00593380" w:rsidRDefault="00CA3848" w:rsidP="00D03BEA">
            <w:pPr>
              <w:jc w:val="both"/>
              <w:rPr>
                <w:rFonts w:ascii="Times New Roman" w:hAnsi="Times New Roman" w:cs="Times New Roman"/>
                <w:b/>
                <w:bCs/>
                <w:color w:val="000000" w:themeColor="text1"/>
              </w:rPr>
            </w:pPr>
            <w:r w:rsidRPr="00593380">
              <w:rPr>
                <w:rFonts w:ascii="Times New Roman" w:hAnsi="Times New Roman" w:cs="Times New Roman"/>
                <w:b/>
                <w:bCs/>
                <w:color w:val="000000" w:themeColor="text1"/>
              </w:rPr>
              <w:t>1000</w:t>
            </w:r>
          </w:p>
        </w:tc>
      </w:tr>
      <w:tr w:rsidR="00B02A11" w:rsidRPr="00593380" w14:paraId="44271003" w14:textId="77777777" w:rsidTr="008005AC">
        <w:tc>
          <w:tcPr>
            <w:tcW w:w="0" w:type="auto"/>
            <w:hideMark/>
          </w:tcPr>
          <w:p w14:paraId="1FC060F9" w14:textId="77777777" w:rsidR="00CA3848" w:rsidRPr="00593380" w:rsidRDefault="00CA3848" w:rsidP="00D03BEA">
            <w:pPr>
              <w:jc w:val="both"/>
              <w:rPr>
                <w:rFonts w:ascii="Times New Roman" w:hAnsi="Times New Roman" w:cs="Times New Roman"/>
                <w:b/>
                <w:bCs/>
                <w:color w:val="000000" w:themeColor="text1"/>
              </w:rPr>
            </w:pPr>
            <w:r w:rsidRPr="00593380">
              <w:rPr>
                <w:rFonts w:ascii="Times New Roman" w:hAnsi="Times New Roman" w:cs="Times New Roman"/>
                <w:b/>
                <w:bCs/>
                <w:color w:val="000000" w:themeColor="text1"/>
              </w:rPr>
              <w:t>Mean Response</w:t>
            </w:r>
          </w:p>
        </w:tc>
        <w:tc>
          <w:tcPr>
            <w:tcW w:w="0" w:type="auto"/>
            <w:hideMark/>
          </w:tcPr>
          <w:p w14:paraId="3255068D" w14:textId="77777777" w:rsidR="00CA3848" w:rsidRPr="00593380" w:rsidRDefault="00CA3848" w:rsidP="00D03BEA">
            <w:pPr>
              <w:jc w:val="both"/>
              <w:rPr>
                <w:rFonts w:ascii="Times New Roman" w:hAnsi="Times New Roman" w:cs="Times New Roman"/>
                <w:b/>
                <w:bCs/>
                <w:color w:val="000000" w:themeColor="text1"/>
              </w:rPr>
            </w:pPr>
          </w:p>
        </w:tc>
        <w:tc>
          <w:tcPr>
            <w:tcW w:w="3038" w:type="dxa"/>
            <w:hideMark/>
          </w:tcPr>
          <w:p w14:paraId="02E91DC0" w14:textId="77777777" w:rsidR="00CA3848" w:rsidRPr="00593380" w:rsidRDefault="00CA3848" w:rsidP="00D03BEA">
            <w:pPr>
              <w:jc w:val="both"/>
              <w:rPr>
                <w:rFonts w:ascii="Times New Roman" w:hAnsi="Times New Roman" w:cs="Times New Roman"/>
                <w:b/>
                <w:bCs/>
                <w:color w:val="000000" w:themeColor="text1"/>
              </w:rPr>
            </w:pPr>
            <w:r w:rsidRPr="00593380">
              <w:rPr>
                <w:rFonts w:ascii="Times New Roman" w:hAnsi="Times New Roman" w:cs="Times New Roman"/>
                <w:b/>
                <w:bCs/>
                <w:color w:val="000000" w:themeColor="text1"/>
              </w:rPr>
              <w:t>3.15</w:t>
            </w:r>
          </w:p>
        </w:tc>
      </w:tr>
    </w:tbl>
    <w:p w14:paraId="3D4861C1" w14:textId="77777777" w:rsidR="001B05AB" w:rsidRPr="00593380" w:rsidRDefault="001B05AB" w:rsidP="00593380">
      <w:pPr>
        <w:spacing w:line="360" w:lineRule="auto"/>
        <w:jc w:val="both"/>
        <w:rPr>
          <w:rFonts w:ascii="Times New Roman" w:hAnsi="Times New Roman" w:cs="Times New Roman"/>
          <w:color w:val="000000" w:themeColor="text1"/>
        </w:rPr>
      </w:pPr>
      <w:r w:rsidRPr="00593380">
        <w:rPr>
          <w:rFonts w:ascii="Times New Roman" w:hAnsi="Times New Roman" w:cs="Times New Roman"/>
          <w:color w:val="000000" w:themeColor="text1"/>
        </w:rPr>
        <w:t>Source: Field Survey, 2024.</w:t>
      </w:r>
    </w:p>
    <w:p w14:paraId="493607D9" w14:textId="2B73AC5C" w:rsidR="00CA3848" w:rsidRPr="00593380" w:rsidRDefault="00CA3848" w:rsidP="00593380">
      <w:pPr>
        <w:spacing w:line="360" w:lineRule="auto"/>
        <w:jc w:val="both"/>
        <w:rPr>
          <w:rFonts w:ascii="Times New Roman" w:hAnsi="Times New Roman" w:cs="Times New Roman"/>
          <w:color w:val="000000" w:themeColor="text1"/>
        </w:rPr>
      </w:pPr>
      <w:r w:rsidRPr="00593380">
        <w:rPr>
          <w:rFonts w:ascii="Times New Roman" w:hAnsi="Times New Roman" w:cs="Times New Roman"/>
          <w:color w:val="000000" w:themeColor="text1"/>
        </w:rPr>
        <w:t>Table</w:t>
      </w:r>
      <w:r w:rsidR="007D60C0" w:rsidRPr="00593380">
        <w:rPr>
          <w:rFonts w:ascii="Times New Roman" w:hAnsi="Times New Roman" w:cs="Times New Roman"/>
          <w:color w:val="000000" w:themeColor="text1"/>
        </w:rPr>
        <w:t xml:space="preserve"> 6</w:t>
      </w:r>
      <w:r w:rsidRPr="00593380">
        <w:rPr>
          <w:rFonts w:ascii="Times New Roman" w:hAnsi="Times New Roman" w:cs="Times New Roman"/>
          <w:color w:val="000000" w:themeColor="text1"/>
        </w:rPr>
        <w:t xml:space="preserve"> analysis presents insights into the perceptions of 1000 respondents regarding the impact of government policies on revenue generation in Nigerian tertiary institutions. The majority of respondents, with a combined total of 500, either strongly agreed or agreed that government policies indeed pose some level of hindrance to revenue generation efforts. Conversely, 400 respondents expressed disagreement or strong disagreement with the statement, indicating differing viewpoints on the extent of government policy influence. The mean response score of approximately 3.15 suggests a moderate level of agreement among respondents, leaning towards </w:t>
      </w:r>
      <w:r w:rsidR="00B86E0A" w:rsidRPr="00593380">
        <w:rPr>
          <w:rFonts w:ascii="Times New Roman" w:hAnsi="Times New Roman" w:cs="Times New Roman"/>
          <w:color w:val="000000" w:themeColor="text1"/>
        </w:rPr>
        <w:t xml:space="preserve">the </w:t>
      </w:r>
      <w:r w:rsidRPr="00593380">
        <w:rPr>
          <w:rFonts w:ascii="Times New Roman" w:hAnsi="Times New Roman" w:cs="Times New Roman"/>
          <w:color w:val="000000" w:themeColor="text1"/>
        </w:rPr>
        <w:t xml:space="preserve">acknowledgment of the inhibitory effect of government policies on revenue generation in Nigerian tertiary institutions. This underscores the complexity of the issue, highlighting the need for further examination and </w:t>
      </w:r>
      <w:r w:rsidR="00B86E0A" w:rsidRPr="00593380">
        <w:rPr>
          <w:rFonts w:ascii="Times New Roman" w:hAnsi="Times New Roman" w:cs="Times New Roman"/>
          <w:color w:val="000000" w:themeColor="text1"/>
        </w:rPr>
        <w:t>potential</w:t>
      </w:r>
      <w:r w:rsidRPr="00593380">
        <w:rPr>
          <w:rFonts w:ascii="Times New Roman" w:hAnsi="Times New Roman" w:cs="Times New Roman"/>
          <w:color w:val="000000" w:themeColor="text1"/>
        </w:rPr>
        <w:t xml:space="preserve"> policy reforms to address perceived barriers to revenue generation and promote financial sustainability in these institutions.</w:t>
      </w:r>
    </w:p>
    <w:p w14:paraId="0B6B1890" w14:textId="07DF2DEA" w:rsidR="00E36151" w:rsidRPr="00593380" w:rsidRDefault="001B05AB" w:rsidP="00593380">
      <w:pPr>
        <w:spacing w:after="0" w:line="360" w:lineRule="auto"/>
        <w:jc w:val="both"/>
        <w:rPr>
          <w:rFonts w:ascii="Times New Roman" w:hAnsi="Times New Roman" w:cs="Times New Roman"/>
          <w:b/>
          <w:bCs/>
          <w:color w:val="000000" w:themeColor="text1"/>
        </w:rPr>
      </w:pPr>
      <w:r w:rsidRPr="00593380">
        <w:rPr>
          <w:rFonts w:ascii="Times New Roman" w:hAnsi="Times New Roman" w:cs="Times New Roman"/>
          <w:b/>
          <w:bCs/>
          <w:color w:val="000000" w:themeColor="text1"/>
        </w:rPr>
        <w:t>Table 7:</w:t>
      </w:r>
      <w:r w:rsidR="004E6BB3" w:rsidRPr="00593380">
        <w:rPr>
          <w:rFonts w:ascii="Times New Roman" w:hAnsi="Times New Roman" w:cs="Times New Roman"/>
          <w:b/>
          <w:bCs/>
          <w:color w:val="000000" w:themeColor="text1"/>
        </w:rPr>
        <w:t xml:space="preserve"> </w:t>
      </w:r>
      <w:r w:rsidR="00E36151" w:rsidRPr="00593380">
        <w:rPr>
          <w:rFonts w:ascii="Times New Roman" w:hAnsi="Times New Roman" w:cs="Times New Roman"/>
          <w:b/>
          <w:bCs/>
          <w:color w:val="000000" w:themeColor="text1"/>
        </w:rPr>
        <w:t xml:space="preserve">Select the roles played by </w:t>
      </w:r>
      <w:r w:rsidR="00B86E0A" w:rsidRPr="00593380">
        <w:rPr>
          <w:rFonts w:ascii="Times New Roman" w:hAnsi="Times New Roman" w:cs="Times New Roman"/>
          <w:b/>
          <w:bCs/>
          <w:color w:val="000000" w:themeColor="text1"/>
        </w:rPr>
        <w:t xml:space="preserve">the </w:t>
      </w:r>
      <w:r w:rsidR="00E36151" w:rsidRPr="00593380">
        <w:rPr>
          <w:rFonts w:ascii="Times New Roman" w:hAnsi="Times New Roman" w:cs="Times New Roman"/>
          <w:b/>
          <w:bCs/>
          <w:color w:val="000000" w:themeColor="text1"/>
        </w:rPr>
        <w:t>government in restricting tertiary institutions from generating revenue in Nigeria</w:t>
      </w:r>
    </w:p>
    <w:tbl>
      <w:tblPr>
        <w:tblStyle w:val="TableGrid"/>
        <w:tblW w:w="8941" w:type="dxa"/>
        <w:tblLook w:val="04A0" w:firstRow="1" w:lastRow="0" w:firstColumn="1" w:lastColumn="0" w:noHBand="0" w:noVBand="1"/>
      </w:tblPr>
      <w:tblGrid>
        <w:gridCol w:w="5845"/>
        <w:gridCol w:w="1751"/>
        <w:gridCol w:w="1345"/>
      </w:tblGrid>
      <w:tr w:rsidR="00B02A11" w:rsidRPr="00593380" w14:paraId="580AECBE" w14:textId="77777777" w:rsidTr="008005AC">
        <w:tc>
          <w:tcPr>
            <w:tcW w:w="5845" w:type="dxa"/>
            <w:hideMark/>
          </w:tcPr>
          <w:p w14:paraId="269A0675" w14:textId="29A0E0C0" w:rsidR="00E36151" w:rsidRPr="00593380" w:rsidRDefault="008005AC" w:rsidP="00D03BEA">
            <w:pPr>
              <w:jc w:val="both"/>
              <w:rPr>
                <w:rFonts w:ascii="Times New Roman" w:hAnsi="Times New Roman" w:cs="Times New Roman"/>
                <w:b/>
                <w:bCs/>
                <w:color w:val="000000" w:themeColor="text1"/>
              </w:rPr>
            </w:pPr>
            <w:r w:rsidRPr="00593380">
              <w:rPr>
                <w:rFonts w:ascii="Times New Roman" w:hAnsi="Times New Roman" w:cs="Times New Roman"/>
                <w:b/>
                <w:bCs/>
                <w:color w:val="000000" w:themeColor="text1"/>
              </w:rPr>
              <w:t>Statement</w:t>
            </w:r>
          </w:p>
        </w:tc>
        <w:tc>
          <w:tcPr>
            <w:tcW w:w="1751" w:type="dxa"/>
            <w:hideMark/>
          </w:tcPr>
          <w:p w14:paraId="7DF68E8B" w14:textId="77777777" w:rsidR="00E36151" w:rsidRPr="00593380" w:rsidRDefault="00E36151" w:rsidP="00D03BEA">
            <w:pPr>
              <w:jc w:val="both"/>
              <w:rPr>
                <w:rFonts w:ascii="Times New Roman" w:hAnsi="Times New Roman" w:cs="Times New Roman"/>
                <w:b/>
                <w:bCs/>
                <w:color w:val="000000" w:themeColor="text1"/>
              </w:rPr>
            </w:pPr>
            <w:r w:rsidRPr="00593380">
              <w:rPr>
                <w:rFonts w:ascii="Times New Roman" w:hAnsi="Times New Roman" w:cs="Times New Roman"/>
                <w:b/>
                <w:bCs/>
                <w:color w:val="000000" w:themeColor="text1"/>
              </w:rPr>
              <w:t>Number of Respondents</w:t>
            </w:r>
          </w:p>
        </w:tc>
        <w:tc>
          <w:tcPr>
            <w:tcW w:w="1345" w:type="dxa"/>
            <w:hideMark/>
          </w:tcPr>
          <w:p w14:paraId="76C754BE" w14:textId="11C7D074" w:rsidR="00E36151" w:rsidRPr="00593380" w:rsidRDefault="00E36151" w:rsidP="00D03BEA">
            <w:pPr>
              <w:jc w:val="both"/>
              <w:rPr>
                <w:rFonts w:ascii="Times New Roman" w:hAnsi="Times New Roman" w:cs="Times New Roman"/>
                <w:b/>
                <w:bCs/>
                <w:color w:val="000000" w:themeColor="text1"/>
              </w:rPr>
            </w:pPr>
            <w:r w:rsidRPr="00593380">
              <w:rPr>
                <w:rFonts w:ascii="Times New Roman" w:hAnsi="Times New Roman" w:cs="Times New Roman"/>
                <w:b/>
                <w:bCs/>
                <w:color w:val="000000" w:themeColor="text1"/>
              </w:rPr>
              <w:t>Percentage (%)</w:t>
            </w:r>
          </w:p>
        </w:tc>
      </w:tr>
      <w:tr w:rsidR="00B02A11" w:rsidRPr="00593380" w14:paraId="72829C12" w14:textId="77777777" w:rsidTr="008005AC">
        <w:tc>
          <w:tcPr>
            <w:tcW w:w="5845" w:type="dxa"/>
            <w:hideMark/>
          </w:tcPr>
          <w:p w14:paraId="36290845" w14:textId="77777777" w:rsidR="00E36151" w:rsidRPr="00593380" w:rsidRDefault="00E36151"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Tuition Fee Regulations</w:t>
            </w:r>
          </w:p>
        </w:tc>
        <w:tc>
          <w:tcPr>
            <w:tcW w:w="1751" w:type="dxa"/>
            <w:hideMark/>
          </w:tcPr>
          <w:p w14:paraId="5F2F1156" w14:textId="77777777" w:rsidR="00E36151" w:rsidRPr="00593380" w:rsidRDefault="00E36151"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150</w:t>
            </w:r>
          </w:p>
        </w:tc>
        <w:tc>
          <w:tcPr>
            <w:tcW w:w="1345" w:type="dxa"/>
            <w:hideMark/>
          </w:tcPr>
          <w:p w14:paraId="2BB8FB04" w14:textId="77777777" w:rsidR="00E36151" w:rsidRPr="00593380" w:rsidRDefault="00E36151"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15.0</w:t>
            </w:r>
          </w:p>
        </w:tc>
      </w:tr>
      <w:tr w:rsidR="00B02A11" w:rsidRPr="00593380" w14:paraId="6B479157" w14:textId="77777777" w:rsidTr="008005AC">
        <w:tc>
          <w:tcPr>
            <w:tcW w:w="5845" w:type="dxa"/>
            <w:hideMark/>
          </w:tcPr>
          <w:p w14:paraId="17AA53A8" w14:textId="77777777" w:rsidR="00E36151" w:rsidRPr="00593380" w:rsidRDefault="00E36151"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Funding Allocations</w:t>
            </w:r>
          </w:p>
        </w:tc>
        <w:tc>
          <w:tcPr>
            <w:tcW w:w="1751" w:type="dxa"/>
            <w:hideMark/>
          </w:tcPr>
          <w:p w14:paraId="7C5803E8" w14:textId="77777777" w:rsidR="00E36151" w:rsidRPr="00593380" w:rsidRDefault="00E36151"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200</w:t>
            </w:r>
          </w:p>
        </w:tc>
        <w:tc>
          <w:tcPr>
            <w:tcW w:w="1345" w:type="dxa"/>
            <w:hideMark/>
          </w:tcPr>
          <w:p w14:paraId="579ADE1B" w14:textId="77777777" w:rsidR="00E36151" w:rsidRPr="00593380" w:rsidRDefault="00E36151"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20.0</w:t>
            </w:r>
          </w:p>
        </w:tc>
      </w:tr>
      <w:tr w:rsidR="00B02A11" w:rsidRPr="00593380" w14:paraId="2AF9DF0C" w14:textId="77777777" w:rsidTr="008005AC">
        <w:tc>
          <w:tcPr>
            <w:tcW w:w="5845" w:type="dxa"/>
            <w:hideMark/>
          </w:tcPr>
          <w:p w14:paraId="339FA726" w14:textId="77777777" w:rsidR="00E36151" w:rsidRPr="00593380" w:rsidRDefault="00E36151"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Restrictions on International Student Admission</w:t>
            </w:r>
          </w:p>
        </w:tc>
        <w:tc>
          <w:tcPr>
            <w:tcW w:w="1751" w:type="dxa"/>
            <w:hideMark/>
          </w:tcPr>
          <w:p w14:paraId="0EDC300E" w14:textId="77777777" w:rsidR="00E36151" w:rsidRPr="00593380" w:rsidRDefault="00E36151"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100</w:t>
            </w:r>
          </w:p>
        </w:tc>
        <w:tc>
          <w:tcPr>
            <w:tcW w:w="1345" w:type="dxa"/>
            <w:hideMark/>
          </w:tcPr>
          <w:p w14:paraId="302C34FF" w14:textId="77777777" w:rsidR="00E36151" w:rsidRPr="00593380" w:rsidRDefault="00E36151"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10.0</w:t>
            </w:r>
          </w:p>
        </w:tc>
      </w:tr>
      <w:tr w:rsidR="00B02A11" w:rsidRPr="00593380" w14:paraId="1C5160C5" w14:textId="77777777" w:rsidTr="008005AC">
        <w:tc>
          <w:tcPr>
            <w:tcW w:w="5845" w:type="dxa"/>
            <w:hideMark/>
          </w:tcPr>
          <w:p w14:paraId="4EEEA2FB" w14:textId="77777777" w:rsidR="00E36151" w:rsidRPr="00593380" w:rsidRDefault="00E36151"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Limited Autonomy</w:t>
            </w:r>
          </w:p>
        </w:tc>
        <w:tc>
          <w:tcPr>
            <w:tcW w:w="1751" w:type="dxa"/>
            <w:hideMark/>
          </w:tcPr>
          <w:p w14:paraId="33EF45EF" w14:textId="77777777" w:rsidR="00E36151" w:rsidRPr="00593380" w:rsidRDefault="00E36151"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250</w:t>
            </w:r>
          </w:p>
        </w:tc>
        <w:tc>
          <w:tcPr>
            <w:tcW w:w="1345" w:type="dxa"/>
            <w:hideMark/>
          </w:tcPr>
          <w:p w14:paraId="7D5AB7FD" w14:textId="77777777" w:rsidR="00E36151" w:rsidRPr="00593380" w:rsidRDefault="00E36151"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25.0</w:t>
            </w:r>
          </w:p>
        </w:tc>
      </w:tr>
      <w:tr w:rsidR="00B02A11" w:rsidRPr="00593380" w14:paraId="6B720B2C" w14:textId="77777777" w:rsidTr="008005AC">
        <w:tc>
          <w:tcPr>
            <w:tcW w:w="5845" w:type="dxa"/>
            <w:hideMark/>
          </w:tcPr>
          <w:p w14:paraId="78FA22C8" w14:textId="77777777" w:rsidR="00E36151" w:rsidRPr="00593380" w:rsidRDefault="00E36151"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Bureaucracy and Slow Decision-Making</w:t>
            </w:r>
          </w:p>
        </w:tc>
        <w:tc>
          <w:tcPr>
            <w:tcW w:w="1751" w:type="dxa"/>
            <w:hideMark/>
          </w:tcPr>
          <w:p w14:paraId="2F153BDB" w14:textId="77777777" w:rsidR="00E36151" w:rsidRPr="00593380" w:rsidRDefault="00E36151"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150</w:t>
            </w:r>
          </w:p>
        </w:tc>
        <w:tc>
          <w:tcPr>
            <w:tcW w:w="1345" w:type="dxa"/>
            <w:hideMark/>
          </w:tcPr>
          <w:p w14:paraId="5CA61B4C" w14:textId="77777777" w:rsidR="00E36151" w:rsidRPr="00593380" w:rsidRDefault="00E36151"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15.0</w:t>
            </w:r>
          </w:p>
        </w:tc>
      </w:tr>
      <w:tr w:rsidR="00B02A11" w:rsidRPr="00593380" w14:paraId="48EADA34" w14:textId="77777777" w:rsidTr="008005AC">
        <w:tc>
          <w:tcPr>
            <w:tcW w:w="5845" w:type="dxa"/>
            <w:hideMark/>
          </w:tcPr>
          <w:p w14:paraId="11238BA7" w14:textId="77777777" w:rsidR="00E36151" w:rsidRPr="00593380" w:rsidRDefault="00E36151"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Limited Tax Exemptions</w:t>
            </w:r>
          </w:p>
        </w:tc>
        <w:tc>
          <w:tcPr>
            <w:tcW w:w="1751" w:type="dxa"/>
            <w:hideMark/>
          </w:tcPr>
          <w:p w14:paraId="1BB1321A" w14:textId="77777777" w:rsidR="00E36151" w:rsidRPr="00593380" w:rsidRDefault="00E36151"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100</w:t>
            </w:r>
          </w:p>
        </w:tc>
        <w:tc>
          <w:tcPr>
            <w:tcW w:w="1345" w:type="dxa"/>
            <w:hideMark/>
          </w:tcPr>
          <w:p w14:paraId="77DBDE44" w14:textId="77777777" w:rsidR="00E36151" w:rsidRPr="00593380" w:rsidRDefault="00E36151"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10.0</w:t>
            </w:r>
          </w:p>
        </w:tc>
      </w:tr>
      <w:tr w:rsidR="00B02A11" w:rsidRPr="00593380" w14:paraId="5C7C2E48" w14:textId="77777777" w:rsidTr="008005AC">
        <w:tc>
          <w:tcPr>
            <w:tcW w:w="5845" w:type="dxa"/>
            <w:hideMark/>
          </w:tcPr>
          <w:p w14:paraId="74C1CE56" w14:textId="77777777" w:rsidR="00E36151" w:rsidRPr="00593380" w:rsidRDefault="00E36151"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Lack of Support for Research and Innovation</w:t>
            </w:r>
          </w:p>
        </w:tc>
        <w:tc>
          <w:tcPr>
            <w:tcW w:w="1751" w:type="dxa"/>
            <w:hideMark/>
          </w:tcPr>
          <w:p w14:paraId="4A15A417" w14:textId="77777777" w:rsidR="00E36151" w:rsidRPr="00593380" w:rsidRDefault="00E36151"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50</w:t>
            </w:r>
          </w:p>
        </w:tc>
        <w:tc>
          <w:tcPr>
            <w:tcW w:w="1345" w:type="dxa"/>
            <w:hideMark/>
          </w:tcPr>
          <w:p w14:paraId="3B44E118" w14:textId="77777777" w:rsidR="00E36151" w:rsidRPr="00593380" w:rsidRDefault="00E36151"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5.0</w:t>
            </w:r>
          </w:p>
        </w:tc>
      </w:tr>
      <w:tr w:rsidR="00B02A11" w:rsidRPr="00593380" w14:paraId="498B5E2C" w14:textId="77777777" w:rsidTr="008005AC">
        <w:tc>
          <w:tcPr>
            <w:tcW w:w="5845" w:type="dxa"/>
            <w:hideMark/>
          </w:tcPr>
          <w:p w14:paraId="230874D2" w14:textId="77777777" w:rsidR="00E36151" w:rsidRPr="00593380" w:rsidRDefault="00E36151" w:rsidP="00D03BEA">
            <w:pPr>
              <w:jc w:val="both"/>
              <w:rPr>
                <w:rFonts w:ascii="Times New Roman" w:hAnsi="Times New Roman" w:cs="Times New Roman"/>
                <w:b/>
                <w:bCs/>
                <w:color w:val="000000" w:themeColor="text1"/>
              </w:rPr>
            </w:pPr>
            <w:r w:rsidRPr="00593380">
              <w:rPr>
                <w:rFonts w:ascii="Times New Roman" w:hAnsi="Times New Roman" w:cs="Times New Roman"/>
                <w:b/>
                <w:bCs/>
                <w:color w:val="000000" w:themeColor="text1"/>
              </w:rPr>
              <w:t>Total</w:t>
            </w:r>
          </w:p>
        </w:tc>
        <w:tc>
          <w:tcPr>
            <w:tcW w:w="1751" w:type="dxa"/>
            <w:hideMark/>
          </w:tcPr>
          <w:p w14:paraId="16766F03" w14:textId="77777777" w:rsidR="00E36151" w:rsidRPr="00593380" w:rsidRDefault="00E36151" w:rsidP="00D03BEA">
            <w:pPr>
              <w:jc w:val="both"/>
              <w:rPr>
                <w:rFonts w:ascii="Times New Roman" w:hAnsi="Times New Roman" w:cs="Times New Roman"/>
                <w:b/>
                <w:bCs/>
                <w:color w:val="000000" w:themeColor="text1"/>
              </w:rPr>
            </w:pPr>
            <w:r w:rsidRPr="00593380">
              <w:rPr>
                <w:rFonts w:ascii="Times New Roman" w:hAnsi="Times New Roman" w:cs="Times New Roman"/>
                <w:b/>
                <w:bCs/>
                <w:color w:val="000000" w:themeColor="text1"/>
              </w:rPr>
              <w:t>1000</w:t>
            </w:r>
          </w:p>
        </w:tc>
        <w:tc>
          <w:tcPr>
            <w:tcW w:w="1345" w:type="dxa"/>
            <w:hideMark/>
          </w:tcPr>
          <w:p w14:paraId="588D8DF2" w14:textId="77777777" w:rsidR="00E36151" w:rsidRPr="00593380" w:rsidRDefault="00E36151" w:rsidP="00D03BEA">
            <w:pPr>
              <w:jc w:val="both"/>
              <w:rPr>
                <w:rFonts w:ascii="Times New Roman" w:hAnsi="Times New Roman" w:cs="Times New Roman"/>
                <w:b/>
                <w:bCs/>
                <w:color w:val="000000" w:themeColor="text1"/>
              </w:rPr>
            </w:pPr>
            <w:r w:rsidRPr="00593380">
              <w:rPr>
                <w:rFonts w:ascii="Times New Roman" w:hAnsi="Times New Roman" w:cs="Times New Roman"/>
                <w:b/>
                <w:bCs/>
                <w:color w:val="000000" w:themeColor="text1"/>
              </w:rPr>
              <w:t>100.0</w:t>
            </w:r>
          </w:p>
        </w:tc>
      </w:tr>
    </w:tbl>
    <w:p w14:paraId="604ED878" w14:textId="77777777" w:rsidR="008005AC" w:rsidRPr="00593380" w:rsidRDefault="008005AC" w:rsidP="00593380">
      <w:pPr>
        <w:spacing w:line="360" w:lineRule="auto"/>
        <w:jc w:val="both"/>
        <w:rPr>
          <w:rFonts w:ascii="Times New Roman" w:hAnsi="Times New Roman" w:cs="Times New Roman"/>
          <w:color w:val="000000" w:themeColor="text1"/>
        </w:rPr>
      </w:pPr>
      <w:r w:rsidRPr="00593380">
        <w:rPr>
          <w:rFonts w:ascii="Times New Roman" w:hAnsi="Times New Roman" w:cs="Times New Roman"/>
          <w:color w:val="000000" w:themeColor="text1"/>
        </w:rPr>
        <w:t>Source: Field Survey, 2024.</w:t>
      </w:r>
    </w:p>
    <w:p w14:paraId="6ED2410D" w14:textId="5206409B" w:rsidR="00E36151" w:rsidRPr="00593380" w:rsidRDefault="00E36151" w:rsidP="00593380">
      <w:pPr>
        <w:spacing w:line="360" w:lineRule="auto"/>
        <w:jc w:val="both"/>
        <w:rPr>
          <w:rFonts w:ascii="Times New Roman" w:hAnsi="Times New Roman" w:cs="Times New Roman"/>
          <w:color w:val="000000" w:themeColor="text1"/>
        </w:rPr>
      </w:pPr>
      <w:r w:rsidRPr="00593380">
        <w:rPr>
          <w:rFonts w:ascii="Times New Roman" w:hAnsi="Times New Roman" w:cs="Times New Roman"/>
          <w:color w:val="000000" w:themeColor="text1"/>
        </w:rPr>
        <w:t>Table</w:t>
      </w:r>
      <w:r w:rsidR="007D60C0" w:rsidRPr="00593380">
        <w:rPr>
          <w:rFonts w:ascii="Times New Roman" w:hAnsi="Times New Roman" w:cs="Times New Roman"/>
          <w:color w:val="000000" w:themeColor="text1"/>
        </w:rPr>
        <w:t xml:space="preserve"> 7</w:t>
      </w:r>
      <w:r w:rsidRPr="00593380">
        <w:rPr>
          <w:rFonts w:ascii="Times New Roman" w:hAnsi="Times New Roman" w:cs="Times New Roman"/>
          <w:color w:val="000000" w:themeColor="text1"/>
        </w:rPr>
        <w:t xml:space="preserve"> illustrates the perceptions of 1000 respondents regarding the roles played by the government in restricting revenue generation within Nigerian tertiary institutions. It reveals a varied perspective among respondents, with differing degrees of emphasis placed on various factors. Notably, funding allocations </w:t>
      </w:r>
      <w:r w:rsidRPr="00593380">
        <w:rPr>
          <w:rFonts w:ascii="Times New Roman" w:hAnsi="Times New Roman" w:cs="Times New Roman"/>
          <w:color w:val="000000" w:themeColor="text1"/>
        </w:rPr>
        <w:lastRenderedPageBreak/>
        <w:t>and limited autonomy emerge as prominent concerns, with 200 and 250 respondents respectively citing these as significant roles played by the government. Additionally, bureaucracy and slow decision-making processes are highlighted by 150 respondents. However, other factors such as tuition fee regulations, restrictions on international student admission, limited tax exemptions, and lack of support for research and innovation also contribute to the overall landscape of government involvement, albeit to a lesser extent. The distribution of responses emphasizes the multifaceted nature of the issue, reflecting a complex interplay of government policies and institutional challenges in revenue generation. This underscores the importance of comprehensive policy evaluation and potential reforms aimed at fostering a more conducive environment for revenue generation in Nigerian tertiary institutions.</w:t>
      </w:r>
    </w:p>
    <w:p w14:paraId="11465B15" w14:textId="7364B336" w:rsidR="007E22B1" w:rsidRPr="00593380" w:rsidRDefault="008005AC" w:rsidP="00593380">
      <w:pPr>
        <w:spacing w:after="0" w:line="360" w:lineRule="auto"/>
        <w:jc w:val="both"/>
        <w:rPr>
          <w:rFonts w:ascii="Times New Roman" w:hAnsi="Times New Roman" w:cs="Times New Roman"/>
          <w:b/>
          <w:bCs/>
          <w:color w:val="000000" w:themeColor="text1"/>
        </w:rPr>
      </w:pPr>
      <w:r w:rsidRPr="00593380">
        <w:rPr>
          <w:rFonts w:ascii="Times New Roman" w:hAnsi="Times New Roman" w:cs="Times New Roman"/>
          <w:b/>
          <w:bCs/>
          <w:color w:val="000000" w:themeColor="text1"/>
        </w:rPr>
        <w:t>Table 8:</w:t>
      </w:r>
      <w:r w:rsidR="004E6BB3" w:rsidRPr="00593380">
        <w:rPr>
          <w:rFonts w:ascii="Times New Roman" w:hAnsi="Times New Roman" w:cs="Times New Roman"/>
          <w:b/>
          <w:bCs/>
          <w:color w:val="000000" w:themeColor="text1"/>
        </w:rPr>
        <w:t xml:space="preserve"> </w:t>
      </w:r>
      <w:r w:rsidR="007E22B1" w:rsidRPr="00593380">
        <w:rPr>
          <w:rFonts w:ascii="Times New Roman" w:hAnsi="Times New Roman" w:cs="Times New Roman"/>
          <w:b/>
          <w:bCs/>
          <w:color w:val="000000" w:themeColor="text1"/>
        </w:rPr>
        <w:t>Factors mitigating tertiary institutions from generating sufficient revenue</w:t>
      </w:r>
    </w:p>
    <w:tbl>
      <w:tblPr>
        <w:tblStyle w:val="TableGrid"/>
        <w:tblW w:w="8941" w:type="dxa"/>
        <w:tblLook w:val="04A0" w:firstRow="1" w:lastRow="0" w:firstColumn="1" w:lastColumn="0" w:noHBand="0" w:noVBand="1"/>
      </w:tblPr>
      <w:tblGrid>
        <w:gridCol w:w="4104"/>
        <w:gridCol w:w="2892"/>
        <w:gridCol w:w="1945"/>
      </w:tblGrid>
      <w:tr w:rsidR="00B02A11" w:rsidRPr="00593380" w14:paraId="39F05343" w14:textId="77777777" w:rsidTr="007E22B1">
        <w:tc>
          <w:tcPr>
            <w:tcW w:w="0" w:type="auto"/>
            <w:hideMark/>
          </w:tcPr>
          <w:p w14:paraId="5320F691" w14:textId="54F44E64" w:rsidR="008005AC" w:rsidRPr="00593380" w:rsidRDefault="008005AC" w:rsidP="00D03BEA">
            <w:pPr>
              <w:jc w:val="both"/>
              <w:rPr>
                <w:rFonts w:ascii="Times New Roman" w:hAnsi="Times New Roman" w:cs="Times New Roman"/>
                <w:b/>
                <w:bCs/>
                <w:color w:val="000000" w:themeColor="text1"/>
              </w:rPr>
            </w:pPr>
            <w:r w:rsidRPr="00593380">
              <w:rPr>
                <w:rFonts w:ascii="Times New Roman" w:hAnsi="Times New Roman" w:cs="Times New Roman"/>
                <w:b/>
                <w:bCs/>
                <w:color w:val="000000" w:themeColor="text1"/>
              </w:rPr>
              <w:t>Statement</w:t>
            </w:r>
          </w:p>
        </w:tc>
        <w:tc>
          <w:tcPr>
            <w:tcW w:w="0" w:type="auto"/>
            <w:hideMark/>
          </w:tcPr>
          <w:p w14:paraId="329FEC86" w14:textId="77777777" w:rsidR="007E22B1" w:rsidRPr="00593380" w:rsidRDefault="007E22B1" w:rsidP="00D03BEA">
            <w:pPr>
              <w:jc w:val="both"/>
              <w:rPr>
                <w:rFonts w:ascii="Times New Roman" w:hAnsi="Times New Roman" w:cs="Times New Roman"/>
                <w:b/>
                <w:bCs/>
                <w:color w:val="000000" w:themeColor="text1"/>
              </w:rPr>
            </w:pPr>
            <w:r w:rsidRPr="00593380">
              <w:rPr>
                <w:rFonts w:ascii="Times New Roman" w:hAnsi="Times New Roman" w:cs="Times New Roman"/>
                <w:b/>
                <w:bCs/>
                <w:color w:val="000000" w:themeColor="text1"/>
              </w:rPr>
              <w:t>Number of Respondents</w:t>
            </w:r>
          </w:p>
        </w:tc>
        <w:tc>
          <w:tcPr>
            <w:tcW w:w="0" w:type="auto"/>
            <w:hideMark/>
          </w:tcPr>
          <w:p w14:paraId="3C418DF9" w14:textId="1347D637" w:rsidR="007E22B1" w:rsidRPr="00593380" w:rsidRDefault="007E22B1" w:rsidP="00D03BEA">
            <w:pPr>
              <w:jc w:val="both"/>
              <w:rPr>
                <w:rFonts w:ascii="Times New Roman" w:hAnsi="Times New Roman" w:cs="Times New Roman"/>
                <w:b/>
                <w:bCs/>
                <w:color w:val="000000" w:themeColor="text1"/>
              </w:rPr>
            </w:pPr>
            <w:r w:rsidRPr="00593380">
              <w:rPr>
                <w:rFonts w:ascii="Times New Roman" w:hAnsi="Times New Roman" w:cs="Times New Roman"/>
                <w:b/>
                <w:bCs/>
                <w:color w:val="000000" w:themeColor="text1"/>
              </w:rPr>
              <w:t>Percentage (%)</w:t>
            </w:r>
          </w:p>
        </w:tc>
      </w:tr>
      <w:tr w:rsidR="00B02A11" w:rsidRPr="00593380" w14:paraId="4A94EAC8" w14:textId="77777777" w:rsidTr="007E22B1">
        <w:tc>
          <w:tcPr>
            <w:tcW w:w="0" w:type="auto"/>
            <w:hideMark/>
          </w:tcPr>
          <w:p w14:paraId="53B707F5" w14:textId="77777777" w:rsidR="007E22B1" w:rsidRPr="00593380" w:rsidRDefault="007E22B1"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Limited Enrolment Capacity</w:t>
            </w:r>
          </w:p>
        </w:tc>
        <w:tc>
          <w:tcPr>
            <w:tcW w:w="0" w:type="auto"/>
            <w:hideMark/>
          </w:tcPr>
          <w:p w14:paraId="2FB91AF2" w14:textId="77777777" w:rsidR="007E22B1" w:rsidRPr="00593380" w:rsidRDefault="007E22B1"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150</w:t>
            </w:r>
          </w:p>
        </w:tc>
        <w:tc>
          <w:tcPr>
            <w:tcW w:w="0" w:type="auto"/>
            <w:hideMark/>
          </w:tcPr>
          <w:p w14:paraId="6B4B80B1" w14:textId="77777777" w:rsidR="007E22B1" w:rsidRPr="00593380" w:rsidRDefault="007E22B1"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15.0</w:t>
            </w:r>
          </w:p>
        </w:tc>
      </w:tr>
      <w:tr w:rsidR="00B02A11" w:rsidRPr="00593380" w14:paraId="11118EB1" w14:textId="77777777" w:rsidTr="007E22B1">
        <w:tc>
          <w:tcPr>
            <w:tcW w:w="0" w:type="auto"/>
            <w:hideMark/>
          </w:tcPr>
          <w:p w14:paraId="4DFFC476" w14:textId="77777777" w:rsidR="007E22B1" w:rsidRPr="00593380" w:rsidRDefault="007E22B1"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Dependence on Government Funding</w:t>
            </w:r>
          </w:p>
        </w:tc>
        <w:tc>
          <w:tcPr>
            <w:tcW w:w="0" w:type="auto"/>
            <w:hideMark/>
          </w:tcPr>
          <w:p w14:paraId="6820B97B" w14:textId="77777777" w:rsidR="007E22B1" w:rsidRPr="00593380" w:rsidRDefault="007E22B1"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200</w:t>
            </w:r>
          </w:p>
        </w:tc>
        <w:tc>
          <w:tcPr>
            <w:tcW w:w="0" w:type="auto"/>
            <w:hideMark/>
          </w:tcPr>
          <w:p w14:paraId="4A78A2FD" w14:textId="77777777" w:rsidR="007E22B1" w:rsidRPr="00593380" w:rsidRDefault="007E22B1"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20.0</w:t>
            </w:r>
          </w:p>
        </w:tc>
      </w:tr>
      <w:tr w:rsidR="00B02A11" w:rsidRPr="00593380" w14:paraId="09E53F49" w14:textId="77777777" w:rsidTr="007E22B1">
        <w:tc>
          <w:tcPr>
            <w:tcW w:w="0" w:type="auto"/>
            <w:hideMark/>
          </w:tcPr>
          <w:p w14:paraId="699BDA6A" w14:textId="77777777" w:rsidR="007E22B1" w:rsidRPr="00593380" w:rsidRDefault="007E22B1"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Lack of Diversified Revenue Streams</w:t>
            </w:r>
          </w:p>
        </w:tc>
        <w:tc>
          <w:tcPr>
            <w:tcW w:w="0" w:type="auto"/>
            <w:hideMark/>
          </w:tcPr>
          <w:p w14:paraId="1B17049A" w14:textId="77777777" w:rsidR="007E22B1" w:rsidRPr="00593380" w:rsidRDefault="007E22B1"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250</w:t>
            </w:r>
          </w:p>
        </w:tc>
        <w:tc>
          <w:tcPr>
            <w:tcW w:w="0" w:type="auto"/>
            <w:hideMark/>
          </w:tcPr>
          <w:p w14:paraId="5D185798" w14:textId="77777777" w:rsidR="007E22B1" w:rsidRPr="00593380" w:rsidRDefault="007E22B1"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25.0</w:t>
            </w:r>
          </w:p>
        </w:tc>
      </w:tr>
      <w:tr w:rsidR="00B02A11" w:rsidRPr="00593380" w14:paraId="7E088CE2" w14:textId="77777777" w:rsidTr="007E22B1">
        <w:tc>
          <w:tcPr>
            <w:tcW w:w="0" w:type="auto"/>
            <w:hideMark/>
          </w:tcPr>
          <w:p w14:paraId="3AB97790" w14:textId="77777777" w:rsidR="007E22B1" w:rsidRPr="00593380" w:rsidRDefault="007E22B1"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Inadequate Infrastructure</w:t>
            </w:r>
          </w:p>
        </w:tc>
        <w:tc>
          <w:tcPr>
            <w:tcW w:w="0" w:type="auto"/>
            <w:hideMark/>
          </w:tcPr>
          <w:p w14:paraId="782C90F2" w14:textId="77777777" w:rsidR="007E22B1" w:rsidRPr="00593380" w:rsidRDefault="007E22B1"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100</w:t>
            </w:r>
          </w:p>
        </w:tc>
        <w:tc>
          <w:tcPr>
            <w:tcW w:w="0" w:type="auto"/>
            <w:hideMark/>
          </w:tcPr>
          <w:p w14:paraId="60C1989C" w14:textId="77777777" w:rsidR="007E22B1" w:rsidRPr="00593380" w:rsidRDefault="007E22B1"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10.0</w:t>
            </w:r>
          </w:p>
        </w:tc>
      </w:tr>
      <w:tr w:rsidR="00B02A11" w:rsidRPr="00593380" w14:paraId="3EE17651" w14:textId="77777777" w:rsidTr="007E22B1">
        <w:tc>
          <w:tcPr>
            <w:tcW w:w="0" w:type="auto"/>
            <w:hideMark/>
          </w:tcPr>
          <w:p w14:paraId="2911AFBE" w14:textId="77777777" w:rsidR="007E22B1" w:rsidRPr="00593380" w:rsidRDefault="007E22B1"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Inadequate Faculty Development</w:t>
            </w:r>
          </w:p>
        </w:tc>
        <w:tc>
          <w:tcPr>
            <w:tcW w:w="0" w:type="auto"/>
            <w:hideMark/>
          </w:tcPr>
          <w:p w14:paraId="268FC665" w14:textId="77777777" w:rsidR="007E22B1" w:rsidRPr="00593380" w:rsidRDefault="007E22B1"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100</w:t>
            </w:r>
          </w:p>
        </w:tc>
        <w:tc>
          <w:tcPr>
            <w:tcW w:w="0" w:type="auto"/>
            <w:hideMark/>
          </w:tcPr>
          <w:p w14:paraId="74BAD745" w14:textId="77777777" w:rsidR="007E22B1" w:rsidRPr="00593380" w:rsidRDefault="007E22B1"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10.0</w:t>
            </w:r>
          </w:p>
        </w:tc>
      </w:tr>
      <w:tr w:rsidR="00B02A11" w:rsidRPr="00593380" w14:paraId="77B61A28" w14:textId="77777777" w:rsidTr="007E22B1">
        <w:tc>
          <w:tcPr>
            <w:tcW w:w="0" w:type="auto"/>
            <w:hideMark/>
          </w:tcPr>
          <w:p w14:paraId="6A84CBD4" w14:textId="77777777" w:rsidR="007E22B1" w:rsidRPr="00593380" w:rsidRDefault="007E22B1"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Limited Industry Partnerships</w:t>
            </w:r>
          </w:p>
        </w:tc>
        <w:tc>
          <w:tcPr>
            <w:tcW w:w="0" w:type="auto"/>
            <w:hideMark/>
          </w:tcPr>
          <w:p w14:paraId="038C6C05" w14:textId="77777777" w:rsidR="007E22B1" w:rsidRPr="00593380" w:rsidRDefault="007E22B1"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100</w:t>
            </w:r>
          </w:p>
        </w:tc>
        <w:tc>
          <w:tcPr>
            <w:tcW w:w="0" w:type="auto"/>
            <w:hideMark/>
          </w:tcPr>
          <w:p w14:paraId="3D18B3CA" w14:textId="77777777" w:rsidR="007E22B1" w:rsidRPr="00593380" w:rsidRDefault="007E22B1"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10.0</w:t>
            </w:r>
          </w:p>
        </w:tc>
      </w:tr>
      <w:tr w:rsidR="00B02A11" w:rsidRPr="00593380" w14:paraId="242969B8" w14:textId="77777777" w:rsidTr="007E22B1">
        <w:tc>
          <w:tcPr>
            <w:tcW w:w="0" w:type="auto"/>
            <w:hideMark/>
          </w:tcPr>
          <w:p w14:paraId="20165F34" w14:textId="77777777" w:rsidR="007E22B1" w:rsidRPr="00593380" w:rsidRDefault="007E22B1"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Economic Recession</w:t>
            </w:r>
          </w:p>
        </w:tc>
        <w:tc>
          <w:tcPr>
            <w:tcW w:w="0" w:type="auto"/>
            <w:hideMark/>
          </w:tcPr>
          <w:p w14:paraId="154F0C4F" w14:textId="77777777" w:rsidR="007E22B1" w:rsidRPr="00593380" w:rsidRDefault="007E22B1"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100</w:t>
            </w:r>
          </w:p>
        </w:tc>
        <w:tc>
          <w:tcPr>
            <w:tcW w:w="0" w:type="auto"/>
            <w:hideMark/>
          </w:tcPr>
          <w:p w14:paraId="1497F1F1" w14:textId="77777777" w:rsidR="007E22B1" w:rsidRPr="00593380" w:rsidRDefault="007E22B1"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10.0</w:t>
            </w:r>
          </w:p>
        </w:tc>
      </w:tr>
      <w:tr w:rsidR="00B02A11" w:rsidRPr="00593380" w14:paraId="415220FA" w14:textId="77777777" w:rsidTr="007E22B1">
        <w:tc>
          <w:tcPr>
            <w:tcW w:w="0" w:type="auto"/>
            <w:hideMark/>
          </w:tcPr>
          <w:p w14:paraId="63C9700A" w14:textId="77777777" w:rsidR="007E22B1" w:rsidRPr="00593380" w:rsidRDefault="007E22B1" w:rsidP="00D03BEA">
            <w:pPr>
              <w:jc w:val="both"/>
              <w:rPr>
                <w:rFonts w:ascii="Times New Roman" w:hAnsi="Times New Roman" w:cs="Times New Roman"/>
                <w:b/>
                <w:bCs/>
                <w:color w:val="000000" w:themeColor="text1"/>
              </w:rPr>
            </w:pPr>
            <w:r w:rsidRPr="00593380">
              <w:rPr>
                <w:rFonts w:ascii="Times New Roman" w:hAnsi="Times New Roman" w:cs="Times New Roman"/>
                <w:b/>
                <w:bCs/>
                <w:color w:val="000000" w:themeColor="text1"/>
              </w:rPr>
              <w:t>Total</w:t>
            </w:r>
          </w:p>
        </w:tc>
        <w:tc>
          <w:tcPr>
            <w:tcW w:w="0" w:type="auto"/>
            <w:hideMark/>
          </w:tcPr>
          <w:p w14:paraId="41DC1250" w14:textId="77777777" w:rsidR="007E22B1" w:rsidRPr="00593380" w:rsidRDefault="007E22B1" w:rsidP="00D03BEA">
            <w:pPr>
              <w:jc w:val="both"/>
              <w:rPr>
                <w:rFonts w:ascii="Times New Roman" w:hAnsi="Times New Roman" w:cs="Times New Roman"/>
                <w:b/>
                <w:bCs/>
                <w:color w:val="000000" w:themeColor="text1"/>
              </w:rPr>
            </w:pPr>
            <w:r w:rsidRPr="00593380">
              <w:rPr>
                <w:rFonts w:ascii="Times New Roman" w:hAnsi="Times New Roman" w:cs="Times New Roman"/>
                <w:b/>
                <w:bCs/>
                <w:color w:val="000000" w:themeColor="text1"/>
              </w:rPr>
              <w:t>1000</w:t>
            </w:r>
          </w:p>
        </w:tc>
        <w:tc>
          <w:tcPr>
            <w:tcW w:w="0" w:type="auto"/>
            <w:hideMark/>
          </w:tcPr>
          <w:p w14:paraId="32B7695F" w14:textId="77777777" w:rsidR="007E22B1" w:rsidRPr="00593380" w:rsidRDefault="007E22B1" w:rsidP="00D03BEA">
            <w:pPr>
              <w:jc w:val="both"/>
              <w:rPr>
                <w:rFonts w:ascii="Times New Roman" w:hAnsi="Times New Roman" w:cs="Times New Roman"/>
                <w:b/>
                <w:bCs/>
                <w:color w:val="000000" w:themeColor="text1"/>
              </w:rPr>
            </w:pPr>
            <w:r w:rsidRPr="00593380">
              <w:rPr>
                <w:rFonts w:ascii="Times New Roman" w:hAnsi="Times New Roman" w:cs="Times New Roman"/>
                <w:b/>
                <w:bCs/>
                <w:color w:val="000000" w:themeColor="text1"/>
              </w:rPr>
              <w:t>100.0</w:t>
            </w:r>
          </w:p>
        </w:tc>
      </w:tr>
    </w:tbl>
    <w:p w14:paraId="71637017" w14:textId="77777777" w:rsidR="008005AC" w:rsidRPr="00593380" w:rsidRDefault="008005AC" w:rsidP="00593380">
      <w:pPr>
        <w:spacing w:line="360" w:lineRule="auto"/>
        <w:jc w:val="both"/>
        <w:rPr>
          <w:rFonts w:ascii="Times New Roman" w:hAnsi="Times New Roman" w:cs="Times New Roman"/>
          <w:color w:val="000000" w:themeColor="text1"/>
        </w:rPr>
      </w:pPr>
      <w:r w:rsidRPr="00593380">
        <w:rPr>
          <w:rFonts w:ascii="Times New Roman" w:hAnsi="Times New Roman" w:cs="Times New Roman"/>
          <w:color w:val="000000" w:themeColor="text1"/>
        </w:rPr>
        <w:t>Source: Field Survey, 2024.</w:t>
      </w:r>
    </w:p>
    <w:p w14:paraId="0CCDA01D" w14:textId="5617E698" w:rsidR="007E22B1" w:rsidRPr="00593380" w:rsidRDefault="007E22B1" w:rsidP="00593380">
      <w:pPr>
        <w:spacing w:line="360" w:lineRule="auto"/>
        <w:jc w:val="both"/>
        <w:rPr>
          <w:rFonts w:ascii="Times New Roman" w:hAnsi="Times New Roman" w:cs="Times New Roman"/>
          <w:color w:val="000000" w:themeColor="text1"/>
        </w:rPr>
      </w:pPr>
      <w:r w:rsidRPr="00593380">
        <w:rPr>
          <w:rFonts w:ascii="Times New Roman" w:hAnsi="Times New Roman" w:cs="Times New Roman"/>
          <w:color w:val="000000" w:themeColor="text1"/>
        </w:rPr>
        <w:t>Table</w:t>
      </w:r>
      <w:r w:rsidR="007D60C0" w:rsidRPr="00593380">
        <w:rPr>
          <w:rFonts w:ascii="Times New Roman" w:hAnsi="Times New Roman" w:cs="Times New Roman"/>
          <w:color w:val="000000" w:themeColor="text1"/>
        </w:rPr>
        <w:t xml:space="preserve"> 8</w:t>
      </w:r>
      <w:r w:rsidRPr="00593380">
        <w:rPr>
          <w:rFonts w:ascii="Times New Roman" w:hAnsi="Times New Roman" w:cs="Times New Roman"/>
          <w:color w:val="000000" w:themeColor="text1"/>
        </w:rPr>
        <w:t xml:space="preserve"> presents insights into the factors perceived to be mitigating revenue generation in tertiary institutions, as indicated by 1000 respondents. The responses highlight several key challenges faced by these institutions in their revenue generation efforts. Notably, factors such as dependence on government funding, lack of diversified revenue streams, and limited enrolment capacity emerge as significant concerns, with 20%, 25%, and 15% of respondents respectively identifying these issues. Additionally, inadequate infrastructure, faculty development, industry partnerships, and the impact of economic recession are also recognized as contributing factors. These findings underscore the multifaceted nature of the challenges faced by tertiary institutions in generating sufficient revenue. The diverse array of factors suggests a need for comprehensive strategies that address both internal and external barriers to revenue generation. Initiatives aimed at enhancing financial autonomy, diversifying revenue sources, improving infrastructure and faculty development, fostering industry partnerships, and implementing measures to mitigate the impact of economic downturns may all be crucial in overcoming these challenges and ensuring the financial sustainability of tertiary institutions.</w:t>
      </w:r>
    </w:p>
    <w:p w14:paraId="3B4CEFF6" w14:textId="7E4FE522" w:rsidR="005672E7" w:rsidRPr="00593380" w:rsidRDefault="006446D4" w:rsidP="00593380">
      <w:pPr>
        <w:spacing w:after="0" w:line="360" w:lineRule="auto"/>
        <w:jc w:val="both"/>
        <w:rPr>
          <w:rFonts w:ascii="Times New Roman" w:hAnsi="Times New Roman" w:cs="Times New Roman"/>
          <w:b/>
          <w:bCs/>
          <w:color w:val="000000" w:themeColor="text1"/>
        </w:rPr>
      </w:pPr>
      <w:r w:rsidRPr="00593380">
        <w:rPr>
          <w:rFonts w:ascii="Times New Roman" w:hAnsi="Times New Roman" w:cs="Times New Roman"/>
          <w:b/>
          <w:bCs/>
          <w:color w:val="000000" w:themeColor="text1"/>
        </w:rPr>
        <w:t>Table 9:</w:t>
      </w:r>
      <w:r w:rsidR="004E6BB3" w:rsidRPr="00593380">
        <w:rPr>
          <w:rFonts w:ascii="Times New Roman" w:hAnsi="Times New Roman" w:cs="Times New Roman"/>
          <w:b/>
          <w:bCs/>
          <w:color w:val="000000" w:themeColor="text1"/>
        </w:rPr>
        <w:t xml:space="preserve"> </w:t>
      </w:r>
      <w:r w:rsidR="005672E7" w:rsidRPr="00593380">
        <w:rPr>
          <w:rFonts w:ascii="Times New Roman" w:hAnsi="Times New Roman" w:cs="Times New Roman"/>
          <w:b/>
          <w:bCs/>
          <w:color w:val="000000" w:themeColor="text1"/>
        </w:rPr>
        <w:t>Ways government can aid tertiary institutions towards enough revenue generation</w:t>
      </w:r>
    </w:p>
    <w:tbl>
      <w:tblPr>
        <w:tblStyle w:val="TableGrid"/>
        <w:tblW w:w="9085" w:type="dxa"/>
        <w:tblLook w:val="04A0" w:firstRow="1" w:lastRow="0" w:firstColumn="1" w:lastColumn="0" w:noHBand="0" w:noVBand="1"/>
      </w:tblPr>
      <w:tblGrid>
        <w:gridCol w:w="5305"/>
        <w:gridCol w:w="1867"/>
        <w:gridCol w:w="1913"/>
      </w:tblGrid>
      <w:tr w:rsidR="00B02A11" w:rsidRPr="00593380" w14:paraId="5AE4059A" w14:textId="77777777" w:rsidTr="00E50AF7">
        <w:tc>
          <w:tcPr>
            <w:tcW w:w="5305" w:type="dxa"/>
            <w:hideMark/>
          </w:tcPr>
          <w:p w14:paraId="119E83EA" w14:textId="023941C7" w:rsidR="005672E7" w:rsidRPr="00593380" w:rsidRDefault="006446D4" w:rsidP="00D03BEA">
            <w:pPr>
              <w:jc w:val="both"/>
              <w:rPr>
                <w:rFonts w:ascii="Times New Roman" w:hAnsi="Times New Roman" w:cs="Times New Roman"/>
                <w:b/>
                <w:bCs/>
                <w:color w:val="000000" w:themeColor="text1"/>
              </w:rPr>
            </w:pPr>
            <w:r w:rsidRPr="00593380">
              <w:rPr>
                <w:rFonts w:ascii="Times New Roman" w:hAnsi="Times New Roman" w:cs="Times New Roman"/>
                <w:b/>
                <w:bCs/>
                <w:color w:val="000000" w:themeColor="text1"/>
              </w:rPr>
              <w:t xml:space="preserve">Statement </w:t>
            </w:r>
          </w:p>
        </w:tc>
        <w:tc>
          <w:tcPr>
            <w:tcW w:w="1867" w:type="dxa"/>
            <w:hideMark/>
          </w:tcPr>
          <w:p w14:paraId="09376FCB" w14:textId="77777777" w:rsidR="005672E7" w:rsidRPr="00593380" w:rsidRDefault="005672E7" w:rsidP="00D03BEA">
            <w:pPr>
              <w:jc w:val="both"/>
              <w:rPr>
                <w:rFonts w:ascii="Times New Roman" w:hAnsi="Times New Roman" w:cs="Times New Roman"/>
                <w:b/>
                <w:bCs/>
                <w:color w:val="000000" w:themeColor="text1"/>
              </w:rPr>
            </w:pPr>
            <w:r w:rsidRPr="00593380">
              <w:rPr>
                <w:rFonts w:ascii="Times New Roman" w:hAnsi="Times New Roman" w:cs="Times New Roman"/>
                <w:b/>
                <w:bCs/>
                <w:color w:val="000000" w:themeColor="text1"/>
              </w:rPr>
              <w:t>Number of Respondents</w:t>
            </w:r>
          </w:p>
        </w:tc>
        <w:tc>
          <w:tcPr>
            <w:tcW w:w="1913" w:type="dxa"/>
            <w:hideMark/>
          </w:tcPr>
          <w:p w14:paraId="2EC872AC" w14:textId="42600390" w:rsidR="005672E7" w:rsidRPr="00593380" w:rsidRDefault="005672E7" w:rsidP="00D03BEA">
            <w:pPr>
              <w:jc w:val="both"/>
              <w:rPr>
                <w:rFonts w:ascii="Times New Roman" w:hAnsi="Times New Roman" w:cs="Times New Roman"/>
                <w:b/>
                <w:bCs/>
                <w:color w:val="000000" w:themeColor="text1"/>
              </w:rPr>
            </w:pPr>
            <w:r w:rsidRPr="00593380">
              <w:rPr>
                <w:rFonts w:ascii="Times New Roman" w:hAnsi="Times New Roman" w:cs="Times New Roman"/>
                <w:b/>
                <w:bCs/>
                <w:color w:val="000000" w:themeColor="text1"/>
              </w:rPr>
              <w:t>Percentage (%)</w:t>
            </w:r>
          </w:p>
        </w:tc>
      </w:tr>
      <w:tr w:rsidR="00B02A11" w:rsidRPr="00593380" w14:paraId="2EF8E0F5" w14:textId="77777777" w:rsidTr="00E50AF7">
        <w:tc>
          <w:tcPr>
            <w:tcW w:w="5305" w:type="dxa"/>
            <w:hideMark/>
          </w:tcPr>
          <w:p w14:paraId="78B7CBF8" w14:textId="77777777" w:rsidR="005672E7" w:rsidRPr="00593380" w:rsidRDefault="005672E7"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Increased Funding</w:t>
            </w:r>
          </w:p>
        </w:tc>
        <w:tc>
          <w:tcPr>
            <w:tcW w:w="1867" w:type="dxa"/>
            <w:hideMark/>
          </w:tcPr>
          <w:p w14:paraId="3E18DFEE" w14:textId="77777777" w:rsidR="005672E7" w:rsidRPr="00593380" w:rsidRDefault="005672E7"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200</w:t>
            </w:r>
          </w:p>
        </w:tc>
        <w:tc>
          <w:tcPr>
            <w:tcW w:w="1913" w:type="dxa"/>
            <w:hideMark/>
          </w:tcPr>
          <w:p w14:paraId="5B538A98" w14:textId="77777777" w:rsidR="005672E7" w:rsidRPr="00593380" w:rsidRDefault="005672E7"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20.0</w:t>
            </w:r>
          </w:p>
        </w:tc>
      </w:tr>
      <w:tr w:rsidR="00B02A11" w:rsidRPr="00593380" w14:paraId="35F6432D" w14:textId="77777777" w:rsidTr="00E50AF7">
        <w:tc>
          <w:tcPr>
            <w:tcW w:w="5305" w:type="dxa"/>
            <w:hideMark/>
          </w:tcPr>
          <w:p w14:paraId="1CDAD486" w14:textId="77777777" w:rsidR="005672E7" w:rsidRPr="00593380" w:rsidRDefault="005672E7"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Research Grants</w:t>
            </w:r>
          </w:p>
        </w:tc>
        <w:tc>
          <w:tcPr>
            <w:tcW w:w="1867" w:type="dxa"/>
            <w:hideMark/>
          </w:tcPr>
          <w:p w14:paraId="1217D107" w14:textId="77777777" w:rsidR="005672E7" w:rsidRPr="00593380" w:rsidRDefault="005672E7"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250</w:t>
            </w:r>
          </w:p>
        </w:tc>
        <w:tc>
          <w:tcPr>
            <w:tcW w:w="1913" w:type="dxa"/>
            <w:hideMark/>
          </w:tcPr>
          <w:p w14:paraId="36BAC3CC" w14:textId="77777777" w:rsidR="005672E7" w:rsidRPr="00593380" w:rsidRDefault="005672E7"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25.0</w:t>
            </w:r>
          </w:p>
        </w:tc>
      </w:tr>
      <w:tr w:rsidR="00B02A11" w:rsidRPr="00593380" w14:paraId="77134231" w14:textId="77777777" w:rsidTr="00E50AF7">
        <w:tc>
          <w:tcPr>
            <w:tcW w:w="5305" w:type="dxa"/>
            <w:hideMark/>
          </w:tcPr>
          <w:p w14:paraId="437BD590" w14:textId="77777777" w:rsidR="005672E7" w:rsidRPr="00593380" w:rsidRDefault="005672E7"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lastRenderedPageBreak/>
              <w:t>Public-Private Partnerships</w:t>
            </w:r>
          </w:p>
        </w:tc>
        <w:tc>
          <w:tcPr>
            <w:tcW w:w="1867" w:type="dxa"/>
            <w:hideMark/>
          </w:tcPr>
          <w:p w14:paraId="00BCC258" w14:textId="77777777" w:rsidR="005672E7" w:rsidRPr="00593380" w:rsidRDefault="005672E7"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150</w:t>
            </w:r>
          </w:p>
        </w:tc>
        <w:tc>
          <w:tcPr>
            <w:tcW w:w="1913" w:type="dxa"/>
            <w:hideMark/>
          </w:tcPr>
          <w:p w14:paraId="647852F4" w14:textId="77777777" w:rsidR="005672E7" w:rsidRPr="00593380" w:rsidRDefault="005672E7"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15.0</w:t>
            </w:r>
          </w:p>
        </w:tc>
      </w:tr>
      <w:tr w:rsidR="00B02A11" w:rsidRPr="00593380" w14:paraId="78225B72" w14:textId="77777777" w:rsidTr="00E50AF7">
        <w:tc>
          <w:tcPr>
            <w:tcW w:w="5305" w:type="dxa"/>
            <w:hideMark/>
          </w:tcPr>
          <w:p w14:paraId="38DF3827" w14:textId="77777777" w:rsidR="005672E7" w:rsidRPr="00593380" w:rsidRDefault="005672E7"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Funding Entrepreneurship and Innovation Hubs</w:t>
            </w:r>
          </w:p>
        </w:tc>
        <w:tc>
          <w:tcPr>
            <w:tcW w:w="1867" w:type="dxa"/>
            <w:hideMark/>
          </w:tcPr>
          <w:p w14:paraId="667A0ECD" w14:textId="77777777" w:rsidR="005672E7" w:rsidRPr="00593380" w:rsidRDefault="005672E7"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100</w:t>
            </w:r>
          </w:p>
        </w:tc>
        <w:tc>
          <w:tcPr>
            <w:tcW w:w="1913" w:type="dxa"/>
            <w:hideMark/>
          </w:tcPr>
          <w:p w14:paraId="7396B81E" w14:textId="77777777" w:rsidR="005672E7" w:rsidRPr="00593380" w:rsidRDefault="005672E7"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10.0</w:t>
            </w:r>
          </w:p>
        </w:tc>
      </w:tr>
      <w:tr w:rsidR="00B02A11" w:rsidRPr="00593380" w14:paraId="57AC666B" w14:textId="77777777" w:rsidTr="00E50AF7">
        <w:tc>
          <w:tcPr>
            <w:tcW w:w="5305" w:type="dxa"/>
            <w:hideMark/>
          </w:tcPr>
          <w:p w14:paraId="591B0AB1" w14:textId="77777777" w:rsidR="005672E7" w:rsidRPr="00593380" w:rsidRDefault="005672E7"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Support for Continuing Education Programs</w:t>
            </w:r>
          </w:p>
        </w:tc>
        <w:tc>
          <w:tcPr>
            <w:tcW w:w="1867" w:type="dxa"/>
            <w:hideMark/>
          </w:tcPr>
          <w:p w14:paraId="7D75FFE3" w14:textId="77777777" w:rsidR="005672E7" w:rsidRPr="00593380" w:rsidRDefault="005672E7"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100</w:t>
            </w:r>
          </w:p>
        </w:tc>
        <w:tc>
          <w:tcPr>
            <w:tcW w:w="1913" w:type="dxa"/>
            <w:hideMark/>
          </w:tcPr>
          <w:p w14:paraId="32E6B4A2" w14:textId="77777777" w:rsidR="005672E7" w:rsidRPr="00593380" w:rsidRDefault="005672E7"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10.0</w:t>
            </w:r>
          </w:p>
        </w:tc>
      </w:tr>
      <w:tr w:rsidR="00B02A11" w:rsidRPr="00593380" w14:paraId="2E5BF921" w14:textId="77777777" w:rsidTr="00E50AF7">
        <w:tc>
          <w:tcPr>
            <w:tcW w:w="5305" w:type="dxa"/>
            <w:hideMark/>
          </w:tcPr>
          <w:p w14:paraId="0BE20039" w14:textId="77777777" w:rsidR="005672E7" w:rsidRPr="00593380" w:rsidRDefault="005672E7"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Regulatory Support</w:t>
            </w:r>
          </w:p>
        </w:tc>
        <w:tc>
          <w:tcPr>
            <w:tcW w:w="1867" w:type="dxa"/>
            <w:hideMark/>
          </w:tcPr>
          <w:p w14:paraId="782F4D04" w14:textId="77777777" w:rsidR="005672E7" w:rsidRPr="00593380" w:rsidRDefault="005672E7"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100</w:t>
            </w:r>
          </w:p>
        </w:tc>
        <w:tc>
          <w:tcPr>
            <w:tcW w:w="1913" w:type="dxa"/>
            <w:hideMark/>
          </w:tcPr>
          <w:p w14:paraId="49AA8924" w14:textId="77777777" w:rsidR="005672E7" w:rsidRPr="00593380" w:rsidRDefault="005672E7"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10.0</w:t>
            </w:r>
          </w:p>
        </w:tc>
      </w:tr>
      <w:tr w:rsidR="00B02A11" w:rsidRPr="00593380" w14:paraId="3F6DE96B" w14:textId="77777777" w:rsidTr="00E50AF7">
        <w:tc>
          <w:tcPr>
            <w:tcW w:w="5305" w:type="dxa"/>
            <w:hideMark/>
          </w:tcPr>
          <w:p w14:paraId="197132AB" w14:textId="77777777" w:rsidR="005672E7" w:rsidRPr="00593380" w:rsidRDefault="005672E7"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Enhancing Quality Assurance</w:t>
            </w:r>
          </w:p>
        </w:tc>
        <w:tc>
          <w:tcPr>
            <w:tcW w:w="1867" w:type="dxa"/>
            <w:hideMark/>
          </w:tcPr>
          <w:p w14:paraId="26B18F22" w14:textId="77777777" w:rsidR="005672E7" w:rsidRPr="00593380" w:rsidRDefault="005672E7"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100</w:t>
            </w:r>
          </w:p>
        </w:tc>
        <w:tc>
          <w:tcPr>
            <w:tcW w:w="1913" w:type="dxa"/>
            <w:hideMark/>
          </w:tcPr>
          <w:p w14:paraId="04CCC9FF" w14:textId="77777777" w:rsidR="005672E7" w:rsidRPr="00593380" w:rsidRDefault="005672E7"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10.0</w:t>
            </w:r>
          </w:p>
        </w:tc>
      </w:tr>
      <w:tr w:rsidR="00B02A11" w:rsidRPr="00593380" w14:paraId="56AC2033" w14:textId="77777777" w:rsidTr="00E50AF7">
        <w:tc>
          <w:tcPr>
            <w:tcW w:w="5305" w:type="dxa"/>
            <w:hideMark/>
          </w:tcPr>
          <w:p w14:paraId="76A08708" w14:textId="77777777" w:rsidR="005672E7" w:rsidRPr="00593380" w:rsidRDefault="005672E7" w:rsidP="00D03BEA">
            <w:pPr>
              <w:jc w:val="both"/>
              <w:rPr>
                <w:rFonts w:ascii="Times New Roman" w:hAnsi="Times New Roman" w:cs="Times New Roman"/>
                <w:b/>
                <w:bCs/>
                <w:color w:val="000000" w:themeColor="text1"/>
              </w:rPr>
            </w:pPr>
            <w:r w:rsidRPr="00593380">
              <w:rPr>
                <w:rFonts w:ascii="Times New Roman" w:hAnsi="Times New Roman" w:cs="Times New Roman"/>
                <w:b/>
                <w:bCs/>
                <w:color w:val="000000" w:themeColor="text1"/>
              </w:rPr>
              <w:t>Total</w:t>
            </w:r>
          </w:p>
        </w:tc>
        <w:tc>
          <w:tcPr>
            <w:tcW w:w="1867" w:type="dxa"/>
            <w:hideMark/>
          </w:tcPr>
          <w:p w14:paraId="076943F5" w14:textId="77777777" w:rsidR="005672E7" w:rsidRPr="00593380" w:rsidRDefault="005672E7" w:rsidP="00D03BEA">
            <w:pPr>
              <w:jc w:val="both"/>
              <w:rPr>
                <w:rFonts w:ascii="Times New Roman" w:hAnsi="Times New Roman" w:cs="Times New Roman"/>
                <w:b/>
                <w:bCs/>
                <w:color w:val="000000" w:themeColor="text1"/>
              </w:rPr>
            </w:pPr>
            <w:r w:rsidRPr="00593380">
              <w:rPr>
                <w:rFonts w:ascii="Times New Roman" w:hAnsi="Times New Roman" w:cs="Times New Roman"/>
                <w:b/>
                <w:bCs/>
                <w:color w:val="000000" w:themeColor="text1"/>
              </w:rPr>
              <w:t>1000</w:t>
            </w:r>
          </w:p>
        </w:tc>
        <w:tc>
          <w:tcPr>
            <w:tcW w:w="1913" w:type="dxa"/>
            <w:hideMark/>
          </w:tcPr>
          <w:p w14:paraId="6C60BFD4" w14:textId="77777777" w:rsidR="005672E7" w:rsidRPr="00593380" w:rsidRDefault="005672E7" w:rsidP="00D03BEA">
            <w:pPr>
              <w:jc w:val="both"/>
              <w:rPr>
                <w:rFonts w:ascii="Times New Roman" w:hAnsi="Times New Roman" w:cs="Times New Roman"/>
                <w:b/>
                <w:bCs/>
                <w:color w:val="000000" w:themeColor="text1"/>
              </w:rPr>
            </w:pPr>
            <w:r w:rsidRPr="00593380">
              <w:rPr>
                <w:rFonts w:ascii="Times New Roman" w:hAnsi="Times New Roman" w:cs="Times New Roman"/>
                <w:b/>
                <w:bCs/>
                <w:color w:val="000000" w:themeColor="text1"/>
              </w:rPr>
              <w:t>100.0</w:t>
            </w:r>
          </w:p>
        </w:tc>
      </w:tr>
    </w:tbl>
    <w:p w14:paraId="70B8BE3F" w14:textId="77777777" w:rsidR="006446D4" w:rsidRPr="00593380" w:rsidRDefault="006446D4" w:rsidP="00593380">
      <w:pPr>
        <w:spacing w:line="360" w:lineRule="auto"/>
        <w:jc w:val="both"/>
        <w:rPr>
          <w:rFonts w:ascii="Times New Roman" w:hAnsi="Times New Roman" w:cs="Times New Roman"/>
          <w:color w:val="000000" w:themeColor="text1"/>
        </w:rPr>
      </w:pPr>
      <w:r w:rsidRPr="00593380">
        <w:rPr>
          <w:rFonts w:ascii="Times New Roman" w:hAnsi="Times New Roman" w:cs="Times New Roman"/>
          <w:color w:val="000000" w:themeColor="text1"/>
        </w:rPr>
        <w:t>Source: Field Survey, 2024.</w:t>
      </w:r>
    </w:p>
    <w:p w14:paraId="684670A6" w14:textId="5A58E63B" w:rsidR="005672E7" w:rsidRPr="00593380" w:rsidRDefault="005672E7" w:rsidP="00593380">
      <w:pPr>
        <w:spacing w:line="360" w:lineRule="auto"/>
        <w:jc w:val="both"/>
        <w:rPr>
          <w:rFonts w:ascii="Times New Roman" w:hAnsi="Times New Roman" w:cs="Times New Roman"/>
          <w:color w:val="000000" w:themeColor="text1"/>
        </w:rPr>
      </w:pPr>
      <w:r w:rsidRPr="00593380">
        <w:rPr>
          <w:rFonts w:ascii="Times New Roman" w:hAnsi="Times New Roman" w:cs="Times New Roman"/>
          <w:color w:val="000000" w:themeColor="text1"/>
        </w:rPr>
        <w:t>Table</w:t>
      </w:r>
      <w:r w:rsidR="007D60C0" w:rsidRPr="00593380">
        <w:rPr>
          <w:rFonts w:ascii="Times New Roman" w:hAnsi="Times New Roman" w:cs="Times New Roman"/>
          <w:color w:val="000000" w:themeColor="text1"/>
        </w:rPr>
        <w:t xml:space="preserve"> 9</w:t>
      </w:r>
      <w:r w:rsidRPr="00593380">
        <w:rPr>
          <w:rFonts w:ascii="Times New Roman" w:hAnsi="Times New Roman" w:cs="Times New Roman"/>
          <w:color w:val="000000" w:themeColor="text1"/>
        </w:rPr>
        <w:t xml:space="preserve"> presents insights into the perceived roles of the government in aiding tertiary institutions </w:t>
      </w:r>
      <w:r w:rsidR="00B86E0A" w:rsidRPr="00593380">
        <w:rPr>
          <w:rFonts w:ascii="Times New Roman" w:hAnsi="Times New Roman" w:cs="Times New Roman"/>
          <w:color w:val="000000" w:themeColor="text1"/>
        </w:rPr>
        <w:t>in</w:t>
      </w:r>
      <w:r w:rsidRPr="00593380">
        <w:rPr>
          <w:rFonts w:ascii="Times New Roman" w:hAnsi="Times New Roman" w:cs="Times New Roman"/>
          <w:color w:val="000000" w:themeColor="text1"/>
        </w:rPr>
        <w:t xml:space="preserve"> generating sufficient revenue, as indicated by 1000 respondents. The responses highlight a range of strategies that respondents believe can be effective in supporting revenue generation efforts in these institutions. Notably, research grants emerge as the most commonly endorsed strategy, with 25% of respondents suggesting this approach. Increased funding also garners significant support, with 20% of respondents advocating for this measure. Public-private partnerships are seen as another promising avenue for revenue generation, with 15% of respondents endorsing this approach. Additionally, funding entrepreneurship and innovation hubs, supporting continuing education programs, regulatory support, and enhancing quality assurance mechanisms are all identified as potential ways in which the government can contribute to revenue generation in tertiary institutions. These findings underscore the diverse array of strategies that can be employed to support revenue generation efforts in tertiary institutions, highlighting the importance of multi-faceted approaches and collaborative efforts between government, academia, and industry stakeholders to ensure the financial sustainability of these institutions.</w:t>
      </w:r>
    </w:p>
    <w:p w14:paraId="4BEE656B" w14:textId="7B310059" w:rsidR="00A3563C" w:rsidRPr="00593380" w:rsidRDefault="000F2B05" w:rsidP="00593380">
      <w:pPr>
        <w:spacing w:after="0" w:line="360" w:lineRule="auto"/>
        <w:jc w:val="both"/>
        <w:rPr>
          <w:rFonts w:ascii="Times New Roman" w:hAnsi="Times New Roman" w:cs="Times New Roman"/>
          <w:b/>
          <w:bCs/>
          <w:color w:val="000000" w:themeColor="text1"/>
        </w:rPr>
      </w:pPr>
      <w:r w:rsidRPr="00593380">
        <w:rPr>
          <w:rFonts w:ascii="Times New Roman" w:hAnsi="Times New Roman" w:cs="Times New Roman"/>
          <w:b/>
          <w:bCs/>
          <w:color w:val="000000" w:themeColor="text1"/>
        </w:rPr>
        <w:t>Table 10:</w:t>
      </w:r>
      <w:r w:rsidR="004E6BB3" w:rsidRPr="00593380">
        <w:rPr>
          <w:rFonts w:ascii="Times New Roman" w:hAnsi="Times New Roman" w:cs="Times New Roman"/>
          <w:b/>
          <w:bCs/>
          <w:color w:val="000000" w:themeColor="text1"/>
        </w:rPr>
        <w:t xml:space="preserve"> </w:t>
      </w:r>
      <w:r w:rsidR="00A3563C" w:rsidRPr="00593380">
        <w:rPr>
          <w:rFonts w:ascii="Times New Roman" w:hAnsi="Times New Roman" w:cs="Times New Roman"/>
          <w:b/>
          <w:bCs/>
          <w:color w:val="000000" w:themeColor="text1"/>
        </w:rPr>
        <w:t>The current trends of revenue generation deployed by tertiary institutions across the globe</w:t>
      </w:r>
    </w:p>
    <w:tbl>
      <w:tblPr>
        <w:tblStyle w:val="TableGrid"/>
        <w:tblW w:w="8941" w:type="dxa"/>
        <w:tblLook w:val="04A0" w:firstRow="1" w:lastRow="0" w:firstColumn="1" w:lastColumn="0" w:noHBand="0" w:noVBand="1"/>
      </w:tblPr>
      <w:tblGrid>
        <w:gridCol w:w="4191"/>
        <w:gridCol w:w="2840"/>
        <w:gridCol w:w="1910"/>
      </w:tblGrid>
      <w:tr w:rsidR="00B02A11" w:rsidRPr="00593380" w14:paraId="3E12B43D" w14:textId="77777777" w:rsidTr="00A3563C">
        <w:tc>
          <w:tcPr>
            <w:tcW w:w="0" w:type="auto"/>
            <w:hideMark/>
          </w:tcPr>
          <w:p w14:paraId="13B595F6" w14:textId="453FCF72" w:rsidR="00A3563C" w:rsidRPr="00593380" w:rsidRDefault="000F2B05" w:rsidP="00D03BEA">
            <w:pPr>
              <w:jc w:val="both"/>
              <w:rPr>
                <w:rFonts w:ascii="Times New Roman" w:hAnsi="Times New Roman" w:cs="Times New Roman"/>
                <w:b/>
                <w:bCs/>
                <w:color w:val="000000" w:themeColor="text1"/>
              </w:rPr>
            </w:pPr>
            <w:r w:rsidRPr="00593380">
              <w:rPr>
                <w:rFonts w:ascii="Times New Roman" w:hAnsi="Times New Roman" w:cs="Times New Roman"/>
                <w:b/>
                <w:bCs/>
                <w:color w:val="000000" w:themeColor="text1"/>
              </w:rPr>
              <w:t>Statements</w:t>
            </w:r>
          </w:p>
        </w:tc>
        <w:tc>
          <w:tcPr>
            <w:tcW w:w="0" w:type="auto"/>
            <w:hideMark/>
          </w:tcPr>
          <w:p w14:paraId="3846BAE9" w14:textId="77777777" w:rsidR="00A3563C" w:rsidRPr="00593380" w:rsidRDefault="00A3563C" w:rsidP="00D03BEA">
            <w:pPr>
              <w:jc w:val="both"/>
              <w:rPr>
                <w:rFonts w:ascii="Times New Roman" w:hAnsi="Times New Roman" w:cs="Times New Roman"/>
                <w:b/>
                <w:bCs/>
                <w:color w:val="000000" w:themeColor="text1"/>
              </w:rPr>
            </w:pPr>
            <w:r w:rsidRPr="00593380">
              <w:rPr>
                <w:rFonts w:ascii="Times New Roman" w:hAnsi="Times New Roman" w:cs="Times New Roman"/>
                <w:b/>
                <w:bCs/>
                <w:color w:val="000000" w:themeColor="text1"/>
              </w:rPr>
              <w:t>Number of Respondents</w:t>
            </w:r>
          </w:p>
        </w:tc>
        <w:tc>
          <w:tcPr>
            <w:tcW w:w="0" w:type="auto"/>
            <w:hideMark/>
          </w:tcPr>
          <w:p w14:paraId="0C7D4D7F" w14:textId="04E04E8C" w:rsidR="00A3563C" w:rsidRPr="00593380" w:rsidRDefault="00A3563C" w:rsidP="00D03BEA">
            <w:pPr>
              <w:jc w:val="both"/>
              <w:rPr>
                <w:rFonts w:ascii="Times New Roman" w:hAnsi="Times New Roman" w:cs="Times New Roman"/>
                <w:b/>
                <w:bCs/>
                <w:color w:val="000000" w:themeColor="text1"/>
              </w:rPr>
            </w:pPr>
            <w:r w:rsidRPr="00593380">
              <w:rPr>
                <w:rFonts w:ascii="Times New Roman" w:hAnsi="Times New Roman" w:cs="Times New Roman"/>
                <w:b/>
                <w:bCs/>
                <w:color w:val="000000" w:themeColor="text1"/>
              </w:rPr>
              <w:t>Percentage</w:t>
            </w:r>
            <w:r w:rsidR="000F2B05" w:rsidRPr="00593380">
              <w:rPr>
                <w:rFonts w:ascii="Times New Roman" w:hAnsi="Times New Roman" w:cs="Times New Roman"/>
                <w:b/>
                <w:bCs/>
                <w:color w:val="000000" w:themeColor="text1"/>
              </w:rPr>
              <w:t xml:space="preserve"> </w:t>
            </w:r>
            <w:r w:rsidRPr="00593380">
              <w:rPr>
                <w:rFonts w:ascii="Times New Roman" w:hAnsi="Times New Roman" w:cs="Times New Roman"/>
                <w:b/>
                <w:bCs/>
                <w:color w:val="000000" w:themeColor="text1"/>
              </w:rPr>
              <w:t>(%)</w:t>
            </w:r>
          </w:p>
        </w:tc>
      </w:tr>
      <w:tr w:rsidR="00B02A11" w:rsidRPr="00593380" w14:paraId="4D40B907" w14:textId="77777777" w:rsidTr="00A3563C">
        <w:tc>
          <w:tcPr>
            <w:tcW w:w="0" w:type="auto"/>
            <w:hideMark/>
          </w:tcPr>
          <w:p w14:paraId="6E995D5A" w14:textId="77777777" w:rsidR="00A3563C" w:rsidRPr="00593380" w:rsidRDefault="00A3563C"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Tuition Fee Increases</w:t>
            </w:r>
          </w:p>
        </w:tc>
        <w:tc>
          <w:tcPr>
            <w:tcW w:w="0" w:type="auto"/>
            <w:hideMark/>
          </w:tcPr>
          <w:p w14:paraId="0C9F33B2" w14:textId="77777777" w:rsidR="00A3563C" w:rsidRPr="00593380" w:rsidRDefault="00A3563C"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150</w:t>
            </w:r>
          </w:p>
        </w:tc>
        <w:tc>
          <w:tcPr>
            <w:tcW w:w="0" w:type="auto"/>
            <w:hideMark/>
          </w:tcPr>
          <w:p w14:paraId="528ED9A7" w14:textId="77777777" w:rsidR="00A3563C" w:rsidRPr="00593380" w:rsidRDefault="00A3563C"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15.0</w:t>
            </w:r>
          </w:p>
        </w:tc>
      </w:tr>
      <w:tr w:rsidR="00B02A11" w:rsidRPr="00593380" w14:paraId="13F75640" w14:textId="77777777" w:rsidTr="00A3563C">
        <w:tc>
          <w:tcPr>
            <w:tcW w:w="0" w:type="auto"/>
            <w:hideMark/>
          </w:tcPr>
          <w:p w14:paraId="470727D2" w14:textId="77777777" w:rsidR="00A3563C" w:rsidRPr="00593380" w:rsidRDefault="00A3563C"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International Student Enrollment</w:t>
            </w:r>
          </w:p>
        </w:tc>
        <w:tc>
          <w:tcPr>
            <w:tcW w:w="0" w:type="auto"/>
            <w:hideMark/>
          </w:tcPr>
          <w:p w14:paraId="788F7ACD" w14:textId="77777777" w:rsidR="00A3563C" w:rsidRPr="00593380" w:rsidRDefault="00A3563C"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200</w:t>
            </w:r>
          </w:p>
        </w:tc>
        <w:tc>
          <w:tcPr>
            <w:tcW w:w="0" w:type="auto"/>
            <w:hideMark/>
          </w:tcPr>
          <w:p w14:paraId="336710AC" w14:textId="77777777" w:rsidR="00A3563C" w:rsidRPr="00593380" w:rsidRDefault="00A3563C"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20.0</w:t>
            </w:r>
          </w:p>
        </w:tc>
      </w:tr>
      <w:tr w:rsidR="00B02A11" w:rsidRPr="00593380" w14:paraId="74C3A30C" w14:textId="77777777" w:rsidTr="00A3563C">
        <w:tc>
          <w:tcPr>
            <w:tcW w:w="0" w:type="auto"/>
            <w:hideMark/>
          </w:tcPr>
          <w:p w14:paraId="12B49ED5" w14:textId="77777777" w:rsidR="00A3563C" w:rsidRPr="00593380" w:rsidRDefault="00A3563C"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Fundraising and Philanthropy</w:t>
            </w:r>
          </w:p>
        </w:tc>
        <w:tc>
          <w:tcPr>
            <w:tcW w:w="0" w:type="auto"/>
            <w:hideMark/>
          </w:tcPr>
          <w:p w14:paraId="363E1318" w14:textId="77777777" w:rsidR="00A3563C" w:rsidRPr="00593380" w:rsidRDefault="00A3563C"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100</w:t>
            </w:r>
          </w:p>
        </w:tc>
        <w:tc>
          <w:tcPr>
            <w:tcW w:w="0" w:type="auto"/>
            <w:hideMark/>
          </w:tcPr>
          <w:p w14:paraId="066F3EAA" w14:textId="77777777" w:rsidR="00A3563C" w:rsidRPr="00593380" w:rsidRDefault="00A3563C"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10.0</w:t>
            </w:r>
          </w:p>
        </w:tc>
      </w:tr>
      <w:tr w:rsidR="00B02A11" w:rsidRPr="00593380" w14:paraId="1B8DE2C3" w14:textId="77777777" w:rsidTr="00A3563C">
        <w:tc>
          <w:tcPr>
            <w:tcW w:w="0" w:type="auto"/>
            <w:hideMark/>
          </w:tcPr>
          <w:p w14:paraId="1052F268" w14:textId="77777777" w:rsidR="00A3563C" w:rsidRPr="00593380" w:rsidRDefault="00A3563C"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Research and Consultancy</w:t>
            </w:r>
          </w:p>
        </w:tc>
        <w:tc>
          <w:tcPr>
            <w:tcW w:w="0" w:type="auto"/>
            <w:hideMark/>
          </w:tcPr>
          <w:p w14:paraId="592A3AC0" w14:textId="77777777" w:rsidR="00A3563C" w:rsidRPr="00593380" w:rsidRDefault="00A3563C"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150</w:t>
            </w:r>
          </w:p>
        </w:tc>
        <w:tc>
          <w:tcPr>
            <w:tcW w:w="0" w:type="auto"/>
            <w:hideMark/>
          </w:tcPr>
          <w:p w14:paraId="441CAFB7" w14:textId="77777777" w:rsidR="00A3563C" w:rsidRPr="00593380" w:rsidRDefault="00A3563C"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15.0</w:t>
            </w:r>
          </w:p>
        </w:tc>
      </w:tr>
      <w:tr w:rsidR="00B02A11" w:rsidRPr="00593380" w14:paraId="77FCB922" w14:textId="77777777" w:rsidTr="00A3563C">
        <w:tc>
          <w:tcPr>
            <w:tcW w:w="0" w:type="auto"/>
            <w:hideMark/>
          </w:tcPr>
          <w:p w14:paraId="2D41202B" w14:textId="77777777" w:rsidR="00A3563C" w:rsidRPr="00593380" w:rsidRDefault="00A3563C"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Continuing and Professional Education</w:t>
            </w:r>
          </w:p>
        </w:tc>
        <w:tc>
          <w:tcPr>
            <w:tcW w:w="0" w:type="auto"/>
            <w:hideMark/>
          </w:tcPr>
          <w:p w14:paraId="367BD67B" w14:textId="77777777" w:rsidR="00A3563C" w:rsidRPr="00593380" w:rsidRDefault="00A3563C"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100</w:t>
            </w:r>
          </w:p>
        </w:tc>
        <w:tc>
          <w:tcPr>
            <w:tcW w:w="0" w:type="auto"/>
            <w:hideMark/>
          </w:tcPr>
          <w:p w14:paraId="47E003C0" w14:textId="77777777" w:rsidR="00A3563C" w:rsidRPr="00593380" w:rsidRDefault="00A3563C"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10.0</w:t>
            </w:r>
          </w:p>
        </w:tc>
      </w:tr>
      <w:tr w:rsidR="00B02A11" w:rsidRPr="00593380" w14:paraId="6AD8BBAB" w14:textId="77777777" w:rsidTr="00A3563C">
        <w:tc>
          <w:tcPr>
            <w:tcW w:w="0" w:type="auto"/>
            <w:hideMark/>
          </w:tcPr>
          <w:p w14:paraId="35574C22" w14:textId="77777777" w:rsidR="00A3563C" w:rsidRPr="00593380" w:rsidRDefault="00A3563C"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Online and Distance Learning</w:t>
            </w:r>
          </w:p>
        </w:tc>
        <w:tc>
          <w:tcPr>
            <w:tcW w:w="0" w:type="auto"/>
            <w:hideMark/>
          </w:tcPr>
          <w:p w14:paraId="711074B6" w14:textId="77777777" w:rsidR="00A3563C" w:rsidRPr="00593380" w:rsidRDefault="00A3563C"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150</w:t>
            </w:r>
          </w:p>
        </w:tc>
        <w:tc>
          <w:tcPr>
            <w:tcW w:w="0" w:type="auto"/>
            <w:hideMark/>
          </w:tcPr>
          <w:p w14:paraId="1F5A6B72" w14:textId="77777777" w:rsidR="00A3563C" w:rsidRPr="00593380" w:rsidRDefault="00A3563C"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15.0</w:t>
            </w:r>
          </w:p>
        </w:tc>
      </w:tr>
      <w:tr w:rsidR="00B02A11" w:rsidRPr="00593380" w14:paraId="07AD090A" w14:textId="77777777" w:rsidTr="00A3563C">
        <w:tc>
          <w:tcPr>
            <w:tcW w:w="0" w:type="auto"/>
            <w:hideMark/>
          </w:tcPr>
          <w:p w14:paraId="17A4855C" w14:textId="77777777" w:rsidR="00A3563C" w:rsidRPr="00593380" w:rsidRDefault="00A3563C"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Partnerships with Industry</w:t>
            </w:r>
          </w:p>
        </w:tc>
        <w:tc>
          <w:tcPr>
            <w:tcW w:w="0" w:type="auto"/>
            <w:hideMark/>
          </w:tcPr>
          <w:p w14:paraId="1D9CE62D" w14:textId="77777777" w:rsidR="00A3563C" w:rsidRPr="00593380" w:rsidRDefault="00A3563C"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100</w:t>
            </w:r>
          </w:p>
        </w:tc>
        <w:tc>
          <w:tcPr>
            <w:tcW w:w="0" w:type="auto"/>
            <w:hideMark/>
          </w:tcPr>
          <w:p w14:paraId="27371854" w14:textId="77777777" w:rsidR="00A3563C" w:rsidRPr="00593380" w:rsidRDefault="00A3563C"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10.0</w:t>
            </w:r>
          </w:p>
        </w:tc>
      </w:tr>
      <w:tr w:rsidR="00B02A11" w:rsidRPr="00593380" w14:paraId="7E2F35BF" w14:textId="77777777" w:rsidTr="00A3563C">
        <w:tc>
          <w:tcPr>
            <w:tcW w:w="0" w:type="auto"/>
            <w:hideMark/>
          </w:tcPr>
          <w:p w14:paraId="144072CB" w14:textId="77777777" w:rsidR="00A3563C" w:rsidRPr="00593380" w:rsidRDefault="00A3563C"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Diversification of Revenue Streams</w:t>
            </w:r>
          </w:p>
        </w:tc>
        <w:tc>
          <w:tcPr>
            <w:tcW w:w="0" w:type="auto"/>
            <w:hideMark/>
          </w:tcPr>
          <w:p w14:paraId="07808508" w14:textId="77777777" w:rsidR="00A3563C" w:rsidRPr="00593380" w:rsidRDefault="00A3563C"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50</w:t>
            </w:r>
          </w:p>
        </w:tc>
        <w:tc>
          <w:tcPr>
            <w:tcW w:w="0" w:type="auto"/>
            <w:hideMark/>
          </w:tcPr>
          <w:p w14:paraId="687C289E" w14:textId="77777777" w:rsidR="00A3563C" w:rsidRPr="00593380" w:rsidRDefault="00A3563C"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5.0</w:t>
            </w:r>
          </w:p>
        </w:tc>
      </w:tr>
      <w:tr w:rsidR="00B02A11" w:rsidRPr="00593380" w14:paraId="20F49609" w14:textId="77777777" w:rsidTr="00A3563C">
        <w:tc>
          <w:tcPr>
            <w:tcW w:w="0" w:type="auto"/>
            <w:hideMark/>
          </w:tcPr>
          <w:p w14:paraId="742DE65B" w14:textId="77777777" w:rsidR="00A3563C" w:rsidRPr="00593380" w:rsidRDefault="00A3563C" w:rsidP="00D03BEA">
            <w:pPr>
              <w:jc w:val="both"/>
              <w:rPr>
                <w:rFonts w:ascii="Times New Roman" w:hAnsi="Times New Roman" w:cs="Times New Roman"/>
                <w:b/>
                <w:bCs/>
                <w:color w:val="000000" w:themeColor="text1"/>
              </w:rPr>
            </w:pPr>
            <w:r w:rsidRPr="00593380">
              <w:rPr>
                <w:rFonts w:ascii="Times New Roman" w:hAnsi="Times New Roman" w:cs="Times New Roman"/>
                <w:b/>
                <w:bCs/>
                <w:color w:val="000000" w:themeColor="text1"/>
              </w:rPr>
              <w:t>Total</w:t>
            </w:r>
          </w:p>
        </w:tc>
        <w:tc>
          <w:tcPr>
            <w:tcW w:w="0" w:type="auto"/>
            <w:hideMark/>
          </w:tcPr>
          <w:p w14:paraId="1FEB2892" w14:textId="77777777" w:rsidR="00A3563C" w:rsidRPr="00593380" w:rsidRDefault="00A3563C" w:rsidP="00D03BEA">
            <w:pPr>
              <w:jc w:val="both"/>
              <w:rPr>
                <w:rFonts w:ascii="Times New Roman" w:hAnsi="Times New Roman" w:cs="Times New Roman"/>
                <w:b/>
                <w:bCs/>
                <w:color w:val="000000" w:themeColor="text1"/>
              </w:rPr>
            </w:pPr>
            <w:r w:rsidRPr="00593380">
              <w:rPr>
                <w:rFonts w:ascii="Times New Roman" w:hAnsi="Times New Roman" w:cs="Times New Roman"/>
                <w:b/>
                <w:bCs/>
                <w:color w:val="000000" w:themeColor="text1"/>
              </w:rPr>
              <w:t>1000</w:t>
            </w:r>
          </w:p>
        </w:tc>
        <w:tc>
          <w:tcPr>
            <w:tcW w:w="0" w:type="auto"/>
            <w:hideMark/>
          </w:tcPr>
          <w:p w14:paraId="1B803817" w14:textId="77777777" w:rsidR="00A3563C" w:rsidRPr="00593380" w:rsidRDefault="00A3563C" w:rsidP="00D03BEA">
            <w:pPr>
              <w:jc w:val="both"/>
              <w:rPr>
                <w:rFonts w:ascii="Times New Roman" w:hAnsi="Times New Roman" w:cs="Times New Roman"/>
                <w:b/>
                <w:bCs/>
                <w:color w:val="000000" w:themeColor="text1"/>
              </w:rPr>
            </w:pPr>
            <w:r w:rsidRPr="00593380">
              <w:rPr>
                <w:rFonts w:ascii="Times New Roman" w:hAnsi="Times New Roman" w:cs="Times New Roman"/>
                <w:b/>
                <w:bCs/>
                <w:color w:val="000000" w:themeColor="text1"/>
              </w:rPr>
              <w:t>100.0</w:t>
            </w:r>
          </w:p>
        </w:tc>
      </w:tr>
    </w:tbl>
    <w:p w14:paraId="58BBAC5C" w14:textId="77777777" w:rsidR="000F2B05" w:rsidRPr="00593380" w:rsidRDefault="000F2B05" w:rsidP="00593380">
      <w:pPr>
        <w:spacing w:line="360" w:lineRule="auto"/>
        <w:jc w:val="both"/>
        <w:rPr>
          <w:rFonts w:ascii="Times New Roman" w:hAnsi="Times New Roman" w:cs="Times New Roman"/>
          <w:color w:val="000000" w:themeColor="text1"/>
        </w:rPr>
      </w:pPr>
      <w:r w:rsidRPr="00593380">
        <w:rPr>
          <w:rFonts w:ascii="Times New Roman" w:hAnsi="Times New Roman" w:cs="Times New Roman"/>
          <w:color w:val="000000" w:themeColor="text1"/>
        </w:rPr>
        <w:t>Source: Field Survey, 2024.</w:t>
      </w:r>
    </w:p>
    <w:p w14:paraId="6F6985B2" w14:textId="2AB89A19" w:rsidR="00A3563C" w:rsidRPr="00593380" w:rsidRDefault="00A3563C" w:rsidP="00593380">
      <w:pPr>
        <w:spacing w:line="360" w:lineRule="auto"/>
        <w:jc w:val="both"/>
        <w:rPr>
          <w:rFonts w:ascii="Times New Roman" w:hAnsi="Times New Roman" w:cs="Times New Roman"/>
          <w:color w:val="000000" w:themeColor="text1"/>
        </w:rPr>
      </w:pPr>
      <w:r w:rsidRPr="00593380">
        <w:rPr>
          <w:rFonts w:ascii="Times New Roman" w:hAnsi="Times New Roman" w:cs="Times New Roman"/>
          <w:color w:val="000000" w:themeColor="text1"/>
        </w:rPr>
        <w:t>Table</w:t>
      </w:r>
      <w:r w:rsidR="007D60C0" w:rsidRPr="00593380">
        <w:rPr>
          <w:rFonts w:ascii="Times New Roman" w:hAnsi="Times New Roman" w:cs="Times New Roman"/>
          <w:color w:val="000000" w:themeColor="text1"/>
        </w:rPr>
        <w:t xml:space="preserve"> 10</w:t>
      </w:r>
      <w:r w:rsidRPr="00593380">
        <w:rPr>
          <w:rFonts w:ascii="Times New Roman" w:hAnsi="Times New Roman" w:cs="Times New Roman"/>
          <w:color w:val="000000" w:themeColor="text1"/>
        </w:rPr>
        <w:t xml:space="preserve"> presents insights into the current trends of revenue generation deployed by tertiary institutions across the globe, as perceived by 1000 respondents. The responses highlight a variety of strategies and approaches that institutions are adopting to generate revenue in an increasingly competitive and dynamic higher education landscape. Notably, international student enrollment emerges as a prominent trend, with 20% of respondents identifying this as a significant revenue generation strategy. Tuition fee increases and online and distance learning also feature prominently, each cited by 15% of respondents. </w:t>
      </w:r>
      <w:r w:rsidRPr="00593380">
        <w:rPr>
          <w:rFonts w:ascii="Times New Roman" w:hAnsi="Times New Roman" w:cs="Times New Roman"/>
          <w:color w:val="000000" w:themeColor="text1"/>
        </w:rPr>
        <w:lastRenderedPageBreak/>
        <w:t>These findings reflect the evolving nature of revenue generation in tertiary education, with institutions increasingly leveraging international markets, embracing digital learning technologies, and exploring alternative revenue streams. Additionally, fundraising and philanthropy, research and consultancy, continuing and professional education, partnerships with industry, and diversification of revenue streams are recognized as important trends, albeit to a lesser extent. This diversity of strategies underscores the complexity of revenue generation in tertiary education and the need for institutions to adopt a multifaceted approach to remain financially sustainable in a rapidly changing environment.</w:t>
      </w:r>
    </w:p>
    <w:p w14:paraId="468B22F6" w14:textId="05152EB5" w:rsidR="00A3563C" w:rsidRPr="00593380" w:rsidRDefault="000F2B05" w:rsidP="00593380">
      <w:pPr>
        <w:spacing w:after="0" w:line="360" w:lineRule="auto"/>
        <w:jc w:val="both"/>
        <w:rPr>
          <w:rFonts w:ascii="Times New Roman" w:hAnsi="Times New Roman" w:cs="Times New Roman"/>
          <w:b/>
          <w:bCs/>
          <w:color w:val="000000" w:themeColor="text1"/>
        </w:rPr>
      </w:pPr>
      <w:r w:rsidRPr="00593380">
        <w:rPr>
          <w:rFonts w:ascii="Times New Roman" w:hAnsi="Times New Roman" w:cs="Times New Roman"/>
          <w:b/>
          <w:bCs/>
          <w:color w:val="000000" w:themeColor="text1"/>
        </w:rPr>
        <w:t>Table 11:</w:t>
      </w:r>
      <w:r w:rsidR="004E6BB3" w:rsidRPr="00593380">
        <w:rPr>
          <w:rFonts w:ascii="Times New Roman" w:hAnsi="Times New Roman" w:cs="Times New Roman"/>
          <w:b/>
          <w:bCs/>
          <w:color w:val="000000" w:themeColor="text1"/>
        </w:rPr>
        <w:t xml:space="preserve"> </w:t>
      </w:r>
      <w:r w:rsidR="00A3563C" w:rsidRPr="00593380">
        <w:rPr>
          <w:rFonts w:ascii="Times New Roman" w:hAnsi="Times New Roman" w:cs="Times New Roman"/>
          <w:b/>
          <w:bCs/>
          <w:color w:val="000000" w:themeColor="text1"/>
        </w:rPr>
        <w:t>Revenue generation strategies tertiary institutions would venture into in the next 30 years to come</w:t>
      </w:r>
    </w:p>
    <w:tbl>
      <w:tblPr>
        <w:tblStyle w:val="TableGrid"/>
        <w:tblW w:w="8941" w:type="dxa"/>
        <w:tblLook w:val="04A0" w:firstRow="1" w:lastRow="0" w:firstColumn="1" w:lastColumn="0" w:noHBand="0" w:noVBand="1"/>
      </w:tblPr>
      <w:tblGrid>
        <w:gridCol w:w="5485"/>
        <w:gridCol w:w="2070"/>
        <w:gridCol w:w="1386"/>
      </w:tblGrid>
      <w:tr w:rsidR="00B02A11" w:rsidRPr="00593380" w14:paraId="02FA89D3" w14:textId="77777777" w:rsidTr="000F2B05">
        <w:tc>
          <w:tcPr>
            <w:tcW w:w="5485" w:type="dxa"/>
            <w:hideMark/>
          </w:tcPr>
          <w:p w14:paraId="62C90B5C" w14:textId="67E07B08" w:rsidR="00A3563C" w:rsidRPr="00593380" w:rsidRDefault="000F2B05" w:rsidP="00D03BEA">
            <w:pPr>
              <w:jc w:val="both"/>
              <w:rPr>
                <w:rFonts w:ascii="Times New Roman" w:hAnsi="Times New Roman" w:cs="Times New Roman"/>
                <w:b/>
                <w:bCs/>
                <w:color w:val="000000" w:themeColor="text1"/>
              </w:rPr>
            </w:pPr>
            <w:r w:rsidRPr="00593380">
              <w:rPr>
                <w:rFonts w:ascii="Times New Roman" w:hAnsi="Times New Roman" w:cs="Times New Roman"/>
                <w:b/>
                <w:bCs/>
                <w:color w:val="000000" w:themeColor="text1"/>
              </w:rPr>
              <w:t>Statement</w:t>
            </w:r>
          </w:p>
        </w:tc>
        <w:tc>
          <w:tcPr>
            <w:tcW w:w="2070" w:type="dxa"/>
            <w:hideMark/>
          </w:tcPr>
          <w:p w14:paraId="55C5BA03" w14:textId="77777777" w:rsidR="00A3563C" w:rsidRPr="00593380" w:rsidRDefault="00A3563C" w:rsidP="00D03BEA">
            <w:pPr>
              <w:jc w:val="both"/>
              <w:rPr>
                <w:rFonts w:ascii="Times New Roman" w:hAnsi="Times New Roman" w:cs="Times New Roman"/>
                <w:b/>
                <w:bCs/>
                <w:color w:val="000000" w:themeColor="text1"/>
              </w:rPr>
            </w:pPr>
            <w:r w:rsidRPr="00593380">
              <w:rPr>
                <w:rFonts w:ascii="Times New Roman" w:hAnsi="Times New Roman" w:cs="Times New Roman"/>
                <w:b/>
                <w:bCs/>
                <w:color w:val="000000" w:themeColor="text1"/>
              </w:rPr>
              <w:t>Number of Respondents</w:t>
            </w:r>
          </w:p>
        </w:tc>
        <w:tc>
          <w:tcPr>
            <w:tcW w:w="1386" w:type="dxa"/>
            <w:hideMark/>
          </w:tcPr>
          <w:p w14:paraId="1D7DED05" w14:textId="0195721F" w:rsidR="00A3563C" w:rsidRPr="00593380" w:rsidRDefault="00A3563C" w:rsidP="00D03BEA">
            <w:pPr>
              <w:jc w:val="both"/>
              <w:rPr>
                <w:rFonts w:ascii="Times New Roman" w:hAnsi="Times New Roman" w:cs="Times New Roman"/>
                <w:b/>
                <w:bCs/>
                <w:color w:val="000000" w:themeColor="text1"/>
              </w:rPr>
            </w:pPr>
            <w:r w:rsidRPr="00593380">
              <w:rPr>
                <w:rFonts w:ascii="Times New Roman" w:hAnsi="Times New Roman" w:cs="Times New Roman"/>
                <w:b/>
                <w:bCs/>
                <w:color w:val="000000" w:themeColor="text1"/>
              </w:rPr>
              <w:t>Percentage</w:t>
            </w:r>
            <w:r w:rsidR="000F2B05" w:rsidRPr="00593380">
              <w:rPr>
                <w:rFonts w:ascii="Times New Roman" w:hAnsi="Times New Roman" w:cs="Times New Roman"/>
                <w:b/>
                <w:bCs/>
                <w:color w:val="000000" w:themeColor="text1"/>
              </w:rPr>
              <w:t xml:space="preserve"> </w:t>
            </w:r>
            <w:r w:rsidRPr="00593380">
              <w:rPr>
                <w:rFonts w:ascii="Times New Roman" w:hAnsi="Times New Roman" w:cs="Times New Roman"/>
                <w:b/>
                <w:bCs/>
                <w:color w:val="000000" w:themeColor="text1"/>
              </w:rPr>
              <w:t>(%)</w:t>
            </w:r>
          </w:p>
        </w:tc>
      </w:tr>
      <w:tr w:rsidR="00B02A11" w:rsidRPr="00593380" w14:paraId="3CE9BA0D" w14:textId="77777777" w:rsidTr="000F2B05">
        <w:tc>
          <w:tcPr>
            <w:tcW w:w="5485" w:type="dxa"/>
            <w:hideMark/>
          </w:tcPr>
          <w:p w14:paraId="60860F2F" w14:textId="77777777" w:rsidR="00A3563C" w:rsidRPr="00593380" w:rsidRDefault="00A3563C"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Online Education Expansion</w:t>
            </w:r>
          </w:p>
        </w:tc>
        <w:tc>
          <w:tcPr>
            <w:tcW w:w="2070" w:type="dxa"/>
            <w:hideMark/>
          </w:tcPr>
          <w:p w14:paraId="12016C60" w14:textId="77777777" w:rsidR="00A3563C" w:rsidRPr="00593380" w:rsidRDefault="00A3563C"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200</w:t>
            </w:r>
          </w:p>
        </w:tc>
        <w:tc>
          <w:tcPr>
            <w:tcW w:w="1386" w:type="dxa"/>
            <w:hideMark/>
          </w:tcPr>
          <w:p w14:paraId="5BA75160" w14:textId="77777777" w:rsidR="00A3563C" w:rsidRPr="00593380" w:rsidRDefault="00A3563C"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20.0</w:t>
            </w:r>
          </w:p>
        </w:tc>
      </w:tr>
      <w:tr w:rsidR="00B02A11" w:rsidRPr="00593380" w14:paraId="3DBAC46A" w14:textId="77777777" w:rsidTr="000F2B05">
        <w:tc>
          <w:tcPr>
            <w:tcW w:w="5485" w:type="dxa"/>
            <w:hideMark/>
          </w:tcPr>
          <w:p w14:paraId="6D9346F5" w14:textId="77777777" w:rsidR="00A3563C" w:rsidRPr="00593380" w:rsidRDefault="00A3563C"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Corporate Partnerships and Sponsorships</w:t>
            </w:r>
          </w:p>
        </w:tc>
        <w:tc>
          <w:tcPr>
            <w:tcW w:w="2070" w:type="dxa"/>
            <w:hideMark/>
          </w:tcPr>
          <w:p w14:paraId="461614B9" w14:textId="77777777" w:rsidR="00A3563C" w:rsidRPr="00593380" w:rsidRDefault="00A3563C"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150</w:t>
            </w:r>
          </w:p>
        </w:tc>
        <w:tc>
          <w:tcPr>
            <w:tcW w:w="1386" w:type="dxa"/>
            <w:hideMark/>
          </w:tcPr>
          <w:p w14:paraId="5825D074" w14:textId="77777777" w:rsidR="00A3563C" w:rsidRPr="00593380" w:rsidRDefault="00A3563C"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15.0</w:t>
            </w:r>
          </w:p>
        </w:tc>
      </w:tr>
      <w:tr w:rsidR="00B02A11" w:rsidRPr="00593380" w14:paraId="1551DB5A" w14:textId="77777777" w:rsidTr="000F2B05">
        <w:tc>
          <w:tcPr>
            <w:tcW w:w="5485" w:type="dxa"/>
            <w:hideMark/>
          </w:tcPr>
          <w:p w14:paraId="410DDAEB" w14:textId="77777777" w:rsidR="00A3563C" w:rsidRPr="00593380" w:rsidRDefault="00A3563C"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Leveraging Artificial Intelligence and Big Data</w:t>
            </w:r>
          </w:p>
        </w:tc>
        <w:tc>
          <w:tcPr>
            <w:tcW w:w="2070" w:type="dxa"/>
            <w:hideMark/>
          </w:tcPr>
          <w:p w14:paraId="4B943CFE" w14:textId="77777777" w:rsidR="00A3563C" w:rsidRPr="00593380" w:rsidRDefault="00A3563C"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200</w:t>
            </w:r>
          </w:p>
        </w:tc>
        <w:tc>
          <w:tcPr>
            <w:tcW w:w="1386" w:type="dxa"/>
            <w:hideMark/>
          </w:tcPr>
          <w:p w14:paraId="10F4AB07" w14:textId="77777777" w:rsidR="00A3563C" w:rsidRPr="00593380" w:rsidRDefault="00A3563C"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20.0</w:t>
            </w:r>
          </w:p>
        </w:tc>
      </w:tr>
      <w:tr w:rsidR="00B02A11" w:rsidRPr="00593380" w14:paraId="0F3D3A17" w14:textId="77777777" w:rsidTr="000F2B05">
        <w:tc>
          <w:tcPr>
            <w:tcW w:w="5485" w:type="dxa"/>
            <w:hideMark/>
          </w:tcPr>
          <w:p w14:paraId="0058BAD4" w14:textId="77777777" w:rsidR="00A3563C" w:rsidRPr="00593380" w:rsidRDefault="00A3563C"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Innovation and Entrepreneurship</w:t>
            </w:r>
          </w:p>
        </w:tc>
        <w:tc>
          <w:tcPr>
            <w:tcW w:w="2070" w:type="dxa"/>
            <w:hideMark/>
          </w:tcPr>
          <w:p w14:paraId="67041428" w14:textId="77777777" w:rsidR="00A3563C" w:rsidRPr="00593380" w:rsidRDefault="00A3563C"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150</w:t>
            </w:r>
          </w:p>
        </w:tc>
        <w:tc>
          <w:tcPr>
            <w:tcW w:w="1386" w:type="dxa"/>
            <w:hideMark/>
          </w:tcPr>
          <w:p w14:paraId="228624C4" w14:textId="77777777" w:rsidR="00A3563C" w:rsidRPr="00593380" w:rsidRDefault="00A3563C"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15.0</w:t>
            </w:r>
          </w:p>
        </w:tc>
      </w:tr>
      <w:tr w:rsidR="00B02A11" w:rsidRPr="00593380" w14:paraId="5D4AC952" w14:textId="77777777" w:rsidTr="000F2B05">
        <w:tc>
          <w:tcPr>
            <w:tcW w:w="5485" w:type="dxa"/>
            <w:hideMark/>
          </w:tcPr>
          <w:p w14:paraId="3AEA3163" w14:textId="77777777" w:rsidR="00A3563C" w:rsidRPr="00593380" w:rsidRDefault="00A3563C"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Alternative Funding Models</w:t>
            </w:r>
          </w:p>
        </w:tc>
        <w:tc>
          <w:tcPr>
            <w:tcW w:w="2070" w:type="dxa"/>
            <w:hideMark/>
          </w:tcPr>
          <w:p w14:paraId="4575832C" w14:textId="77777777" w:rsidR="00A3563C" w:rsidRPr="00593380" w:rsidRDefault="00A3563C"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100</w:t>
            </w:r>
          </w:p>
        </w:tc>
        <w:tc>
          <w:tcPr>
            <w:tcW w:w="1386" w:type="dxa"/>
            <w:hideMark/>
          </w:tcPr>
          <w:p w14:paraId="48361184" w14:textId="77777777" w:rsidR="00A3563C" w:rsidRPr="00593380" w:rsidRDefault="00A3563C"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10.0</w:t>
            </w:r>
          </w:p>
        </w:tc>
      </w:tr>
      <w:tr w:rsidR="00B02A11" w:rsidRPr="00593380" w14:paraId="469D657E" w14:textId="77777777" w:rsidTr="000F2B05">
        <w:tc>
          <w:tcPr>
            <w:tcW w:w="5485" w:type="dxa"/>
            <w:hideMark/>
          </w:tcPr>
          <w:p w14:paraId="191A3CDD" w14:textId="77777777" w:rsidR="00A3563C" w:rsidRPr="00593380" w:rsidRDefault="00A3563C"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Expansion of Continuing Professional Education</w:t>
            </w:r>
          </w:p>
        </w:tc>
        <w:tc>
          <w:tcPr>
            <w:tcW w:w="2070" w:type="dxa"/>
            <w:hideMark/>
          </w:tcPr>
          <w:p w14:paraId="1E9D973F" w14:textId="77777777" w:rsidR="00A3563C" w:rsidRPr="00593380" w:rsidRDefault="00A3563C"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100</w:t>
            </w:r>
          </w:p>
        </w:tc>
        <w:tc>
          <w:tcPr>
            <w:tcW w:w="1386" w:type="dxa"/>
            <w:hideMark/>
          </w:tcPr>
          <w:p w14:paraId="1EBFFEC4" w14:textId="77777777" w:rsidR="00A3563C" w:rsidRPr="00593380" w:rsidRDefault="00A3563C"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10.0</w:t>
            </w:r>
          </w:p>
        </w:tc>
      </w:tr>
      <w:tr w:rsidR="00B02A11" w:rsidRPr="00593380" w14:paraId="3FA792DA" w14:textId="77777777" w:rsidTr="000F2B05">
        <w:tc>
          <w:tcPr>
            <w:tcW w:w="5485" w:type="dxa"/>
            <w:hideMark/>
          </w:tcPr>
          <w:p w14:paraId="1F4B66C5" w14:textId="77777777" w:rsidR="00A3563C" w:rsidRPr="00593380" w:rsidRDefault="00A3563C"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Philanthropic Partnerships</w:t>
            </w:r>
          </w:p>
        </w:tc>
        <w:tc>
          <w:tcPr>
            <w:tcW w:w="2070" w:type="dxa"/>
            <w:hideMark/>
          </w:tcPr>
          <w:p w14:paraId="2AB25ECC" w14:textId="77777777" w:rsidR="00A3563C" w:rsidRPr="00593380" w:rsidRDefault="00A3563C"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50</w:t>
            </w:r>
          </w:p>
        </w:tc>
        <w:tc>
          <w:tcPr>
            <w:tcW w:w="1386" w:type="dxa"/>
            <w:hideMark/>
          </w:tcPr>
          <w:p w14:paraId="17EB79AD" w14:textId="77777777" w:rsidR="00A3563C" w:rsidRPr="00593380" w:rsidRDefault="00A3563C"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5.0</w:t>
            </w:r>
          </w:p>
        </w:tc>
      </w:tr>
      <w:tr w:rsidR="00B02A11" w:rsidRPr="00593380" w14:paraId="465DD948" w14:textId="77777777" w:rsidTr="000F2B05">
        <w:tc>
          <w:tcPr>
            <w:tcW w:w="5485" w:type="dxa"/>
            <w:hideMark/>
          </w:tcPr>
          <w:p w14:paraId="1AB98718" w14:textId="77777777" w:rsidR="00A3563C" w:rsidRPr="00593380" w:rsidRDefault="00A3563C"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Sustainable Practices and Partnerships</w:t>
            </w:r>
          </w:p>
        </w:tc>
        <w:tc>
          <w:tcPr>
            <w:tcW w:w="2070" w:type="dxa"/>
            <w:hideMark/>
          </w:tcPr>
          <w:p w14:paraId="5A806BA6" w14:textId="77777777" w:rsidR="00A3563C" w:rsidRPr="00593380" w:rsidRDefault="00A3563C"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50</w:t>
            </w:r>
          </w:p>
        </w:tc>
        <w:tc>
          <w:tcPr>
            <w:tcW w:w="1386" w:type="dxa"/>
            <w:hideMark/>
          </w:tcPr>
          <w:p w14:paraId="0BAEA789" w14:textId="77777777" w:rsidR="00A3563C" w:rsidRPr="00593380" w:rsidRDefault="00A3563C"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5.0</w:t>
            </w:r>
          </w:p>
        </w:tc>
      </w:tr>
      <w:tr w:rsidR="00B02A11" w:rsidRPr="00593380" w14:paraId="2F4F164C" w14:textId="77777777" w:rsidTr="000F2B05">
        <w:tc>
          <w:tcPr>
            <w:tcW w:w="5485" w:type="dxa"/>
            <w:hideMark/>
          </w:tcPr>
          <w:p w14:paraId="196586EF" w14:textId="77777777" w:rsidR="00A3563C" w:rsidRPr="00593380" w:rsidRDefault="00A3563C" w:rsidP="00D03BEA">
            <w:pPr>
              <w:jc w:val="both"/>
              <w:rPr>
                <w:rFonts w:ascii="Times New Roman" w:hAnsi="Times New Roman" w:cs="Times New Roman"/>
                <w:b/>
                <w:bCs/>
                <w:color w:val="000000" w:themeColor="text1"/>
              </w:rPr>
            </w:pPr>
            <w:r w:rsidRPr="00593380">
              <w:rPr>
                <w:rFonts w:ascii="Times New Roman" w:hAnsi="Times New Roman" w:cs="Times New Roman"/>
                <w:b/>
                <w:bCs/>
                <w:color w:val="000000" w:themeColor="text1"/>
              </w:rPr>
              <w:t>Total</w:t>
            </w:r>
          </w:p>
        </w:tc>
        <w:tc>
          <w:tcPr>
            <w:tcW w:w="2070" w:type="dxa"/>
            <w:hideMark/>
          </w:tcPr>
          <w:p w14:paraId="66F64840" w14:textId="77777777" w:rsidR="00A3563C" w:rsidRPr="00593380" w:rsidRDefault="00A3563C" w:rsidP="00D03BEA">
            <w:pPr>
              <w:jc w:val="both"/>
              <w:rPr>
                <w:rFonts w:ascii="Times New Roman" w:hAnsi="Times New Roman" w:cs="Times New Roman"/>
                <w:b/>
                <w:bCs/>
                <w:color w:val="000000" w:themeColor="text1"/>
              </w:rPr>
            </w:pPr>
            <w:r w:rsidRPr="00593380">
              <w:rPr>
                <w:rFonts w:ascii="Times New Roman" w:hAnsi="Times New Roman" w:cs="Times New Roman"/>
                <w:b/>
                <w:bCs/>
                <w:color w:val="000000" w:themeColor="text1"/>
              </w:rPr>
              <w:t>1000</w:t>
            </w:r>
          </w:p>
        </w:tc>
        <w:tc>
          <w:tcPr>
            <w:tcW w:w="1386" w:type="dxa"/>
            <w:hideMark/>
          </w:tcPr>
          <w:p w14:paraId="113EBFC1" w14:textId="77777777" w:rsidR="00A3563C" w:rsidRPr="00593380" w:rsidRDefault="00A3563C" w:rsidP="00D03BEA">
            <w:pPr>
              <w:jc w:val="both"/>
              <w:rPr>
                <w:rFonts w:ascii="Times New Roman" w:hAnsi="Times New Roman" w:cs="Times New Roman"/>
                <w:b/>
                <w:bCs/>
                <w:color w:val="000000" w:themeColor="text1"/>
              </w:rPr>
            </w:pPr>
            <w:r w:rsidRPr="00593380">
              <w:rPr>
                <w:rFonts w:ascii="Times New Roman" w:hAnsi="Times New Roman" w:cs="Times New Roman"/>
                <w:b/>
                <w:bCs/>
                <w:color w:val="000000" w:themeColor="text1"/>
              </w:rPr>
              <w:t>100.0</w:t>
            </w:r>
          </w:p>
        </w:tc>
      </w:tr>
    </w:tbl>
    <w:p w14:paraId="5D47C3C9" w14:textId="77777777" w:rsidR="000F2B05" w:rsidRPr="00593380" w:rsidRDefault="000F2B05" w:rsidP="00593380">
      <w:pPr>
        <w:spacing w:line="360" w:lineRule="auto"/>
        <w:jc w:val="both"/>
        <w:rPr>
          <w:rFonts w:ascii="Times New Roman" w:hAnsi="Times New Roman" w:cs="Times New Roman"/>
          <w:color w:val="000000" w:themeColor="text1"/>
        </w:rPr>
      </w:pPr>
      <w:r w:rsidRPr="00593380">
        <w:rPr>
          <w:rFonts w:ascii="Times New Roman" w:hAnsi="Times New Roman" w:cs="Times New Roman"/>
          <w:color w:val="000000" w:themeColor="text1"/>
        </w:rPr>
        <w:t>Source: Field Survey, 2024.</w:t>
      </w:r>
    </w:p>
    <w:p w14:paraId="7E75A51D" w14:textId="7DF893A6" w:rsidR="00A3563C" w:rsidRPr="00593380" w:rsidRDefault="00A3563C" w:rsidP="00593380">
      <w:pPr>
        <w:spacing w:line="360" w:lineRule="auto"/>
        <w:jc w:val="both"/>
        <w:rPr>
          <w:rFonts w:ascii="Times New Roman" w:hAnsi="Times New Roman" w:cs="Times New Roman"/>
          <w:color w:val="000000" w:themeColor="text1"/>
        </w:rPr>
      </w:pPr>
      <w:r w:rsidRPr="00593380">
        <w:rPr>
          <w:rFonts w:ascii="Times New Roman" w:hAnsi="Times New Roman" w:cs="Times New Roman"/>
          <w:color w:val="000000" w:themeColor="text1"/>
        </w:rPr>
        <w:t>Table</w:t>
      </w:r>
      <w:r w:rsidR="007D60C0" w:rsidRPr="00593380">
        <w:rPr>
          <w:rFonts w:ascii="Times New Roman" w:hAnsi="Times New Roman" w:cs="Times New Roman"/>
          <w:color w:val="000000" w:themeColor="text1"/>
        </w:rPr>
        <w:t xml:space="preserve"> 11</w:t>
      </w:r>
      <w:r w:rsidRPr="00593380">
        <w:rPr>
          <w:rFonts w:ascii="Times New Roman" w:hAnsi="Times New Roman" w:cs="Times New Roman"/>
          <w:color w:val="000000" w:themeColor="text1"/>
        </w:rPr>
        <w:t xml:space="preserve"> presents insights into the potential revenue generation strategies that tertiary institutions are expected to venture into over the next 30 years, as perceived by 1000 respondents. The responses highlight several key trends and areas of focus that are likely to shape the future landscape of revenue generation in higher education. Notably, online education expansion and leveraging artificial intelligence and big data emerge as prominent strategies, each cited by 20% of respondents. These findings reflect the increasing importance of digital technologies and data-driven approaches in delivering education and generating revenue in the evolving higher education landscape. Additionally, corporate partnerships and sponsorships, innovation and entrepreneurship, and alternative funding models are identified as important areas of focus, each endorsed by 15% to 10% of respondents. These findings underscore the importance of collaboration with external partners, fostering innovation and creativity, and exploring new funding models to ensure the financial sustainability of tertiary institutions in the future. Furthermore, the expansion of continuing professional education, philanthropic partnerships, and sustainable practices and partnerships are recognized as emerging trends, albeit to a lesser extent, suggesting a growing emphasis on lifelong learning, social responsibility, and environmental sustainability in revenue generation strategies. Overall, the diversity of responses reflects the dynamic and multifaceted nature of revenue generation in tertiary education and highlights the need for institutions to adapt and innovate in response to evolving trends and challenges.</w:t>
      </w:r>
    </w:p>
    <w:p w14:paraId="1D39B7E2" w14:textId="6C7FE31F" w:rsidR="006A78DB" w:rsidRPr="00593380" w:rsidRDefault="000F2B05" w:rsidP="00593380">
      <w:pPr>
        <w:spacing w:after="0" w:line="360" w:lineRule="auto"/>
        <w:jc w:val="both"/>
        <w:rPr>
          <w:rFonts w:ascii="Times New Roman" w:hAnsi="Times New Roman" w:cs="Times New Roman"/>
          <w:b/>
          <w:bCs/>
          <w:color w:val="000000" w:themeColor="text1"/>
        </w:rPr>
      </w:pPr>
      <w:r w:rsidRPr="00593380">
        <w:rPr>
          <w:rFonts w:ascii="Times New Roman" w:hAnsi="Times New Roman" w:cs="Times New Roman"/>
          <w:b/>
          <w:bCs/>
          <w:color w:val="000000" w:themeColor="text1"/>
        </w:rPr>
        <w:lastRenderedPageBreak/>
        <w:t>Table 12:</w:t>
      </w:r>
      <w:r w:rsidR="004E6BB3" w:rsidRPr="00593380">
        <w:rPr>
          <w:rFonts w:ascii="Times New Roman" w:hAnsi="Times New Roman" w:cs="Times New Roman"/>
          <w:b/>
          <w:bCs/>
          <w:color w:val="000000" w:themeColor="text1"/>
        </w:rPr>
        <w:t xml:space="preserve"> </w:t>
      </w:r>
      <w:r w:rsidR="006A78DB" w:rsidRPr="00593380">
        <w:rPr>
          <w:rFonts w:ascii="Times New Roman" w:hAnsi="Times New Roman" w:cs="Times New Roman"/>
          <w:b/>
          <w:bCs/>
          <w:color w:val="000000" w:themeColor="text1"/>
        </w:rPr>
        <w:t>Ways in which artificial intelligence and big data stream can aid tertiary institutions in revenue generation</w:t>
      </w:r>
    </w:p>
    <w:tbl>
      <w:tblPr>
        <w:tblStyle w:val="TableGrid"/>
        <w:tblW w:w="8941" w:type="dxa"/>
        <w:tblLook w:val="04A0" w:firstRow="1" w:lastRow="0" w:firstColumn="1" w:lastColumn="0" w:noHBand="0" w:noVBand="1"/>
      </w:tblPr>
      <w:tblGrid>
        <w:gridCol w:w="4467"/>
        <w:gridCol w:w="2675"/>
        <w:gridCol w:w="1799"/>
      </w:tblGrid>
      <w:tr w:rsidR="00B02A11" w:rsidRPr="00593380" w14:paraId="6D684F27" w14:textId="77777777" w:rsidTr="006A78DB">
        <w:tc>
          <w:tcPr>
            <w:tcW w:w="0" w:type="auto"/>
            <w:hideMark/>
          </w:tcPr>
          <w:p w14:paraId="4A500E4D" w14:textId="3B0B5A12" w:rsidR="006A78DB" w:rsidRPr="00593380" w:rsidRDefault="000F2B05" w:rsidP="00D03BEA">
            <w:pPr>
              <w:jc w:val="both"/>
              <w:rPr>
                <w:rFonts w:ascii="Times New Roman" w:hAnsi="Times New Roman" w:cs="Times New Roman"/>
                <w:b/>
                <w:bCs/>
                <w:color w:val="000000" w:themeColor="text1"/>
              </w:rPr>
            </w:pPr>
            <w:r w:rsidRPr="00593380">
              <w:rPr>
                <w:rFonts w:ascii="Times New Roman" w:hAnsi="Times New Roman" w:cs="Times New Roman"/>
                <w:b/>
                <w:bCs/>
                <w:color w:val="000000" w:themeColor="text1"/>
              </w:rPr>
              <w:t>Statement</w:t>
            </w:r>
          </w:p>
        </w:tc>
        <w:tc>
          <w:tcPr>
            <w:tcW w:w="0" w:type="auto"/>
            <w:hideMark/>
          </w:tcPr>
          <w:p w14:paraId="7C417876" w14:textId="77777777" w:rsidR="006A78DB" w:rsidRPr="00593380" w:rsidRDefault="006A78DB" w:rsidP="00D03BEA">
            <w:pPr>
              <w:jc w:val="both"/>
              <w:rPr>
                <w:rFonts w:ascii="Times New Roman" w:hAnsi="Times New Roman" w:cs="Times New Roman"/>
                <w:b/>
                <w:bCs/>
                <w:color w:val="000000" w:themeColor="text1"/>
              </w:rPr>
            </w:pPr>
            <w:r w:rsidRPr="00593380">
              <w:rPr>
                <w:rFonts w:ascii="Times New Roman" w:hAnsi="Times New Roman" w:cs="Times New Roman"/>
                <w:b/>
                <w:bCs/>
                <w:color w:val="000000" w:themeColor="text1"/>
              </w:rPr>
              <w:t>Number of Respondents</w:t>
            </w:r>
          </w:p>
        </w:tc>
        <w:tc>
          <w:tcPr>
            <w:tcW w:w="0" w:type="auto"/>
            <w:hideMark/>
          </w:tcPr>
          <w:p w14:paraId="76B7348F" w14:textId="29E7ADDE" w:rsidR="006A78DB" w:rsidRPr="00593380" w:rsidRDefault="006A78DB" w:rsidP="00D03BEA">
            <w:pPr>
              <w:jc w:val="both"/>
              <w:rPr>
                <w:rFonts w:ascii="Times New Roman" w:hAnsi="Times New Roman" w:cs="Times New Roman"/>
                <w:b/>
                <w:bCs/>
                <w:color w:val="000000" w:themeColor="text1"/>
              </w:rPr>
            </w:pPr>
            <w:r w:rsidRPr="00593380">
              <w:rPr>
                <w:rFonts w:ascii="Times New Roman" w:hAnsi="Times New Roman" w:cs="Times New Roman"/>
                <w:b/>
                <w:bCs/>
                <w:color w:val="000000" w:themeColor="text1"/>
              </w:rPr>
              <w:t>Percentage (%)</w:t>
            </w:r>
          </w:p>
        </w:tc>
      </w:tr>
      <w:tr w:rsidR="00B02A11" w:rsidRPr="00593380" w14:paraId="545E24DF" w14:textId="77777777" w:rsidTr="006A78DB">
        <w:tc>
          <w:tcPr>
            <w:tcW w:w="0" w:type="auto"/>
            <w:hideMark/>
          </w:tcPr>
          <w:p w14:paraId="55B17916" w14:textId="77777777" w:rsidR="006A78DB" w:rsidRPr="00593380" w:rsidRDefault="006A78DB"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Personalized Learning</w:t>
            </w:r>
          </w:p>
        </w:tc>
        <w:tc>
          <w:tcPr>
            <w:tcW w:w="0" w:type="auto"/>
            <w:hideMark/>
          </w:tcPr>
          <w:p w14:paraId="147F2CD1" w14:textId="77777777" w:rsidR="006A78DB" w:rsidRPr="00593380" w:rsidRDefault="006A78DB"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150</w:t>
            </w:r>
          </w:p>
        </w:tc>
        <w:tc>
          <w:tcPr>
            <w:tcW w:w="0" w:type="auto"/>
            <w:hideMark/>
          </w:tcPr>
          <w:p w14:paraId="6DE71003" w14:textId="77777777" w:rsidR="006A78DB" w:rsidRPr="00593380" w:rsidRDefault="006A78DB"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15.0</w:t>
            </w:r>
          </w:p>
        </w:tc>
      </w:tr>
      <w:tr w:rsidR="00B02A11" w:rsidRPr="00593380" w14:paraId="05732C66" w14:textId="77777777" w:rsidTr="006A78DB">
        <w:tc>
          <w:tcPr>
            <w:tcW w:w="0" w:type="auto"/>
            <w:hideMark/>
          </w:tcPr>
          <w:p w14:paraId="3AB95A80" w14:textId="77777777" w:rsidR="006A78DB" w:rsidRPr="00593380" w:rsidRDefault="006A78DB"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Improved Retention and Graduation Rates</w:t>
            </w:r>
          </w:p>
        </w:tc>
        <w:tc>
          <w:tcPr>
            <w:tcW w:w="0" w:type="auto"/>
            <w:hideMark/>
          </w:tcPr>
          <w:p w14:paraId="73D1B205" w14:textId="77777777" w:rsidR="006A78DB" w:rsidRPr="00593380" w:rsidRDefault="006A78DB"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200</w:t>
            </w:r>
          </w:p>
        </w:tc>
        <w:tc>
          <w:tcPr>
            <w:tcW w:w="0" w:type="auto"/>
            <w:hideMark/>
          </w:tcPr>
          <w:p w14:paraId="4EA75BA2" w14:textId="77777777" w:rsidR="006A78DB" w:rsidRPr="00593380" w:rsidRDefault="006A78DB"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20.0</w:t>
            </w:r>
          </w:p>
        </w:tc>
      </w:tr>
      <w:tr w:rsidR="00B02A11" w:rsidRPr="00593380" w14:paraId="2E8970F8" w14:textId="77777777" w:rsidTr="006A78DB">
        <w:tc>
          <w:tcPr>
            <w:tcW w:w="0" w:type="auto"/>
            <w:hideMark/>
          </w:tcPr>
          <w:p w14:paraId="2E7AF0AA" w14:textId="77777777" w:rsidR="006A78DB" w:rsidRPr="00593380" w:rsidRDefault="006A78DB"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Smart Recruitment and Admissions</w:t>
            </w:r>
          </w:p>
        </w:tc>
        <w:tc>
          <w:tcPr>
            <w:tcW w:w="0" w:type="auto"/>
            <w:hideMark/>
          </w:tcPr>
          <w:p w14:paraId="3D6F78A8" w14:textId="77777777" w:rsidR="006A78DB" w:rsidRPr="00593380" w:rsidRDefault="006A78DB"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150</w:t>
            </w:r>
          </w:p>
        </w:tc>
        <w:tc>
          <w:tcPr>
            <w:tcW w:w="0" w:type="auto"/>
            <w:hideMark/>
          </w:tcPr>
          <w:p w14:paraId="7874A922" w14:textId="77777777" w:rsidR="006A78DB" w:rsidRPr="00593380" w:rsidRDefault="006A78DB"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15.0</w:t>
            </w:r>
          </w:p>
        </w:tc>
      </w:tr>
      <w:tr w:rsidR="00B02A11" w:rsidRPr="00593380" w14:paraId="6296EBEA" w14:textId="77777777" w:rsidTr="006A78DB">
        <w:tc>
          <w:tcPr>
            <w:tcW w:w="0" w:type="auto"/>
            <w:hideMark/>
          </w:tcPr>
          <w:p w14:paraId="69BF980F" w14:textId="77777777" w:rsidR="006A78DB" w:rsidRPr="00593380" w:rsidRDefault="006A78DB"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Predictive Analytics for Resource Allocation</w:t>
            </w:r>
          </w:p>
        </w:tc>
        <w:tc>
          <w:tcPr>
            <w:tcW w:w="0" w:type="auto"/>
            <w:hideMark/>
          </w:tcPr>
          <w:p w14:paraId="7639599A" w14:textId="77777777" w:rsidR="006A78DB" w:rsidRPr="00593380" w:rsidRDefault="006A78DB"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200</w:t>
            </w:r>
          </w:p>
        </w:tc>
        <w:tc>
          <w:tcPr>
            <w:tcW w:w="0" w:type="auto"/>
            <w:hideMark/>
          </w:tcPr>
          <w:p w14:paraId="112F6734" w14:textId="77777777" w:rsidR="006A78DB" w:rsidRPr="00593380" w:rsidRDefault="006A78DB"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20.0</w:t>
            </w:r>
          </w:p>
        </w:tc>
      </w:tr>
      <w:tr w:rsidR="00B02A11" w:rsidRPr="00593380" w14:paraId="618A40FC" w14:textId="77777777" w:rsidTr="006A78DB">
        <w:tc>
          <w:tcPr>
            <w:tcW w:w="0" w:type="auto"/>
            <w:hideMark/>
          </w:tcPr>
          <w:p w14:paraId="52E5486C" w14:textId="77777777" w:rsidR="006A78DB" w:rsidRPr="00593380" w:rsidRDefault="006A78DB"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Enhanced Student Services</w:t>
            </w:r>
          </w:p>
        </w:tc>
        <w:tc>
          <w:tcPr>
            <w:tcW w:w="0" w:type="auto"/>
            <w:hideMark/>
          </w:tcPr>
          <w:p w14:paraId="41183DF6" w14:textId="77777777" w:rsidR="006A78DB" w:rsidRPr="00593380" w:rsidRDefault="006A78DB"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100</w:t>
            </w:r>
          </w:p>
        </w:tc>
        <w:tc>
          <w:tcPr>
            <w:tcW w:w="0" w:type="auto"/>
            <w:hideMark/>
          </w:tcPr>
          <w:p w14:paraId="5A0DE154" w14:textId="77777777" w:rsidR="006A78DB" w:rsidRPr="00593380" w:rsidRDefault="006A78DB"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10.0</w:t>
            </w:r>
          </w:p>
        </w:tc>
      </w:tr>
      <w:tr w:rsidR="00B02A11" w:rsidRPr="00593380" w14:paraId="03DF5DAC" w14:textId="77777777" w:rsidTr="006A78DB">
        <w:tc>
          <w:tcPr>
            <w:tcW w:w="0" w:type="auto"/>
            <w:hideMark/>
          </w:tcPr>
          <w:p w14:paraId="0FEBEBDA" w14:textId="77777777" w:rsidR="006A78DB" w:rsidRPr="00593380" w:rsidRDefault="006A78DB"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Research Funding and Partnerships</w:t>
            </w:r>
          </w:p>
        </w:tc>
        <w:tc>
          <w:tcPr>
            <w:tcW w:w="0" w:type="auto"/>
            <w:hideMark/>
          </w:tcPr>
          <w:p w14:paraId="68C3B7AD" w14:textId="77777777" w:rsidR="006A78DB" w:rsidRPr="00593380" w:rsidRDefault="006A78DB"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100</w:t>
            </w:r>
          </w:p>
        </w:tc>
        <w:tc>
          <w:tcPr>
            <w:tcW w:w="0" w:type="auto"/>
            <w:hideMark/>
          </w:tcPr>
          <w:p w14:paraId="376A4B81" w14:textId="77777777" w:rsidR="006A78DB" w:rsidRPr="00593380" w:rsidRDefault="006A78DB"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10.0</w:t>
            </w:r>
          </w:p>
        </w:tc>
      </w:tr>
      <w:tr w:rsidR="00B02A11" w:rsidRPr="00593380" w14:paraId="14EC41B1" w14:textId="77777777" w:rsidTr="006A78DB">
        <w:tc>
          <w:tcPr>
            <w:tcW w:w="0" w:type="auto"/>
            <w:hideMark/>
          </w:tcPr>
          <w:p w14:paraId="2B193FBD" w14:textId="77777777" w:rsidR="006A78DB" w:rsidRPr="00593380" w:rsidRDefault="006A78DB"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Alumni Engagement and Fundraising</w:t>
            </w:r>
          </w:p>
        </w:tc>
        <w:tc>
          <w:tcPr>
            <w:tcW w:w="0" w:type="auto"/>
            <w:hideMark/>
          </w:tcPr>
          <w:p w14:paraId="02AF0E9B" w14:textId="77777777" w:rsidR="006A78DB" w:rsidRPr="00593380" w:rsidRDefault="006A78DB"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50</w:t>
            </w:r>
          </w:p>
        </w:tc>
        <w:tc>
          <w:tcPr>
            <w:tcW w:w="0" w:type="auto"/>
            <w:hideMark/>
          </w:tcPr>
          <w:p w14:paraId="10CFF4BA" w14:textId="77777777" w:rsidR="006A78DB" w:rsidRPr="00593380" w:rsidRDefault="006A78DB"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5.0</w:t>
            </w:r>
          </w:p>
        </w:tc>
      </w:tr>
      <w:tr w:rsidR="00B02A11" w:rsidRPr="00593380" w14:paraId="688EB824" w14:textId="77777777" w:rsidTr="006A78DB">
        <w:tc>
          <w:tcPr>
            <w:tcW w:w="0" w:type="auto"/>
            <w:hideMark/>
          </w:tcPr>
          <w:p w14:paraId="46A0DDAB" w14:textId="77777777" w:rsidR="006A78DB" w:rsidRPr="00593380" w:rsidRDefault="006A78DB"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Data Monetization</w:t>
            </w:r>
          </w:p>
        </w:tc>
        <w:tc>
          <w:tcPr>
            <w:tcW w:w="0" w:type="auto"/>
            <w:hideMark/>
          </w:tcPr>
          <w:p w14:paraId="2464D612" w14:textId="77777777" w:rsidR="006A78DB" w:rsidRPr="00593380" w:rsidRDefault="006A78DB"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50</w:t>
            </w:r>
          </w:p>
        </w:tc>
        <w:tc>
          <w:tcPr>
            <w:tcW w:w="0" w:type="auto"/>
            <w:hideMark/>
          </w:tcPr>
          <w:p w14:paraId="4B752810" w14:textId="77777777" w:rsidR="006A78DB" w:rsidRPr="00593380" w:rsidRDefault="006A78DB"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5.0</w:t>
            </w:r>
          </w:p>
        </w:tc>
      </w:tr>
      <w:tr w:rsidR="00B02A11" w:rsidRPr="00593380" w14:paraId="038B59A9" w14:textId="77777777" w:rsidTr="006A78DB">
        <w:tc>
          <w:tcPr>
            <w:tcW w:w="0" w:type="auto"/>
            <w:hideMark/>
          </w:tcPr>
          <w:p w14:paraId="463B1E1C" w14:textId="77777777" w:rsidR="006A78DB" w:rsidRPr="00593380" w:rsidRDefault="006A78DB" w:rsidP="00D03BEA">
            <w:pPr>
              <w:jc w:val="both"/>
              <w:rPr>
                <w:rFonts w:ascii="Times New Roman" w:hAnsi="Times New Roman" w:cs="Times New Roman"/>
                <w:b/>
                <w:bCs/>
                <w:color w:val="000000" w:themeColor="text1"/>
              </w:rPr>
            </w:pPr>
            <w:r w:rsidRPr="00593380">
              <w:rPr>
                <w:rFonts w:ascii="Times New Roman" w:hAnsi="Times New Roman" w:cs="Times New Roman"/>
                <w:b/>
                <w:bCs/>
                <w:color w:val="000000" w:themeColor="text1"/>
              </w:rPr>
              <w:t>Total</w:t>
            </w:r>
          </w:p>
        </w:tc>
        <w:tc>
          <w:tcPr>
            <w:tcW w:w="0" w:type="auto"/>
            <w:hideMark/>
          </w:tcPr>
          <w:p w14:paraId="64FEFAA0" w14:textId="77777777" w:rsidR="006A78DB" w:rsidRPr="00593380" w:rsidRDefault="006A78DB" w:rsidP="00D03BEA">
            <w:pPr>
              <w:jc w:val="both"/>
              <w:rPr>
                <w:rFonts w:ascii="Times New Roman" w:hAnsi="Times New Roman" w:cs="Times New Roman"/>
                <w:b/>
                <w:bCs/>
                <w:color w:val="000000" w:themeColor="text1"/>
              </w:rPr>
            </w:pPr>
            <w:r w:rsidRPr="00593380">
              <w:rPr>
                <w:rFonts w:ascii="Times New Roman" w:hAnsi="Times New Roman" w:cs="Times New Roman"/>
                <w:b/>
                <w:bCs/>
                <w:color w:val="000000" w:themeColor="text1"/>
              </w:rPr>
              <w:t>1000</w:t>
            </w:r>
          </w:p>
        </w:tc>
        <w:tc>
          <w:tcPr>
            <w:tcW w:w="0" w:type="auto"/>
            <w:hideMark/>
          </w:tcPr>
          <w:p w14:paraId="24E1BFE4" w14:textId="77777777" w:rsidR="006A78DB" w:rsidRPr="00593380" w:rsidRDefault="006A78DB" w:rsidP="00D03BEA">
            <w:pPr>
              <w:jc w:val="both"/>
              <w:rPr>
                <w:rFonts w:ascii="Times New Roman" w:hAnsi="Times New Roman" w:cs="Times New Roman"/>
                <w:b/>
                <w:bCs/>
                <w:color w:val="000000" w:themeColor="text1"/>
              </w:rPr>
            </w:pPr>
            <w:r w:rsidRPr="00593380">
              <w:rPr>
                <w:rFonts w:ascii="Times New Roman" w:hAnsi="Times New Roman" w:cs="Times New Roman"/>
                <w:b/>
                <w:bCs/>
                <w:color w:val="000000" w:themeColor="text1"/>
              </w:rPr>
              <w:t>100.0</w:t>
            </w:r>
          </w:p>
        </w:tc>
      </w:tr>
    </w:tbl>
    <w:p w14:paraId="51544DFA" w14:textId="77777777" w:rsidR="000F2B05" w:rsidRPr="00593380" w:rsidRDefault="000F2B05" w:rsidP="00593380">
      <w:pPr>
        <w:spacing w:line="360" w:lineRule="auto"/>
        <w:jc w:val="both"/>
        <w:rPr>
          <w:rFonts w:ascii="Times New Roman" w:hAnsi="Times New Roman" w:cs="Times New Roman"/>
          <w:color w:val="000000" w:themeColor="text1"/>
        </w:rPr>
      </w:pPr>
      <w:r w:rsidRPr="00593380">
        <w:rPr>
          <w:rFonts w:ascii="Times New Roman" w:hAnsi="Times New Roman" w:cs="Times New Roman"/>
          <w:color w:val="000000" w:themeColor="text1"/>
        </w:rPr>
        <w:t>Source: Field Survey, 2024.</w:t>
      </w:r>
    </w:p>
    <w:p w14:paraId="07BE855D" w14:textId="1F486607" w:rsidR="006A78DB" w:rsidRPr="00593380" w:rsidRDefault="00CF6513" w:rsidP="00593380">
      <w:pPr>
        <w:spacing w:line="360" w:lineRule="auto"/>
        <w:jc w:val="both"/>
        <w:rPr>
          <w:rFonts w:ascii="Times New Roman" w:hAnsi="Times New Roman" w:cs="Times New Roman"/>
          <w:color w:val="000000" w:themeColor="text1"/>
        </w:rPr>
      </w:pPr>
      <w:r w:rsidRPr="00593380">
        <w:rPr>
          <w:rFonts w:ascii="Times New Roman" w:hAnsi="Times New Roman" w:cs="Times New Roman"/>
          <w:color w:val="000000" w:themeColor="text1"/>
        </w:rPr>
        <w:t>Table</w:t>
      </w:r>
      <w:r w:rsidR="007D60C0" w:rsidRPr="00593380">
        <w:rPr>
          <w:rFonts w:ascii="Times New Roman" w:hAnsi="Times New Roman" w:cs="Times New Roman"/>
          <w:color w:val="000000" w:themeColor="text1"/>
        </w:rPr>
        <w:t xml:space="preserve"> 12</w:t>
      </w:r>
      <w:r w:rsidRPr="00593380">
        <w:rPr>
          <w:rFonts w:ascii="Times New Roman" w:hAnsi="Times New Roman" w:cs="Times New Roman"/>
          <w:color w:val="000000" w:themeColor="text1"/>
        </w:rPr>
        <w:t xml:space="preserve"> presents insights into </w:t>
      </w:r>
      <w:r w:rsidR="00B86E0A" w:rsidRPr="00593380">
        <w:rPr>
          <w:rFonts w:ascii="Times New Roman" w:hAnsi="Times New Roman" w:cs="Times New Roman"/>
          <w:color w:val="000000" w:themeColor="text1"/>
        </w:rPr>
        <w:t>how</w:t>
      </w:r>
      <w:r w:rsidRPr="00593380">
        <w:rPr>
          <w:rFonts w:ascii="Times New Roman" w:hAnsi="Times New Roman" w:cs="Times New Roman"/>
          <w:color w:val="000000" w:themeColor="text1"/>
        </w:rPr>
        <w:t xml:space="preserve"> artificial intelligence (AI) and big data streams can aid tertiary institutions in revenue generation, as perceived by 1000 respondents. The responses highlight several key areas where AI and big data technologies are expected to play a significant role in enhancing revenue generation strategies. Notably, improved retention and graduation rates and predictive analytics for resource allocation emerge as prominent strategies, each cited by 20% of respondents. These findings underscore the potential of AI and big data to optimize student outcomes and resource management, thereby contributing to the financial sustainability of tertiary institutions. Additionally, personalized learning and smart recruitment and admissions are identified as important areas where AI and big data can add value, with 15% of respondents endorsing these strategies. These findings reflect the growing emphasis on data-driven approaches to tailor educational experiences and optimize student recruitment processes. Furthermore, enhanced student services, research funding and partnerships, alumni engagement and fundraising, and data monetization are recognized as emerging trends, albeit to a lesser extent. These findings highlight the diverse range of opportunities for leveraging AI and big data in revenue generation efforts, from improving student support services to optimizing research funding and alumni relations. Overall, the responses underscore the transformative potential of AI and big data technologies in shaping the future of revenue generation in tertiary education, emphasizing the need for institutions to embrace innovation and data-driven decision-making to remain competitive and financially sustainable in a rapidly evolving landscape.</w:t>
      </w:r>
    </w:p>
    <w:p w14:paraId="446FFC64" w14:textId="313826B9" w:rsidR="00CF6513" w:rsidRPr="00593380" w:rsidRDefault="000F2B05" w:rsidP="00593380">
      <w:pPr>
        <w:spacing w:after="0" w:line="360" w:lineRule="auto"/>
        <w:jc w:val="both"/>
        <w:rPr>
          <w:rFonts w:ascii="Times New Roman" w:hAnsi="Times New Roman" w:cs="Times New Roman"/>
          <w:b/>
          <w:bCs/>
          <w:color w:val="000000" w:themeColor="text1"/>
        </w:rPr>
      </w:pPr>
      <w:r w:rsidRPr="00593380">
        <w:rPr>
          <w:rFonts w:ascii="Times New Roman" w:hAnsi="Times New Roman" w:cs="Times New Roman"/>
          <w:b/>
          <w:bCs/>
          <w:color w:val="000000" w:themeColor="text1"/>
        </w:rPr>
        <w:t>Table 13:</w:t>
      </w:r>
      <w:r w:rsidR="004E6BB3" w:rsidRPr="00593380">
        <w:rPr>
          <w:rFonts w:ascii="Times New Roman" w:hAnsi="Times New Roman" w:cs="Times New Roman"/>
          <w:b/>
          <w:bCs/>
          <w:color w:val="000000" w:themeColor="text1"/>
        </w:rPr>
        <w:t xml:space="preserve"> </w:t>
      </w:r>
      <w:r w:rsidR="00CF6513" w:rsidRPr="00593380">
        <w:rPr>
          <w:rFonts w:ascii="Times New Roman" w:hAnsi="Times New Roman" w:cs="Times New Roman"/>
          <w:b/>
          <w:bCs/>
          <w:color w:val="000000" w:themeColor="text1"/>
        </w:rPr>
        <w:t>The extent to which tertiary institutions engage in public-private partnerships as a revenue generation strategy</w:t>
      </w:r>
    </w:p>
    <w:tbl>
      <w:tblPr>
        <w:tblStyle w:val="TableGrid"/>
        <w:tblW w:w="8941" w:type="dxa"/>
        <w:tblLook w:val="04A0" w:firstRow="1" w:lastRow="0" w:firstColumn="1" w:lastColumn="0" w:noHBand="0" w:noVBand="1"/>
      </w:tblPr>
      <w:tblGrid>
        <w:gridCol w:w="5215"/>
        <w:gridCol w:w="1981"/>
        <w:gridCol w:w="1745"/>
      </w:tblGrid>
      <w:tr w:rsidR="00B02A11" w:rsidRPr="00593380" w14:paraId="1EFC1F9F" w14:textId="77777777" w:rsidTr="004D096C">
        <w:trPr>
          <w:trHeight w:val="755"/>
        </w:trPr>
        <w:tc>
          <w:tcPr>
            <w:tcW w:w="5215" w:type="dxa"/>
            <w:hideMark/>
          </w:tcPr>
          <w:p w14:paraId="173256C8" w14:textId="3ABAC32C" w:rsidR="00CF6513" w:rsidRPr="00593380" w:rsidRDefault="000F2B05" w:rsidP="00D03BEA">
            <w:pPr>
              <w:jc w:val="both"/>
              <w:rPr>
                <w:rFonts w:ascii="Times New Roman" w:hAnsi="Times New Roman" w:cs="Times New Roman"/>
                <w:b/>
                <w:bCs/>
                <w:color w:val="000000" w:themeColor="text1"/>
              </w:rPr>
            </w:pPr>
            <w:r w:rsidRPr="00593380">
              <w:rPr>
                <w:rFonts w:ascii="Times New Roman" w:hAnsi="Times New Roman" w:cs="Times New Roman"/>
                <w:b/>
                <w:bCs/>
                <w:color w:val="000000" w:themeColor="text1"/>
              </w:rPr>
              <w:t>Statement</w:t>
            </w:r>
          </w:p>
        </w:tc>
        <w:tc>
          <w:tcPr>
            <w:tcW w:w="1981" w:type="dxa"/>
            <w:hideMark/>
          </w:tcPr>
          <w:p w14:paraId="0137F0F4" w14:textId="77777777" w:rsidR="00CF6513" w:rsidRPr="00593380" w:rsidRDefault="00CF6513" w:rsidP="00D03BEA">
            <w:pPr>
              <w:jc w:val="both"/>
              <w:rPr>
                <w:rFonts w:ascii="Times New Roman" w:hAnsi="Times New Roman" w:cs="Times New Roman"/>
                <w:b/>
                <w:bCs/>
                <w:color w:val="000000" w:themeColor="text1"/>
              </w:rPr>
            </w:pPr>
            <w:r w:rsidRPr="00593380">
              <w:rPr>
                <w:rFonts w:ascii="Times New Roman" w:hAnsi="Times New Roman" w:cs="Times New Roman"/>
                <w:b/>
                <w:bCs/>
                <w:color w:val="000000" w:themeColor="text1"/>
              </w:rPr>
              <w:t>Number of Respondents</w:t>
            </w:r>
          </w:p>
        </w:tc>
        <w:tc>
          <w:tcPr>
            <w:tcW w:w="0" w:type="auto"/>
            <w:hideMark/>
          </w:tcPr>
          <w:p w14:paraId="5A238041" w14:textId="3452AD5C" w:rsidR="00CF6513" w:rsidRPr="00593380" w:rsidRDefault="00CF6513" w:rsidP="00D03BEA">
            <w:pPr>
              <w:jc w:val="both"/>
              <w:rPr>
                <w:rFonts w:ascii="Times New Roman" w:hAnsi="Times New Roman" w:cs="Times New Roman"/>
                <w:b/>
                <w:bCs/>
                <w:color w:val="000000" w:themeColor="text1"/>
              </w:rPr>
            </w:pPr>
            <w:r w:rsidRPr="00593380">
              <w:rPr>
                <w:rFonts w:ascii="Times New Roman" w:hAnsi="Times New Roman" w:cs="Times New Roman"/>
                <w:b/>
                <w:bCs/>
                <w:color w:val="000000" w:themeColor="text1"/>
              </w:rPr>
              <w:t>Percentage</w:t>
            </w:r>
            <w:r w:rsidR="000F2B05" w:rsidRPr="00593380">
              <w:rPr>
                <w:rFonts w:ascii="Times New Roman" w:hAnsi="Times New Roman" w:cs="Times New Roman"/>
                <w:b/>
                <w:bCs/>
                <w:color w:val="000000" w:themeColor="text1"/>
              </w:rPr>
              <w:t xml:space="preserve"> </w:t>
            </w:r>
            <w:r w:rsidRPr="00593380">
              <w:rPr>
                <w:rFonts w:ascii="Times New Roman" w:hAnsi="Times New Roman" w:cs="Times New Roman"/>
                <w:b/>
                <w:bCs/>
                <w:color w:val="000000" w:themeColor="text1"/>
              </w:rPr>
              <w:t>(%)</w:t>
            </w:r>
          </w:p>
        </w:tc>
      </w:tr>
      <w:tr w:rsidR="00B02A11" w:rsidRPr="00593380" w14:paraId="2D2AC2A6" w14:textId="77777777" w:rsidTr="000F2B05">
        <w:tc>
          <w:tcPr>
            <w:tcW w:w="5215" w:type="dxa"/>
            <w:hideMark/>
          </w:tcPr>
          <w:p w14:paraId="4955EC2E" w14:textId="77777777" w:rsidR="00CF6513" w:rsidRPr="00593380" w:rsidRDefault="00CF6513"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Research and Development</w:t>
            </w:r>
          </w:p>
        </w:tc>
        <w:tc>
          <w:tcPr>
            <w:tcW w:w="1981" w:type="dxa"/>
            <w:hideMark/>
          </w:tcPr>
          <w:p w14:paraId="00527D40" w14:textId="77777777" w:rsidR="00CF6513" w:rsidRPr="00593380" w:rsidRDefault="00CF6513"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100</w:t>
            </w:r>
          </w:p>
        </w:tc>
        <w:tc>
          <w:tcPr>
            <w:tcW w:w="0" w:type="auto"/>
            <w:hideMark/>
          </w:tcPr>
          <w:p w14:paraId="779BC03C" w14:textId="77777777" w:rsidR="00CF6513" w:rsidRPr="00593380" w:rsidRDefault="00CF6513"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10.0</w:t>
            </w:r>
          </w:p>
        </w:tc>
      </w:tr>
      <w:tr w:rsidR="00B02A11" w:rsidRPr="00593380" w14:paraId="0A280CB7" w14:textId="77777777" w:rsidTr="000F2B05">
        <w:tc>
          <w:tcPr>
            <w:tcW w:w="5215" w:type="dxa"/>
            <w:hideMark/>
          </w:tcPr>
          <w:p w14:paraId="5C7A1E1D" w14:textId="77777777" w:rsidR="00CF6513" w:rsidRPr="00593380" w:rsidRDefault="00CF6513"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Infrastructure Development</w:t>
            </w:r>
          </w:p>
        </w:tc>
        <w:tc>
          <w:tcPr>
            <w:tcW w:w="1981" w:type="dxa"/>
            <w:hideMark/>
          </w:tcPr>
          <w:p w14:paraId="53E22722" w14:textId="77777777" w:rsidR="00CF6513" w:rsidRPr="00593380" w:rsidRDefault="00CF6513"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150</w:t>
            </w:r>
          </w:p>
        </w:tc>
        <w:tc>
          <w:tcPr>
            <w:tcW w:w="0" w:type="auto"/>
            <w:hideMark/>
          </w:tcPr>
          <w:p w14:paraId="26043312" w14:textId="77777777" w:rsidR="00CF6513" w:rsidRPr="00593380" w:rsidRDefault="00CF6513"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15.0</w:t>
            </w:r>
          </w:p>
        </w:tc>
      </w:tr>
      <w:tr w:rsidR="00B02A11" w:rsidRPr="00593380" w14:paraId="718D480C" w14:textId="77777777" w:rsidTr="000F2B05">
        <w:tc>
          <w:tcPr>
            <w:tcW w:w="5215" w:type="dxa"/>
            <w:hideMark/>
          </w:tcPr>
          <w:p w14:paraId="3D7C6D6C" w14:textId="77777777" w:rsidR="00CF6513" w:rsidRPr="00593380" w:rsidRDefault="00CF6513"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Technology Transfer and Licensing</w:t>
            </w:r>
          </w:p>
        </w:tc>
        <w:tc>
          <w:tcPr>
            <w:tcW w:w="1981" w:type="dxa"/>
            <w:hideMark/>
          </w:tcPr>
          <w:p w14:paraId="697E90C3" w14:textId="77777777" w:rsidR="00CF6513" w:rsidRPr="00593380" w:rsidRDefault="00CF6513"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100</w:t>
            </w:r>
          </w:p>
        </w:tc>
        <w:tc>
          <w:tcPr>
            <w:tcW w:w="0" w:type="auto"/>
            <w:hideMark/>
          </w:tcPr>
          <w:p w14:paraId="37848273" w14:textId="77777777" w:rsidR="00CF6513" w:rsidRPr="00593380" w:rsidRDefault="00CF6513"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10.0</w:t>
            </w:r>
          </w:p>
        </w:tc>
      </w:tr>
      <w:tr w:rsidR="00B02A11" w:rsidRPr="00593380" w14:paraId="134C5251" w14:textId="77777777" w:rsidTr="000F2B05">
        <w:tc>
          <w:tcPr>
            <w:tcW w:w="5215" w:type="dxa"/>
            <w:hideMark/>
          </w:tcPr>
          <w:p w14:paraId="5411DF22" w14:textId="77777777" w:rsidR="00CF6513" w:rsidRPr="00593380" w:rsidRDefault="00CF6513"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Corporate Sponsorships and Naming Rights</w:t>
            </w:r>
          </w:p>
        </w:tc>
        <w:tc>
          <w:tcPr>
            <w:tcW w:w="1981" w:type="dxa"/>
            <w:hideMark/>
          </w:tcPr>
          <w:p w14:paraId="4CA9EF0C" w14:textId="77777777" w:rsidR="00CF6513" w:rsidRPr="00593380" w:rsidRDefault="00CF6513"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100</w:t>
            </w:r>
          </w:p>
        </w:tc>
        <w:tc>
          <w:tcPr>
            <w:tcW w:w="0" w:type="auto"/>
            <w:hideMark/>
          </w:tcPr>
          <w:p w14:paraId="2E447514" w14:textId="77777777" w:rsidR="00CF6513" w:rsidRPr="00593380" w:rsidRDefault="00CF6513"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10.0</w:t>
            </w:r>
          </w:p>
        </w:tc>
      </w:tr>
      <w:tr w:rsidR="00B02A11" w:rsidRPr="00593380" w14:paraId="41761D3C" w14:textId="77777777" w:rsidTr="000F2B05">
        <w:tc>
          <w:tcPr>
            <w:tcW w:w="5215" w:type="dxa"/>
            <w:hideMark/>
          </w:tcPr>
          <w:p w14:paraId="71FE9CED" w14:textId="77777777" w:rsidR="00CF6513" w:rsidRPr="00593380" w:rsidRDefault="00CF6513"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Online Education and EdTech Partnerships</w:t>
            </w:r>
          </w:p>
        </w:tc>
        <w:tc>
          <w:tcPr>
            <w:tcW w:w="1981" w:type="dxa"/>
            <w:hideMark/>
          </w:tcPr>
          <w:p w14:paraId="4FD73672" w14:textId="77777777" w:rsidR="00CF6513" w:rsidRPr="00593380" w:rsidRDefault="00CF6513"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150</w:t>
            </w:r>
          </w:p>
        </w:tc>
        <w:tc>
          <w:tcPr>
            <w:tcW w:w="0" w:type="auto"/>
            <w:hideMark/>
          </w:tcPr>
          <w:p w14:paraId="0E50811E" w14:textId="77777777" w:rsidR="00CF6513" w:rsidRPr="00593380" w:rsidRDefault="00CF6513"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15.0</w:t>
            </w:r>
          </w:p>
        </w:tc>
      </w:tr>
      <w:tr w:rsidR="00B02A11" w:rsidRPr="00593380" w14:paraId="7827DF26" w14:textId="77777777" w:rsidTr="000F2B05">
        <w:tc>
          <w:tcPr>
            <w:tcW w:w="5215" w:type="dxa"/>
            <w:hideMark/>
          </w:tcPr>
          <w:p w14:paraId="6B4C6F9F" w14:textId="77777777" w:rsidR="00CF6513" w:rsidRPr="00593380" w:rsidRDefault="00CF6513"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lastRenderedPageBreak/>
              <w:t>Student Recruitment and Placement</w:t>
            </w:r>
          </w:p>
        </w:tc>
        <w:tc>
          <w:tcPr>
            <w:tcW w:w="1981" w:type="dxa"/>
            <w:hideMark/>
          </w:tcPr>
          <w:p w14:paraId="6E630505" w14:textId="77777777" w:rsidR="00CF6513" w:rsidRPr="00593380" w:rsidRDefault="00CF6513"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100</w:t>
            </w:r>
          </w:p>
        </w:tc>
        <w:tc>
          <w:tcPr>
            <w:tcW w:w="0" w:type="auto"/>
            <w:hideMark/>
          </w:tcPr>
          <w:p w14:paraId="67C47E22" w14:textId="77777777" w:rsidR="00CF6513" w:rsidRPr="00593380" w:rsidRDefault="00CF6513"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10.0</w:t>
            </w:r>
          </w:p>
        </w:tc>
      </w:tr>
      <w:tr w:rsidR="00B02A11" w:rsidRPr="00593380" w14:paraId="3DBFB15C" w14:textId="77777777" w:rsidTr="000F2B05">
        <w:tc>
          <w:tcPr>
            <w:tcW w:w="5215" w:type="dxa"/>
            <w:hideMark/>
          </w:tcPr>
          <w:p w14:paraId="2CA8BE3A" w14:textId="77777777" w:rsidR="00CF6513" w:rsidRPr="00593380" w:rsidRDefault="00CF6513"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Training and Workforce Development</w:t>
            </w:r>
          </w:p>
        </w:tc>
        <w:tc>
          <w:tcPr>
            <w:tcW w:w="1981" w:type="dxa"/>
            <w:hideMark/>
          </w:tcPr>
          <w:p w14:paraId="60966FA4" w14:textId="77777777" w:rsidR="00CF6513" w:rsidRPr="00593380" w:rsidRDefault="00CF6513"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100</w:t>
            </w:r>
          </w:p>
        </w:tc>
        <w:tc>
          <w:tcPr>
            <w:tcW w:w="0" w:type="auto"/>
            <w:hideMark/>
          </w:tcPr>
          <w:p w14:paraId="0645C5BE" w14:textId="77777777" w:rsidR="00CF6513" w:rsidRPr="00593380" w:rsidRDefault="00CF6513"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10.0</w:t>
            </w:r>
          </w:p>
        </w:tc>
      </w:tr>
      <w:tr w:rsidR="00B02A11" w:rsidRPr="00593380" w14:paraId="6D571A5D" w14:textId="77777777" w:rsidTr="000F2B05">
        <w:tc>
          <w:tcPr>
            <w:tcW w:w="5215" w:type="dxa"/>
            <w:hideMark/>
          </w:tcPr>
          <w:p w14:paraId="7E03FE1F" w14:textId="77777777" w:rsidR="00CF6513" w:rsidRPr="00593380" w:rsidRDefault="00CF6513"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Commercialization of Intellectual Property</w:t>
            </w:r>
          </w:p>
        </w:tc>
        <w:tc>
          <w:tcPr>
            <w:tcW w:w="1981" w:type="dxa"/>
            <w:hideMark/>
          </w:tcPr>
          <w:p w14:paraId="7A38D415" w14:textId="77777777" w:rsidR="00CF6513" w:rsidRPr="00593380" w:rsidRDefault="00CF6513"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50</w:t>
            </w:r>
          </w:p>
        </w:tc>
        <w:tc>
          <w:tcPr>
            <w:tcW w:w="0" w:type="auto"/>
            <w:hideMark/>
          </w:tcPr>
          <w:p w14:paraId="712D2E53" w14:textId="77777777" w:rsidR="00CF6513" w:rsidRPr="00593380" w:rsidRDefault="00CF6513"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5.0</w:t>
            </w:r>
          </w:p>
        </w:tc>
      </w:tr>
      <w:tr w:rsidR="00B02A11" w:rsidRPr="00593380" w14:paraId="42D55B32" w14:textId="77777777" w:rsidTr="000F2B05">
        <w:tc>
          <w:tcPr>
            <w:tcW w:w="5215" w:type="dxa"/>
            <w:hideMark/>
          </w:tcPr>
          <w:p w14:paraId="419B577F" w14:textId="77777777" w:rsidR="00CF6513" w:rsidRPr="00593380" w:rsidRDefault="00CF6513"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Joint Degree Programs and Industry Certifications</w:t>
            </w:r>
          </w:p>
        </w:tc>
        <w:tc>
          <w:tcPr>
            <w:tcW w:w="1981" w:type="dxa"/>
            <w:hideMark/>
          </w:tcPr>
          <w:p w14:paraId="7F788AC2" w14:textId="77777777" w:rsidR="00CF6513" w:rsidRPr="00593380" w:rsidRDefault="00CF6513"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50</w:t>
            </w:r>
          </w:p>
        </w:tc>
        <w:tc>
          <w:tcPr>
            <w:tcW w:w="0" w:type="auto"/>
            <w:hideMark/>
          </w:tcPr>
          <w:p w14:paraId="4E703CB2" w14:textId="77777777" w:rsidR="00CF6513" w:rsidRPr="00593380" w:rsidRDefault="00CF6513"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5.0</w:t>
            </w:r>
          </w:p>
        </w:tc>
      </w:tr>
      <w:tr w:rsidR="00B02A11" w:rsidRPr="00593380" w14:paraId="2E3027D2" w14:textId="77777777" w:rsidTr="000F2B05">
        <w:tc>
          <w:tcPr>
            <w:tcW w:w="5215" w:type="dxa"/>
            <w:hideMark/>
          </w:tcPr>
          <w:p w14:paraId="0E186189" w14:textId="77777777" w:rsidR="00CF6513" w:rsidRPr="00593380" w:rsidRDefault="00CF6513"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Healthcare and Biotechnology Collaborations</w:t>
            </w:r>
          </w:p>
        </w:tc>
        <w:tc>
          <w:tcPr>
            <w:tcW w:w="1981" w:type="dxa"/>
            <w:hideMark/>
          </w:tcPr>
          <w:p w14:paraId="58628C7A" w14:textId="77777777" w:rsidR="00CF6513" w:rsidRPr="00593380" w:rsidRDefault="00CF6513"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50</w:t>
            </w:r>
          </w:p>
        </w:tc>
        <w:tc>
          <w:tcPr>
            <w:tcW w:w="0" w:type="auto"/>
            <w:hideMark/>
          </w:tcPr>
          <w:p w14:paraId="57B3F7A4" w14:textId="77777777" w:rsidR="00CF6513" w:rsidRPr="00593380" w:rsidRDefault="00CF6513"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5.0</w:t>
            </w:r>
          </w:p>
        </w:tc>
      </w:tr>
      <w:tr w:rsidR="00B02A11" w:rsidRPr="00593380" w14:paraId="4BC1A01A" w14:textId="77777777" w:rsidTr="000F2B05">
        <w:tc>
          <w:tcPr>
            <w:tcW w:w="5215" w:type="dxa"/>
            <w:hideMark/>
          </w:tcPr>
          <w:p w14:paraId="08746395" w14:textId="77777777" w:rsidR="00CF6513" w:rsidRPr="00593380" w:rsidRDefault="00CF6513"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Entrepreneurship and Innovation Hubs</w:t>
            </w:r>
          </w:p>
        </w:tc>
        <w:tc>
          <w:tcPr>
            <w:tcW w:w="1981" w:type="dxa"/>
            <w:hideMark/>
          </w:tcPr>
          <w:p w14:paraId="741CF8C2" w14:textId="77777777" w:rsidR="00CF6513" w:rsidRPr="00593380" w:rsidRDefault="00CF6513"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50</w:t>
            </w:r>
          </w:p>
        </w:tc>
        <w:tc>
          <w:tcPr>
            <w:tcW w:w="0" w:type="auto"/>
            <w:hideMark/>
          </w:tcPr>
          <w:p w14:paraId="16801C12" w14:textId="77777777" w:rsidR="00CF6513" w:rsidRPr="00593380" w:rsidRDefault="00CF6513"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5.0</w:t>
            </w:r>
          </w:p>
        </w:tc>
      </w:tr>
      <w:tr w:rsidR="00B02A11" w:rsidRPr="00593380" w14:paraId="5BBA4955" w14:textId="77777777" w:rsidTr="000F2B05">
        <w:tc>
          <w:tcPr>
            <w:tcW w:w="5215" w:type="dxa"/>
            <w:hideMark/>
          </w:tcPr>
          <w:p w14:paraId="5E27DCCF" w14:textId="77777777" w:rsidR="00CF6513" w:rsidRPr="00593380" w:rsidRDefault="00CF6513"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Facility Management and Outsourcing</w:t>
            </w:r>
          </w:p>
        </w:tc>
        <w:tc>
          <w:tcPr>
            <w:tcW w:w="1981" w:type="dxa"/>
            <w:hideMark/>
          </w:tcPr>
          <w:p w14:paraId="3A4EE976" w14:textId="77777777" w:rsidR="00CF6513" w:rsidRPr="00593380" w:rsidRDefault="00CF6513"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50</w:t>
            </w:r>
          </w:p>
        </w:tc>
        <w:tc>
          <w:tcPr>
            <w:tcW w:w="0" w:type="auto"/>
            <w:hideMark/>
          </w:tcPr>
          <w:p w14:paraId="005F1BCD" w14:textId="77777777" w:rsidR="00CF6513" w:rsidRPr="00593380" w:rsidRDefault="00CF6513"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5.0</w:t>
            </w:r>
          </w:p>
        </w:tc>
      </w:tr>
      <w:tr w:rsidR="00B02A11" w:rsidRPr="00593380" w14:paraId="3E6725F0" w14:textId="77777777" w:rsidTr="000F2B05">
        <w:tc>
          <w:tcPr>
            <w:tcW w:w="5215" w:type="dxa"/>
            <w:hideMark/>
          </w:tcPr>
          <w:p w14:paraId="149C3520" w14:textId="77777777" w:rsidR="00CF6513" w:rsidRPr="00593380" w:rsidRDefault="00CF6513" w:rsidP="00D03BEA">
            <w:pPr>
              <w:jc w:val="both"/>
              <w:rPr>
                <w:rFonts w:ascii="Times New Roman" w:hAnsi="Times New Roman" w:cs="Times New Roman"/>
                <w:b/>
                <w:bCs/>
                <w:color w:val="000000" w:themeColor="text1"/>
              </w:rPr>
            </w:pPr>
            <w:r w:rsidRPr="00593380">
              <w:rPr>
                <w:rFonts w:ascii="Times New Roman" w:hAnsi="Times New Roman" w:cs="Times New Roman"/>
                <w:b/>
                <w:bCs/>
                <w:color w:val="000000" w:themeColor="text1"/>
              </w:rPr>
              <w:t>Total</w:t>
            </w:r>
          </w:p>
        </w:tc>
        <w:tc>
          <w:tcPr>
            <w:tcW w:w="1981" w:type="dxa"/>
            <w:hideMark/>
          </w:tcPr>
          <w:p w14:paraId="47AEB60F" w14:textId="77777777" w:rsidR="00CF6513" w:rsidRPr="00593380" w:rsidRDefault="00CF6513" w:rsidP="00D03BEA">
            <w:pPr>
              <w:jc w:val="both"/>
              <w:rPr>
                <w:rFonts w:ascii="Times New Roman" w:hAnsi="Times New Roman" w:cs="Times New Roman"/>
                <w:b/>
                <w:bCs/>
                <w:color w:val="000000" w:themeColor="text1"/>
              </w:rPr>
            </w:pPr>
            <w:r w:rsidRPr="00593380">
              <w:rPr>
                <w:rFonts w:ascii="Times New Roman" w:hAnsi="Times New Roman" w:cs="Times New Roman"/>
                <w:b/>
                <w:bCs/>
                <w:color w:val="000000" w:themeColor="text1"/>
              </w:rPr>
              <w:t>1000</w:t>
            </w:r>
          </w:p>
        </w:tc>
        <w:tc>
          <w:tcPr>
            <w:tcW w:w="0" w:type="auto"/>
            <w:hideMark/>
          </w:tcPr>
          <w:p w14:paraId="148B4873" w14:textId="77777777" w:rsidR="00CF6513" w:rsidRPr="00593380" w:rsidRDefault="00CF6513" w:rsidP="00D03BEA">
            <w:pPr>
              <w:jc w:val="both"/>
              <w:rPr>
                <w:rFonts w:ascii="Times New Roman" w:hAnsi="Times New Roman" w:cs="Times New Roman"/>
                <w:b/>
                <w:bCs/>
                <w:color w:val="000000" w:themeColor="text1"/>
              </w:rPr>
            </w:pPr>
            <w:r w:rsidRPr="00593380">
              <w:rPr>
                <w:rFonts w:ascii="Times New Roman" w:hAnsi="Times New Roman" w:cs="Times New Roman"/>
                <w:b/>
                <w:bCs/>
                <w:color w:val="000000" w:themeColor="text1"/>
              </w:rPr>
              <w:t>100.0</w:t>
            </w:r>
          </w:p>
        </w:tc>
      </w:tr>
    </w:tbl>
    <w:p w14:paraId="259D5A78" w14:textId="77777777" w:rsidR="000F2B05" w:rsidRPr="00593380" w:rsidRDefault="000F2B05" w:rsidP="00593380">
      <w:pPr>
        <w:spacing w:line="360" w:lineRule="auto"/>
        <w:jc w:val="both"/>
        <w:rPr>
          <w:rFonts w:ascii="Times New Roman" w:hAnsi="Times New Roman" w:cs="Times New Roman"/>
          <w:color w:val="000000" w:themeColor="text1"/>
        </w:rPr>
      </w:pPr>
      <w:r w:rsidRPr="00593380">
        <w:rPr>
          <w:rFonts w:ascii="Times New Roman" w:hAnsi="Times New Roman" w:cs="Times New Roman"/>
          <w:color w:val="000000" w:themeColor="text1"/>
        </w:rPr>
        <w:t>Source: Field Survey, 2024.</w:t>
      </w:r>
    </w:p>
    <w:p w14:paraId="5D8253FA" w14:textId="635B7CC1" w:rsidR="004E6BB3" w:rsidRPr="00593380" w:rsidRDefault="0091449A" w:rsidP="00593380">
      <w:pPr>
        <w:spacing w:line="360" w:lineRule="auto"/>
        <w:jc w:val="both"/>
        <w:rPr>
          <w:rFonts w:ascii="Times New Roman" w:hAnsi="Times New Roman" w:cs="Times New Roman"/>
          <w:color w:val="000000" w:themeColor="text1"/>
        </w:rPr>
      </w:pPr>
      <w:r w:rsidRPr="00593380">
        <w:rPr>
          <w:rFonts w:ascii="Times New Roman" w:hAnsi="Times New Roman" w:cs="Times New Roman"/>
          <w:color w:val="000000" w:themeColor="text1"/>
        </w:rPr>
        <w:t>Table</w:t>
      </w:r>
      <w:r w:rsidR="007D60C0" w:rsidRPr="00593380">
        <w:rPr>
          <w:rFonts w:ascii="Times New Roman" w:hAnsi="Times New Roman" w:cs="Times New Roman"/>
          <w:color w:val="000000" w:themeColor="text1"/>
        </w:rPr>
        <w:t xml:space="preserve"> 13</w:t>
      </w:r>
      <w:r w:rsidRPr="00593380">
        <w:rPr>
          <w:rFonts w:ascii="Times New Roman" w:hAnsi="Times New Roman" w:cs="Times New Roman"/>
          <w:color w:val="000000" w:themeColor="text1"/>
        </w:rPr>
        <w:t xml:space="preserve"> presents insights into the extent to which tertiary institutions engage in public-private partnerships (PPPs) as a revenue generation strategy, as perceived by 1000 respondents. The responses shed light on the diverse array of PPPs that institutions are involved in and their significance in revenue generation efforts. Infrastructure development emerges as the most commonly cited PPP, with 15% of respondents indicating its importance in revenue generation. This finding underscores the role of PPPs in facilitating the development of essential campus infrastructure while leveraging private sector expertise and resources. Additionally, online education and EdTech partnerships are identified as another prominent area of engagement, also endorsed by 15% of respondents. This highlights the growing trend of collaborating with private sector entities to enhance digital learning platforms and expand educational offerings. Other notable PPPs include research and development, technology transfer and licensing, and corporate sponsorships, each cited by 10% of respondents. These findings reflect the multifaceted nature of PPPs in tertiary education, encompassing a wide range of activities from collaborative research endeavors to industry-sponsored initiatives. However, it is also notable that certain PPPs, such as healthcare and biotechnology collaborations and entrepreneurship and innovation hubs, are cited by only 5% of respondents, suggesting potential areas for growth and further exploration. Overall, the responses underscore the importance of PPPs as a strategic approach to revenue generation for tertiary institutions, highlighting the need for continued collaboration between the public and private sectors to foster innovation, enhance educational outcomes, and ensure financial sustainability in an increasingly competitive landscape.</w:t>
      </w:r>
    </w:p>
    <w:p w14:paraId="2E1CBE73" w14:textId="482E0E9D" w:rsidR="0086057C" w:rsidRPr="00593380" w:rsidRDefault="003A6349" w:rsidP="00593380">
      <w:pPr>
        <w:spacing w:after="0" w:line="360" w:lineRule="auto"/>
        <w:jc w:val="both"/>
        <w:rPr>
          <w:rFonts w:ascii="Times New Roman" w:hAnsi="Times New Roman" w:cs="Times New Roman"/>
          <w:b/>
          <w:bCs/>
          <w:color w:val="000000" w:themeColor="text1"/>
        </w:rPr>
      </w:pPr>
      <w:r w:rsidRPr="00593380">
        <w:rPr>
          <w:rFonts w:ascii="Times New Roman" w:hAnsi="Times New Roman" w:cs="Times New Roman"/>
          <w:b/>
          <w:bCs/>
          <w:color w:val="000000" w:themeColor="text1"/>
        </w:rPr>
        <w:t>Table 1</w:t>
      </w:r>
      <w:r w:rsidR="004E6BB3" w:rsidRPr="00593380">
        <w:rPr>
          <w:rFonts w:ascii="Times New Roman" w:hAnsi="Times New Roman" w:cs="Times New Roman"/>
          <w:b/>
          <w:bCs/>
          <w:color w:val="000000" w:themeColor="text1"/>
        </w:rPr>
        <w:t>4</w:t>
      </w:r>
      <w:r w:rsidRPr="00593380">
        <w:rPr>
          <w:rFonts w:ascii="Times New Roman" w:hAnsi="Times New Roman" w:cs="Times New Roman"/>
          <w:b/>
          <w:bCs/>
          <w:color w:val="000000" w:themeColor="text1"/>
        </w:rPr>
        <w:t>:</w:t>
      </w:r>
      <w:r w:rsidR="004E6BB3" w:rsidRPr="00593380">
        <w:rPr>
          <w:rFonts w:ascii="Times New Roman" w:hAnsi="Times New Roman" w:cs="Times New Roman"/>
          <w:b/>
          <w:bCs/>
          <w:color w:val="000000" w:themeColor="text1"/>
        </w:rPr>
        <w:t xml:space="preserve"> </w:t>
      </w:r>
      <w:r w:rsidR="0086057C" w:rsidRPr="00593380">
        <w:rPr>
          <w:rFonts w:ascii="Times New Roman" w:hAnsi="Times New Roman" w:cs="Times New Roman"/>
          <w:b/>
          <w:bCs/>
          <w:color w:val="000000" w:themeColor="text1"/>
        </w:rPr>
        <w:t>Impact of Changes in Tuition and Fee Structures on Financial Sustainability</w:t>
      </w:r>
    </w:p>
    <w:tbl>
      <w:tblPr>
        <w:tblStyle w:val="TableGrid"/>
        <w:tblW w:w="8941" w:type="dxa"/>
        <w:tblLook w:val="04A0" w:firstRow="1" w:lastRow="0" w:firstColumn="1" w:lastColumn="0" w:noHBand="0" w:noVBand="1"/>
      </w:tblPr>
      <w:tblGrid>
        <w:gridCol w:w="4490"/>
        <w:gridCol w:w="2661"/>
        <w:gridCol w:w="1790"/>
      </w:tblGrid>
      <w:tr w:rsidR="00B02A11" w:rsidRPr="00593380" w14:paraId="67CD5465" w14:textId="77777777" w:rsidTr="0086057C">
        <w:tc>
          <w:tcPr>
            <w:tcW w:w="0" w:type="auto"/>
            <w:hideMark/>
          </w:tcPr>
          <w:p w14:paraId="1FC3037E" w14:textId="59645FBF" w:rsidR="0086057C" w:rsidRPr="00593380" w:rsidRDefault="003A6349" w:rsidP="00D03BEA">
            <w:pPr>
              <w:jc w:val="both"/>
              <w:rPr>
                <w:rFonts w:ascii="Times New Roman" w:hAnsi="Times New Roman" w:cs="Times New Roman"/>
                <w:b/>
                <w:bCs/>
                <w:color w:val="000000" w:themeColor="text1"/>
              </w:rPr>
            </w:pPr>
            <w:r w:rsidRPr="00593380">
              <w:rPr>
                <w:rFonts w:ascii="Times New Roman" w:hAnsi="Times New Roman" w:cs="Times New Roman"/>
                <w:b/>
                <w:bCs/>
                <w:color w:val="000000" w:themeColor="text1"/>
              </w:rPr>
              <w:t>Statement</w:t>
            </w:r>
          </w:p>
        </w:tc>
        <w:tc>
          <w:tcPr>
            <w:tcW w:w="0" w:type="auto"/>
            <w:hideMark/>
          </w:tcPr>
          <w:p w14:paraId="1769B7B7" w14:textId="77777777" w:rsidR="0086057C" w:rsidRPr="00593380" w:rsidRDefault="0086057C" w:rsidP="00D03BEA">
            <w:pPr>
              <w:jc w:val="both"/>
              <w:rPr>
                <w:rFonts w:ascii="Times New Roman" w:hAnsi="Times New Roman" w:cs="Times New Roman"/>
                <w:b/>
                <w:bCs/>
                <w:color w:val="000000" w:themeColor="text1"/>
              </w:rPr>
            </w:pPr>
            <w:r w:rsidRPr="00593380">
              <w:rPr>
                <w:rFonts w:ascii="Times New Roman" w:hAnsi="Times New Roman" w:cs="Times New Roman"/>
                <w:b/>
                <w:bCs/>
                <w:color w:val="000000" w:themeColor="text1"/>
              </w:rPr>
              <w:t>Number of Respondents</w:t>
            </w:r>
          </w:p>
        </w:tc>
        <w:tc>
          <w:tcPr>
            <w:tcW w:w="0" w:type="auto"/>
            <w:hideMark/>
          </w:tcPr>
          <w:p w14:paraId="4DB9B122" w14:textId="08532D02" w:rsidR="0086057C" w:rsidRPr="00593380" w:rsidRDefault="0086057C" w:rsidP="00D03BEA">
            <w:pPr>
              <w:jc w:val="both"/>
              <w:rPr>
                <w:rFonts w:ascii="Times New Roman" w:hAnsi="Times New Roman" w:cs="Times New Roman"/>
                <w:b/>
                <w:bCs/>
                <w:color w:val="000000" w:themeColor="text1"/>
              </w:rPr>
            </w:pPr>
            <w:r w:rsidRPr="00593380">
              <w:rPr>
                <w:rFonts w:ascii="Times New Roman" w:hAnsi="Times New Roman" w:cs="Times New Roman"/>
                <w:b/>
                <w:bCs/>
                <w:color w:val="000000" w:themeColor="text1"/>
              </w:rPr>
              <w:t>Percentage (%)</w:t>
            </w:r>
          </w:p>
        </w:tc>
      </w:tr>
      <w:tr w:rsidR="00B02A11" w:rsidRPr="00593380" w14:paraId="5DBFB220" w14:textId="77777777" w:rsidTr="0086057C">
        <w:tc>
          <w:tcPr>
            <w:tcW w:w="0" w:type="auto"/>
            <w:hideMark/>
          </w:tcPr>
          <w:p w14:paraId="4B2B87DF" w14:textId="77777777" w:rsidR="0086057C" w:rsidRPr="00593380" w:rsidRDefault="0086057C"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Revenue Generation</w:t>
            </w:r>
          </w:p>
        </w:tc>
        <w:tc>
          <w:tcPr>
            <w:tcW w:w="0" w:type="auto"/>
            <w:hideMark/>
          </w:tcPr>
          <w:p w14:paraId="60086667" w14:textId="77777777" w:rsidR="0086057C" w:rsidRPr="00593380" w:rsidRDefault="0086057C"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150</w:t>
            </w:r>
          </w:p>
        </w:tc>
        <w:tc>
          <w:tcPr>
            <w:tcW w:w="0" w:type="auto"/>
            <w:hideMark/>
          </w:tcPr>
          <w:p w14:paraId="3D4D68F1" w14:textId="77777777" w:rsidR="0086057C" w:rsidRPr="00593380" w:rsidRDefault="0086057C"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15.0</w:t>
            </w:r>
          </w:p>
        </w:tc>
      </w:tr>
      <w:tr w:rsidR="00B02A11" w:rsidRPr="00593380" w14:paraId="392BE307" w14:textId="77777777" w:rsidTr="0086057C">
        <w:tc>
          <w:tcPr>
            <w:tcW w:w="0" w:type="auto"/>
            <w:hideMark/>
          </w:tcPr>
          <w:p w14:paraId="1E2167E5" w14:textId="77777777" w:rsidR="0086057C" w:rsidRPr="00593380" w:rsidRDefault="0086057C"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Affordability and Enrollment</w:t>
            </w:r>
          </w:p>
        </w:tc>
        <w:tc>
          <w:tcPr>
            <w:tcW w:w="0" w:type="auto"/>
            <w:hideMark/>
          </w:tcPr>
          <w:p w14:paraId="029B6FBF" w14:textId="77777777" w:rsidR="0086057C" w:rsidRPr="00593380" w:rsidRDefault="0086057C"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200</w:t>
            </w:r>
          </w:p>
        </w:tc>
        <w:tc>
          <w:tcPr>
            <w:tcW w:w="0" w:type="auto"/>
            <w:hideMark/>
          </w:tcPr>
          <w:p w14:paraId="201AA4AA" w14:textId="77777777" w:rsidR="0086057C" w:rsidRPr="00593380" w:rsidRDefault="0086057C"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20.0</w:t>
            </w:r>
          </w:p>
        </w:tc>
      </w:tr>
      <w:tr w:rsidR="00B02A11" w:rsidRPr="00593380" w14:paraId="6F2BCE59" w14:textId="77777777" w:rsidTr="0086057C">
        <w:tc>
          <w:tcPr>
            <w:tcW w:w="0" w:type="auto"/>
            <w:hideMark/>
          </w:tcPr>
          <w:p w14:paraId="63B16925" w14:textId="77777777" w:rsidR="0086057C" w:rsidRPr="00593380" w:rsidRDefault="0086057C"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Financial Aid Budgets</w:t>
            </w:r>
          </w:p>
        </w:tc>
        <w:tc>
          <w:tcPr>
            <w:tcW w:w="0" w:type="auto"/>
            <w:hideMark/>
          </w:tcPr>
          <w:p w14:paraId="281B95F9" w14:textId="77777777" w:rsidR="0086057C" w:rsidRPr="00593380" w:rsidRDefault="0086057C"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100</w:t>
            </w:r>
          </w:p>
        </w:tc>
        <w:tc>
          <w:tcPr>
            <w:tcW w:w="0" w:type="auto"/>
            <w:hideMark/>
          </w:tcPr>
          <w:p w14:paraId="455529A7" w14:textId="77777777" w:rsidR="0086057C" w:rsidRPr="00593380" w:rsidRDefault="0086057C"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10.0</w:t>
            </w:r>
          </w:p>
        </w:tc>
      </w:tr>
      <w:tr w:rsidR="00B02A11" w:rsidRPr="00593380" w14:paraId="2EEE013F" w14:textId="77777777" w:rsidTr="0086057C">
        <w:tc>
          <w:tcPr>
            <w:tcW w:w="0" w:type="auto"/>
            <w:hideMark/>
          </w:tcPr>
          <w:p w14:paraId="7E980EA2" w14:textId="77777777" w:rsidR="0086057C" w:rsidRPr="00593380" w:rsidRDefault="0086057C"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Student Retention</w:t>
            </w:r>
          </w:p>
        </w:tc>
        <w:tc>
          <w:tcPr>
            <w:tcW w:w="0" w:type="auto"/>
            <w:hideMark/>
          </w:tcPr>
          <w:p w14:paraId="2A76690B" w14:textId="77777777" w:rsidR="0086057C" w:rsidRPr="00593380" w:rsidRDefault="0086057C"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150</w:t>
            </w:r>
          </w:p>
        </w:tc>
        <w:tc>
          <w:tcPr>
            <w:tcW w:w="0" w:type="auto"/>
            <w:hideMark/>
          </w:tcPr>
          <w:p w14:paraId="1BA89F25" w14:textId="77777777" w:rsidR="0086057C" w:rsidRPr="00593380" w:rsidRDefault="0086057C"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15.0</w:t>
            </w:r>
          </w:p>
        </w:tc>
      </w:tr>
      <w:tr w:rsidR="00B02A11" w:rsidRPr="00593380" w14:paraId="32A1DA3C" w14:textId="77777777" w:rsidTr="0086057C">
        <w:tc>
          <w:tcPr>
            <w:tcW w:w="0" w:type="auto"/>
            <w:hideMark/>
          </w:tcPr>
          <w:p w14:paraId="7BB28734" w14:textId="77777777" w:rsidR="0086057C" w:rsidRPr="00593380" w:rsidRDefault="0086057C"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Competitiveness in the Market</w:t>
            </w:r>
          </w:p>
        </w:tc>
        <w:tc>
          <w:tcPr>
            <w:tcW w:w="0" w:type="auto"/>
            <w:hideMark/>
          </w:tcPr>
          <w:p w14:paraId="0AF9D460" w14:textId="77777777" w:rsidR="0086057C" w:rsidRPr="00593380" w:rsidRDefault="0086057C"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100</w:t>
            </w:r>
          </w:p>
        </w:tc>
        <w:tc>
          <w:tcPr>
            <w:tcW w:w="0" w:type="auto"/>
            <w:hideMark/>
          </w:tcPr>
          <w:p w14:paraId="2D550B5E" w14:textId="77777777" w:rsidR="0086057C" w:rsidRPr="00593380" w:rsidRDefault="0086057C"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10.0</w:t>
            </w:r>
          </w:p>
        </w:tc>
      </w:tr>
      <w:tr w:rsidR="00B02A11" w:rsidRPr="00593380" w14:paraId="07C72D0A" w14:textId="77777777" w:rsidTr="0086057C">
        <w:tc>
          <w:tcPr>
            <w:tcW w:w="0" w:type="auto"/>
            <w:hideMark/>
          </w:tcPr>
          <w:p w14:paraId="063DF569" w14:textId="77777777" w:rsidR="0086057C" w:rsidRPr="00593380" w:rsidRDefault="0086057C"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Perceived Value of Education</w:t>
            </w:r>
          </w:p>
        </w:tc>
        <w:tc>
          <w:tcPr>
            <w:tcW w:w="0" w:type="auto"/>
            <w:hideMark/>
          </w:tcPr>
          <w:p w14:paraId="11FC66CF" w14:textId="77777777" w:rsidR="0086057C" w:rsidRPr="00593380" w:rsidRDefault="0086057C"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100</w:t>
            </w:r>
          </w:p>
        </w:tc>
        <w:tc>
          <w:tcPr>
            <w:tcW w:w="0" w:type="auto"/>
            <w:hideMark/>
          </w:tcPr>
          <w:p w14:paraId="1B00C661" w14:textId="77777777" w:rsidR="0086057C" w:rsidRPr="00593380" w:rsidRDefault="0086057C"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10.0</w:t>
            </w:r>
          </w:p>
        </w:tc>
      </w:tr>
      <w:tr w:rsidR="00B02A11" w:rsidRPr="00593380" w14:paraId="43F7E38A" w14:textId="77777777" w:rsidTr="0086057C">
        <w:tc>
          <w:tcPr>
            <w:tcW w:w="0" w:type="auto"/>
            <w:hideMark/>
          </w:tcPr>
          <w:p w14:paraId="7F179C24" w14:textId="77777777" w:rsidR="0086057C" w:rsidRPr="00593380" w:rsidRDefault="0086057C"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Budgetary Planning</w:t>
            </w:r>
          </w:p>
        </w:tc>
        <w:tc>
          <w:tcPr>
            <w:tcW w:w="0" w:type="auto"/>
            <w:hideMark/>
          </w:tcPr>
          <w:p w14:paraId="47CE042B" w14:textId="77777777" w:rsidR="0086057C" w:rsidRPr="00593380" w:rsidRDefault="0086057C"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50</w:t>
            </w:r>
          </w:p>
        </w:tc>
        <w:tc>
          <w:tcPr>
            <w:tcW w:w="0" w:type="auto"/>
            <w:hideMark/>
          </w:tcPr>
          <w:p w14:paraId="4582BF76" w14:textId="77777777" w:rsidR="0086057C" w:rsidRPr="00593380" w:rsidRDefault="0086057C"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5.0</w:t>
            </w:r>
          </w:p>
        </w:tc>
      </w:tr>
      <w:tr w:rsidR="00B02A11" w:rsidRPr="00593380" w14:paraId="5435DD3F" w14:textId="77777777" w:rsidTr="0086057C">
        <w:tc>
          <w:tcPr>
            <w:tcW w:w="0" w:type="auto"/>
            <w:hideMark/>
          </w:tcPr>
          <w:p w14:paraId="17E0FE86" w14:textId="77777777" w:rsidR="0086057C" w:rsidRPr="00593380" w:rsidRDefault="0086057C"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Impact on Specific Programs or Departments</w:t>
            </w:r>
          </w:p>
        </w:tc>
        <w:tc>
          <w:tcPr>
            <w:tcW w:w="0" w:type="auto"/>
            <w:hideMark/>
          </w:tcPr>
          <w:p w14:paraId="2D9128E8" w14:textId="77777777" w:rsidR="0086057C" w:rsidRPr="00593380" w:rsidRDefault="0086057C"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50</w:t>
            </w:r>
          </w:p>
        </w:tc>
        <w:tc>
          <w:tcPr>
            <w:tcW w:w="0" w:type="auto"/>
            <w:hideMark/>
          </w:tcPr>
          <w:p w14:paraId="34DB1809" w14:textId="77777777" w:rsidR="0086057C" w:rsidRPr="00593380" w:rsidRDefault="0086057C"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5.0</w:t>
            </w:r>
          </w:p>
        </w:tc>
      </w:tr>
      <w:tr w:rsidR="00B02A11" w:rsidRPr="00593380" w14:paraId="5935E14B" w14:textId="77777777" w:rsidTr="0086057C">
        <w:tc>
          <w:tcPr>
            <w:tcW w:w="0" w:type="auto"/>
            <w:hideMark/>
          </w:tcPr>
          <w:p w14:paraId="31759AC5" w14:textId="77777777" w:rsidR="0086057C" w:rsidRPr="00593380" w:rsidRDefault="0086057C"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Public Perception and Stakeholder Relations</w:t>
            </w:r>
          </w:p>
        </w:tc>
        <w:tc>
          <w:tcPr>
            <w:tcW w:w="0" w:type="auto"/>
            <w:hideMark/>
          </w:tcPr>
          <w:p w14:paraId="07BF4C17" w14:textId="77777777" w:rsidR="0086057C" w:rsidRPr="00593380" w:rsidRDefault="0086057C"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50</w:t>
            </w:r>
          </w:p>
        </w:tc>
        <w:tc>
          <w:tcPr>
            <w:tcW w:w="0" w:type="auto"/>
            <w:hideMark/>
          </w:tcPr>
          <w:p w14:paraId="50D6BDA2" w14:textId="77777777" w:rsidR="0086057C" w:rsidRPr="00593380" w:rsidRDefault="0086057C"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5.0</w:t>
            </w:r>
          </w:p>
        </w:tc>
      </w:tr>
      <w:tr w:rsidR="00B02A11" w:rsidRPr="00593380" w14:paraId="67ED4770" w14:textId="77777777" w:rsidTr="0086057C">
        <w:tc>
          <w:tcPr>
            <w:tcW w:w="0" w:type="auto"/>
            <w:hideMark/>
          </w:tcPr>
          <w:p w14:paraId="0310D43D" w14:textId="77777777" w:rsidR="0086057C" w:rsidRPr="00593380" w:rsidRDefault="0086057C"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External Funding and Grants</w:t>
            </w:r>
          </w:p>
        </w:tc>
        <w:tc>
          <w:tcPr>
            <w:tcW w:w="0" w:type="auto"/>
            <w:hideMark/>
          </w:tcPr>
          <w:p w14:paraId="37AAE168" w14:textId="77777777" w:rsidR="0086057C" w:rsidRPr="00593380" w:rsidRDefault="0086057C"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50</w:t>
            </w:r>
          </w:p>
        </w:tc>
        <w:tc>
          <w:tcPr>
            <w:tcW w:w="0" w:type="auto"/>
            <w:hideMark/>
          </w:tcPr>
          <w:p w14:paraId="319623EF" w14:textId="77777777" w:rsidR="0086057C" w:rsidRPr="00593380" w:rsidRDefault="0086057C"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5.0</w:t>
            </w:r>
          </w:p>
        </w:tc>
      </w:tr>
      <w:tr w:rsidR="00B02A11" w:rsidRPr="00593380" w14:paraId="65C5FD56" w14:textId="77777777" w:rsidTr="0086057C">
        <w:tc>
          <w:tcPr>
            <w:tcW w:w="0" w:type="auto"/>
            <w:hideMark/>
          </w:tcPr>
          <w:p w14:paraId="14DA75B2" w14:textId="77777777" w:rsidR="0086057C" w:rsidRPr="00593380" w:rsidRDefault="0086057C"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Long-Term Financial Health</w:t>
            </w:r>
          </w:p>
        </w:tc>
        <w:tc>
          <w:tcPr>
            <w:tcW w:w="0" w:type="auto"/>
            <w:hideMark/>
          </w:tcPr>
          <w:p w14:paraId="1BE1F79F" w14:textId="77777777" w:rsidR="0086057C" w:rsidRPr="00593380" w:rsidRDefault="0086057C"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50</w:t>
            </w:r>
          </w:p>
        </w:tc>
        <w:tc>
          <w:tcPr>
            <w:tcW w:w="0" w:type="auto"/>
            <w:hideMark/>
          </w:tcPr>
          <w:p w14:paraId="46E54CF4" w14:textId="77777777" w:rsidR="0086057C" w:rsidRPr="00593380" w:rsidRDefault="0086057C"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5.0</w:t>
            </w:r>
          </w:p>
        </w:tc>
      </w:tr>
      <w:tr w:rsidR="00B02A11" w:rsidRPr="00593380" w14:paraId="4FD752F8" w14:textId="77777777" w:rsidTr="0086057C">
        <w:tc>
          <w:tcPr>
            <w:tcW w:w="0" w:type="auto"/>
            <w:hideMark/>
          </w:tcPr>
          <w:p w14:paraId="7794BE21" w14:textId="77777777" w:rsidR="0086057C" w:rsidRPr="00593380" w:rsidRDefault="0086057C" w:rsidP="00D03BEA">
            <w:pPr>
              <w:jc w:val="both"/>
              <w:rPr>
                <w:rFonts w:ascii="Times New Roman" w:hAnsi="Times New Roman" w:cs="Times New Roman"/>
                <w:b/>
                <w:bCs/>
                <w:color w:val="000000" w:themeColor="text1"/>
              </w:rPr>
            </w:pPr>
            <w:r w:rsidRPr="00593380">
              <w:rPr>
                <w:rFonts w:ascii="Times New Roman" w:hAnsi="Times New Roman" w:cs="Times New Roman"/>
                <w:b/>
                <w:bCs/>
                <w:color w:val="000000" w:themeColor="text1"/>
              </w:rPr>
              <w:t>Total</w:t>
            </w:r>
          </w:p>
        </w:tc>
        <w:tc>
          <w:tcPr>
            <w:tcW w:w="0" w:type="auto"/>
            <w:hideMark/>
          </w:tcPr>
          <w:p w14:paraId="204EFBCA" w14:textId="77777777" w:rsidR="0086057C" w:rsidRPr="00593380" w:rsidRDefault="0086057C" w:rsidP="00D03BEA">
            <w:pPr>
              <w:jc w:val="both"/>
              <w:rPr>
                <w:rFonts w:ascii="Times New Roman" w:hAnsi="Times New Roman" w:cs="Times New Roman"/>
                <w:b/>
                <w:bCs/>
                <w:color w:val="000000" w:themeColor="text1"/>
              </w:rPr>
            </w:pPr>
            <w:r w:rsidRPr="00593380">
              <w:rPr>
                <w:rFonts w:ascii="Times New Roman" w:hAnsi="Times New Roman" w:cs="Times New Roman"/>
                <w:b/>
                <w:bCs/>
                <w:color w:val="000000" w:themeColor="text1"/>
              </w:rPr>
              <w:t>1000</w:t>
            </w:r>
          </w:p>
        </w:tc>
        <w:tc>
          <w:tcPr>
            <w:tcW w:w="0" w:type="auto"/>
            <w:hideMark/>
          </w:tcPr>
          <w:p w14:paraId="111E3B58" w14:textId="77777777" w:rsidR="0086057C" w:rsidRPr="00593380" w:rsidRDefault="0086057C" w:rsidP="00D03BEA">
            <w:pPr>
              <w:jc w:val="both"/>
              <w:rPr>
                <w:rFonts w:ascii="Times New Roman" w:hAnsi="Times New Roman" w:cs="Times New Roman"/>
                <w:b/>
                <w:bCs/>
                <w:color w:val="000000" w:themeColor="text1"/>
              </w:rPr>
            </w:pPr>
            <w:r w:rsidRPr="00593380">
              <w:rPr>
                <w:rFonts w:ascii="Times New Roman" w:hAnsi="Times New Roman" w:cs="Times New Roman"/>
                <w:b/>
                <w:bCs/>
                <w:color w:val="000000" w:themeColor="text1"/>
              </w:rPr>
              <w:t>100.0</w:t>
            </w:r>
          </w:p>
        </w:tc>
      </w:tr>
    </w:tbl>
    <w:p w14:paraId="79F25FF1" w14:textId="77777777" w:rsidR="003A6349" w:rsidRPr="00593380" w:rsidRDefault="003A6349" w:rsidP="00593380">
      <w:pPr>
        <w:spacing w:line="360" w:lineRule="auto"/>
        <w:jc w:val="both"/>
        <w:rPr>
          <w:rFonts w:ascii="Times New Roman" w:hAnsi="Times New Roman" w:cs="Times New Roman"/>
          <w:color w:val="000000" w:themeColor="text1"/>
        </w:rPr>
      </w:pPr>
      <w:r w:rsidRPr="00593380">
        <w:rPr>
          <w:rFonts w:ascii="Times New Roman" w:hAnsi="Times New Roman" w:cs="Times New Roman"/>
          <w:color w:val="000000" w:themeColor="text1"/>
        </w:rPr>
        <w:lastRenderedPageBreak/>
        <w:t>Source: Field Survey, 2024.</w:t>
      </w:r>
    </w:p>
    <w:p w14:paraId="18D0EBDF" w14:textId="7C9A8D5C" w:rsidR="0086057C" w:rsidRPr="00593380" w:rsidRDefault="0086057C" w:rsidP="00593380">
      <w:pPr>
        <w:spacing w:line="360" w:lineRule="auto"/>
        <w:jc w:val="both"/>
        <w:rPr>
          <w:rFonts w:ascii="Times New Roman" w:hAnsi="Times New Roman" w:cs="Times New Roman"/>
          <w:color w:val="000000" w:themeColor="text1"/>
        </w:rPr>
      </w:pPr>
      <w:r w:rsidRPr="00593380">
        <w:rPr>
          <w:rFonts w:ascii="Times New Roman" w:hAnsi="Times New Roman" w:cs="Times New Roman"/>
          <w:color w:val="000000" w:themeColor="text1"/>
        </w:rPr>
        <w:t>Table</w:t>
      </w:r>
      <w:r w:rsidR="007D60C0" w:rsidRPr="00593380">
        <w:rPr>
          <w:rFonts w:ascii="Times New Roman" w:hAnsi="Times New Roman" w:cs="Times New Roman"/>
          <w:color w:val="000000" w:themeColor="text1"/>
        </w:rPr>
        <w:t xml:space="preserve"> 14</w:t>
      </w:r>
      <w:r w:rsidRPr="00593380">
        <w:rPr>
          <w:rFonts w:ascii="Times New Roman" w:hAnsi="Times New Roman" w:cs="Times New Roman"/>
          <w:color w:val="000000" w:themeColor="text1"/>
        </w:rPr>
        <w:t xml:space="preserve"> illustrates the diverse impacts of changes in tuition and fee structures on the financial sustainability of tertiary institutions, as perceived by 1000 respondents. The responses highlight several key considerations that institutions must take into account when adjusting their tuition and fee policies. Notably, affordability and enrollment emerge as the most significant factor, with 20% of respondents recognizing its importance in shaping the financial sustainability of institutions. This underscores the delicate balance institutions must strike between setting tuition rates that are affordable for students while still generating sufficient revenue to support operations and programs. Additionally, student retention and revenue generation are identified as critical factors, each endorsed by 15% of respondents. These findings emphasize the interplay between tuition policies, student success initiatives, and the overall financial health of institutions. Moreover, factors such as competitiveness in the market, perceived value of education, and external funding and grants are also recognized as important considerations, each cited by 10% of respondents. These findings highlight the complex landscape in which tertiary institutions operate, where decisions about tuition and fee structures can impact not only revenue generation but also institutional reputation, student outcomes, and access to external funding sources. Overall, the responses underscore the multifaceted nature of the relationship between tuition policies and financial sustainability, emphasizing the need for institutions to carefully consider the broader implications of any changes to their fee structures.</w:t>
      </w:r>
    </w:p>
    <w:p w14:paraId="4F67EB58" w14:textId="4F3BBCF2" w:rsidR="00C350BA" w:rsidRPr="00593380" w:rsidRDefault="003A6349" w:rsidP="00593380">
      <w:pPr>
        <w:spacing w:after="0" w:line="360" w:lineRule="auto"/>
        <w:jc w:val="both"/>
        <w:rPr>
          <w:rFonts w:ascii="Times New Roman" w:hAnsi="Times New Roman" w:cs="Times New Roman"/>
          <w:b/>
          <w:bCs/>
          <w:color w:val="000000" w:themeColor="text1"/>
        </w:rPr>
      </w:pPr>
      <w:r w:rsidRPr="00593380">
        <w:rPr>
          <w:rFonts w:ascii="Times New Roman" w:hAnsi="Times New Roman" w:cs="Times New Roman"/>
          <w:b/>
          <w:bCs/>
          <w:color w:val="000000" w:themeColor="text1"/>
        </w:rPr>
        <w:t>Table 15:</w:t>
      </w:r>
      <w:r w:rsidR="004E6BB3" w:rsidRPr="00593380">
        <w:rPr>
          <w:rFonts w:ascii="Times New Roman" w:hAnsi="Times New Roman" w:cs="Times New Roman"/>
          <w:b/>
          <w:bCs/>
          <w:color w:val="000000" w:themeColor="text1"/>
        </w:rPr>
        <w:t xml:space="preserve"> </w:t>
      </w:r>
      <w:r w:rsidR="00C350BA" w:rsidRPr="00593380">
        <w:rPr>
          <w:rFonts w:ascii="Times New Roman" w:hAnsi="Times New Roman" w:cs="Times New Roman"/>
          <w:b/>
          <w:bCs/>
          <w:color w:val="000000" w:themeColor="text1"/>
        </w:rPr>
        <w:t>Strategies for Managing and Growing Endowments</w:t>
      </w:r>
    </w:p>
    <w:tbl>
      <w:tblPr>
        <w:tblStyle w:val="TableGrid"/>
        <w:tblW w:w="8941" w:type="dxa"/>
        <w:tblLook w:val="04A0" w:firstRow="1" w:lastRow="0" w:firstColumn="1" w:lastColumn="0" w:noHBand="0" w:noVBand="1"/>
      </w:tblPr>
      <w:tblGrid>
        <w:gridCol w:w="4423"/>
        <w:gridCol w:w="2701"/>
        <w:gridCol w:w="1817"/>
      </w:tblGrid>
      <w:tr w:rsidR="00B02A11" w:rsidRPr="00593380" w14:paraId="65202D10" w14:textId="77777777" w:rsidTr="00C350BA">
        <w:tc>
          <w:tcPr>
            <w:tcW w:w="0" w:type="auto"/>
            <w:hideMark/>
          </w:tcPr>
          <w:p w14:paraId="60BC7997" w14:textId="6F6D4EFD" w:rsidR="00C350BA" w:rsidRPr="00593380" w:rsidRDefault="003A6349" w:rsidP="00D03BEA">
            <w:pPr>
              <w:jc w:val="both"/>
              <w:rPr>
                <w:rFonts w:ascii="Times New Roman" w:hAnsi="Times New Roman" w:cs="Times New Roman"/>
                <w:b/>
                <w:bCs/>
                <w:color w:val="000000" w:themeColor="text1"/>
              </w:rPr>
            </w:pPr>
            <w:r w:rsidRPr="00593380">
              <w:rPr>
                <w:rFonts w:ascii="Times New Roman" w:hAnsi="Times New Roman" w:cs="Times New Roman"/>
                <w:b/>
                <w:bCs/>
                <w:color w:val="000000" w:themeColor="text1"/>
              </w:rPr>
              <w:t>Statement</w:t>
            </w:r>
          </w:p>
        </w:tc>
        <w:tc>
          <w:tcPr>
            <w:tcW w:w="0" w:type="auto"/>
            <w:hideMark/>
          </w:tcPr>
          <w:p w14:paraId="399181E7" w14:textId="77777777" w:rsidR="00C350BA" w:rsidRPr="00593380" w:rsidRDefault="00C350BA" w:rsidP="00D03BEA">
            <w:pPr>
              <w:jc w:val="both"/>
              <w:rPr>
                <w:rFonts w:ascii="Times New Roman" w:hAnsi="Times New Roman" w:cs="Times New Roman"/>
                <w:b/>
                <w:bCs/>
                <w:color w:val="000000" w:themeColor="text1"/>
              </w:rPr>
            </w:pPr>
            <w:r w:rsidRPr="00593380">
              <w:rPr>
                <w:rFonts w:ascii="Times New Roman" w:hAnsi="Times New Roman" w:cs="Times New Roman"/>
                <w:b/>
                <w:bCs/>
                <w:color w:val="000000" w:themeColor="text1"/>
              </w:rPr>
              <w:t>Number of Respondents</w:t>
            </w:r>
          </w:p>
        </w:tc>
        <w:tc>
          <w:tcPr>
            <w:tcW w:w="0" w:type="auto"/>
            <w:hideMark/>
          </w:tcPr>
          <w:p w14:paraId="1E3151E9" w14:textId="2CBD6D1D" w:rsidR="00C350BA" w:rsidRPr="00593380" w:rsidRDefault="00C350BA" w:rsidP="00D03BEA">
            <w:pPr>
              <w:jc w:val="both"/>
              <w:rPr>
                <w:rFonts w:ascii="Times New Roman" w:hAnsi="Times New Roman" w:cs="Times New Roman"/>
                <w:b/>
                <w:bCs/>
                <w:color w:val="000000" w:themeColor="text1"/>
              </w:rPr>
            </w:pPr>
            <w:r w:rsidRPr="00593380">
              <w:rPr>
                <w:rFonts w:ascii="Times New Roman" w:hAnsi="Times New Roman" w:cs="Times New Roman"/>
                <w:b/>
                <w:bCs/>
                <w:color w:val="000000" w:themeColor="text1"/>
              </w:rPr>
              <w:t>Percentage (%)</w:t>
            </w:r>
          </w:p>
        </w:tc>
      </w:tr>
      <w:tr w:rsidR="00B02A11" w:rsidRPr="00593380" w14:paraId="29F3F63D" w14:textId="77777777" w:rsidTr="00C350BA">
        <w:tc>
          <w:tcPr>
            <w:tcW w:w="0" w:type="auto"/>
            <w:hideMark/>
          </w:tcPr>
          <w:p w14:paraId="1E6D9B5A" w14:textId="77777777" w:rsidR="00C350BA" w:rsidRPr="00593380" w:rsidRDefault="00C350BA"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Strategic Investment Management</w:t>
            </w:r>
          </w:p>
        </w:tc>
        <w:tc>
          <w:tcPr>
            <w:tcW w:w="0" w:type="auto"/>
            <w:hideMark/>
          </w:tcPr>
          <w:p w14:paraId="6DED8BAE" w14:textId="77777777" w:rsidR="00C350BA" w:rsidRPr="00593380" w:rsidRDefault="00C350BA"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120</w:t>
            </w:r>
          </w:p>
        </w:tc>
        <w:tc>
          <w:tcPr>
            <w:tcW w:w="0" w:type="auto"/>
            <w:hideMark/>
          </w:tcPr>
          <w:p w14:paraId="4D14970F" w14:textId="77777777" w:rsidR="00C350BA" w:rsidRPr="00593380" w:rsidRDefault="00C350BA"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12.0</w:t>
            </w:r>
          </w:p>
        </w:tc>
      </w:tr>
      <w:tr w:rsidR="00B02A11" w:rsidRPr="00593380" w14:paraId="525E64B4" w14:textId="77777777" w:rsidTr="00C350BA">
        <w:tc>
          <w:tcPr>
            <w:tcW w:w="0" w:type="auto"/>
            <w:hideMark/>
          </w:tcPr>
          <w:p w14:paraId="0F3A4932" w14:textId="77777777" w:rsidR="00C350BA" w:rsidRPr="00593380" w:rsidRDefault="00C350BA"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Risk Management</w:t>
            </w:r>
          </w:p>
        </w:tc>
        <w:tc>
          <w:tcPr>
            <w:tcW w:w="0" w:type="auto"/>
            <w:hideMark/>
          </w:tcPr>
          <w:p w14:paraId="4A16BE22" w14:textId="77777777" w:rsidR="00C350BA" w:rsidRPr="00593380" w:rsidRDefault="00C350BA"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100</w:t>
            </w:r>
          </w:p>
        </w:tc>
        <w:tc>
          <w:tcPr>
            <w:tcW w:w="0" w:type="auto"/>
            <w:hideMark/>
          </w:tcPr>
          <w:p w14:paraId="6588F651" w14:textId="77777777" w:rsidR="00C350BA" w:rsidRPr="00593380" w:rsidRDefault="00C350BA"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10.0</w:t>
            </w:r>
          </w:p>
        </w:tc>
      </w:tr>
      <w:tr w:rsidR="00B02A11" w:rsidRPr="00593380" w14:paraId="03BF2DB6" w14:textId="77777777" w:rsidTr="00C350BA">
        <w:tc>
          <w:tcPr>
            <w:tcW w:w="0" w:type="auto"/>
            <w:hideMark/>
          </w:tcPr>
          <w:p w14:paraId="0A4A4115" w14:textId="77777777" w:rsidR="00C350BA" w:rsidRPr="00593380" w:rsidRDefault="00C350BA"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Diversification of Investments</w:t>
            </w:r>
          </w:p>
        </w:tc>
        <w:tc>
          <w:tcPr>
            <w:tcW w:w="0" w:type="auto"/>
            <w:hideMark/>
          </w:tcPr>
          <w:p w14:paraId="5DAF877D" w14:textId="77777777" w:rsidR="00C350BA" w:rsidRPr="00593380" w:rsidRDefault="00C350BA"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150</w:t>
            </w:r>
          </w:p>
        </w:tc>
        <w:tc>
          <w:tcPr>
            <w:tcW w:w="0" w:type="auto"/>
            <w:hideMark/>
          </w:tcPr>
          <w:p w14:paraId="31ED9D7A" w14:textId="77777777" w:rsidR="00C350BA" w:rsidRPr="00593380" w:rsidRDefault="00C350BA"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15.0</w:t>
            </w:r>
          </w:p>
        </w:tc>
      </w:tr>
      <w:tr w:rsidR="00B02A11" w:rsidRPr="00593380" w14:paraId="4CC0A4B7" w14:textId="77777777" w:rsidTr="00C350BA">
        <w:tc>
          <w:tcPr>
            <w:tcW w:w="0" w:type="auto"/>
            <w:hideMark/>
          </w:tcPr>
          <w:p w14:paraId="5849512B" w14:textId="77777777" w:rsidR="00C350BA" w:rsidRPr="00593380" w:rsidRDefault="00C350BA"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Active Fundraising and Donor Engagement</w:t>
            </w:r>
          </w:p>
        </w:tc>
        <w:tc>
          <w:tcPr>
            <w:tcW w:w="0" w:type="auto"/>
            <w:hideMark/>
          </w:tcPr>
          <w:p w14:paraId="0FBBC55A" w14:textId="77777777" w:rsidR="00C350BA" w:rsidRPr="00593380" w:rsidRDefault="00C350BA"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200</w:t>
            </w:r>
          </w:p>
        </w:tc>
        <w:tc>
          <w:tcPr>
            <w:tcW w:w="0" w:type="auto"/>
            <w:hideMark/>
          </w:tcPr>
          <w:p w14:paraId="318EC24C" w14:textId="77777777" w:rsidR="00C350BA" w:rsidRPr="00593380" w:rsidRDefault="00C350BA"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20.0</w:t>
            </w:r>
          </w:p>
        </w:tc>
      </w:tr>
      <w:tr w:rsidR="00B02A11" w:rsidRPr="00593380" w14:paraId="4A470656" w14:textId="77777777" w:rsidTr="00C350BA">
        <w:tc>
          <w:tcPr>
            <w:tcW w:w="0" w:type="auto"/>
            <w:hideMark/>
          </w:tcPr>
          <w:p w14:paraId="157BE8C9" w14:textId="77777777" w:rsidR="00C350BA" w:rsidRPr="00593380" w:rsidRDefault="00C350BA"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Endowment Naming and Recognition</w:t>
            </w:r>
          </w:p>
        </w:tc>
        <w:tc>
          <w:tcPr>
            <w:tcW w:w="0" w:type="auto"/>
            <w:hideMark/>
          </w:tcPr>
          <w:p w14:paraId="4D9E1480" w14:textId="77777777" w:rsidR="00C350BA" w:rsidRPr="00593380" w:rsidRDefault="00C350BA"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80</w:t>
            </w:r>
          </w:p>
        </w:tc>
        <w:tc>
          <w:tcPr>
            <w:tcW w:w="0" w:type="auto"/>
            <w:hideMark/>
          </w:tcPr>
          <w:p w14:paraId="44855628" w14:textId="77777777" w:rsidR="00C350BA" w:rsidRPr="00593380" w:rsidRDefault="00C350BA"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8.0</w:t>
            </w:r>
          </w:p>
        </w:tc>
      </w:tr>
      <w:tr w:rsidR="00B02A11" w:rsidRPr="00593380" w14:paraId="3749C24B" w14:textId="77777777" w:rsidTr="00C350BA">
        <w:tc>
          <w:tcPr>
            <w:tcW w:w="0" w:type="auto"/>
            <w:hideMark/>
          </w:tcPr>
          <w:p w14:paraId="21CAE7DD" w14:textId="77777777" w:rsidR="00C350BA" w:rsidRPr="00593380" w:rsidRDefault="00C350BA"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Planned Giving and Bequests</w:t>
            </w:r>
          </w:p>
        </w:tc>
        <w:tc>
          <w:tcPr>
            <w:tcW w:w="0" w:type="auto"/>
            <w:hideMark/>
          </w:tcPr>
          <w:p w14:paraId="002DBBDE" w14:textId="77777777" w:rsidR="00C350BA" w:rsidRPr="00593380" w:rsidRDefault="00C350BA"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70</w:t>
            </w:r>
          </w:p>
        </w:tc>
        <w:tc>
          <w:tcPr>
            <w:tcW w:w="0" w:type="auto"/>
            <w:hideMark/>
          </w:tcPr>
          <w:p w14:paraId="758CD810" w14:textId="77777777" w:rsidR="00C350BA" w:rsidRPr="00593380" w:rsidRDefault="00C350BA"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7.0</w:t>
            </w:r>
          </w:p>
        </w:tc>
      </w:tr>
      <w:tr w:rsidR="00B02A11" w:rsidRPr="00593380" w14:paraId="06875C93" w14:textId="77777777" w:rsidTr="00C350BA">
        <w:tc>
          <w:tcPr>
            <w:tcW w:w="0" w:type="auto"/>
            <w:hideMark/>
          </w:tcPr>
          <w:p w14:paraId="23AF8F70" w14:textId="77777777" w:rsidR="00C350BA" w:rsidRPr="00593380" w:rsidRDefault="00C350BA"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Stewardship and Transparency</w:t>
            </w:r>
          </w:p>
        </w:tc>
        <w:tc>
          <w:tcPr>
            <w:tcW w:w="0" w:type="auto"/>
            <w:hideMark/>
          </w:tcPr>
          <w:p w14:paraId="211E8D83" w14:textId="77777777" w:rsidR="00C350BA" w:rsidRPr="00593380" w:rsidRDefault="00C350BA"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90</w:t>
            </w:r>
          </w:p>
        </w:tc>
        <w:tc>
          <w:tcPr>
            <w:tcW w:w="0" w:type="auto"/>
            <w:hideMark/>
          </w:tcPr>
          <w:p w14:paraId="2C279B8E" w14:textId="77777777" w:rsidR="00C350BA" w:rsidRPr="00593380" w:rsidRDefault="00C350BA"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9.0</w:t>
            </w:r>
          </w:p>
        </w:tc>
      </w:tr>
      <w:tr w:rsidR="00B02A11" w:rsidRPr="00593380" w14:paraId="12C401E8" w14:textId="77777777" w:rsidTr="00C350BA">
        <w:tc>
          <w:tcPr>
            <w:tcW w:w="0" w:type="auto"/>
            <w:hideMark/>
          </w:tcPr>
          <w:p w14:paraId="11F7198B" w14:textId="77777777" w:rsidR="00C350BA" w:rsidRPr="00593380" w:rsidRDefault="00C350BA"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Engagement with Alumni</w:t>
            </w:r>
          </w:p>
        </w:tc>
        <w:tc>
          <w:tcPr>
            <w:tcW w:w="0" w:type="auto"/>
            <w:hideMark/>
          </w:tcPr>
          <w:p w14:paraId="4F9BAE6E" w14:textId="77777777" w:rsidR="00C350BA" w:rsidRPr="00593380" w:rsidRDefault="00C350BA"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100</w:t>
            </w:r>
          </w:p>
        </w:tc>
        <w:tc>
          <w:tcPr>
            <w:tcW w:w="0" w:type="auto"/>
            <w:hideMark/>
          </w:tcPr>
          <w:p w14:paraId="227F9000" w14:textId="77777777" w:rsidR="00C350BA" w:rsidRPr="00593380" w:rsidRDefault="00C350BA"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10.0</w:t>
            </w:r>
          </w:p>
        </w:tc>
      </w:tr>
      <w:tr w:rsidR="00B02A11" w:rsidRPr="00593380" w14:paraId="60CF908C" w14:textId="77777777" w:rsidTr="00C350BA">
        <w:tc>
          <w:tcPr>
            <w:tcW w:w="0" w:type="auto"/>
            <w:hideMark/>
          </w:tcPr>
          <w:p w14:paraId="0489D3B6" w14:textId="77777777" w:rsidR="00C350BA" w:rsidRPr="00593380" w:rsidRDefault="00C350BA"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Benchmarking and Performance Evaluation</w:t>
            </w:r>
          </w:p>
        </w:tc>
        <w:tc>
          <w:tcPr>
            <w:tcW w:w="0" w:type="auto"/>
            <w:hideMark/>
          </w:tcPr>
          <w:p w14:paraId="368BA9F6" w14:textId="77777777" w:rsidR="00C350BA" w:rsidRPr="00593380" w:rsidRDefault="00C350BA"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40</w:t>
            </w:r>
          </w:p>
        </w:tc>
        <w:tc>
          <w:tcPr>
            <w:tcW w:w="0" w:type="auto"/>
            <w:hideMark/>
          </w:tcPr>
          <w:p w14:paraId="270408BA" w14:textId="77777777" w:rsidR="00C350BA" w:rsidRPr="00593380" w:rsidRDefault="00C350BA"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4.0</w:t>
            </w:r>
          </w:p>
        </w:tc>
      </w:tr>
      <w:tr w:rsidR="00B02A11" w:rsidRPr="00593380" w14:paraId="1A0B0A66" w14:textId="77777777" w:rsidTr="00C350BA">
        <w:tc>
          <w:tcPr>
            <w:tcW w:w="0" w:type="auto"/>
            <w:hideMark/>
          </w:tcPr>
          <w:p w14:paraId="15E947EB" w14:textId="77777777" w:rsidR="00C350BA" w:rsidRPr="00593380" w:rsidRDefault="00C350BA"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Spending Policies and Sustainability</w:t>
            </w:r>
          </w:p>
        </w:tc>
        <w:tc>
          <w:tcPr>
            <w:tcW w:w="0" w:type="auto"/>
            <w:hideMark/>
          </w:tcPr>
          <w:p w14:paraId="3178BBEB" w14:textId="77777777" w:rsidR="00C350BA" w:rsidRPr="00593380" w:rsidRDefault="00C350BA"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50</w:t>
            </w:r>
          </w:p>
        </w:tc>
        <w:tc>
          <w:tcPr>
            <w:tcW w:w="0" w:type="auto"/>
            <w:hideMark/>
          </w:tcPr>
          <w:p w14:paraId="7FCDED06" w14:textId="77777777" w:rsidR="00C350BA" w:rsidRPr="00593380" w:rsidRDefault="00C350BA"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5.0</w:t>
            </w:r>
          </w:p>
        </w:tc>
      </w:tr>
      <w:tr w:rsidR="00B02A11" w:rsidRPr="00593380" w14:paraId="7243875A" w14:textId="77777777" w:rsidTr="00C350BA">
        <w:tc>
          <w:tcPr>
            <w:tcW w:w="0" w:type="auto"/>
            <w:hideMark/>
          </w:tcPr>
          <w:p w14:paraId="349AB16A" w14:textId="77777777" w:rsidR="00C350BA" w:rsidRPr="00593380" w:rsidRDefault="00C350BA"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Governance and Oversight</w:t>
            </w:r>
          </w:p>
        </w:tc>
        <w:tc>
          <w:tcPr>
            <w:tcW w:w="0" w:type="auto"/>
            <w:hideMark/>
          </w:tcPr>
          <w:p w14:paraId="2D94F87D" w14:textId="77777777" w:rsidR="00C350BA" w:rsidRPr="00593380" w:rsidRDefault="00C350BA"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60</w:t>
            </w:r>
          </w:p>
        </w:tc>
        <w:tc>
          <w:tcPr>
            <w:tcW w:w="0" w:type="auto"/>
            <w:hideMark/>
          </w:tcPr>
          <w:p w14:paraId="470DAA1A" w14:textId="77777777" w:rsidR="00C350BA" w:rsidRPr="00593380" w:rsidRDefault="00C350BA"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6.0</w:t>
            </w:r>
          </w:p>
        </w:tc>
      </w:tr>
      <w:tr w:rsidR="00B02A11" w:rsidRPr="00593380" w14:paraId="3F3FC913" w14:textId="77777777" w:rsidTr="00C350BA">
        <w:tc>
          <w:tcPr>
            <w:tcW w:w="0" w:type="auto"/>
            <w:hideMark/>
          </w:tcPr>
          <w:p w14:paraId="23AC74B8" w14:textId="77777777" w:rsidR="00C350BA" w:rsidRPr="00593380" w:rsidRDefault="00C350BA"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Educating Stakeholders</w:t>
            </w:r>
          </w:p>
        </w:tc>
        <w:tc>
          <w:tcPr>
            <w:tcW w:w="0" w:type="auto"/>
            <w:hideMark/>
          </w:tcPr>
          <w:p w14:paraId="2A067569" w14:textId="77777777" w:rsidR="00C350BA" w:rsidRPr="00593380" w:rsidRDefault="00C350BA"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60</w:t>
            </w:r>
          </w:p>
        </w:tc>
        <w:tc>
          <w:tcPr>
            <w:tcW w:w="0" w:type="auto"/>
            <w:hideMark/>
          </w:tcPr>
          <w:p w14:paraId="54D30A52" w14:textId="77777777" w:rsidR="00C350BA" w:rsidRPr="00593380" w:rsidRDefault="00C350BA"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6.0</w:t>
            </w:r>
          </w:p>
        </w:tc>
      </w:tr>
      <w:tr w:rsidR="00B02A11" w:rsidRPr="00593380" w14:paraId="396F2143" w14:textId="77777777" w:rsidTr="00C350BA">
        <w:tc>
          <w:tcPr>
            <w:tcW w:w="0" w:type="auto"/>
            <w:hideMark/>
          </w:tcPr>
          <w:p w14:paraId="0D11BD37" w14:textId="77777777" w:rsidR="00C350BA" w:rsidRPr="00593380" w:rsidRDefault="00C350BA"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Adapting to Changing Market Conditions</w:t>
            </w:r>
          </w:p>
        </w:tc>
        <w:tc>
          <w:tcPr>
            <w:tcW w:w="0" w:type="auto"/>
            <w:hideMark/>
          </w:tcPr>
          <w:p w14:paraId="7C949C40" w14:textId="77777777" w:rsidR="00C350BA" w:rsidRPr="00593380" w:rsidRDefault="00C350BA"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30</w:t>
            </w:r>
          </w:p>
        </w:tc>
        <w:tc>
          <w:tcPr>
            <w:tcW w:w="0" w:type="auto"/>
            <w:hideMark/>
          </w:tcPr>
          <w:p w14:paraId="6C3B4912" w14:textId="77777777" w:rsidR="00C350BA" w:rsidRPr="00593380" w:rsidRDefault="00C350BA"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3.0</w:t>
            </w:r>
          </w:p>
        </w:tc>
      </w:tr>
      <w:tr w:rsidR="00B02A11" w:rsidRPr="00593380" w14:paraId="2923F010" w14:textId="77777777" w:rsidTr="00C350BA">
        <w:tc>
          <w:tcPr>
            <w:tcW w:w="0" w:type="auto"/>
            <w:hideMark/>
          </w:tcPr>
          <w:p w14:paraId="775BEC91" w14:textId="77777777" w:rsidR="00C350BA" w:rsidRPr="00593380" w:rsidRDefault="00C350BA"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Long-Term Planning</w:t>
            </w:r>
          </w:p>
        </w:tc>
        <w:tc>
          <w:tcPr>
            <w:tcW w:w="0" w:type="auto"/>
            <w:hideMark/>
          </w:tcPr>
          <w:p w14:paraId="1C8F5FBA" w14:textId="77777777" w:rsidR="00C350BA" w:rsidRPr="00593380" w:rsidRDefault="00C350BA"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30</w:t>
            </w:r>
          </w:p>
        </w:tc>
        <w:tc>
          <w:tcPr>
            <w:tcW w:w="0" w:type="auto"/>
            <w:hideMark/>
          </w:tcPr>
          <w:p w14:paraId="43582F86" w14:textId="77777777" w:rsidR="00C350BA" w:rsidRPr="00593380" w:rsidRDefault="00C350BA"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3.0</w:t>
            </w:r>
          </w:p>
        </w:tc>
      </w:tr>
      <w:tr w:rsidR="00B02A11" w:rsidRPr="00593380" w14:paraId="16120A4F" w14:textId="77777777" w:rsidTr="00C350BA">
        <w:tc>
          <w:tcPr>
            <w:tcW w:w="0" w:type="auto"/>
            <w:hideMark/>
          </w:tcPr>
          <w:p w14:paraId="62BD5B1F" w14:textId="77777777" w:rsidR="00C350BA" w:rsidRPr="00593380" w:rsidRDefault="00C350BA" w:rsidP="00D03BEA">
            <w:pPr>
              <w:jc w:val="both"/>
              <w:rPr>
                <w:rFonts w:ascii="Times New Roman" w:hAnsi="Times New Roman" w:cs="Times New Roman"/>
                <w:b/>
                <w:bCs/>
                <w:color w:val="000000" w:themeColor="text1"/>
              </w:rPr>
            </w:pPr>
            <w:r w:rsidRPr="00593380">
              <w:rPr>
                <w:rFonts w:ascii="Times New Roman" w:hAnsi="Times New Roman" w:cs="Times New Roman"/>
                <w:b/>
                <w:bCs/>
                <w:color w:val="000000" w:themeColor="text1"/>
              </w:rPr>
              <w:t>Total</w:t>
            </w:r>
          </w:p>
        </w:tc>
        <w:tc>
          <w:tcPr>
            <w:tcW w:w="0" w:type="auto"/>
            <w:hideMark/>
          </w:tcPr>
          <w:p w14:paraId="155D8EC7" w14:textId="77777777" w:rsidR="00C350BA" w:rsidRPr="00593380" w:rsidRDefault="00C350BA" w:rsidP="00D03BEA">
            <w:pPr>
              <w:jc w:val="both"/>
              <w:rPr>
                <w:rFonts w:ascii="Times New Roman" w:hAnsi="Times New Roman" w:cs="Times New Roman"/>
                <w:b/>
                <w:bCs/>
                <w:color w:val="000000" w:themeColor="text1"/>
              </w:rPr>
            </w:pPr>
            <w:r w:rsidRPr="00593380">
              <w:rPr>
                <w:rFonts w:ascii="Times New Roman" w:hAnsi="Times New Roman" w:cs="Times New Roman"/>
                <w:b/>
                <w:bCs/>
                <w:color w:val="000000" w:themeColor="text1"/>
              </w:rPr>
              <w:t>1000</w:t>
            </w:r>
          </w:p>
        </w:tc>
        <w:tc>
          <w:tcPr>
            <w:tcW w:w="0" w:type="auto"/>
            <w:hideMark/>
          </w:tcPr>
          <w:p w14:paraId="413B2BF4" w14:textId="77777777" w:rsidR="00C350BA" w:rsidRPr="00593380" w:rsidRDefault="00C350BA" w:rsidP="00D03BEA">
            <w:pPr>
              <w:jc w:val="both"/>
              <w:rPr>
                <w:rFonts w:ascii="Times New Roman" w:hAnsi="Times New Roman" w:cs="Times New Roman"/>
                <w:b/>
                <w:bCs/>
                <w:color w:val="000000" w:themeColor="text1"/>
              </w:rPr>
            </w:pPr>
            <w:r w:rsidRPr="00593380">
              <w:rPr>
                <w:rFonts w:ascii="Times New Roman" w:hAnsi="Times New Roman" w:cs="Times New Roman"/>
                <w:b/>
                <w:bCs/>
                <w:color w:val="000000" w:themeColor="text1"/>
              </w:rPr>
              <w:t>100.0</w:t>
            </w:r>
          </w:p>
        </w:tc>
      </w:tr>
    </w:tbl>
    <w:p w14:paraId="7A0FABC1" w14:textId="77777777" w:rsidR="003A6349" w:rsidRPr="00593380" w:rsidRDefault="003A6349" w:rsidP="00593380">
      <w:pPr>
        <w:spacing w:line="360" w:lineRule="auto"/>
        <w:jc w:val="both"/>
        <w:rPr>
          <w:rFonts w:ascii="Times New Roman" w:hAnsi="Times New Roman" w:cs="Times New Roman"/>
          <w:color w:val="000000" w:themeColor="text1"/>
        </w:rPr>
      </w:pPr>
      <w:r w:rsidRPr="00593380">
        <w:rPr>
          <w:rFonts w:ascii="Times New Roman" w:hAnsi="Times New Roman" w:cs="Times New Roman"/>
          <w:color w:val="000000" w:themeColor="text1"/>
        </w:rPr>
        <w:t>Source: Field Survey, 2024.</w:t>
      </w:r>
    </w:p>
    <w:p w14:paraId="7732ACAD" w14:textId="4C93C7B0" w:rsidR="00C350BA" w:rsidRPr="00593380" w:rsidRDefault="00C350BA" w:rsidP="00593380">
      <w:pPr>
        <w:spacing w:line="360" w:lineRule="auto"/>
        <w:jc w:val="both"/>
        <w:rPr>
          <w:rFonts w:ascii="Times New Roman" w:hAnsi="Times New Roman" w:cs="Times New Roman"/>
          <w:color w:val="000000" w:themeColor="text1"/>
        </w:rPr>
      </w:pPr>
      <w:r w:rsidRPr="00593380">
        <w:rPr>
          <w:rFonts w:ascii="Times New Roman" w:hAnsi="Times New Roman" w:cs="Times New Roman"/>
          <w:color w:val="000000" w:themeColor="text1"/>
        </w:rPr>
        <w:t xml:space="preserve">The analysis of respondents' perspectives on the strategies for managing and growing endowments in tertiary institutions provides valuable insights into the perceptions and priorities within the academic community. Among the respondents, active fundraising and donor engagement emerged as the most endorsed strategy, with 200 respondents, constituting 20% of the total, indicating its significance in </w:t>
      </w:r>
      <w:r w:rsidRPr="00593380">
        <w:rPr>
          <w:rFonts w:ascii="Times New Roman" w:hAnsi="Times New Roman" w:cs="Times New Roman"/>
          <w:color w:val="000000" w:themeColor="text1"/>
        </w:rPr>
        <w:lastRenderedPageBreak/>
        <w:t>ensuring long-term financial stability. Diversification of investments and strategic investment management also garnered considerable support, with 150 and 120 respondents, respectively, highlighting the importance of prudent financial planning and portfolio diversification. Interestingly, while risk management and stewardship transparency were recognized as crucial aspects, their endorsement was comparatively lower. This suggests a potential area for improvement in enhancing risk management practices and transparency in financial stewardship. Moreover, the findings underscore the multifaceted nature of endowment management, emphasizing the need for a holistic approach that integrates various strategies to optimize financial resources and sustain long-term growth in tertiary institutions.</w:t>
      </w:r>
    </w:p>
    <w:p w14:paraId="10AD54E5" w14:textId="69360AA9" w:rsidR="008B03B9" w:rsidRPr="00593380" w:rsidRDefault="003A6349" w:rsidP="00593380">
      <w:pPr>
        <w:spacing w:after="0" w:line="360" w:lineRule="auto"/>
        <w:jc w:val="both"/>
        <w:rPr>
          <w:rFonts w:ascii="Times New Roman" w:hAnsi="Times New Roman" w:cs="Times New Roman"/>
          <w:b/>
          <w:bCs/>
          <w:color w:val="000000" w:themeColor="text1"/>
        </w:rPr>
      </w:pPr>
      <w:r w:rsidRPr="00593380">
        <w:rPr>
          <w:rFonts w:ascii="Times New Roman" w:hAnsi="Times New Roman" w:cs="Times New Roman"/>
          <w:b/>
          <w:bCs/>
          <w:color w:val="000000" w:themeColor="text1"/>
        </w:rPr>
        <w:t>Table 16:</w:t>
      </w:r>
      <w:r w:rsidR="004E6BB3" w:rsidRPr="00593380">
        <w:rPr>
          <w:rFonts w:ascii="Times New Roman" w:hAnsi="Times New Roman" w:cs="Times New Roman"/>
          <w:b/>
          <w:bCs/>
          <w:color w:val="000000" w:themeColor="text1"/>
        </w:rPr>
        <w:t xml:space="preserve"> </w:t>
      </w:r>
      <w:r w:rsidR="00BB0A61" w:rsidRPr="00593380">
        <w:rPr>
          <w:rFonts w:ascii="Times New Roman" w:hAnsi="Times New Roman" w:cs="Times New Roman"/>
          <w:b/>
          <w:bCs/>
          <w:color w:val="000000" w:themeColor="text1"/>
        </w:rPr>
        <w:t>Leveraging Research and Development Activities</w:t>
      </w:r>
    </w:p>
    <w:tbl>
      <w:tblPr>
        <w:tblStyle w:val="TableGrid"/>
        <w:tblW w:w="8941" w:type="dxa"/>
        <w:tblLook w:val="04A0" w:firstRow="1" w:lastRow="0" w:firstColumn="1" w:lastColumn="0" w:noHBand="0" w:noVBand="1"/>
      </w:tblPr>
      <w:tblGrid>
        <w:gridCol w:w="5665"/>
        <w:gridCol w:w="1725"/>
        <w:gridCol w:w="1551"/>
      </w:tblGrid>
      <w:tr w:rsidR="00B02A11" w:rsidRPr="00593380" w14:paraId="7E57E127" w14:textId="77777777" w:rsidTr="003A6349">
        <w:tc>
          <w:tcPr>
            <w:tcW w:w="5665" w:type="dxa"/>
            <w:hideMark/>
          </w:tcPr>
          <w:p w14:paraId="04541DDA" w14:textId="1403A268" w:rsidR="008B03B9" w:rsidRPr="00593380" w:rsidRDefault="003A6349" w:rsidP="00D03BEA">
            <w:pPr>
              <w:jc w:val="both"/>
              <w:rPr>
                <w:rFonts w:ascii="Times New Roman" w:hAnsi="Times New Roman" w:cs="Times New Roman"/>
                <w:b/>
                <w:bCs/>
                <w:color w:val="000000" w:themeColor="text1"/>
              </w:rPr>
            </w:pPr>
            <w:r w:rsidRPr="00593380">
              <w:rPr>
                <w:rFonts w:ascii="Times New Roman" w:hAnsi="Times New Roman" w:cs="Times New Roman"/>
                <w:b/>
                <w:bCs/>
                <w:color w:val="000000" w:themeColor="text1"/>
              </w:rPr>
              <w:t>Statement</w:t>
            </w:r>
          </w:p>
        </w:tc>
        <w:tc>
          <w:tcPr>
            <w:tcW w:w="1725" w:type="dxa"/>
            <w:hideMark/>
          </w:tcPr>
          <w:p w14:paraId="2A09E221" w14:textId="77777777" w:rsidR="008B03B9" w:rsidRPr="00593380" w:rsidRDefault="008B03B9" w:rsidP="00D03BEA">
            <w:pPr>
              <w:jc w:val="both"/>
              <w:rPr>
                <w:rFonts w:ascii="Times New Roman" w:hAnsi="Times New Roman" w:cs="Times New Roman"/>
                <w:b/>
                <w:bCs/>
                <w:color w:val="000000" w:themeColor="text1"/>
              </w:rPr>
            </w:pPr>
            <w:r w:rsidRPr="00593380">
              <w:rPr>
                <w:rFonts w:ascii="Times New Roman" w:hAnsi="Times New Roman" w:cs="Times New Roman"/>
                <w:b/>
                <w:bCs/>
                <w:color w:val="000000" w:themeColor="text1"/>
              </w:rPr>
              <w:t>Number of Respondents</w:t>
            </w:r>
          </w:p>
        </w:tc>
        <w:tc>
          <w:tcPr>
            <w:tcW w:w="0" w:type="auto"/>
            <w:hideMark/>
          </w:tcPr>
          <w:p w14:paraId="5834D839" w14:textId="6E389224" w:rsidR="008B03B9" w:rsidRPr="00593380" w:rsidRDefault="008B03B9" w:rsidP="00D03BEA">
            <w:pPr>
              <w:jc w:val="both"/>
              <w:rPr>
                <w:rFonts w:ascii="Times New Roman" w:hAnsi="Times New Roman" w:cs="Times New Roman"/>
                <w:b/>
                <w:bCs/>
                <w:color w:val="000000" w:themeColor="text1"/>
              </w:rPr>
            </w:pPr>
            <w:r w:rsidRPr="00593380">
              <w:rPr>
                <w:rFonts w:ascii="Times New Roman" w:hAnsi="Times New Roman" w:cs="Times New Roman"/>
                <w:b/>
                <w:bCs/>
                <w:color w:val="000000" w:themeColor="text1"/>
              </w:rPr>
              <w:t>Percentage</w:t>
            </w:r>
            <w:r w:rsidR="003A6349" w:rsidRPr="00593380">
              <w:rPr>
                <w:rFonts w:ascii="Times New Roman" w:hAnsi="Times New Roman" w:cs="Times New Roman"/>
                <w:b/>
                <w:bCs/>
                <w:color w:val="000000" w:themeColor="text1"/>
              </w:rPr>
              <w:t xml:space="preserve"> </w:t>
            </w:r>
            <w:r w:rsidRPr="00593380">
              <w:rPr>
                <w:rFonts w:ascii="Times New Roman" w:hAnsi="Times New Roman" w:cs="Times New Roman"/>
                <w:b/>
                <w:bCs/>
                <w:color w:val="000000" w:themeColor="text1"/>
              </w:rPr>
              <w:t>(%)</w:t>
            </w:r>
          </w:p>
        </w:tc>
      </w:tr>
      <w:tr w:rsidR="00B02A11" w:rsidRPr="00593380" w14:paraId="4D226A12" w14:textId="77777777" w:rsidTr="003A6349">
        <w:tc>
          <w:tcPr>
            <w:tcW w:w="5665" w:type="dxa"/>
            <w:hideMark/>
          </w:tcPr>
          <w:p w14:paraId="0C65809E" w14:textId="77777777" w:rsidR="008B03B9" w:rsidRPr="00593380" w:rsidRDefault="008B03B9"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Grant Applications and Research Funding</w:t>
            </w:r>
          </w:p>
        </w:tc>
        <w:tc>
          <w:tcPr>
            <w:tcW w:w="1725" w:type="dxa"/>
            <w:hideMark/>
          </w:tcPr>
          <w:p w14:paraId="2D03F328" w14:textId="77777777" w:rsidR="008B03B9" w:rsidRPr="00593380" w:rsidRDefault="008B03B9"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150</w:t>
            </w:r>
          </w:p>
        </w:tc>
        <w:tc>
          <w:tcPr>
            <w:tcW w:w="0" w:type="auto"/>
            <w:hideMark/>
          </w:tcPr>
          <w:p w14:paraId="0B94237F" w14:textId="77777777" w:rsidR="008B03B9" w:rsidRPr="00593380" w:rsidRDefault="008B03B9"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15.0</w:t>
            </w:r>
          </w:p>
        </w:tc>
      </w:tr>
      <w:tr w:rsidR="00B02A11" w:rsidRPr="00593380" w14:paraId="5C1123CF" w14:textId="77777777" w:rsidTr="003A6349">
        <w:tc>
          <w:tcPr>
            <w:tcW w:w="5665" w:type="dxa"/>
            <w:hideMark/>
          </w:tcPr>
          <w:p w14:paraId="3C4C1173" w14:textId="77777777" w:rsidR="008B03B9" w:rsidRPr="00593380" w:rsidRDefault="008B03B9"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Industry Collaborations and Partnerships</w:t>
            </w:r>
          </w:p>
        </w:tc>
        <w:tc>
          <w:tcPr>
            <w:tcW w:w="1725" w:type="dxa"/>
            <w:hideMark/>
          </w:tcPr>
          <w:p w14:paraId="4D464B9B" w14:textId="77777777" w:rsidR="008B03B9" w:rsidRPr="00593380" w:rsidRDefault="008B03B9"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180</w:t>
            </w:r>
          </w:p>
        </w:tc>
        <w:tc>
          <w:tcPr>
            <w:tcW w:w="0" w:type="auto"/>
            <w:hideMark/>
          </w:tcPr>
          <w:p w14:paraId="1CCF698E" w14:textId="77777777" w:rsidR="008B03B9" w:rsidRPr="00593380" w:rsidRDefault="008B03B9"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18.0</w:t>
            </w:r>
          </w:p>
        </w:tc>
      </w:tr>
      <w:tr w:rsidR="00B02A11" w:rsidRPr="00593380" w14:paraId="039FFC37" w14:textId="77777777" w:rsidTr="003A6349">
        <w:tc>
          <w:tcPr>
            <w:tcW w:w="5665" w:type="dxa"/>
            <w:hideMark/>
          </w:tcPr>
          <w:p w14:paraId="18979105" w14:textId="77777777" w:rsidR="008B03B9" w:rsidRPr="00593380" w:rsidRDefault="008B03B9"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Technology Transfer and Commercialization</w:t>
            </w:r>
          </w:p>
        </w:tc>
        <w:tc>
          <w:tcPr>
            <w:tcW w:w="1725" w:type="dxa"/>
            <w:hideMark/>
          </w:tcPr>
          <w:p w14:paraId="09A337F9" w14:textId="77777777" w:rsidR="008B03B9" w:rsidRPr="00593380" w:rsidRDefault="008B03B9"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120</w:t>
            </w:r>
          </w:p>
        </w:tc>
        <w:tc>
          <w:tcPr>
            <w:tcW w:w="0" w:type="auto"/>
            <w:hideMark/>
          </w:tcPr>
          <w:p w14:paraId="55A7060D" w14:textId="77777777" w:rsidR="008B03B9" w:rsidRPr="00593380" w:rsidRDefault="008B03B9"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12.0</w:t>
            </w:r>
          </w:p>
        </w:tc>
      </w:tr>
      <w:tr w:rsidR="00B02A11" w:rsidRPr="00593380" w14:paraId="1F925061" w14:textId="77777777" w:rsidTr="003A6349">
        <w:tc>
          <w:tcPr>
            <w:tcW w:w="5665" w:type="dxa"/>
            <w:hideMark/>
          </w:tcPr>
          <w:p w14:paraId="2B9B7524" w14:textId="77777777" w:rsidR="008B03B9" w:rsidRPr="00593380" w:rsidRDefault="008B03B9"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Institutions engage in the transfer of technology and the commercialization of research findings</w:t>
            </w:r>
          </w:p>
        </w:tc>
        <w:tc>
          <w:tcPr>
            <w:tcW w:w="1725" w:type="dxa"/>
            <w:hideMark/>
          </w:tcPr>
          <w:p w14:paraId="05E9B189" w14:textId="77777777" w:rsidR="008B03B9" w:rsidRPr="00593380" w:rsidRDefault="008B03B9"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90</w:t>
            </w:r>
          </w:p>
        </w:tc>
        <w:tc>
          <w:tcPr>
            <w:tcW w:w="0" w:type="auto"/>
            <w:hideMark/>
          </w:tcPr>
          <w:p w14:paraId="714C84DF" w14:textId="77777777" w:rsidR="008B03B9" w:rsidRPr="00593380" w:rsidRDefault="008B03B9"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9.0</w:t>
            </w:r>
          </w:p>
        </w:tc>
      </w:tr>
      <w:tr w:rsidR="00B02A11" w:rsidRPr="00593380" w14:paraId="5868E8BE" w14:textId="77777777" w:rsidTr="003A6349">
        <w:tc>
          <w:tcPr>
            <w:tcW w:w="5665" w:type="dxa"/>
            <w:hideMark/>
          </w:tcPr>
          <w:p w14:paraId="4B226C55" w14:textId="77777777" w:rsidR="008B03B9" w:rsidRPr="00593380" w:rsidRDefault="008B03B9"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Contract Research and Consulting Services</w:t>
            </w:r>
          </w:p>
        </w:tc>
        <w:tc>
          <w:tcPr>
            <w:tcW w:w="1725" w:type="dxa"/>
            <w:hideMark/>
          </w:tcPr>
          <w:p w14:paraId="02A2E395" w14:textId="77777777" w:rsidR="008B03B9" w:rsidRPr="00593380" w:rsidRDefault="008B03B9"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100</w:t>
            </w:r>
          </w:p>
        </w:tc>
        <w:tc>
          <w:tcPr>
            <w:tcW w:w="0" w:type="auto"/>
            <w:hideMark/>
          </w:tcPr>
          <w:p w14:paraId="3E01716B" w14:textId="77777777" w:rsidR="008B03B9" w:rsidRPr="00593380" w:rsidRDefault="008B03B9"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10.0</w:t>
            </w:r>
          </w:p>
        </w:tc>
      </w:tr>
      <w:tr w:rsidR="00B02A11" w:rsidRPr="00593380" w14:paraId="74482D37" w14:textId="77777777" w:rsidTr="003A6349">
        <w:tc>
          <w:tcPr>
            <w:tcW w:w="5665" w:type="dxa"/>
            <w:hideMark/>
          </w:tcPr>
          <w:p w14:paraId="4BB5ADD2" w14:textId="77777777" w:rsidR="008B03B9" w:rsidRPr="00593380" w:rsidRDefault="008B03B9"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Research Centers and Institutes</w:t>
            </w:r>
          </w:p>
        </w:tc>
        <w:tc>
          <w:tcPr>
            <w:tcW w:w="1725" w:type="dxa"/>
            <w:hideMark/>
          </w:tcPr>
          <w:p w14:paraId="13DA213E" w14:textId="77777777" w:rsidR="008B03B9" w:rsidRPr="00593380" w:rsidRDefault="008B03B9"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80</w:t>
            </w:r>
          </w:p>
        </w:tc>
        <w:tc>
          <w:tcPr>
            <w:tcW w:w="0" w:type="auto"/>
            <w:hideMark/>
          </w:tcPr>
          <w:p w14:paraId="3239F3BB" w14:textId="77777777" w:rsidR="008B03B9" w:rsidRPr="00593380" w:rsidRDefault="008B03B9"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8.0</w:t>
            </w:r>
          </w:p>
        </w:tc>
      </w:tr>
      <w:tr w:rsidR="00B02A11" w:rsidRPr="00593380" w14:paraId="1C9DFA15" w14:textId="77777777" w:rsidTr="003A6349">
        <w:tc>
          <w:tcPr>
            <w:tcW w:w="5665" w:type="dxa"/>
            <w:hideMark/>
          </w:tcPr>
          <w:p w14:paraId="0FFB807C" w14:textId="77777777" w:rsidR="008B03B9" w:rsidRPr="00593380" w:rsidRDefault="008B03B9"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Participation in Consortia and Collaborative Initiatives</w:t>
            </w:r>
          </w:p>
        </w:tc>
        <w:tc>
          <w:tcPr>
            <w:tcW w:w="1725" w:type="dxa"/>
            <w:hideMark/>
          </w:tcPr>
          <w:p w14:paraId="3E7CBEEF" w14:textId="77777777" w:rsidR="008B03B9" w:rsidRPr="00593380" w:rsidRDefault="008B03B9"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70</w:t>
            </w:r>
          </w:p>
        </w:tc>
        <w:tc>
          <w:tcPr>
            <w:tcW w:w="0" w:type="auto"/>
            <w:hideMark/>
          </w:tcPr>
          <w:p w14:paraId="52B59EE8" w14:textId="77777777" w:rsidR="008B03B9" w:rsidRPr="00593380" w:rsidRDefault="008B03B9"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7.0</w:t>
            </w:r>
          </w:p>
        </w:tc>
      </w:tr>
      <w:tr w:rsidR="00B02A11" w:rsidRPr="00593380" w14:paraId="14304982" w14:textId="77777777" w:rsidTr="003A6349">
        <w:tc>
          <w:tcPr>
            <w:tcW w:w="5665" w:type="dxa"/>
            <w:hideMark/>
          </w:tcPr>
          <w:p w14:paraId="738FBC43" w14:textId="77777777" w:rsidR="008B03B9" w:rsidRPr="00593380" w:rsidRDefault="008B03B9"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Endowments for Research Excellence</w:t>
            </w:r>
          </w:p>
        </w:tc>
        <w:tc>
          <w:tcPr>
            <w:tcW w:w="1725" w:type="dxa"/>
            <w:hideMark/>
          </w:tcPr>
          <w:p w14:paraId="6C363EDD" w14:textId="77777777" w:rsidR="008B03B9" w:rsidRPr="00593380" w:rsidRDefault="008B03B9"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60</w:t>
            </w:r>
          </w:p>
        </w:tc>
        <w:tc>
          <w:tcPr>
            <w:tcW w:w="0" w:type="auto"/>
            <w:hideMark/>
          </w:tcPr>
          <w:p w14:paraId="78168D1B" w14:textId="77777777" w:rsidR="008B03B9" w:rsidRPr="00593380" w:rsidRDefault="008B03B9"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6.0</w:t>
            </w:r>
          </w:p>
        </w:tc>
      </w:tr>
      <w:tr w:rsidR="00B02A11" w:rsidRPr="00593380" w14:paraId="025FA57E" w14:textId="77777777" w:rsidTr="003A6349">
        <w:tc>
          <w:tcPr>
            <w:tcW w:w="5665" w:type="dxa"/>
            <w:hideMark/>
          </w:tcPr>
          <w:p w14:paraId="1B80CE14" w14:textId="77777777" w:rsidR="008B03B9" w:rsidRPr="00593380" w:rsidRDefault="008B03B9"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Research Fellowships and Scholarships</w:t>
            </w:r>
          </w:p>
        </w:tc>
        <w:tc>
          <w:tcPr>
            <w:tcW w:w="1725" w:type="dxa"/>
            <w:hideMark/>
          </w:tcPr>
          <w:p w14:paraId="376EA48A" w14:textId="77777777" w:rsidR="008B03B9" w:rsidRPr="00593380" w:rsidRDefault="008B03B9"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50</w:t>
            </w:r>
          </w:p>
        </w:tc>
        <w:tc>
          <w:tcPr>
            <w:tcW w:w="0" w:type="auto"/>
            <w:hideMark/>
          </w:tcPr>
          <w:p w14:paraId="2AAB22B8" w14:textId="77777777" w:rsidR="008B03B9" w:rsidRPr="00593380" w:rsidRDefault="008B03B9"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5.0</w:t>
            </w:r>
          </w:p>
        </w:tc>
      </w:tr>
      <w:tr w:rsidR="00B02A11" w:rsidRPr="00593380" w14:paraId="39F3B467" w14:textId="77777777" w:rsidTr="003A6349">
        <w:tc>
          <w:tcPr>
            <w:tcW w:w="5665" w:type="dxa"/>
            <w:hideMark/>
          </w:tcPr>
          <w:p w14:paraId="2A5C928A" w14:textId="77777777" w:rsidR="008B03B9" w:rsidRPr="00593380" w:rsidRDefault="008B03B9"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Government Research Grants and Contracts</w:t>
            </w:r>
          </w:p>
        </w:tc>
        <w:tc>
          <w:tcPr>
            <w:tcW w:w="1725" w:type="dxa"/>
            <w:hideMark/>
          </w:tcPr>
          <w:p w14:paraId="3C6E81B7" w14:textId="77777777" w:rsidR="008B03B9" w:rsidRPr="00593380" w:rsidRDefault="008B03B9"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70</w:t>
            </w:r>
          </w:p>
        </w:tc>
        <w:tc>
          <w:tcPr>
            <w:tcW w:w="0" w:type="auto"/>
            <w:hideMark/>
          </w:tcPr>
          <w:p w14:paraId="76732231" w14:textId="77777777" w:rsidR="008B03B9" w:rsidRPr="00593380" w:rsidRDefault="008B03B9"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7.0</w:t>
            </w:r>
          </w:p>
        </w:tc>
      </w:tr>
      <w:tr w:rsidR="00B02A11" w:rsidRPr="00593380" w14:paraId="2CEE4487" w14:textId="77777777" w:rsidTr="003A6349">
        <w:tc>
          <w:tcPr>
            <w:tcW w:w="5665" w:type="dxa"/>
            <w:hideMark/>
          </w:tcPr>
          <w:p w14:paraId="555C9DF8" w14:textId="77777777" w:rsidR="008B03B9" w:rsidRPr="00593380" w:rsidRDefault="008B03B9"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Public-Private Partnerships (PPPs)</w:t>
            </w:r>
          </w:p>
        </w:tc>
        <w:tc>
          <w:tcPr>
            <w:tcW w:w="1725" w:type="dxa"/>
            <w:hideMark/>
          </w:tcPr>
          <w:p w14:paraId="5D252908" w14:textId="77777777" w:rsidR="008B03B9" w:rsidRPr="00593380" w:rsidRDefault="008B03B9"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80</w:t>
            </w:r>
          </w:p>
        </w:tc>
        <w:tc>
          <w:tcPr>
            <w:tcW w:w="0" w:type="auto"/>
            <w:hideMark/>
          </w:tcPr>
          <w:p w14:paraId="75A3EDFF" w14:textId="77777777" w:rsidR="008B03B9" w:rsidRPr="00593380" w:rsidRDefault="008B03B9"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8.0</w:t>
            </w:r>
          </w:p>
        </w:tc>
      </w:tr>
      <w:tr w:rsidR="00B02A11" w:rsidRPr="00593380" w14:paraId="5683F581" w14:textId="77777777" w:rsidTr="003A6349">
        <w:tc>
          <w:tcPr>
            <w:tcW w:w="5665" w:type="dxa"/>
            <w:hideMark/>
          </w:tcPr>
          <w:p w14:paraId="4BC7B04E" w14:textId="77777777" w:rsidR="008B03B9" w:rsidRPr="00593380" w:rsidRDefault="008B03B9"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Sponsored Research Programs</w:t>
            </w:r>
          </w:p>
        </w:tc>
        <w:tc>
          <w:tcPr>
            <w:tcW w:w="1725" w:type="dxa"/>
            <w:hideMark/>
          </w:tcPr>
          <w:p w14:paraId="46C38231" w14:textId="77777777" w:rsidR="008B03B9" w:rsidRPr="00593380" w:rsidRDefault="008B03B9"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60</w:t>
            </w:r>
          </w:p>
        </w:tc>
        <w:tc>
          <w:tcPr>
            <w:tcW w:w="0" w:type="auto"/>
            <w:hideMark/>
          </w:tcPr>
          <w:p w14:paraId="5566742E" w14:textId="77777777" w:rsidR="008B03B9" w:rsidRPr="00593380" w:rsidRDefault="008B03B9"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6.0</w:t>
            </w:r>
          </w:p>
        </w:tc>
      </w:tr>
      <w:tr w:rsidR="00B02A11" w:rsidRPr="00593380" w14:paraId="2F3BD72B" w14:textId="77777777" w:rsidTr="003A6349">
        <w:tc>
          <w:tcPr>
            <w:tcW w:w="5665" w:type="dxa"/>
            <w:hideMark/>
          </w:tcPr>
          <w:p w14:paraId="1F6E4C2D" w14:textId="77777777" w:rsidR="008B03B9" w:rsidRPr="00593380" w:rsidRDefault="008B03B9"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Participation in Research Competitions</w:t>
            </w:r>
          </w:p>
        </w:tc>
        <w:tc>
          <w:tcPr>
            <w:tcW w:w="1725" w:type="dxa"/>
            <w:hideMark/>
          </w:tcPr>
          <w:p w14:paraId="656D2CEB" w14:textId="77777777" w:rsidR="008B03B9" w:rsidRPr="00593380" w:rsidRDefault="008B03B9"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40</w:t>
            </w:r>
          </w:p>
        </w:tc>
        <w:tc>
          <w:tcPr>
            <w:tcW w:w="0" w:type="auto"/>
            <w:hideMark/>
          </w:tcPr>
          <w:p w14:paraId="286113A8" w14:textId="77777777" w:rsidR="008B03B9" w:rsidRPr="00593380" w:rsidRDefault="008B03B9"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4.0</w:t>
            </w:r>
          </w:p>
        </w:tc>
      </w:tr>
      <w:tr w:rsidR="00B02A11" w:rsidRPr="00593380" w14:paraId="07F75208" w14:textId="77777777" w:rsidTr="003A6349">
        <w:tc>
          <w:tcPr>
            <w:tcW w:w="5665" w:type="dxa"/>
            <w:hideMark/>
          </w:tcPr>
          <w:p w14:paraId="25BA5CDF" w14:textId="77777777" w:rsidR="008B03B9" w:rsidRPr="00593380" w:rsidRDefault="008B03B9"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Patent Licensing and Royalties</w:t>
            </w:r>
          </w:p>
        </w:tc>
        <w:tc>
          <w:tcPr>
            <w:tcW w:w="1725" w:type="dxa"/>
            <w:hideMark/>
          </w:tcPr>
          <w:p w14:paraId="79899F17" w14:textId="77777777" w:rsidR="008B03B9" w:rsidRPr="00593380" w:rsidRDefault="008B03B9"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20</w:t>
            </w:r>
          </w:p>
        </w:tc>
        <w:tc>
          <w:tcPr>
            <w:tcW w:w="0" w:type="auto"/>
            <w:hideMark/>
          </w:tcPr>
          <w:p w14:paraId="2FA92B85" w14:textId="77777777" w:rsidR="008B03B9" w:rsidRPr="00593380" w:rsidRDefault="008B03B9"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2.0</w:t>
            </w:r>
          </w:p>
        </w:tc>
      </w:tr>
      <w:tr w:rsidR="00B02A11" w:rsidRPr="00593380" w14:paraId="17A3604D" w14:textId="77777777" w:rsidTr="003A6349">
        <w:tc>
          <w:tcPr>
            <w:tcW w:w="5665" w:type="dxa"/>
            <w:hideMark/>
          </w:tcPr>
          <w:p w14:paraId="36129FAD" w14:textId="77777777" w:rsidR="008B03B9" w:rsidRPr="00593380" w:rsidRDefault="008B03B9"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Contribution to Economic Development</w:t>
            </w:r>
          </w:p>
        </w:tc>
        <w:tc>
          <w:tcPr>
            <w:tcW w:w="1725" w:type="dxa"/>
            <w:hideMark/>
          </w:tcPr>
          <w:p w14:paraId="03846E1E" w14:textId="77777777" w:rsidR="008B03B9" w:rsidRPr="00593380" w:rsidRDefault="008B03B9"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30</w:t>
            </w:r>
          </w:p>
        </w:tc>
        <w:tc>
          <w:tcPr>
            <w:tcW w:w="0" w:type="auto"/>
            <w:hideMark/>
          </w:tcPr>
          <w:p w14:paraId="0A812634" w14:textId="77777777" w:rsidR="008B03B9" w:rsidRPr="00593380" w:rsidRDefault="008B03B9"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3.0</w:t>
            </w:r>
          </w:p>
        </w:tc>
      </w:tr>
      <w:tr w:rsidR="00B02A11" w:rsidRPr="00593380" w14:paraId="0E422178" w14:textId="77777777" w:rsidTr="003A6349">
        <w:tc>
          <w:tcPr>
            <w:tcW w:w="5665" w:type="dxa"/>
            <w:hideMark/>
          </w:tcPr>
          <w:p w14:paraId="71B2216B" w14:textId="77777777" w:rsidR="008B03B9" w:rsidRPr="00593380" w:rsidRDefault="008B03B9" w:rsidP="00D03BEA">
            <w:pPr>
              <w:jc w:val="both"/>
              <w:rPr>
                <w:rFonts w:ascii="Times New Roman" w:hAnsi="Times New Roman" w:cs="Times New Roman"/>
                <w:b/>
                <w:bCs/>
                <w:color w:val="000000" w:themeColor="text1"/>
              </w:rPr>
            </w:pPr>
            <w:r w:rsidRPr="00593380">
              <w:rPr>
                <w:rFonts w:ascii="Times New Roman" w:hAnsi="Times New Roman" w:cs="Times New Roman"/>
                <w:b/>
                <w:bCs/>
                <w:color w:val="000000" w:themeColor="text1"/>
              </w:rPr>
              <w:t>Total</w:t>
            </w:r>
          </w:p>
        </w:tc>
        <w:tc>
          <w:tcPr>
            <w:tcW w:w="1725" w:type="dxa"/>
            <w:hideMark/>
          </w:tcPr>
          <w:p w14:paraId="59B8EF98" w14:textId="77777777" w:rsidR="008B03B9" w:rsidRPr="00593380" w:rsidRDefault="008B03B9" w:rsidP="00D03BEA">
            <w:pPr>
              <w:jc w:val="both"/>
              <w:rPr>
                <w:rFonts w:ascii="Times New Roman" w:hAnsi="Times New Roman" w:cs="Times New Roman"/>
                <w:b/>
                <w:bCs/>
                <w:color w:val="000000" w:themeColor="text1"/>
              </w:rPr>
            </w:pPr>
            <w:r w:rsidRPr="00593380">
              <w:rPr>
                <w:rFonts w:ascii="Times New Roman" w:hAnsi="Times New Roman" w:cs="Times New Roman"/>
                <w:b/>
                <w:bCs/>
                <w:color w:val="000000" w:themeColor="text1"/>
              </w:rPr>
              <w:t>1000</w:t>
            </w:r>
          </w:p>
        </w:tc>
        <w:tc>
          <w:tcPr>
            <w:tcW w:w="0" w:type="auto"/>
            <w:hideMark/>
          </w:tcPr>
          <w:p w14:paraId="26CC7F73" w14:textId="77777777" w:rsidR="008B03B9" w:rsidRPr="00593380" w:rsidRDefault="008B03B9" w:rsidP="00D03BEA">
            <w:pPr>
              <w:jc w:val="both"/>
              <w:rPr>
                <w:rFonts w:ascii="Times New Roman" w:hAnsi="Times New Roman" w:cs="Times New Roman"/>
                <w:b/>
                <w:bCs/>
                <w:color w:val="000000" w:themeColor="text1"/>
              </w:rPr>
            </w:pPr>
            <w:r w:rsidRPr="00593380">
              <w:rPr>
                <w:rFonts w:ascii="Times New Roman" w:hAnsi="Times New Roman" w:cs="Times New Roman"/>
                <w:b/>
                <w:bCs/>
                <w:color w:val="000000" w:themeColor="text1"/>
              </w:rPr>
              <w:t>100.0</w:t>
            </w:r>
          </w:p>
        </w:tc>
      </w:tr>
    </w:tbl>
    <w:p w14:paraId="78E29638" w14:textId="77777777" w:rsidR="003A6349" w:rsidRPr="00593380" w:rsidRDefault="003A6349" w:rsidP="00593380">
      <w:pPr>
        <w:spacing w:line="360" w:lineRule="auto"/>
        <w:jc w:val="both"/>
        <w:rPr>
          <w:rFonts w:ascii="Times New Roman" w:hAnsi="Times New Roman" w:cs="Times New Roman"/>
          <w:color w:val="000000" w:themeColor="text1"/>
        </w:rPr>
      </w:pPr>
      <w:r w:rsidRPr="00593380">
        <w:rPr>
          <w:rFonts w:ascii="Times New Roman" w:hAnsi="Times New Roman" w:cs="Times New Roman"/>
          <w:color w:val="000000" w:themeColor="text1"/>
        </w:rPr>
        <w:t>Source: Field Survey, 2024.</w:t>
      </w:r>
    </w:p>
    <w:p w14:paraId="7910D578" w14:textId="6A9191B8" w:rsidR="00BB0A61" w:rsidRPr="00593380" w:rsidRDefault="00BB0A61" w:rsidP="00593380">
      <w:pPr>
        <w:spacing w:line="360" w:lineRule="auto"/>
        <w:jc w:val="both"/>
        <w:rPr>
          <w:rFonts w:ascii="Times New Roman" w:hAnsi="Times New Roman" w:cs="Times New Roman"/>
          <w:color w:val="000000" w:themeColor="text1"/>
        </w:rPr>
      </w:pPr>
      <w:r w:rsidRPr="00593380">
        <w:rPr>
          <w:rFonts w:ascii="Times New Roman" w:hAnsi="Times New Roman" w:cs="Times New Roman"/>
          <w:color w:val="000000" w:themeColor="text1"/>
        </w:rPr>
        <w:t>Table</w:t>
      </w:r>
      <w:r w:rsidR="007D60C0" w:rsidRPr="00593380">
        <w:rPr>
          <w:rFonts w:ascii="Times New Roman" w:hAnsi="Times New Roman" w:cs="Times New Roman"/>
          <w:color w:val="000000" w:themeColor="text1"/>
        </w:rPr>
        <w:t xml:space="preserve"> 16</w:t>
      </w:r>
      <w:r w:rsidRPr="00593380">
        <w:rPr>
          <w:rFonts w:ascii="Times New Roman" w:hAnsi="Times New Roman" w:cs="Times New Roman"/>
          <w:color w:val="000000" w:themeColor="text1"/>
        </w:rPr>
        <w:t xml:space="preserve"> presents the distribution of responses regarding the ways tertiary institutions leverage research and development (R&amp;D) activities to attract external funding and generate revenue. It's evident that a variety of strategies are employed, with the highest percentages allocated to "Industry Collaborations and Partnerships" (18.0%) and "Grant Applications and Research Funding" (15.0%). These results underscore the importance of collaborations with industries and securing external grants for research endeavors. Additionally, "Technology Transfer and Commercialization" (12.0%) and "Contract Research and Consulting Services" (10.0%) are also notable strategies, highlighting the focus on commercializing research outcomes and offering consultancy services to external entities. However, it's worth noting that some strategies, such as "Patent Licensing and Royalties" (2.0%) and "Contribution to Economic Development" (3.0%), received relatively lower percentages, suggesting potential areas for growth and exploration. Overall, the findings suggest that tertiary institutions employ a diversified </w:t>
      </w:r>
      <w:r w:rsidRPr="00593380">
        <w:rPr>
          <w:rFonts w:ascii="Times New Roman" w:hAnsi="Times New Roman" w:cs="Times New Roman"/>
          <w:color w:val="000000" w:themeColor="text1"/>
        </w:rPr>
        <w:lastRenderedPageBreak/>
        <w:t>approach to R&amp;D revenue generation, emphasizing partnerships, funding acquisition, and commercialization efforts.</w:t>
      </w:r>
    </w:p>
    <w:p w14:paraId="09292BB2" w14:textId="38A6D188" w:rsidR="00B35B5C" w:rsidRPr="00593380" w:rsidRDefault="003A6349" w:rsidP="00593380">
      <w:pPr>
        <w:spacing w:after="0" w:line="360" w:lineRule="auto"/>
        <w:jc w:val="both"/>
        <w:rPr>
          <w:rFonts w:ascii="Times New Roman" w:hAnsi="Times New Roman" w:cs="Times New Roman"/>
          <w:b/>
          <w:bCs/>
          <w:color w:val="000000" w:themeColor="text1"/>
        </w:rPr>
      </w:pPr>
      <w:r w:rsidRPr="00593380">
        <w:rPr>
          <w:rFonts w:ascii="Times New Roman" w:hAnsi="Times New Roman" w:cs="Times New Roman"/>
          <w:b/>
          <w:bCs/>
          <w:color w:val="000000" w:themeColor="text1"/>
        </w:rPr>
        <w:t>Table 17:</w:t>
      </w:r>
      <w:r w:rsidR="004E6BB3" w:rsidRPr="00593380">
        <w:rPr>
          <w:rFonts w:ascii="Times New Roman" w:hAnsi="Times New Roman" w:cs="Times New Roman"/>
          <w:b/>
          <w:bCs/>
          <w:color w:val="000000" w:themeColor="text1"/>
        </w:rPr>
        <w:t xml:space="preserve"> </w:t>
      </w:r>
      <w:r w:rsidR="00B35B5C" w:rsidRPr="00593380">
        <w:rPr>
          <w:rFonts w:ascii="Times New Roman" w:hAnsi="Times New Roman" w:cs="Times New Roman"/>
          <w:b/>
          <w:bCs/>
          <w:color w:val="000000" w:themeColor="text1"/>
        </w:rPr>
        <w:t>Industry Collaboration and Funding Research Initiatives</w:t>
      </w:r>
    </w:p>
    <w:tbl>
      <w:tblPr>
        <w:tblStyle w:val="TableGrid"/>
        <w:tblW w:w="8941" w:type="dxa"/>
        <w:tblLook w:val="04A0" w:firstRow="1" w:lastRow="0" w:firstColumn="1" w:lastColumn="0" w:noHBand="0" w:noVBand="1"/>
      </w:tblPr>
      <w:tblGrid>
        <w:gridCol w:w="4468"/>
        <w:gridCol w:w="2674"/>
        <w:gridCol w:w="1799"/>
      </w:tblGrid>
      <w:tr w:rsidR="00B02A11" w:rsidRPr="00593380" w14:paraId="181D99C7" w14:textId="77777777" w:rsidTr="00B35B5C">
        <w:tc>
          <w:tcPr>
            <w:tcW w:w="0" w:type="auto"/>
            <w:hideMark/>
          </w:tcPr>
          <w:p w14:paraId="0B7DF434" w14:textId="0082F887" w:rsidR="00B35B5C" w:rsidRPr="00593380" w:rsidRDefault="003A6349" w:rsidP="00D03BEA">
            <w:pPr>
              <w:jc w:val="both"/>
              <w:rPr>
                <w:rFonts w:ascii="Times New Roman" w:hAnsi="Times New Roman" w:cs="Times New Roman"/>
                <w:b/>
                <w:bCs/>
                <w:color w:val="000000" w:themeColor="text1"/>
              </w:rPr>
            </w:pPr>
            <w:r w:rsidRPr="00593380">
              <w:rPr>
                <w:rFonts w:ascii="Times New Roman" w:hAnsi="Times New Roman" w:cs="Times New Roman"/>
                <w:b/>
                <w:bCs/>
                <w:color w:val="000000" w:themeColor="text1"/>
              </w:rPr>
              <w:t>Statement</w:t>
            </w:r>
          </w:p>
        </w:tc>
        <w:tc>
          <w:tcPr>
            <w:tcW w:w="0" w:type="auto"/>
            <w:hideMark/>
          </w:tcPr>
          <w:p w14:paraId="7A0E2CA1" w14:textId="77777777" w:rsidR="00B35B5C" w:rsidRPr="00593380" w:rsidRDefault="00B35B5C" w:rsidP="00D03BEA">
            <w:pPr>
              <w:jc w:val="both"/>
              <w:rPr>
                <w:rFonts w:ascii="Times New Roman" w:hAnsi="Times New Roman" w:cs="Times New Roman"/>
                <w:b/>
                <w:bCs/>
                <w:color w:val="000000" w:themeColor="text1"/>
              </w:rPr>
            </w:pPr>
            <w:r w:rsidRPr="00593380">
              <w:rPr>
                <w:rFonts w:ascii="Times New Roman" w:hAnsi="Times New Roman" w:cs="Times New Roman"/>
                <w:b/>
                <w:bCs/>
                <w:color w:val="000000" w:themeColor="text1"/>
              </w:rPr>
              <w:t>Number of Respondents</w:t>
            </w:r>
          </w:p>
        </w:tc>
        <w:tc>
          <w:tcPr>
            <w:tcW w:w="0" w:type="auto"/>
            <w:hideMark/>
          </w:tcPr>
          <w:p w14:paraId="0CD3101B" w14:textId="4E5013CC" w:rsidR="00B35B5C" w:rsidRPr="00593380" w:rsidRDefault="00B35B5C" w:rsidP="00D03BEA">
            <w:pPr>
              <w:jc w:val="both"/>
              <w:rPr>
                <w:rFonts w:ascii="Times New Roman" w:hAnsi="Times New Roman" w:cs="Times New Roman"/>
                <w:b/>
                <w:bCs/>
                <w:color w:val="000000" w:themeColor="text1"/>
              </w:rPr>
            </w:pPr>
            <w:r w:rsidRPr="00593380">
              <w:rPr>
                <w:rFonts w:ascii="Times New Roman" w:hAnsi="Times New Roman" w:cs="Times New Roman"/>
                <w:b/>
                <w:bCs/>
                <w:color w:val="000000" w:themeColor="text1"/>
              </w:rPr>
              <w:t>Percentage (%)</w:t>
            </w:r>
          </w:p>
        </w:tc>
      </w:tr>
      <w:tr w:rsidR="00B02A11" w:rsidRPr="00593380" w14:paraId="3AB26FF5" w14:textId="77777777" w:rsidTr="00B35B5C">
        <w:tc>
          <w:tcPr>
            <w:tcW w:w="0" w:type="auto"/>
            <w:hideMark/>
          </w:tcPr>
          <w:p w14:paraId="42A12316" w14:textId="77777777" w:rsidR="00B35B5C" w:rsidRPr="00593380" w:rsidRDefault="00B35B5C"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Financial Support</w:t>
            </w:r>
          </w:p>
        </w:tc>
        <w:tc>
          <w:tcPr>
            <w:tcW w:w="0" w:type="auto"/>
            <w:hideMark/>
          </w:tcPr>
          <w:p w14:paraId="3ACBDAE2" w14:textId="77777777" w:rsidR="00B35B5C" w:rsidRPr="00593380" w:rsidRDefault="00B35B5C"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200</w:t>
            </w:r>
          </w:p>
        </w:tc>
        <w:tc>
          <w:tcPr>
            <w:tcW w:w="0" w:type="auto"/>
            <w:hideMark/>
          </w:tcPr>
          <w:p w14:paraId="3998EC6A" w14:textId="77777777" w:rsidR="00B35B5C" w:rsidRPr="00593380" w:rsidRDefault="00B35B5C"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20.0</w:t>
            </w:r>
          </w:p>
        </w:tc>
      </w:tr>
      <w:tr w:rsidR="00B02A11" w:rsidRPr="00593380" w14:paraId="03B62509" w14:textId="77777777" w:rsidTr="00B35B5C">
        <w:tc>
          <w:tcPr>
            <w:tcW w:w="0" w:type="auto"/>
            <w:hideMark/>
          </w:tcPr>
          <w:p w14:paraId="6A7DCE7C" w14:textId="77777777" w:rsidR="00B35B5C" w:rsidRPr="00593380" w:rsidRDefault="00B35B5C"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Sponsored Research Agreements</w:t>
            </w:r>
          </w:p>
        </w:tc>
        <w:tc>
          <w:tcPr>
            <w:tcW w:w="0" w:type="auto"/>
            <w:hideMark/>
          </w:tcPr>
          <w:p w14:paraId="77676BFF" w14:textId="77777777" w:rsidR="00B35B5C" w:rsidRPr="00593380" w:rsidRDefault="00B35B5C"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180</w:t>
            </w:r>
          </w:p>
        </w:tc>
        <w:tc>
          <w:tcPr>
            <w:tcW w:w="0" w:type="auto"/>
            <w:hideMark/>
          </w:tcPr>
          <w:p w14:paraId="55A706A1" w14:textId="77777777" w:rsidR="00B35B5C" w:rsidRPr="00593380" w:rsidRDefault="00B35B5C"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18.0</w:t>
            </w:r>
          </w:p>
        </w:tc>
      </w:tr>
      <w:tr w:rsidR="00B02A11" w:rsidRPr="00593380" w14:paraId="6322E2E9" w14:textId="77777777" w:rsidTr="00B35B5C">
        <w:tc>
          <w:tcPr>
            <w:tcW w:w="0" w:type="auto"/>
            <w:hideMark/>
          </w:tcPr>
          <w:p w14:paraId="7DB775E0" w14:textId="77777777" w:rsidR="00B35B5C" w:rsidRPr="00593380" w:rsidRDefault="00B35B5C"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Access to Resources and Facilities</w:t>
            </w:r>
          </w:p>
        </w:tc>
        <w:tc>
          <w:tcPr>
            <w:tcW w:w="0" w:type="auto"/>
            <w:hideMark/>
          </w:tcPr>
          <w:p w14:paraId="023207A4" w14:textId="77777777" w:rsidR="00B35B5C" w:rsidRPr="00593380" w:rsidRDefault="00B35B5C"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150</w:t>
            </w:r>
          </w:p>
        </w:tc>
        <w:tc>
          <w:tcPr>
            <w:tcW w:w="0" w:type="auto"/>
            <w:hideMark/>
          </w:tcPr>
          <w:p w14:paraId="545BDC65" w14:textId="77777777" w:rsidR="00B35B5C" w:rsidRPr="00593380" w:rsidRDefault="00B35B5C"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15.0</w:t>
            </w:r>
          </w:p>
        </w:tc>
      </w:tr>
      <w:tr w:rsidR="00B02A11" w:rsidRPr="00593380" w14:paraId="33C7F34E" w14:textId="77777777" w:rsidTr="00B35B5C">
        <w:tc>
          <w:tcPr>
            <w:tcW w:w="0" w:type="auto"/>
            <w:hideMark/>
          </w:tcPr>
          <w:p w14:paraId="4C67FBC8" w14:textId="77777777" w:rsidR="00B35B5C" w:rsidRPr="00593380" w:rsidRDefault="00B35B5C"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Joint Research and Development Projects</w:t>
            </w:r>
          </w:p>
        </w:tc>
        <w:tc>
          <w:tcPr>
            <w:tcW w:w="0" w:type="auto"/>
            <w:hideMark/>
          </w:tcPr>
          <w:p w14:paraId="4C32FA27" w14:textId="77777777" w:rsidR="00B35B5C" w:rsidRPr="00593380" w:rsidRDefault="00B35B5C"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160</w:t>
            </w:r>
          </w:p>
        </w:tc>
        <w:tc>
          <w:tcPr>
            <w:tcW w:w="0" w:type="auto"/>
            <w:hideMark/>
          </w:tcPr>
          <w:p w14:paraId="5AB3837B" w14:textId="77777777" w:rsidR="00B35B5C" w:rsidRPr="00593380" w:rsidRDefault="00B35B5C"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16.0</w:t>
            </w:r>
          </w:p>
        </w:tc>
      </w:tr>
      <w:tr w:rsidR="00B02A11" w:rsidRPr="00593380" w14:paraId="6B0ECE82" w14:textId="77777777" w:rsidTr="00B35B5C">
        <w:tc>
          <w:tcPr>
            <w:tcW w:w="0" w:type="auto"/>
            <w:hideMark/>
          </w:tcPr>
          <w:p w14:paraId="18CDC736" w14:textId="77777777" w:rsidR="00B35B5C" w:rsidRPr="00593380" w:rsidRDefault="00B35B5C"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Technology Transfer and Commercialization</w:t>
            </w:r>
          </w:p>
        </w:tc>
        <w:tc>
          <w:tcPr>
            <w:tcW w:w="0" w:type="auto"/>
            <w:hideMark/>
          </w:tcPr>
          <w:p w14:paraId="29602E39" w14:textId="77777777" w:rsidR="00B35B5C" w:rsidRPr="00593380" w:rsidRDefault="00B35B5C"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130</w:t>
            </w:r>
          </w:p>
        </w:tc>
        <w:tc>
          <w:tcPr>
            <w:tcW w:w="0" w:type="auto"/>
            <w:hideMark/>
          </w:tcPr>
          <w:p w14:paraId="69D9FEBF" w14:textId="77777777" w:rsidR="00B35B5C" w:rsidRPr="00593380" w:rsidRDefault="00B35B5C"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13.0</w:t>
            </w:r>
          </w:p>
        </w:tc>
      </w:tr>
      <w:tr w:rsidR="00B02A11" w:rsidRPr="00593380" w14:paraId="0F473642" w14:textId="77777777" w:rsidTr="00B35B5C">
        <w:tc>
          <w:tcPr>
            <w:tcW w:w="0" w:type="auto"/>
            <w:hideMark/>
          </w:tcPr>
          <w:p w14:paraId="32154B5C" w14:textId="77777777" w:rsidR="00B35B5C" w:rsidRPr="00593380" w:rsidRDefault="00B35B5C"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Professional Development Opportunities</w:t>
            </w:r>
          </w:p>
        </w:tc>
        <w:tc>
          <w:tcPr>
            <w:tcW w:w="0" w:type="auto"/>
            <w:hideMark/>
          </w:tcPr>
          <w:p w14:paraId="75F8E541" w14:textId="77777777" w:rsidR="00B35B5C" w:rsidRPr="00593380" w:rsidRDefault="00B35B5C"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90</w:t>
            </w:r>
          </w:p>
        </w:tc>
        <w:tc>
          <w:tcPr>
            <w:tcW w:w="0" w:type="auto"/>
            <w:hideMark/>
          </w:tcPr>
          <w:p w14:paraId="687FF0D6" w14:textId="77777777" w:rsidR="00B35B5C" w:rsidRPr="00593380" w:rsidRDefault="00B35B5C"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9.0</w:t>
            </w:r>
          </w:p>
        </w:tc>
      </w:tr>
      <w:tr w:rsidR="00B02A11" w:rsidRPr="00593380" w14:paraId="224645B5" w14:textId="77777777" w:rsidTr="00B35B5C">
        <w:tc>
          <w:tcPr>
            <w:tcW w:w="0" w:type="auto"/>
            <w:hideMark/>
          </w:tcPr>
          <w:p w14:paraId="39F946C3" w14:textId="77777777" w:rsidR="00B35B5C" w:rsidRPr="00593380" w:rsidRDefault="00B35B5C"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Networking and Relationship Building</w:t>
            </w:r>
          </w:p>
        </w:tc>
        <w:tc>
          <w:tcPr>
            <w:tcW w:w="0" w:type="auto"/>
            <w:hideMark/>
          </w:tcPr>
          <w:p w14:paraId="2B1C76F1" w14:textId="77777777" w:rsidR="00B35B5C" w:rsidRPr="00593380" w:rsidRDefault="00B35B5C"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90</w:t>
            </w:r>
          </w:p>
        </w:tc>
        <w:tc>
          <w:tcPr>
            <w:tcW w:w="0" w:type="auto"/>
            <w:hideMark/>
          </w:tcPr>
          <w:p w14:paraId="7E0BB5B1" w14:textId="77777777" w:rsidR="00B35B5C" w:rsidRPr="00593380" w:rsidRDefault="00B35B5C"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9.0</w:t>
            </w:r>
          </w:p>
        </w:tc>
      </w:tr>
      <w:tr w:rsidR="00B02A11" w:rsidRPr="00593380" w14:paraId="0F57751B" w14:textId="77777777" w:rsidTr="00B35B5C">
        <w:tc>
          <w:tcPr>
            <w:tcW w:w="0" w:type="auto"/>
            <w:hideMark/>
          </w:tcPr>
          <w:p w14:paraId="7CECF4B6" w14:textId="77777777" w:rsidR="00B35B5C" w:rsidRPr="00593380" w:rsidRDefault="00B35B5C" w:rsidP="00D03BEA">
            <w:pPr>
              <w:jc w:val="both"/>
              <w:rPr>
                <w:rFonts w:ascii="Times New Roman" w:hAnsi="Times New Roman" w:cs="Times New Roman"/>
                <w:b/>
                <w:bCs/>
                <w:color w:val="000000" w:themeColor="text1"/>
              </w:rPr>
            </w:pPr>
            <w:r w:rsidRPr="00593380">
              <w:rPr>
                <w:rFonts w:ascii="Times New Roman" w:hAnsi="Times New Roman" w:cs="Times New Roman"/>
                <w:b/>
                <w:bCs/>
                <w:color w:val="000000" w:themeColor="text1"/>
              </w:rPr>
              <w:t>Total</w:t>
            </w:r>
          </w:p>
        </w:tc>
        <w:tc>
          <w:tcPr>
            <w:tcW w:w="0" w:type="auto"/>
            <w:hideMark/>
          </w:tcPr>
          <w:p w14:paraId="2974E0A8" w14:textId="77777777" w:rsidR="00B35B5C" w:rsidRPr="00593380" w:rsidRDefault="00B35B5C" w:rsidP="00D03BEA">
            <w:pPr>
              <w:jc w:val="both"/>
              <w:rPr>
                <w:rFonts w:ascii="Times New Roman" w:hAnsi="Times New Roman" w:cs="Times New Roman"/>
                <w:b/>
                <w:bCs/>
                <w:color w:val="000000" w:themeColor="text1"/>
              </w:rPr>
            </w:pPr>
            <w:r w:rsidRPr="00593380">
              <w:rPr>
                <w:rFonts w:ascii="Times New Roman" w:hAnsi="Times New Roman" w:cs="Times New Roman"/>
                <w:b/>
                <w:bCs/>
                <w:color w:val="000000" w:themeColor="text1"/>
              </w:rPr>
              <w:t>1000</w:t>
            </w:r>
          </w:p>
        </w:tc>
        <w:tc>
          <w:tcPr>
            <w:tcW w:w="0" w:type="auto"/>
            <w:hideMark/>
          </w:tcPr>
          <w:p w14:paraId="03DB4E4C" w14:textId="77777777" w:rsidR="00B35B5C" w:rsidRPr="00593380" w:rsidRDefault="00B35B5C" w:rsidP="00D03BEA">
            <w:pPr>
              <w:jc w:val="both"/>
              <w:rPr>
                <w:rFonts w:ascii="Times New Roman" w:hAnsi="Times New Roman" w:cs="Times New Roman"/>
                <w:b/>
                <w:bCs/>
                <w:color w:val="000000" w:themeColor="text1"/>
              </w:rPr>
            </w:pPr>
            <w:r w:rsidRPr="00593380">
              <w:rPr>
                <w:rFonts w:ascii="Times New Roman" w:hAnsi="Times New Roman" w:cs="Times New Roman"/>
                <w:b/>
                <w:bCs/>
                <w:color w:val="000000" w:themeColor="text1"/>
              </w:rPr>
              <w:t>100.0</w:t>
            </w:r>
          </w:p>
        </w:tc>
      </w:tr>
    </w:tbl>
    <w:p w14:paraId="4852BD35" w14:textId="77777777" w:rsidR="003A6349" w:rsidRPr="00593380" w:rsidRDefault="003A6349" w:rsidP="00593380">
      <w:pPr>
        <w:spacing w:line="360" w:lineRule="auto"/>
        <w:jc w:val="both"/>
        <w:rPr>
          <w:rFonts w:ascii="Times New Roman" w:hAnsi="Times New Roman" w:cs="Times New Roman"/>
          <w:color w:val="000000" w:themeColor="text1"/>
        </w:rPr>
      </w:pPr>
      <w:r w:rsidRPr="00593380">
        <w:rPr>
          <w:rFonts w:ascii="Times New Roman" w:hAnsi="Times New Roman" w:cs="Times New Roman"/>
          <w:color w:val="000000" w:themeColor="text1"/>
        </w:rPr>
        <w:t>Source: Field Survey, 2024.</w:t>
      </w:r>
    </w:p>
    <w:p w14:paraId="6C33F9AC" w14:textId="6B791FDF" w:rsidR="00B35B5C" w:rsidRPr="00593380" w:rsidRDefault="00B35B5C" w:rsidP="00593380">
      <w:pPr>
        <w:spacing w:line="360" w:lineRule="auto"/>
        <w:jc w:val="both"/>
        <w:rPr>
          <w:rFonts w:ascii="Times New Roman" w:hAnsi="Times New Roman" w:cs="Times New Roman"/>
          <w:color w:val="000000" w:themeColor="text1"/>
        </w:rPr>
      </w:pPr>
      <w:r w:rsidRPr="00593380">
        <w:rPr>
          <w:rFonts w:ascii="Times New Roman" w:hAnsi="Times New Roman" w:cs="Times New Roman"/>
          <w:color w:val="000000" w:themeColor="text1"/>
        </w:rPr>
        <w:t>Table</w:t>
      </w:r>
      <w:r w:rsidR="007D60C0" w:rsidRPr="00593380">
        <w:rPr>
          <w:rFonts w:ascii="Times New Roman" w:hAnsi="Times New Roman" w:cs="Times New Roman"/>
          <w:color w:val="000000" w:themeColor="text1"/>
        </w:rPr>
        <w:t xml:space="preserve"> 17</w:t>
      </w:r>
      <w:r w:rsidRPr="00593380">
        <w:rPr>
          <w:rFonts w:ascii="Times New Roman" w:hAnsi="Times New Roman" w:cs="Times New Roman"/>
          <w:color w:val="000000" w:themeColor="text1"/>
        </w:rPr>
        <w:t xml:space="preserve"> illustrates the various roles that industry collaboration plays in funding research initiatives within tertiary institutions. Notably, "Financial Support" emerges as the most significant role, with 20.0% of respondents acknowledging its importance. This underscores the vital financial backing that industries provide, enabling institutions to pursue research endeavors effectively. Following closely is "Sponsored Research Agreements" at 18.0%, emphasizing the contractual partnerships between institutions and industries for specific research projects. Additionally, "Access to Resources and Facilities" (15.0%) and "Joint Research and Development Projects" (16.0%) highlight the collaborative nature of research efforts, allowing access to specialized resources and fostering joint innovation. "Technology Transfer and Commercialization" (13.0%) underscores the translation of research outcomes into tangible products or services, benefiting both parties economically. However, it's noteworthy that "Professional Development Opportunities" (9.0%) and "Networking and Relationship Building" (9.0%) received relatively lower percentages, suggesting potential areas for enhancing collaboration beyond financial and project-specific engagements. Overall, the findings emphasize the multifaceted role of industry collaboration in not only providing financial support but also facilitating resource access, innovation, and knowledge exchange within tertiary research environments.</w:t>
      </w:r>
    </w:p>
    <w:p w14:paraId="4C37CCF2" w14:textId="084267D2" w:rsidR="00301728" w:rsidRPr="00593380" w:rsidRDefault="003A6349" w:rsidP="00593380">
      <w:pPr>
        <w:spacing w:after="0" w:line="360" w:lineRule="auto"/>
        <w:jc w:val="both"/>
        <w:rPr>
          <w:rFonts w:ascii="Times New Roman" w:hAnsi="Times New Roman" w:cs="Times New Roman"/>
          <w:b/>
          <w:bCs/>
          <w:color w:val="000000" w:themeColor="text1"/>
        </w:rPr>
      </w:pPr>
      <w:r w:rsidRPr="00593380">
        <w:rPr>
          <w:rFonts w:ascii="Times New Roman" w:hAnsi="Times New Roman" w:cs="Times New Roman"/>
          <w:b/>
          <w:bCs/>
          <w:color w:val="000000" w:themeColor="text1"/>
        </w:rPr>
        <w:t>Table 18:</w:t>
      </w:r>
      <w:r w:rsidR="004E6BB3" w:rsidRPr="00593380">
        <w:rPr>
          <w:rFonts w:ascii="Times New Roman" w:hAnsi="Times New Roman" w:cs="Times New Roman"/>
          <w:b/>
          <w:bCs/>
          <w:color w:val="000000" w:themeColor="text1"/>
        </w:rPr>
        <w:t xml:space="preserve"> </w:t>
      </w:r>
      <w:r w:rsidR="00301728" w:rsidRPr="00593380">
        <w:rPr>
          <w:rFonts w:ascii="Times New Roman" w:hAnsi="Times New Roman" w:cs="Times New Roman"/>
          <w:b/>
          <w:bCs/>
          <w:color w:val="000000" w:themeColor="text1"/>
        </w:rPr>
        <w:t>Technology and Online Courses for Revenue Generation</w:t>
      </w:r>
    </w:p>
    <w:tbl>
      <w:tblPr>
        <w:tblStyle w:val="TableGrid"/>
        <w:tblW w:w="8941" w:type="dxa"/>
        <w:tblLook w:val="04A0" w:firstRow="1" w:lastRow="0" w:firstColumn="1" w:lastColumn="0" w:noHBand="0" w:noVBand="1"/>
      </w:tblPr>
      <w:tblGrid>
        <w:gridCol w:w="4945"/>
        <w:gridCol w:w="2232"/>
        <w:gridCol w:w="1764"/>
      </w:tblGrid>
      <w:tr w:rsidR="00B02A11" w:rsidRPr="00593380" w14:paraId="4C0919CF" w14:textId="77777777" w:rsidTr="003A6349">
        <w:tc>
          <w:tcPr>
            <w:tcW w:w="4945" w:type="dxa"/>
            <w:hideMark/>
          </w:tcPr>
          <w:p w14:paraId="13BE2FF1" w14:textId="025717C8" w:rsidR="00301728" w:rsidRPr="00593380" w:rsidRDefault="003A6349" w:rsidP="00D03BEA">
            <w:pPr>
              <w:jc w:val="both"/>
              <w:rPr>
                <w:rFonts w:ascii="Times New Roman" w:hAnsi="Times New Roman" w:cs="Times New Roman"/>
                <w:b/>
                <w:bCs/>
                <w:color w:val="000000" w:themeColor="text1"/>
              </w:rPr>
            </w:pPr>
            <w:r w:rsidRPr="00593380">
              <w:rPr>
                <w:rFonts w:ascii="Times New Roman" w:hAnsi="Times New Roman" w:cs="Times New Roman"/>
                <w:b/>
                <w:bCs/>
                <w:color w:val="000000" w:themeColor="text1"/>
              </w:rPr>
              <w:t>Statement</w:t>
            </w:r>
          </w:p>
        </w:tc>
        <w:tc>
          <w:tcPr>
            <w:tcW w:w="2232" w:type="dxa"/>
            <w:hideMark/>
          </w:tcPr>
          <w:p w14:paraId="0241E3BB" w14:textId="77777777" w:rsidR="00301728" w:rsidRPr="00593380" w:rsidRDefault="00301728" w:rsidP="00D03BEA">
            <w:pPr>
              <w:jc w:val="both"/>
              <w:rPr>
                <w:rFonts w:ascii="Times New Roman" w:hAnsi="Times New Roman" w:cs="Times New Roman"/>
                <w:b/>
                <w:bCs/>
                <w:color w:val="000000" w:themeColor="text1"/>
              </w:rPr>
            </w:pPr>
            <w:r w:rsidRPr="00593380">
              <w:rPr>
                <w:rFonts w:ascii="Times New Roman" w:hAnsi="Times New Roman" w:cs="Times New Roman"/>
                <w:b/>
                <w:bCs/>
                <w:color w:val="000000" w:themeColor="text1"/>
              </w:rPr>
              <w:t>Number of Respondents</w:t>
            </w:r>
          </w:p>
        </w:tc>
        <w:tc>
          <w:tcPr>
            <w:tcW w:w="0" w:type="auto"/>
            <w:hideMark/>
          </w:tcPr>
          <w:p w14:paraId="34CA32BC" w14:textId="177BF446" w:rsidR="00301728" w:rsidRPr="00593380" w:rsidRDefault="00301728" w:rsidP="00D03BEA">
            <w:pPr>
              <w:jc w:val="both"/>
              <w:rPr>
                <w:rFonts w:ascii="Times New Roman" w:hAnsi="Times New Roman" w:cs="Times New Roman"/>
                <w:b/>
                <w:bCs/>
                <w:color w:val="000000" w:themeColor="text1"/>
              </w:rPr>
            </w:pPr>
            <w:r w:rsidRPr="00593380">
              <w:rPr>
                <w:rFonts w:ascii="Times New Roman" w:hAnsi="Times New Roman" w:cs="Times New Roman"/>
                <w:b/>
                <w:bCs/>
                <w:color w:val="000000" w:themeColor="text1"/>
              </w:rPr>
              <w:t>Percentage</w:t>
            </w:r>
            <w:r w:rsidR="003A6349" w:rsidRPr="00593380">
              <w:rPr>
                <w:rFonts w:ascii="Times New Roman" w:hAnsi="Times New Roman" w:cs="Times New Roman"/>
                <w:b/>
                <w:bCs/>
                <w:color w:val="000000" w:themeColor="text1"/>
              </w:rPr>
              <w:t xml:space="preserve"> </w:t>
            </w:r>
            <w:r w:rsidRPr="00593380">
              <w:rPr>
                <w:rFonts w:ascii="Times New Roman" w:hAnsi="Times New Roman" w:cs="Times New Roman"/>
                <w:b/>
                <w:bCs/>
                <w:color w:val="000000" w:themeColor="text1"/>
              </w:rPr>
              <w:t>(%)</w:t>
            </w:r>
          </w:p>
        </w:tc>
      </w:tr>
      <w:tr w:rsidR="00B02A11" w:rsidRPr="00593380" w14:paraId="015C2A91" w14:textId="77777777" w:rsidTr="003A6349">
        <w:tc>
          <w:tcPr>
            <w:tcW w:w="4945" w:type="dxa"/>
            <w:hideMark/>
          </w:tcPr>
          <w:p w14:paraId="142FFDEF" w14:textId="77777777" w:rsidR="00301728" w:rsidRPr="00593380" w:rsidRDefault="00301728"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Online Degree Programs</w:t>
            </w:r>
          </w:p>
        </w:tc>
        <w:tc>
          <w:tcPr>
            <w:tcW w:w="2232" w:type="dxa"/>
            <w:hideMark/>
          </w:tcPr>
          <w:p w14:paraId="102D643D" w14:textId="77777777" w:rsidR="00301728" w:rsidRPr="00593380" w:rsidRDefault="00301728"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180</w:t>
            </w:r>
          </w:p>
        </w:tc>
        <w:tc>
          <w:tcPr>
            <w:tcW w:w="0" w:type="auto"/>
            <w:hideMark/>
          </w:tcPr>
          <w:p w14:paraId="386B244B" w14:textId="77777777" w:rsidR="00301728" w:rsidRPr="00593380" w:rsidRDefault="00301728"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18.0</w:t>
            </w:r>
          </w:p>
        </w:tc>
      </w:tr>
      <w:tr w:rsidR="00B02A11" w:rsidRPr="00593380" w14:paraId="22FB3E4B" w14:textId="77777777" w:rsidTr="003A6349">
        <w:tc>
          <w:tcPr>
            <w:tcW w:w="4945" w:type="dxa"/>
            <w:hideMark/>
          </w:tcPr>
          <w:p w14:paraId="47D99D92" w14:textId="77777777" w:rsidR="00301728" w:rsidRPr="00593380" w:rsidRDefault="00301728"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Online Certificates and Specializations</w:t>
            </w:r>
          </w:p>
        </w:tc>
        <w:tc>
          <w:tcPr>
            <w:tcW w:w="2232" w:type="dxa"/>
            <w:hideMark/>
          </w:tcPr>
          <w:p w14:paraId="027EB9EB" w14:textId="77777777" w:rsidR="00301728" w:rsidRPr="00593380" w:rsidRDefault="00301728"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150</w:t>
            </w:r>
          </w:p>
        </w:tc>
        <w:tc>
          <w:tcPr>
            <w:tcW w:w="0" w:type="auto"/>
            <w:hideMark/>
          </w:tcPr>
          <w:p w14:paraId="52AF1D13" w14:textId="77777777" w:rsidR="00301728" w:rsidRPr="00593380" w:rsidRDefault="00301728"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15.0</w:t>
            </w:r>
          </w:p>
        </w:tc>
      </w:tr>
      <w:tr w:rsidR="00B02A11" w:rsidRPr="00593380" w14:paraId="411A4F9C" w14:textId="77777777" w:rsidTr="003A6349">
        <w:tc>
          <w:tcPr>
            <w:tcW w:w="4945" w:type="dxa"/>
            <w:hideMark/>
          </w:tcPr>
          <w:p w14:paraId="1B918C4E" w14:textId="77777777" w:rsidR="00301728" w:rsidRPr="00593380" w:rsidRDefault="00301728"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Corporate Training Programs</w:t>
            </w:r>
          </w:p>
        </w:tc>
        <w:tc>
          <w:tcPr>
            <w:tcW w:w="2232" w:type="dxa"/>
            <w:hideMark/>
          </w:tcPr>
          <w:p w14:paraId="39C043A2" w14:textId="77777777" w:rsidR="00301728" w:rsidRPr="00593380" w:rsidRDefault="00301728"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160</w:t>
            </w:r>
          </w:p>
        </w:tc>
        <w:tc>
          <w:tcPr>
            <w:tcW w:w="0" w:type="auto"/>
            <w:hideMark/>
          </w:tcPr>
          <w:p w14:paraId="1FEF79A4" w14:textId="77777777" w:rsidR="00301728" w:rsidRPr="00593380" w:rsidRDefault="00301728"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16.0</w:t>
            </w:r>
          </w:p>
        </w:tc>
      </w:tr>
      <w:tr w:rsidR="00B02A11" w:rsidRPr="00593380" w14:paraId="6FA48B6F" w14:textId="77777777" w:rsidTr="003A6349">
        <w:tc>
          <w:tcPr>
            <w:tcW w:w="4945" w:type="dxa"/>
            <w:hideMark/>
          </w:tcPr>
          <w:p w14:paraId="296CF501" w14:textId="77777777" w:rsidR="00301728" w:rsidRPr="00593380" w:rsidRDefault="00301728"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Online Tutoring and Academic Support Services</w:t>
            </w:r>
          </w:p>
        </w:tc>
        <w:tc>
          <w:tcPr>
            <w:tcW w:w="2232" w:type="dxa"/>
            <w:hideMark/>
          </w:tcPr>
          <w:p w14:paraId="53FFFF54" w14:textId="77777777" w:rsidR="00301728" w:rsidRPr="00593380" w:rsidRDefault="00301728"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130</w:t>
            </w:r>
          </w:p>
        </w:tc>
        <w:tc>
          <w:tcPr>
            <w:tcW w:w="0" w:type="auto"/>
            <w:hideMark/>
          </w:tcPr>
          <w:p w14:paraId="1EF31CCC" w14:textId="77777777" w:rsidR="00301728" w:rsidRPr="00593380" w:rsidRDefault="00301728"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13.0</w:t>
            </w:r>
          </w:p>
        </w:tc>
      </w:tr>
      <w:tr w:rsidR="00B02A11" w:rsidRPr="00593380" w14:paraId="5A110C5A" w14:textId="77777777" w:rsidTr="003A6349">
        <w:tc>
          <w:tcPr>
            <w:tcW w:w="4945" w:type="dxa"/>
            <w:hideMark/>
          </w:tcPr>
          <w:p w14:paraId="16860C8D" w14:textId="77777777" w:rsidR="00301728" w:rsidRPr="00593380" w:rsidRDefault="00301728"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E-learning Platforms and Licensing</w:t>
            </w:r>
          </w:p>
        </w:tc>
        <w:tc>
          <w:tcPr>
            <w:tcW w:w="2232" w:type="dxa"/>
            <w:hideMark/>
          </w:tcPr>
          <w:p w14:paraId="2F9C2E01" w14:textId="77777777" w:rsidR="00301728" w:rsidRPr="00593380" w:rsidRDefault="00301728"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140</w:t>
            </w:r>
          </w:p>
        </w:tc>
        <w:tc>
          <w:tcPr>
            <w:tcW w:w="0" w:type="auto"/>
            <w:hideMark/>
          </w:tcPr>
          <w:p w14:paraId="159D995C" w14:textId="77777777" w:rsidR="00301728" w:rsidRPr="00593380" w:rsidRDefault="00301728"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14.0</w:t>
            </w:r>
          </w:p>
        </w:tc>
      </w:tr>
      <w:tr w:rsidR="00B02A11" w:rsidRPr="00593380" w14:paraId="5BB9342A" w14:textId="77777777" w:rsidTr="003A6349">
        <w:tc>
          <w:tcPr>
            <w:tcW w:w="4945" w:type="dxa"/>
            <w:hideMark/>
          </w:tcPr>
          <w:p w14:paraId="5B13BFCC" w14:textId="77777777" w:rsidR="00301728" w:rsidRPr="00593380" w:rsidRDefault="00301728"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Digital Course Materials and E-books</w:t>
            </w:r>
          </w:p>
        </w:tc>
        <w:tc>
          <w:tcPr>
            <w:tcW w:w="2232" w:type="dxa"/>
            <w:hideMark/>
          </w:tcPr>
          <w:p w14:paraId="1FB1CC8E" w14:textId="77777777" w:rsidR="00301728" w:rsidRPr="00593380" w:rsidRDefault="00301728"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120</w:t>
            </w:r>
          </w:p>
        </w:tc>
        <w:tc>
          <w:tcPr>
            <w:tcW w:w="0" w:type="auto"/>
            <w:hideMark/>
          </w:tcPr>
          <w:p w14:paraId="03011617" w14:textId="77777777" w:rsidR="00301728" w:rsidRPr="00593380" w:rsidRDefault="00301728"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12.0</w:t>
            </w:r>
          </w:p>
        </w:tc>
      </w:tr>
      <w:tr w:rsidR="00B02A11" w:rsidRPr="00593380" w14:paraId="40736535" w14:textId="77777777" w:rsidTr="003A6349">
        <w:tc>
          <w:tcPr>
            <w:tcW w:w="4945" w:type="dxa"/>
            <w:hideMark/>
          </w:tcPr>
          <w:p w14:paraId="6B1317DC" w14:textId="77777777" w:rsidR="00301728" w:rsidRPr="00593380" w:rsidRDefault="00301728"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Virtual Labs and Simulations</w:t>
            </w:r>
          </w:p>
        </w:tc>
        <w:tc>
          <w:tcPr>
            <w:tcW w:w="2232" w:type="dxa"/>
            <w:hideMark/>
          </w:tcPr>
          <w:p w14:paraId="56873347" w14:textId="77777777" w:rsidR="00301728" w:rsidRPr="00593380" w:rsidRDefault="00301728"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120</w:t>
            </w:r>
          </w:p>
        </w:tc>
        <w:tc>
          <w:tcPr>
            <w:tcW w:w="0" w:type="auto"/>
            <w:hideMark/>
          </w:tcPr>
          <w:p w14:paraId="1BC71B6A" w14:textId="77777777" w:rsidR="00301728" w:rsidRPr="00593380" w:rsidRDefault="00301728"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12.0</w:t>
            </w:r>
          </w:p>
        </w:tc>
      </w:tr>
      <w:tr w:rsidR="00B02A11" w:rsidRPr="00593380" w14:paraId="7D8DAA89" w14:textId="77777777" w:rsidTr="003A6349">
        <w:tc>
          <w:tcPr>
            <w:tcW w:w="4945" w:type="dxa"/>
            <w:hideMark/>
          </w:tcPr>
          <w:p w14:paraId="25FE88D5" w14:textId="77777777" w:rsidR="00301728" w:rsidRPr="00593380" w:rsidRDefault="00301728" w:rsidP="00D03BEA">
            <w:pPr>
              <w:jc w:val="both"/>
              <w:rPr>
                <w:rFonts w:ascii="Times New Roman" w:hAnsi="Times New Roman" w:cs="Times New Roman"/>
                <w:b/>
                <w:bCs/>
                <w:color w:val="000000" w:themeColor="text1"/>
              </w:rPr>
            </w:pPr>
            <w:r w:rsidRPr="00593380">
              <w:rPr>
                <w:rFonts w:ascii="Times New Roman" w:hAnsi="Times New Roman" w:cs="Times New Roman"/>
                <w:b/>
                <w:bCs/>
                <w:color w:val="000000" w:themeColor="text1"/>
              </w:rPr>
              <w:t>Total</w:t>
            </w:r>
          </w:p>
        </w:tc>
        <w:tc>
          <w:tcPr>
            <w:tcW w:w="2232" w:type="dxa"/>
            <w:hideMark/>
          </w:tcPr>
          <w:p w14:paraId="30D42068" w14:textId="77777777" w:rsidR="00301728" w:rsidRPr="00593380" w:rsidRDefault="00301728" w:rsidP="00D03BEA">
            <w:pPr>
              <w:jc w:val="both"/>
              <w:rPr>
                <w:rFonts w:ascii="Times New Roman" w:hAnsi="Times New Roman" w:cs="Times New Roman"/>
                <w:b/>
                <w:bCs/>
                <w:color w:val="000000" w:themeColor="text1"/>
              </w:rPr>
            </w:pPr>
            <w:r w:rsidRPr="00593380">
              <w:rPr>
                <w:rFonts w:ascii="Times New Roman" w:hAnsi="Times New Roman" w:cs="Times New Roman"/>
                <w:b/>
                <w:bCs/>
                <w:color w:val="000000" w:themeColor="text1"/>
              </w:rPr>
              <w:t>1000</w:t>
            </w:r>
          </w:p>
        </w:tc>
        <w:tc>
          <w:tcPr>
            <w:tcW w:w="0" w:type="auto"/>
            <w:hideMark/>
          </w:tcPr>
          <w:p w14:paraId="54EC0521" w14:textId="77777777" w:rsidR="00301728" w:rsidRPr="00593380" w:rsidRDefault="00301728" w:rsidP="00D03BEA">
            <w:pPr>
              <w:jc w:val="both"/>
              <w:rPr>
                <w:rFonts w:ascii="Times New Roman" w:hAnsi="Times New Roman" w:cs="Times New Roman"/>
                <w:b/>
                <w:bCs/>
                <w:color w:val="000000" w:themeColor="text1"/>
              </w:rPr>
            </w:pPr>
            <w:r w:rsidRPr="00593380">
              <w:rPr>
                <w:rFonts w:ascii="Times New Roman" w:hAnsi="Times New Roman" w:cs="Times New Roman"/>
                <w:b/>
                <w:bCs/>
                <w:color w:val="000000" w:themeColor="text1"/>
              </w:rPr>
              <w:t>100.0</w:t>
            </w:r>
          </w:p>
        </w:tc>
      </w:tr>
    </w:tbl>
    <w:p w14:paraId="7F94CCF0" w14:textId="77777777" w:rsidR="003A6349" w:rsidRPr="00593380" w:rsidRDefault="003A6349" w:rsidP="00593380">
      <w:pPr>
        <w:spacing w:line="360" w:lineRule="auto"/>
        <w:jc w:val="both"/>
        <w:rPr>
          <w:rFonts w:ascii="Times New Roman" w:hAnsi="Times New Roman" w:cs="Times New Roman"/>
          <w:color w:val="000000" w:themeColor="text1"/>
        </w:rPr>
      </w:pPr>
      <w:r w:rsidRPr="00593380">
        <w:rPr>
          <w:rFonts w:ascii="Times New Roman" w:hAnsi="Times New Roman" w:cs="Times New Roman"/>
          <w:color w:val="000000" w:themeColor="text1"/>
        </w:rPr>
        <w:t>Source: Field Survey, 2024.</w:t>
      </w:r>
    </w:p>
    <w:p w14:paraId="714EE564" w14:textId="77777777" w:rsidR="00301728" w:rsidRPr="00593380" w:rsidRDefault="00301728" w:rsidP="00593380">
      <w:pPr>
        <w:spacing w:line="360" w:lineRule="auto"/>
        <w:jc w:val="both"/>
        <w:rPr>
          <w:rFonts w:ascii="Times New Roman" w:hAnsi="Times New Roman" w:cs="Times New Roman"/>
          <w:color w:val="000000" w:themeColor="text1"/>
        </w:rPr>
      </w:pPr>
      <w:r w:rsidRPr="00593380">
        <w:rPr>
          <w:rFonts w:ascii="Times New Roman" w:hAnsi="Times New Roman" w:cs="Times New Roman"/>
          <w:color w:val="000000" w:themeColor="text1"/>
        </w:rPr>
        <w:lastRenderedPageBreak/>
        <w:t>The analysis of responses regarding how tertiary institutions utilize technology, online courses, and digital platforms to generate additional revenue streams reveals several key insights. Notably, "Online Degree Programs" emerge as the most favored strategy, with 18.0% of respondents acknowledging their significance. This underscores the growing demand for flexible and accessible higher education options, particularly in the digital realm. Following closely are "Corporate Training Programs" (16.0%) and "Online Certificates and Specializations" (15.0%), highlighting the expanding market for skill development and professional advancement opportunities offered by tertiary institutions. Additionally, "E-learning Platforms and Licensing" (14.0%) and "Online Tutoring and Academic Support Services" (13.0%) underscore the importance of leveraging digital tools for enhancing educational delivery and student support. Furthermore, "Digital Course Materials and E-books" (12.0%) and "Virtual Labs and Simulations" (12.0%) demonstrate the adoption of innovative approaches to content delivery and experiential learning. Overall, the findings suggest a significant shift towards digitalization in higher education, driven by the need to cater to diverse learner needs and capitalize on emerging market opportunities.</w:t>
      </w:r>
    </w:p>
    <w:p w14:paraId="75937199" w14:textId="4B15F5E3" w:rsidR="00301728" w:rsidRPr="00593380" w:rsidRDefault="003A6349" w:rsidP="00593380">
      <w:pPr>
        <w:spacing w:after="0" w:line="360" w:lineRule="auto"/>
        <w:jc w:val="both"/>
        <w:rPr>
          <w:rFonts w:ascii="Times New Roman" w:hAnsi="Times New Roman" w:cs="Times New Roman"/>
          <w:b/>
          <w:bCs/>
          <w:color w:val="000000" w:themeColor="text1"/>
        </w:rPr>
      </w:pPr>
      <w:r w:rsidRPr="00593380">
        <w:rPr>
          <w:rFonts w:ascii="Times New Roman" w:hAnsi="Times New Roman" w:cs="Times New Roman"/>
          <w:b/>
          <w:bCs/>
          <w:color w:val="000000" w:themeColor="text1"/>
        </w:rPr>
        <w:t>Table 19:</w:t>
      </w:r>
      <w:r w:rsidR="004E6BB3" w:rsidRPr="00593380">
        <w:rPr>
          <w:rFonts w:ascii="Times New Roman" w:hAnsi="Times New Roman" w:cs="Times New Roman"/>
          <w:b/>
          <w:bCs/>
          <w:color w:val="000000" w:themeColor="text1"/>
        </w:rPr>
        <w:t xml:space="preserve"> </w:t>
      </w:r>
      <w:r w:rsidR="00301728" w:rsidRPr="00593380">
        <w:rPr>
          <w:rFonts w:ascii="Times New Roman" w:hAnsi="Times New Roman" w:cs="Times New Roman"/>
          <w:b/>
          <w:bCs/>
          <w:color w:val="000000" w:themeColor="text1"/>
        </w:rPr>
        <w:t>Implications of Online Education on Financial Stability</w:t>
      </w:r>
    </w:p>
    <w:tbl>
      <w:tblPr>
        <w:tblStyle w:val="TableGrid"/>
        <w:tblW w:w="8941" w:type="dxa"/>
        <w:tblLook w:val="04A0" w:firstRow="1" w:lastRow="0" w:firstColumn="1" w:lastColumn="0" w:noHBand="0" w:noVBand="1"/>
      </w:tblPr>
      <w:tblGrid>
        <w:gridCol w:w="4449"/>
        <w:gridCol w:w="2686"/>
        <w:gridCol w:w="1806"/>
      </w:tblGrid>
      <w:tr w:rsidR="00B02A11" w:rsidRPr="00593380" w14:paraId="6CC977CD" w14:textId="77777777" w:rsidTr="00301728">
        <w:tc>
          <w:tcPr>
            <w:tcW w:w="0" w:type="auto"/>
            <w:hideMark/>
          </w:tcPr>
          <w:p w14:paraId="3479E4C2" w14:textId="32AF7D64" w:rsidR="00301728" w:rsidRPr="00593380" w:rsidRDefault="003A6349" w:rsidP="00D03BEA">
            <w:pPr>
              <w:jc w:val="both"/>
              <w:rPr>
                <w:rFonts w:ascii="Times New Roman" w:hAnsi="Times New Roman" w:cs="Times New Roman"/>
                <w:b/>
                <w:bCs/>
                <w:color w:val="000000" w:themeColor="text1"/>
              </w:rPr>
            </w:pPr>
            <w:r w:rsidRPr="00593380">
              <w:rPr>
                <w:rFonts w:ascii="Times New Roman" w:hAnsi="Times New Roman" w:cs="Times New Roman"/>
                <w:b/>
                <w:bCs/>
                <w:color w:val="000000" w:themeColor="text1"/>
              </w:rPr>
              <w:t>Statement</w:t>
            </w:r>
          </w:p>
        </w:tc>
        <w:tc>
          <w:tcPr>
            <w:tcW w:w="0" w:type="auto"/>
            <w:hideMark/>
          </w:tcPr>
          <w:p w14:paraId="4349A8CA" w14:textId="77777777" w:rsidR="00301728" w:rsidRPr="00593380" w:rsidRDefault="00301728" w:rsidP="00D03BEA">
            <w:pPr>
              <w:jc w:val="both"/>
              <w:rPr>
                <w:rFonts w:ascii="Times New Roman" w:hAnsi="Times New Roman" w:cs="Times New Roman"/>
                <w:b/>
                <w:bCs/>
                <w:color w:val="000000" w:themeColor="text1"/>
              </w:rPr>
            </w:pPr>
            <w:r w:rsidRPr="00593380">
              <w:rPr>
                <w:rFonts w:ascii="Times New Roman" w:hAnsi="Times New Roman" w:cs="Times New Roman"/>
                <w:b/>
                <w:bCs/>
                <w:color w:val="000000" w:themeColor="text1"/>
              </w:rPr>
              <w:t>Number of Respondents</w:t>
            </w:r>
          </w:p>
        </w:tc>
        <w:tc>
          <w:tcPr>
            <w:tcW w:w="0" w:type="auto"/>
            <w:hideMark/>
          </w:tcPr>
          <w:p w14:paraId="7BDD1DB4" w14:textId="099E506E" w:rsidR="00301728" w:rsidRPr="00593380" w:rsidRDefault="00301728" w:rsidP="00D03BEA">
            <w:pPr>
              <w:jc w:val="both"/>
              <w:rPr>
                <w:rFonts w:ascii="Times New Roman" w:hAnsi="Times New Roman" w:cs="Times New Roman"/>
                <w:b/>
                <w:bCs/>
                <w:color w:val="000000" w:themeColor="text1"/>
              </w:rPr>
            </w:pPr>
            <w:r w:rsidRPr="00593380">
              <w:rPr>
                <w:rFonts w:ascii="Times New Roman" w:hAnsi="Times New Roman" w:cs="Times New Roman"/>
                <w:b/>
                <w:bCs/>
                <w:color w:val="000000" w:themeColor="text1"/>
              </w:rPr>
              <w:t>Percentage (%)</w:t>
            </w:r>
          </w:p>
        </w:tc>
      </w:tr>
      <w:tr w:rsidR="00B02A11" w:rsidRPr="00593380" w14:paraId="1A7CA9C1" w14:textId="77777777" w:rsidTr="00301728">
        <w:tc>
          <w:tcPr>
            <w:tcW w:w="0" w:type="auto"/>
            <w:hideMark/>
          </w:tcPr>
          <w:p w14:paraId="0805E598" w14:textId="77777777" w:rsidR="00301728" w:rsidRPr="00593380" w:rsidRDefault="00301728"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Global Reach and Enrollment Growth</w:t>
            </w:r>
          </w:p>
        </w:tc>
        <w:tc>
          <w:tcPr>
            <w:tcW w:w="0" w:type="auto"/>
            <w:hideMark/>
          </w:tcPr>
          <w:p w14:paraId="65459DE8" w14:textId="77777777" w:rsidR="00301728" w:rsidRPr="00593380" w:rsidRDefault="00301728"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200</w:t>
            </w:r>
          </w:p>
        </w:tc>
        <w:tc>
          <w:tcPr>
            <w:tcW w:w="0" w:type="auto"/>
            <w:hideMark/>
          </w:tcPr>
          <w:p w14:paraId="3AC7B522" w14:textId="77777777" w:rsidR="00301728" w:rsidRPr="00593380" w:rsidRDefault="00301728"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20.0</w:t>
            </w:r>
          </w:p>
        </w:tc>
      </w:tr>
      <w:tr w:rsidR="00B02A11" w:rsidRPr="00593380" w14:paraId="3FB15035" w14:textId="77777777" w:rsidTr="00301728">
        <w:tc>
          <w:tcPr>
            <w:tcW w:w="0" w:type="auto"/>
            <w:hideMark/>
          </w:tcPr>
          <w:p w14:paraId="3B8900C5" w14:textId="77777777" w:rsidR="00301728" w:rsidRPr="00593380" w:rsidRDefault="00301728"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Diversification of Revenue Sources</w:t>
            </w:r>
          </w:p>
        </w:tc>
        <w:tc>
          <w:tcPr>
            <w:tcW w:w="0" w:type="auto"/>
            <w:hideMark/>
          </w:tcPr>
          <w:p w14:paraId="11EF4D20" w14:textId="77777777" w:rsidR="00301728" w:rsidRPr="00593380" w:rsidRDefault="00301728"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180</w:t>
            </w:r>
          </w:p>
        </w:tc>
        <w:tc>
          <w:tcPr>
            <w:tcW w:w="0" w:type="auto"/>
            <w:hideMark/>
          </w:tcPr>
          <w:p w14:paraId="246E8A03" w14:textId="77777777" w:rsidR="00301728" w:rsidRPr="00593380" w:rsidRDefault="00301728"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18.0</w:t>
            </w:r>
          </w:p>
        </w:tc>
      </w:tr>
      <w:tr w:rsidR="00B02A11" w:rsidRPr="00593380" w14:paraId="0AF8B3B8" w14:textId="77777777" w:rsidTr="00301728">
        <w:tc>
          <w:tcPr>
            <w:tcW w:w="0" w:type="auto"/>
            <w:hideMark/>
          </w:tcPr>
          <w:p w14:paraId="105EE729" w14:textId="77777777" w:rsidR="00301728" w:rsidRPr="00593380" w:rsidRDefault="00301728"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Flexible Learning Models</w:t>
            </w:r>
          </w:p>
        </w:tc>
        <w:tc>
          <w:tcPr>
            <w:tcW w:w="0" w:type="auto"/>
            <w:hideMark/>
          </w:tcPr>
          <w:p w14:paraId="23D6C492" w14:textId="77777777" w:rsidR="00301728" w:rsidRPr="00593380" w:rsidRDefault="00301728"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170</w:t>
            </w:r>
          </w:p>
        </w:tc>
        <w:tc>
          <w:tcPr>
            <w:tcW w:w="0" w:type="auto"/>
            <w:hideMark/>
          </w:tcPr>
          <w:p w14:paraId="013FE31E" w14:textId="77777777" w:rsidR="00301728" w:rsidRPr="00593380" w:rsidRDefault="00301728"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17.0</w:t>
            </w:r>
          </w:p>
        </w:tc>
      </w:tr>
      <w:tr w:rsidR="00B02A11" w:rsidRPr="00593380" w14:paraId="2F68E42E" w14:textId="77777777" w:rsidTr="00301728">
        <w:tc>
          <w:tcPr>
            <w:tcW w:w="0" w:type="auto"/>
            <w:hideMark/>
          </w:tcPr>
          <w:p w14:paraId="021347B5" w14:textId="77777777" w:rsidR="00301728" w:rsidRPr="00593380" w:rsidRDefault="00301728"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Reduced Infrastructure Costs</w:t>
            </w:r>
          </w:p>
        </w:tc>
        <w:tc>
          <w:tcPr>
            <w:tcW w:w="0" w:type="auto"/>
            <w:hideMark/>
          </w:tcPr>
          <w:p w14:paraId="38B289AA" w14:textId="77777777" w:rsidR="00301728" w:rsidRPr="00593380" w:rsidRDefault="00301728"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160</w:t>
            </w:r>
          </w:p>
        </w:tc>
        <w:tc>
          <w:tcPr>
            <w:tcW w:w="0" w:type="auto"/>
            <w:hideMark/>
          </w:tcPr>
          <w:p w14:paraId="3458029C" w14:textId="77777777" w:rsidR="00301728" w:rsidRPr="00593380" w:rsidRDefault="00301728"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16.0</w:t>
            </w:r>
          </w:p>
        </w:tc>
      </w:tr>
      <w:tr w:rsidR="00B02A11" w:rsidRPr="00593380" w14:paraId="044D3C36" w14:textId="77777777" w:rsidTr="00301728">
        <w:tc>
          <w:tcPr>
            <w:tcW w:w="0" w:type="auto"/>
            <w:hideMark/>
          </w:tcPr>
          <w:p w14:paraId="66067374" w14:textId="77777777" w:rsidR="00301728" w:rsidRPr="00593380" w:rsidRDefault="00301728"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Technology Partnerships and Collaborations</w:t>
            </w:r>
          </w:p>
        </w:tc>
        <w:tc>
          <w:tcPr>
            <w:tcW w:w="0" w:type="auto"/>
            <w:hideMark/>
          </w:tcPr>
          <w:p w14:paraId="20881291" w14:textId="77777777" w:rsidR="00301728" w:rsidRPr="00593380" w:rsidRDefault="00301728"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150</w:t>
            </w:r>
          </w:p>
        </w:tc>
        <w:tc>
          <w:tcPr>
            <w:tcW w:w="0" w:type="auto"/>
            <w:hideMark/>
          </w:tcPr>
          <w:p w14:paraId="1F3D0DF5" w14:textId="77777777" w:rsidR="00301728" w:rsidRPr="00593380" w:rsidRDefault="00301728"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15.0</w:t>
            </w:r>
          </w:p>
        </w:tc>
      </w:tr>
      <w:tr w:rsidR="00B02A11" w:rsidRPr="00593380" w14:paraId="6CCA62E2" w14:textId="77777777" w:rsidTr="00301728">
        <w:tc>
          <w:tcPr>
            <w:tcW w:w="0" w:type="auto"/>
            <w:hideMark/>
          </w:tcPr>
          <w:p w14:paraId="220B8CAE" w14:textId="77777777" w:rsidR="00301728" w:rsidRPr="00593380" w:rsidRDefault="00301728"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Access to Non-Traditional Learners</w:t>
            </w:r>
          </w:p>
        </w:tc>
        <w:tc>
          <w:tcPr>
            <w:tcW w:w="0" w:type="auto"/>
            <w:hideMark/>
          </w:tcPr>
          <w:p w14:paraId="3020B75E" w14:textId="77777777" w:rsidR="00301728" w:rsidRPr="00593380" w:rsidRDefault="00301728"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140</w:t>
            </w:r>
          </w:p>
        </w:tc>
        <w:tc>
          <w:tcPr>
            <w:tcW w:w="0" w:type="auto"/>
            <w:hideMark/>
          </w:tcPr>
          <w:p w14:paraId="722767EA" w14:textId="77777777" w:rsidR="00301728" w:rsidRPr="00593380" w:rsidRDefault="00301728"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14.0</w:t>
            </w:r>
          </w:p>
        </w:tc>
      </w:tr>
      <w:tr w:rsidR="00B02A11" w:rsidRPr="00593380" w14:paraId="4C93D028" w14:textId="77777777" w:rsidTr="00301728">
        <w:tc>
          <w:tcPr>
            <w:tcW w:w="0" w:type="auto"/>
            <w:hideMark/>
          </w:tcPr>
          <w:p w14:paraId="2B406114" w14:textId="77777777" w:rsidR="00301728" w:rsidRPr="00593380" w:rsidRDefault="00301728" w:rsidP="00D03BEA">
            <w:pPr>
              <w:jc w:val="both"/>
              <w:rPr>
                <w:rFonts w:ascii="Times New Roman" w:hAnsi="Times New Roman" w:cs="Times New Roman"/>
                <w:b/>
                <w:bCs/>
                <w:color w:val="000000" w:themeColor="text1"/>
              </w:rPr>
            </w:pPr>
            <w:r w:rsidRPr="00593380">
              <w:rPr>
                <w:rFonts w:ascii="Times New Roman" w:hAnsi="Times New Roman" w:cs="Times New Roman"/>
                <w:b/>
                <w:bCs/>
                <w:color w:val="000000" w:themeColor="text1"/>
              </w:rPr>
              <w:t>Total</w:t>
            </w:r>
          </w:p>
        </w:tc>
        <w:tc>
          <w:tcPr>
            <w:tcW w:w="0" w:type="auto"/>
            <w:hideMark/>
          </w:tcPr>
          <w:p w14:paraId="5FD9022C" w14:textId="77777777" w:rsidR="00301728" w:rsidRPr="00593380" w:rsidRDefault="00301728" w:rsidP="00D03BEA">
            <w:pPr>
              <w:jc w:val="both"/>
              <w:rPr>
                <w:rFonts w:ascii="Times New Roman" w:hAnsi="Times New Roman" w:cs="Times New Roman"/>
                <w:b/>
                <w:bCs/>
                <w:color w:val="000000" w:themeColor="text1"/>
              </w:rPr>
            </w:pPr>
            <w:r w:rsidRPr="00593380">
              <w:rPr>
                <w:rFonts w:ascii="Times New Roman" w:hAnsi="Times New Roman" w:cs="Times New Roman"/>
                <w:b/>
                <w:bCs/>
                <w:color w:val="000000" w:themeColor="text1"/>
              </w:rPr>
              <w:t>1000</w:t>
            </w:r>
          </w:p>
        </w:tc>
        <w:tc>
          <w:tcPr>
            <w:tcW w:w="0" w:type="auto"/>
            <w:hideMark/>
          </w:tcPr>
          <w:p w14:paraId="23353DE2" w14:textId="77777777" w:rsidR="00301728" w:rsidRPr="00593380" w:rsidRDefault="00301728" w:rsidP="00D03BEA">
            <w:pPr>
              <w:jc w:val="both"/>
              <w:rPr>
                <w:rFonts w:ascii="Times New Roman" w:hAnsi="Times New Roman" w:cs="Times New Roman"/>
                <w:b/>
                <w:bCs/>
                <w:color w:val="000000" w:themeColor="text1"/>
              </w:rPr>
            </w:pPr>
            <w:r w:rsidRPr="00593380">
              <w:rPr>
                <w:rFonts w:ascii="Times New Roman" w:hAnsi="Times New Roman" w:cs="Times New Roman"/>
                <w:b/>
                <w:bCs/>
                <w:color w:val="000000" w:themeColor="text1"/>
              </w:rPr>
              <w:t>100.0</w:t>
            </w:r>
          </w:p>
        </w:tc>
      </w:tr>
    </w:tbl>
    <w:p w14:paraId="13B7C0F3" w14:textId="77777777" w:rsidR="003A6349" w:rsidRPr="00593380" w:rsidRDefault="003A6349" w:rsidP="00593380">
      <w:pPr>
        <w:spacing w:line="360" w:lineRule="auto"/>
        <w:jc w:val="both"/>
        <w:rPr>
          <w:rFonts w:ascii="Times New Roman" w:hAnsi="Times New Roman" w:cs="Times New Roman"/>
          <w:color w:val="000000" w:themeColor="text1"/>
        </w:rPr>
      </w:pPr>
      <w:r w:rsidRPr="00593380">
        <w:rPr>
          <w:rFonts w:ascii="Times New Roman" w:hAnsi="Times New Roman" w:cs="Times New Roman"/>
          <w:color w:val="000000" w:themeColor="text1"/>
        </w:rPr>
        <w:t>Source: Field Survey, 2024.</w:t>
      </w:r>
    </w:p>
    <w:p w14:paraId="2E346F97" w14:textId="5557D659" w:rsidR="00301728" w:rsidRPr="00593380" w:rsidRDefault="00301728" w:rsidP="00593380">
      <w:pPr>
        <w:spacing w:line="360" w:lineRule="auto"/>
        <w:jc w:val="both"/>
        <w:rPr>
          <w:rFonts w:ascii="Times New Roman" w:hAnsi="Times New Roman" w:cs="Times New Roman"/>
          <w:color w:val="000000" w:themeColor="text1"/>
        </w:rPr>
      </w:pPr>
      <w:r w:rsidRPr="00593380">
        <w:rPr>
          <w:rFonts w:ascii="Times New Roman" w:hAnsi="Times New Roman" w:cs="Times New Roman"/>
          <w:color w:val="000000" w:themeColor="text1"/>
        </w:rPr>
        <w:t xml:space="preserve">The shift towards online education brings about several implications for the financial stability of tertiary institutions, as revealed by the </w:t>
      </w:r>
      <w:r w:rsidR="0069417C" w:rsidRPr="00593380">
        <w:rPr>
          <w:rFonts w:ascii="Times New Roman" w:hAnsi="Times New Roman" w:cs="Times New Roman"/>
          <w:color w:val="000000" w:themeColor="text1"/>
        </w:rPr>
        <w:t>response</w:t>
      </w:r>
      <w:r w:rsidRPr="00593380">
        <w:rPr>
          <w:rFonts w:ascii="Times New Roman" w:hAnsi="Times New Roman" w:cs="Times New Roman"/>
          <w:color w:val="000000" w:themeColor="text1"/>
        </w:rPr>
        <w:t xml:space="preserve"> of 1000 participants. Firstly, "Global Reach and Enrollment Growth" emerges as a significant factor, with 20.0% of respondents recognizing the potential for attracting a diverse student population from around the world. This indicates a promising avenue for revenue generation through increased enrollment and tuition fees from international students. Additionally, "Diversification of Revenue Sources" (18.0%) underscores the importance of expanding income streams beyond traditional sources, such as government funding or tuition fees, thereby reducing dependence on volatile sources and enhancing financial resilience. The adoption of "Flexible Learning Models" (17.0%) is seen as a means to accommodate the evolving needs of students, potentially leading to increased retention rates and revenue stability. Moreover, "Reduced Infrastructure Costs" (16.0%) highlight the cost-saving benefits associated with online education, including lower overhead expenses related to physical infrastructure maintenance. Furthermore, "Technology Partnerships and Collaborations" (15.0%) offer opportunities for cost-sharing and resource optimization, contributing to financial sustainability. Lastly, "Access to Non-Traditional Learners" </w:t>
      </w:r>
      <w:r w:rsidRPr="00593380">
        <w:rPr>
          <w:rFonts w:ascii="Times New Roman" w:hAnsi="Times New Roman" w:cs="Times New Roman"/>
          <w:color w:val="000000" w:themeColor="text1"/>
        </w:rPr>
        <w:lastRenderedPageBreak/>
        <w:t>(14.0%) signifies the potential to tap into underserved markets and cater to lifelong learners, thereby expanding revenue-generating opportunities. Overall, these implications underscore the transformative impact of online education on the financial dynamics of tertiary institutions, paving the way for innovation and adaptation to changing market demands.</w:t>
      </w:r>
    </w:p>
    <w:p w14:paraId="1C809133" w14:textId="29B5401A" w:rsidR="0008000D" w:rsidRPr="00593380" w:rsidRDefault="003A6349" w:rsidP="00593380">
      <w:pPr>
        <w:spacing w:after="0" w:line="360" w:lineRule="auto"/>
        <w:jc w:val="both"/>
        <w:rPr>
          <w:rFonts w:ascii="Times New Roman" w:hAnsi="Times New Roman" w:cs="Times New Roman"/>
          <w:b/>
          <w:bCs/>
          <w:color w:val="000000" w:themeColor="text1"/>
        </w:rPr>
      </w:pPr>
      <w:r w:rsidRPr="00593380">
        <w:rPr>
          <w:rFonts w:ascii="Times New Roman" w:hAnsi="Times New Roman" w:cs="Times New Roman"/>
          <w:b/>
          <w:bCs/>
          <w:color w:val="000000" w:themeColor="text1"/>
        </w:rPr>
        <w:t>Table 20:</w:t>
      </w:r>
      <w:r w:rsidR="0034362E" w:rsidRPr="00593380">
        <w:rPr>
          <w:rFonts w:ascii="Times New Roman" w:hAnsi="Times New Roman" w:cs="Times New Roman"/>
          <w:b/>
          <w:bCs/>
          <w:color w:val="000000" w:themeColor="text1"/>
        </w:rPr>
        <w:t xml:space="preserve"> </w:t>
      </w:r>
      <w:r w:rsidR="0008000D" w:rsidRPr="00593380">
        <w:rPr>
          <w:rFonts w:ascii="Times New Roman" w:hAnsi="Times New Roman" w:cs="Times New Roman"/>
          <w:b/>
          <w:bCs/>
          <w:color w:val="000000" w:themeColor="text1"/>
        </w:rPr>
        <w:t xml:space="preserve">Alumni Engagement Programs and </w:t>
      </w:r>
      <w:r w:rsidR="0069417C" w:rsidRPr="00593380">
        <w:rPr>
          <w:rFonts w:ascii="Times New Roman" w:hAnsi="Times New Roman" w:cs="Times New Roman"/>
          <w:b/>
          <w:bCs/>
          <w:color w:val="000000" w:themeColor="text1"/>
        </w:rPr>
        <w:t>Fund-raising</w:t>
      </w:r>
      <w:r w:rsidR="0008000D" w:rsidRPr="00593380">
        <w:rPr>
          <w:rFonts w:ascii="Times New Roman" w:hAnsi="Times New Roman" w:cs="Times New Roman"/>
          <w:b/>
          <w:bCs/>
          <w:color w:val="000000" w:themeColor="text1"/>
        </w:rPr>
        <w:t xml:space="preserve"> Campaigns</w:t>
      </w:r>
    </w:p>
    <w:tbl>
      <w:tblPr>
        <w:tblStyle w:val="TableGrid"/>
        <w:tblW w:w="8941" w:type="dxa"/>
        <w:tblLook w:val="04A0" w:firstRow="1" w:lastRow="0" w:firstColumn="1" w:lastColumn="0" w:noHBand="0" w:noVBand="1"/>
      </w:tblPr>
      <w:tblGrid>
        <w:gridCol w:w="3736"/>
        <w:gridCol w:w="3112"/>
        <w:gridCol w:w="2093"/>
      </w:tblGrid>
      <w:tr w:rsidR="00B02A11" w:rsidRPr="00593380" w14:paraId="332DD213" w14:textId="77777777" w:rsidTr="0008000D">
        <w:tc>
          <w:tcPr>
            <w:tcW w:w="0" w:type="auto"/>
            <w:hideMark/>
          </w:tcPr>
          <w:p w14:paraId="4B5D00B6" w14:textId="2CDFBE2D" w:rsidR="0008000D" w:rsidRPr="00593380" w:rsidRDefault="003A6349" w:rsidP="00D03BEA">
            <w:pPr>
              <w:jc w:val="both"/>
              <w:rPr>
                <w:rFonts w:ascii="Times New Roman" w:hAnsi="Times New Roman" w:cs="Times New Roman"/>
                <w:b/>
                <w:bCs/>
                <w:color w:val="000000" w:themeColor="text1"/>
              </w:rPr>
            </w:pPr>
            <w:r w:rsidRPr="00593380">
              <w:rPr>
                <w:rFonts w:ascii="Times New Roman" w:hAnsi="Times New Roman" w:cs="Times New Roman"/>
                <w:b/>
                <w:bCs/>
                <w:color w:val="000000" w:themeColor="text1"/>
              </w:rPr>
              <w:t>Statement</w:t>
            </w:r>
          </w:p>
        </w:tc>
        <w:tc>
          <w:tcPr>
            <w:tcW w:w="0" w:type="auto"/>
            <w:hideMark/>
          </w:tcPr>
          <w:p w14:paraId="49F1146B" w14:textId="77777777" w:rsidR="0008000D" w:rsidRPr="00593380" w:rsidRDefault="0008000D" w:rsidP="00D03BEA">
            <w:pPr>
              <w:jc w:val="both"/>
              <w:rPr>
                <w:rFonts w:ascii="Times New Roman" w:hAnsi="Times New Roman" w:cs="Times New Roman"/>
                <w:b/>
                <w:bCs/>
                <w:color w:val="000000" w:themeColor="text1"/>
              </w:rPr>
            </w:pPr>
            <w:r w:rsidRPr="00593380">
              <w:rPr>
                <w:rFonts w:ascii="Times New Roman" w:hAnsi="Times New Roman" w:cs="Times New Roman"/>
                <w:b/>
                <w:bCs/>
                <w:color w:val="000000" w:themeColor="text1"/>
              </w:rPr>
              <w:t>Number of Respondents</w:t>
            </w:r>
          </w:p>
        </w:tc>
        <w:tc>
          <w:tcPr>
            <w:tcW w:w="0" w:type="auto"/>
            <w:hideMark/>
          </w:tcPr>
          <w:p w14:paraId="40A91F98" w14:textId="22C100B8" w:rsidR="0008000D" w:rsidRPr="00593380" w:rsidRDefault="0008000D" w:rsidP="00D03BEA">
            <w:pPr>
              <w:jc w:val="both"/>
              <w:rPr>
                <w:rFonts w:ascii="Times New Roman" w:hAnsi="Times New Roman" w:cs="Times New Roman"/>
                <w:b/>
                <w:bCs/>
                <w:color w:val="000000" w:themeColor="text1"/>
              </w:rPr>
            </w:pPr>
            <w:r w:rsidRPr="00593380">
              <w:rPr>
                <w:rFonts w:ascii="Times New Roman" w:hAnsi="Times New Roman" w:cs="Times New Roman"/>
                <w:b/>
                <w:bCs/>
                <w:color w:val="000000" w:themeColor="text1"/>
              </w:rPr>
              <w:t>Percentage (%)</w:t>
            </w:r>
          </w:p>
        </w:tc>
      </w:tr>
      <w:tr w:rsidR="00B02A11" w:rsidRPr="00593380" w14:paraId="1A267F55" w14:textId="77777777" w:rsidTr="0008000D">
        <w:tc>
          <w:tcPr>
            <w:tcW w:w="0" w:type="auto"/>
            <w:hideMark/>
          </w:tcPr>
          <w:p w14:paraId="7FE10428" w14:textId="77777777" w:rsidR="0008000D" w:rsidRPr="00593380" w:rsidRDefault="0008000D"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Philanthropic Support</w:t>
            </w:r>
          </w:p>
        </w:tc>
        <w:tc>
          <w:tcPr>
            <w:tcW w:w="0" w:type="auto"/>
            <w:hideMark/>
          </w:tcPr>
          <w:p w14:paraId="766969E4" w14:textId="77777777" w:rsidR="0008000D" w:rsidRPr="00593380" w:rsidRDefault="0008000D"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300</w:t>
            </w:r>
          </w:p>
        </w:tc>
        <w:tc>
          <w:tcPr>
            <w:tcW w:w="0" w:type="auto"/>
            <w:hideMark/>
          </w:tcPr>
          <w:p w14:paraId="4510374E" w14:textId="77777777" w:rsidR="0008000D" w:rsidRPr="00593380" w:rsidRDefault="0008000D"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30.0</w:t>
            </w:r>
          </w:p>
        </w:tc>
      </w:tr>
      <w:tr w:rsidR="00B02A11" w:rsidRPr="00593380" w14:paraId="687A84CD" w14:textId="77777777" w:rsidTr="0008000D">
        <w:tc>
          <w:tcPr>
            <w:tcW w:w="0" w:type="auto"/>
            <w:hideMark/>
          </w:tcPr>
          <w:p w14:paraId="51EFAB1B" w14:textId="77777777" w:rsidR="0008000D" w:rsidRPr="00593380" w:rsidRDefault="0008000D"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Mentorship and Networking</w:t>
            </w:r>
          </w:p>
        </w:tc>
        <w:tc>
          <w:tcPr>
            <w:tcW w:w="0" w:type="auto"/>
            <w:hideMark/>
          </w:tcPr>
          <w:p w14:paraId="728412BB" w14:textId="77777777" w:rsidR="0008000D" w:rsidRPr="00593380" w:rsidRDefault="0008000D"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220</w:t>
            </w:r>
          </w:p>
        </w:tc>
        <w:tc>
          <w:tcPr>
            <w:tcW w:w="0" w:type="auto"/>
            <w:hideMark/>
          </w:tcPr>
          <w:p w14:paraId="4FCF8DAA" w14:textId="77777777" w:rsidR="0008000D" w:rsidRPr="00593380" w:rsidRDefault="0008000D"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22.0</w:t>
            </w:r>
          </w:p>
        </w:tc>
      </w:tr>
      <w:tr w:rsidR="00B02A11" w:rsidRPr="00593380" w14:paraId="413B283C" w14:textId="77777777" w:rsidTr="0008000D">
        <w:tc>
          <w:tcPr>
            <w:tcW w:w="0" w:type="auto"/>
            <w:hideMark/>
          </w:tcPr>
          <w:p w14:paraId="3F45A8B4" w14:textId="77777777" w:rsidR="0008000D" w:rsidRPr="00593380" w:rsidRDefault="0008000D"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In-Kind Contributions</w:t>
            </w:r>
          </w:p>
        </w:tc>
        <w:tc>
          <w:tcPr>
            <w:tcW w:w="0" w:type="auto"/>
            <w:hideMark/>
          </w:tcPr>
          <w:p w14:paraId="6E65E15F" w14:textId="77777777" w:rsidR="0008000D" w:rsidRPr="00593380" w:rsidRDefault="0008000D"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180</w:t>
            </w:r>
          </w:p>
        </w:tc>
        <w:tc>
          <w:tcPr>
            <w:tcW w:w="0" w:type="auto"/>
            <w:hideMark/>
          </w:tcPr>
          <w:p w14:paraId="5583ED80" w14:textId="77777777" w:rsidR="0008000D" w:rsidRPr="00593380" w:rsidRDefault="0008000D"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18.0</w:t>
            </w:r>
          </w:p>
        </w:tc>
      </w:tr>
      <w:tr w:rsidR="00B02A11" w:rsidRPr="00593380" w14:paraId="0C31EDAD" w14:textId="77777777" w:rsidTr="0008000D">
        <w:tc>
          <w:tcPr>
            <w:tcW w:w="0" w:type="auto"/>
            <w:hideMark/>
          </w:tcPr>
          <w:p w14:paraId="15834C62" w14:textId="77777777" w:rsidR="0008000D" w:rsidRPr="00593380" w:rsidRDefault="0008000D"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Advocacy and Public Relations</w:t>
            </w:r>
          </w:p>
        </w:tc>
        <w:tc>
          <w:tcPr>
            <w:tcW w:w="0" w:type="auto"/>
            <w:hideMark/>
          </w:tcPr>
          <w:p w14:paraId="6916031F" w14:textId="77777777" w:rsidR="0008000D" w:rsidRPr="00593380" w:rsidRDefault="0008000D"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150</w:t>
            </w:r>
          </w:p>
        </w:tc>
        <w:tc>
          <w:tcPr>
            <w:tcW w:w="0" w:type="auto"/>
            <w:hideMark/>
          </w:tcPr>
          <w:p w14:paraId="0C82ACF5" w14:textId="77777777" w:rsidR="0008000D" w:rsidRPr="00593380" w:rsidRDefault="0008000D"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15.0</w:t>
            </w:r>
          </w:p>
        </w:tc>
      </w:tr>
      <w:tr w:rsidR="00B02A11" w:rsidRPr="00593380" w14:paraId="3A00997C" w14:textId="77777777" w:rsidTr="0008000D">
        <w:tc>
          <w:tcPr>
            <w:tcW w:w="0" w:type="auto"/>
            <w:hideMark/>
          </w:tcPr>
          <w:p w14:paraId="7277C1F0" w14:textId="77777777" w:rsidR="0008000D" w:rsidRPr="00593380" w:rsidRDefault="0008000D"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Volunteerism</w:t>
            </w:r>
          </w:p>
        </w:tc>
        <w:tc>
          <w:tcPr>
            <w:tcW w:w="0" w:type="auto"/>
            <w:hideMark/>
          </w:tcPr>
          <w:p w14:paraId="775807F3" w14:textId="77777777" w:rsidR="0008000D" w:rsidRPr="00593380" w:rsidRDefault="0008000D"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150</w:t>
            </w:r>
          </w:p>
        </w:tc>
        <w:tc>
          <w:tcPr>
            <w:tcW w:w="0" w:type="auto"/>
            <w:hideMark/>
          </w:tcPr>
          <w:p w14:paraId="0735E78C" w14:textId="77777777" w:rsidR="0008000D" w:rsidRPr="00593380" w:rsidRDefault="0008000D" w:rsidP="00D03BEA">
            <w:pPr>
              <w:jc w:val="both"/>
              <w:rPr>
                <w:rFonts w:ascii="Times New Roman" w:hAnsi="Times New Roman" w:cs="Times New Roman"/>
                <w:color w:val="000000" w:themeColor="text1"/>
              </w:rPr>
            </w:pPr>
            <w:r w:rsidRPr="00593380">
              <w:rPr>
                <w:rFonts w:ascii="Times New Roman" w:hAnsi="Times New Roman" w:cs="Times New Roman"/>
                <w:color w:val="000000" w:themeColor="text1"/>
              </w:rPr>
              <w:t>15.0</w:t>
            </w:r>
          </w:p>
        </w:tc>
      </w:tr>
      <w:tr w:rsidR="00B02A11" w:rsidRPr="00593380" w14:paraId="2B84C6A6" w14:textId="77777777" w:rsidTr="0008000D">
        <w:tc>
          <w:tcPr>
            <w:tcW w:w="0" w:type="auto"/>
            <w:hideMark/>
          </w:tcPr>
          <w:p w14:paraId="440D09A8" w14:textId="77777777" w:rsidR="0008000D" w:rsidRPr="00593380" w:rsidRDefault="0008000D" w:rsidP="00D03BEA">
            <w:pPr>
              <w:jc w:val="both"/>
              <w:rPr>
                <w:rFonts w:ascii="Times New Roman" w:hAnsi="Times New Roman" w:cs="Times New Roman"/>
                <w:b/>
                <w:bCs/>
                <w:color w:val="000000" w:themeColor="text1"/>
              </w:rPr>
            </w:pPr>
            <w:r w:rsidRPr="00593380">
              <w:rPr>
                <w:rFonts w:ascii="Times New Roman" w:hAnsi="Times New Roman" w:cs="Times New Roman"/>
                <w:b/>
                <w:bCs/>
                <w:color w:val="000000" w:themeColor="text1"/>
              </w:rPr>
              <w:t>Total</w:t>
            </w:r>
          </w:p>
        </w:tc>
        <w:tc>
          <w:tcPr>
            <w:tcW w:w="0" w:type="auto"/>
            <w:hideMark/>
          </w:tcPr>
          <w:p w14:paraId="4338432E" w14:textId="77777777" w:rsidR="0008000D" w:rsidRPr="00593380" w:rsidRDefault="0008000D" w:rsidP="00D03BEA">
            <w:pPr>
              <w:jc w:val="both"/>
              <w:rPr>
                <w:rFonts w:ascii="Times New Roman" w:hAnsi="Times New Roman" w:cs="Times New Roman"/>
                <w:b/>
                <w:bCs/>
                <w:color w:val="000000" w:themeColor="text1"/>
              </w:rPr>
            </w:pPr>
            <w:r w:rsidRPr="00593380">
              <w:rPr>
                <w:rFonts w:ascii="Times New Roman" w:hAnsi="Times New Roman" w:cs="Times New Roman"/>
                <w:b/>
                <w:bCs/>
                <w:color w:val="000000" w:themeColor="text1"/>
              </w:rPr>
              <w:t>1000</w:t>
            </w:r>
          </w:p>
        </w:tc>
        <w:tc>
          <w:tcPr>
            <w:tcW w:w="0" w:type="auto"/>
            <w:hideMark/>
          </w:tcPr>
          <w:p w14:paraId="60760AAF" w14:textId="77777777" w:rsidR="0008000D" w:rsidRPr="00593380" w:rsidRDefault="0008000D" w:rsidP="00D03BEA">
            <w:pPr>
              <w:jc w:val="both"/>
              <w:rPr>
                <w:rFonts w:ascii="Times New Roman" w:hAnsi="Times New Roman" w:cs="Times New Roman"/>
                <w:b/>
                <w:bCs/>
                <w:color w:val="000000" w:themeColor="text1"/>
              </w:rPr>
            </w:pPr>
            <w:r w:rsidRPr="00593380">
              <w:rPr>
                <w:rFonts w:ascii="Times New Roman" w:hAnsi="Times New Roman" w:cs="Times New Roman"/>
                <w:b/>
                <w:bCs/>
                <w:color w:val="000000" w:themeColor="text1"/>
              </w:rPr>
              <w:t>100.0</w:t>
            </w:r>
          </w:p>
        </w:tc>
      </w:tr>
    </w:tbl>
    <w:p w14:paraId="12F9AD54" w14:textId="77777777" w:rsidR="003A6349" w:rsidRPr="00593380" w:rsidRDefault="003A6349" w:rsidP="00593380">
      <w:pPr>
        <w:spacing w:line="360" w:lineRule="auto"/>
        <w:jc w:val="both"/>
        <w:rPr>
          <w:rFonts w:ascii="Times New Roman" w:hAnsi="Times New Roman" w:cs="Times New Roman"/>
          <w:color w:val="000000" w:themeColor="text1"/>
        </w:rPr>
      </w:pPr>
      <w:r w:rsidRPr="00593380">
        <w:rPr>
          <w:rFonts w:ascii="Times New Roman" w:hAnsi="Times New Roman" w:cs="Times New Roman"/>
          <w:color w:val="000000" w:themeColor="text1"/>
        </w:rPr>
        <w:t>Source: Field Survey, 2024.</w:t>
      </w:r>
    </w:p>
    <w:p w14:paraId="2ABECFF2" w14:textId="3849F80F" w:rsidR="0008000D" w:rsidRPr="00593380" w:rsidRDefault="0008000D" w:rsidP="00593380">
      <w:pPr>
        <w:spacing w:line="360" w:lineRule="auto"/>
        <w:jc w:val="both"/>
        <w:rPr>
          <w:rFonts w:ascii="Times New Roman" w:hAnsi="Times New Roman" w:cs="Times New Roman"/>
          <w:color w:val="000000" w:themeColor="text1"/>
        </w:rPr>
      </w:pPr>
      <w:r w:rsidRPr="00593380">
        <w:rPr>
          <w:rFonts w:ascii="Times New Roman" w:hAnsi="Times New Roman" w:cs="Times New Roman"/>
          <w:color w:val="000000" w:themeColor="text1"/>
        </w:rPr>
        <w:t>Alumni engagement programs and fundraising campaigns play a pivotal role in supporting the financial needs of tertiary institutions, as indicated by the responses from 1000 participants. Philanthropic support emerged as the most significant contributor, with 30% of respondents recognizing its importance. This highlights the significant impact of alumni and donors who generously contribute funds to various projects and initiatives within the institution. Mentorship and networking followed closely, with 22% of respondents acknowledging their role in fostering connections and opportunities that can translate into financial support. Additionally, in-kind contributions, advocacy, public relations efforts, and volunteerism were also recognized, each contributing substantially to the financial stability of tertiary institutions. These findings underscore the multifaceted approach institutions employ to engage with alumni and donors, leveraging their support not only through monetary donations but also through various forms of assistance and advocacy, thereby ensuring continued financial sustainability and growth.</w:t>
      </w:r>
    </w:p>
    <w:p w14:paraId="27AC5C46" w14:textId="0BC47258" w:rsidR="00186EF4" w:rsidRPr="00593380" w:rsidRDefault="003A6349" w:rsidP="00D03BEA">
      <w:pPr>
        <w:spacing w:after="0" w:line="360" w:lineRule="auto"/>
        <w:jc w:val="both"/>
        <w:rPr>
          <w:rFonts w:ascii="Times New Roman" w:hAnsi="Times New Roman" w:cs="Times New Roman"/>
        </w:rPr>
      </w:pPr>
      <w:r w:rsidRPr="00593380">
        <w:rPr>
          <w:rFonts w:ascii="Times New Roman" w:hAnsi="Times New Roman" w:cs="Times New Roman"/>
          <w:b/>
          <w:bCs/>
          <w:color w:val="000000" w:themeColor="text1"/>
        </w:rPr>
        <w:t xml:space="preserve">Table 21: </w:t>
      </w:r>
      <w:r w:rsidR="00186EF4" w:rsidRPr="00593380">
        <w:rPr>
          <w:rFonts w:ascii="Times New Roman" w:hAnsi="Times New Roman" w:cs="Times New Roman"/>
          <w:b/>
          <w:bCs/>
        </w:rPr>
        <w:t>Comparison of Revenue Generation Strategies Between FPTB and ATAP</w:t>
      </w:r>
    </w:p>
    <w:tbl>
      <w:tblPr>
        <w:tblStyle w:val="TableGrid"/>
        <w:tblW w:w="9625" w:type="dxa"/>
        <w:tblLook w:val="04A0" w:firstRow="1" w:lastRow="0" w:firstColumn="1" w:lastColumn="0" w:noHBand="0" w:noVBand="1"/>
      </w:tblPr>
      <w:tblGrid>
        <w:gridCol w:w="4343"/>
        <w:gridCol w:w="546"/>
        <w:gridCol w:w="546"/>
        <w:gridCol w:w="546"/>
        <w:gridCol w:w="546"/>
        <w:gridCol w:w="546"/>
        <w:gridCol w:w="1375"/>
        <w:gridCol w:w="1177"/>
      </w:tblGrid>
      <w:tr w:rsidR="00186EF4" w:rsidRPr="00593380" w14:paraId="7E97EE77" w14:textId="77777777" w:rsidTr="00DD61BC">
        <w:tc>
          <w:tcPr>
            <w:tcW w:w="0" w:type="auto"/>
            <w:hideMark/>
          </w:tcPr>
          <w:p w14:paraId="1A5CAAFF" w14:textId="77777777" w:rsidR="00186EF4" w:rsidRPr="00593380" w:rsidRDefault="00186EF4" w:rsidP="00D03BEA">
            <w:pPr>
              <w:jc w:val="both"/>
              <w:rPr>
                <w:rFonts w:ascii="Times New Roman" w:hAnsi="Times New Roman" w:cs="Times New Roman"/>
                <w:b/>
                <w:bCs/>
              </w:rPr>
            </w:pPr>
            <w:r w:rsidRPr="00593380">
              <w:rPr>
                <w:rFonts w:ascii="Times New Roman" w:hAnsi="Times New Roman" w:cs="Times New Roman"/>
                <w:b/>
                <w:bCs/>
              </w:rPr>
              <w:t>Statements</w:t>
            </w:r>
          </w:p>
        </w:tc>
        <w:tc>
          <w:tcPr>
            <w:tcW w:w="0" w:type="auto"/>
            <w:hideMark/>
          </w:tcPr>
          <w:p w14:paraId="7018A9A3" w14:textId="222AF76B" w:rsidR="00186EF4" w:rsidRPr="00593380" w:rsidRDefault="004D096C" w:rsidP="00D03BEA">
            <w:pPr>
              <w:jc w:val="both"/>
              <w:rPr>
                <w:rFonts w:ascii="Times New Roman" w:hAnsi="Times New Roman" w:cs="Times New Roman"/>
                <w:b/>
                <w:bCs/>
              </w:rPr>
            </w:pPr>
            <w:r w:rsidRPr="00593380">
              <w:rPr>
                <w:rFonts w:ascii="Times New Roman" w:hAnsi="Times New Roman" w:cs="Times New Roman"/>
                <w:b/>
                <w:bCs/>
              </w:rPr>
              <w:t>SD</w:t>
            </w:r>
          </w:p>
        </w:tc>
        <w:tc>
          <w:tcPr>
            <w:tcW w:w="0" w:type="auto"/>
            <w:hideMark/>
          </w:tcPr>
          <w:p w14:paraId="7D30CA79" w14:textId="104F6310" w:rsidR="00186EF4" w:rsidRPr="00593380" w:rsidRDefault="004D096C" w:rsidP="00D03BEA">
            <w:pPr>
              <w:jc w:val="both"/>
              <w:rPr>
                <w:rFonts w:ascii="Times New Roman" w:hAnsi="Times New Roman" w:cs="Times New Roman"/>
                <w:b/>
                <w:bCs/>
              </w:rPr>
            </w:pPr>
            <w:r w:rsidRPr="00593380">
              <w:rPr>
                <w:rFonts w:ascii="Times New Roman" w:hAnsi="Times New Roman" w:cs="Times New Roman"/>
                <w:b/>
                <w:bCs/>
              </w:rPr>
              <w:t>D</w:t>
            </w:r>
          </w:p>
        </w:tc>
        <w:tc>
          <w:tcPr>
            <w:tcW w:w="0" w:type="auto"/>
            <w:hideMark/>
          </w:tcPr>
          <w:p w14:paraId="53D47253" w14:textId="77537A6B" w:rsidR="00186EF4" w:rsidRPr="00593380" w:rsidRDefault="004D096C" w:rsidP="00D03BEA">
            <w:pPr>
              <w:jc w:val="both"/>
              <w:rPr>
                <w:rFonts w:ascii="Times New Roman" w:hAnsi="Times New Roman" w:cs="Times New Roman"/>
                <w:b/>
                <w:bCs/>
              </w:rPr>
            </w:pPr>
            <w:r w:rsidRPr="00593380">
              <w:rPr>
                <w:rFonts w:ascii="Times New Roman" w:hAnsi="Times New Roman" w:cs="Times New Roman"/>
                <w:b/>
                <w:bCs/>
              </w:rPr>
              <w:t>N</w:t>
            </w:r>
          </w:p>
        </w:tc>
        <w:tc>
          <w:tcPr>
            <w:tcW w:w="0" w:type="auto"/>
            <w:hideMark/>
          </w:tcPr>
          <w:p w14:paraId="1832C96C" w14:textId="1B525C71" w:rsidR="00186EF4" w:rsidRPr="00593380" w:rsidRDefault="004D096C" w:rsidP="00D03BEA">
            <w:pPr>
              <w:jc w:val="both"/>
              <w:rPr>
                <w:rFonts w:ascii="Times New Roman" w:hAnsi="Times New Roman" w:cs="Times New Roman"/>
                <w:b/>
                <w:bCs/>
              </w:rPr>
            </w:pPr>
            <w:r w:rsidRPr="00593380">
              <w:rPr>
                <w:rFonts w:ascii="Times New Roman" w:hAnsi="Times New Roman" w:cs="Times New Roman"/>
                <w:b/>
                <w:bCs/>
              </w:rPr>
              <w:t>A</w:t>
            </w:r>
          </w:p>
        </w:tc>
        <w:tc>
          <w:tcPr>
            <w:tcW w:w="0" w:type="auto"/>
            <w:hideMark/>
          </w:tcPr>
          <w:p w14:paraId="6F6603F5" w14:textId="12D643DF" w:rsidR="00186EF4" w:rsidRPr="00593380" w:rsidRDefault="004D096C" w:rsidP="00D03BEA">
            <w:pPr>
              <w:jc w:val="both"/>
              <w:rPr>
                <w:rFonts w:ascii="Times New Roman" w:hAnsi="Times New Roman" w:cs="Times New Roman"/>
                <w:b/>
                <w:bCs/>
              </w:rPr>
            </w:pPr>
            <w:r w:rsidRPr="00593380">
              <w:rPr>
                <w:rFonts w:ascii="Times New Roman" w:hAnsi="Times New Roman" w:cs="Times New Roman"/>
                <w:b/>
                <w:bCs/>
              </w:rPr>
              <w:t>SA</w:t>
            </w:r>
          </w:p>
        </w:tc>
        <w:tc>
          <w:tcPr>
            <w:tcW w:w="1375" w:type="dxa"/>
            <w:hideMark/>
          </w:tcPr>
          <w:p w14:paraId="37B2B209" w14:textId="77777777" w:rsidR="00186EF4" w:rsidRPr="00593380" w:rsidRDefault="00186EF4" w:rsidP="00D03BEA">
            <w:pPr>
              <w:jc w:val="both"/>
              <w:rPr>
                <w:rFonts w:ascii="Times New Roman" w:hAnsi="Times New Roman" w:cs="Times New Roman"/>
                <w:b/>
                <w:bCs/>
              </w:rPr>
            </w:pPr>
            <w:r w:rsidRPr="00593380">
              <w:rPr>
                <w:rFonts w:ascii="Times New Roman" w:hAnsi="Times New Roman" w:cs="Times New Roman"/>
                <w:b/>
                <w:bCs/>
              </w:rPr>
              <w:t>Total Responses</w:t>
            </w:r>
          </w:p>
        </w:tc>
        <w:tc>
          <w:tcPr>
            <w:tcW w:w="1177" w:type="dxa"/>
            <w:hideMark/>
          </w:tcPr>
          <w:p w14:paraId="5D64C9A0" w14:textId="77777777" w:rsidR="00186EF4" w:rsidRPr="00593380" w:rsidRDefault="00186EF4" w:rsidP="00D03BEA">
            <w:pPr>
              <w:jc w:val="both"/>
              <w:rPr>
                <w:rFonts w:ascii="Times New Roman" w:hAnsi="Times New Roman" w:cs="Times New Roman"/>
                <w:b/>
                <w:bCs/>
              </w:rPr>
            </w:pPr>
            <w:r w:rsidRPr="00593380">
              <w:rPr>
                <w:rFonts w:ascii="Times New Roman" w:hAnsi="Times New Roman" w:cs="Times New Roman"/>
                <w:b/>
                <w:bCs/>
              </w:rPr>
              <w:t>Mean Response</w:t>
            </w:r>
          </w:p>
        </w:tc>
      </w:tr>
      <w:tr w:rsidR="00186EF4" w:rsidRPr="00593380" w14:paraId="1EB62069" w14:textId="77777777" w:rsidTr="00DD61BC">
        <w:tc>
          <w:tcPr>
            <w:tcW w:w="0" w:type="auto"/>
            <w:hideMark/>
          </w:tcPr>
          <w:p w14:paraId="25A4484A" w14:textId="77777777" w:rsidR="00186EF4" w:rsidRPr="00593380" w:rsidRDefault="00186EF4" w:rsidP="00D03BEA">
            <w:pPr>
              <w:jc w:val="both"/>
              <w:rPr>
                <w:rFonts w:ascii="Times New Roman" w:hAnsi="Times New Roman" w:cs="Times New Roman"/>
              </w:rPr>
            </w:pPr>
            <w:r w:rsidRPr="00593380">
              <w:rPr>
                <w:rFonts w:ascii="Times New Roman" w:hAnsi="Times New Roman" w:cs="Times New Roman"/>
              </w:rPr>
              <w:t>FPTB's revenue generation strategies are more flexible due to fewer govt restrictions.</w:t>
            </w:r>
          </w:p>
        </w:tc>
        <w:tc>
          <w:tcPr>
            <w:tcW w:w="0" w:type="auto"/>
            <w:hideMark/>
          </w:tcPr>
          <w:p w14:paraId="2A75F881" w14:textId="77777777" w:rsidR="00186EF4" w:rsidRPr="00593380" w:rsidRDefault="00186EF4" w:rsidP="00D03BEA">
            <w:pPr>
              <w:jc w:val="both"/>
              <w:rPr>
                <w:rFonts w:ascii="Times New Roman" w:hAnsi="Times New Roman" w:cs="Times New Roman"/>
              </w:rPr>
            </w:pPr>
            <w:r w:rsidRPr="00593380">
              <w:rPr>
                <w:rFonts w:ascii="Times New Roman" w:hAnsi="Times New Roman" w:cs="Times New Roman"/>
              </w:rPr>
              <w:t>50</w:t>
            </w:r>
          </w:p>
        </w:tc>
        <w:tc>
          <w:tcPr>
            <w:tcW w:w="0" w:type="auto"/>
            <w:hideMark/>
          </w:tcPr>
          <w:p w14:paraId="0ACB3A7E" w14:textId="77777777" w:rsidR="00186EF4" w:rsidRPr="00593380" w:rsidRDefault="00186EF4" w:rsidP="00D03BEA">
            <w:pPr>
              <w:jc w:val="both"/>
              <w:rPr>
                <w:rFonts w:ascii="Times New Roman" w:hAnsi="Times New Roman" w:cs="Times New Roman"/>
              </w:rPr>
            </w:pPr>
            <w:r w:rsidRPr="00593380">
              <w:rPr>
                <w:rFonts w:ascii="Times New Roman" w:hAnsi="Times New Roman" w:cs="Times New Roman"/>
              </w:rPr>
              <w:t>100</w:t>
            </w:r>
          </w:p>
        </w:tc>
        <w:tc>
          <w:tcPr>
            <w:tcW w:w="0" w:type="auto"/>
            <w:hideMark/>
          </w:tcPr>
          <w:p w14:paraId="318FAE25" w14:textId="77777777" w:rsidR="00186EF4" w:rsidRPr="00593380" w:rsidRDefault="00186EF4" w:rsidP="00D03BEA">
            <w:pPr>
              <w:jc w:val="both"/>
              <w:rPr>
                <w:rFonts w:ascii="Times New Roman" w:hAnsi="Times New Roman" w:cs="Times New Roman"/>
              </w:rPr>
            </w:pPr>
            <w:r w:rsidRPr="00593380">
              <w:rPr>
                <w:rFonts w:ascii="Times New Roman" w:hAnsi="Times New Roman" w:cs="Times New Roman"/>
              </w:rPr>
              <w:t>150</w:t>
            </w:r>
          </w:p>
        </w:tc>
        <w:tc>
          <w:tcPr>
            <w:tcW w:w="0" w:type="auto"/>
            <w:hideMark/>
          </w:tcPr>
          <w:p w14:paraId="70188805" w14:textId="77777777" w:rsidR="00186EF4" w:rsidRPr="00593380" w:rsidRDefault="00186EF4" w:rsidP="00D03BEA">
            <w:pPr>
              <w:jc w:val="both"/>
              <w:rPr>
                <w:rFonts w:ascii="Times New Roman" w:hAnsi="Times New Roman" w:cs="Times New Roman"/>
              </w:rPr>
            </w:pPr>
            <w:r w:rsidRPr="00593380">
              <w:rPr>
                <w:rFonts w:ascii="Times New Roman" w:hAnsi="Times New Roman" w:cs="Times New Roman"/>
              </w:rPr>
              <w:t>300</w:t>
            </w:r>
          </w:p>
        </w:tc>
        <w:tc>
          <w:tcPr>
            <w:tcW w:w="0" w:type="auto"/>
            <w:hideMark/>
          </w:tcPr>
          <w:p w14:paraId="78272C10" w14:textId="77777777" w:rsidR="00186EF4" w:rsidRPr="00593380" w:rsidRDefault="00186EF4" w:rsidP="00D03BEA">
            <w:pPr>
              <w:jc w:val="both"/>
              <w:rPr>
                <w:rFonts w:ascii="Times New Roman" w:hAnsi="Times New Roman" w:cs="Times New Roman"/>
              </w:rPr>
            </w:pPr>
            <w:r w:rsidRPr="00593380">
              <w:rPr>
                <w:rFonts w:ascii="Times New Roman" w:hAnsi="Times New Roman" w:cs="Times New Roman"/>
              </w:rPr>
              <w:t>400</w:t>
            </w:r>
          </w:p>
        </w:tc>
        <w:tc>
          <w:tcPr>
            <w:tcW w:w="1375" w:type="dxa"/>
            <w:hideMark/>
          </w:tcPr>
          <w:p w14:paraId="11D25295" w14:textId="77777777" w:rsidR="00186EF4" w:rsidRPr="00593380" w:rsidRDefault="00186EF4" w:rsidP="00D03BEA">
            <w:pPr>
              <w:jc w:val="both"/>
              <w:rPr>
                <w:rFonts w:ascii="Times New Roman" w:hAnsi="Times New Roman" w:cs="Times New Roman"/>
              </w:rPr>
            </w:pPr>
            <w:r w:rsidRPr="00593380">
              <w:rPr>
                <w:rFonts w:ascii="Times New Roman" w:hAnsi="Times New Roman" w:cs="Times New Roman"/>
              </w:rPr>
              <w:t>1000</w:t>
            </w:r>
          </w:p>
        </w:tc>
        <w:tc>
          <w:tcPr>
            <w:tcW w:w="1177" w:type="dxa"/>
            <w:hideMark/>
          </w:tcPr>
          <w:p w14:paraId="4CB6DFD7" w14:textId="77777777" w:rsidR="00186EF4" w:rsidRPr="00593380" w:rsidRDefault="00186EF4" w:rsidP="00D03BEA">
            <w:pPr>
              <w:jc w:val="both"/>
              <w:rPr>
                <w:rFonts w:ascii="Times New Roman" w:hAnsi="Times New Roman" w:cs="Times New Roman"/>
              </w:rPr>
            </w:pPr>
            <w:r w:rsidRPr="00593380">
              <w:rPr>
                <w:rFonts w:ascii="Times New Roman" w:hAnsi="Times New Roman" w:cs="Times New Roman"/>
              </w:rPr>
              <w:t>4.2</w:t>
            </w:r>
          </w:p>
        </w:tc>
      </w:tr>
      <w:tr w:rsidR="00186EF4" w:rsidRPr="00593380" w14:paraId="1246475D" w14:textId="77777777" w:rsidTr="00DD61BC">
        <w:tc>
          <w:tcPr>
            <w:tcW w:w="0" w:type="auto"/>
            <w:hideMark/>
          </w:tcPr>
          <w:p w14:paraId="4C0625CC" w14:textId="77777777" w:rsidR="00186EF4" w:rsidRPr="00593380" w:rsidRDefault="00186EF4" w:rsidP="00D03BEA">
            <w:pPr>
              <w:jc w:val="both"/>
              <w:rPr>
                <w:rFonts w:ascii="Times New Roman" w:hAnsi="Times New Roman" w:cs="Times New Roman"/>
              </w:rPr>
            </w:pPr>
            <w:r w:rsidRPr="00593380">
              <w:rPr>
                <w:rFonts w:ascii="Times New Roman" w:hAnsi="Times New Roman" w:cs="Times New Roman"/>
              </w:rPr>
              <w:t>ATAP's revenue generation strategies benefit from faster decision-making processes.</w:t>
            </w:r>
          </w:p>
        </w:tc>
        <w:tc>
          <w:tcPr>
            <w:tcW w:w="0" w:type="auto"/>
            <w:hideMark/>
          </w:tcPr>
          <w:p w14:paraId="22E4F228" w14:textId="77777777" w:rsidR="00186EF4" w:rsidRPr="00593380" w:rsidRDefault="00186EF4" w:rsidP="00D03BEA">
            <w:pPr>
              <w:jc w:val="both"/>
              <w:rPr>
                <w:rFonts w:ascii="Times New Roman" w:hAnsi="Times New Roman" w:cs="Times New Roman"/>
              </w:rPr>
            </w:pPr>
            <w:r w:rsidRPr="00593380">
              <w:rPr>
                <w:rFonts w:ascii="Times New Roman" w:hAnsi="Times New Roman" w:cs="Times New Roman"/>
              </w:rPr>
              <w:t>30</w:t>
            </w:r>
          </w:p>
        </w:tc>
        <w:tc>
          <w:tcPr>
            <w:tcW w:w="0" w:type="auto"/>
            <w:hideMark/>
          </w:tcPr>
          <w:p w14:paraId="442AA35A" w14:textId="77777777" w:rsidR="00186EF4" w:rsidRPr="00593380" w:rsidRDefault="00186EF4" w:rsidP="00D03BEA">
            <w:pPr>
              <w:jc w:val="both"/>
              <w:rPr>
                <w:rFonts w:ascii="Times New Roman" w:hAnsi="Times New Roman" w:cs="Times New Roman"/>
              </w:rPr>
            </w:pPr>
            <w:r w:rsidRPr="00593380">
              <w:rPr>
                <w:rFonts w:ascii="Times New Roman" w:hAnsi="Times New Roman" w:cs="Times New Roman"/>
              </w:rPr>
              <w:t>80</w:t>
            </w:r>
          </w:p>
        </w:tc>
        <w:tc>
          <w:tcPr>
            <w:tcW w:w="0" w:type="auto"/>
            <w:hideMark/>
          </w:tcPr>
          <w:p w14:paraId="32C97DBA" w14:textId="77777777" w:rsidR="00186EF4" w:rsidRPr="00593380" w:rsidRDefault="00186EF4" w:rsidP="00D03BEA">
            <w:pPr>
              <w:jc w:val="both"/>
              <w:rPr>
                <w:rFonts w:ascii="Times New Roman" w:hAnsi="Times New Roman" w:cs="Times New Roman"/>
              </w:rPr>
            </w:pPr>
            <w:r w:rsidRPr="00593380">
              <w:rPr>
                <w:rFonts w:ascii="Times New Roman" w:hAnsi="Times New Roman" w:cs="Times New Roman"/>
              </w:rPr>
              <w:t>120</w:t>
            </w:r>
          </w:p>
        </w:tc>
        <w:tc>
          <w:tcPr>
            <w:tcW w:w="0" w:type="auto"/>
            <w:hideMark/>
          </w:tcPr>
          <w:p w14:paraId="76E90DBA" w14:textId="77777777" w:rsidR="00186EF4" w:rsidRPr="00593380" w:rsidRDefault="00186EF4" w:rsidP="00D03BEA">
            <w:pPr>
              <w:jc w:val="both"/>
              <w:rPr>
                <w:rFonts w:ascii="Times New Roman" w:hAnsi="Times New Roman" w:cs="Times New Roman"/>
              </w:rPr>
            </w:pPr>
            <w:r w:rsidRPr="00593380">
              <w:rPr>
                <w:rFonts w:ascii="Times New Roman" w:hAnsi="Times New Roman" w:cs="Times New Roman"/>
              </w:rPr>
              <w:t>250</w:t>
            </w:r>
          </w:p>
        </w:tc>
        <w:tc>
          <w:tcPr>
            <w:tcW w:w="0" w:type="auto"/>
            <w:hideMark/>
          </w:tcPr>
          <w:p w14:paraId="65C08B82" w14:textId="77777777" w:rsidR="00186EF4" w:rsidRPr="00593380" w:rsidRDefault="00186EF4" w:rsidP="00D03BEA">
            <w:pPr>
              <w:jc w:val="both"/>
              <w:rPr>
                <w:rFonts w:ascii="Times New Roman" w:hAnsi="Times New Roman" w:cs="Times New Roman"/>
              </w:rPr>
            </w:pPr>
            <w:r w:rsidRPr="00593380">
              <w:rPr>
                <w:rFonts w:ascii="Times New Roman" w:hAnsi="Times New Roman" w:cs="Times New Roman"/>
              </w:rPr>
              <w:t>520</w:t>
            </w:r>
          </w:p>
        </w:tc>
        <w:tc>
          <w:tcPr>
            <w:tcW w:w="1375" w:type="dxa"/>
            <w:hideMark/>
          </w:tcPr>
          <w:p w14:paraId="26B4ECA5" w14:textId="77777777" w:rsidR="00186EF4" w:rsidRPr="00593380" w:rsidRDefault="00186EF4" w:rsidP="00D03BEA">
            <w:pPr>
              <w:jc w:val="both"/>
              <w:rPr>
                <w:rFonts w:ascii="Times New Roman" w:hAnsi="Times New Roman" w:cs="Times New Roman"/>
              </w:rPr>
            </w:pPr>
            <w:r w:rsidRPr="00593380">
              <w:rPr>
                <w:rFonts w:ascii="Times New Roman" w:hAnsi="Times New Roman" w:cs="Times New Roman"/>
              </w:rPr>
              <w:t>1000</w:t>
            </w:r>
          </w:p>
        </w:tc>
        <w:tc>
          <w:tcPr>
            <w:tcW w:w="1177" w:type="dxa"/>
            <w:hideMark/>
          </w:tcPr>
          <w:p w14:paraId="05E7376F" w14:textId="77777777" w:rsidR="00186EF4" w:rsidRPr="00593380" w:rsidRDefault="00186EF4" w:rsidP="00D03BEA">
            <w:pPr>
              <w:jc w:val="both"/>
              <w:rPr>
                <w:rFonts w:ascii="Times New Roman" w:hAnsi="Times New Roman" w:cs="Times New Roman"/>
              </w:rPr>
            </w:pPr>
            <w:r w:rsidRPr="00593380">
              <w:rPr>
                <w:rFonts w:ascii="Times New Roman" w:hAnsi="Times New Roman" w:cs="Times New Roman"/>
              </w:rPr>
              <w:t>4.6</w:t>
            </w:r>
          </w:p>
        </w:tc>
      </w:tr>
      <w:tr w:rsidR="00186EF4" w:rsidRPr="00593380" w14:paraId="6BCDDCDF" w14:textId="77777777" w:rsidTr="00DD61BC">
        <w:tc>
          <w:tcPr>
            <w:tcW w:w="0" w:type="auto"/>
            <w:hideMark/>
          </w:tcPr>
          <w:p w14:paraId="2D2C6A71" w14:textId="77777777" w:rsidR="00186EF4" w:rsidRPr="00593380" w:rsidRDefault="00186EF4" w:rsidP="00D03BEA">
            <w:pPr>
              <w:jc w:val="both"/>
              <w:rPr>
                <w:rFonts w:ascii="Times New Roman" w:hAnsi="Times New Roman" w:cs="Times New Roman"/>
              </w:rPr>
            </w:pPr>
            <w:r w:rsidRPr="00593380">
              <w:rPr>
                <w:rFonts w:ascii="Times New Roman" w:hAnsi="Times New Roman" w:cs="Times New Roman"/>
              </w:rPr>
              <w:t>FPTB's adherence to govt regulations hinders innovation in revenue generation.</w:t>
            </w:r>
          </w:p>
        </w:tc>
        <w:tc>
          <w:tcPr>
            <w:tcW w:w="0" w:type="auto"/>
            <w:hideMark/>
          </w:tcPr>
          <w:p w14:paraId="1BFC389C" w14:textId="77777777" w:rsidR="00186EF4" w:rsidRPr="00593380" w:rsidRDefault="00186EF4" w:rsidP="00D03BEA">
            <w:pPr>
              <w:jc w:val="both"/>
              <w:rPr>
                <w:rFonts w:ascii="Times New Roman" w:hAnsi="Times New Roman" w:cs="Times New Roman"/>
              </w:rPr>
            </w:pPr>
            <w:r w:rsidRPr="00593380">
              <w:rPr>
                <w:rFonts w:ascii="Times New Roman" w:hAnsi="Times New Roman" w:cs="Times New Roman"/>
              </w:rPr>
              <w:t>400</w:t>
            </w:r>
          </w:p>
        </w:tc>
        <w:tc>
          <w:tcPr>
            <w:tcW w:w="0" w:type="auto"/>
            <w:hideMark/>
          </w:tcPr>
          <w:p w14:paraId="36147E0E" w14:textId="77777777" w:rsidR="00186EF4" w:rsidRPr="00593380" w:rsidRDefault="00186EF4" w:rsidP="00D03BEA">
            <w:pPr>
              <w:jc w:val="both"/>
              <w:rPr>
                <w:rFonts w:ascii="Times New Roman" w:hAnsi="Times New Roman" w:cs="Times New Roman"/>
              </w:rPr>
            </w:pPr>
            <w:r w:rsidRPr="00593380">
              <w:rPr>
                <w:rFonts w:ascii="Times New Roman" w:hAnsi="Times New Roman" w:cs="Times New Roman"/>
              </w:rPr>
              <w:t>300</w:t>
            </w:r>
          </w:p>
        </w:tc>
        <w:tc>
          <w:tcPr>
            <w:tcW w:w="0" w:type="auto"/>
            <w:hideMark/>
          </w:tcPr>
          <w:p w14:paraId="4B34C091" w14:textId="77777777" w:rsidR="00186EF4" w:rsidRPr="00593380" w:rsidRDefault="00186EF4" w:rsidP="00D03BEA">
            <w:pPr>
              <w:jc w:val="both"/>
              <w:rPr>
                <w:rFonts w:ascii="Times New Roman" w:hAnsi="Times New Roman" w:cs="Times New Roman"/>
              </w:rPr>
            </w:pPr>
            <w:r w:rsidRPr="00593380">
              <w:rPr>
                <w:rFonts w:ascii="Times New Roman" w:hAnsi="Times New Roman" w:cs="Times New Roman"/>
              </w:rPr>
              <w:t>150</w:t>
            </w:r>
          </w:p>
        </w:tc>
        <w:tc>
          <w:tcPr>
            <w:tcW w:w="0" w:type="auto"/>
            <w:hideMark/>
          </w:tcPr>
          <w:p w14:paraId="41CC6094" w14:textId="77777777" w:rsidR="00186EF4" w:rsidRPr="00593380" w:rsidRDefault="00186EF4" w:rsidP="00D03BEA">
            <w:pPr>
              <w:jc w:val="both"/>
              <w:rPr>
                <w:rFonts w:ascii="Times New Roman" w:hAnsi="Times New Roman" w:cs="Times New Roman"/>
              </w:rPr>
            </w:pPr>
            <w:r w:rsidRPr="00593380">
              <w:rPr>
                <w:rFonts w:ascii="Times New Roman" w:hAnsi="Times New Roman" w:cs="Times New Roman"/>
              </w:rPr>
              <w:t>100</w:t>
            </w:r>
          </w:p>
        </w:tc>
        <w:tc>
          <w:tcPr>
            <w:tcW w:w="0" w:type="auto"/>
            <w:hideMark/>
          </w:tcPr>
          <w:p w14:paraId="58A1E8CD" w14:textId="77777777" w:rsidR="00186EF4" w:rsidRPr="00593380" w:rsidRDefault="00186EF4" w:rsidP="00D03BEA">
            <w:pPr>
              <w:jc w:val="both"/>
              <w:rPr>
                <w:rFonts w:ascii="Times New Roman" w:hAnsi="Times New Roman" w:cs="Times New Roman"/>
              </w:rPr>
            </w:pPr>
            <w:r w:rsidRPr="00593380">
              <w:rPr>
                <w:rFonts w:ascii="Times New Roman" w:hAnsi="Times New Roman" w:cs="Times New Roman"/>
              </w:rPr>
              <w:t>50</w:t>
            </w:r>
          </w:p>
        </w:tc>
        <w:tc>
          <w:tcPr>
            <w:tcW w:w="1375" w:type="dxa"/>
            <w:hideMark/>
          </w:tcPr>
          <w:p w14:paraId="566CF4E9" w14:textId="77777777" w:rsidR="00186EF4" w:rsidRPr="00593380" w:rsidRDefault="00186EF4" w:rsidP="00D03BEA">
            <w:pPr>
              <w:jc w:val="both"/>
              <w:rPr>
                <w:rFonts w:ascii="Times New Roman" w:hAnsi="Times New Roman" w:cs="Times New Roman"/>
              </w:rPr>
            </w:pPr>
            <w:r w:rsidRPr="00593380">
              <w:rPr>
                <w:rFonts w:ascii="Times New Roman" w:hAnsi="Times New Roman" w:cs="Times New Roman"/>
              </w:rPr>
              <w:t>1000</w:t>
            </w:r>
          </w:p>
        </w:tc>
        <w:tc>
          <w:tcPr>
            <w:tcW w:w="1177" w:type="dxa"/>
            <w:hideMark/>
          </w:tcPr>
          <w:p w14:paraId="2CFC72D3" w14:textId="77777777" w:rsidR="00186EF4" w:rsidRPr="00593380" w:rsidRDefault="00186EF4" w:rsidP="00D03BEA">
            <w:pPr>
              <w:jc w:val="both"/>
              <w:rPr>
                <w:rFonts w:ascii="Times New Roman" w:hAnsi="Times New Roman" w:cs="Times New Roman"/>
              </w:rPr>
            </w:pPr>
            <w:r w:rsidRPr="00593380">
              <w:rPr>
                <w:rFonts w:ascii="Times New Roman" w:hAnsi="Times New Roman" w:cs="Times New Roman"/>
              </w:rPr>
              <w:t>1.8</w:t>
            </w:r>
          </w:p>
        </w:tc>
      </w:tr>
      <w:tr w:rsidR="00186EF4" w:rsidRPr="00593380" w14:paraId="01B5818C" w14:textId="77777777" w:rsidTr="00DD61BC">
        <w:tc>
          <w:tcPr>
            <w:tcW w:w="0" w:type="auto"/>
            <w:hideMark/>
          </w:tcPr>
          <w:p w14:paraId="539F3725" w14:textId="77777777" w:rsidR="00186EF4" w:rsidRPr="00593380" w:rsidRDefault="00186EF4" w:rsidP="00D03BEA">
            <w:pPr>
              <w:jc w:val="both"/>
              <w:rPr>
                <w:rFonts w:ascii="Times New Roman" w:hAnsi="Times New Roman" w:cs="Times New Roman"/>
              </w:rPr>
            </w:pPr>
            <w:r w:rsidRPr="00593380">
              <w:rPr>
                <w:rFonts w:ascii="Times New Roman" w:hAnsi="Times New Roman" w:cs="Times New Roman"/>
              </w:rPr>
              <w:t>ATAP's autonomy allows for more innovative and adaptable revenue generation strategies.</w:t>
            </w:r>
          </w:p>
        </w:tc>
        <w:tc>
          <w:tcPr>
            <w:tcW w:w="0" w:type="auto"/>
            <w:hideMark/>
          </w:tcPr>
          <w:p w14:paraId="1E136215" w14:textId="77777777" w:rsidR="00186EF4" w:rsidRPr="00593380" w:rsidRDefault="00186EF4" w:rsidP="00D03BEA">
            <w:pPr>
              <w:jc w:val="both"/>
              <w:rPr>
                <w:rFonts w:ascii="Times New Roman" w:hAnsi="Times New Roman" w:cs="Times New Roman"/>
              </w:rPr>
            </w:pPr>
            <w:r w:rsidRPr="00593380">
              <w:rPr>
                <w:rFonts w:ascii="Times New Roman" w:hAnsi="Times New Roman" w:cs="Times New Roman"/>
              </w:rPr>
              <w:t>60</w:t>
            </w:r>
          </w:p>
        </w:tc>
        <w:tc>
          <w:tcPr>
            <w:tcW w:w="0" w:type="auto"/>
            <w:hideMark/>
          </w:tcPr>
          <w:p w14:paraId="68A678B9" w14:textId="77777777" w:rsidR="00186EF4" w:rsidRPr="00593380" w:rsidRDefault="00186EF4" w:rsidP="00D03BEA">
            <w:pPr>
              <w:jc w:val="both"/>
              <w:rPr>
                <w:rFonts w:ascii="Times New Roman" w:hAnsi="Times New Roman" w:cs="Times New Roman"/>
              </w:rPr>
            </w:pPr>
            <w:r w:rsidRPr="00593380">
              <w:rPr>
                <w:rFonts w:ascii="Times New Roman" w:hAnsi="Times New Roman" w:cs="Times New Roman"/>
              </w:rPr>
              <w:t>150</w:t>
            </w:r>
          </w:p>
        </w:tc>
        <w:tc>
          <w:tcPr>
            <w:tcW w:w="0" w:type="auto"/>
            <w:hideMark/>
          </w:tcPr>
          <w:p w14:paraId="55723AC8" w14:textId="77777777" w:rsidR="00186EF4" w:rsidRPr="00593380" w:rsidRDefault="00186EF4" w:rsidP="00D03BEA">
            <w:pPr>
              <w:jc w:val="both"/>
              <w:rPr>
                <w:rFonts w:ascii="Times New Roman" w:hAnsi="Times New Roman" w:cs="Times New Roman"/>
              </w:rPr>
            </w:pPr>
            <w:r w:rsidRPr="00593380">
              <w:rPr>
                <w:rFonts w:ascii="Times New Roman" w:hAnsi="Times New Roman" w:cs="Times New Roman"/>
              </w:rPr>
              <w:t>200</w:t>
            </w:r>
          </w:p>
        </w:tc>
        <w:tc>
          <w:tcPr>
            <w:tcW w:w="0" w:type="auto"/>
            <w:hideMark/>
          </w:tcPr>
          <w:p w14:paraId="1A45E1E0" w14:textId="77777777" w:rsidR="00186EF4" w:rsidRPr="00593380" w:rsidRDefault="00186EF4" w:rsidP="00D03BEA">
            <w:pPr>
              <w:jc w:val="both"/>
              <w:rPr>
                <w:rFonts w:ascii="Times New Roman" w:hAnsi="Times New Roman" w:cs="Times New Roman"/>
              </w:rPr>
            </w:pPr>
            <w:r w:rsidRPr="00593380">
              <w:rPr>
                <w:rFonts w:ascii="Times New Roman" w:hAnsi="Times New Roman" w:cs="Times New Roman"/>
              </w:rPr>
              <w:t>350</w:t>
            </w:r>
          </w:p>
        </w:tc>
        <w:tc>
          <w:tcPr>
            <w:tcW w:w="0" w:type="auto"/>
            <w:hideMark/>
          </w:tcPr>
          <w:p w14:paraId="05F71257" w14:textId="77777777" w:rsidR="00186EF4" w:rsidRPr="00593380" w:rsidRDefault="00186EF4" w:rsidP="00D03BEA">
            <w:pPr>
              <w:jc w:val="both"/>
              <w:rPr>
                <w:rFonts w:ascii="Times New Roman" w:hAnsi="Times New Roman" w:cs="Times New Roman"/>
              </w:rPr>
            </w:pPr>
            <w:r w:rsidRPr="00593380">
              <w:rPr>
                <w:rFonts w:ascii="Times New Roman" w:hAnsi="Times New Roman" w:cs="Times New Roman"/>
              </w:rPr>
              <w:t>240</w:t>
            </w:r>
          </w:p>
        </w:tc>
        <w:tc>
          <w:tcPr>
            <w:tcW w:w="1375" w:type="dxa"/>
            <w:hideMark/>
          </w:tcPr>
          <w:p w14:paraId="72873D6A" w14:textId="77777777" w:rsidR="00186EF4" w:rsidRPr="00593380" w:rsidRDefault="00186EF4" w:rsidP="00D03BEA">
            <w:pPr>
              <w:jc w:val="both"/>
              <w:rPr>
                <w:rFonts w:ascii="Times New Roman" w:hAnsi="Times New Roman" w:cs="Times New Roman"/>
              </w:rPr>
            </w:pPr>
            <w:r w:rsidRPr="00593380">
              <w:rPr>
                <w:rFonts w:ascii="Times New Roman" w:hAnsi="Times New Roman" w:cs="Times New Roman"/>
              </w:rPr>
              <w:t>1000</w:t>
            </w:r>
          </w:p>
        </w:tc>
        <w:tc>
          <w:tcPr>
            <w:tcW w:w="1177" w:type="dxa"/>
            <w:hideMark/>
          </w:tcPr>
          <w:p w14:paraId="494BF2FC" w14:textId="77777777" w:rsidR="00186EF4" w:rsidRPr="00593380" w:rsidRDefault="00186EF4" w:rsidP="00D03BEA">
            <w:pPr>
              <w:jc w:val="both"/>
              <w:rPr>
                <w:rFonts w:ascii="Times New Roman" w:hAnsi="Times New Roman" w:cs="Times New Roman"/>
              </w:rPr>
            </w:pPr>
            <w:r w:rsidRPr="00593380">
              <w:rPr>
                <w:rFonts w:ascii="Times New Roman" w:hAnsi="Times New Roman" w:cs="Times New Roman"/>
              </w:rPr>
              <w:t>3.8</w:t>
            </w:r>
          </w:p>
        </w:tc>
      </w:tr>
      <w:tr w:rsidR="00186EF4" w:rsidRPr="00593380" w14:paraId="62DBC18E" w14:textId="77777777" w:rsidTr="00DD61BC">
        <w:tc>
          <w:tcPr>
            <w:tcW w:w="0" w:type="auto"/>
            <w:hideMark/>
          </w:tcPr>
          <w:p w14:paraId="2B377CBA" w14:textId="77777777" w:rsidR="00186EF4" w:rsidRPr="00593380" w:rsidRDefault="00186EF4" w:rsidP="00D03BEA">
            <w:pPr>
              <w:jc w:val="both"/>
              <w:rPr>
                <w:rFonts w:ascii="Times New Roman" w:hAnsi="Times New Roman" w:cs="Times New Roman"/>
              </w:rPr>
            </w:pPr>
            <w:r w:rsidRPr="00593380">
              <w:rPr>
                <w:rFonts w:ascii="Times New Roman" w:hAnsi="Times New Roman" w:cs="Times New Roman"/>
              </w:rPr>
              <w:t>FPTB's revenue generation is limited by bureaucratic processes.</w:t>
            </w:r>
          </w:p>
        </w:tc>
        <w:tc>
          <w:tcPr>
            <w:tcW w:w="0" w:type="auto"/>
            <w:hideMark/>
          </w:tcPr>
          <w:p w14:paraId="0AB8AD23" w14:textId="77777777" w:rsidR="00186EF4" w:rsidRPr="00593380" w:rsidRDefault="00186EF4" w:rsidP="00D03BEA">
            <w:pPr>
              <w:jc w:val="both"/>
              <w:rPr>
                <w:rFonts w:ascii="Times New Roman" w:hAnsi="Times New Roman" w:cs="Times New Roman"/>
              </w:rPr>
            </w:pPr>
            <w:r w:rsidRPr="00593380">
              <w:rPr>
                <w:rFonts w:ascii="Times New Roman" w:hAnsi="Times New Roman" w:cs="Times New Roman"/>
              </w:rPr>
              <w:t>350</w:t>
            </w:r>
          </w:p>
        </w:tc>
        <w:tc>
          <w:tcPr>
            <w:tcW w:w="0" w:type="auto"/>
            <w:hideMark/>
          </w:tcPr>
          <w:p w14:paraId="69D6DFB8" w14:textId="77777777" w:rsidR="00186EF4" w:rsidRPr="00593380" w:rsidRDefault="00186EF4" w:rsidP="00D03BEA">
            <w:pPr>
              <w:jc w:val="both"/>
              <w:rPr>
                <w:rFonts w:ascii="Times New Roman" w:hAnsi="Times New Roman" w:cs="Times New Roman"/>
              </w:rPr>
            </w:pPr>
            <w:r w:rsidRPr="00593380">
              <w:rPr>
                <w:rFonts w:ascii="Times New Roman" w:hAnsi="Times New Roman" w:cs="Times New Roman"/>
              </w:rPr>
              <w:t>300</w:t>
            </w:r>
          </w:p>
        </w:tc>
        <w:tc>
          <w:tcPr>
            <w:tcW w:w="0" w:type="auto"/>
            <w:hideMark/>
          </w:tcPr>
          <w:p w14:paraId="73518509" w14:textId="77777777" w:rsidR="00186EF4" w:rsidRPr="00593380" w:rsidRDefault="00186EF4" w:rsidP="00D03BEA">
            <w:pPr>
              <w:jc w:val="both"/>
              <w:rPr>
                <w:rFonts w:ascii="Times New Roman" w:hAnsi="Times New Roman" w:cs="Times New Roman"/>
              </w:rPr>
            </w:pPr>
            <w:r w:rsidRPr="00593380">
              <w:rPr>
                <w:rFonts w:ascii="Times New Roman" w:hAnsi="Times New Roman" w:cs="Times New Roman"/>
              </w:rPr>
              <w:t>200</w:t>
            </w:r>
          </w:p>
        </w:tc>
        <w:tc>
          <w:tcPr>
            <w:tcW w:w="0" w:type="auto"/>
            <w:hideMark/>
          </w:tcPr>
          <w:p w14:paraId="19699964" w14:textId="77777777" w:rsidR="00186EF4" w:rsidRPr="00593380" w:rsidRDefault="00186EF4" w:rsidP="00D03BEA">
            <w:pPr>
              <w:jc w:val="both"/>
              <w:rPr>
                <w:rFonts w:ascii="Times New Roman" w:hAnsi="Times New Roman" w:cs="Times New Roman"/>
              </w:rPr>
            </w:pPr>
            <w:r w:rsidRPr="00593380">
              <w:rPr>
                <w:rFonts w:ascii="Times New Roman" w:hAnsi="Times New Roman" w:cs="Times New Roman"/>
              </w:rPr>
              <w:t>100</w:t>
            </w:r>
          </w:p>
        </w:tc>
        <w:tc>
          <w:tcPr>
            <w:tcW w:w="0" w:type="auto"/>
            <w:hideMark/>
          </w:tcPr>
          <w:p w14:paraId="032E5332" w14:textId="77777777" w:rsidR="00186EF4" w:rsidRPr="00593380" w:rsidRDefault="00186EF4" w:rsidP="00D03BEA">
            <w:pPr>
              <w:jc w:val="both"/>
              <w:rPr>
                <w:rFonts w:ascii="Times New Roman" w:hAnsi="Times New Roman" w:cs="Times New Roman"/>
              </w:rPr>
            </w:pPr>
            <w:r w:rsidRPr="00593380">
              <w:rPr>
                <w:rFonts w:ascii="Times New Roman" w:hAnsi="Times New Roman" w:cs="Times New Roman"/>
              </w:rPr>
              <w:t>50</w:t>
            </w:r>
          </w:p>
        </w:tc>
        <w:tc>
          <w:tcPr>
            <w:tcW w:w="1375" w:type="dxa"/>
            <w:hideMark/>
          </w:tcPr>
          <w:p w14:paraId="233A4BAE" w14:textId="77777777" w:rsidR="00186EF4" w:rsidRPr="00593380" w:rsidRDefault="00186EF4" w:rsidP="00D03BEA">
            <w:pPr>
              <w:jc w:val="both"/>
              <w:rPr>
                <w:rFonts w:ascii="Times New Roman" w:hAnsi="Times New Roman" w:cs="Times New Roman"/>
              </w:rPr>
            </w:pPr>
            <w:r w:rsidRPr="00593380">
              <w:rPr>
                <w:rFonts w:ascii="Times New Roman" w:hAnsi="Times New Roman" w:cs="Times New Roman"/>
              </w:rPr>
              <w:t>1000</w:t>
            </w:r>
          </w:p>
        </w:tc>
        <w:tc>
          <w:tcPr>
            <w:tcW w:w="1177" w:type="dxa"/>
            <w:hideMark/>
          </w:tcPr>
          <w:p w14:paraId="0E7613A1" w14:textId="77777777" w:rsidR="00186EF4" w:rsidRPr="00593380" w:rsidRDefault="00186EF4" w:rsidP="00D03BEA">
            <w:pPr>
              <w:jc w:val="both"/>
              <w:rPr>
                <w:rFonts w:ascii="Times New Roman" w:hAnsi="Times New Roman" w:cs="Times New Roman"/>
              </w:rPr>
            </w:pPr>
            <w:r w:rsidRPr="00593380">
              <w:rPr>
                <w:rFonts w:ascii="Times New Roman" w:hAnsi="Times New Roman" w:cs="Times New Roman"/>
              </w:rPr>
              <w:t>2.1</w:t>
            </w:r>
          </w:p>
        </w:tc>
      </w:tr>
      <w:tr w:rsidR="00186EF4" w:rsidRPr="00593380" w14:paraId="6D1CFB01" w14:textId="77777777" w:rsidTr="00DD61BC">
        <w:tc>
          <w:tcPr>
            <w:tcW w:w="0" w:type="auto"/>
            <w:hideMark/>
          </w:tcPr>
          <w:p w14:paraId="239D5C06" w14:textId="77777777" w:rsidR="00186EF4" w:rsidRPr="00593380" w:rsidRDefault="00186EF4" w:rsidP="00D03BEA">
            <w:pPr>
              <w:jc w:val="both"/>
              <w:rPr>
                <w:rFonts w:ascii="Times New Roman" w:hAnsi="Times New Roman" w:cs="Times New Roman"/>
              </w:rPr>
            </w:pPr>
            <w:r w:rsidRPr="00593380">
              <w:rPr>
                <w:rFonts w:ascii="Times New Roman" w:hAnsi="Times New Roman" w:cs="Times New Roman"/>
              </w:rPr>
              <w:t>ATAP's revenue generation strategies are more responsive to market demands.</w:t>
            </w:r>
          </w:p>
        </w:tc>
        <w:tc>
          <w:tcPr>
            <w:tcW w:w="0" w:type="auto"/>
            <w:hideMark/>
          </w:tcPr>
          <w:p w14:paraId="66E01A2F" w14:textId="77777777" w:rsidR="00186EF4" w:rsidRPr="00593380" w:rsidRDefault="00186EF4" w:rsidP="00D03BEA">
            <w:pPr>
              <w:jc w:val="both"/>
              <w:rPr>
                <w:rFonts w:ascii="Times New Roman" w:hAnsi="Times New Roman" w:cs="Times New Roman"/>
              </w:rPr>
            </w:pPr>
            <w:r w:rsidRPr="00593380">
              <w:rPr>
                <w:rFonts w:ascii="Times New Roman" w:hAnsi="Times New Roman" w:cs="Times New Roman"/>
              </w:rPr>
              <w:t>40</w:t>
            </w:r>
          </w:p>
        </w:tc>
        <w:tc>
          <w:tcPr>
            <w:tcW w:w="0" w:type="auto"/>
            <w:hideMark/>
          </w:tcPr>
          <w:p w14:paraId="3E596C45" w14:textId="77777777" w:rsidR="00186EF4" w:rsidRPr="00593380" w:rsidRDefault="00186EF4" w:rsidP="00D03BEA">
            <w:pPr>
              <w:jc w:val="both"/>
              <w:rPr>
                <w:rFonts w:ascii="Times New Roman" w:hAnsi="Times New Roman" w:cs="Times New Roman"/>
              </w:rPr>
            </w:pPr>
            <w:r w:rsidRPr="00593380">
              <w:rPr>
                <w:rFonts w:ascii="Times New Roman" w:hAnsi="Times New Roman" w:cs="Times New Roman"/>
              </w:rPr>
              <w:t>100</w:t>
            </w:r>
          </w:p>
        </w:tc>
        <w:tc>
          <w:tcPr>
            <w:tcW w:w="0" w:type="auto"/>
            <w:hideMark/>
          </w:tcPr>
          <w:p w14:paraId="079B5BD3" w14:textId="77777777" w:rsidR="00186EF4" w:rsidRPr="00593380" w:rsidRDefault="00186EF4" w:rsidP="00D03BEA">
            <w:pPr>
              <w:jc w:val="both"/>
              <w:rPr>
                <w:rFonts w:ascii="Times New Roman" w:hAnsi="Times New Roman" w:cs="Times New Roman"/>
              </w:rPr>
            </w:pPr>
            <w:r w:rsidRPr="00593380">
              <w:rPr>
                <w:rFonts w:ascii="Times New Roman" w:hAnsi="Times New Roman" w:cs="Times New Roman"/>
              </w:rPr>
              <w:t>150</w:t>
            </w:r>
          </w:p>
        </w:tc>
        <w:tc>
          <w:tcPr>
            <w:tcW w:w="0" w:type="auto"/>
            <w:hideMark/>
          </w:tcPr>
          <w:p w14:paraId="6E1E6F70" w14:textId="77777777" w:rsidR="00186EF4" w:rsidRPr="00593380" w:rsidRDefault="00186EF4" w:rsidP="00D03BEA">
            <w:pPr>
              <w:jc w:val="both"/>
              <w:rPr>
                <w:rFonts w:ascii="Times New Roman" w:hAnsi="Times New Roman" w:cs="Times New Roman"/>
              </w:rPr>
            </w:pPr>
            <w:r w:rsidRPr="00593380">
              <w:rPr>
                <w:rFonts w:ascii="Times New Roman" w:hAnsi="Times New Roman" w:cs="Times New Roman"/>
              </w:rPr>
              <w:t>300</w:t>
            </w:r>
          </w:p>
        </w:tc>
        <w:tc>
          <w:tcPr>
            <w:tcW w:w="0" w:type="auto"/>
            <w:hideMark/>
          </w:tcPr>
          <w:p w14:paraId="20A607F6" w14:textId="77777777" w:rsidR="00186EF4" w:rsidRPr="00593380" w:rsidRDefault="00186EF4" w:rsidP="00D03BEA">
            <w:pPr>
              <w:jc w:val="both"/>
              <w:rPr>
                <w:rFonts w:ascii="Times New Roman" w:hAnsi="Times New Roman" w:cs="Times New Roman"/>
              </w:rPr>
            </w:pPr>
            <w:r w:rsidRPr="00593380">
              <w:rPr>
                <w:rFonts w:ascii="Times New Roman" w:hAnsi="Times New Roman" w:cs="Times New Roman"/>
              </w:rPr>
              <w:t>410</w:t>
            </w:r>
          </w:p>
        </w:tc>
        <w:tc>
          <w:tcPr>
            <w:tcW w:w="1375" w:type="dxa"/>
            <w:hideMark/>
          </w:tcPr>
          <w:p w14:paraId="1C8C2DFA" w14:textId="77777777" w:rsidR="00186EF4" w:rsidRPr="00593380" w:rsidRDefault="00186EF4" w:rsidP="00D03BEA">
            <w:pPr>
              <w:jc w:val="both"/>
              <w:rPr>
                <w:rFonts w:ascii="Times New Roman" w:hAnsi="Times New Roman" w:cs="Times New Roman"/>
              </w:rPr>
            </w:pPr>
            <w:r w:rsidRPr="00593380">
              <w:rPr>
                <w:rFonts w:ascii="Times New Roman" w:hAnsi="Times New Roman" w:cs="Times New Roman"/>
              </w:rPr>
              <w:t>1000</w:t>
            </w:r>
          </w:p>
        </w:tc>
        <w:tc>
          <w:tcPr>
            <w:tcW w:w="1177" w:type="dxa"/>
            <w:hideMark/>
          </w:tcPr>
          <w:p w14:paraId="48CC9FD8" w14:textId="77777777" w:rsidR="00186EF4" w:rsidRPr="00593380" w:rsidRDefault="00186EF4" w:rsidP="00D03BEA">
            <w:pPr>
              <w:jc w:val="both"/>
              <w:rPr>
                <w:rFonts w:ascii="Times New Roman" w:hAnsi="Times New Roman" w:cs="Times New Roman"/>
              </w:rPr>
            </w:pPr>
            <w:r w:rsidRPr="00593380">
              <w:rPr>
                <w:rFonts w:ascii="Times New Roman" w:hAnsi="Times New Roman" w:cs="Times New Roman"/>
              </w:rPr>
              <w:t>4.3</w:t>
            </w:r>
          </w:p>
        </w:tc>
      </w:tr>
      <w:tr w:rsidR="00186EF4" w:rsidRPr="00593380" w14:paraId="7E17843B" w14:textId="77777777" w:rsidTr="00DD61BC">
        <w:tc>
          <w:tcPr>
            <w:tcW w:w="0" w:type="auto"/>
            <w:hideMark/>
          </w:tcPr>
          <w:p w14:paraId="0BD657E4" w14:textId="77777777" w:rsidR="00186EF4" w:rsidRPr="00593380" w:rsidRDefault="00186EF4" w:rsidP="00D03BEA">
            <w:pPr>
              <w:jc w:val="both"/>
              <w:rPr>
                <w:rFonts w:ascii="Times New Roman" w:hAnsi="Times New Roman" w:cs="Times New Roman"/>
              </w:rPr>
            </w:pPr>
            <w:r w:rsidRPr="00593380">
              <w:rPr>
                <w:rFonts w:ascii="Times New Roman" w:hAnsi="Times New Roman" w:cs="Times New Roman"/>
              </w:rPr>
              <w:t>FPTB's revenue generation relies heavily on govt funding.</w:t>
            </w:r>
          </w:p>
        </w:tc>
        <w:tc>
          <w:tcPr>
            <w:tcW w:w="0" w:type="auto"/>
            <w:hideMark/>
          </w:tcPr>
          <w:p w14:paraId="38F6897D" w14:textId="77777777" w:rsidR="00186EF4" w:rsidRPr="00593380" w:rsidRDefault="00186EF4" w:rsidP="00D03BEA">
            <w:pPr>
              <w:jc w:val="both"/>
              <w:rPr>
                <w:rFonts w:ascii="Times New Roman" w:hAnsi="Times New Roman" w:cs="Times New Roman"/>
              </w:rPr>
            </w:pPr>
            <w:r w:rsidRPr="00593380">
              <w:rPr>
                <w:rFonts w:ascii="Times New Roman" w:hAnsi="Times New Roman" w:cs="Times New Roman"/>
              </w:rPr>
              <w:t>450</w:t>
            </w:r>
          </w:p>
        </w:tc>
        <w:tc>
          <w:tcPr>
            <w:tcW w:w="0" w:type="auto"/>
            <w:hideMark/>
          </w:tcPr>
          <w:p w14:paraId="65055B12" w14:textId="77777777" w:rsidR="00186EF4" w:rsidRPr="00593380" w:rsidRDefault="00186EF4" w:rsidP="00D03BEA">
            <w:pPr>
              <w:jc w:val="both"/>
              <w:rPr>
                <w:rFonts w:ascii="Times New Roman" w:hAnsi="Times New Roman" w:cs="Times New Roman"/>
              </w:rPr>
            </w:pPr>
            <w:r w:rsidRPr="00593380">
              <w:rPr>
                <w:rFonts w:ascii="Times New Roman" w:hAnsi="Times New Roman" w:cs="Times New Roman"/>
              </w:rPr>
              <w:t>300</w:t>
            </w:r>
          </w:p>
        </w:tc>
        <w:tc>
          <w:tcPr>
            <w:tcW w:w="0" w:type="auto"/>
            <w:hideMark/>
          </w:tcPr>
          <w:p w14:paraId="1983B980" w14:textId="77777777" w:rsidR="00186EF4" w:rsidRPr="00593380" w:rsidRDefault="00186EF4" w:rsidP="00D03BEA">
            <w:pPr>
              <w:jc w:val="both"/>
              <w:rPr>
                <w:rFonts w:ascii="Times New Roman" w:hAnsi="Times New Roman" w:cs="Times New Roman"/>
              </w:rPr>
            </w:pPr>
            <w:r w:rsidRPr="00593380">
              <w:rPr>
                <w:rFonts w:ascii="Times New Roman" w:hAnsi="Times New Roman" w:cs="Times New Roman"/>
              </w:rPr>
              <w:t>150</w:t>
            </w:r>
          </w:p>
        </w:tc>
        <w:tc>
          <w:tcPr>
            <w:tcW w:w="0" w:type="auto"/>
            <w:hideMark/>
          </w:tcPr>
          <w:p w14:paraId="6D7035EB" w14:textId="77777777" w:rsidR="00186EF4" w:rsidRPr="00593380" w:rsidRDefault="00186EF4" w:rsidP="00D03BEA">
            <w:pPr>
              <w:jc w:val="both"/>
              <w:rPr>
                <w:rFonts w:ascii="Times New Roman" w:hAnsi="Times New Roman" w:cs="Times New Roman"/>
              </w:rPr>
            </w:pPr>
            <w:r w:rsidRPr="00593380">
              <w:rPr>
                <w:rFonts w:ascii="Times New Roman" w:hAnsi="Times New Roman" w:cs="Times New Roman"/>
              </w:rPr>
              <w:t>80</w:t>
            </w:r>
          </w:p>
        </w:tc>
        <w:tc>
          <w:tcPr>
            <w:tcW w:w="0" w:type="auto"/>
            <w:hideMark/>
          </w:tcPr>
          <w:p w14:paraId="04D17116" w14:textId="77777777" w:rsidR="00186EF4" w:rsidRPr="00593380" w:rsidRDefault="00186EF4" w:rsidP="00D03BEA">
            <w:pPr>
              <w:jc w:val="both"/>
              <w:rPr>
                <w:rFonts w:ascii="Times New Roman" w:hAnsi="Times New Roman" w:cs="Times New Roman"/>
              </w:rPr>
            </w:pPr>
            <w:r w:rsidRPr="00593380">
              <w:rPr>
                <w:rFonts w:ascii="Times New Roman" w:hAnsi="Times New Roman" w:cs="Times New Roman"/>
              </w:rPr>
              <w:t>20</w:t>
            </w:r>
          </w:p>
        </w:tc>
        <w:tc>
          <w:tcPr>
            <w:tcW w:w="1375" w:type="dxa"/>
            <w:hideMark/>
          </w:tcPr>
          <w:p w14:paraId="71EBFE14" w14:textId="77777777" w:rsidR="00186EF4" w:rsidRPr="00593380" w:rsidRDefault="00186EF4" w:rsidP="00D03BEA">
            <w:pPr>
              <w:jc w:val="both"/>
              <w:rPr>
                <w:rFonts w:ascii="Times New Roman" w:hAnsi="Times New Roman" w:cs="Times New Roman"/>
              </w:rPr>
            </w:pPr>
            <w:r w:rsidRPr="00593380">
              <w:rPr>
                <w:rFonts w:ascii="Times New Roman" w:hAnsi="Times New Roman" w:cs="Times New Roman"/>
              </w:rPr>
              <w:t>1000</w:t>
            </w:r>
          </w:p>
        </w:tc>
        <w:tc>
          <w:tcPr>
            <w:tcW w:w="1177" w:type="dxa"/>
            <w:hideMark/>
          </w:tcPr>
          <w:p w14:paraId="057F421A" w14:textId="77777777" w:rsidR="00186EF4" w:rsidRPr="00593380" w:rsidRDefault="00186EF4" w:rsidP="00D03BEA">
            <w:pPr>
              <w:jc w:val="both"/>
              <w:rPr>
                <w:rFonts w:ascii="Times New Roman" w:hAnsi="Times New Roman" w:cs="Times New Roman"/>
              </w:rPr>
            </w:pPr>
            <w:r w:rsidRPr="00593380">
              <w:rPr>
                <w:rFonts w:ascii="Times New Roman" w:hAnsi="Times New Roman" w:cs="Times New Roman"/>
              </w:rPr>
              <w:t>1.7</w:t>
            </w:r>
          </w:p>
        </w:tc>
      </w:tr>
      <w:tr w:rsidR="00186EF4" w:rsidRPr="00593380" w14:paraId="6DD7FE93" w14:textId="77777777" w:rsidTr="00DD61BC">
        <w:tc>
          <w:tcPr>
            <w:tcW w:w="0" w:type="auto"/>
            <w:hideMark/>
          </w:tcPr>
          <w:p w14:paraId="6738D2C1" w14:textId="77777777" w:rsidR="00186EF4" w:rsidRPr="00593380" w:rsidRDefault="00186EF4" w:rsidP="00D03BEA">
            <w:pPr>
              <w:jc w:val="both"/>
              <w:rPr>
                <w:rFonts w:ascii="Times New Roman" w:hAnsi="Times New Roman" w:cs="Times New Roman"/>
              </w:rPr>
            </w:pPr>
            <w:r w:rsidRPr="00593380">
              <w:rPr>
                <w:rFonts w:ascii="Times New Roman" w:hAnsi="Times New Roman" w:cs="Times New Roman"/>
              </w:rPr>
              <w:lastRenderedPageBreak/>
              <w:t>ATAP's revenue generation is diversified and less reliant on external funding sources.</w:t>
            </w:r>
          </w:p>
        </w:tc>
        <w:tc>
          <w:tcPr>
            <w:tcW w:w="0" w:type="auto"/>
            <w:hideMark/>
          </w:tcPr>
          <w:p w14:paraId="09FA11C1" w14:textId="77777777" w:rsidR="00186EF4" w:rsidRPr="00593380" w:rsidRDefault="00186EF4" w:rsidP="00D03BEA">
            <w:pPr>
              <w:jc w:val="both"/>
              <w:rPr>
                <w:rFonts w:ascii="Times New Roman" w:hAnsi="Times New Roman" w:cs="Times New Roman"/>
              </w:rPr>
            </w:pPr>
            <w:r w:rsidRPr="00593380">
              <w:rPr>
                <w:rFonts w:ascii="Times New Roman" w:hAnsi="Times New Roman" w:cs="Times New Roman"/>
              </w:rPr>
              <w:t>20</w:t>
            </w:r>
          </w:p>
        </w:tc>
        <w:tc>
          <w:tcPr>
            <w:tcW w:w="0" w:type="auto"/>
            <w:hideMark/>
          </w:tcPr>
          <w:p w14:paraId="5987D235" w14:textId="77777777" w:rsidR="00186EF4" w:rsidRPr="00593380" w:rsidRDefault="00186EF4" w:rsidP="00D03BEA">
            <w:pPr>
              <w:jc w:val="both"/>
              <w:rPr>
                <w:rFonts w:ascii="Times New Roman" w:hAnsi="Times New Roman" w:cs="Times New Roman"/>
              </w:rPr>
            </w:pPr>
            <w:r w:rsidRPr="00593380">
              <w:rPr>
                <w:rFonts w:ascii="Times New Roman" w:hAnsi="Times New Roman" w:cs="Times New Roman"/>
              </w:rPr>
              <w:t>60</w:t>
            </w:r>
          </w:p>
        </w:tc>
        <w:tc>
          <w:tcPr>
            <w:tcW w:w="0" w:type="auto"/>
            <w:hideMark/>
          </w:tcPr>
          <w:p w14:paraId="4A9824D4" w14:textId="77777777" w:rsidR="00186EF4" w:rsidRPr="00593380" w:rsidRDefault="00186EF4" w:rsidP="00D03BEA">
            <w:pPr>
              <w:jc w:val="both"/>
              <w:rPr>
                <w:rFonts w:ascii="Times New Roman" w:hAnsi="Times New Roman" w:cs="Times New Roman"/>
              </w:rPr>
            </w:pPr>
            <w:r w:rsidRPr="00593380">
              <w:rPr>
                <w:rFonts w:ascii="Times New Roman" w:hAnsi="Times New Roman" w:cs="Times New Roman"/>
              </w:rPr>
              <w:t>150</w:t>
            </w:r>
          </w:p>
        </w:tc>
        <w:tc>
          <w:tcPr>
            <w:tcW w:w="0" w:type="auto"/>
            <w:hideMark/>
          </w:tcPr>
          <w:p w14:paraId="49C9B03B" w14:textId="77777777" w:rsidR="00186EF4" w:rsidRPr="00593380" w:rsidRDefault="00186EF4" w:rsidP="00D03BEA">
            <w:pPr>
              <w:jc w:val="both"/>
              <w:rPr>
                <w:rFonts w:ascii="Times New Roman" w:hAnsi="Times New Roman" w:cs="Times New Roman"/>
              </w:rPr>
            </w:pPr>
            <w:r w:rsidRPr="00593380">
              <w:rPr>
                <w:rFonts w:ascii="Times New Roman" w:hAnsi="Times New Roman" w:cs="Times New Roman"/>
              </w:rPr>
              <w:t>300</w:t>
            </w:r>
          </w:p>
        </w:tc>
        <w:tc>
          <w:tcPr>
            <w:tcW w:w="0" w:type="auto"/>
            <w:hideMark/>
          </w:tcPr>
          <w:p w14:paraId="597AB1C1" w14:textId="77777777" w:rsidR="00186EF4" w:rsidRPr="00593380" w:rsidRDefault="00186EF4" w:rsidP="00D03BEA">
            <w:pPr>
              <w:jc w:val="both"/>
              <w:rPr>
                <w:rFonts w:ascii="Times New Roman" w:hAnsi="Times New Roman" w:cs="Times New Roman"/>
              </w:rPr>
            </w:pPr>
            <w:r w:rsidRPr="00593380">
              <w:rPr>
                <w:rFonts w:ascii="Times New Roman" w:hAnsi="Times New Roman" w:cs="Times New Roman"/>
              </w:rPr>
              <w:t>470</w:t>
            </w:r>
          </w:p>
        </w:tc>
        <w:tc>
          <w:tcPr>
            <w:tcW w:w="1375" w:type="dxa"/>
            <w:hideMark/>
          </w:tcPr>
          <w:p w14:paraId="53022FA6" w14:textId="77777777" w:rsidR="00186EF4" w:rsidRPr="00593380" w:rsidRDefault="00186EF4" w:rsidP="00D03BEA">
            <w:pPr>
              <w:jc w:val="both"/>
              <w:rPr>
                <w:rFonts w:ascii="Times New Roman" w:hAnsi="Times New Roman" w:cs="Times New Roman"/>
              </w:rPr>
            </w:pPr>
            <w:r w:rsidRPr="00593380">
              <w:rPr>
                <w:rFonts w:ascii="Times New Roman" w:hAnsi="Times New Roman" w:cs="Times New Roman"/>
              </w:rPr>
              <w:t>1000</w:t>
            </w:r>
          </w:p>
        </w:tc>
        <w:tc>
          <w:tcPr>
            <w:tcW w:w="1177" w:type="dxa"/>
            <w:hideMark/>
          </w:tcPr>
          <w:p w14:paraId="15EADAC9" w14:textId="77777777" w:rsidR="00186EF4" w:rsidRPr="00593380" w:rsidRDefault="00186EF4" w:rsidP="00D03BEA">
            <w:pPr>
              <w:jc w:val="both"/>
              <w:rPr>
                <w:rFonts w:ascii="Times New Roman" w:hAnsi="Times New Roman" w:cs="Times New Roman"/>
              </w:rPr>
            </w:pPr>
            <w:r w:rsidRPr="00593380">
              <w:rPr>
                <w:rFonts w:ascii="Times New Roman" w:hAnsi="Times New Roman" w:cs="Times New Roman"/>
              </w:rPr>
              <w:t>4.7</w:t>
            </w:r>
          </w:p>
        </w:tc>
      </w:tr>
      <w:tr w:rsidR="00186EF4" w:rsidRPr="00593380" w14:paraId="253A41CC" w14:textId="77777777" w:rsidTr="00DD61BC">
        <w:tc>
          <w:tcPr>
            <w:tcW w:w="0" w:type="auto"/>
            <w:hideMark/>
          </w:tcPr>
          <w:p w14:paraId="124E3807" w14:textId="77777777" w:rsidR="00186EF4" w:rsidRPr="00593380" w:rsidRDefault="00186EF4" w:rsidP="00D03BEA">
            <w:pPr>
              <w:jc w:val="both"/>
              <w:rPr>
                <w:rFonts w:ascii="Times New Roman" w:hAnsi="Times New Roman" w:cs="Times New Roman"/>
              </w:rPr>
            </w:pPr>
            <w:r w:rsidRPr="00593380">
              <w:rPr>
                <w:rFonts w:ascii="Times New Roman" w:hAnsi="Times New Roman" w:cs="Times New Roman"/>
              </w:rPr>
              <w:t>FPTB's revenue generation faces challenges in adapting to changing market conditions.</w:t>
            </w:r>
          </w:p>
        </w:tc>
        <w:tc>
          <w:tcPr>
            <w:tcW w:w="0" w:type="auto"/>
            <w:hideMark/>
          </w:tcPr>
          <w:p w14:paraId="5DC82A4D" w14:textId="77777777" w:rsidR="00186EF4" w:rsidRPr="00593380" w:rsidRDefault="00186EF4" w:rsidP="00D03BEA">
            <w:pPr>
              <w:jc w:val="both"/>
              <w:rPr>
                <w:rFonts w:ascii="Times New Roman" w:hAnsi="Times New Roman" w:cs="Times New Roman"/>
              </w:rPr>
            </w:pPr>
            <w:r w:rsidRPr="00593380">
              <w:rPr>
                <w:rFonts w:ascii="Times New Roman" w:hAnsi="Times New Roman" w:cs="Times New Roman"/>
              </w:rPr>
              <w:t>400</w:t>
            </w:r>
          </w:p>
        </w:tc>
        <w:tc>
          <w:tcPr>
            <w:tcW w:w="0" w:type="auto"/>
            <w:hideMark/>
          </w:tcPr>
          <w:p w14:paraId="630BA9EE" w14:textId="77777777" w:rsidR="00186EF4" w:rsidRPr="00593380" w:rsidRDefault="00186EF4" w:rsidP="00D03BEA">
            <w:pPr>
              <w:jc w:val="both"/>
              <w:rPr>
                <w:rFonts w:ascii="Times New Roman" w:hAnsi="Times New Roman" w:cs="Times New Roman"/>
              </w:rPr>
            </w:pPr>
            <w:r w:rsidRPr="00593380">
              <w:rPr>
                <w:rFonts w:ascii="Times New Roman" w:hAnsi="Times New Roman" w:cs="Times New Roman"/>
              </w:rPr>
              <w:t>300</w:t>
            </w:r>
          </w:p>
        </w:tc>
        <w:tc>
          <w:tcPr>
            <w:tcW w:w="0" w:type="auto"/>
            <w:hideMark/>
          </w:tcPr>
          <w:p w14:paraId="5183071F" w14:textId="77777777" w:rsidR="00186EF4" w:rsidRPr="00593380" w:rsidRDefault="00186EF4" w:rsidP="00D03BEA">
            <w:pPr>
              <w:jc w:val="both"/>
              <w:rPr>
                <w:rFonts w:ascii="Times New Roman" w:hAnsi="Times New Roman" w:cs="Times New Roman"/>
              </w:rPr>
            </w:pPr>
            <w:r w:rsidRPr="00593380">
              <w:rPr>
                <w:rFonts w:ascii="Times New Roman" w:hAnsi="Times New Roman" w:cs="Times New Roman"/>
              </w:rPr>
              <w:t>150</w:t>
            </w:r>
          </w:p>
        </w:tc>
        <w:tc>
          <w:tcPr>
            <w:tcW w:w="0" w:type="auto"/>
            <w:hideMark/>
          </w:tcPr>
          <w:p w14:paraId="2AB50D2D" w14:textId="77777777" w:rsidR="00186EF4" w:rsidRPr="00593380" w:rsidRDefault="00186EF4" w:rsidP="00D03BEA">
            <w:pPr>
              <w:jc w:val="both"/>
              <w:rPr>
                <w:rFonts w:ascii="Times New Roman" w:hAnsi="Times New Roman" w:cs="Times New Roman"/>
              </w:rPr>
            </w:pPr>
            <w:r w:rsidRPr="00593380">
              <w:rPr>
                <w:rFonts w:ascii="Times New Roman" w:hAnsi="Times New Roman" w:cs="Times New Roman"/>
              </w:rPr>
              <w:t>100</w:t>
            </w:r>
          </w:p>
        </w:tc>
        <w:tc>
          <w:tcPr>
            <w:tcW w:w="0" w:type="auto"/>
            <w:hideMark/>
          </w:tcPr>
          <w:p w14:paraId="7EC733D0" w14:textId="77777777" w:rsidR="00186EF4" w:rsidRPr="00593380" w:rsidRDefault="00186EF4" w:rsidP="00D03BEA">
            <w:pPr>
              <w:jc w:val="both"/>
              <w:rPr>
                <w:rFonts w:ascii="Times New Roman" w:hAnsi="Times New Roman" w:cs="Times New Roman"/>
              </w:rPr>
            </w:pPr>
            <w:r w:rsidRPr="00593380">
              <w:rPr>
                <w:rFonts w:ascii="Times New Roman" w:hAnsi="Times New Roman" w:cs="Times New Roman"/>
              </w:rPr>
              <w:t>50</w:t>
            </w:r>
          </w:p>
        </w:tc>
        <w:tc>
          <w:tcPr>
            <w:tcW w:w="1375" w:type="dxa"/>
            <w:hideMark/>
          </w:tcPr>
          <w:p w14:paraId="3B1BA2CE" w14:textId="77777777" w:rsidR="00186EF4" w:rsidRPr="00593380" w:rsidRDefault="00186EF4" w:rsidP="00D03BEA">
            <w:pPr>
              <w:jc w:val="both"/>
              <w:rPr>
                <w:rFonts w:ascii="Times New Roman" w:hAnsi="Times New Roman" w:cs="Times New Roman"/>
              </w:rPr>
            </w:pPr>
            <w:r w:rsidRPr="00593380">
              <w:rPr>
                <w:rFonts w:ascii="Times New Roman" w:hAnsi="Times New Roman" w:cs="Times New Roman"/>
              </w:rPr>
              <w:t>1000</w:t>
            </w:r>
          </w:p>
        </w:tc>
        <w:tc>
          <w:tcPr>
            <w:tcW w:w="1177" w:type="dxa"/>
            <w:hideMark/>
          </w:tcPr>
          <w:p w14:paraId="2E419693" w14:textId="77777777" w:rsidR="00186EF4" w:rsidRPr="00593380" w:rsidRDefault="00186EF4" w:rsidP="00D03BEA">
            <w:pPr>
              <w:jc w:val="both"/>
              <w:rPr>
                <w:rFonts w:ascii="Times New Roman" w:hAnsi="Times New Roman" w:cs="Times New Roman"/>
              </w:rPr>
            </w:pPr>
            <w:r w:rsidRPr="00593380">
              <w:rPr>
                <w:rFonts w:ascii="Times New Roman" w:hAnsi="Times New Roman" w:cs="Times New Roman"/>
              </w:rPr>
              <w:t>1.8</w:t>
            </w:r>
          </w:p>
        </w:tc>
      </w:tr>
      <w:tr w:rsidR="00186EF4" w:rsidRPr="00593380" w14:paraId="406CED5D" w14:textId="77777777" w:rsidTr="00DD61BC">
        <w:tc>
          <w:tcPr>
            <w:tcW w:w="0" w:type="auto"/>
            <w:hideMark/>
          </w:tcPr>
          <w:p w14:paraId="46FAF205" w14:textId="77777777" w:rsidR="00186EF4" w:rsidRPr="00593380" w:rsidRDefault="00186EF4" w:rsidP="00D03BEA">
            <w:pPr>
              <w:jc w:val="both"/>
              <w:rPr>
                <w:rFonts w:ascii="Times New Roman" w:hAnsi="Times New Roman" w:cs="Times New Roman"/>
              </w:rPr>
            </w:pPr>
            <w:r w:rsidRPr="00593380">
              <w:rPr>
                <w:rFonts w:ascii="Times New Roman" w:hAnsi="Times New Roman" w:cs="Times New Roman"/>
              </w:rPr>
              <w:t>ATAP's revenue generation strategies are agile and can quickly adjust to market shifts.</w:t>
            </w:r>
          </w:p>
        </w:tc>
        <w:tc>
          <w:tcPr>
            <w:tcW w:w="0" w:type="auto"/>
            <w:hideMark/>
          </w:tcPr>
          <w:p w14:paraId="24238B86" w14:textId="77777777" w:rsidR="00186EF4" w:rsidRPr="00593380" w:rsidRDefault="00186EF4" w:rsidP="00D03BEA">
            <w:pPr>
              <w:jc w:val="both"/>
              <w:rPr>
                <w:rFonts w:ascii="Times New Roman" w:hAnsi="Times New Roman" w:cs="Times New Roman"/>
              </w:rPr>
            </w:pPr>
            <w:r w:rsidRPr="00593380">
              <w:rPr>
                <w:rFonts w:ascii="Times New Roman" w:hAnsi="Times New Roman" w:cs="Times New Roman"/>
              </w:rPr>
              <w:t>30</w:t>
            </w:r>
          </w:p>
        </w:tc>
        <w:tc>
          <w:tcPr>
            <w:tcW w:w="0" w:type="auto"/>
            <w:hideMark/>
          </w:tcPr>
          <w:p w14:paraId="02AC6821" w14:textId="77777777" w:rsidR="00186EF4" w:rsidRPr="00593380" w:rsidRDefault="00186EF4" w:rsidP="00D03BEA">
            <w:pPr>
              <w:jc w:val="both"/>
              <w:rPr>
                <w:rFonts w:ascii="Times New Roman" w:hAnsi="Times New Roman" w:cs="Times New Roman"/>
              </w:rPr>
            </w:pPr>
            <w:r w:rsidRPr="00593380">
              <w:rPr>
                <w:rFonts w:ascii="Times New Roman" w:hAnsi="Times New Roman" w:cs="Times New Roman"/>
              </w:rPr>
              <w:t>90</w:t>
            </w:r>
          </w:p>
        </w:tc>
        <w:tc>
          <w:tcPr>
            <w:tcW w:w="0" w:type="auto"/>
            <w:hideMark/>
          </w:tcPr>
          <w:p w14:paraId="2B23624D" w14:textId="77777777" w:rsidR="00186EF4" w:rsidRPr="00593380" w:rsidRDefault="00186EF4" w:rsidP="00D03BEA">
            <w:pPr>
              <w:jc w:val="both"/>
              <w:rPr>
                <w:rFonts w:ascii="Times New Roman" w:hAnsi="Times New Roman" w:cs="Times New Roman"/>
              </w:rPr>
            </w:pPr>
            <w:r w:rsidRPr="00593380">
              <w:rPr>
                <w:rFonts w:ascii="Times New Roman" w:hAnsi="Times New Roman" w:cs="Times New Roman"/>
              </w:rPr>
              <w:t>150</w:t>
            </w:r>
          </w:p>
        </w:tc>
        <w:tc>
          <w:tcPr>
            <w:tcW w:w="0" w:type="auto"/>
            <w:hideMark/>
          </w:tcPr>
          <w:p w14:paraId="077EF32E" w14:textId="77777777" w:rsidR="00186EF4" w:rsidRPr="00593380" w:rsidRDefault="00186EF4" w:rsidP="00D03BEA">
            <w:pPr>
              <w:jc w:val="both"/>
              <w:rPr>
                <w:rFonts w:ascii="Times New Roman" w:hAnsi="Times New Roman" w:cs="Times New Roman"/>
              </w:rPr>
            </w:pPr>
            <w:r w:rsidRPr="00593380">
              <w:rPr>
                <w:rFonts w:ascii="Times New Roman" w:hAnsi="Times New Roman" w:cs="Times New Roman"/>
              </w:rPr>
              <w:t>300</w:t>
            </w:r>
          </w:p>
        </w:tc>
        <w:tc>
          <w:tcPr>
            <w:tcW w:w="0" w:type="auto"/>
            <w:hideMark/>
          </w:tcPr>
          <w:p w14:paraId="2C43CF9A" w14:textId="77777777" w:rsidR="00186EF4" w:rsidRPr="00593380" w:rsidRDefault="00186EF4" w:rsidP="00D03BEA">
            <w:pPr>
              <w:jc w:val="both"/>
              <w:rPr>
                <w:rFonts w:ascii="Times New Roman" w:hAnsi="Times New Roman" w:cs="Times New Roman"/>
              </w:rPr>
            </w:pPr>
            <w:r w:rsidRPr="00593380">
              <w:rPr>
                <w:rFonts w:ascii="Times New Roman" w:hAnsi="Times New Roman" w:cs="Times New Roman"/>
              </w:rPr>
              <w:t>430</w:t>
            </w:r>
          </w:p>
        </w:tc>
        <w:tc>
          <w:tcPr>
            <w:tcW w:w="1375" w:type="dxa"/>
            <w:hideMark/>
          </w:tcPr>
          <w:p w14:paraId="40802102" w14:textId="77777777" w:rsidR="00186EF4" w:rsidRPr="00593380" w:rsidRDefault="00186EF4" w:rsidP="00D03BEA">
            <w:pPr>
              <w:jc w:val="both"/>
              <w:rPr>
                <w:rFonts w:ascii="Times New Roman" w:hAnsi="Times New Roman" w:cs="Times New Roman"/>
              </w:rPr>
            </w:pPr>
            <w:r w:rsidRPr="00593380">
              <w:rPr>
                <w:rFonts w:ascii="Times New Roman" w:hAnsi="Times New Roman" w:cs="Times New Roman"/>
              </w:rPr>
              <w:t>1000</w:t>
            </w:r>
          </w:p>
        </w:tc>
        <w:tc>
          <w:tcPr>
            <w:tcW w:w="1177" w:type="dxa"/>
            <w:hideMark/>
          </w:tcPr>
          <w:p w14:paraId="0E7F304F" w14:textId="77777777" w:rsidR="00186EF4" w:rsidRPr="00593380" w:rsidRDefault="00186EF4" w:rsidP="00D03BEA">
            <w:pPr>
              <w:jc w:val="both"/>
              <w:rPr>
                <w:rFonts w:ascii="Times New Roman" w:hAnsi="Times New Roman" w:cs="Times New Roman"/>
              </w:rPr>
            </w:pPr>
            <w:r w:rsidRPr="00593380">
              <w:rPr>
                <w:rFonts w:ascii="Times New Roman" w:hAnsi="Times New Roman" w:cs="Times New Roman"/>
              </w:rPr>
              <w:t>4.4</w:t>
            </w:r>
          </w:p>
        </w:tc>
      </w:tr>
    </w:tbl>
    <w:p w14:paraId="6F0E69CF" w14:textId="77777777" w:rsidR="00DD61BC" w:rsidRPr="00593380" w:rsidRDefault="00DD61BC" w:rsidP="00593380">
      <w:pPr>
        <w:spacing w:line="360" w:lineRule="auto"/>
        <w:jc w:val="both"/>
        <w:rPr>
          <w:rFonts w:ascii="Times New Roman" w:hAnsi="Times New Roman" w:cs="Times New Roman"/>
          <w:color w:val="000000" w:themeColor="text1"/>
        </w:rPr>
      </w:pPr>
      <w:r w:rsidRPr="00593380">
        <w:rPr>
          <w:rFonts w:ascii="Times New Roman" w:hAnsi="Times New Roman" w:cs="Times New Roman"/>
          <w:color w:val="000000" w:themeColor="text1"/>
        </w:rPr>
        <w:t>Source: Field Survey, 2024.</w:t>
      </w:r>
    </w:p>
    <w:p w14:paraId="74522DB2" w14:textId="07E1733C" w:rsidR="00641610" w:rsidRPr="00593380" w:rsidRDefault="00641610" w:rsidP="00593380">
      <w:pPr>
        <w:spacing w:line="360" w:lineRule="auto"/>
        <w:jc w:val="both"/>
        <w:rPr>
          <w:rFonts w:ascii="Times New Roman" w:hAnsi="Times New Roman" w:cs="Times New Roman"/>
          <w:color w:val="000000" w:themeColor="text1"/>
        </w:rPr>
      </w:pPr>
      <w:r w:rsidRPr="00593380">
        <w:rPr>
          <w:rFonts w:ascii="Times New Roman" w:hAnsi="Times New Roman" w:cs="Times New Roman"/>
          <w:color w:val="000000" w:themeColor="text1"/>
        </w:rPr>
        <w:t>The comparison between Federal Polytechnic Bauchi (FPTB) and the Abubakar Tatari Ali Polytechnic (ATAP) sheds light on the nuanced dynamics between federally-owned and state-owned educational institutions in Nigeria. FPTB, as a federal government-owned school, operates within a more rigid framework of laws and regulations, which can impact its decision-making processes. On the other hand, ATAP, being state-owned, often enjoys more autonomy in decision-making due to fewer bureaucratic hurdles. This disparity in institutional governance can significantly influence the efficacy of revenue generation strategies. For instance, ATAP may have more agility in adapting to market demands and implementing innovative revenue-generating initiatives compared to FPTB. However, FPTB may benefit from the stability and long-term vision often associated with federal institutions. The comparison underscores the importance of understanding the institutional context and governance structure when evaluating the effectiveness of revenue generation strategies.</w:t>
      </w:r>
    </w:p>
    <w:p w14:paraId="58D88C39" w14:textId="3894AF4C" w:rsidR="00DC25EE" w:rsidRPr="00593380" w:rsidRDefault="00DC25EE" w:rsidP="00593380">
      <w:pPr>
        <w:pStyle w:val="Heading2"/>
        <w:spacing w:before="0" w:line="360" w:lineRule="auto"/>
        <w:jc w:val="both"/>
        <w:rPr>
          <w:rFonts w:ascii="Times New Roman" w:hAnsi="Times New Roman" w:cs="Times New Roman"/>
          <w:b/>
          <w:bCs/>
          <w:color w:val="auto"/>
          <w:sz w:val="22"/>
          <w:szCs w:val="22"/>
        </w:rPr>
      </w:pPr>
      <w:bookmarkStart w:id="65" w:name="_Toc169270839"/>
      <w:r w:rsidRPr="00593380">
        <w:rPr>
          <w:rFonts w:ascii="Times New Roman" w:hAnsi="Times New Roman" w:cs="Times New Roman"/>
          <w:b/>
          <w:bCs/>
          <w:color w:val="auto"/>
          <w:sz w:val="22"/>
          <w:szCs w:val="22"/>
        </w:rPr>
        <w:t>4.</w:t>
      </w:r>
      <w:r w:rsidR="009D53B2">
        <w:rPr>
          <w:rFonts w:ascii="Times New Roman" w:hAnsi="Times New Roman" w:cs="Times New Roman"/>
          <w:b/>
          <w:bCs/>
          <w:color w:val="auto"/>
          <w:sz w:val="22"/>
          <w:szCs w:val="22"/>
        </w:rPr>
        <w:t>2</w:t>
      </w:r>
      <w:r w:rsidRPr="00593380">
        <w:rPr>
          <w:rFonts w:ascii="Times New Roman" w:hAnsi="Times New Roman" w:cs="Times New Roman"/>
          <w:b/>
          <w:bCs/>
          <w:color w:val="auto"/>
          <w:sz w:val="22"/>
          <w:szCs w:val="22"/>
        </w:rPr>
        <w:t xml:space="preserve"> </w:t>
      </w:r>
      <w:r w:rsidR="004D096C" w:rsidRPr="00593380">
        <w:rPr>
          <w:rFonts w:ascii="Times New Roman" w:hAnsi="Times New Roman" w:cs="Times New Roman"/>
          <w:b/>
          <w:bCs/>
          <w:color w:val="auto"/>
          <w:sz w:val="22"/>
          <w:szCs w:val="22"/>
        </w:rPr>
        <w:t xml:space="preserve">Discussion of </w:t>
      </w:r>
      <w:r w:rsidRPr="00593380">
        <w:rPr>
          <w:rFonts w:ascii="Times New Roman" w:hAnsi="Times New Roman" w:cs="Times New Roman"/>
          <w:b/>
          <w:bCs/>
          <w:color w:val="auto"/>
          <w:sz w:val="22"/>
          <w:szCs w:val="22"/>
        </w:rPr>
        <w:t>Result</w:t>
      </w:r>
      <w:r w:rsidR="004D096C" w:rsidRPr="00593380">
        <w:rPr>
          <w:rFonts w:ascii="Times New Roman" w:hAnsi="Times New Roman" w:cs="Times New Roman"/>
          <w:b/>
          <w:bCs/>
          <w:color w:val="auto"/>
          <w:sz w:val="22"/>
          <w:szCs w:val="22"/>
        </w:rPr>
        <w:t>s</w:t>
      </w:r>
      <w:bookmarkEnd w:id="65"/>
    </w:p>
    <w:p w14:paraId="6D8FC338" w14:textId="4FAB34C9" w:rsidR="00013663" w:rsidRPr="00593380" w:rsidRDefault="00336A95" w:rsidP="00593380">
      <w:pPr>
        <w:pStyle w:val="Heading3"/>
        <w:spacing w:before="0" w:beforeAutospacing="0" w:after="0" w:afterAutospacing="0" w:line="360" w:lineRule="auto"/>
        <w:jc w:val="both"/>
        <w:rPr>
          <w:sz w:val="22"/>
          <w:szCs w:val="22"/>
        </w:rPr>
      </w:pPr>
      <w:bookmarkStart w:id="66" w:name="_Toc169270840"/>
      <w:r w:rsidRPr="00593380">
        <w:rPr>
          <w:color w:val="000000" w:themeColor="text1"/>
          <w:sz w:val="22"/>
          <w:szCs w:val="22"/>
        </w:rPr>
        <w:t>4.</w:t>
      </w:r>
      <w:r w:rsidR="009D53B2">
        <w:rPr>
          <w:color w:val="000000" w:themeColor="text1"/>
          <w:sz w:val="22"/>
          <w:szCs w:val="22"/>
        </w:rPr>
        <w:t>2</w:t>
      </w:r>
      <w:r w:rsidRPr="00593380">
        <w:rPr>
          <w:color w:val="000000" w:themeColor="text1"/>
          <w:sz w:val="22"/>
          <w:szCs w:val="22"/>
        </w:rPr>
        <w:t xml:space="preserve">.1 </w:t>
      </w:r>
      <w:r w:rsidR="004D096C" w:rsidRPr="00593380">
        <w:rPr>
          <w:color w:val="000000" w:themeColor="text1"/>
          <w:sz w:val="22"/>
          <w:szCs w:val="22"/>
        </w:rPr>
        <w:t>R</w:t>
      </w:r>
      <w:r w:rsidRPr="00593380">
        <w:rPr>
          <w:sz w:val="22"/>
          <w:szCs w:val="22"/>
        </w:rPr>
        <w:t>evenue generation strategies used in FPTB and ATAP.</w:t>
      </w:r>
      <w:bookmarkEnd w:id="66"/>
    </w:p>
    <w:p w14:paraId="7213CF32" w14:textId="77777777" w:rsidR="00336A95" w:rsidRPr="00593380" w:rsidRDefault="00336A95" w:rsidP="00593380">
      <w:pPr>
        <w:spacing w:line="360" w:lineRule="auto"/>
        <w:jc w:val="both"/>
        <w:rPr>
          <w:rFonts w:ascii="Times New Roman" w:hAnsi="Times New Roman" w:cs="Times New Roman"/>
          <w:color w:val="000000" w:themeColor="text1"/>
        </w:rPr>
      </w:pPr>
      <w:r w:rsidRPr="00593380">
        <w:rPr>
          <w:rFonts w:ascii="Times New Roman" w:hAnsi="Times New Roman" w:cs="Times New Roman"/>
          <w:color w:val="000000" w:themeColor="text1"/>
        </w:rPr>
        <w:t>The objective of identifying revenue generation strategies used in Federal Polytechnic Bauchi (FPTB) and Abubakar Tatari Ali Polytechnic (ATAP) through surveys was approached by gathering responses from 1000 participants. The surveys aimed to capture the diverse perspectives and insights regarding the revenue sources employed by these institutions. The responses revealed a range of strategies utilized by both FPTB and ATAP, including tuition fees, government funding, research grants, alumni contributions, donations, and income generated from various services.</w:t>
      </w:r>
    </w:p>
    <w:p w14:paraId="443C0311" w14:textId="7C7A120F" w:rsidR="00336A95" w:rsidRPr="00593380" w:rsidRDefault="00336A95" w:rsidP="00593380">
      <w:pPr>
        <w:spacing w:line="360" w:lineRule="auto"/>
        <w:jc w:val="both"/>
        <w:rPr>
          <w:rFonts w:ascii="Times New Roman" w:hAnsi="Times New Roman" w:cs="Times New Roman"/>
          <w:color w:val="000000" w:themeColor="text1"/>
        </w:rPr>
      </w:pPr>
      <w:r w:rsidRPr="00593380">
        <w:rPr>
          <w:rFonts w:ascii="Times New Roman" w:hAnsi="Times New Roman" w:cs="Times New Roman"/>
          <w:color w:val="000000" w:themeColor="text1"/>
        </w:rPr>
        <w:t>In analyzing the survey data, it became evident that both FPTB and ATAP rely on traditional revenue sources such as tuition fees and government funding, which are typical for educational institutions in Nigeria. However, differences emerged in the extent to which they leverage alternative revenue streams. FPTB, being a federal government-owned institution, may face more regulatory constraints but also benefits from stable funding from the federal government. On the other hand, ATAP, as a state government-owned institution, may have more autonomy in decision-making but could face challenges related to fluctuations in state funding and administrative processes.</w:t>
      </w:r>
    </w:p>
    <w:p w14:paraId="04FB611A" w14:textId="0EEBEEB5" w:rsidR="00336A95" w:rsidRPr="00593380" w:rsidRDefault="00336A95" w:rsidP="00593380">
      <w:pPr>
        <w:spacing w:line="360" w:lineRule="auto"/>
        <w:jc w:val="both"/>
        <w:rPr>
          <w:rFonts w:ascii="Times New Roman" w:hAnsi="Times New Roman" w:cs="Times New Roman"/>
          <w:color w:val="000000" w:themeColor="text1"/>
        </w:rPr>
      </w:pPr>
      <w:r w:rsidRPr="00593380">
        <w:rPr>
          <w:rFonts w:ascii="Times New Roman" w:hAnsi="Times New Roman" w:cs="Times New Roman"/>
          <w:color w:val="000000" w:themeColor="text1"/>
        </w:rPr>
        <w:t xml:space="preserve">The survey results also highlighted the importance of diversification in revenue generation strategies. While both institutions primarily rely on core sources like tuition fees and government funding, they also recognize the need to explore additional avenues such as research grants, alumni contributions, and partnerships with industry and donors. These findings underscore the importance of adaptability and </w:t>
      </w:r>
      <w:r w:rsidRPr="00593380">
        <w:rPr>
          <w:rFonts w:ascii="Times New Roman" w:hAnsi="Times New Roman" w:cs="Times New Roman"/>
          <w:color w:val="000000" w:themeColor="text1"/>
        </w:rPr>
        <w:lastRenderedPageBreak/>
        <w:t>innovation in responding to evolving financial needs and opportunities within the higher education landscape.</w:t>
      </w:r>
      <w:r w:rsidR="00ED4C15" w:rsidRPr="00593380">
        <w:rPr>
          <w:rFonts w:ascii="Times New Roman" w:hAnsi="Times New Roman" w:cs="Times New Roman"/>
          <w:color w:val="000000" w:themeColor="text1"/>
        </w:rPr>
        <w:t xml:space="preserve"> T</w:t>
      </w:r>
      <w:r w:rsidRPr="00593380">
        <w:rPr>
          <w:rFonts w:ascii="Times New Roman" w:hAnsi="Times New Roman" w:cs="Times New Roman"/>
          <w:color w:val="000000" w:themeColor="text1"/>
        </w:rPr>
        <w:t>he survey outcomes provide valuable insights into the revenue generation landscape of FPTB and ATAP, offering a foundation for further analysis and strategic planning. By understanding their current strategies and exploring potential areas for enhancement, both institutions can better position themselves for financial sustainability and long-term growth.</w:t>
      </w:r>
    </w:p>
    <w:p w14:paraId="4A1887ED" w14:textId="1836236F" w:rsidR="00DC25EE" w:rsidRPr="00593380" w:rsidRDefault="00DD61BC" w:rsidP="00593380">
      <w:pPr>
        <w:pStyle w:val="Heading3"/>
        <w:spacing w:before="0" w:beforeAutospacing="0" w:after="0" w:afterAutospacing="0" w:line="360" w:lineRule="auto"/>
        <w:jc w:val="both"/>
        <w:rPr>
          <w:sz w:val="22"/>
          <w:szCs w:val="22"/>
        </w:rPr>
      </w:pPr>
      <w:bookmarkStart w:id="67" w:name="_Toc169270841"/>
      <w:r w:rsidRPr="00593380">
        <w:rPr>
          <w:color w:val="000000" w:themeColor="text1"/>
          <w:sz w:val="22"/>
          <w:szCs w:val="22"/>
        </w:rPr>
        <w:t>4.</w:t>
      </w:r>
      <w:r w:rsidR="009D53B2">
        <w:rPr>
          <w:color w:val="000000" w:themeColor="text1"/>
          <w:sz w:val="22"/>
          <w:szCs w:val="22"/>
        </w:rPr>
        <w:t>2</w:t>
      </w:r>
      <w:r w:rsidRPr="00593380">
        <w:rPr>
          <w:color w:val="000000" w:themeColor="text1"/>
          <w:sz w:val="22"/>
          <w:szCs w:val="22"/>
        </w:rPr>
        <w:t xml:space="preserve">.2 </w:t>
      </w:r>
      <w:r w:rsidR="008E43C8" w:rsidRPr="00593380">
        <w:rPr>
          <w:sz w:val="22"/>
          <w:szCs w:val="22"/>
        </w:rPr>
        <w:t>O</w:t>
      </w:r>
      <w:r w:rsidR="00ED4C15" w:rsidRPr="00593380">
        <w:rPr>
          <w:sz w:val="22"/>
          <w:szCs w:val="22"/>
        </w:rPr>
        <w:t xml:space="preserve">ther </w:t>
      </w:r>
      <w:r w:rsidRPr="00593380">
        <w:rPr>
          <w:sz w:val="22"/>
          <w:szCs w:val="22"/>
        </w:rPr>
        <w:t>Revenue Generation Strategies Adopted by other Tertiary Institutions.</w:t>
      </w:r>
      <w:bookmarkEnd w:id="67"/>
    </w:p>
    <w:p w14:paraId="38C764A7" w14:textId="19AF9A0C" w:rsidR="00ED4C15" w:rsidRPr="00593380" w:rsidRDefault="00ED4C15" w:rsidP="00D03BEA">
      <w:pPr>
        <w:spacing w:after="0" w:line="360" w:lineRule="auto"/>
        <w:jc w:val="both"/>
        <w:rPr>
          <w:rFonts w:ascii="Times New Roman" w:hAnsi="Times New Roman" w:cs="Times New Roman"/>
          <w:color w:val="000000" w:themeColor="text1"/>
        </w:rPr>
      </w:pPr>
      <w:r w:rsidRPr="00593380">
        <w:rPr>
          <w:rFonts w:ascii="Times New Roman" w:hAnsi="Times New Roman" w:cs="Times New Roman"/>
          <w:color w:val="000000" w:themeColor="text1"/>
        </w:rPr>
        <w:t>The objective of identifying other revenue generation strategies adopted by tertiary institutions beyond Federal Polytechnic Bauchi (FPTB) and Abubakar Tatari Ali Polytechnic (ATAP) was approached by surveying 1000 participants to gather a comprehensive understanding of the diverse practices within the higher education sector. The survey results revealed a wide array of revenue generation strategies employed by tertiary institutions globally.</w:t>
      </w:r>
    </w:p>
    <w:p w14:paraId="01CB6CFB" w14:textId="3DD7F231" w:rsidR="00ED4C15" w:rsidRPr="00593380" w:rsidRDefault="00ED4C15" w:rsidP="00D03BEA">
      <w:pPr>
        <w:spacing w:after="0" w:line="360" w:lineRule="auto"/>
        <w:jc w:val="both"/>
        <w:rPr>
          <w:rFonts w:ascii="Times New Roman" w:hAnsi="Times New Roman" w:cs="Times New Roman"/>
          <w:color w:val="000000" w:themeColor="text1"/>
        </w:rPr>
      </w:pPr>
      <w:r w:rsidRPr="00593380">
        <w:rPr>
          <w:rFonts w:ascii="Times New Roman" w:hAnsi="Times New Roman" w:cs="Times New Roman"/>
          <w:color w:val="000000" w:themeColor="text1"/>
        </w:rPr>
        <w:t xml:space="preserve">Among the strategies identified </w:t>
      </w:r>
      <w:r w:rsidR="00E96D19" w:rsidRPr="00593380">
        <w:rPr>
          <w:rFonts w:ascii="Times New Roman" w:hAnsi="Times New Roman" w:cs="Times New Roman"/>
          <w:color w:val="000000" w:themeColor="text1"/>
        </w:rPr>
        <w:t>are</w:t>
      </w:r>
      <w:r w:rsidRPr="00593380">
        <w:rPr>
          <w:rFonts w:ascii="Times New Roman" w:hAnsi="Times New Roman" w:cs="Times New Roman"/>
          <w:color w:val="000000" w:themeColor="text1"/>
        </w:rPr>
        <w:t>:</w:t>
      </w:r>
      <w:r w:rsidR="00E96D19" w:rsidRPr="00593380">
        <w:rPr>
          <w:rFonts w:ascii="Times New Roman" w:hAnsi="Times New Roman" w:cs="Times New Roman"/>
          <w:color w:val="000000" w:themeColor="text1"/>
        </w:rPr>
        <w:t xml:space="preserve"> </w:t>
      </w:r>
      <w:r w:rsidRPr="00593380">
        <w:rPr>
          <w:rFonts w:ascii="Times New Roman" w:hAnsi="Times New Roman" w:cs="Times New Roman"/>
          <w:color w:val="000000" w:themeColor="text1"/>
        </w:rPr>
        <w:t>International Student Fees</w:t>
      </w:r>
      <w:r w:rsidR="00E96D19" w:rsidRPr="00593380">
        <w:rPr>
          <w:rFonts w:ascii="Times New Roman" w:hAnsi="Times New Roman" w:cs="Times New Roman"/>
          <w:color w:val="000000" w:themeColor="text1"/>
        </w:rPr>
        <w:t xml:space="preserve">, </w:t>
      </w:r>
      <w:r w:rsidRPr="00593380">
        <w:rPr>
          <w:rFonts w:ascii="Times New Roman" w:hAnsi="Times New Roman" w:cs="Times New Roman"/>
          <w:color w:val="000000" w:themeColor="text1"/>
        </w:rPr>
        <w:t xml:space="preserve">Philanthropy and </w:t>
      </w:r>
      <w:r w:rsidR="00D03BEA" w:rsidRPr="00593380">
        <w:rPr>
          <w:rFonts w:ascii="Times New Roman" w:hAnsi="Times New Roman" w:cs="Times New Roman"/>
          <w:color w:val="000000" w:themeColor="text1"/>
        </w:rPr>
        <w:t xml:space="preserve">Fundraising, </w:t>
      </w:r>
      <w:r w:rsidR="00D03BEA">
        <w:rPr>
          <w:rFonts w:ascii="Times New Roman" w:hAnsi="Times New Roman" w:cs="Times New Roman"/>
          <w:color w:val="000000" w:themeColor="text1"/>
        </w:rPr>
        <w:t>Continuing</w:t>
      </w:r>
      <w:r w:rsidRPr="00593380">
        <w:rPr>
          <w:rFonts w:ascii="Times New Roman" w:hAnsi="Times New Roman" w:cs="Times New Roman"/>
          <w:color w:val="000000" w:themeColor="text1"/>
        </w:rPr>
        <w:t xml:space="preserve"> Education and Professional Development</w:t>
      </w:r>
      <w:r w:rsidR="00E96D19" w:rsidRPr="00593380">
        <w:rPr>
          <w:rFonts w:ascii="Times New Roman" w:hAnsi="Times New Roman" w:cs="Times New Roman"/>
          <w:color w:val="000000" w:themeColor="text1"/>
        </w:rPr>
        <w:t xml:space="preserve">, </w:t>
      </w:r>
      <w:r w:rsidRPr="00593380">
        <w:rPr>
          <w:rFonts w:ascii="Times New Roman" w:hAnsi="Times New Roman" w:cs="Times New Roman"/>
          <w:color w:val="000000" w:themeColor="text1"/>
        </w:rPr>
        <w:t>Property Rental and Leasing</w:t>
      </w:r>
      <w:r w:rsidR="00E96D19" w:rsidRPr="00593380">
        <w:rPr>
          <w:rFonts w:ascii="Times New Roman" w:hAnsi="Times New Roman" w:cs="Times New Roman"/>
          <w:color w:val="000000" w:themeColor="text1"/>
        </w:rPr>
        <w:t xml:space="preserve">, </w:t>
      </w:r>
      <w:r w:rsidRPr="00593380">
        <w:rPr>
          <w:rFonts w:ascii="Times New Roman" w:hAnsi="Times New Roman" w:cs="Times New Roman"/>
          <w:color w:val="000000" w:themeColor="text1"/>
        </w:rPr>
        <w:t>Intellectual Property Licensing</w:t>
      </w:r>
      <w:r w:rsidR="00E96D19" w:rsidRPr="00593380">
        <w:rPr>
          <w:rFonts w:ascii="Times New Roman" w:hAnsi="Times New Roman" w:cs="Times New Roman"/>
          <w:color w:val="000000" w:themeColor="text1"/>
        </w:rPr>
        <w:t xml:space="preserve">, </w:t>
      </w:r>
      <w:r w:rsidRPr="00593380">
        <w:rPr>
          <w:rFonts w:ascii="Times New Roman" w:hAnsi="Times New Roman" w:cs="Times New Roman"/>
          <w:color w:val="000000" w:themeColor="text1"/>
        </w:rPr>
        <w:t>Online Learning Programs</w:t>
      </w:r>
      <w:r w:rsidR="00E96D19" w:rsidRPr="00593380">
        <w:rPr>
          <w:rFonts w:ascii="Times New Roman" w:hAnsi="Times New Roman" w:cs="Times New Roman"/>
          <w:color w:val="000000" w:themeColor="text1"/>
        </w:rPr>
        <w:t xml:space="preserve">, </w:t>
      </w:r>
      <w:r w:rsidRPr="00593380">
        <w:rPr>
          <w:rFonts w:ascii="Times New Roman" w:hAnsi="Times New Roman" w:cs="Times New Roman"/>
          <w:color w:val="000000" w:themeColor="text1"/>
        </w:rPr>
        <w:t>Corporate Training and Consultancy Services</w:t>
      </w:r>
      <w:r w:rsidR="00E96D19" w:rsidRPr="00593380">
        <w:rPr>
          <w:rFonts w:ascii="Times New Roman" w:hAnsi="Times New Roman" w:cs="Times New Roman"/>
          <w:color w:val="000000" w:themeColor="text1"/>
        </w:rPr>
        <w:t xml:space="preserve">, </w:t>
      </w:r>
      <w:r w:rsidRPr="00593380">
        <w:rPr>
          <w:rFonts w:ascii="Times New Roman" w:hAnsi="Times New Roman" w:cs="Times New Roman"/>
          <w:color w:val="000000" w:themeColor="text1"/>
        </w:rPr>
        <w:t>Bookstores and Merchandise Sales</w:t>
      </w:r>
      <w:r w:rsidR="00E96D19" w:rsidRPr="00593380">
        <w:rPr>
          <w:rFonts w:ascii="Times New Roman" w:hAnsi="Times New Roman" w:cs="Times New Roman"/>
          <w:color w:val="000000" w:themeColor="text1"/>
        </w:rPr>
        <w:t xml:space="preserve">, </w:t>
      </w:r>
      <w:r w:rsidRPr="00593380">
        <w:rPr>
          <w:rFonts w:ascii="Times New Roman" w:hAnsi="Times New Roman" w:cs="Times New Roman"/>
          <w:color w:val="000000" w:themeColor="text1"/>
        </w:rPr>
        <w:t>Sports Events and Facilities</w:t>
      </w:r>
      <w:r w:rsidR="00E96D19" w:rsidRPr="00593380">
        <w:rPr>
          <w:rFonts w:ascii="Times New Roman" w:hAnsi="Times New Roman" w:cs="Times New Roman"/>
          <w:color w:val="000000" w:themeColor="text1"/>
        </w:rPr>
        <w:t xml:space="preserve">, and </w:t>
      </w:r>
      <w:r w:rsidRPr="00593380">
        <w:rPr>
          <w:rFonts w:ascii="Times New Roman" w:hAnsi="Times New Roman" w:cs="Times New Roman"/>
          <w:color w:val="000000" w:themeColor="text1"/>
        </w:rPr>
        <w:t>Campus Accommodation and Hospitality</w:t>
      </w:r>
      <w:r w:rsidR="00E96D19" w:rsidRPr="00593380">
        <w:rPr>
          <w:rFonts w:ascii="Times New Roman" w:hAnsi="Times New Roman" w:cs="Times New Roman"/>
          <w:color w:val="000000" w:themeColor="text1"/>
        </w:rPr>
        <w:t>.</w:t>
      </w:r>
    </w:p>
    <w:p w14:paraId="7614E267" w14:textId="74208756" w:rsidR="00ED4C15" w:rsidRPr="00593380" w:rsidRDefault="00ED4C15" w:rsidP="00D03BEA">
      <w:pPr>
        <w:spacing w:after="0" w:line="360" w:lineRule="auto"/>
        <w:jc w:val="both"/>
        <w:rPr>
          <w:rFonts w:ascii="Times New Roman" w:hAnsi="Times New Roman" w:cs="Times New Roman"/>
          <w:color w:val="000000" w:themeColor="text1"/>
        </w:rPr>
      </w:pPr>
      <w:r w:rsidRPr="00593380">
        <w:rPr>
          <w:rFonts w:ascii="Times New Roman" w:hAnsi="Times New Roman" w:cs="Times New Roman"/>
          <w:color w:val="000000" w:themeColor="text1"/>
        </w:rPr>
        <w:t>The discussion around this objective underscores the importance of recognizing the multifaceted nature of revenue generation in tertiary education. Institutions employ a combination of traditional and innovative strategies to diversify their income streams and address financial challenges. By understanding and benchmarking against these practices, FPTB and ATAP can identify opportunities for improvement and adaptation in their own revenue generation efforts, ultimately enhancing their financial sustainability and competitiveness in the higher education landscape.</w:t>
      </w:r>
    </w:p>
    <w:p w14:paraId="73D20C3C" w14:textId="3AFA15A2" w:rsidR="00E96D19" w:rsidRPr="00593380" w:rsidRDefault="00E96D19" w:rsidP="00593380">
      <w:pPr>
        <w:pStyle w:val="Heading3"/>
        <w:spacing w:before="0" w:beforeAutospacing="0" w:after="0" w:afterAutospacing="0" w:line="360" w:lineRule="auto"/>
        <w:jc w:val="both"/>
        <w:rPr>
          <w:sz w:val="22"/>
          <w:szCs w:val="22"/>
        </w:rPr>
      </w:pPr>
      <w:bookmarkStart w:id="68" w:name="_Toc169270842"/>
      <w:r w:rsidRPr="00593380">
        <w:rPr>
          <w:color w:val="000000" w:themeColor="text1"/>
          <w:sz w:val="22"/>
          <w:szCs w:val="22"/>
        </w:rPr>
        <w:t>4.</w:t>
      </w:r>
      <w:r w:rsidR="009D53B2">
        <w:rPr>
          <w:color w:val="000000" w:themeColor="text1"/>
          <w:sz w:val="22"/>
          <w:szCs w:val="22"/>
        </w:rPr>
        <w:t>2</w:t>
      </w:r>
      <w:r w:rsidRPr="00593380">
        <w:rPr>
          <w:color w:val="000000" w:themeColor="text1"/>
          <w:sz w:val="22"/>
          <w:szCs w:val="22"/>
        </w:rPr>
        <w:t xml:space="preserve">.3 </w:t>
      </w:r>
      <w:r w:rsidR="008E43C8" w:rsidRPr="00593380">
        <w:rPr>
          <w:sz w:val="22"/>
          <w:szCs w:val="22"/>
        </w:rPr>
        <w:t>E</w:t>
      </w:r>
      <w:r w:rsidRPr="00593380">
        <w:rPr>
          <w:sz w:val="22"/>
          <w:szCs w:val="22"/>
        </w:rPr>
        <w:t xml:space="preserve">fficacy of the </w:t>
      </w:r>
      <w:r w:rsidR="00DD61BC" w:rsidRPr="00593380">
        <w:rPr>
          <w:sz w:val="22"/>
          <w:szCs w:val="22"/>
        </w:rPr>
        <w:t>R</w:t>
      </w:r>
      <w:r w:rsidRPr="00593380">
        <w:rPr>
          <w:sz w:val="22"/>
          <w:szCs w:val="22"/>
        </w:rPr>
        <w:t xml:space="preserve">evenue </w:t>
      </w:r>
      <w:r w:rsidR="00DD61BC" w:rsidRPr="00593380">
        <w:rPr>
          <w:sz w:val="22"/>
          <w:szCs w:val="22"/>
        </w:rPr>
        <w:t>G</w:t>
      </w:r>
      <w:r w:rsidRPr="00593380">
        <w:rPr>
          <w:sz w:val="22"/>
          <w:szCs w:val="22"/>
        </w:rPr>
        <w:t xml:space="preserve">eneration </w:t>
      </w:r>
      <w:r w:rsidR="00DD61BC" w:rsidRPr="00593380">
        <w:rPr>
          <w:sz w:val="22"/>
          <w:szCs w:val="22"/>
        </w:rPr>
        <w:t>S</w:t>
      </w:r>
      <w:r w:rsidRPr="00593380">
        <w:rPr>
          <w:sz w:val="22"/>
          <w:szCs w:val="22"/>
        </w:rPr>
        <w:t>trateg</w:t>
      </w:r>
      <w:r w:rsidR="00DD61BC" w:rsidRPr="00593380">
        <w:rPr>
          <w:sz w:val="22"/>
          <w:szCs w:val="22"/>
        </w:rPr>
        <w:t>ies</w:t>
      </w:r>
      <w:r w:rsidRPr="00593380">
        <w:rPr>
          <w:sz w:val="22"/>
          <w:szCs w:val="22"/>
        </w:rPr>
        <w:t xml:space="preserve"> adopted by FPTB </w:t>
      </w:r>
      <w:r w:rsidR="00DD61BC" w:rsidRPr="00593380">
        <w:rPr>
          <w:sz w:val="22"/>
          <w:szCs w:val="22"/>
        </w:rPr>
        <w:t>and</w:t>
      </w:r>
      <w:r w:rsidRPr="00593380">
        <w:rPr>
          <w:sz w:val="22"/>
          <w:szCs w:val="22"/>
        </w:rPr>
        <w:t xml:space="preserve"> ATAP</w:t>
      </w:r>
      <w:bookmarkEnd w:id="68"/>
    </w:p>
    <w:p w14:paraId="70459050" w14:textId="29F6345B" w:rsidR="005B4D3A" w:rsidRPr="00593380" w:rsidRDefault="005B4D3A" w:rsidP="00593380">
      <w:pPr>
        <w:spacing w:after="0" w:line="360" w:lineRule="auto"/>
        <w:jc w:val="both"/>
        <w:rPr>
          <w:rFonts w:ascii="Times New Roman" w:hAnsi="Times New Roman" w:cs="Times New Roman"/>
        </w:rPr>
      </w:pPr>
      <w:r w:rsidRPr="00593380">
        <w:rPr>
          <w:rFonts w:ascii="Times New Roman" w:hAnsi="Times New Roman" w:cs="Times New Roman"/>
        </w:rPr>
        <w:t>Comparing the efficacy of revenue generation strategies between Federal Polytechnic Bauchi (FPTB) and Abubakar Tatari Ali Polytechnic (ATAP) entails examining their respective approaches, considering factors such as institutional context, resources, and effectiveness in achieving financial sustainability. FPTB, being a federal government-owned institution, operates within a framework of laws and regulations that may impose constraints on its revenue generation efforts. On the other hand, ATAP, as a state government-owned school, may enjoy greater autonomy in decision-making, allowing for more flexibility in implementing revenue strategies.</w:t>
      </w:r>
    </w:p>
    <w:p w14:paraId="263DCF1F" w14:textId="1611E733" w:rsidR="00E96D19" w:rsidRPr="00593380" w:rsidRDefault="005B4D3A" w:rsidP="00593380">
      <w:pPr>
        <w:spacing w:after="0" w:line="360" w:lineRule="auto"/>
        <w:jc w:val="both"/>
        <w:rPr>
          <w:rFonts w:ascii="Times New Roman" w:hAnsi="Times New Roman" w:cs="Times New Roman"/>
        </w:rPr>
      </w:pPr>
      <w:r w:rsidRPr="00593380">
        <w:rPr>
          <w:rFonts w:ascii="Times New Roman" w:hAnsi="Times New Roman" w:cs="Times New Roman"/>
        </w:rPr>
        <w:t xml:space="preserve">However, the efficacy of revenue generation strategies cannot be solely attributed to institutional ownership structure. Other factors such as leadership vision, organizational culture, and market dynamics also play crucial roles. FPTB may leverage its federal status to attract research grants and funding from government agencies, while ATAP may capitalize on its state affiliation to forge stronger partnerships with local industries and businesses. Additionally, FPTB's national reach and reputation may enhance its ability to attract international students and engage in collaborative research ventures, </w:t>
      </w:r>
      <w:r w:rsidRPr="00593380">
        <w:rPr>
          <w:rFonts w:ascii="Times New Roman" w:hAnsi="Times New Roman" w:cs="Times New Roman"/>
        </w:rPr>
        <w:lastRenderedPageBreak/>
        <w:t>whereas ATAP's regional focus may allow for closer ties with community stakeholders and targeted fundraising initiatives. The efficacy of revenue generation strategies should be evaluated based on their ability to generate sustainable income, support institutional priorities, and contribute to overall organizational growth and development. Both FPTB and ATAP can learn from each other's experiences and best practices, adapting and refining their approaches to suit their unique contexts and challenges. Collaboration, knowledge sharing, and continuous improvement are essential for optimizing revenue generation efforts and ensuring long-term financial viability in the dynamic landscape of higher education.</w:t>
      </w:r>
    </w:p>
    <w:p w14:paraId="40C93A19" w14:textId="41784271" w:rsidR="001D260C" w:rsidRPr="00593380" w:rsidRDefault="009D53B2" w:rsidP="009D53B2">
      <w:pPr>
        <w:spacing w:line="360" w:lineRule="auto"/>
        <w:rPr>
          <w:rFonts w:ascii="Times New Roman" w:hAnsi="Times New Roman" w:cs="Times New Roman"/>
          <w:b/>
          <w:bCs/>
        </w:rPr>
      </w:pPr>
      <w:r>
        <w:rPr>
          <w:rFonts w:ascii="Times New Roman" w:hAnsi="Times New Roman" w:cs="Times New Roman"/>
          <w:b/>
          <w:bCs/>
          <w:color w:val="000000" w:themeColor="text1"/>
        </w:rPr>
        <w:t xml:space="preserve">5.0 </w:t>
      </w:r>
      <w:bookmarkStart w:id="69" w:name="_Toc169270843"/>
      <w:r w:rsidR="001D260C" w:rsidRPr="00593380">
        <w:rPr>
          <w:rFonts w:ascii="Times New Roman" w:hAnsi="Times New Roman" w:cs="Times New Roman"/>
          <w:b/>
          <w:bCs/>
        </w:rPr>
        <w:t>CONCLUSION</w:t>
      </w:r>
      <w:bookmarkEnd w:id="69"/>
    </w:p>
    <w:p w14:paraId="1C56E558" w14:textId="3BA5417B" w:rsidR="004E00DB" w:rsidRPr="00593380" w:rsidRDefault="00BA419F" w:rsidP="00593380">
      <w:pPr>
        <w:spacing w:after="0" w:line="360" w:lineRule="auto"/>
        <w:jc w:val="both"/>
        <w:rPr>
          <w:rFonts w:ascii="Times New Roman" w:hAnsi="Times New Roman" w:cs="Times New Roman"/>
          <w:color w:val="000000" w:themeColor="text1"/>
        </w:rPr>
      </w:pPr>
      <w:r w:rsidRPr="00593380">
        <w:rPr>
          <w:rFonts w:ascii="Times New Roman" w:hAnsi="Times New Roman" w:cs="Times New Roman"/>
          <w:color w:val="000000" w:themeColor="text1"/>
        </w:rPr>
        <w:t>This study sheds light on the multifaceted nature of revenue generation strategies employed by tertiary institutions, both locally and globally. Through analysis of survey data from 1000 respondents, we have gained valuable insights into the diverse approaches adopted by institutions to meet their financial needs and sustain their operations. From traditional methods such as tuition fees and government funding to innovative initiatives like online education programs and industry partnerships, the landscape of revenue generation is dynamic and evolving. However, challenges such as regulatory constraints, economic fluctuations, and resource limitations underscore the need for strategic planning and adaptability. Moving forward, it is imperative for institutions to leverage technology, embrace collaboration, and explore alternative revenue streams to ensure long-term financial stability and academic excellence. By understanding the nuances of revenue generation strategies and their implications, stakeholders can make informed decisions to navigate the complexities of the higher education landscape and drive positive change in the sector.</w:t>
      </w:r>
    </w:p>
    <w:p w14:paraId="484CBF1B" w14:textId="77777777" w:rsidR="00593380" w:rsidRPr="005F1198" w:rsidRDefault="00593380" w:rsidP="00593380">
      <w:pPr>
        <w:pStyle w:val="Heading1"/>
        <w:spacing w:line="360" w:lineRule="auto"/>
        <w:jc w:val="both"/>
        <w:rPr>
          <w:rFonts w:ascii="Times New Roman" w:hAnsi="Times New Roman" w:cs="Times New Roman"/>
          <w:b/>
          <w:bCs/>
          <w:color w:val="auto"/>
          <w:sz w:val="22"/>
          <w:szCs w:val="22"/>
        </w:rPr>
      </w:pPr>
      <w:bookmarkStart w:id="70" w:name="_Toc144306792"/>
      <w:bookmarkStart w:id="71" w:name="_Toc169270783"/>
      <w:r w:rsidRPr="005F1198">
        <w:rPr>
          <w:rFonts w:ascii="Times New Roman" w:hAnsi="Times New Roman" w:cs="Times New Roman"/>
          <w:b/>
          <w:bCs/>
          <w:color w:val="auto"/>
          <w:sz w:val="22"/>
          <w:szCs w:val="22"/>
        </w:rPr>
        <w:t>ACKNOWLEDGEMENT</w:t>
      </w:r>
      <w:bookmarkEnd w:id="70"/>
      <w:bookmarkEnd w:id="71"/>
    </w:p>
    <w:p w14:paraId="7AB3E86F" w14:textId="69F71D62" w:rsidR="005F1198" w:rsidRDefault="00593380" w:rsidP="00D03BEA">
      <w:pPr>
        <w:spacing w:line="360" w:lineRule="auto"/>
        <w:jc w:val="both"/>
        <w:rPr>
          <w:rFonts w:ascii="Times New Roman" w:hAnsi="Times New Roman" w:cs="Times New Roman"/>
          <w:color w:val="000000" w:themeColor="text1"/>
        </w:rPr>
      </w:pPr>
      <w:r w:rsidRPr="005F1198">
        <w:rPr>
          <w:rFonts w:ascii="Times New Roman" w:hAnsi="Times New Roman" w:cs="Times New Roman"/>
        </w:rPr>
        <w:t>We appreciate the Federal Polytechnic Bauchi and the T</w:t>
      </w:r>
      <w:r w:rsidR="00B533E4">
        <w:rPr>
          <w:rFonts w:ascii="Times New Roman" w:hAnsi="Times New Roman" w:cs="Times New Roman"/>
        </w:rPr>
        <w:t>ertiary Education Trust Fund (T</w:t>
      </w:r>
      <w:r w:rsidRPr="005F1198">
        <w:rPr>
          <w:rFonts w:ascii="Times New Roman" w:hAnsi="Times New Roman" w:cs="Times New Roman"/>
        </w:rPr>
        <w:t>ETFUND</w:t>
      </w:r>
      <w:r w:rsidR="00B533E4">
        <w:rPr>
          <w:rFonts w:ascii="Times New Roman" w:hAnsi="Times New Roman" w:cs="Times New Roman"/>
        </w:rPr>
        <w:t>)</w:t>
      </w:r>
      <w:r w:rsidRPr="005F1198">
        <w:rPr>
          <w:rFonts w:ascii="Times New Roman" w:hAnsi="Times New Roman" w:cs="Times New Roman"/>
        </w:rPr>
        <w:t xml:space="preserve"> </w:t>
      </w:r>
      <w:r w:rsidR="00B533E4">
        <w:rPr>
          <w:rFonts w:ascii="Times New Roman" w:hAnsi="Times New Roman" w:cs="Times New Roman"/>
        </w:rPr>
        <w:t xml:space="preserve">for the financial support </w:t>
      </w:r>
      <w:r w:rsidR="007217F9">
        <w:rPr>
          <w:rFonts w:ascii="Times New Roman" w:hAnsi="Times New Roman" w:cs="Times New Roman"/>
        </w:rPr>
        <w:t xml:space="preserve">given to us </w:t>
      </w:r>
      <w:r w:rsidR="00B533E4">
        <w:rPr>
          <w:rFonts w:ascii="Times New Roman" w:hAnsi="Times New Roman" w:cs="Times New Roman"/>
        </w:rPr>
        <w:t xml:space="preserve">in </w:t>
      </w:r>
      <w:r w:rsidRPr="005F1198">
        <w:rPr>
          <w:rFonts w:ascii="Times New Roman" w:hAnsi="Times New Roman" w:cs="Times New Roman"/>
        </w:rPr>
        <w:t xml:space="preserve">this research work. The efforts and contributions made by the Director, Directorate of Research and Development in terms of assistance and guidance, as well as his </w:t>
      </w:r>
      <w:r w:rsidR="00B533E4" w:rsidRPr="005F1198">
        <w:rPr>
          <w:rFonts w:ascii="Times New Roman" w:hAnsi="Times New Roman" w:cs="Times New Roman"/>
        </w:rPr>
        <w:t>secretary</w:t>
      </w:r>
      <w:r w:rsidRPr="005F1198">
        <w:rPr>
          <w:rFonts w:ascii="Times New Roman" w:hAnsi="Times New Roman" w:cs="Times New Roman"/>
        </w:rPr>
        <w:t xml:space="preserve"> cannot be </w:t>
      </w:r>
      <w:r w:rsidR="00B533E4">
        <w:rPr>
          <w:rFonts w:ascii="Times New Roman" w:hAnsi="Times New Roman" w:cs="Times New Roman"/>
        </w:rPr>
        <w:t>overlooked</w:t>
      </w:r>
      <w:r w:rsidRPr="005F1198">
        <w:rPr>
          <w:rFonts w:ascii="Times New Roman" w:hAnsi="Times New Roman" w:cs="Times New Roman"/>
        </w:rPr>
        <w:t xml:space="preserve">. </w:t>
      </w:r>
      <w:bookmarkStart w:id="72" w:name="_Toc169270847"/>
    </w:p>
    <w:p w14:paraId="0710C92A" w14:textId="6F2A572B" w:rsidR="00BA419F" w:rsidRPr="005F1198" w:rsidRDefault="005F1198" w:rsidP="005F1198">
      <w:pPr>
        <w:spacing w:after="0" w:line="360" w:lineRule="auto"/>
        <w:jc w:val="both"/>
        <w:rPr>
          <w:rFonts w:ascii="Times New Roman" w:hAnsi="Times New Roman" w:cs="Times New Roman"/>
          <w:b/>
          <w:bCs/>
          <w:color w:val="000000" w:themeColor="text1"/>
        </w:rPr>
      </w:pPr>
      <w:r w:rsidRPr="005F1198">
        <w:rPr>
          <w:rFonts w:ascii="Times New Roman" w:hAnsi="Times New Roman" w:cs="Times New Roman"/>
          <w:b/>
          <w:bCs/>
          <w:color w:val="000000" w:themeColor="text1"/>
        </w:rPr>
        <w:t xml:space="preserve">6.0 </w:t>
      </w:r>
      <w:r w:rsidR="00397E54" w:rsidRPr="005F1198">
        <w:rPr>
          <w:rFonts w:ascii="Times New Roman" w:hAnsi="Times New Roman" w:cs="Times New Roman"/>
          <w:b/>
          <w:bCs/>
        </w:rPr>
        <w:t>REFERENCES</w:t>
      </w:r>
      <w:bookmarkEnd w:id="72"/>
    </w:p>
    <w:p w14:paraId="693D2F7C" w14:textId="77777777" w:rsidR="008408FB" w:rsidRPr="00593380" w:rsidRDefault="008408FB" w:rsidP="00D03BEA">
      <w:pPr>
        <w:spacing w:after="0" w:line="276" w:lineRule="auto"/>
        <w:ind w:left="720" w:hanging="720"/>
        <w:jc w:val="both"/>
        <w:rPr>
          <w:rFonts w:ascii="Times New Roman" w:hAnsi="Times New Roman" w:cs="Times New Roman"/>
        </w:rPr>
      </w:pPr>
      <w:proofErr w:type="spellStart"/>
      <w:r w:rsidRPr="00593380">
        <w:rPr>
          <w:rFonts w:ascii="Times New Roman" w:hAnsi="Times New Roman" w:cs="Times New Roman"/>
        </w:rPr>
        <w:t>Almagtomea</w:t>
      </w:r>
      <w:proofErr w:type="spellEnd"/>
      <w:r w:rsidRPr="00593380">
        <w:rPr>
          <w:rFonts w:ascii="Times New Roman" w:hAnsi="Times New Roman" w:cs="Times New Roman"/>
        </w:rPr>
        <w:t>, A., Shaker, A., Al-</w:t>
      </w:r>
      <w:proofErr w:type="spellStart"/>
      <w:r w:rsidRPr="00593380">
        <w:rPr>
          <w:rFonts w:ascii="Times New Roman" w:hAnsi="Times New Roman" w:cs="Times New Roman"/>
        </w:rPr>
        <w:t>Fatlawi</w:t>
      </w:r>
      <w:proofErr w:type="spellEnd"/>
      <w:r w:rsidRPr="00593380">
        <w:rPr>
          <w:rFonts w:ascii="Times New Roman" w:hAnsi="Times New Roman" w:cs="Times New Roman"/>
        </w:rPr>
        <w:t xml:space="preserve">, Q., &amp; </w:t>
      </w:r>
      <w:proofErr w:type="spellStart"/>
      <w:r w:rsidRPr="00593380">
        <w:rPr>
          <w:rFonts w:ascii="Times New Roman" w:hAnsi="Times New Roman" w:cs="Times New Roman"/>
        </w:rPr>
        <w:t>Bekheet</w:t>
      </w:r>
      <w:proofErr w:type="spellEnd"/>
      <w:r w:rsidRPr="00593380">
        <w:rPr>
          <w:rFonts w:ascii="Times New Roman" w:hAnsi="Times New Roman" w:cs="Times New Roman"/>
        </w:rPr>
        <w:t>, H. (2019). The integration between financial sustainability and accountability in higher education institutions: An exploratory case study. International Journal of Innovation, Creativity and Change, 8(2), 202–221.</w:t>
      </w:r>
    </w:p>
    <w:p w14:paraId="6B5393CB" w14:textId="77777777" w:rsidR="008408FB" w:rsidRPr="00593380" w:rsidRDefault="008408FB" w:rsidP="005F1198">
      <w:pPr>
        <w:spacing w:before="240" w:after="0" w:line="276" w:lineRule="auto"/>
        <w:ind w:left="810" w:hanging="810"/>
        <w:jc w:val="both"/>
        <w:rPr>
          <w:rFonts w:ascii="Times New Roman" w:hAnsi="Times New Roman" w:cs="Times New Roman"/>
        </w:rPr>
      </w:pPr>
      <w:r w:rsidRPr="00593380">
        <w:rPr>
          <w:rFonts w:ascii="Times New Roman" w:hAnsi="Times New Roman" w:cs="Times New Roman"/>
        </w:rPr>
        <w:t>Apergis, N.; Eleftheriou, S.; Payne, J.E. (2013). The relationship between international financial reporting standards, carbon emissions, and R&amp;D expenditures: Evidence from European manufacturing firms. Ecol. Econ. 88, 57–66.</w:t>
      </w:r>
    </w:p>
    <w:p w14:paraId="0059B43B" w14:textId="1E057B19" w:rsidR="008408FB" w:rsidRPr="00593380" w:rsidRDefault="008408FB" w:rsidP="005F1198">
      <w:pPr>
        <w:spacing w:before="240" w:after="0" w:line="276" w:lineRule="auto"/>
        <w:ind w:left="810" w:hanging="810"/>
        <w:jc w:val="both"/>
        <w:rPr>
          <w:rFonts w:ascii="Times New Roman" w:hAnsi="Times New Roman" w:cs="Times New Roman"/>
        </w:rPr>
      </w:pPr>
      <w:r w:rsidRPr="00593380">
        <w:rPr>
          <w:rFonts w:ascii="Times New Roman" w:hAnsi="Times New Roman" w:cs="Times New Roman"/>
        </w:rPr>
        <w:t xml:space="preserve">Bloom, D. (2005). Higher Education and Economic Development in Africa, Harvard University. </w:t>
      </w:r>
      <w:r w:rsidR="007D60C0" w:rsidRPr="00593380">
        <w:rPr>
          <w:rFonts w:ascii="Times New Roman" w:hAnsi="Times New Roman" w:cs="Times New Roman"/>
        </w:rPr>
        <w:t>The study</w:t>
      </w:r>
      <w:r w:rsidRPr="00593380">
        <w:rPr>
          <w:rFonts w:ascii="Times New Roman" w:hAnsi="Times New Roman" w:cs="Times New Roman"/>
        </w:rPr>
        <w:t xml:space="preserve"> </w:t>
      </w:r>
      <w:r w:rsidR="007D60C0" w:rsidRPr="00593380">
        <w:rPr>
          <w:rFonts w:ascii="Times New Roman" w:hAnsi="Times New Roman" w:cs="Times New Roman"/>
        </w:rPr>
        <w:t xml:space="preserve">was </w:t>
      </w:r>
      <w:r w:rsidRPr="00593380">
        <w:rPr>
          <w:rFonts w:ascii="Times New Roman" w:hAnsi="Times New Roman" w:cs="Times New Roman"/>
        </w:rPr>
        <w:t>commissioned by the World Bank. Washington, D.C.</w:t>
      </w:r>
    </w:p>
    <w:p w14:paraId="0C63FB0D" w14:textId="42DC9624" w:rsidR="008408FB" w:rsidRPr="00593380" w:rsidRDefault="008408FB" w:rsidP="005F1198">
      <w:pPr>
        <w:spacing w:before="240" w:after="0" w:line="276" w:lineRule="auto"/>
        <w:ind w:left="810" w:hanging="810"/>
        <w:jc w:val="both"/>
        <w:rPr>
          <w:rFonts w:ascii="Times New Roman" w:hAnsi="Times New Roman" w:cs="Times New Roman"/>
        </w:rPr>
      </w:pPr>
      <w:r w:rsidRPr="00593380">
        <w:rPr>
          <w:rFonts w:ascii="Times New Roman" w:hAnsi="Times New Roman" w:cs="Times New Roman"/>
        </w:rPr>
        <w:lastRenderedPageBreak/>
        <w:t>Burchardt, T.; Vizard, P. (2007). Definition of Equality and Framework for Measurement: Final Recommendations of</w:t>
      </w:r>
      <w:r w:rsidR="007D60C0" w:rsidRPr="00593380">
        <w:rPr>
          <w:rFonts w:ascii="Times New Roman" w:hAnsi="Times New Roman" w:cs="Times New Roman"/>
        </w:rPr>
        <w:t xml:space="preserve"> </w:t>
      </w:r>
      <w:r w:rsidRPr="00593380">
        <w:rPr>
          <w:rFonts w:ascii="Times New Roman" w:hAnsi="Times New Roman" w:cs="Times New Roman"/>
        </w:rPr>
        <w:t>the Equalities Review Steering Group on Measurement; CASE Paper 120; LSE: London, UK.</w:t>
      </w:r>
    </w:p>
    <w:p w14:paraId="72A2DD5D" w14:textId="1D612BD5" w:rsidR="008408FB" w:rsidRPr="00593380" w:rsidRDefault="008408FB" w:rsidP="005F1198">
      <w:pPr>
        <w:spacing w:before="240" w:after="0" w:line="276" w:lineRule="auto"/>
        <w:ind w:left="810" w:hanging="810"/>
        <w:jc w:val="both"/>
        <w:rPr>
          <w:rFonts w:ascii="Times New Roman" w:hAnsi="Times New Roman" w:cs="Times New Roman"/>
        </w:rPr>
      </w:pPr>
      <w:proofErr w:type="spellStart"/>
      <w:r w:rsidRPr="00593380">
        <w:rPr>
          <w:rFonts w:ascii="Times New Roman" w:hAnsi="Times New Roman" w:cs="Times New Roman"/>
        </w:rPr>
        <w:t>Cheba</w:t>
      </w:r>
      <w:proofErr w:type="spellEnd"/>
      <w:r w:rsidRPr="00593380">
        <w:rPr>
          <w:rFonts w:ascii="Times New Roman" w:hAnsi="Times New Roman" w:cs="Times New Roman"/>
        </w:rPr>
        <w:t xml:space="preserve">, K. (2019) The applications of dynamic relative taxonomy methods to assess the effectiveness of transnational </w:t>
      </w:r>
      <w:r w:rsidR="00B533E4" w:rsidRPr="00593380">
        <w:rPr>
          <w:rFonts w:ascii="Times New Roman" w:hAnsi="Times New Roman" w:cs="Times New Roman"/>
        </w:rPr>
        <w:t>corporations’</w:t>
      </w:r>
      <w:r w:rsidRPr="00593380">
        <w:rPr>
          <w:rFonts w:ascii="Times New Roman" w:hAnsi="Times New Roman" w:cs="Times New Roman"/>
        </w:rPr>
        <w:t xml:space="preserve"> strategies. Eur. J. Int. Manag. in press.</w:t>
      </w:r>
    </w:p>
    <w:p w14:paraId="6D13377A" w14:textId="77777777" w:rsidR="008408FB" w:rsidRPr="00593380" w:rsidRDefault="008408FB" w:rsidP="005F1198">
      <w:pPr>
        <w:spacing w:before="240" w:after="0" w:line="276" w:lineRule="auto"/>
        <w:ind w:left="810" w:hanging="810"/>
        <w:jc w:val="both"/>
        <w:rPr>
          <w:rFonts w:ascii="Times New Roman" w:hAnsi="Times New Roman" w:cs="Times New Roman"/>
        </w:rPr>
      </w:pPr>
      <w:proofErr w:type="spellStart"/>
      <w:r w:rsidRPr="00593380">
        <w:rPr>
          <w:rFonts w:ascii="Times New Roman" w:hAnsi="Times New Roman" w:cs="Times New Roman"/>
        </w:rPr>
        <w:t>Doerrenberg</w:t>
      </w:r>
      <w:proofErr w:type="spellEnd"/>
      <w:r w:rsidRPr="00593380">
        <w:rPr>
          <w:rFonts w:ascii="Times New Roman" w:hAnsi="Times New Roman" w:cs="Times New Roman"/>
        </w:rPr>
        <w:t xml:space="preserve">, P.; </w:t>
      </w:r>
      <w:proofErr w:type="spellStart"/>
      <w:r w:rsidRPr="00593380">
        <w:rPr>
          <w:rFonts w:ascii="Times New Roman" w:hAnsi="Times New Roman" w:cs="Times New Roman"/>
        </w:rPr>
        <w:t>Peichl</w:t>
      </w:r>
      <w:proofErr w:type="spellEnd"/>
      <w:r w:rsidRPr="00593380">
        <w:rPr>
          <w:rFonts w:ascii="Times New Roman" w:hAnsi="Times New Roman" w:cs="Times New Roman"/>
        </w:rPr>
        <w:t xml:space="preserve">, A. (2012). The Impact </w:t>
      </w:r>
      <w:proofErr w:type="spellStart"/>
      <w:r w:rsidRPr="00593380">
        <w:rPr>
          <w:rFonts w:ascii="Times New Roman" w:hAnsi="Times New Roman" w:cs="Times New Roman"/>
        </w:rPr>
        <w:t>ofRedistributive</w:t>
      </w:r>
      <w:proofErr w:type="spellEnd"/>
      <w:r w:rsidRPr="00593380">
        <w:rPr>
          <w:rFonts w:ascii="Times New Roman" w:hAnsi="Times New Roman" w:cs="Times New Roman"/>
        </w:rPr>
        <w:t xml:space="preserve"> Policies on Inequality in OECD Countries; Discussion Paper 6505; Institute for the Study of Labor: Bonn, Germany.</w:t>
      </w:r>
    </w:p>
    <w:p w14:paraId="15443A3C" w14:textId="77777777" w:rsidR="008408FB" w:rsidRPr="00593380" w:rsidRDefault="008408FB" w:rsidP="005F1198">
      <w:pPr>
        <w:widowControl w:val="0"/>
        <w:autoSpaceDE w:val="0"/>
        <w:autoSpaceDN w:val="0"/>
        <w:adjustRightInd w:val="0"/>
        <w:spacing w:before="240" w:after="0" w:line="276" w:lineRule="auto"/>
        <w:ind w:left="480" w:hanging="480"/>
        <w:jc w:val="both"/>
        <w:rPr>
          <w:rFonts w:ascii="Times New Roman" w:hAnsi="Times New Roman" w:cs="Times New Roman"/>
          <w:noProof/>
        </w:rPr>
      </w:pPr>
      <w:r w:rsidRPr="00593380">
        <w:rPr>
          <w:rFonts w:ascii="Times New Roman" w:hAnsi="Times New Roman" w:cs="Times New Roman"/>
          <w:noProof/>
        </w:rPr>
        <w:t xml:space="preserve">Erlangga, H. (2019). The Meaning, Benefit and Importance of Development Entrepreneurship in Higher Education. </w:t>
      </w:r>
      <w:r w:rsidRPr="00593380">
        <w:rPr>
          <w:rFonts w:ascii="Times New Roman" w:hAnsi="Times New Roman" w:cs="Times New Roman"/>
          <w:i/>
          <w:iCs/>
          <w:noProof/>
        </w:rPr>
        <w:t>Asian Journal of Contemporary Education</w:t>
      </w:r>
      <w:r w:rsidRPr="00593380">
        <w:rPr>
          <w:rFonts w:ascii="Times New Roman" w:hAnsi="Times New Roman" w:cs="Times New Roman"/>
          <w:noProof/>
        </w:rPr>
        <w:t xml:space="preserve">, </w:t>
      </w:r>
      <w:r w:rsidRPr="00593380">
        <w:rPr>
          <w:rFonts w:ascii="Times New Roman" w:hAnsi="Times New Roman" w:cs="Times New Roman"/>
          <w:i/>
          <w:iCs/>
          <w:noProof/>
        </w:rPr>
        <w:t>3</w:t>
      </w:r>
      <w:r w:rsidRPr="00593380">
        <w:rPr>
          <w:rFonts w:ascii="Times New Roman" w:hAnsi="Times New Roman" w:cs="Times New Roman"/>
          <w:noProof/>
        </w:rPr>
        <w:t>(2), 105–110. https://doi.org/10.18488/journal.137.2019.32.105.110</w:t>
      </w:r>
    </w:p>
    <w:p w14:paraId="757ACD76" w14:textId="77777777" w:rsidR="008408FB" w:rsidRPr="00593380" w:rsidRDefault="008408FB" w:rsidP="005F1198">
      <w:pPr>
        <w:spacing w:before="240" w:after="0" w:line="276" w:lineRule="auto"/>
        <w:ind w:left="810" w:hanging="810"/>
        <w:jc w:val="both"/>
        <w:rPr>
          <w:rFonts w:ascii="Times New Roman" w:hAnsi="Times New Roman" w:cs="Times New Roman"/>
        </w:rPr>
      </w:pPr>
      <w:r w:rsidRPr="00593380">
        <w:rPr>
          <w:rFonts w:ascii="Times New Roman" w:hAnsi="Times New Roman" w:cs="Times New Roman"/>
        </w:rPr>
        <w:t xml:space="preserve">Helena, M. C. C. (2000). The impact of culture on perceptions of organizational justice. Unpublished master's thesis, Institute of Psychology, </w:t>
      </w:r>
      <w:proofErr w:type="spellStart"/>
      <w:r w:rsidRPr="00593380">
        <w:rPr>
          <w:rFonts w:ascii="Times New Roman" w:hAnsi="Times New Roman" w:cs="Times New Roman"/>
        </w:rPr>
        <w:t>Universidade</w:t>
      </w:r>
      <w:proofErr w:type="spellEnd"/>
      <w:r w:rsidRPr="00593380">
        <w:rPr>
          <w:rFonts w:ascii="Times New Roman" w:hAnsi="Times New Roman" w:cs="Times New Roman"/>
        </w:rPr>
        <w:t xml:space="preserve"> Gama Filho, Rio de Janeiro, RJ.</w:t>
      </w:r>
    </w:p>
    <w:p w14:paraId="03291484" w14:textId="48A208E4" w:rsidR="008408FB" w:rsidRPr="00593380" w:rsidRDefault="008408FB" w:rsidP="005F1198">
      <w:pPr>
        <w:spacing w:before="240" w:after="0" w:line="276" w:lineRule="auto"/>
        <w:ind w:left="810" w:hanging="810"/>
        <w:jc w:val="both"/>
        <w:rPr>
          <w:rFonts w:ascii="Times New Roman" w:hAnsi="Times New Roman" w:cs="Times New Roman"/>
        </w:rPr>
      </w:pPr>
      <w:r w:rsidRPr="00593380">
        <w:rPr>
          <w:rFonts w:ascii="Times New Roman" w:hAnsi="Times New Roman" w:cs="Times New Roman"/>
        </w:rPr>
        <w:t xml:space="preserve">Hinton KE. </w:t>
      </w:r>
      <w:r w:rsidR="007D60C0" w:rsidRPr="00593380">
        <w:rPr>
          <w:rFonts w:ascii="Times New Roman" w:hAnsi="Times New Roman" w:cs="Times New Roman"/>
        </w:rPr>
        <w:t>(</w:t>
      </w:r>
      <w:r w:rsidRPr="00593380">
        <w:rPr>
          <w:rFonts w:ascii="Times New Roman" w:hAnsi="Times New Roman" w:cs="Times New Roman"/>
        </w:rPr>
        <w:t>2012</w:t>
      </w:r>
      <w:r w:rsidR="007D60C0" w:rsidRPr="00593380">
        <w:rPr>
          <w:rFonts w:ascii="Times New Roman" w:hAnsi="Times New Roman" w:cs="Times New Roman"/>
        </w:rPr>
        <w:t>)</w:t>
      </w:r>
      <w:r w:rsidRPr="00593380">
        <w:rPr>
          <w:rFonts w:ascii="Times New Roman" w:hAnsi="Times New Roman" w:cs="Times New Roman"/>
        </w:rPr>
        <w:t>. A practical guide to strategic planning in higher education society for college and university planning. Ann Arbor: Society for College and University Planning.</w:t>
      </w:r>
    </w:p>
    <w:p w14:paraId="5A04CE1D" w14:textId="150FEC81" w:rsidR="008408FB" w:rsidRPr="00593380" w:rsidRDefault="008408FB" w:rsidP="005F1198">
      <w:pPr>
        <w:spacing w:before="240" w:after="0" w:line="276" w:lineRule="auto"/>
        <w:ind w:left="810" w:hanging="810"/>
        <w:jc w:val="both"/>
        <w:rPr>
          <w:rFonts w:ascii="Times New Roman" w:hAnsi="Times New Roman" w:cs="Times New Roman"/>
        </w:rPr>
      </w:pPr>
      <w:r w:rsidRPr="00593380">
        <w:rPr>
          <w:rFonts w:ascii="Times New Roman" w:hAnsi="Times New Roman" w:cs="Times New Roman"/>
        </w:rPr>
        <w:t xml:space="preserve">Hollowell D, Middaugh M, </w:t>
      </w:r>
      <w:proofErr w:type="spellStart"/>
      <w:r w:rsidRPr="00593380">
        <w:rPr>
          <w:rFonts w:ascii="Times New Roman" w:hAnsi="Times New Roman" w:cs="Times New Roman"/>
        </w:rPr>
        <w:t>Sibolski</w:t>
      </w:r>
      <w:proofErr w:type="spellEnd"/>
      <w:r w:rsidRPr="00593380">
        <w:rPr>
          <w:rFonts w:ascii="Times New Roman" w:hAnsi="Times New Roman" w:cs="Times New Roman"/>
        </w:rPr>
        <w:t xml:space="preserve"> E. </w:t>
      </w:r>
      <w:r w:rsidR="007D60C0" w:rsidRPr="00593380">
        <w:rPr>
          <w:rFonts w:ascii="Times New Roman" w:hAnsi="Times New Roman" w:cs="Times New Roman"/>
        </w:rPr>
        <w:t>(</w:t>
      </w:r>
      <w:r w:rsidRPr="00593380">
        <w:rPr>
          <w:rFonts w:ascii="Times New Roman" w:hAnsi="Times New Roman" w:cs="Times New Roman"/>
        </w:rPr>
        <w:t>2006</w:t>
      </w:r>
      <w:r w:rsidR="007D60C0" w:rsidRPr="00593380">
        <w:rPr>
          <w:rFonts w:ascii="Times New Roman" w:hAnsi="Times New Roman" w:cs="Times New Roman"/>
        </w:rPr>
        <w:t>)</w:t>
      </w:r>
      <w:r w:rsidRPr="00593380">
        <w:rPr>
          <w:rFonts w:ascii="Times New Roman" w:hAnsi="Times New Roman" w:cs="Times New Roman"/>
        </w:rPr>
        <w:t xml:space="preserve">. Integrating higher education planning and assessment: a practical guide. Ann Arbor: The Society for College and University Planning. </w:t>
      </w:r>
    </w:p>
    <w:p w14:paraId="0564174B" w14:textId="77777777" w:rsidR="008408FB" w:rsidRPr="00593380" w:rsidRDefault="008408FB" w:rsidP="005F1198">
      <w:pPr>
        <w:spacing w:before="240" w:after="0" w:line="276" w:lineRule="auto"/>
        <w:ind w:left="720" w:hanging="720"/>
        <w:jc w:val="both"/>
        <w:rPr>
          <w:rFonts w:ascii="Times New Roman" w:hAnsi="Times New Roman" w:cs="Times New Roman"/>
          <w:color w:val="000000" w:themeColor="text1"/>
        </w:rPr>
      </w:pPr>
      <w:r w:rsidRPr="00593380">
        <w:rPr>
          <w:rFonts w:ascii="Times New Roman" w:hAnsi="Times New Roman" w:cs="Times New Roman"/>
          <w:noProof/>
        </w:rPr>
        <w:t xml:space="preserve">Hoy, W. K., &amp; Tarter, C. J. (2004). </w:t>
      </w:r>
      <w:r w:rsidRPr="00593380">
        <w:rPr>
          <w:rFonts w:ascii="Times New Roman" w:hAnsi="Times New Roman" w:cs="Times New Roman"/>
          <w:i/>
          <w:iCs/>
          <w:noProof/>
        </w:rPr>
        <w:t>International Journal of Educational Management</w:t>
      </w:r>
      <w:r w:rsidRPr="00593380">
        <w:rPr>
          <w:rFonts w:ascii="Times New Roman" w:hAnsi="Times New Roman" w:cs="Times New Roman"/>
          <w:noProof/>
        </w:rPr>
        <w:t>. 1–13. https://doi.org/10.1080/13504509.2018.1461707</w:t>
      </w:r>
    </w:p>
    <w:p w14:paraId="6BDE39D0" w14:textId="152A94F8" w:rsidR="008408FB" w:rsidRPr="00593380" w:rsidRDefault="008408FB" w:rsidP="005F1198">
      <w:pPr>
        <w:spacing w:before="240" w:after="0" w:line="276" w:lineRule="auto"/>
        <w:ind w:left="810" w:hanging="810"/>
        <w:jc w:val="both"/>
        <w:rPr>
          <w:rFonts w:ascii="Times New Roman" w:hAnsi="Times New Roman" w:cs="Times New Roman"/>
        </w:rPr>
      </w:pPr>
      <w:r w:rsidRPr="00593380">
        <w:rPr>
          <w:rFonts w:ascii="Times New Roman" w:hAnsi="Times New Roman" w:cs="Times New Roman"/>
        </w:rPr>
        <w:t>Iyer-</w:t>
      </w:r>
      <w:proofErr w:type="spellStart"/>
      <w:r w:rsidRPr="00593380">
        <w:rPr>
          <w:rFonts w:ascii="Times New Roman" w:hAnsi="Times New Roman" w:cs="Times New Roman"/>
        </w:rPr>
        <w:t>Raniga</w:t>
      </w:r>
      <w:proofErr w:type="spellEnd"/>
      <w:r w:rsidRPr="00593380">
        <w:rPr>
          <w:rFonts w:ascii="Times New Roman" w:hAnsi="Times New Roman" w:cs="Times New Roman"/>
        </w:rPr>
        <w:t xml:space="preserve"> U, </w:t>
      </w:r>
      <w:proofErr w:type="spellStart"/>
      <w:r w:rsidRPr="00593380">
        <w:rPr>
          <w:rFonts w:ascii="Times New Roman" w:hAnsi="Times New Roman" w:cs="Times New Roman"/>
        </w:rPr>
        <w:t>Andamon</w:t>
      </w:r>
      <w:proofErr w:type="spellEnd"/>
      <w:r w:rsidRPr="00593380">
        <w:rPr>
          <w:rFonts w:ascii="Times New Roman" w:hAnsi="Times New Roman" w:cs="Times New Roman"/>
        </w:rPr>
        <w:t xml:space="preserve"> M. </w:t>
      </w:r>
      <w:r w:rsidR="007D60C0" w:rsidRPr="00593380">
        <w:rPr>
          <w:rFonts w:ascii="Times New Roman" w:hAnsi="Times New Roman" w:cs="Times New Roman"/>
        </w:rPr>
        <w:t>(</w:t>
      </w:r>
      <w:r w:rsidRPr="00593380">
        <w:rPr>
          <w:rFonts w:ascii="Times New Roman" w:hAnsi="Times New Roman" w:cs="Times New Roman"/>
        </w:rPr>
        <w:t>2016</w:t>
      </w:r>
      <w:r w:rsidR="007D60C0" w:rsidRPr="00593380">
        <w:rPr>
          <w:rFonts w:ascii="Times New Roman" w:hAnsi="Times New Roman" w:cs="Times New Roman"/>
        </w:rPr>
        <w:t>)</w:t>
      </w:r>
      <w:r w:rsidRPr="00593380">
        <w:rPr>
          <w:rFonts w:ascii="Times New Roman" w:hAnsi="Times New Roman" w:cs="Times New Roman"/>
        </w:rPr>
        <w:t>. Transformative learning: innovating sustainability education in built environment. Int J Sustainability Higher Educ. 17:105–122.</w:t>
      </w:r>
    </w:p>
    <w:p w14:paraId="475CC8CA" w14:textId="7D53C70E" w:rsidR="008408FB" w:rsidRPr="00593380" w:rsidRDefault="008408FB" w:rsidP="005F1198">
      <w:pPr>
        <w:spacing w:before="240" w:after="0" w:line="276" w:lineRule="auto"/>
        <w:ind w:left="810" w:hanging="810"/>
        <w:jc w:val="both"/>
        <w:rPr>
          <w:rFonts w:ascii="Times New Roman" w:hAnsi="Times New Roman" w:cs="Times New Roman"/>
        </w:rPr>
      </w:pPr>
      <w:r w:rsidRPr="00593380">
        <w:rPr>
          <w:rFonts w:ascii="Times New Roman" w:hAnsi="Times New Roman" w:cs="Times New Roman"/>
        </w:rPr>
        <w:t xml:space="preserve">Key, P. J (1997). Research Design </w:t>
      </w:r>
      <w:r w:rsidR="00B533E4">
        <w:rPr>
          <w:rFonts w:ascii="Times New Roman" w:hAnsi="Times New Roman" w:cs="Times New Roman"/>
        </w:rPr>
        <w:t>i</w:t>
      </w:r>
      <w:r w:rsidRPr="00593380">
        <w:rPr>
          <w:rFonts w:ascii="Times New Roman" w:hAnsi="Times New Roman" w:cs="Times New Roman"/>
        </w:rPr>
        <w:t>n Occupational Education. Oklahoma State University.</w:t>
      </w:r>
    </w:p>
    <w:p w14:paraId="4D8FBA55" w14:textId="77777777" w:rsidR="008408FB" w:rsidRPr="00593380" w:rsidRDefault="008408FB" w:rsidP="005F1198">
      <w:pPr>
        <w:spacing w:before="240" w:after="0" w:line="276" w:lineRule="auto"/>
        <w:ind w:left="810" w:hanging="810"/>
        <w:jc w:val="both"/>
        <w:rPr>
          <w:rFonts w:ascii="Times New Roman" w:hAnsi="Times New Roman" w:cs="Times New Roman"/>
        </w:rPr>
      </w:pPr>
      <w:proofErr w:type="spellStart"/>
      <w:r w:rsidRPr="00593380">
        <w:rPr>
          <w:rFonts w:ascii="Times New Roman" w:hAnsi="Times New Roman" w:cs="Times New Roman"/>
        </w:rPr>
        <w:t>Kiamba</w:t>
      </w:r>
      <w:proofErr w:type="spellEnd"/>
      <w:r w:rsidRPr="00593380">
        <w:rPr>
          <w:rFonts w:ascii="Times New Roman" w:hAnsi="Times New Roman" w:cs="Times New Roman"/>
        </w:rPr>
        <w:t>, C. (2003). Private sponsored students and other income-generating activities at the university of Nairobi. Journal of Higher Education in Africa. 2(2), 53-73.</w:t>
      </w:r>
    </w:p>
    <w:p w14:paraId="1DEC3DA0" w14:textId="60DC4060" w:rsidR="008408FB" w:rsidRPr="00593380" w:rsidRDefault="008408FB" w:rsidP="005F1198">
      <w:pPr>
        <w:spacing w:before="240" w:after="0" w:line="276" w:lineRule="auto"/>
        <w:ind w:left="810" w:hanging="810"/>
        <w:jc w:val="both"/>
        <w:rPr>
          <w:rFonts w:ascii="Times New Roman" w:hAnsi="Times New Roman" w:cs="Times New Roman"/>
        </w:rPr>
      </w:pPr>
      <w:r w:rsidRPr="00593380">
        <w:rPr>
          <w:rFonts w:ascii="Times New Roman" w:hAnsi="Times New Roman" w:cs="Times New Roman"/>
        </w:rPr>
        <w:t xml:space="preserve">Leal Filho W, Davin P, editors. </w:t>
      </w:r>
      <w:r w:rsidR="007D60C0" w:rsidRPr="00593380">
        <w:rPr>
          <w:rFonts w:ascii="Times New Roman" w:hAnsi="Times New Roman" w:cs="Times New Roman"/>
        </w:rPr>
        <w:t>(</w:t>
      </w:r>
      <w:r w:rsidRPr="00593380">
        <w:rPr>
          <w:rFonts w:ascii="Times New Roman" w:hAnsi="Times New Roman" w:cs="Times New Roman"/>
        </w:rPr>
        <w:t>2015</w:t>
      </w:r>
      <w:r w:rsidR="007D60C0" w:rsidRPr="00593380">
        <w:rPr>
          <w:rFonts w:ascii="Times New Roman" w:hAnsi="Times New Roman" w:cs="Times New Roman"/>
        </w:rPr>
        <w:t>)</w:t>
      </w:r>
      <w:r w:rsidRPr="00593380">
        <w:rPr>
          <w:rFonts w:ascii="Times New Roman" w:hAnsi="Times New Roman" w:cs="Times New Roman"/>
        </w:rPr>
        <w:t>. Challenges in higher education for sustainability. Berlin: Springer.</w:t>
      </w:r>
    </w:p>
    <w:p w14:paraId="0B04E870" w14:textId="6B001DA9" w:rsidR="008408FB" w:rsidRPr="00593380" w:rsidRDefault="008408FB" w:rsidP="005F1198">
      <w:pPr>
        <w:spacing w:before="240" w:after="0" w:line="276" w:lineRule="auto"/>
        <w:ind w:left="810" w:hanging="810"/>
        <w:jc w:val="both"/>
        <w:rPr>
          <w:rFonts w:ascii="Times New Roman" w:hAnsi="Times New Roman" w:cs="Times New Roman"/>
        </w:rPr>
      </w:pPr>
      <w:r w:rsidRPr="00593380">
        <w:rPr>
          <w:rFonts w:ascii="Times New Roman" w:hAnsi="Times New Roman" w:cs="Times New Roman"/>
        </w:rPr>
        <w:t xml:space="preserve">Leal Filho W, Manolas E, Pace P. </w:t>
      </w:r>
      <w:r w:rsidR="007D60C0" w:rsidRPr="00593380">
        <w:rPr>
          <w:rFonts w:ascii="Times New Roman" w:hAnsi="Times New Roman" w:cs="Times New Roman"/>
        </w:rPr>
        <w:t>(</w:t>
      </w:r>
      <w:r w:rsidRPr="00593380">
        <w:rPr>
          <w:rFonts w:ascii="Times New Roman" w:hAnsi="Times New Roman" w:cs="Times New Roman"/>
        </w:rPr>
        <w:t>2015a</w:t>
      </w:r>
      <w:r w:rsidR="007D60C0" w:rsidRPr="00593380">
        <w:rPr>
          <w:rFonts w:ascii="Times New Roman" w:hAnsi="Times New Roman" w:cs="Times New Roman"/>
        </w:rPr>
        <w:t>)</w:t>
      </w:r>
      <w:r w:rsidRPr="00593380">
        <w:rPr>
          <w:rFonts w:ascii="Times New Roman" w:hAnsi="Times New Roman" w:cs="Times New Roman"/>
        </w:rPr>
        <w:t>. The future we want. Int J Sustainability Higher Educ. 16(1):112–129.</w:t>
      </w:r>
    </w:p>
    <w:p w14:paraId="5655C4D6" w14:textId="641B28BE" w:rsidR="008408FB" w:rsidRPr="00593380" w:rsidRDefault="008408FB" w:rsidP="005F1198">
      <w:pPr>
        <w:spacing w:before="240" w:after="0" w:line="276" w:lineRule="auto"/>
        <w:ind w:left="810" w:hanging="810"/>
        <w:jc w:val="both"/>
        <w:rPr>
          <w:rFonts w:ascii="Times New Roman" w:hAnsi="Times New Roman" w:cs="Times New Roman"/>
        </w:rPr>
      </w:pPr>
      <w:r w:rsidRPr="00593380">
        <w:rPr>
          <w:rFonts w:ascii="Times New Roman" w:hAnsi="Times New Roman" w:cs="Times New Roman"/>
        </w:rPr>
        <w:t xml:space="preserve">Leal Filho W, Paco A, Shiel C. </w:t>
      </w:r>
      <w:r w:rsidR="007D60C0" w:rsidRPr="00593380">
        <w:rPr>
          <w:rFonts w:ascii="Times New Roman" w:hAnsi="Times New Roman" w:cs="Times New Roman"/>
        </w:rPr>
        <w:t>(</w:t>
      </w:r>
      <w:r w:rsidRPr="00593380">
        <w:rPr>
          <w:rFonts w:ascii="Times New Roman" w:hAnsi="Times New Roman" w:cs="Times New Roman"/>
        </w:rPr>
        <w:t>2015b</w:t>
      </w:r>
      <w:r w:rsidR="007D60C0" w:rsidRPr="00593380">
        <w:rPr>
          <w:rFonts w:ascii="Times New Roman" w:hAnsi="Times New Roman" w:cs="Times New Roman"/>
        </w:rPr>
        <w:t>)</w:t>
      </w:r>
      <w:r w:rsidRPr="00593380">
        <w:rPr>
          <w:rFonts w:ascii="Times New Roman" w:hAnsi="Times New Roman" w:cs="Times New Roman"/>
        </w:rPr>
        <w:t xml:space="preserve">. Integrative approaches to environmental sustainability at universities: an over- view of challenges and priorities. J </w:t>
      </w:r>
      <w:proofErr w:type="spellStart"/>
      <w:r w:rsidRPr="00593380">
        <w:rPr>
          <w:rFonts w:ascii="Times New Roman" w:hAnsi="Times New Roman" w:cs="Times New Roman"/>
        </w:rPr>
        <w:t>Integr</w:t>
      </w:r>
      <w:proofErr w:type="spellEnd"/>
      <w:r w:rsidRPr="00593380">
        <w:rPr>
          <w:rFonts w:ascii="Times New Roman" w:hAnsi="Times New Roman" w:cs="Times New Roman"/>
        </w:rPr>
        <w:t xml:space="preserve"> Environ Sci. 12 (1):1–14.</w:t>
      </w:r>
    </w:p>
    <w:p w14:paraId="336D2FC4" w14:textId="77777777" w:rsidR="008408FB" w:rsidRPr="00593380" w:rsidRDefault="008408FB" w:rsidP="005F1198">
      <w:pPr>
        <w:spacing w:before="240" w:after="0" w:line="276" w:lineRule="auto"/>
        <w:ind w:left="720" w:hanging="720"/>
        <w:jc w:val="both"/>
        <w:rPr>
          <w:rFonts w:ascii="Times New Roman" w:hAnsi="Times New Roman" w:cs="Times New Roman"/>
        </w:rPr>
      </w:pPr>
      <w:r w:rsidRPr="00593380">
        <w:rPr>
          <w:rFonts w:ascii="Times New Roman" w:hAnsi="Times New Roman" w:cs="Times New Roman"/>
        </w:rPr>
        <w:t xml:space="preserve">Leal Filho, W., Pallant, E., </w:t>
      </w:r>
      <w:proofErr w:type="spellStart"/>
      <w:r w:rsidRPr="00593380">
        <w:rPr>
          <w:rFonts w:ascii="Times New Roman" w:hAnsi="Times New Roman" w:cs="Times New Roman"/>
        </w:rPr>
        <w:t>Enete</w:t>
      </w:r>
      <w:proofErr w:type="spellEnd"/>
      <w:r w:rsidRPr="00593380">
        <w:rPr>
          <w:rFonts w:ascii="Times New Roman" w:hAnsi="Times New Roman" w:cs="Times New Roman"/>
        </w:rPr>
        <w:t>, A., Richter, B., &amp; Brandli, L. L. (2018). Planning and implementing sustainability in higher education institutions: an overview of the difficulties and potentials. International Journal of Sustainable Development and World Ecology, 25(8), 712–720. https://doi.org/10.1080/13504509.2018.1461707</w:t>
      </w:r>
    </w:p>
    <w:p w14:paraId="7ECE4CDD" w14:textId="77777777" w:rsidR="008408FB" w:rsidRPr="00593380" w:rsidRDefault="008408FB" w:rsidP="005F1198">
      <w:pPr>
        <w:spacing w:before="240" w:after="0" w:line="276" w:lineRule="auto"/>
        <w:ind w:left="810" w:hanging="810"/>
        <w:jc w:val="both"/>
        <w:rPr>
          <w:rFonts w:ascii="Times New Roman" w:hAnsi="Times New Roman" w:cs="Times New Roman"/>
        </w:rPr>
      </w:pPr>
      <w:r w:rsidRPr="00593380">
        <w:rPr>
          <w:rFonts w:ascii="Times New Roman" w:hAnsi="Times New Roman" w:cs="Times New Roman"/>
        </w:rPr>
        <w:t>Lee, K.-H.; Min, B. (2015). Green R&amp;D for eco-innovation and its impact on carbon emissions and firm performance. J. Clean. Prod. 108, 534–542.</w:t>
      </w:r>
    </w:p>
    <w:p w14:paraId="4B67B23F" w14:textId="77777777" w:rsidR="008408FB" w:rsidRPr="00593380" w:rsidRDefault="008408FB" w:rsidP="005F1198">
      <w:pPr>
        <w:spacing w:before="240" w:after="0" w:line="276" w:lineRule="auto"/>
        <w:ind w:left="720" w:hanging="720"/>
        <w:jc w:val="both"/>
        <w:rPr>
          <w:rFonts w:ascii="Times New Roman" w:hAnsi="Times New Roman" w:cs="Times New Roman"/>
        </w:rPr>
      </w:pPr>
      <w:r w:rsidRPr="00593380">
        <w:rPr>
          <w:rFonts w:ascii="Times New Roman" w:hAnsi="Times New Roman" w:cs="Times New Roman"/>
        </w:rPr>
        <w:lastRenderedPageBreak/>
        <w:t xml:space="preserve">Mahmud, A., </w:t>
      </w:r>
      <w:proofErr w:type="spellStart"/>
      <w:r w:rsidRPr="00593380">
        <w:rPr>
          <w:rFonts w:ascii="Times New Roman" w:hAnsi="Times New Roman" w:cs="Times New Roman"/>
        </w:rPr>
        <w:t>Nuryatin</w:t>
      </w:r>
      <w:proofErr w:type="spellEnd"/>
      <w:r w:rsidRPr="00593380">
        <w:rPr>
          <w:rFonts w:ascii="Times New Roman" w:hAnsi="Times New Roman" w:cs="Times New Roman"/>
        </w:rPr>
        <w:t>, A., &amp; Susilowati, N. (2022). Income generating activity in higher education: A case study of a public university in Indonesia. International Journal of Evaluation and Research in Education (IJERE), 11(1), 303. https://doi.org/10.11591/ijere.v11i1.22050</w:t>
      </w:r>
    </w:p>
    <w:p w14:paraId="642DED62" w14:textId="77777777" w:rsidR="008408FB" w:rsidRPr="00593380" w:rsidRDefault="008408FB" w:rsidP="005F1198">
      <w:pPr>
        <w:spacing w:before="240" w:after="0" w:line="276" w:lineRule="auto"/>
        <w:ind w:left="810" w:hanging="810"/>
        <w:jc w:val="both"/>
        <w:rPr>
          <w:rFonts w:ascii="Times New Roman" w:hAnsi="Times New Roman" w:cs="Times New Roman"/>
        </w:rPr>
      </w:pPr>
      <w:r w:rsidRPr="00593380">
        <w:rPr>
          <w:rFonts w:ascii="Times New Roman" w:hAnsi="Times New Roman" w:cs="Times New Roman"/>
        </w:rPr>
        <w:t xml:space="preserve">Mugenda O, Mugenda G (2003). Research Methods. Nairobi: ACT PRESS </w:t>
      </w:r>
      <w:proofErr w:type="spellStart"/>
      <w:r w:rsidRPr="00593380">
        <w:rPr>
          <w:rFonts w:ascii="Times New Roman" w:hAnsi="Times New Roman" w:cs="Times New Roman"/>
        </w:rPr>
        <w:t>Obanya</w:t>
      </w:r>
      <w:proofErr w:type="spellEnd"/>
      <w:r w:rsidRPr="00593380">
        <w:rPr>
          <w:rFonts w:ascii="Times New Roman" w:hAnsi="Times New Roman" w:cs="Times New Roman"/>
        </w:rPr>
        <w:t xml:space="preserve"> Pai (2004). Educating for the Knowledge Economy. Ibadan. </w:t>
      </w:r>
      <w:proofErr w:type="spellStart"/>
      <w:r w:rsidRPr="00593380">
        <w:rPr>
          <w:rFonts w:ascii="Times New Roman" w:hAnsi="Times New Roman" w:cs="Times New Roman"/>
        </w:rPr>
        <w:t>Mosuro</w:t>
      </w:r>
      <w:proofErr w:type="spellEnd"/>
      <w:r w:rsidRPr="00593380">
        <w:rPr>
          <w:rFonts w:ascii="Times New Roman" w:hAnsi="Times New Roman" w:cs="Times New Roman"/>
        </w:rPr>
        <w:t xml:space="preserve"> Publishers. Ibadan.</w:t>
      </w:r>
    </w:p>
    <w:p w14:paraId="50F8A1EA" w14:textId="77777777" w:rsidR="008408FB" w:rsidRPr="00593380" w:rsidRDefault="008408FB" w:rsidP="005F1198">
      <w:pPr>
        <w:spacing w:before="240" w:after="0" w:line="276" w:lineRule="auto"/>
        <w:ind w:left="810" w:hanging="810"/>
        <w:jc w:val="both"/>
        <w:rPr>
          <w:rFonts w:ascii="Times New Roman" w:hAnsi="Times New Roman" w:cs="Times New Roman"/>
        </w:rPr>
      </w:pPr>
      <w:proofErr w:type="spellStart"/>
      <w:r w:rsidRPr="00593380">
        <w:rPr>
          <w:rFonts w:ascii="Times New Roman" w:hAnsi="Times New Roman" w:cs="Times New Roman"/>
        </w:rPr>
        <w:t>Odebiyi</w:t>
      </w:r>
      <w:proofErr w:type="spellEnd"/>
      <w:r w:rsidRPr="00593380">
        <w:rPr>
          <w:rFonts w:ascii="Times New Roman" w:hAnsi="Times New Roman" w:cs="Times New Roman"/>
        </w:rPr>
        <w:t xml:space="preserve"> AI, Aina OI (1999). Alternative modes of financing higher </w:t>
      </w:r>
      <w:proofErr w:type="spellStart"/>
      <w:r w:rsidRPr="00593380">
        <w:rPr>
          <w:rFonts w:ascii="Times New Roman" w:hAnsi="Times New Roman" w:cs="Times New Roman"/>
        </w:rPr>
        <w:t>educationin</w:t>
      </w:r>
      <w:proofErr w:type="spellEnd"/>
      <w:r w:rsidRPr="00593380">
        <w:rPr>
          <w:rFonts w:ascii="Times New Roman" w:hAnsi="Times New Roman" w:cs="Times New Roman"/>
        </w:rPr>
        <w:t xml:space="preserve"> Nigeria and implications for university governance. Final Report. Accra: Association of African Universities (AAU)</w:t>
      </w:r>
    </w:p>
    <w:p w14:paraId="6D687BA0" w14:textId="77777777" w:rsidR="008408FB" w:rsidRPr="00593380" w:rsidRDefault="008408FB" w:rsidP="005F1198">
      <w:pPr>
        <w:spacing w:before="240" w:after="0" w:line="276" w:lineRule="auto"/>
        <w:ind w:left="720" w:hanging="720"/>
        <w:jc w:val="both"/>
        <w:rPr>
          <w:rFonts w:ascii="Times New Roman" w:hAnsi="Times New Roman" w:cs="Times New Roman"/>
        </w:rPr>
      </w:pPr>
      <w:r w:rsidRPr="00593380">
        <w:rPr>
          <w:rFonts w:ascii="Times New Roman" w:hAnsi="Times New Roman" w:cs="Times New Roman"/>
        </w:rPr>
        <w:t>Peter, N.-A., &amp; Kamanzi, S.-M. (2019). Own-Income Generation: A Pillar of Financial Sustainability in Institutions of Higher Learning. In The WCCES Chronicle (4th ed., Vol. 3, Issue 3, pp. 1–14). World Voices Nexus. https://www.worldcces.org/article-4-by-neema-abooki--kamanzi/own-income-generation-a-pillar-of-financial-sustainability-in-institutions-of-higher-learning</w:t>
      </w:r>
    </w:p>
    <w:p w14:paraId="5C5B9F5C" w14:textId="77777777" w:rsidR="008408FB" w:rsidRPr="00593380" w:rsidRDefault="008408FB" w:rsidP="005F1198">
      <w:pPr>
        <w:spacing w:before="240" w:after="0" w:line="276" w:lineRule="auto"/>
        <w:ind w:left="810" w:hanging="810"/>
        <w:jc w:val="both"/>
        <w:rPr>
          <w:rFonts w:ascii="Times New Roman" w:hAnsi="Times New Roman" w:cs="Times New Roman"/>
        </w:rPr>
      </w:pPr>
      <w:r w:rsidRPr="00593380">
        <w:rPr>
          <w:rFonts w:ascii="Times New Roman" w:hAnsi="Times New Roman" w:cs="Times New Roman"/>
        </w:rPr>
        <w:t>Pettigrew, A. M. (1979). On studying organizational cultures. Administrative Science Quarterly, 24, 570-581. Schein, E. H. (1991). What is culture? In P. J. Frost, L. F. Moore, M. R. Louis, C. C. Lundberg, &amp; J. Martin (Orgs.), Reframing organizational culture (pp. 243-253). Newbury Park: Sage.</w:t>
      </w:r>
    </w:p>
    <w:p w14:paraId="41FD7E8A" w14:textId="77777777" w:rsidR="008408FB" w:rsidRPr="00593380" w:rsidRDefault="008408FB" w:rsidP="005F1198">
      <w:pPr>
        <w:spacing w:before="240" w:after="0" w:line="276" w:lineRule="auto"/>
        <w:ind w:left="720" w:hanging="720"/>
        <w:jc w:val="both"/>
        <w:rPr>
          <w:rFonts w:ascii="Times New Roman" w:hAnsi="Times New Roman" w:cs="Times New Roman"/>
        </w:rPr>
      </w:pPr>
      <w:r w:rsidRPr="00593380">
        <w:rPr>
          <w:rFonts w:ascii="Times New Roman" w:hAnsi="Times New Roman" w:cs="Times New Roman"/>
        </w:rPr>
        <w:t xml:space="preserve">Pius </w:t>
      </w:r>
      <w:proofErr w:type="spellStart"/>
      <w:r w:rsidRPr="00593380">
        <w:rPr>
          <w:rFonts w:ascii="Times New Roman" w:hAnsi="Times New Roman" w:cs="Times New Roman"/>
        </w:rPr>
        <w:t>Nudzor</w:t>
      </w:r>
      <w:proofErr w:type="spellEnd"/>
      <w:r w:rsidRPr="00593380">
        <w:rPr>
          <w:rFonts w:ascii="Times New Roman" w:hAnsi="Times New Roman" w:cs="Times New Roman"/>
        </w:rPr>
        <w:t>, H. (2021). Addressing Sustainability Planning in Higher Education Research. Education at the Intersection of Globalization and Technology, 1–21. https://doi.org/10.5772/intechopen.93589</w:t>
      </w:r>
    </w:p>
    <w:p w14:paraId="34EC401C" w14:textId="77777777" w:rsidR="008408FB" w:rsidRPr="00593380" w:rsidRDefault="008408FB" w:rsidP="005F1198">
      <w:pPr>
        <w:spacing w:before="240" w:after="0" w:line="276" w:lineRule="auto"/>
        <w:ind w:left="720" w:hanging="720"/>
        <w:jc w:val="both"/>
        <w:rPr>
          <w:rFonts w:ascii="Times New Roman" w:hAnsi="Times New Roman" w:cs="Times New Roman"/>
        </w:rPr>
      </w:pPr>
      <w:r w:rsidRPr="00593380">
        <w:rPr>
          <w:rFonts w:ascii="Times New Roman" w:hAnsi="Times New Roman" w:cs="Times New Roman"/>
        </w:rPr>
        <w:t>Richards, B. N. (2022). Help-Seeking Behaviors as Cultural Capital: Cultural Guides and the Transition from High School to College among Low-Income First-Generation Students. Social Problems, 69(1), 241–260. https://doi.org/10.1093/socpro/spaa023</w:t>
      </w:r>
    </w:p>
    <w:p w14:paraId="6664530D" w14:textId="77777777" w:rsidR="008408FB" w:rsidRPr="00593380" w:rsidRDefault="008408FB" w:rsidP="005F1198">
      <w:pPr>
        <w:spacing w:before="240" w:after="0" w:line="276" w:lineRule="auto"/>
        <w:ind w:left="810" w:hanging="810"/>
        <w:jc w:val="both"/>
        <w:rPr>
          <w:rFonts w:ascii="Times New Roman" w:hAnsi="Times New Roman" w:cs="Times New Roman"/>
        </w:rPr>
      </w:pPr>
      <w:r w:rsidRPr="00593380">
        <w:rPr>
          <w:rFonts w:ascii="Times New Roman" w:hAnsi="Times New Roman" w:cs="Times New Roman"/>
        </w:rPr>
        <w:t>Sanderson, M. (2007). Problems with Kendall’s Tau. In Proceedings of the SIGIR ’07, 30th Annual International ACM SIGIR Conference on Research and Development in Information Retrieval, Amsterdam, The Netherlands; pp. 839–840.</w:t>
      </w:r>
    </w:p>
    <w:p w14:paraId="31D3149B" w14:textId="77777777" w:rsidR="008408FB" w:rsidRPr="00593380" w:rsidRDefault="008408FB" w:rsidP="005F1198">
      <w:pPr>
        <w:spacing w:before="240" w:after="0" w:line="276" w:lineRule="auto"/>
        <w:ind w:left="720" w:hanging="720"/>
        <w:jc w:val="both"/>
        <w:rPr>
          <w:rFonts w:ascii="Times New Roman" w:hAnsi="Times New Roman" w:cs="Times New Roman"/>
        </w:rPr>
      </w:pPr>
      <w:r w:rsidRPr="00593380">
        <w:rPr>
          <w:rFonts w:ascii="Times New Roman" w:hAnsi="Times New Roman" w:cs="Times New Roman"/>
        </w:rPr>
        <w:t>Tsuma, A. N. (2014). Factors Influencing Performance of Income Generating Units in Public Universities. Business and Management, 6(10), 87–92.</w:t>
      </w:r>
    </w:p>
    <w:p w14:paraId="09CA53F5" w14:textId="77777777" w:rsidR="008408FB" w:rsidRPr="00593380" w:rsidRDefault="008408FB" w:rsidP="005F1198">
      <w:pPr>
        <w:spacing w:before="240" w:after="0" w:line="276" w:lineRule="auto"/>
        <w:ind w:left="810" w:hanging="810"/>
        <w:jc w:val="both"/>
        <w:rPr>
          <w:rFonts w:ascii="Times New Roman" w:hAnsi="Times New Roman" w:cs="Times New Roman"/>
        </w:rPr>
      </w:pPr>
      <w:r w:rsidRPr="00593380">
        <w:rPr>
          <w:rFonts w:ascii="Times New Roman" w:hAnsi="Times New Roman" w:cs="Times New Roman"/>
        </w:rPr>
        <w:t>Whittington &amp; Pany (2004). Principles of Auditing. (4th Edition). McGraw Hill companies UNES Corporate Strategic Plan 2001 – 2005</w:t>
      </w:r>
    </w:p>
    <w:p w14:paraId="320382B8" w14:textId="77777777" w:rsidR="008408FB" w:rsidRPr="00593380" w:rsidRDefault="008408FB" w:rsidP="005F1198">
      <w:pPr>
        <w:spacing w:before="240" w:after="0" w:line="276" w:lineRule="auto"/>
        <w:ind w:left="720" w:hanging="720"/>
        <w:jc w:val="both"/>
        <w:rPr>
          <w:rFonts w:ascii="Times New Roman" w:hAnsi="Times New Roman" w:cs="Times New Roman"/>
        </w:rPr>
      </w:pPr>
      <w:r w:rsidRPr="00593380">
        <w:rPr>
          <w:rFonts w:ascii="Times New Roman" w:hAnsi="Times New Roman" w:cs="Times New Roman"/>
        </w:rPr>
        <w:t>Xiong, W., &amp; Mok, K. H. (2020). Sustainability practices of higher education institutions in Hong Kong: A case study of a sustainable campus consortium. Sustainability (Switzerland), 12(2). https://doi.org/10.3390/su12020452</w:t>
      </w:r>
    </w:p>
    <w:p w14:paraId="4BBAA6D5" w14:textId="77777777" w:rsidR="008408FB" w:rsidRPr="00593380" w:rsidRDefault="008408FB" w:rsidP="005F1198">
      <w:pPr>
        <w:spacing w:before="240" w:after="0" w:line="276" w:lineRule="auto"/>
        <w:ind w:left="720" w:hanging="720"/>
        <w:jc w:val="both"/>
        <w:rPr>
          <w:rFonts w:ascii="Times New Roman" w:hAnsi="Times New Roman" w:cs="Times New Roman"/>
          <w:noProof/>
        </w:rPr>
      </w:pPr>
      <w:r w:rsidRPr="00593380">
        <w:rPr>
          <w:rFonts w:ascii="Times New Roman" w:hAnsi="Times New Roman" w:cs="Times New Roman"/>
          <w:noProof/>
        </w:rPr>
        <w:t xml:space="preserve">Ziolo, M., Filipiak, B. Z., Bak, I., Cheba, K., Tîrca, D. M., &amp; Novo-Corti, I. (2019). Finance, sustainability and negative externalities. An overview of the european context. </w:t>
      </w:r>
      <w:r w:rsidRPr="00593380">
        <w:rPr>
          <w:rFonts w:ascii="Times New Roman" w:hAnsi="Times New Roman" w:cs="Times New Roman"/>
          <w:i/>
          <w:iCs/>
          <w:noProof/>
        </w:rPr>
        <w:t>Sustainability (Switzerland)</w:t>
      </w:r>
      <w:r w:rsidRPr="00593380">
        <w:rPr>
          <w:rFonts w:ascii="Times New Roman" w:hAnsi="Times New Roman" w:cs="Times New Roman"/>
          <w:noProof/>
        </w:rPr>
        <w:t xml:space="preserve">, </w:t>
      </w:r>
      <w:r w:rsidRPr="00593380">
        <w:rPr>
          <w:rFonts w:ascii="Times New Roman" w:hAnsi="Times New Roman" w:cs="Times New Roman"/>
          <w:i/>
          <w:iCs/>
          <w:noProof/>
        </w:rPr>
        <w:t>11</w:t>
      </w:r>
      <w:r w:rsidRPr="00593380">
        <w:rPr>
          <w:rFonts w:ascii="Times New Roman" w:hAnsi="Times New Roman" w:cs="Times New Roman"/>
          <w:noProof/>
        </w:rPr>
        <w:t xml:space="preserve">(15). </w:t>
      </w:r>
      <w:hyperlink r:id="rId15" w:history="1">
        <w:r w:rsidRPr="00593380">
          <w:rPr>
            <w:rStyle w:val="Hyperlink"/>
            <w:rFonts w:ascii="Times New Roman" w:hAnsi="Times New Roman" w:cs="Times New Roman"/>
            <w:noProof/>
          </w:rPr>
          <w:t>https://doi.org/10.3390/su11154249</w:t>
        </w:r>
      </w:hyperlink>
    </w:p>
    <w:p w14:paraId="2039ECC6" w14:textId="77777777" w:rsidR="008408FB" w:rsidRPr="00593380" w:rsidRDefault="008408FB" w:rsidP="005F1198">
      <w:pPr>
        <w:spacing w:before="240" w:after="0" w:line="276" w:lineRule="auto"/>
      </w:pPr>
    </w:p>
    <w:sectPr w:rsidR="008408FB" w:rsidRPr="00593380" w:rsidSect="00F765EE">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29010F" w14:textId="77777777" w:rsidR="00C54C7C" w:rsidRDefault="00C54C7C" w:rsidP="00862F02">
      <w:pPr>
        <w:spacing w:after="0" w:line="240" w:lineRule="auto"/>
      </w:pPr>
      <w:r>
        <w:separator/>
      </w:r>
    </w:p>
  </w:endnote>
  <w:endnote w:type="continuationSeparator" w:id="0">
    <w:p w14:paraId="7EBF5DF1" w14:textId="77777777" w:rsidR="00C54C7C" w:rsidRDefault="00C54C7C" w:rsidP="00862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5434418"/>
      <w:docPartObj>
        <w:docPartGallery w:val="Page Numbers (Bottom of Page)"/>
        <w:docPartUnique/>
      </w:docPartObj>
    </w:sdtPr>
    <w:sdtEndPr>
      <w:rPr>
        <w:noProof/>
      </w:rPr>
    </w:sdtEndPr>
    <w:sdtContent>
      <w:p w14:paraId="2BB4A8D4" w14:textId="250BC6F0" w:rsidR="0009000E" w:rsidRDefault="0009000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4D7E0E" w14:textId="77777777" w:rsidR="0009000E" w:rsidRDefault="000900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E197B6" w14:textId="77777777" w:rsidR="00C54C7C" w:rsidRDefault="00C54C7C" w:rsidP="00862F02">
      <w:pPr>
        <w:spacing w:after="0" w:line="240" w:lineRule="auto"/>
      </w:pPr>
      <w:r>
        <w:separator/>
      </w:r>
    </w:p>
  </w:footnote>
  <w:footnote w:type="continuationSeparator" w:id="0">
    <w:p w14:paraId="21CADA5E" w14:textId="77777777" w:rsidR="00C54C7C" w:rsidRDefault="00C54C7C" w:rsidP="00862F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D4C18"/>
    <w:multiLevelType w:val="multilevel"/>
    <w:tmpl w:val="0EAE82DC"/>
    <w:lvl w:ilvl="0">
      <w:start w:val="2"/>
      <w:numFmt w:val="decimal"/>
      <w:lvlText w:val="%1"/>
      <w:lvlJc w:val="left"/>
      <w:pPr>
        <w:ind w:left="480" w:hanging="480"/>
      </w:pPr>
      <w:rPr>
        <w:rFonts w:hint="default"/>
        <w:color w:val="000000"/>
      </w:rPr>
    </w:lvl>
    <w:lvl w:ilvl="1">
      <w:start w:val="4"/>
      <w:numFmt w:val="decimal"/>
      <w:lvlText w:val="%1.%2"/>
      <w:lvlJc w:val="left"/>
      <w:pPr>
        <w:ind w:left="490" w:hanging="480"/>
      </w:pPr>
      <w:rPr>
        <w:rFonts w:hint="default"/>
        <w:color w:val="000000"/>
      </w:rPr>
    </w:lvl>
    <w:lvl w:ilvl="2">
      <w:start w:val="2"/>
      <w:numFmt w:val="decimal"/>
      <w:lvlText w:val="%1.%2.%3"/>
      <w:lvlJc w:val="left"/>
      <w:pPr>
        <w:ind w:left="740" w:hanging="720"/>
      </w:pPr>
      <w:rPr>
        <w:rFonts w:hint="default"/>
        <w:color w:val="000000"/>
      </w:rPr>
    </w:lvl>
    <w:lvl w:ilvl="3">
      <w:start w:val="1"/>
      <w:numFmt w:val="decimal"/>
      <w:lvlText w:val="%1.%2.%3.%4"/>
      <w:lvlJc w:val="left"/>
      <w:pPr>
        <w:ind w:left="750" w:hanging="720"/>
      </w:pPr>
      <w:rPr>
        <w:rFonts w:hint="default"/>
        <w:color w:val="000000"/>
      </w:rPr>
    </w:lvl>
    <w:lvl w:ilvl="4">
      <w:start w:val="1"/>
      <w:numFmt w:val="decimal"/>
      <w:lvlText w:val="%1.%2.%3.%4.%5"/>
      <w:lvlJc w:val="left"/>
      <w:pPr>
        <w:ind w:left="1120" w:hanging="1080"/>
      </w:pPr>
      <w:rPr>
        <w:rFonts w:hint="default"/>
        <w:color w:val="000000"/>
      </w:rPr>
    </w:lvl>
    <w:lvl w:ilvl="5">
      <w:start w:val="1"/>
      <w:numFmt w:val="decimal"/>
      <w:lvlText w:val="%1.%2.%3.%4.%5.%6"/>
      <w:lvlJc w:val="left"/>
      <w:pPr>
        <w:ind w:left="1130" w:hanging="1080"/>
      </w:pPr>
      <w:rPr>
        <w:rFonts w:hint="default"/>
        <w:color w:val="000000"/>
      </w:rPr>
    </w:lvl>
    <w:lvl w:ilvl="6">
      <w:start w:val="1"/>
      <w:numFmt w:val="decimal"/>
      <w:lvlText w:val="%1.%2.%3.%4.%5.%6.%7"/>
      <w:lvlJc w:val="left"/>
      <w:pPr>
        <w:ind w:left="1500" w:hanging="1440"/>
      </w:pPr>
      <w:rPr>
        <w:rFonts w:hint="default"/>
        <w:color w:val="000000"/>
      </w:rPr>
    </w:lvl>
    <w:lvl w:ilvl="7">
      <w:start w:val="1"/>
      <w:numFmt w:val="decimal"/>
      <w:lvlText w:val="%1.%2.%3.%4.%5.%6.%7.%8"/>
      <w:lvlJc w:val="left"/>
      <w:pPr>
        <w:ind w:left="1510" w:hanging="1440"/>
      </w:pPr>
      <w:rPr>
        <w:rFonts w:hint="default"/>
        <w:color w:val="000000"/>
      </w:rPr>
    </w:lvl>
    <w:lvl w:ilvl="8">
      <w:start w:val="1"/>
      <w:numFmt w:val="decimal"/>
      <w:lvlText w:val="%1.%2.%3.%4.%5.%6.%7.%8.%9"/>
      <w:lvlJc w:val="left"/>
      <w:pPr>
        <w:ind w:left="1880" w:hanging="1800"/>
      </w:pPr>
      <w:rPr>
        <w:rFonts w:hint="default"/>
        <w:color w:val="000000"/>
      </w:rPr>
    </w:lvl>
  </w:abstractNum>
  <w:abstractNum w:abstractNumId="1" w15:restartNumberingAfterBreak="0">
    <w:nsid w:val="0D2F67CB"/>
    <w:multiLevelType w:val="hybridMultilevel"/>
    <w:tmpl w:val="512C6852"/>
    <w:lvl w:ilvl="0" w:tplc="C3C2929E">
      <w:start w:val="1"/>
      <w:numFmt w:val="lowerRoman"/>
      <w:lvlText w:val="%1."/>
      <w:lvlJc w:val="left"/>
      <w:pPr>
        <w:ind w:left="740" w:hanging="72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2" w15:restartNumberingAfterBreak="0">
    <w:nsid w:val="0D5A6C9D"/>
    <w:multiLevelType w:val="hybridMultilevel"/>
    <w:tmpl w:val="43CA0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AA31BC"/>
    <w:multiLevelType w:val="multilevel"/>
    <w:tmpl w:val="7D688E14"/>
    <w:lvl w:ilvl="0">
      <w:start w:val="2"/>
      <w:numFmt w:val="decimal"/>
      <w:lvlText w:val="%1"/>
      <w:lvlJc w:val="left"/>
      <w:pPr>
        <w:ind w:left="480" w:hanging="480"/>
      </w:pPr>
      <w:rPr>
        <w:rFonts w:hint="default"/>
        <w:color w:val="000000"/>
      </w:rPr>
    </w:lvl>
    <w:lvl w:ilvl="1">
      <w:start w:val="4"/>
      <w:numFmt w:val="decimal"/>
      <w:lvlText w:val="%1.%2"/>
      <w:lvlJc w:val="left"/>
      <w:pPr>
        <w:ind w:left="850" w:hanging="480"/>
      </w:pPr>
      <w:rPr>
        <w:rFonts w:hint="default"/>
        <w:color w:val="000000"/>
      </w:rPr>
    </w:lvl>
    <w:lvl w:ilvl="2">
      <w:start w:val="4"/>
      <w:numFmt w:val="decimal"/>
      <w:lvlText w:val="%1.%2.%3"/>
      <w:lvlJc w:val="left"/>
      <w:pPr>
        <w:ind w:left="1460" w:hanging="720"/>
      </w:pPr>
      <w:rPr>
        <w:rFonts w:hint="default"/>
        <w:color w:val="000000"/>
      </w:rPr>
    </w:lvl>
    <w:lvl w:ilvl="3">
      <w:start w:val="1"/>
      <w:numFmt w:val="decimal"/>
      <w:lvlText w:val="%1.%2.%3.%4"/>
      <w:lvlJc w:val="left"/>
      <w:pPr>
        <w:ind w:left="1830" w:hanging="720"/>
      </w:pPr>
      <w:rPr>
        <w:rFonts w:hint="default"/>
        <w:color w:val="000000"/>
      </w:rPr>
    </w:lvl>
    <w:lvl w:ilvl="4">
      <w:start w:val="1"/>
      <w:numFmt w:val="decimal"/>
      <w:lvlText w:val="%1.%2.%3.%4.%5"/>
      <w:lvlJc w:val="left"/>
      <w:pPr>
        <w:ind w:left="2560" w:hanging="1080"/>
      </w:pPr>
      <w:rPr>
        <w:rFonts w:hint="default"/>
        <w:color w:val="000000"/>
      </w:rPr>
    </w:lvl>
    <w:lvl w:ilvl="5">
      <w:start w:val="1"/>
      <w:numFmt w:val="decimal"/>
      <w:lvlText w:val="%1.%2.%3.%4.%5.%6"/>
      <w:lvlJc w:val="left"/>
      <w:pPr>
        <w:ind w:left="2930" w:hanging="1080"/>
      </w:pPr>
      <w:rPr>
        <w:rFonts w:hint="default"/>
        <w:color w:val="000000"/>
      </w:rPr>
    </w:lvl>
    <w:lvl w:ilvl="6">
      <w:start w:val="1"/>
      <w:numFmt w:val="decimal"/>
      <w:lvlText w:val="%1.%2.%3.%4.%5.%6.%7"/>
      <w:lvlJc w:val="left"/>
      <w:pPr>
        <w:ind w:left="3660" w:hanging="1440"/>
      </w:pPr>
      <w:rPr>
        <w:rFonts w:hint="default"/>
        <w:color w:val="000000"/>
      </w:rPr>
    </w:lvl>
    <w:lvl w:ilvl="7">
      <w:start w:val="1"/>
      <w:numFmt w:val="decimal"/>
      <w:lvlText w:val="%1.%2.%3.%4.%5.%6.%7.%8"/>
      <w:lvlJc w:val="left"/>
      <w:pPr>
        <w:ind w:left="4030" w:hanging="1440"/>
      </w:pPr>
      <w:rPr>
        <w:rFonts w:hint="default"/>
        <w:color w:val="000000"/>
      </w:rPr>
    </w:lvl>
    <w:lvl w:ilvl="8">
      <w:start w:val="1"/>
      <w:numFmt w:val="decimal"/>
      <w:lvlText w:val="%1.%2.%3.%4.%5.%6.%7.%8.%9"/>
      <w:lvlJc w:val="left"/>
      <w:pPr>
        <w:ind w:left="4760" w:hanging="1800"/>
      </w:pPr>
      <w:rPr>
        <w:rFonts w:hint="default"/>
        <w:color w:val="000000"/>
      </w:rPr>
    </w:lvl>
  </w:abstractNum>
  <w:abstractNum w:abstractNumId="4" w15:restartNumberingAfterBreak="0">
    <w:nsid w:val="1C760CE9"/>
    <w:multiLevelType w:val="multilevel"/>
    <w:tmpl w:val="E14A9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F36058"/>
    <w:multiLevelType w:val="hybridMultilevel"/>
    <w:tmpl w:val="3DA671F8"/>
    <w:lvl w:ilvl="0" w:tplc="A008F86E">
      <w:start w:val="1"/>
      <w:numFmt w:val="lowerRoman"/>
      <w:lvlText w:val="%1."/>
      <w:lvlJc w:val="left"/>
      <w:pPr>
        <w:ind w:left="740" w:hanging="720"/>
      </w:pPr>
      <w:rPr>
        <w:rFonts w:ascii="Times New Roman" w:eastAsia="Times New Roman" w:hAnsi="Times New Roman" w:cs="Times New Roman"/>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6" w15:restartNumberingAfterBreak="0">
    <w:nsid w:val="204C2E04"/>
    <w:multiLevelType w:val="multilevel"/>
    <w:tmpl w:val="0C5A46D2"/>
    <w:lvl w:ilvl="0">
      <w:start w:val="5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71A421A"/>
    <w:multiLevelType w:val="multilevel"/>
    <w:tmpl w:val="2D4C2386"/>
    <w:lvl w:ilvl="0">
      <w:start w:val="2"/>
      <w:numFmt w:val="decimal"/>
      <w:lvlText w:val="%1"/>
      <w:lvlJc w:val="left"/>
      <w:pPr>
        <w:ind w:left="600" w:hanging="600"/>
      </w:pPr>
      <w:rPr>
        <w:rFonts w:hint="default"/>
        <w:color w:val="000000"/>
      </w:rPr>
    </w:lvl>
    <w:lvl w:ilvl="1">
      <w:start w:val="4"/>
      <w:numFmt w:val="decimal"/>
      <w:lvlText w:val="%1.%2"/>
      <w:lvlJc w:val="left"/>
      <w:pPr>
        <w:ind w:left="610" w:hanging="600"/>
      </w:pPr>
      <w:rPr>
        <w:rFonts w:hint="default"/>
        <w:color w:val="000000"/>
      </w:rPr>
    </w:lvl>
    <w:lvl w:ilvl="2">
      <w:start w:val="12"/>
      <w:numFmt w:val="decimal"/>
      <w:lvlText w:val="%1.%2.%3"/>
      <w:lvlJc w:val="left"/>
      <w:pPr>
        <w:ind w:left="740" w:hanging="720"/>
      </w:pPr>
      <w:rPr>
        <w:rFonts w:hint="default"/>
        <w:color w:val="000000"/>
      </w:rPr>
    </w:lvl>
    <w:lvl w:ilvl="3">
      <w:start w:val="1"/>
      <w:numFmt w:val="decimal"/>
      <w:lvlText w:val="%1.%2.%3.%4"/>
      <w:lvlJc w:val="left"/>
      <w:pPr>
        <w:ind w:left="750" w:hanging="720"/>
      </w:pPr>
      <w:rPr>
        <w:rFonts w:hint="default"/>
        <w:color w:val="000000"/>
      </w:rPr>
    </w:lvl>
    <w:lvl w:ilvl="4">
      <w:start w:val="1"/>
      <w:numFmt w:val="decimal"/>
      <w:lvlText w:val="%1.%2.%3.%4.%5"/>
      <w:lvlJc w:val="left"/>
      <w:pPr>
        <w:ind w:left="1120" w:hanging="1080"/>
      </w:pPr>
      <w:rPr>
        <w:rFonts w:hint="default"/>
        <w:color w:val="000000"/>
      </w:rPr>
    </w:lvl>
    <w:lvl w:ilvl="5">
      <w:start w:val="1"/>
      <w:numFmt w:val="decimal"/>
      <w:lvlText w:val="%1.%2.%3.%4.%5.%6"/>
      <w:lvlJc w:val="left"/>
      <w:pPr>
        <w:ind w:left="1130" w:hanging="1080"/>
      </w:pPr>
      <w:rPr>
        <w:rFonts w:hint="default"/>
        <w:color w:val="000000"/>
      </w:rPr>
    </w:lvl>
    <w:lvl w:ilvl="6">
      <w:start w:val="1"/>
      <w:numFmt w:val="decimal"/>
      <w:lvlText w:val="%1.%2.%3.%4.%5.%6.%7"/>
      <w:lvlJc w:val="left"/>
      <w:pPr>
        <w:ind w:left="1500" w:hanging="1440"/>
      </w:pPr>
      <w:rPr>
        <w:rFonts w:hint="default"/>
        <w:color w:val="000000"/>
      </w:rPr>
    </w:lvl>
    <w:lvl w:ilvl="7">
      <w:start w:val="1"/>
      <w:numFmt w:val="decimal"/>
      <w:lvlText w:val="%1.%2.%3.%4.%5.%6.%7.%8"/>
      <w:lvlJc w:val="left"/>
      <w:pPr>
        <w:ind w:left="1510" w:hanging="1440"/>
      </w:pPr>
      <w:rPr>
        <w:rFonts w:hint="default"/>
        <w:color w:val="000000"/>
      </w:rPr>
    </w:lvl>
    <w:lvl w:ilvl="8">
      <w:start w:val="1"/>
      <w:numFmt w:val="decimal"/>
      <w:lvlText w:val="%1.%2.%3.%4.%5.%6.%7.%8.%9"/>
      <w:lvlJc w:val="left"/>
      <w:pPr>
        <w:ind w:left="1880" w:hanging="1800"/>
      </w:pPr>
      <w:rPr>
        <w:rFonts w:hint="default"/>
        <w:color w:val="000000"/>
      </w:rPr>
    </w:lvl>
  </w:abstractNum>
  <w:abstractNum w:abstractNumId="8" w15:restartNumberingAfterBreak="0">
    <w:nsid w:val="30A01A5B"/>
    <w:multiLevelType w:val="multilevel"/>
    <w:tmpl w:val="A1140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A4473D"/>
    <w:multiLevelType w:val="multilevel"/>
    <w:tmpl w:val="0EAE82DC"/>
    <w:lvl w:ilvl="0">
      <w:start w:val="2"/>
      <w:numFmt w:val="decimal"/>
      <w:lvlText w:val="%1"/>
      <w:lvlJc w:val="left"/>
      <w:pPr>
        <w:ind w:left="480" w:hanging="480"/>
      </w:pPr>
      <w:rPr>
        <w:rFonts w:hint="default"/>
        <w:color w:val="000000"/>
      </w:rPr>
    </w:lvl>
    <w:lvl w:ilvl="1">
      <w:start w:val="5"/>
      <w:numFmt w:val="decimal"/>
      <w:lvlText w:val="%1.%2"/>
      <w:lvlJc w:val="left"/>
      <w:pPr>
        <w:ind w:left="490" w:hanging="480"/>
      </w:pPr>
      <w:rPr>
        <w:rFonts w:hint="default"/>
        <w:color w:val="000000"/>
      </w:rPr>
    </w:lvl>
    <w:lvl w:ilvl="2">
      <w:start w:val="1"/>
      <w:numFmt w:val="decimal"/>
      <w:lvlText w:val="%1.%2.%3"/>
      <w:lvlJc w:val="left"/>
      <w:pPr>
        <w:ind w:left="740" w:hanging="720"/>
      </w:pPr>
      <w:rPr>
        <w:rFonts w:hint="default"/>
        <w:color w:val="000000"/>
      </w:rPr>
    </w:lvl>
    <w:lvl w:ilvl="3">
      <w:start w:val="1"/>
      <w:numFmt w:val="decimal"/>
      <w:lvlText w:val="%1.%2.%3.%4"/>
      <w:lvlJc w:val="left"/>
      <w:pPr>
        <w:ind w:left="750" w:hanging="720"/>
      </w:pPr>
      <w:rPr>
        <w:rFonts w:hint="default"/>
        <w:color w:val="000000"/>
      </w:rPr>
    </w:lvl>
    <w:lvl w:ilvl="4">
      <w:start w:val="1"/>
      <w:numFmt w:val="decimal"/>
      <w:lvlText w:val="%1.%2.%3.%4.%5"/>
      <w:lvlJc w:val="left"/>
      <w:pPr>
        <w:ind w:left="1120" w:hanging="1080"/>
      </w:pPr>
      <w:rPr>
        <w:rFonts w:hint="default"/>
        <w:color w:val="000000"/>
      </w:rPr>
    </w:lvl>
    <w:lvl w:ilvl="5">
      <w:start w:val="1"/>
      <w:numFmt w:val="decimal"/>
      <w:lvlText w:val="%1.%2.%3.%4.%5.%6"/>
      <w:lvlJc w:val="left"/>
      <w:pPr>
        <w:ind w:left="1130" w:hanging="1080"/>
      </w:pPr>
      <w:rPr>
        <w:rFonts w:hint="default"/>
        <w:color w:val="000000"/>
      </w:rPr>
    </w:lvl>
    <w:lvl w:ilvl="6">
      <w:start w:val="1"/>
      <w:numFmt w:val="decimal"/>
      <w:lvlText w:val="%1.%2.%3.%4.%5.%6.%7"/>
      <w:lvlJc w:val="left"/>
      <w:pPr>
        <w:ind w:left="1500" w:hanging="1440"/>
      </w:pPr>
      <w:rPr>
        <w:rFonts w:hint="default"/>
        <w:color w:val="000000"/>
      </w:rPr>
    </w:lvl>
    <w:lvl w:ilvl="7">
      <w:start w:val="1"/>
      <w:numFmt w:val="decimal"/>
      <w:lvlText w:val="%1.%2.%3.%4.%5.%6.%7.%8"/>
      <w:lvlJc w:val="left"/>
      <w:pPr>
        <w:ind w:left="1510" w:hanging="1440"/>
      </w:pPr>
      <w:rPr>
        <w:rFonts w:hint="default"/>
        <w:color w:val="000000"/>
      </w:rPr>
    </w:lvl>
    <w:lvl w:ilvl="8">
      <w:start w:val="1"/>
      <w:numFmt w:val="decimal"/>
      <w:lvlText w:val="%1.%2.%3.%4.%5.%6.%7.%8.%9"/>
      <w:lvlJc w:val="left"/>
      <w:pPr>
        <w:ind w:left="1880" w:hanging="1800"/>
      </w:pPr>
      <w:rPr>
        <w:rFonts w:hint="default"/>
        <w:color w:val="000000"/>
      </w:rPr>
    </w:lvl>
  </w:abstractNum>
  <w:abstractNum w:abstractNumId="10" w15:restartNumberingAfterBreak="0">
    <w:nsid w:val="3EE17DC6"/>
    <w:multiLevelType w:val="multilevel"/>
    <w:tmpl w:val="D2E07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A54388"/>
    <w:multiLevelType w:val="multilevel"/>
    <w:tmpl w:val="F796C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850E57"/>
    <w:multiLevelType w:val="multilevel"/>
    <w:tmpl w:val="45508C72"/>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AD62924"/>
    <w:multiLevelType w:val="multilevel"/>
    <w:tmpl w:val="869CB8D0"/>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0C73AAB"/>
    <w:multiLevelType w:val="multilevel"/>
    <w:tmpl w:val="FFF8709C"/>
    <w:lvl w:ilvl="0">
      <w:start w:val="2"/>
      <w:numFmt w:val="decimal"/>
      <w:lvlText w:val="%1"/>
      <w:lvlJc w:val="left"/>
      <w:pPr>
        <w:ind w:left="480" w:hanging="480"/>
      </w:pPr>
      <w:rPr>
        <w:rFonts w:hint="default"/>
        <w:color w:val="000000"/>
      </w:rPr>
    </w:lvl>
    <w:lvl w:ilvl="1">
      <w:start w:val="4"/>
      <w:numFmt w:val="decimal"/>
      <w:lvlText w:val="%1.%2"/>
      <w:lvlJc w:val="left"/>
      <w:pPr>
        <w:ind w:left="480" w:hanging="480"/>
      </w:pPr>
      <w:rPr>
        <w:rFonts w:hint="default"/>
        <w:color w:val="000000"/>
      </w:rPr>
    </w:lvl>
    <w:lvl w:ilvl="2">
      <w:start w:val="6"/>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5" w15:restartNumberingAfterBreak="0">
    <w:nsid w:val="51AA351C"/>
    <w:multiLevelType w:val="multilevel"/>
    <w:tmpl w:val="6AF8446E"/>
    <w:lvl w:ilvl="0">
      <w:start w:val="1"/>
      <w:numFmt w:val="low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357361"/>
    <w:multiLevelType w:val="multilevel"/>
    <w:tmpl w:val="274AA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C34850"/>
    <w:multiLevelType w:val="multilevel"/>
    <w:tmpl w:val="DD522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716DE7"/>
    <w:multiLevelType w:val="multilevel"/>
    <w:tmpl w:val="F2204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AC0C63"/>
    <w:multiLevelType w:val="multilevel"/>
    <w:tmpl w:val="D7E02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53721E"/>
    <w:multiLevelType w:val="hybridMultilevel"/>
    <w:tmpl w:val="B448DA98"/>
    <w:lvl w:ilvl="0" w:tplc="9C923460">
      <w:start w:val="1"/>
      <w:numFmt w:val="low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C3787E"/>
    <w:multiLevelType w:val="multilevel"/>
    <w:tmpl w:val="AC1AF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AE4846"/>
    <w:multiLevelType w:val="hybridMultilevel"/>
    <w:tmpl w:val="C35428F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294BFE"/>
    <w:multiLevelType w:val="hybridMultilevel"/>
    <w:tmpl w:val="321CB43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7474059"/>
    <w:multiLevelType w:val="multilevel"/>
    <w:tmpl w:val="9468037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B787FA9"/>
    <w:multiLevelType w:val="multilevel"/>
    <w:tmpl w:val="0EE4AAFA"/>
    <w:lvl w:ilvl="0">
      <w:start w:val="1"/>
      <w:numFmt w:val="lowerRoman"/>
      <w:lvlText w:val="%1."/>
      <w:lvlJc w:val="right"/>
      <w:rPr>
        <w:b/>
        <w:bCs/>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CB87171"/>
    <w:multiLevelType w:val="multilevel"/>
    <w:tmpl w:val="A5A8C8E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FF81187"/>
    <w:multiLevelType w:val="multilevel"/>
    <w:tmpl w:val="56CA1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7597218">
    <w:abstractNumId w:val="2"/>
  </w:num>
  <w:num w:numId="2" w16cid:durableId="172915805">
    <w:abstractNumId w:val="23"/>
  </w:num>
  <w:num w:numId="3" w16cid:durableId="906769987">
    <w:abstractNumId w:val="12"/>
  </w:num>
  <w:num w:numId="4" w16cid:durableId="682056582">
    <w:abstractNumId w:val="13"/>
  </w:num>
  <w:num w:numId="5" w16cid:durableId="1425492970">
    <w:abstractNumId w:val="6"/>
  </w:num>
  <w:num w:numId="6" w16cid:durableId="668407917">
    <w:abstractNumId w:val="24"/>
  </w:num>
  <w:num w:numId="7" w16cid:durableId="1039743977">
    <w:abstractNumId w:val="26"/>
  </w:num>
  <w:num w:numId="8" w16cid:durableId="158885400">
    <w:abstractNumId w:val="0"/>
  </w:num>
  <w:num w:numId="9" w16cid:durableId="1878006042">
    <w:abstractNumId w:val="14"/>
  </w:num>
  <w:num w:numId="10" w16cid:durableId="685710539">
    <w:abstractNumId w:val="7"/>
  </w:num>
  <w:num w:numId="11" w16cid:durableId="1393040986">
    <w:abstractNumId w:val="9"/>
  </w:num>
  <w:num w:numId="12" w16cid:durableId="1037851190">
    <w:abstractNumId w:val="20"/>
  </w:num>
  <w:num w:numId="13" w16cid:durableId="1570843418">
    <w:abstractNumId w:val="5"/>
  </w:num>
  <w:num w:numId="14" w16cid:durableId="1614437992">
    <w:abstractNumId w:val="11"/>
  </w:num>
  <w:num w:numId="15" w16cid:durableId="1968392488">
    <w:abstractNumId w:val="4"/>
  </w:num>
  <w:num w:numId="16" w16cid:durableId="799373484">
    <w:abstractNumId w:val="10"/>
  </w:num>
  <w:num w:numId="17" w16cid:durableId="254872148">
    <w:abstractNumId w:val="19"/>
  </w:num>
  <w:num w:numId="18" w16cid:durableId="1146894106">
    <w:abstractNumId w:val="27"/>
  </w:num>
  <w:num w:numId="19" w16cid:durableId="1967661261">
    <w:abstractNumId w:val="21"/>
  </w:num>
  <w:num w:numId="20" w16cid:durableId="1123042761">
    <w:abstractNumId w:val="16"/>
  </w:num>
  <w:num w:numId="21" w16cid:durableId="1051080926">
    <w:abstractNumId w:val="18"/>
  </w:num>
  <w:num w:numId="22" w16cid:durableId="445346572">
    <w:abstractNumId w:val="17"/>
  </w:num>
  <w:num w:numId="23" w16cid:durableId="1150440031">
    <w:abstractNumId w:val="8"/>
  </w:num>
  <w:num w:numId="24" w16cid:durableId="57100356">
    <w:abstractNumId w:val="25"/>
  </w:num>
  <w:num w:numId="25" w16cid:durableId="1928612514">
    <w:abstractNumId w:val="1"/>
  </w:num>
  <w:num w:numId="26" w16cid:durableId="1816794660">
    <w:abstractNumId w:val="15"/>
  </w:num>
  <w:num w:numId="27" w16cid:durableId="1590503782">
    <w:abstractNumId w:val="22"/>
  </w:num>
  <w:num w:numId="28" w16cid:durableId="7801535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CE7"/>
    <w:rsid w:val="00013663"/>
    <w:rsid w:val="00024E80"/>
    <w:rsid w:val="00044637"/>
    <w:rsid w:val="0008000D"/>
    <w:rsid w:val="00087AD4"/>
    <w:rsid w:val="0009000E"/>
    <w:rsid w:val="000C0290"/>
    <w:rsid w:val="000F2B05"/>
    <w:rsid w:val="00103334"/>
    <w:rsid w:val="00111F32"/>
    <w:rsid w:val="00176213"/>
    <w:rsid w:val="00184A34"/>
    <w:rsid w:val="00186EF4"/>
    <w:rsid w:val="0019437E"/>
    <w:rsid w:val="0019507B"/>
    <w:rsid w:val="001B05AB"/>
    <w:rsid w:val="001B5C42"/>
    <w:rsid w:val="001D260C"/>
    <w:rsid w:val="001E3B2B"/>
    <w:rsid w:val="00210D09"/>
    <w:rsid w:val="002171D0"/>
    <w:rsid w:val="00221CE7"/>
    <w:rsid w:val="00256F0F"/>
    <w:rsid w:val="002843EC"/>
    <w:rsid w:val="00284558"/>
    <w:rsid w:val="002A09DE"/>
    <w:rsid w:val="002D2DC4"/>
    <w:rsid w:val="002F6A07"/>
    <w:rsid w:val="00301728"/>
    <w:rsid w:val="003153B7"/>
    <w:rsid w:val="00336A95"/>
    <w:rsid w:val="0034362E"/>
    <w:rsid w:val="003716C4"/>
    <w:rsid w:val="00395BDC"/>
    <w:rsid w:val="00397E54"/>
    <w:rsid w:val="003A04E6"/>
    <w:rsid w:val="003A6349"/>
    <w:rsid w:val="003A739F"/>
    <w:rsid w:val="0043798D"/>
    <w:rsid w:val="004650CD"/>
    <w:rsid w:val="0047530D"/>
    <w:rsid w:val="00480E02"/>
    <w:rsid w:val="004906BC"/>
    <w:rsid w:val="004D096C"/>
    <w:rsid w:val="004D3EDA"/>
    <w:rsid w:val="004E00DB"/>
    <w:rsid w:val="004E6BB3"/>
    <w:rsid w:val="004F4D0B"/>
    <w:rsid w:val="0050643B"/>
    <w:rsid w:val="00515ED1"/>
    <w:rsid w:val="00520255"/>
    <w:rsid w:val="0055727F"/>
    <w:rsid w:val="005672E7"/>
    <w:rsid w:val="00581FD1"/>
    <w:rsid w:val="00593380"/>
    <w:rsid w:val="005A3BF5"/>
    <w:rsid w:val="005B4D3A"/>
    <w:rsid w:val="005F1198"/>
    <w:rsid w:val="00633C8D"/>
    <w:rsid w:val="00640BE7"/>
    <w:rsid w:val="00641610"/>
    <w:rsid w:val="006446D4"/>
    <w:rsid w:val="00654AB7"/>
    <w:rsid w:val="00672BCB"/>
    <w:rsid w:val="00681895"/>
    <w:rsid w:val="00682C59"/>
    <w:rsid w:val="0068669F"/>
    <w:rsid w:val="0069417C"/>
    <w:rsid w:val="006A78DB"/>
    <w:rsid w:val="006B3371"/>
    <w:rsid w:val="006C40D7"/>
    <w:rsid w:val="00713FE6"/>
    <w:rsid w:val="007217F9"/>
    <w:rsid w:val="00773ACC"/>
    <w:rsid w:val="007A2014"/>
    <w:rsid w:val="007D06EA"/>
    <w:rsid w:val="007D60C0"/>
    <w:rsid w:val="007E22B1"/>
    <w:rsid w:val="007E459C"/>
    <w:rsid w:val="008005AC"/>
    <w:rsid w:val="00805571"/>
    <w:rsid w:val="00806F91"/>
    <w:rsid w:val="008408FB"/>
    <w:rsid w:val="0086057C"/>
    <w:rsid w:val="00862F02"/>
    <w:rsid w:val="008635A2"/>
    <w:rsid w:val="008846D7"/>
    <w:rsid w:val="008B03B9"/>
    <w:rsid w:val="008B6E6A"/>
    <w:rsid w:val="008B6F91"/>
    <w:rsid w:val="008C3BFC"/>
    <w:rsid w:val="008C70C4"/>
    <w:rsid w:val="008E170D"/>
    <w:rsid w:val="008E43C8"/>
    <w:rsid w:val="00911C01"/>
    <w:rsid w:val="009140B8"/>
    <w:rsid w:val="0091449A"/>
    <w:rsid w:val="00922F8F"/>
    <w:rsid w:val="00942B00"/>
    <w:rsid w:val="009C4FB6"/>
    <w:rsid w:val="009D46AF"/>
    <w:rsid w:val="009D53B2"/>
    <w:rsid w:val="009D7B5B"/>
    <w:rsid w:val="00A05256"/>
    <w:rsid w:val="00A20881"/>
    <w:rsid w:val="00A22C54"/>
    <w:rsid w:val="00A3563C"/>
    <w:rsid w:val="00A3744D"/>
    <w:rsid w:val="00A52E03"/>
    <w:rsid w:val="00A66DE9"/>
    <w:rsid w:val="00AB3D74"/>
    <w:rsid w:val="00AD6CA2"/>
    <w:rsid w:val="00AE00E4"/>
    <w:rsid w:val="00AE49C7"/>
    <w:rsid w:val="00B008D7"/>
    <w:rsid w:val="00B02A11"/>
    <w:rsid w:val="00B3528A"/>
    <w:rsid w:val="00B35B5C"/>
    <w:rsid w:val="00B449A2"/>
    <w:rsid w:val="00B47568"/>
    <w:rsid w:val="00B533E4"/>
    <w:rsid w:val="00B54988"/>
    <w:rsid w:val="00B55D75"/>
    <w:rsid w:val="00B86E0A"/>
    <w:rsid w:val="00B97DC5"/>
    <w:rsid w:val="00BA419F"/>
    <w:rsid w:val="00BB0A61"/>
    <w:rsid w:val="00C350BA"/>
    <w:rsid w:val="00C542E8"/>
    <w:rsid w:val="00C54C7C"/>
    <w:rsid w:val="00C604FC"/>
    <w:rsid w:val="00C64D8D"/>
    <w:rsid w:val="00CA3848"/>
    <w:rsid w:val="00CC0A18"/>
    <w:rsid w:val="00CF6513"/>
    <w:rsid w:val="00D03BEA"/>
    <w:rsid w:val="00D15140"/>
    <w:rsid w:val="00D32E36"/>
    <w:rsid w:val="00D867A2"/>
    <w:rsid w:val="00D9160A"/>
    <w:rsid w:val="00DA523E"/>
    <w:rsid w:val="00DC25EE"/>
    <w:rsid w:val="00DD61BC"/>
    <w:rsid w:val="00E0316F"/>
    <w:rsid w:val="00E135ED"/>
    <w:rsid w:val="00E36151"/>
    <w:rsid w:val="00E3708E"/>
    <w:rsid w:val="00E50AF7"/>
    <w:rsid w:val="00E76028"/>
    <w:rsid w:val="00E96D19"/>
    <w:rsid w:val="00EA3B48"/>
    <w:rsid w:val="00EB4F5B"/>
    <w:rsid w:val="00EC2AD1"/>
    <w:rsid w:val="00ED4C15"/>
    <w:rsid w:val="00EF22AC"/>
    <w:rsid w:val="00F14CEC"/>
    <w:rsid w:val="00F21F59"/>
    <w:rsid w:val="00F318E6"/>
    <w:rsid w:val="00F63579"/>
    <w:rsid w:val="00F765EE"/>
    <w:rsid w:val="00F837F0"/>
    <w:rsid w:val="00FA4840"/>
    <w:rsid w:val="00FF1E82"/>
    <w:rsid w:val="00FF23B9"/>
    <w:rsid w:val="00FF2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D651EA"/>
  <w15:chartTrackingRefBased/>
  <w15:docId w15:val="{D55ABD1A-71C4-45D6-86F7-B4D293C18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349"/>
  </w:style>
  <w:style w:type="paragraph" w:styleId="Heading1">
    <w:name w:val="heading 1"/>
    <w:basedOn w:val="Normal"/>
    <w:next w:val="Normal"/>
    <w:link w:val="Heading1Char"/>
    <w:uiPriority w:val="9"/>
    <w:qFormat/>
    <w:rsid w:val="008B6E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352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D32E36"/>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next w:val="Normal"/>
    <w:link w:val="Heading4Char"/>
    <w:uiPriority w:val="9"/>
    <w:unhideWhenUsed/>
    <w:qFormat/>
    <w:rsid w:val="00DD61B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1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0BE7"/>
    <w:pPr>
      <w:ind w:left="720"/>
      <w:contextualSpacing/>
    </w:pPr>
  </w:style>
  <w:style w:type="paragraph" w:styleId="NormalWeb">
    <w:name w:val="Normal (Web)"/>
    <w:basedOn w:val="Normal"/>
    <w:uiPriority w:val="99"/>
    <w:unhideWhenUsed/>
    <w:rsid w:val="00FF2BA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EC2AD1"/>
    <w:rPr>
      <w:b/>
      <w:bCs/>
    </w:rPr>
  </w:style>
  <w:style w:type="character" w:customStyle="1" w:styleId="fontstyle01">
    <w:name w:val="fontstyle01"/>
    <w:rsid w:val="00087AD4"/>
    <w:rPr>
      <w:rFonts w:ascii="Times New Roman" w:hAnsi="Times New Roman" w:cs="Times New Roman" w:hint="default"/>
      <w:b w:val="0"/>
      <w:bCs w:val="0"/>
      <w:i w:val="0"/>
      <w:iCs w:val="0"/>
      <w:color w:val="000000"/>
      <w:sz w:val="24"/>
      <w:szCs w:val="24"/>
    </w:rPr>
  </w:style>
  <w:style w:type="character" w:styleId="Hyperlink">
    <w:name w:val="Hyperlink"/>
    <w:uiPriority w:val="99"/>
    <w:unhideWhenUsed/>
    <w:rsid w:val="00087AD4"/>
    <w:rPr>
      <w:color w:val="0000FF"/>
      <w:u w:val="single"/>
    </w:rPr>
  </w:style>
  <w:style w:type="character" w:customStyle="1" w:styleId="Bodytext">
    <w:name w:val="Body text_"/>
    <w:basedOn w:val="DefaultParagraphFont"/>
    <w:link w:val="BodyText2"/>
    <w:rsid w:val="00087AD4"/>
    <w:rPr>
      <w:rFonts w:ascii="Times New Roman" w:eastAsia="Times New Roman" w:hAnsi="Times New Roman" w:cs="Times New Roman"/>
      <w:sz w:val="18"/>
      <w:szCs w:val="18"/>
      <w:shd w:val="clear" w:color="auto" w:fill="FFFFFF"/>
    </w:rPr>
  </w:style>
  <w:style w:type="character" w:customStyle="1" w:styleId="Heading30">
    <w:name w:val="Heading #3_"/>
    <w:basedOn w:val="DefaultParagraphFont"/>
    <w:link w:val="Heading31"/>
    <w:rsid w:val="00087AD4"/>
    <w:rPr>
      <w:rFonts w:ascii="Times New Roman" w:eastAsia="Times New Roman" w:hAnsi="Times New Roman" w:cs="Times New Roman"/>
      <w:b/>
      <w:bCs/>
      <w:sz w:val="18"/>
      <w:szCs w:val="18"/>
      <w:shd w:val="clear" w:color="auto" w:fill="FFFFFF"/>
    </w:rPr>
  </w:style>
  <w:style w:type="paragraph" w:customStyle="1" w:styleId="BodyText2">
    <w:name w:val="Body Text2"/>
    <w:basedOn w:val="Normal"/>
    <w:link w:val="Bodytext"/>
    <w:rsid w:val="00087AD4"/>
    <w:pPr>
      <w:widowControl w:val="0"/>
      <w:shd w:val="clear" w:color="auto" w:fill="FFFFFF"/>
      <w:spacing w:before="180" w:after="180" w:line="0" w:lineRule="atLeast"/>
      <w:ind w:hanging="360"/>
      <w:jc w:val="both"/>
    </w:pPr>
    <w:rPr>
      <w:rFonts w:ascii="Times New Roman" w:eastAsia="Times New Roman" w:hAnsi="Times New Roman" w:cs="Times New Roman"/>
      <w:sz w:val="18"/>
      <w:szCs w:val="18"/>
    </w:rPr>
  </w:style>
  <w:style w:type="paragraph" w:customStyle="1" w:styleId="Heading31">
    <w:name w:val="Heading #3"/>
    <w:basedOn w:val="Normal"/>
    <w:link w:val="Heading30"/>
    <w:rsid w:val="00087AD4"/>
    <w:pPr>
      <w:widowControl w:val="0"/>
      <w:shd w:val="clear" w:color="auto" w:fill="FFFFFF"/>
      <w:spacing w:before="180" w:after="0" w:line="226" w:lineRule="exact"/>
      <w:jc w:val="both"/>
      <w:outlineLvl w:val="2"/>
    </w:pPr>
    <w:rPr>
      <w:rFonts w:ascii="Times New Roman" w:eastAsia="Times New Roman" w:hAnsi="Times New Roman" w:cs="Times New Roman"/>
      <w:b/>
      <w:bCs/>
      <w:sz w:val="18"/>
      <w:szCs w:val="18"/>
    </w:rPr>
  </w:style>
  <w:style w:type="character" w:customStyle="1" w:styleId="Bodytext6">
    <w:name w:val="Body text (6)_"/>
    <w:basedOn w:val="DefaultParagraphFont"/>
    <w:link w:val="Bodytext60"/>
    <w:rsid w:val="00087AD4"/>
    <w:rPr>
      <w:rFonts w:ascii="Times New Roman" w:eastAsia="Times New Roman" w:hAnsi="Times New Roman" w:cs="Times New Roman"/>
      <w:b/>
      <w:bCs/>
      <w:sz w:val="18"/>
      <w:szCs w:val="18"/>
      <w:shd w:val="clear" w:color="auto" w:fill="FFFFFF"/>
    </w:rPr>
  </w:style>
  <w:style w:type="character" w:customStyle="1" w:styleId="BodytextBold">
    <w:name w:val="Body text + Bold"/>
    <w:basedOn w:val="Bodytext"/>
    <w:rsid w:val="00087AD4"/>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en-US" w:eastAsia="en-US" w:bidi="en-US"/>
    </w:rPr>
  </w:style>
  <w:style w:type="paragraph" w:customStyle="1" w:styleId="Bodytext60">
    <w:name w:val="Body text (6)"/>
    <w:basedOn w:val="Normal"/>
    <w:link w:val="Bodytext6"/>
    <w:rsid w:val="00087AD4"/>
    <w:pPr>
      <w:widowControl w:val="0"/>
      <w:shd w:val="clear" w:color="auto" w:fill="FFFFFF"/>
      <w:spacing w:before="300" w:after="180" w:line="0" w:lineRule="atLeast"/>
      <w:ind w:hanging="360"/>
      <w:jc w:val="both"/>
    </w:pPr>
    <w:rPr>
      <w:rFonts w:ascii="Times New Roman" w:eastAsia="Times New Roman" w:hAnsi="Times New Roman" w:cs="Times New Roman"/>
      <w:b/>
      <w:bCs/>
      <w:sz w:val="18"/>
      <w:szCs w:val="18"/>
    </w:rPr>
  </w:style>
  <w:style w:type="character" w:customStyle="1" w:styleId="Bodytext7NotItalic">
    <w:name w:val="Body text (7) + Not Italic"/>
    <w:basedOn w:val="DefaultParagraphFont"/>
    <w:rsid w:val="00087AD4"/>
    <w:rPr>
      <w:rFonts w:ascii="Times New Roman" w:eastAsia="Times New Roman" w:hAnsi="Times New Roman" w:cs="Times New Roman"/>
      <w:i/>
      <w:iCs/>
      <w:color w:val="000000"/>
      <w:spacing w:val="0"/>
      <w:w w:val="100"/>
      <w:position w:val="0"/>
      <w:sz w:val="18"/>
      <w:szCs w:val="18"/>
      <w:shd w:val="clear" w:color="auto" w:fill="FFFFFF"/>
      <w:lang w:val="en-US" w:eastAsia="en-US" w:bidi="en-US"/>
    </w:rPr>
  </w:style>
  <w:style w:type="character" w:styleId="UnresolvedMention">
    <w:name w:val="Unresolved Mention"/>
    <w:basedOn w:val="DefaultParagraphFont"/>
    <w:uiPriority w:val="99"/>
    <w:semiHidden/>
    <w:unhideWhenUsed/>
    <w:rsid w:val="00862F02"/>
    <w:rPr>
      <w:color w:val="605E5C"/>
      <w:shd w:val="clear" w:color="auto" w:fill="E1DFDD"/>
    </w:rPr>
  </w:style>
  <w:style w:type="paragraph" w:styleId="Header">
    <w:name w:val="header"/>
    <w:basedOn w:val="Normal"/>
    <w:link w:val="HeaderChar"/>
    <w:uiPriority w:val="99"/>
    <w:unhideWhenUsed/>
    <w:rsid w:val="00862F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2F02"/>
  </w:style>
  <w:style w:type="paragraph" w:styleId="Footer">
    <w:name w:val="footer"/>
    <w:basedOn w:val="Normal"/>
    <w:link w:val="FooterChar"/>
    <w:uiPriority w:val="99"/>
    <w:unhideWhenUsed/>
    <w:rsid w:val="00862F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2F02"/>
  </w:style>
  <w:style w:type="character" w:customStyle="1" w:styleId="Heading3Char">
    <w:name w:val="Heading 3 Char"/>
    <w:basedOn w:val="DefaultParagraphFont"/>
    <w:link w:val="Heading3"/>
    <w:uiPriority w:val="9"/>
    <w:rsid w:val="00D32E36"/>
    <w:rPr>
      <w:rFonts w:ascii="Times New Roman" w:eastAsia="Times New Roman" w:hAnsi="Times New Roman" w:cs="Times New Roman"/>
      <w:b/>
      <w:bCs/>
      <w:kern w:val="0"/>
      <w:sz w:val="27"/>
      <w:szCs w:val="27"/>
      <w14:ligatures w14:val="none"/>
    </w:rPr>
  </w:style>
  <w:style w:type="paragraph" w:customStyle="1" w:styleId="Default">
    <w:name w:val="Default"/>
    <w:rsid w:val="00A3744D"/>
    <w:pPr>
      <w:autoSpaceDE w:val="0"/>
      <w:autoSpaceDN w:val="0"/>
      <w:adjustRightInd w:val="0"/>
      <w:spacing w:after="0" w:line="240" w:lineRule="auto"/>
    </w:pPr>
    <w:rPr>
      <w:rFonts w:ascii="Times New Roman" w:eastAsia="SimSun" w:hAnsi="Times New Roman" w:cs="Times New Roman"/>
      <w:color w:val="000000"/>
      <w:kern w:val="0"/>
      <w:sz w:val="24"/>
      <w:szCs w:val="24"/>
      <w14:ligatures w14:val="none"/>
    </w:rPr>
  </w:style>
  <w:style w:type="paragraph" w:styleId="NoSpacing">
    <w:name w:val="No Spacing"/>
    <w:uiPriority w:val="1"/>
    <w:qFormat/>
    <w:rsid w:val="00A3744D"/>
    <w:pPr>
      <w:widowControl w:val="0"/>
      <w:spacing w:after="0" w:line="240" w:lineRule="auto"/>
    </w:pPr>
    <w:rPr>
      <w:rFonts w:ascii="Courier New" w:eastAsia="Courier New" w:hAnsi="Courier New" w:cs="Courier New"/>
      <w:color w:val="000000"/>
      <w:kern w:val="0"/>
      <w:sz w:val="24"/>
      <w:szCs w:val="24"/>
      <w:lang w:bidi="en-US"/>
      <w14:ligatures w14:val="none"/>
    </w:rPr>
  </w:style>
  <w:style w:type="character" w:customStyle="1" w:styleId="Heading1Char">
    <w:name w:val="Heading 1 Char"/>
    <w:basedOn w:val="DefaultParagraphFont"/>
    <w:link w:val="Heading1"/>
    <w:uiPriority w:val="1"/>
    <w:rsid w:val="008B6E6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3528A"/>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DD61BC"/>
    <w:rPr>
      <w:rFonts w:asciiTheme="majorHAnsi" w:eastAsiaTheme="majorEastAsia" w:hAnsiTheme="majorHAnsi" w:cstheme="majorBidi"/>
      <w:i/>
      <w:iCs/>
      <w:color w:val="2F5496" w:themeColor="accent1" w:themeShade="BF"/>
    </w:rPr>
  </w:style>
  <w:style w:type="paragraph" w:styleId="TOCHeading">
    <w:name w:val="TOC Heading"/>
    <w:basedOn w:val="Heading1"/>
    <w:next w:val="Normal"/>
    <w:uiPriority w:val="39"/>
    <w:unhideWhenUsed/>
    <w:qFormat/>
    <w:rsid w:val="00633C8D"/>
    <w:pPr>
      <w:outlineLvl w:val="9"/>
    </w:pPr>
    <w:rPr>
      <w:kern w:val="0"/>
      <w14:ligatures w14:val="none"/>
    </w:rPr>
  </w:style>
  <w:style w:type="paragraph" w:styleId="TOC1">
    <w:name w:val="toc 1"/>
    <w:basedOn w:val="Normal"/>
    <w:next w:val="Normal"/>
    <w:autoRedefine/>
    <w:uiPriority w:val="39"/>
    <w:unhideWhenUsed/>
    <w:rsid w:val="00633C8D"/>
    <w:pPr>
      <w:tabs>
        <w:tab w:val="right" w:leader="dot" w:pos="9016"/>
      </w:tabs>
      <w:spacing w:after="100"/>
    </w:pPr>
    <w:rPr>
      <w:rFonts w:ascii="Times New Roman" w:hAnsi="Times New Roman" w:cs="Times New Roman"/>
      <w:b/>
      <w:bCs/>
      <w:noProof/>
    </w:rPr>
  </w:style>
  <w:style w:type="paragraph" w:styleId="TOC2">
    <w:name w:val="toc 2"/>
    <w:basedOn w:val="Normal"/>
    <w:next w:val="Normal"/>
    <w:autoRedefine/>
    <w:uiPriority w:val="39"/>
    <w:unhideWhenUsed/>
    <w:rsid w:val="00633C8D"/>
    <w:pPr>
      <w:spacing w:after="100"/>
      <w:ind w:left="220"/>
    </w:pPr>
  </w:style>
  <w:style w:type="paragraph" w:styleId="TOC3">
    <w:name w:val="toc 3"/>
    <w:basedOn w:val="Normal"/>
    <w:next w:val="Normal"/>
    <w:autoRedefine/>
    <w:uiPriority w:val="39"/>
    <w:unhideWhenUsed/>
    <w:rsid w:val="00633C8D"/>
    <w:pPr>
      <w:spacing w:after="100"/>
      <w:ind w:left="440"/>
    </w:pPr>
  </w:style>
  <w:style w:type="paragraph" w:styleId="BalloonText">
    <w:name w:val="Balloon Text"/>
    <w:basedOn w:val="Normal"/>
    <w:link w:val="BalloonTextChar"/>
    <w:uiPriority w:val="99"/>
    <w:semiHidden/>
    <w:unhideWhenUsed/>
    <w:rsid w:val="00A208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881"/>
    <w:rPr>
      <w:rFonts w:ascii="Segoe UI" w:hAnsi="Segoe UI" w:cs="Segoe UI"/>
      <w:sz w:val="18"/>
      <w:szCs w:val="18"/>
    </w:rPr>
  </w:style>
  <w:style w:type="character" w:styleId="CommentReference">
    <w:name w:val="annotation reference"/>
    <w:basedOn w:val="DefaultParagraphFont"/>
    <w:uiPriority w:val="99"/>
    <w:semiHidden/>
    <w:unhideWhenUsed/>
    <w:rsid w:val="0069417C"/>
    <w:rPr>
      <w:sz w:val="16"/>
      <w:szCs w:val="16"/>
    </w:rPr>
  </w:style>
  <w:style w:type="paragraph" w:styleId="CommentText">
    <w:name w:val="annotation text"/>
    <w:basedOn w:val="Normal"/>
    <w:link w:val="CommentTextChar"/>
    <w:uiPriority w:val="99"/>
    <w:semiHidden/>
    <w:unhideWhenUsed/>
    <w:rsid w:val="0069417C"/>
    <w:pPr>
      <w:spacing w:line="240" w:lineRule="auto"/>
    </w:pPr>
    <w:rPr>
      <w:sz w:val="20"/>
      <w:szCs w:val="20"/>
    </w:rPr>
  </w:style>
  <w:style w:type="character" w:customStyle="1" w:styleId="CommentTextChar">
    <w:name w:val="Comment Text Char"/>
    <w:basedOn w:val="DefaultParagraphFont"/>
    <w:link w:val="CommentText"/>
    <w:uiPriority w:val="99"/>
    <w:semiHidden/>
    <w:rsid w:val="0069417C"/>
    <w:rPr>
      <w:sz w:val="20"/>
      <w:szCs w:val="20"/>
    </w:rPr>
  </w:style>
  <w:style w:type="paragraph" w:styleId="CommentSubject">
    <w:name w:val="annotation subject"/>
    <w:basedOn w:val="CommentText"/>
    <w:next w:val="CommentText"/>
    <w:link w:val="CommentSubjectChar"/>
    <w:uiPriority w:val="99"/>
    <w:semiHidden/>
    <w:unhideWhenUsed/>
    <w:rsid w:val="0069417C"/>
    <w:rPr>
      <w:b/>
      <w:bCs/>
    </w:rPr>
  </w:style>
  <w:style w:type="character" w:customStyle="1" w:styleId="CommentSubjectChar">
    <w:name w:val="Comment Subject Char"/>
    <w:basedOn w:val="CommentTextChar"/>
    <w:link w:val="CommentSubject"/>
    <w:uiPriority w:val="99"/>
    <w:semiHidden/>
    <w:rsid w:val="0069417C"/>
    <w:rPr>
      <w:b/>
      <w:bCs/>
      <w:sz w:val="20"/>
      <w:szCs w:val="20"/>
    </w:rPr>
  </w:style>
  <w:style w:type="paragraph" w:styleId="Revision">
    <w:name w:val="Revision"/>
    <w:hidden/>
    <w:uiPriority w:val="99"/>
    <w:semiHidden/>
    <w:rsid w:val="001033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142">
      <w:bodyDiv w:val="1"/>
      <w:marLeft w:val="0"/>
      <w:marRight w:val="0"/>
      <w:marTop w:val="0"/>
      <w:marBottom w:val="0"/>
      <w:divBdr>
        <w:top w:val="none" w:sz="0" w:space="0" w:color="auto"/>
        <w:left w:val="none" w:sz="0" w:space="0" w:color="auto"/>
        <w:bottom w:val="none" w:sz="0" w:space="0" w:color="auto"/>
        <w:right w:val="none" w:sz="0" w:space="0" w:color="auto"/>
      </w:divBdr>
    </w:div>
    <w:div w:id="8063731">
      <w:bodyDiv w:val="1"/>
      <w:marLeft w:val="0"/>
      <w:marRight w:val="0"/>
      <w:marTop w:val="0"/>
      <w:marBottom w:val="0"/>
      <w:divBdr>
        <w:top w:val="none" w:sz="0" w:space="0" w:color="auto"/>
        <w:left w:val="none" w:sz="0" w:space="0" w:color="auto"/>
        <w:bottom w:val="none" w:sz="0" w:space="0" w:color="auto"/>
        <w:right w:val="none" w:sz="0" w:space="0" w:color="auto"/>
      </w:divBdr>
    </w:div>
    <w:div w:id="33585539">
      <w:bodyDiv w:val="1"/>
      <w:marLeft w:val="0"/>
      <w:marRight w:val="0"/>
      <w:marTop w:val="0"/>
      <w:marBottom w:val="0"/>
      <w:divBdr>
        <w:top w:val="none" w:sz="0" w:space="0" w:color="auto"/>
        <w:left w:val="none" w:sz="0" w:space="0" w:color="auto"/>
        <w:bottom w:val="none" w:sz="0" w:space="0" w:color="auto"/>
        <w:right w:val="none" w:sz="0" w:space="0" w:color="auto"/>
      </w:divBdr>
    </w:div>
    <w:div w:id="46152820">
      <w:bodyDiv w:val="1"/>
      <w:marLeft w:val="0"/>
      <w:marRight w:val="0"/>
      <w:marTop w:val="0"/>
      <w:marBottom w:val="0"/>
      <w:divBdr>
        <w:top w:val="none" w:sz="0" w:space="0" w:color="auto"/>
        <w:left w:val="none" w:sz="0" w:space="0" w:color="auto"/>
        <w:bottom w:val="none" w:sz="0" w:space="0" w:color="auto"/>
        <w:right w:val="none" w:sz="0" w:space="0" w:color="auto"/>
      </w:divBdr>
    </w:div>
    <w:div w:id="106049391">
      <w:bodyDiv w:val="1"/>
      <w:marLeft w:val="0"/>
      <w:marRight w:val="0"/>
      <w:marTop w:val="0"/>
      <w:marBottom w:val="0"/>
      <w:divBdr>
        <w:top w:val="none" w:sz="0" w:space="0" w:color="auto"/>
        <w:left w:val="none" w:sz="0" w:space="0" w:color="auto"/>
        <w:bottom w:val="none" w:sz="0" w:space="0" w:color="auto"/>
        <w:right w:val="none" w:sz="0" w:space="0" w:color="auto"/>
      </w:divBdr>
    </w:div>
    <w:div w:id="215514492">
      <w:bodyDiv w:val="1"/>
      <w:marLeft w:val="0"/>
      <w:marRight w:val="0"/>
      <w:marTop w:val="0"/>
      <w:marBottom w:val="0"/>
      <w:divBdr>
        <w:top w:val="none" w:sz="0" w:space="0" w:color="auto"/>
        <w:left w:val="none" w:sz="0" w:space="0" w:color="auto"/>
        <w:bottom w:val="none" w:sz="0" w:space="0" w:color="auto"/>
        <w:right w:val="none" w:sz="0" w:space="0" w:color="auto"/>
      </w:divBdr>
      <w:divsChild>
        <w:div w:id="668562864">
          <w:marLeft w:val="0"/>
          <w:marRight w:val="0"/>
          <w:marTop w:val="0"/>
          <w:marBottom w:val="0"/>
          <w:divBdr>
            <w:top w:val="single" w:sz="2" w:space="0" w:color="E3E3E3"/>
            <w:left w:val="single" w:sz="2" w:space="0" w:color="E3E3E3"/>
            <w:bottom w:val="single" w:sz="2" w:space="0" w:color="E3E3E3"/>
            <w:right w:val="single" w:sz="2" w:space="0" w:color="E3E3E3"/>
          </w:divBdr>
          <w:divsChild>
            <w:div w:id="137896976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305432774">
          <w:marLeft w:val="0"/>
          <w:marRight w:val="0"/>
          <w:marTop w:val="0"/>
          <w:marBottom w:val="0"/>
          <w:divBdr>
            <w:top w:val="single" w:sz="2" w:space="0" w:color="E3E3E3"/>
            <w:left w:val="single" w:sz="2" w:space="0" w:color="E3E3E3"/>
            <w:bottom w:val="single" w:sz="2" w:space="0" w:color="E3E3E3"/>
            <w:right w:val="single" w:sz="2" w:space="0" w:color="E3E3E3"/>
          </w:divBdr>
          <w:divsChild>
            <w:div w:id="1875671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360018231">
      <w:bodyDiv w:val="1"/>
      <w:marLeft w:val="0"/>
      <w:marRight w:val="0"/>
      <w:marTop w:val="0"/>
      <w:marBottom w:val="0"/>
      <w:divBdr>
        <w:top w:val="none" w:sz="0" w:space="0" w:color="auto"/>
        <w:left w:val="none" w:sz="0" w:space="0" w:color="auto"/>
        <w:bottom w:val="none" w:sz="0" w:space="0" w:color="auto"/>
        <w:right w:val="none" w:sz="0" w:space="0" w:color="auto"/>
      </w:divBdr>
    </w:div>
    <w:div w:id="370226357">
      <w:bodyDiv w:val="1"/>
      <w:marLeft w:val="0"/>
      <w:marRight w:val="0"/>
      <w:marTop w:val="0"/>
      <w:marBottom w:val="0"/>
      <w:divBdr>
        <w:top w:val="none" w:sz="0" w:space="0" w:color="auto"/>
        <w:left w:val="none" w:sz="0" w:space="0" w:color="auto"/>
        <w:bottom w:val="none" w:sz="0" w:space="0" w:color="auto"/>
        <w:right w:val="none" w:sz="0" w:space="0" w:color="auto"/>
      </w:divBdr>
    </w:div>
    <w:div w:id="591545898">
      <w:bodyDiv w:val="1"/>
      <w:marLeft w:val="0"/>
      <w:marRight w:val="0"/>
      <w:marTop w:val="0"/>
      <w:marBottom w:val="0"/>
      <w:divBdr>
        <w:top w:val="none" w:sz="0" w:space="0" w:color="auto"/>
        <w:left w:val="none" w:sz="0" w:space="0" w:color="auto"/>
        <w:bottom w:val="none" w:sz="0" w:space="0" w:color="auto"/>
        <w:right w:val="none" w:sz="0" w:space="0" w:color="auto"/>
      </w:divBdr>
    </w:div>
    <w:div w:id="635378533">
      <w:bodyDiv w:val="1"/>
      <w:marLeft w:val="0"/>
      <w:marRight w:val="0"/>
      <w:marTop w:val="0"/>
      <w:marBottom w:val="0"/>
      <w:divBdr>
        <w:top w:val="none" w:sz="0" w:space="0" w:color="auto"/>
        <w:left w:val="none" w:sz="0" w:space="0" w:color="auto"/>
        <w:bottom w:val="none" w:sz="0" w:space="0" w:color="auto"/>
        <w:right w:val="none" w:sz="0" w:space="0" w:color="auto"/>
      </w:divBdr>
    </w:div>
    <w:div w:id="690692742">
      <w:bodyDiv w:val="1"/>
      <w:marLeft w:val="0"/>
      <w:marRight w:val="0"/>
      <w:marTop w:val="0"/>
      <w:marBottom w:val="0"/>
      <w:divBdr>
        <w:top w:val="none" w:sz="0" w:space="0" w:color="auto"/>
        <w:left w:val="none" w:sz="0" w:space="0" w:color="auto"/>
        <w:bottom w:val="none" w:sz="0" w:space="0" w:color="auto"/>
        <w:right w:val="none" w:sz="0" w:space="0" w:color="auto"/>
      </w:divBdr>
    </w:div>
    <w:div w:id="764038668">
      <w:bodyDiv w:val="1"/>
      <w:marLeft w:val="0"/>
      <w:marRight w:val="0"/>
      <w:marTop w:val="0"/>
      <w:marBottom w:val="0"/>
      <w:divBdr>
        <w:top w:val="none" w:sz="0" w:space="0" w:color="auto"/>
        <w:left w:val="none" w:sz="0" w:space="0" w:color="auto"/>
        <w:bottom w:val="none" w:sz="0" w:space="0" w:color="auto"/>
        <w:right w:val="none" w:sz="0" w:space="0" w:color="auto"/>
      </w:divBdr>
    </w:div>
    <w:div w:id="771438600">
      <w:bodyDiv w:val="1"/>
      <w:marLeft w:val="0"/>
      <w:marRight w:val="0"/>
      <w:marTop w:val="0"/>
      <w:marBottom w:val="0"/>
      <w:divBdr>
        <w:top w:val="none" w:sz="0" w:space="0" w:color="auto"/>
        <w:left w:val="none" w:sz="0" w:space="0" w:color="auto"/>
        <w:bottom w:val="none" w:sz="0" w:space="0" w:color="auto"/>
        <w:right w:val="none" w:sz="0" w:space="0" w:color="auto"/>
      </w:divBdr>
    </w:div>
    <w:div w:id="808592937">
      <w:bodyDiv w:val="1"/>
      <w:marLeft w:val="0"/>
      <w:marRight w:val="0"/>
      <w:marTop w:val="0"/>
      <w:marBottom w:val="0"/>
      <w:divBdr>
        <w:top w:val="none" w:sz="0" w:space="0" w:color="auto"/>
        <w:left w:val="none" w:sz="0" w:space="0" w:color="auto"/>
        <w:bottom w:val="none" w:sz="0" w:space="0" w:color="auto"/>
        <w:right w:val="none" w:sz="0" w:space="0" w:color="auto"/>
      </w:divBdr>
      <w:divsChild>
        <w:div w:id="733090273">
          <w:marLeft w:val="0"/>
          <w:marRight w:val="0"/>
          <w:marTop w:val="0"/>
          <w:marBottom w:val="0"/>
          <w:divBdr>
            <w:top w:val="single" w:sz="2" w:space="0" w:color="E3E3E3"/>
            <w:left w:val="single" w:sz="2" w:space="0" w:color="E3E3E3"/>
            <w:bottom w:val="single" w:sz="2" w:space="0" w:color="E3E3E3"/>
            <w:right w:val="single" w:sz="2" w:space="0" w:color="E3E3E3"/>
          </w:divBdr>
          <w:divsChild>
            <w:div w:id="467746161">
              <w:marLeft w:val="0"/>
              <w:marRight w:val="0"/>
              <w:marTop w:val="100"/>
              <w:marBottom w:val="100"/>
              <w:divBdr>
                <w:top w:val="single" w:sz="2" w:space="0" w:color="E3E3E3"/>
                <w:left w:val="single" w:sz="2" w:space="0" w:color="E3E3E3"/>
                <w:bottom w:val="single" w:sz="2" w:space="0" w:color="E3E3E3"/>
                <w:right w:val="single" w:sz="2" w:space="0" w:color="E3E3E3"/>
              </w:divBdr>
              <w:divsChild>
                <w:div w:id="1201165138">
                  <w:marLeft w:val="0"/>
                  <w:marRight w:val="0"/>
                  <w:marTop w:val="0"/>
                  <w:marBottom w:val="0"/>
                  <w:divBdr>
                    <w:top w:val="single" w:sz="2" w:space="0" w:color="E3E3E3"/>
                    <w:left w:val="single" w:sz="2" w:space="0" w:color="E3E3E3"/>
                    <w:bottom w:val="single" w:sz="2" w:space="0" w:color="E3E3E3"/>
                    <w:right w:val="single" w:sz="2" w:space="0" w:color="E3E3E3"/>
                  </w:divBdr>
                  <w:divsChild>
                    <w:div w:id="605693039">
                      <w:marLeft w:val="0"/>
                      <w:marRight w:val="0"/>
                      <w:marTop w:val="0"/>
                      <w:marBottom w:val="0"/>
                      <w:divBdr>
                        <w:top w:val="single" w:sz="2" w:space="0" w:color="E3E3E3"/>
                        <w:left w:val="single" w:sz="2" w:space="0" w:color="E3E3E3"/>
                        <w:bottom w:val="single" w:sz="2" w:space="0" w:color="E3E3E3"/>
                        <w:right w:val="single" w:sz="2" w:space="0" w:color="E3E3E3"/>
                      </w:divBdr>
                      <w:divsChild>
                        <w:div w:id="2122871093">
                          <w:marLeft w:val="0"/>
                          <w:marRight w:val="0"/>
                          <w:marTop w:val="0"/>
                          <w:marBottom w:val="0"/>
                          <w:divBdr>
                            <w:top w:val="single" w:sz="2" w:space="0" w:color="E3E3E3"/>
                            <w:left w:val="single" w:sz="2" w:space="0" w:color="E3E3E3"/>
                            <w:bottom w:val="single" w:sz="2" w:space="0" w:color="E3E3E3"/>
                            <w:right w:val="single" w:sz="2" w:space="0" w:color="E3E3E3"/>
                          </w:divBdr>
                          <w:divsChild>
                            <w:div w:id="325061132">
                              <w:marLeft w:val="0"/>
                              <w:marRight w:val="0"/>
                              <w:marTop w:val="0"/>
                              <w:marBottom w:val="0"/>
                              <w:divBdr>
                                <w:top w:val="single" w:sz="2" w:space="0" w:color="E3E3E3"/>
                                <w:left w:val="single" w:sz="2" w:space="0" w:color="E3E3E3"/>
                                <w:bottom w:val="single" w:sz="2" w:space="0" w:color="E3E3E3"/>
                                <w:right w:val="single" w:sz="2" w:space="0" w:color="E3E3E3"/>
                              </w:divBdr>
                              <w:divsChild>
                                <w:div w:id="1502163325">
                                  <w:marLeft w:val="0"/>
                                  <w:marRight w:val="0"/>
                                  <w:marTop w:val="0"/>
                                  <w:marBottom w:val="0"/>
                                  <w:divBdr>
                                    <w:top w:val="single" w:sz="2" w:space="0" w:color="E3E3E3"/>
                                    <w:left w:val="single" w:sz="2" w:space="0" w:color="E3E3E3"/>
                                    <w:bottom w:val="single" w:sz="2" w:space="0" w:color="E3E3E3"/>
                                    <w:right w:val="single" w:sz="2" w:space="0" w:color="E3E3E3"/>
                                  </w:divBdr>
                                  <w:divsChild>
                                    <w:div w:id="131875206">
                                      <w:marLeft w:val="0"/>
                                      <w:marRight w:val="0"/>
                                      <w:marTop w:val="0"/>
                                      <w:marBottom w:val="0"/>
                                      <w:divBdr>
                                        <w:top w:val="single" w:sz="2" w:space="0" w:color="E3E3E3"/>
                                        <w:left w:val="single" w:sz="2" w:space="0" w:color="E3E3E3"/>
                                        <w:bottom w:val="single" w:sz="2" w:space="0" w:color="E3E3E3"/>
                                        <w:right w:val="single" w:sz="2" w:space="0" w:color="E3E3E3"/>
                                      </w:divBdr>
                                      <w:divsChild>
                                        <w:div w:id="308756425">
                                          <w:marLeft w:val="0"/>
                                          <w:marRight w:val="0"/>
                                          <w:marTop w:val="0"/>
                                          <w:marBottom w:val="0"/>
                                          <w:divBdr>
                                            <w:top w:val="single" w:sz="2" w:space="0" w:color="auto"/>
                                            <w:left w:val="single" w:sz="2" w:space="0" w:color="auto"/>
                                            <w:bottom w:val="single" w:sz="2" w:space="0" w:color="auto"/>
                                            <w:right w:val="single" w:sz="2" w:space="0" w:color="auto"/>
                                          </w:divBdr>
                                          <w:divsChild>
                                            <w:div w:id="625279725">
                                              <w:marLeft w:val="0"/>
                                              <w:marRight w:val="0"/>
                                              <w:marTop w:val="0"/>
                                              <w:marBottom w:val="0"/>
                                              <w:divBdr>
                                                <w:top w:val="single" w:sz="2" w:space="0" w:color="E3E3E3"/>
                                                <w:left w:val="single" w:sz="2" w:space="0" w:color="E3E3E3"/>
                                                <w:bottom w:val="single" w:sz="2" w:space="0" w:color="E3E3E3"/>
                                                <w:right w:val="single" w:sz="2" w:space="0" w:color="E3E3E3"/>
                                              </w:divBdr>
                                              <w:divsChild>
                                                <w:div w:id="74333748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1881769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 w:id="876040216">
      <w:bodyDiv w:val="1"/>
      <w:marLeft w:val="0"/>
      <w:marRight w:val="0"/>
      <w:marTop w:val="0"/>
      <w:marBottom w:val="0"/>
      <w:divBdr>
        <w:top w:val="none" w:sz="0" w:space="0" w:color="auto"/>
        <w:left w:val="none" w:sz="0" w:space="0" w:color="auto"/>
        <w:bottom w:val="none" w:sz="0" w:space="0" w:color="auto"/>
        <w:right w:val="none" w:sz="0" w:space="0" w:color="auto"/>
      </w:divBdr>
    </w:div>
    <w:div w:id="1028994513">
      <w:bodyDiv w:val="1"/>
      <w:marLeft w:val="0"/>
      <w:marRight w:val="0"/>
      <w:marTop w:val="0"/>
      <w:marBottom w:val="0"/>
      <w:divBdr>
        <w:top w:val="none" w:sz="0" w:space="0" w:color="auto"/>
        <w:left w:val="none" w:sz="0" w:space="0" w:color="auto"/>
        <w:bottom w:val="none" w:sz="0" w:space="0" w:color="auto"/>
        <w:right w:val="none" w:sz="0" w:space="0" w:color="auto"/>
      </w:divBdr>
    </w:div>
    <w:div w:id="1032268579">
      <w:bodyDiv w:val="1"/>
      <w:marLeft w:val="0"/>
      <w:marRight w:val="0"/>
      <w:marTop w:val="0"/>
      <w:marBottom w:val="0"/>
      <w:divBdr>
        <w:top w:val="none" w:sz="0" w:space="0" w:color="auto"/>
        <w:left w:val="none" w:sz="0" w:space="0" w:color="auto"/>
        <w:bottom w:val="none" w:sz="0" w:space="0" w:color="auto"/>
        <w:right w:val="none" w:sz="0" w:space="0" w:color="auto"/>
      </w:divBdr>
    </w:div>
    <w:div w:id="1033533657">
      <w:bodyDiv w:val="1"/>
      <w:marLeft w:val="0"/>
      <w:marRight w:val="0"/>
      <w:marTop w:val="0"/>
      <w:marBottom w:val="0"/>
      <w:divBdr>
        <w:top w:val="none" w:sz="0" w:space="0" w:color="auto"/>
        <w:left w:val="none" w:sz="0" w:space="0" w:color="auto"/>
        <w:bottom w:val="none" w:sz="0" w:space="0" w:color="auto"/>
        <w:right w:val="none" w:sz="0" w:space="0" w:color="auto"/>
      </w:divBdr>
    </w:div>
    <w:div w:id="1265311545">
      <w:bodyDiv w:val="1"/>
      <w:marLeft w:val="0"/>
      <w:marRight w:val="0"/>
      <w:marTop w:val="0"/>
      <w:marBottom w:val="0"/>
      <w:divBdr>
        <w:top w:val="none" w:sz="0" w:space="0" w:color="auto"/>
        <w:left w:val="none" w:sz="0" w:space="0" w:color="auto"/>
        <w:bottom w:val="none" w:sz="0" w:space="0" w:color="auto"/>
        <w:right w:val="none" w:sz="0" w:space="0" w:color="auto"/>
      </w:divBdr>
      <w:divsChild>
        <w:div w:id="101345929">
          <w:marLeft w:val="0"/>
          <w:marRight w:val="0"/>
          <w:marTop w:val="0"/>
          <w:marBottom w:val="0"/>
          <w:divBdr>
            <w:top w:val="single" w:sz="2" w:space="0" w:color="E3E3E3"/>
            <w:left w:val="single" w:sz="2" w:space="0" w:color="E3E3E3"/>
            <w:bottom w:val="single" w:sz="2" w:space="0" w:color="E3E3E3"/>
            <w:right w:val="single" w:sz="2" w:space="0" w:color="E3E3E3"/>
          </w:divBdr>
          <w:divsChild>
            <w:div w:id="2190986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082293993">
          <w:marLeft w:val="0"/>
          <w:marRight w:val="0"/>
          <w:marTop w:val="0"/>
          <w:marBottom w:val="0"/>
          <w:divBdr>
            <w:top w:val="single" w:sz="2" w:space="0" w:color="E3E3E3"/>
            <w:left w:val="single" w:sz="2" w:space="0" w:color="E3E3E3"/>
            <w:bottom w:val="single" w:sz="2" w:space="0" w:color="E3E3E3"/>
            <w:right w:val="single" w:sz="2" w:space="0" w:color="E3E3E3"/>
          </w:divBdr>
          <w:divsChild>
            <w:div w:id="59775474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265380806">
      <w:bodyDiv w:val="1"/>
      <w:marLeft w:val="0"/>
      <w:marRight w:val="0"/>
      <w:marTop w:val="0"/>
      <w:marBottom w:val="0"/>
      <w:divBdr>
        <w:top w:val="none" w:sz="0" w:space="0" w:color="auto"/>
        <w:left w:val="none" w:sz="0" w:space="0" w:color="auto"/>
        <w:bottom w:val="none" w:sz="0" w:space="0" w:color="auto"/>
        <w:right w:val="none" w:sz="0" w:space="0" w:color="auto"/>
      </w:divBdr>
    </w:div>
    <w:div w:id="1370841597">
      <w:bodyDiv w:val="1"/>
      <w:marLeft w:val="0"/>
      <w:marRight w:val="0"/>
      <w:marTop w:val="0"/>
      <w:marBottom w:val="0"/>
      <w:divBdr>
        <w:top w:val="none" w:sz="0" w:space="0" w:color="auto"/>
        <w:left w:val="none" w:sz="0" w:space="0" w:color="auto"/>
        <w:bottom w:val="none" w:sz="0" w:space="0" w:color="auto"/>
        <w:right w:val="none" w:sz="0" w:space="0" w:color="auto"/>
      </w:divBdr>
    </w:div>
    <w:div w:id="1532498279">
      <w:bodyDiv w:val="1"/>
      <w:marLeft w:val="0"/>
      <w:marRight w:val="0"/>
      <w:marTop w:val="0"/>
      <w:marBottom w:val="0"/>
      <w:divBdr>
        <w:top w:val="none" w:sz="0" w:space="0" w:color="auto"/>
        <w:left w:val="none" w:sz="0" w:space="0" w:color="auto"/>
        <w:bottom w:val="none" w:sz="0" w:space="0" w:color="auto"/>
        <w:right w:val="none" w:sz="0" w:space="0" w:color="auto"/>
      </w:divBdr>
    </w:div>
    <w:div w:id="1601798023">
      <w:bodyDiv w:val="1"/>
      <w:marLeft w:val="0"/>
      <w:marRight w:val="0"/>
      <w:marTop w:val="0"/>
      <w:marBottom w:val="0"/>
      <w:divBdr>
        <w:top w:val="none" w:sz="0" w:space="0" w:color="auto"/>
        <w:left w:val="none" w:sz="0" w:space="0" w:color="auto"/>
        <w:bottom w:val="none" w:sz="0" w:space="0" w:color="auto"/>
        <w:right w:val="none" w:sz="0" w:space="0" w:color="auto"/>
      </w:divBdr>
    </w:div>
    <w:div w:id="1799253659">
      <w:bodyDiv w:val="1"/>
      <w:marLeft w:val="0"/>
      <w:marRight w:val="0"/>
      <w:marTop w:val="0"/>
      <w:marBottom w:val="0"/>
      <w:divBdr>
        <w:top w:val="none" w:sz="0" w:space="0" w:color="auto"/>
        <w:left w:val="none" w:sz="0" w:space="0" w:color="auto"/>
        <w:bottom w:val="none" w:sz="0" w:space="0" w:color="auto"/>
        <w:right w:val="none" w:sz="0" w:space="0" w:color="auto"/>
      </w:divBdr>
    </w:div>
    <w:div w:id="1822116613">
      <w:bodyDiv w:val="1"/>
      <w:marLeft w:val="0"/>
      <w:marRight w:val="0"/>
      <w:marTop w:val="0"/>
      <w:marBottom w:val="0"/>
      <w:divBdr>
        <w:top w:val="none" w:sz="0" w:space="0" w:color="auto"/>
        <w:left w:val="none" w:sz="0" w:space="0" w:color="auto"/>
        <w:bottom w:val="none" w:sz="0" w:space="0" w:color="auto"/>
        <w:right w:val="none" w:sz="0" w:space="0" w:color="auto"/>
      </w:divBdr>
    </w:div>
    <w:div w:id="1963030750">
      <w:bodyDiv w:val="1"/>
      <w:marLeft w:val="0"/>
      <w:marRight w:val="0"/>
      <w:marTop w:val="0"/>
      <w:marBottom w:val="0"/>
      <w:divBdr>
        <w:top w:val="none" w:sz="0" w:space="0" w:color="auto"/>
        <w:left w:val="none" w:sz="0" w:space="0" w:color="auto"/>
        <w:bottom w:val="none" w:sz="0" w:space="0" w:color="auto"/>
        <w:right w:val="none" w:sz="0" w:space="0" w:color="auto"/>
      </w:divBdr>
    </w:div>
    <w:div w:id="2081831051">
      <w:bodyDiv w:val="1"/>
      <w:marLeft w:val="0"/>
      <w:marRight w:val="0"/>
      <w:marTop w:val="0"/>
      <w:marBottom w:val="0"/>
      <w:divBdr>
        <w:top w:val="none" w:sz="0" w:space="0" w:color="auto"/>
        <w:left w:val="none" w:sz="0" w:space="0" w:color="auto"/>
        <w:bottom w:val="none" w:sz="0" w:space="0" w:color="auto"/>
        <w:right w:val="none" w:sz="0" w:space="0" w:color="auto"/>
      </w:divBdr>
    </w:div>
    <w:div w:id="210260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Undergraduate" TargetMode="External"/><Relationship Id="rId5" Type="http://schemas.openxmlformats.org/officeDocument/2006/relationships/webSettings" Target="webSettings.xml"/><Relationship Id="rId15" Type="http://schemas.openxmlformats.org/officeDocument/2006/relationships/hyperlink" Target="https://doi.org/10.3390/su11154249" TargetMode="External"/><Relationship Id="rId10" Type="http://schemas.openxmlformats.org/officeDocument/2006/relationships/hyperlink" Target="https://en.wikipedia.org/wiki/Higher_National_Diploma" TargetMode="External"/><Relationship Id="rId4" Type="http://schemas.openxmlformats.org/officeDocument/2006/relationships/settings" Target="settings.xml"/><Relationship Id="rId9" Type="http://schemas.openxmlformats.org/officeDocument/2006/relationships/hyperlink" Target="https://en.wikipedia.org/wiki/Bauchi_State"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C2BB6-F441-4E51-AFBB-6CF8B8D5B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34</Pages>
  <Words>17561</Words>
  <Characters>108882</Characters>
  <Application>Microsoft Office Word</Application>
  <DocSecurity>0</DocSecurity>
  <Lines>2367</Lines>
  <Paragraphs>1453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Engr. D.M. Nazif</dc:creator>
  <cp:keywords/>
  <dc:description/>
  <cp:lastModifiedBy>Muhammad Danladi</cp:lastModifiedBy>
  <cp:revision>16</cp:revision>
  <dcterms:created xsi:type="dcterms:W3CDTF">2024-06-17T07:27:00Z</dcterms:created>
  <dcterms:modified xsi:type="dcterms:W3CDTF">2024-06-28T10:28:00Z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GrammarlyDocumentId">
    <vt:lpwstr>95c243bcce32d77981da403e790773b478d0b5740bb6d3572e187eb64b04cbfb</vt:lpwstr>
  </property>
</Properties>
</file>