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908FBA" w14:textId="77777777" w:rsidR="00980C0C" w:rsidRDefault="00980C0C">
      <w:pPr>
        <w:pStyle w:val="MSGENFONTSTYLENAMETEMPLATEROLEMSGENFONTSTYLENAMEBYROLERUNNINGTITLE"/>
        <w:jc w:val="center"/>
        <w:rPr>
          <w:rStyle w:val="MSGENFONTSTYLENAMETEMPLATEROLEMSGENFONTSTYLENAMEBYROLERUNNINGTITLEMSGENFONTSTYLEMODIFERBOLD"/>
          <w:sz w:val="32"/>
          <w:szCs w:val="32"/>
        </w:rPr>
      </w:pPr>
      <w:bookmarkStart w:id="0" w:name="bookmark0"/>
    </w:p>
    <w:p w14:paraId="10E696AF" w14:textId="78DE516F" w:rsidR="00980C0C" w:rsidRDefault="00CF1607">
      <w:pPr>
        <w:pStyle w:val="MSGENFONTSTYLENAMETEMPLATEROLEMSGENFONTSTYLENAMEBYROLERUNNINGTITLE"/>
        <w:jc w:val="center"/>
        <w:rPr>
          <w:rFonts w:eastAsia="SimSun"/>
          <w:b/>
          <w:sz w:val="48"/>
          <w:szCs w:val="48"/>
          <w:lang w:val="en-AU" w:eastAsia="zh-CN"/>
        </w:rPr>
      </w:pPr>
      <w:r>
        <w:rPr>
          <w:rFonts w:eastAsia="SimSun"/>
          <w:b/>
          <w:sz w:val="48"/>
          <w:szCs w:val="48"/>
        </w:rPr>
        <w:t xml:space="preserve">Comparative </w:t>
      </w:r>
      <w:r w:rsidR="00352D5D" w:rsidRPr="00352D5D">
        <w:rPr>
          <w:rFonts w:eastAsia="SimSun"/>
          <w:b/>
          <w:sz w:val="48"/>
          <w:szCs w:val="48"/>
        </w:rPr>
        <w:t>analysis of vertically mass irregular RC frame structure</w:t>
      </w:r>
    </w:p>
    <w:p w14:paraId="792F6F51" w14:textId="77777777" w:rsidR="00980C0C" w:rsidRDefault="00980C0C">
      <w:pPr>
        <w:pStyle w:val="IEEEAuthorAffiliation"/>
        <w:spacing w:after="0" w:line="240" w:lineRule="auto"/>
        <w:rPr>
          <w:i w:val="0"/>
          <w:sz w:val="22"/>
          <w:lang w:val="en-US"/>
        </w:rPr>
      </w:pPr>
    </w:p>
    <w:p w14:paraId="2BCE7C06" w14:textId="4E0EDB23" w:rsidR="00980C0C" w:rsidRDefault="004D1F94">
      <w:pPr>
        <w:pStyle w:val="IEEEAuthorAffiliation"/>
        <w:spacing w:after="0" w:line="240" w:lineRule="auto"/>
        <w:rPr>
          <w:i w:val="0"/>
          <w:sz w:val="22"/>
        </w:rPr>
      </w:pPr>
      <w:r>
        <w:rPr>
          <w:i w:val="0"/>
          <w:sz w:val="22"/>
          <w:lang w:val="en-US"/>
        </w:rPr>
        <w:t>Sumit Sunil Pandit</w:t>
      </w:r>
      <w:r w:rsidRPr="006B2999">
        <w:rPr>
          <w:i w:val="0"/>
          <w:sz w:val="22"/>
          <w:vertAlign w:val="superscript"/>
        </w:rPr>
        <w:t>1</w:t>
      </w:r>
      <w:r w:rsidR="00BD230A" w:rsidRPr="006B2999">
        <w:rPr>
          <w:i w:val="0"/>
          <w:sz w:val="22"/>
        </w:rPr>
        <w:t xml:space="preserve">, </w:t>
      </w:r>
      <w:r w:rsidR="008B7497" w:rsidRPr="006B2999">
        <w:rPr>
          <w:i w:val="0"/>
          <w:sz w:val="22"/>
          <w:lang w:val="en-US"/>
        </w:rPr>
        <w:t>Prof. Ishant Dahat</w:t>
      </w:r>
      <w:r w:rsidR="00BD230A" w:rsidRPr="006B2999">
        <w:rPr>
          <w:i w:val="0"/>
          <w:sz w:val="22"/>
          <w:vertAlign w:val="superscript"/>
        </w:rPr>
        <w:t>2</w:t>
      </w:r>
    </w:p>
    <w:p w14:paraId="2B78C6ED" w14:textId="77777777" w:rsidR="00980C0C" w:rsidRDefault="00BD230A">
      <w:pPr>
        <w:pStyle w:val="IEEEAuthorAffiliation"/>
        <w:spacing w:after="0" w:line="240" w:lineRule="auto"/>
        <w:rPr>
          <w:i w:val="0"/>
        </w:rPr>
      </w:pPr>
      <w:r>
        <w:rPr>
          <w:i w:val="0"/>
        </w:rPr>
        <w:t xml:space="preserve">P.G. Student, Department of </w:t>
      </w:r>
      <w:r>
        <w:rPr>
          <w:i w:val="0"/>
          <w:lang w:val="en-US"/>
        </w:rPr>
        <w:t>Civil</w:t>
      </w:r>
      <w:r>
        <w:rPr>
          <w:i w:val="0"/>
        </w:rPr>
        <w:t xml:space="preserve"> Engineering, </w:t>
      </w:r>
      <w:r>
        <w:rPr>
          <w:i w:val="0"/>
          <w:lang w:val="en-US"/>
        </w:rPr>
        <w:t>G. H. Raisoni University</w:t>
      </w:r>
      <w:r>
        <w:rPr>
          <w:i w:val="0"/>
        </w:rPr>
        <w:t xml:space="preserve">, </w:t>
      </w:r>
      <w:r>
        <w:rPr>
          <w:i w:val="0"/>
          <w:lang w:val="en-US"/>
        </w:rPr>
        <w:t>Amravati</w:t>
      </w:r>
      <w:r>
        <w:rPr>
          <w:i w:val="0"/>
        </w:rPr>
        <w:t>,</w:t>
      </w:r>
      <w:r>
        <w:rPr>
          <w:i w:val="0"/>
          <w:lang w:val="en-US"/>
        </w:rPr>
        <w:t xml:space="preserve"> Maharashtra,</w:t>
      </w:r>
      <w:r>
        <w:rPr>
          <w:i w:val="0"/>
        </w:rPr>
        <w:t xml:space="preserve"> India</w:t>
      </w:r>
      <w:r>
        <w:rPr>
          <w:i w:val="0"/>
          <w:vertAlign w:val="superscript"/>
        </w:rPr>
        <w:t>1</w:t>
      </w:r>
    </w:p>
    <w:p w14:paraId="53743648" w14:textId="77777777" w:rsidR="00980C0C" w:rsidRDefault="00BD230A">
      <w:pPr>
        <w:pStyle w:val="IEEEAuthorAffiliation"/>
        <w:spacing w:after="0" w:line="240" w:lineRule="auto"/>
        <w:rPr>
          <w:i w:val="0"/>
        </w:rPr>
      </w:pPr>
      <w:r>
        <w:rPr>
          <w:i w:val="0"/>
        </w:rPr>
        <w:t>Ass</w:t>
      </w:r>
      <w:r>
        <w:rPr>
          <w:i w:val="0"/>
          <w:lang w:val="en-US"/>
        </w:rPr>
        <w:t>istant</w:t>
      </w:r>
      <w:r>
        <w:rPr>
          <w:i w:val="0"/>
        </w:rPr>
        <w:t xml:space="preserve"> Professor, Department of </w:t>
      </w:r>
      <w:r>
        <w:rPr>
          <w:i w:val="0"/>
          <w:lang w:val="en-US"/>
        </w:rPr>
        <w:t>Civil</w:t>
      </w:r>
      <w:r>
        <w:rPr>
          <w:i w:val="0"/>
        </w:rPr>
        <w:t xml:space="preserve"> Engineering, </w:t>
      </w:r>
      <w:r>
        <w:rPr>
          <w:i w:val="0"/>
          <w:lang w:val="en-US"/>
        </w:rPr>
        <w:t>G. H. Raisoni University</w:t>
      </w:r>
      <w:r>
        <w:rPr>
          <w:i w:val="0"/>
        </w:rPr>
        <w:t xml:space="preserve">, </w:t>
      </w:r>
      <w:r>
        <w:rPr>
          <w:i w:val="0"/>
          <w:lang w:val="en-US"/>
        </w:rPr>
        <w:t>Amravati</w:t>
      </w:r>
      <w:r>
        <w:rPr>
          <w:i w:val="0"/>
        </w:rPr>
        <w:t>,</w:t>
      </w:r>
      <w:r>
        <w:rPr>
          <w:i w:val="0"/>
          <w:lang w:val="en-US"/>
        </w:rPr>
        <w:t xml:space="preserve"> Maharashtra,</w:t>
      </w:r>
      <w:r>
        <w:rPr>
          <w:i w:val="0"/>
        </w:rPr>
        <w:t xml:space="preserve"> India</w:t>
      </w:r>
      <w:r>
        <w:rPr>
          <w:i w:val="0"/>
          <w:vertAlign w:val="superscript"/>
        </w:rPr>
        <w:t>2</w:t>
      </w:r>
    </w:p>
    <w:p w14:paraId="2C534D3C" w14:textId="77777777" w:rsidR="00980C0C" w:rsidRDefault="00980C0C">
      <w:pPr>
        <w:pStyle w:val="MSGENFONTSTYLENAMETEMPLATEROLELEVELMSGENFONTSTYLENAMEBYROLEHEADING2"/>
        <w:keepNext/>
        <w:keepLines/>
        <w:spacing w:after="263" w:line="300" w:lineRule="exact"/>
        <w:ind w:firstLine="0"/>
        <w:rPr>
          <w:rStyle w:val="MSGENFONTSTYLENAMETEMPLATEROLELEVELMSGENFONTSTYLENAMEBYROLEHEADING20"/>
        </w:rPr>
      </w:pPr>
    </w:p>
    <w:p w14:paraId="0F6FAF1C" w14:textId="77777777" w:rsidR="00DE7B05" w:rsidRDefault="00BD230A" w:rsidP="005123D5">
      <w:pPr>
        <w:pStyle w:val="MSGENFONTSTYLENAMETEMPLATEROLELEVELMSGENFONTSTYLENAMEBYROLEHEADING2"/>
        <w:keepNext/>
        <w:keepLines/>
        <w:spacing w:after="263" w:line="240" w:lineRule="auto"/>
        <w:ind w:firstLine="0"/>
        <w:jc w:val="both"/>
        <w:rPr>
          <w:rStyle w:val="MSGENFONTSTYLENAMETEMPLATEROLELEVELMSGENFONTSTYLENAMEBYROLEHEADING20"/>
          <w:sz w:val="20"/>
        </w:rPr>
      </w:pPr>
      <w:r w:rsidRPr="00F47487">
        <w:rPr>
          <w:rStyle w:val="MSGENFONTSTYLENAMETEMPLATEROLELEVELMSGENFONTSTYLENAMEBYROLEHEADING20"/>
          <w:b/>
          <w:bCs/>
          <w:sz w:val="20"/>
        </w:rPr>
        <w:t>ABSTRACT:</w:t>
      </w:r>
      <w:bookmarkEnd w:id="0"/>
      <w:r w:rsidRPr="00F47487">
        <w:rPr>
          <w:rStyle w:val="MSGENFONTSTYLENAMETEMPLATEROLELEVELMSGENFONTSTYLENAMEBYROLEHEADING20"/>
          <w:b/>
          <w:bCs/>
          <w:sz w:val="20"/>
        </w:rPr>
        <w:t xml:space="preserve"> </w:t>
      </w:r>
      <w:r w:rsidR="00DE7B05" w:rsidRPr="00DE7B05">
        <w:rPr>
          <w:rStyle w:val="MSGENFONTSTYLENAMETEMPLATEROLELEVELMSGENFONTSTYLENAMEBYROLEHEADING20"/>
          <w:sz w:val="20"/>
        </w:rPr>
        <w:t>It would be ideal if all buildings had their own elements that resisted the side load, symmetrically located, and the ground movements of the earthquake would strike in known directions. Due to the lack of land in large cities, architects often offer irregular buildings in order to use the most accessible land and provide adequate ventilation and light in various building components. However, quite often structural inequality is the result of a combination of both types. Most buildings have a degree of unevenness in the geometric configuration or distribution of mass, rigidity and / or strength. This work consists of a comparative analysis of the vertically mass irregular structure of the frame RC.</w:t>
      </w:r>
    </w:p>
    <w:p w14:paraId="706FACAF" w14:textId="779AF9D7" w:rsidR="00980C0C" w:rsidRPr="00F47487" w:rsidRDefault="00BD230A" w:rsidP="005123D5">
      <w:pPr>
        <w:pStyle w:val="MSGENFONTSTYLENAMETEMPLATEROLELEVELMSGENFONTSTYLENAMEBYROLEHEADING2"/>
        <w:keepNext/>
        <w:keepLines/>
        <w:spacing w:after="263" w:line="240" w:lineRule="auto"/>
        <w:ind w:firstLine="0"/>
        <w:jc w:val="both"/>
        <w:rPr>
          <w:rStyle w:val="MSGENFONTSTYLENAMETEMPLATEROLEMSGENFONTSTYLENAMEBYROLETEXT0"/>
          <w:sz w:val="20"/>
        </w:rPr>
      </w:pPr>
      <w:r w:rsidRPr="00F47487">
        <w:rPr>
          <w:rStyle w:val="MSGENFONTSTYLENAMETEMPLATEROLEMSGENFONTSTYLENAMEBYROLETEXT0"/>
          <w:bCs/>
          <w:sz w:val="20"/>
        </w:rPr>
        <w:t>Keywords:</w:t>
      </w:r>
      <w:r w:rsidR="008B7497" w:rsidRPr="00F47487">
        <w:rPr>
          <w:rStyle w:val="MSGENFONTSTYLENAMETEMPLATEROLEMSGENFONTSTYLENAMEBYROLETEXT0"/>
          <w:sz w:val="20"/>
        </w:rPr>
        <w:t xml:space="preserve"> </w:t>
      </w:r>
      <w:r w:rsidR="00352D5D" w:rsidRPr="00352D5D">
        <w:rPr>
          <w:rStyle w:val="MSGENFONTSTYLENAMETEMPLATEROLEMSGENFONTSTYLENAMEBYROLETEXT0"/>
          <w:sz w:val="20"/>
        </w:rPr>
        <w:t>response</w:t>
      </w:r>
      <w:r w:rsidR="00352D5D">
        <w:rPr>
          <w:rStyle w:val="MSGENFONTSTYLENAMETEMPLATEROLEMSGENFONTSTYLENAMEBYROLETEXT0"/>
          <w:sz w:val="20"/>
        </w:rPr>
        <w:t xml:space="preserve">, </w:t>
      </w:r>
      <w:r w:rsidR="00352D5D" w:rsidRPr="00352D5D">
        <w:rPr>
          <w:rStyle w:val="MSGENFONTSTYLENAMETEMPLATEROLEMSGENFONTSTYLENAMEBYROLETEXT0"/>
          <w:sz w:val="20"/>
        </w:rPr>
        <w:t>Irregular structures</w:t>
      </w:r>
      <w:r w:rsidR="00352D5D">
        <w:rPr>
          <w:rStyle w:val="MSGENFONTSTYLENAMETEMPLATEROLEMSGENFONTSTYLENAMEBYROLETEXT0"/>
          <w:sz w:val="20"/>
        </w:rPr>
        <w:t xml:space="preserve">, </w:t>
      </w:r>
      <w:r w:rsidR="00352D5D" w:rsidRPr="00352D5D">
        <w:rPr>
          <w:rStyle w:val="MSGENFONTSTYLENAMETEMPLATEROLEMSGENFONTSTYLENAMEBYROLETEXT0"/>
          <w:sz w:val="20"/>
        </w:rPr>
        <w:t>Asymmetric structures</w:t>
      </w:r>
      <w:r w:rsidR="00352D5D">
        <w:rPr>
          <w:rStyle w:val="MSGENFONTSTYLENAMETEMPLATEROLEMSGENFONTSTYLENAMEBYROLETEXT0"/>
          <w:sz w:val="20"/>
        </w:rPr>
        <w:t xml:space="preserve"> and seismic</w:t>
      </w:r>
    </w:p>
    <w:p w14:paraId="0740BC00" w14:textId="77777777" w:rsidR="00980C0C" w:rsidRPr="00F47487" w:rsidRDefault="00980C0C">
      <w:pPr>
        <w:pStyle w:val="MSGENFONTSTYLENAMETEMPLATEROLEMSGENFONTSTYLENAMEBYROLETEXT"/>
        <w:spacing w:before="0" w:after="0" w:line="240" w:lineRule="auto"/>
        <w:ind w:right="40" w:firstLine="0"/>
        <w:rPr>
          <w:sz w:val="20"/>
        </w:rPr>
      </w:pPr>
    </w:p>
    <w:p w14:paraId="5978FA61" w14:textId="77777777" w:rsidR="00980C0C" w:rsidRPr="00F47487" w:rsidRDefault="00BD230A">
      <w:pPr>
        <w:widowControl/>
        <w:numPr>
          <w:ilvl w:val="0"/>
          <w:numId w:val="1"/>
        </w:numPr>
        <w:spacing w:after="200" w:line="240" w:lineRule="auto"/>
        <w:jc w:val="center"/>
        <w:rPr>
          <w:sz w:val="20"/>
        </w:rPr>
      </w:pPr>
      <w:bookmarkStart w:id="1" w:name="bookmark1"/>
      <w:r w:rsidRPr="00F47487">
        <w:rPr>
          <w:sz w:val="20"/>
        </w:rPr>
        <w:t>INTRODUCTION:</w:t>
      </w:r>
      <w:bookmarkEnd w:id="1"/>
    </w:p>
    <w:p w14:paraId="529233C7" w14:textId="67A1BC31" w:rsidR="00453C9F" w:rsidRPr="00F47487" w:rsidRDefault="00DE7B05" w:rsidP="00E21259">
      <w:pPr>
        <w:spacing w:line="240" w:lineRule="auto"/>
        <w:jc w:val="both"/>
        <w:rPr>
          <w:sz w:val="20"/>
        </w:rPr>
      </w:pPr>
      <w:r w:rsidRPr="00DE7B05">
        <w:rPr>
          <w:sz w:val="20"/>
        </w:rPr>
        <w:t>An asymmetric building (touringly unbalanced) can be defined as one in which, for a purely translational movement, the result of resistance forces does not pass through the center of mass (Humar and Kumar, 1999) [12]. At stress in the inelastic range, torsional movements in such structures will lead to movements and plasticity requirements much larger than in symmetrical buildings (including torsion), which have similar characteristics. In general, torsion resulting from the eccentric distribution of mass and rigidity can be taken into account when describing the moment of gradual torsion (T) in each floor, equal shift (B) on this floor multiplied by the eccentricity (e) measured perpendicular to the direction of the applied movement of the earth. The exact assessment of the torsion response is quite complex, as the associated lateral vibration modes of the entire structure should be considered by performing the calculation of the reaction of two or three sizes.</w:t>
      </w:r>
    </w:p>
    <w:p w14:paraId="697235D8" w14:textId="1BCC16E0" w:rsidR="00980C0C" w:rsidRPr="00F47487" w:rsidRDefault="00BD230A">
      <w:pPr>
        <w:widowControl/>
        <w:numPr>
          <w:ilvl w:val="0"/>
          <w:numId w:val="1"/>
        </w:numPr>
        <w:spacing w:after="200" w:line="240" w:lineRule="auto"/>
        <w:jc w:val="center"/>
        <w:rPr>
          <w:sz w:val="20"/>
        </w:rPr>
      </w:pPr>
      <w:bookmarkStart w:id="2" w:name="bookmark16"/>
      <w:r w:rsidRPr="00F47487">
        <w:rPr>
          <w:sz w:val="20"/>
        </w:rPr>
        <w:t xml:space="preserve"> REVIEW OF LITERATURE</w:t>
      </w:r>
      <w:bookmarkEnd w:id="2"/>
    </w:p>
    <w:p w14:paraId="43297CE5" w14:textId="77777777" w:rsidR="00DE7B05" w:rsidRPr="00DE7B05" w:rsidRDefault="00453C9F" w:rsidP="00DE7B05">
      <w:pPr>
        <w:pStyle w:val="MSGENFONTSTYLENAMETEMPLATEROLEMSGENFONTSTYLENAMEBYROLETEXT"/>
        <w:tabs>
          <w:tab w:val="left" w:pos="336"/>
        </w:tabs>
        <w:spacing w:before="100" w:beforeAutospacing="1" w:after="0" w:line="240" w:lineRule="auto"/>
        <w:ind w:right="6"/>
        <w:rPr>
          <w:rStyle w:val="MSGENFONTSTYLENAMETEMPLATEROLEMSGENFONTSTYLENAMEBYROLETEXTMSGENFONTSTYLEMODIFERBOLD"/>
          <w:b w:val="0"/>
          <w:sz w:val="20"/>
        </w:rPr>
      </w:pPr>
      <w:r>
        <w:rPr>
          <w:rStyle w:val="MSGENFONTSTYLENAMETEMPLATEROLEMSGENFONTSTYLENAMEBYROLETEXTMSGENFONTSTYLEMODIFERBOLD"/>
          <w:b w:val="0"/>
          <w:sz w:val="20"/>
        </w:rPr>
        <w:tab/>
      </w:r>
      <w:r w:rsidR="00DE7B05" w:rsidRPr="00DE7B05">
        <w:rPr>
          <w:rStyle w:val="MSGENFONTSTYLENAMETEMPLATEROLEMSGENFONTSTYLENAMEBYROLETEXTMSGENFONTSTYLEMODIFERBOLD"/>
          <w:b w:val="0"/>
          <w:sz w:val="20"/>
        </w:rPr>
        <w:t>S.Varadharajan et al. (2013) reviewed existing work on plan violations and justified the advantage of multi-storey building models over single-storey building models.</w:t>
      </w:r>
    </w:p>
    <w:p w14:paraId="29A938D5" w14:textId="77777777" w:rsidR="00DE7B05" w:rsidRPr="00DE7B05" w:rsidRDefault="00DE7B05" w:rsidP="00DE7B05">
      <w:pPr>
        <w:pStyle w:val="MSGENFONTSTYLENAMETEMPLATEROLEMSGENFONTSTYLENAMEBYROLETEXT"/>
        <w:tabs>
          <w:tab w:val="left" w:pos="336"/>
        </w:tabs>
        <w:spacing w:before="100" w:beforeAutospacing="1" w:after="0" w:line="240" w:lineRule="auto"/>
        <w:ind w:right="6"/>
        <w:rPr>
          <w:rStyle w:val="MSGENFONTSTYLENAMETEMPLATEROLEMSGENFONTSTYLENAMEBYROLETEXTMSGENFONTSTYLEMODIFERBOLD"/>
          <w:b w:val="0"/>
          <w:sz w:val="20"/>
        </w:rPr>
      </w:pPr>
      <w:r w:rsidRPr="00DE7B05">
        <w:rPr>
          <w:rStyle w:val="MSGENFONTSTYLENAMETEMPLATEROLEMSGENFONTSTYLENAMEBYROLETEXTMSGENFONTSTYLEMODIFERBOLD"/>
          <w:b w:val="0"/>
          <w:sz w:val="20"/>
        </w:rPr>
        <w:tab/>
        <w:t>Aijay and Rahman (2013) tried to analyze the proportional distribution of the lateral forces involved in the earthquake for individual floors due to changes in the rigidity of the vertically incorrect structure.</w:t>
      </w:r>
    </w:p>
    <w:p w14:paraId="5BF5FC79" w14:textId="77777777" w:rsidR="00DE7B05" w:rsidRPr="00DE7B05" w:rsidRDefault="00DE7B05" w:rsidP="00DE7B05">
      <w:pPr>
        <w:pStyle w:val="MSGENFONTSTYLENAMETEMPLATEROLEMSGENFONTSTYLENAMEBYROLETEXT"/>
        <w:tabs>
          <w:tab w:val="left" w:pos="336"/>
        </w:tabs>
        <w:spacing w:before="100" w:beforeAutospacing="1" w:after="0" w:line="240" w:lineRule="auto"/>
        <w:ind w:right="6"/>
        <w:rPr>
          <w:rStyle w:val="MSGENFONTSTYLENAMETEMPLATEROLEMSGENFONTSTYLENAMEBYROLETEXTMSGENFONTSTYLEMODIFERBOLD"/>
          <w:b w:val="0"/>
          <w:sz w:val="20"/>
        </w:rPr>
      </w:pPr>
      <w:r w:rsidRPr="00DE7B05">
        <w:rPr>
          <w:rStyle w:val="MSGENFONTSTYLENAMETEMPLATEROLEMSGENFONTSTYLENAMEBYROLETEXTMSGENFONTSTYLEMODIFERBOLD"/>
          <w:b w:val="0"/>
          <w:sz w:val="20"/>
        </w:rPr>
        <w:tab/>
        <w:t>Poncet, L. And Tremblay (2004) suggested the influence and effect of mass irregularity, given the case of an eight-storey concentrically fixed steel frame structure with different configurations. The methods used in this paper are equivalent to the static load method and the response spectrum analysis method.</w:t>
      </w:r>
    </w:p>
    <w:p w14:paraId="6588E53C" w14:textId="6439139F" w:rsidR="005123D5" w:rsidRDefault="00DE7B05" w:rsidP="00DE7B05">
      <w:pPr>
        <w:pStyle w:val="MSGENFONTSTYLENAMETEMPLATEROLEMSGENFONTSTYLENAMEBYROLETEXT"/>
        <w:tabs>
          <w:tab w:val="left" w:pos="336"/>
        </w:tabs>
        <w:spacing w:before="100" w:beforeAutospacing="1" w:after="0" w:line="240" w:lineRule="auto"/>
        <w:ind w:right="6"/>
        <w:rPr>
          <w:rStyle w:val="MSGENFONTSTYLENAMETEMPLATEROLEMSGENFONTSTYLENAMEBYROLETEXTMSGENFONTSTYLEMODIFERBOLD"/>
          <w:b w:val="0"/>
          <w:sz w:val="20"/>
        </w:rPr>
      </w:pPr>
      <w:r w:rsidRPr="00DE7B05">
        <w:rPr>
          <w:rStyle w:val="MSGENFONTSTYLENAMETEMPLATEROLEMSGENFONTSTYLENAMEBYROLETEXTMSGENFONTSTYLEMODIFERBOLD"/>
          <w:b w:val="0"/>
          <w:sz w:val="20"/>
        </w:rPr>
        <w:tab/>
        <w:t>Deves P. Sony (2006) considered several vertical irregular buildings for analysis. Various criteria and codes were discussed and revised in this paper. Vertical indicators of incorrect structure and response are reviewed and presented. Studies have suggested that large seismic requirements are found for combined rigidity and strength inequality.</w:t>
      </w:r>
    </w:p>
    <w:p w14:paraId="7CB2A515" w14:textId="77777777" w:rsidR="00DE7B05" w:rsidRPr="00F47487" w:rsidRDefault="00DE7B05" w:rsidP="00DE7B05">
      <w:pPr>
        <w:pStyle w:val="MSGENFONTSTYLENAMETEMPLATEROLEMSGENFONTSTYLENAMEBYROLETEXT"/>
        <w:tabs>
          <w:tab w:val="left" w:pos="336"/>
        </w:tabs>
        <w:spacing w:before="100" w:beforeAutospacing="1" w:after="0" w:line="240" w:lineRule="auto"/>
        <w:ind w:right="6"/>
        <w:rPr>
          <w:rStyle w:val="MSGENFONTSTYLENAMETEMPLATEROLEMSGENFONTSTYLENAMEBYROLETEXT0"/>
          <w:sz w:val="20"/>
        </w:rPr>
      </w:pPr>
    </w:p>
    <w:p w14:paraId="6A78E9CD" w14:textId="77777777" w:rsidR="00980C0C" w:rsidRPr="00F47487" w:rsidRDefault="00BD230A">
      <w:pPr>
        <w:widowControl/>
        <w:numPr>
          <w:ilvl w:val="0"/>
          <w:numId w:val="1"/>
        </w:numPr>
        <w:spacing w:after="200" w:line="240" w:lineRule="auto"/>
        <w:jc w:val="center"/>
        <w:rPr>
          <w:sz w:val="20"/>
        </w:rPr>
      </w:pPr>
      <w:r w:rsidRPr="00F47487">
        <w:rPr>
          <w:sz w:val="20"/>
        </w:rPr>
        <w:t>MODELING</w:t>
      </w:r>
    </w:p>
    <w:p w14:paraId="51690D0B" w14:textId="77777777" w:rsidR="00352D5D" w:rsidRPr="00352D5D" w:rsidRDefault="00352D5D" w:rsidP="00352D5D">
      <w:pPr>
        <w:spacing w:line="360" w:lineRule="auto"/>
        <w:jc w:val="both"/>
        <w:rPr>
          <w:sz w:val="20"/>
        </w:rPr>
      </w:pPr>
      <w:r w:rsidRPr="00352D5D">
        <w:rPr>
          <w:sz w:val="20"/>
        </w:rPr>
        <w:t>Following models of building with vertical mass irregularity are prepared using STAAD software:</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6"/>
      </w:tblGrid>
      <w:tr w:rsidR="00453C9F" w:rsidRPr="00453C9F" w14:paraId="6EA4B9CC" w14:textId="77777777" w:rsidTr="000B749C">
        <w:tc>
          <w:tcPr>
            <w:tcW w:w="7705" w:type="dxa"/>
          </w:tcPr>
          <w:p w14:paraId="25A2B920" w14:textId="77777777" w:rsidR="00453C9F" w:rsidRPr="00453C9F" w:rsidRDefault="00453C9F" w:rsidP="000B749C">
            <w:pPr>
              <w:pStyle w:val="ListParagraph"/>
              <w:spacing w:line="360" w:lineRule="auto"/>
              <w:ind w:left="0"/>
              <w:rPr>
                <w:sz w:val="20"/>
              </w:rPr>
            </w:pPr>
            <w:r w:rsidRPr="00453C9F">
              <w:rPr>
                <w:noProof/>
                <w:sz w:val="20"/>
                <w:szCs w:val="16"/>
                <w:lang w:val="en-IN" w:eastAsia="en-IN" w:bidi="hi-IN"/>
              </w:rPr>
              <w:lastRenderedPageBreak/>
              <w:drawing>
                <wp:inline distT="0" distB="0" distL="0" distR="0" wp14:anchorId="1C1916D8" wp14:editId="0DB5ED15">
                  <wp:extent cx="4885851" cy="3007995"/>
                  <wp:effectExtent l="228600" t="228600" r="219710" b="2305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86170" cy="3008191"/>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tc>
      </w:tr>
      <w:tr w:rsidR="00453C9F" w:rsidRPr="00453C9F" w14:paraId="6FDD0F59" w14:textId="77777777" w:rsidTr="000B749C">
        <w:tc>
          <w:tcPr>
            <w:tcW w:w="7705" w:type="dxa"/>
          </w:tcPr>
          <w:p w14:paraId="4078A84B" w14:textId="644DC6AF" w:rsidR="00453C9F" w:rsidRPr="00453C9F" w:rsidRDefault="00453C9F" w:rsidP="000B749C">
            <w:pPr>
              <w:pStyle w:val="ListParagraph"/>
              <w:spacing w:line="360" w:lineRule="auto"/>
              <w:ind w:left="0"/>
              <w:jc w:val="center"/>
              <w:rPr>
                <w:sz w:val="16"/>
                <w:szCs w:val="16"/>
              </w:rPr>
            </w:pPr>
            <w:bookmarkStart w:id="3" w:name="_Toc76336353"/>
            <w:r w:rsidRPr="00453C9F">
              <w:rPr>
                <w:color w:val="000000" w:themeColor="text1"/>
                <w:sz w:val="16"/>
                <w:szCs w:val="16"/>
              </w:rPr>
              <w:t xml:space="preserve">Figure </w:t>
            </w:r>
            <w:r>
              <w:rPr>
                <w:color w:val="000000" w:themeColor="text1"/>
                <w:sz w:val="16"/>
                <w:szCs w:val="16"/>
              </w:rPr>
              <w:t>1</w:t>
            </w:r>
            <w:r w:rsidRPr="00453C9F">
              <w:rPr>
                <w:color w:val="000000" w:themeColor="text1"/>
                <w:sz w:val="16"/>
                <w:szCs w:val="16"/>
              </w:rPr>
              <w:t>:</w:t>
            </w:r>
            <w:r w:rsidRPr="00453C9F">
              <w:rPr>
                <w:sz w:val="16"/>
                <w:szCs w:val="16"/>
              </w:rPr>
              <w:t>Property assignment of model-IV</w:t>
            </w:r>
            <w:bookmarkEnd w:id="3"/>
          </w:p>
        </w:tc>
      </w:tr>
    </w:tbl>
    <w:p w14:paraId="0EA2BBD3" w14:textId="77777777" w:rsidR="00453C9F" w:rsidRPr="00453C9F" w:rsidRDefault="00453C9F" w:rsidP="00453C9F">
      <w:pPr>
        <w:pStyle w:val="ListParagraph"/>
        <w:spacing w:line="360" w:lineRule="auto"/>
        <w:rPr>
          <w:sz w:val="20"/>
        </w:rPr>
      </w:pPr>
      <w:r w:rsidRPr="00453C9F">
        <w:rPr>
          <w:sz w:val="20"/>
        </w:rPr>
        <w:t>The above figure shows the Property assignment of model-IV giving the details of property assigned in the model.</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6"/>
      </w:tblGrid>
      <w:tr w:rsidR="00453C9F" w:rsidRPr="00453C9F" w14:paraId="38503C73" w14:textId="77777777" w:rsidTr="000B749C">
        <w:tc>
          <w:tcPr>
            <w:tcW w:w="7705" w:type="dxa"/>
          </w:tcPr>
          <w:p w14:paraId="140C561C" w14:textId="77777777" w:rsidR="00453C9F" w:rsidRPr="00453C9F" w:rsidRDefault="00453C9F" w:rsidP="000B749C">
            <w:pPr>
              <w:pStyle w:val="ListParagraph"/>
              <w:spacing w:line="360" w:lineRule="auto"/>
              <w:ind w:left="0"/>
              <w:rPr>
                <w:sz w:val="20"/>
              </w:rPr>
            </w:pPr>
            <w:r w:rsidRPr="00453C9F">
              <w:rPr>
                <w:noProof/>
                <w:sz w:val="20"/>
                <w:szCs w:val="16"/>
                <w:lang w:val="en-IN" w:eastAsia="en-IN" w:bidi="hi-IN"/>
              </w:rPr>
              <w:drawing>
                <wp:inline distT="0" distB="0" distL="0" distR="0" wp14:anchorId="2EE8F055" wp14:editId="6BF197AA">
                  <wp:extent cx="4776669" cy="3007995"/>
                  <wp:effectExtent l="228600" t="228600" r="233680" b="2305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76893" cy="3008136"/>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tc>
      </w:tr>
      <w:tr w:rsidR="00453C9F" w:rsidRPr="00453C9F" w14:paraId="22F70205" w14:textId="77777777" w:rsidTr="000B749C">
        <w:tc>
          <w:tcPr>
            <w:tcW w:w="7705" w:type="dxa"/>
          </w:tcPr>
          <w:p w14:paraId="792BDE2B" w14:textId="2CB241EC" w:rsidR="00453C9F" w:rsidRPr="00453C9F" w:rsidRDefault="00453C9F" w:rsidP="000B749C">
            <w:pPr>
              <w:pStyle w:val="ListParagraph"/>
              <w:spacing w:line="360" w:lineRule="auto"/>
              <w:ind w:left="0"/>
              <w:jc w:val="center"/>
              <w:rPr>
                <w:sz w:val="16"/>
                <w:szCs w:val="16"/>
              </w:rPr>
            </w:pPr>
            <w:bookmarkStart w:id="4" w:name="_Toc76336354"/>
            <w:r w:rsidRPr="00453C9F">
              <w:rPr>
                <w:color w:val="000000" w:themeColor="text1"/>
                <w:sz w:val="16"/>
                <w:szCs w:val="16"/>
              </w:rPr>
              <w:t xml:space="preserve">Figure </w:t>
            </w:r>
            <w:r>
              <w:rPr>
                <w:color w:val="000000" w:themeColor="text1"/>
                <w:sz w:val="16"/>
                <w:szCs w:val="16"/>
              </w:rPr>
              <w:t>2</w:t>
            </w:r>
            <w:r w:rsidRPr="00453C9F">
              <w:rPr>
                <w:color w:val="000000" w:themeColor="text1"/>
                <w:sz w:val="16"/>
                <w:szCs w:val="16"/>
              </w:rPr>
              <w:t>:</w:t>
            </w:r>
            <w:r w:rsidRPr="00453C9F">
              <w:rPr>
                <w:sz w:val="16"/>
                <w:szCs w:val="16"/>
              </w:rPr>
              <w:t>Support assignment to model-IV</w:t>
            </w:r>
            <w:bookmarkEnd w:id="4"/>
          </w:p>
        </w:tc>
      </w:tr>
    </w:tbl>
    <w:p w14:paraId="791550F4" w14:textId="77777777" w:rsidR="00453C9F" w:rsidRPr="00453C9F" w:rsidRDefault="00453C9F" w:rsidP="00453C9F">
      <w:pPr>
        <w:pStyle w:val="ListParagraph"/>
        <w:spacing w:line="360" w:lineRule="auto"/>
        <w:rPr>
          <w:sz w:val="20"/>
        </w:rPr>
      </w:pPr>
      <w:r w:rsidRPr="00453C9F">
        <w:rPr>
          <w:sz w:val="20"/>
        </w:rPr>
        <w:t>The above figure shows the Support assignment to model-IV giving the details of property assigned in the model.</w:t>
      </w:r>
    </w:p>
    <w:p w14:paraId="41CFAA5C" w14:textId="77777777" w:rsidR="00453C9F" w:rsidRPr="00453C9F" w:rsidRDefault="00453C9F" w:rsidP="00453C9F">
      <w:pPr>
        <w:pStyle w:val="ListParagraph"/>
        <w:spacing w:line="360" w:lineRule="auto"/>
        <w:rPr>
          <w:sz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6"/>
      </w:tblGrid>
      <w:tr w:rsidR="00453C9F" w:rsidRPr="00453C9F" w14:paraId="39B59653" w14:textId="77777777" w:rsidTr="000B749C">
        <w:tc>
          <w:tcPr>
            <w:tcW w:w="7705" w:type="dxa"/>
          </w:tcPr>
          <w:p w14:paraId="56C75FDD" w14:textId="77777777" w:rsidR="00453C9F" w:rsidRPr="00453C9F" w:rsidRDefault="00453C9F" w:rsidP="000B749C">
            <w:pPr>
              <w:pStyle w:val="ListParagraph"/>
              <w:spacing w:line="360" w:lineRule="auto"/>
              <w:ind w:left="0"/>
              <w:rPr>
                <w:sz w:val="20"/>
              </w:rPr>
            </w:pPr>
            <w:r w:rsidRPr="00453C9F">
              <w:rPr>
                <w:noProof/>
                <w:sz w:val="20"/>
                <w:szCs w:val="16"/>
                <w:lang w:val="en-IN" w:eastAsia="en-IN" w:bidi="hi-IN"/>
              </w:rPr>
              <w:lastRenderedPageBreak/>
              <w:drawing>
                <wp:inline distT="0" distB="0" distL="0" distR="0" wp14:anchorId="198AE388" wp14:editId="43F0BC9F">
                  <wp:extent cx="4585600" cy="3007995"/>
                  <wp:effectExtent l="228600" t="228600" r="234315" b="2305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86584" cy="3008641"/>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tc>
      </w:tr>
      <w:tr w:rsidR="00453C9F" w:rsidRPr="00453C9F" w14:paraId="7BF0FF4E" w14:textId="77777777" w:rsidTr="000B749C">
        <w:tc>
          <w:tcPr>
            <w:tcW w:w="7705" w:type="dxa"/>
          </w:tcPr>
          <w:p w14:paraId="0654BD5B" w14:textId="50CF0A99" w:rsidR="00453C9F" w:rsidRPr="00453C9F" w:rsidRDefault="00453C9F" w:rsidP="000B749C">
            <w:pPr>
              <w:pStyle w:val="ListParagraph"/>
              <w:spacing w:line="360" w:lineRule="auto"/>
              <w:ind w:left="0"/>
              <w:jc w:val="center"/>
              <w:rPr>
                <w:sz w:val="16"/>
                <w:szCs w:val="16"/>
              </w:rPr>
            </w:pPr>
            <w:bookmarkStart w:id="5" w:name="_Toc76336355"/>
            <w:r w:rsidRPr="00453C9F">
              <w:rPr>
                <w:color w:val="000000" w:themeColor="text1"/>
                <w:sz w:val="16"/>
                <w:szCs w:val="16"/>
              </w:rPr>
              <w:t xml:space="preserve">Figure </w:t>
            </w:r>
            <w:r>
              <w:rPr>
                <w:color w:val="000000" w:themeColor="text1"/>
                <w:sz w:val="16"/>
                <w:szCs w:val="16"/>
              </w:rPr>
              <w:t>3</w:t>
            </w:r>
            <w:r w:rsidRPr="00453C9F">
              <w:rPr>
                <w:color w:val="000000" w:themeColor="text1"/>
                <w:sz w:val="16"/>
                <w:szCs w:val="16"/>
              </w:rPr>
              <w:t>:</w:t>
            </w:r>
            <w:r w:rsidRPr="00453C9F">
              <w:rPr>
                <w:sz w:val="16"/>
                <w:szCs w:val="16"/>
              </w:rPr>
              <w:t>Elevation of model-V</w:t>
            </w:r>
            <w:bookmarkEnd w:id="5"/>
          </w:p>
        </w:tc>
      </w:tr>
    </w:tbl>
    <w:p w14:paraId="677F5CD4" w14:textId="77777777" w:rsidR="00453C9F" w:rsidRPr="00453C9F" w:rsidRDefault="00453C9F" w:rsidP="00453C9F">
      <w:pPr>
        <w:pStyle w:val="ListParagraph"/>
        <w:spacing w:line="360" w:lineRule="auto"/>
        <w:rPr>
          <w:sz w:val="20"/>
        </w:rPr>
      </w:pPr>
      <w:r w:rsidRPr="00453C9F">
        <w:rPr>
          <w:sz w:val="20"/>
        </w:rPr>
        <w:t>The above figure shows the Elevation of model-V giving the details of dimensions used in the model.</w:t>
      </w:r>
    </w:p>
    <w:p w14:paraId="20BEC3C4" w14:textId="77777777" w:rsidR="00352D5D" w:rsidRPr="00F47487" w:rsidRDefault="00352D5D" w:rsidP="00692276">
      <w:pPr>
        <w:pStyle w:val="MSGENFONTSTYLENAMETEMPLATEROLEMSGENFONTSTYLENAMEBYROLETEXT"/>
        <w:tabs>
          <w:tab w:val="left" w:pos="336"/>
        </w:tabs>
        <w:spacing w:before="0" w:after="0" w:line="240" w:lineRule="auto"/>
        <w:ind w:right="80" w:firstLine="0"/>
        <w:jc w:val="left"/>
        <w:rPr>
          <w:rStyle w:val="MSGENFONTSTYLENAMETEMPLATEROLEMSGENFONTSTYLENAMEBYROLETEXT0"/>
          <w:sz w:val="20"/>
        </w:rPr>
      </w:pPr>
    </w:p>
    <w:p w14:paraId="3151D72B" w14:textId="713CCA1F" w:rsidR="00692276" w:rsidRPr="00F47487" w:rsidRDefault="00692276">
      <w:pPr>
        <w:pStyle w:val="MSGENFONTSTYLENAMETEMPLATEROLEMSGENFONTSTYLENAMEBYROLETEXT"/>
        <w:tabs>
          <w:tab w:val="left" w:pos="336"/>
        </w:tabs>
        <w:spacing w:before="0" w:after="0" w:line="240" w:lineRule="auto"/>
        <w:ind w:right="80" w:firstLine="0"/>
        <w:jc w:val="left"/>
        <w:rPr>
          <w:rStyle w:val="MSGENFONTSTYLENAMETEMPLATEROLEMSGENFONTSTYLENAMEBYROLETEXT0"/>
          <w:sz w:val="20"/>
        </w:rPr>
      </w:pPr>
    </w:p>
    <w:p w14:paraId="4422FC13" w14:textId="0D2D45A3" w:rsidR="008B7497" w:rsidRPr="00F47487" w:rsidRDefault="008B7497">
      <w:pPr>
        <w:pStyle w:val="MSGENFONTSTYLENAMETEMPLATEROLEMSGENFONTSTYLENAMEBYROLETEXT"/>
        <w:tabs>
          <w:tab w:val="left" w:pos="336"/>
        </w:tabs>
        <w:spacing w:before="0" w:after="0" w:line="240" w:lineRule="auto"/>
        <w:ind w:right="80" w:firstLine="0"/>
        <w:jc w:val="left"/>
        <w:rPr>
          <w:rStyle w:val="MSGENFONTSTYLENAMETEMPLATEROLEMSGENFONTSTYLENAMEBYROLETEXT0"/>
          <w:sz w:val="20"/>
        </w:rPr>
      </w:pPr>
    </w:p>
    <w:p w14:paraId="1CD544CD" w14:textId="77777777" w:rsidR="008B7497" w:rsidRPr="00F47487" w:rsidRDefault="008B7497">
      <w:pPr>
        <w:pStyle w:val="MSGENFONTSTYLENAMETEMPLATEROLEMSGENFONTSTYLENAMEBYROLETEXT"/>
        <w:tabs>
          <w:tab w:val="left" w:pos="336"/>
        </w:tabs>
        <w:spacing w:before="0" w:after="0" w:line="240" w:lineRule="auto"/>
        <w:ind w:right="80" w:firstLine="0"/>
        <w:jc w:val="left"/>
        <w:rPr>
          <w:rStyle w:val="MSGENFONTSTYLENAMETEMPLATEROLEMSGENFONTSTYLENAMEBYROLETEXT0"/>
          <w:sz w:val="20"/>
        </w:rPr>
      </w:pPr>
    </w:p>
    <w:p w14:paraId="2D2D9783" w14:textId="77777777" w:rsidR="00980C0C" w:rsidRPr="00F47487" w:rsidRDefault="00BD230A">
      <w:pPr>
        <w:widowControl/>
        <w:numPr>
          <w:ilvl w:val="0"/>
          <w:numId w:val="1"/>
        </w:numPr>
        <w:spacing w:after="200" w:line="240" w:lineRule="auto"/>
        <w:jc w:val="center"/>
        <w:rPr>
          <w:sz w:val="20"/>
        </w:rPr>
      </w:pPr>
      <w:r w:rsidRPr="00F47487">
        <w:rPr>
          <w:sz w:val="20"/>
        </w:rPr>
        <w:t>RESULTS</w:t>
      </w:r>
    </w:p>
    <w:p w14:paraId="491A3A55" w14:textId="58B213F1" w:rsidR="00980C0C" w:rsidRPr="00F47487" w:rsidRDefault="00BD230A">
      <w:pPr>
        <w:pStyle w:val="MSGENFONTSTYLENAMETEMPLATEROLEMSGENFONTSTYLENAMEBYROLETEXT"/>
        <w:tabs>
          <w:tab w:val="left" w:pos="336"/>
        </w:tabs>
        <w:spacing w:before="0" w:after="0" w:line="240" w:lineRule="auto"/>
        <w:ind w:right="80" w:firstLine="0"/>
        <w:jc w:val="left"/>
        <w:rPr>
          <w:rStyle w:val="MSGENFONTSTYLENAMETEMPLATEROLEMSGENFONTSTYLENAMEBYROLETEXT0"/>
          <w:sz w:val="20"/>
        </w:rPr>
      </w:pPr>
      <w:r w:rsidRPr="00F47487">
        <w:rPr>
          <w:rStyle w:val="MSGENFONTSTYLENAMETEMPLATEROLEMSGENFONTSTYLENAMEBYROLETEXT0"/>
          <w:sz w:val="20"/>
        </w:rPr>
        <w:t xml:space="preserve">The analysis is carried out in </w:t>
      </w:r>
      <w:r w:rsidR="00D163CB" w:rsidRPr="00F47487">
        <w:rPr>
          <w:rStyle w:val="MSGENFONTSTYLENAMETEMPLATEROLEMSGENFONTSTYLENAMEBYROLETEXT0"/>
          <w:sz w:val="20"/>
        </w:rPr>
        <w:t>STAAD-PRO</w:t>
      </w:r>
      <w:r w:rsidRPr="00F47487">
        <w:rPr>
          <w:rStyle w:val="MSGENFONTSTYLENAMETEMPLATEROLEMSGENFONTSTYLENAMEBYROLETEXT0"/>
          <w:sz w:val="20"/>
        </w:rPr>
        <w:t xml:space="preserve"> software and the results in terms </w:t>
      </w:r>
      <w:r w:rsidR="00692276" w:rsidRPr="00F47487">
        <w:rPr>
          <w:rStyle w:val="MSGENFONTSTYLENAMETEMPLATEROLEMSGENFONTSTYLENAMEBYROLETEXT0"/>
          <w:sz w:val="20"/>
        </w:rPr>
        <w:t>of shear force, bending moment and other parameter</w:t>
      </w:r>
      <w:r w:rsidRPr="00F47487">
        <w:rPr>
          <w:rStyle w:val="MSGENFONTSTYLENAMETEMPLATEROLEMSGENFONTSTYLENAMEBYROLETEXT0"/>
          <w:sz w:val="20"/>
        </w:rPr>
        <w:t xml:space="preserve"> is obtained as follows.</w:t>
      </w:r>
    </w:p>
    <w:p w14:paraId="42B3D732" w14:textId="77777777" w:rsidR="00D163CB" w:rsidRPr="00F47487" w:rsidRDefault="00D163CB" w:rsidP="00D163CB">
      <w:pPr>
        <w:pStyle w:val="MSGENFONTSTYLENAMETEMPLATEROLEMSGENFONTSTYLENAMEBYROLETEXT"/>
        <w:tabs>
          <w:tab w:val="left" w:pos="336"/>
        </w:tabs>
        <w:spacing w:before="0" w:after="0" w:line="240" w:lineRule="auto"/>
        <w:ind w:right="80" w:firstLine="0"/>
        <w:jc w:val="left"/>
        <w:rPr>
          <w:rStyle w:val="MSGENFONTSTYLENAMETEMPLATEROLEMSGENFONTSTYLENAMEBYROLETEXT0"/>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5"/>
      </w:tblGrid>
      <w:tr w:rsidR="00453C9F" w:rsidRPr="00453C9F" w14:paraId="39752819" w14:textId="77777777" w:rsidTr="000B749C">
        <w:tc>
          <w:tcPr>
            <w:tcW w:w="8415" w:type="dxa"/>
          </w:tcPr>
          <w:p w14:paraId="0CF8A240" w14:textId="77777777" w:rsidR="00453C9F" w:rsidRPr="00453C9F" w:rsidRDefault="00453C9F" w:rsidP="000B749C">
            <w:pPr>
              <w:spacing w:line="360" w:lineRule="auto"/>
              <w:jc w:val="center"/>
              <w:rPr>
                <w:sz w:val="20"/>
              </w:rPr>
            </w:pPr>
            <w:r w:rsidRPr="00453C9F">
              <w:rPr>
                <w:noProof/>
                <w:sz w:val="20"/>
                <w:szCs w:val="16"/>
                <w:lang w:val="en-IN" w:eastAsia="en-IN" w:bidi="hi-IN"/>
              </w:rPr>
              <w:drawing>
                <wp:inline distT="0" distB="0" distL="0" distR="0" wp14:anchorId="23688C10" wp14:editId="1E6A5711">
                  <wp:extent cx="4597912" cy="2743200"/>
                  <wp:effectExtent l="0" t="0" r="12700" b="0"/>
                  <wp:docPr id="14" name="Chart 1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3BBF42B-5AE3-4B59-AEE7-AE46CA54F9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453C9F" w:rsidRPr="00453C9F" w14:paraId="5A1251FE" w14:textId="77777777" w:rsidTr="000B749C">
        <w:tc>
          <w:tcPr>
            <w:tcW w:w="8415" w:type="dxa"/>
          </w:tcPr>
          <w:p w14:paraId="5E901F6C" w14:textId="07CDDDC8" w:rsidR="00453C9F" w:rsidRPr="00453C9F" w:rsidRDefault="00453C9F" w:rsidP="000B749C">
            <w:pPr>
              <w:spacing w:line="360" w:lineRule="auto"/>
              <w:jc w:val="center"/>
              <w:rPr>
                <w:sz w:val="16"/>
                <w:szCs w:val="16"/>
              </w:rPr>
            </w:pPr>
            <w:bookmarkStart w:id="6" w:name="_Toc76336381"/>
            <w:r w:rsidRPr="00453C9F">
              <w:rPr>
                <w:color w:val="000000" w:themeColor="text1"/>
                <w:sz w:val="16"/>
                <w:szCs w:val="16"/>
              </w:rPr>
              <w:t xml:space="preserve">Figure </w:t>
            </w:r>
            <w:r>
              <w:rPr>
                <w:color w:val="000000" w:themeColor="text1"/>
                <w:sz w:val="16"/>
                <w:szCs w:val="16"/>
              </w:rPr>
              <w:t>4</w:t>
            </w:r>
            <w:r w:rsidRPr="00453C9F">
              <w:rPr>
                <w:color w:val="000000" w:themeColor="text1"/>
                <w:sz w:val="16"/>
                <w:szCs w:val="16"/>
              </w:rPr>
              <w:t>:</w:t>
            </w:r>
            <w:r w:rsidRPr="00453C9F">
              <w:rPr>
                <w:sz w:val="16"/>
                <w:szCs w:val="16"/>
              </w:rPr>
              <w:t>Comparison of displacement (X) for all the models</w:t>
            </w:r>
            <w:bookmarkEnd w:id="6"/>
          </w:p>
        </w:tc>
      </w:tr>
    </w:tbl>
    <w:p w14:paraId="0BE05C5C" w14:textId="77777777" w:rsidR="00453C9F" w:rsidRPr="00453C9F" w:rsidRDefault="00453C9F" w:rsidP="00453C9F">
      <w:pPr>
        <w:spacing w:line="360" w:lineRule="auto"/>
        <w:jc w:val="both"/>
        <w:rPr>
          <w:sz w:val="20"/>
        </w:rPr>
      </w:pPr>
      <w:bookmarkStart w:id="7" w:name="_Hlk71390387"/>
      <w:r w:rsidRPr="00453C9F">
        <w:rPr>
          <w:sz w:val="20"/>
        </w:rPr>
        <w:t>The above figure shows the Comparison of displacement (X) for all the models and it is observed that the displacement (X) is maximum in the model-10 having the maximum value of 150 mm.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5"/>
      </w:tblGrid>
      <w:tr w:rsidR="00453C9F" w:rsidRPr="00453C9F" w14:paraId="002D4FFE" w14:textId="77777777" w:rsidTr="000B749C">
        <w:tc>
          <w:tcPr>
            <w:tcW w:w="8415" w:type="dxa"/>
          </w:tcPr>
          <w:bookmarkEnd w:id="7"/>
          <w:p w14:paraId="3943FC28" w14:textId="77777777" w:rsidR="00453C9F" w:rsidRPr="00453C9F" w:rsidRDefault="00453C9F" w:rsidP="000B749C">
            <w:pPr>
              <w:spacing w:line="360" w:lineRule="auto"/>
              <w:jc w:val="center"/>
              <w:rPr>
                <w:sz w:val="20"/>
              </w:rPr>
            </w:pPr>
            <w:r w:rsidRPr="00453C9F">
              <w:rPr>
                <w:noProof/>
                <w:sz w:val="20"/>
                <w:szCs w:val="16"/>
                <w:lang w:val="en-IN" w:eastAsia="en-IN" w:bidi="hi-IN"/>
              </w:rPr>
              <w:lastRenderedPageBreak/>
              <w:drawing>
                <wp:inline distT="0" distB="0" distL="0" distR="0" wp14:anchorId="1E5CE251" wp14:editId="0580F290">
                  <wp:extent cx="4595191" cy="2743200"/>
                  <wp:effectExtent l="0" t="0" r="15240" b="0"/>
                  <wp:docPr id="15" name="Chart 1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CB8493D-3C13-469C-A742-6B53BD8394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453C9F" w:rsidRPr="00453C9F" w14:paraId="0FA2FC35" w14:textId="77777777" w:rsidTr="000B749C">
        <w:tc>
          <w:tcPr>
            <w:tcW w:w="8415" w:type="dxa"/>
          </w:tcPr>
          <w:p w14:paraId="6562855C" w14:textId="4FD4804A" w:rsidR="00453C9F" w:rsidRPr="00453C9F" w:rsidRDefault="00453C9F" w:rsidP="000B749C">
            <w:pPr>
              <w:spacing w:line="360" w:lineRule="auto"/>
              <w:jc w:val="center"/>
              <w:rPr>
                <w:sz w:val="20"/>
              </w:rPr>
            </w:pPr>
            <w:bookmarkStart w:id="8" w:name="_Toc76336382"/>
            <w:r w:rsidRPr="00453C9F">
              <w:rPr>
                <w:color w:val="000000" w:themeColor="text1"/>
                <w:sz w:val="20"/>
              </w:rPr>
              <w:t xml:space="preserve">Figure </w:t>
            </w:r>
            <w:r>
              <w:rPr>
                <w:color w:val="000000" w:themeColor="text1"/>
                <w:sz w:val="20"/>
              </w:rPr>
              <w:t>5</w:t>
            </w:r>
            <w:r w:rsidRPr="00453C9F">
              <w:rPr>
                <w:color w:val="000000" w:themeColor="text1"/>
                <w:sz w:val="20"/>
              </w:rPr>
              <w:t>:</w:t>
            </w:r>
            <w:r w:rsidRPr="00453C9F">
              <w:rPr>
                <w:sz w:val="20"/>
              </w:rPr>
              <w:t>Comparison of displacement (Y) for all the models</w:t>
            </w:r>
            <w:bookmarkEnd w:id="8"/>
          </w:p>
        </w:tc>
      </w:tr>
    </w:tbl>
    <w:p w14:paraId="7AB240B0" w14:textId="264A7392" w:rsidR="00453C9F" w:rsidRDefault="00453C9F" w:rsidP="00453C9F">
      <w:pPr>
        <w:spacing w:line="360" w:lineRule="auto"/>
        <w:jc w:val="both"/>
        <w:rPr>
          <w:sz w:val="20"/>
        </w:rPr>
      </w:pPr>
      <w:bookmarkStart w:id="9" w:name="_Hlk71390411"/>
      <w:r w:rsidRPr="00453C9F">
        <w:rPr>
          <w:sz w:val="20"/>
        </w:rPr>
        <w:t>The above figure shows the Comparison of displacement (Y) for all the models and it is observed that the displacement (Y) is maximum in the model-10 having the maximum value of 27 mm.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5"/>
      </w:tblGrid>
      <w:tr w:rsidR="00453C9F" w:rsidRPr="00453C9F" w14:paraId="1FEA4048" w14:textId="77777777" w:rsidTr="000B749C">
        <w:tc>
          <w:tcPr>
            <w:tcW w:w="8415" w:type="dxa"/>
          </w:tcPr>
          <w:p w14:paraId="6BF7E3C7" w14:textId="77777777" w:rsidR="00453C9F" w:rsidRPr="00453C9F" w:rsidRDefault="00453C9F" w:rsidP="000B749C">
            <w:pPr>
              <w:spacing w:line="360" w:lineRule="auto"/>
              <w:jc w:val="center"/>
              <w:rPr>
                <w:sz w:val="20"/>
              </w:rPr>
            </w:pPr>
            <w:r w:rsidRPr="00453C9F">
              <w:rPr>
                <w:noProof/>
                <w:sz w:val="20"/>
                <w:szCs w:val="16"/>
                <w:lang w:val="en-IN" w:eastAsia="en-IN" w:bidi="hi-IN"/>
              </w:rPr>
              <w:drawing>
                <wp:inline distT="0" distB="0" distL="0" distR="0" wp14:anchorId="36AF7021" wp14:editId="3EE626C6">
                  <wp:extent cx="4597912" cy="2743200"/>
                  <wp:effectExtent l="0" t="0" r="12700" b="0"/>
                  <wp:docPr id="16" name="Chart 1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9BDC64E-60A3-474B-966B-A2C8B05A59B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453C9F" w:rsidRPr="00453C9F" w14:paraId="31F7240A" w14:textId="77777777" w:rsidTr="000B749C">
        <w:tc>
          <w:tcPr>
            <w:tcW w:w="8415" w:type="dxa"/>
          </w:tcPr>
          <w:p w14:paraId="78B0CEB6" w14:textId="399838EF" w:rsidR="00453C9F" w:rsidRPr="00453C9F" w:rsidRDefault="00453C9F" w:rsidP="000B749C">
            <w:pPr>
              <w:spacing w:line="360" w:lineRule="auto"/>
              <w:jc w:val="center"/>
              <w:rPr>
                <w:sz w:val="16"/>
                <w:szCs w:val="16"/>
              </w:rPr>
            </w:pPr>
            <w:bookmarkStart w:id="10" w:name="_Toc76336383"/>
            <w:r w:rsidRPr="00453C9F">
              <w:rPr>
                <w:color w:val="000000" w:themeColor="text1"/>
                <w:sz w:val="16"/>
                <w:szCs w:val="16"/>
              </w:rPr>
              <w:t xml:space="preserve">Figure </w:t>
            </w:r>
            <w:r>
              <w:rPr>
                <w:color w:val="000000" w:themeColor="text1"/>
                <w:sz w:val="16"/>
                <w:szCs w:val="16"/>
              </w:rPr>
              <w:t>6</w:t>
            </w:r>
            <w:r w:rsidRPr="00453C9F">
              <w:rPr>
                <w:color w:val="000000" w:themeColor="text1"/>
                <w:sz w:val="16"/>
                <w:szCs w:val="16"/>
              </w:rPr>
              <w:t>:</w:t>
            </w:r>
            <w:r w:rsidRPr="00453C9F">
              <w:rPr>
                <w:sz w:val="16"/>
                <w:szCs w:val="16"/>
              </w:rPr>
              <w:t>Comparison of displacement (Z) for all the models</w:t>
            </w:r>
            <w:bookmarkEnd w:id="10"/>
          </w:p>
        </w:tc>
      </w:tr>
    </w:tbl>
    <w:p w14:paraId="712E5A4A" w14:textId="77777777" w:rsidR="00453C9F" w:rsidRPr="00453C9F" w:rsidRDefault="00453C9F" w:rsidP="00453C9F">
      <w:pPr>
        <w:spacing w:line="360" w:lineRule="auto"/>
        <w:jc w:val="both"/>
        <w:rPr>
          <w:sz w:val="20"/>
        </w:rPr>
      </w:pPr>
      <w:bookmarkStart w:id="11" w:name="_Hlk71390434"/>
      <w:r w:rsidRPr="00453C9F">
        <w:rPr>
          <w:sz w:val="20"/>
        </w:rPr>
        <w:t>The above figure shows the Comparison of displacement (Z) for all the models and it is observed that the displacement (Z) is maximum in the model-10 having the maximum value of 190 mm.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5"/>
      </w:tblGrid>
      <w:tr w:rsidR="00453C9F" w:rsidRPr="00453C9F" w14:paraId="3DF7F205" w14:textId="77777777" w:rsidTr="000B749C">
        <w:tc>
          <w:tcPr>
            <w:tcW w:w="8415" w:type="dxa"/>
          </w:tcPr>
          <w:bookmarkEnd w:id="11"/>
          <w:p w14:paraId="1A4AADBD" w14:textId="77777777" w:rsidR="00453C9F" w:rsidRPr="00453C9F" w:rsidRDefault="00453C9F" w:rsidP="000B749C">
            <w:pPr>
              <w:spacing w:line="360" w:lineRule="auto"/>
              <w:jc w:val="center"/>
              <w:rPr>
                <w:sz w:val="20"/>
              </w:rPr>
            </w:pPr>
            <w:r w:rsidRPr="00453C9F">
              <w:rPr>
                <w:noProof/>
                <w:sz w:val="20"/>
                <w:szCs w:val="16"/>
                <w:lang w:val="en-IN" w:eastAsia="en-IN" w:bidi="hi-IN"/>
              </w:rPr>
              <w:lastRenderedPageBreak/>
              <w:drawing>
                <wp:inline distT="0" distB="0" distL="0" distR="0" wp14:anchorId="1B3CB9CB" wp14:editId="709AF88C">
                  <wp:extent cx="4597912" cy="2743200"/>
                  <wp:effectExtent l="0" t="0" r="12700" b="0"/>
                  <wp:docPr id="17" name="Chart 1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E29157A-781D-4B0D-A135-512A4F27FAE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453C9F" w:rsidRPr="00453C9F" w14:paraId="349CD2CD" w14:textId="77777777" w:rsidTr="000B749C">
        <w:tc>
          <w:tcPr>
            <w:tcW w:w="8415" w:type="dxa"/>
          </w:tcPr>
          <w:p w14:paraId="6C0C72CB" w14:textId="153FB8B4" w:rsidR="00453C9F" w:rsidRPr="00453C9F" w:rsidRDefault="00453C9F" w:rsidP="000B749C">
            <w:pPr>
              <w:spacing w:line="360" w:lineRule="auto"/>
              <w:jc w:val="center"/>
              <w:rPr>
                <w:sz w:val="16"/>
                <w:szCs w:val="16"/>
              </w:rPr>
            </w:pPr>
            <w:bookmarkStart w:id="12" w:name="_Toc76336384"/>
            <w:r w:rsidRPr="00453C9F">
              <w:rPr>
                <w:color w:val="000000" w:themeColor="text1"/>
                <w:sz w:val="16"/>
                <w:szCs w:val="16"/>
              </w:rPr>
              <w:t xml:space="preserve">Figure </w:t>
            </w:r>
            <w:r>
              <w:rPr>
                <w:color w:val="000000" w:themeColor="text1"/>
                <w:sz w:val="16"/>
                <w:szCs w:val="16"/>
              </w:rPr>
              <w:t>7</w:t>
            </w:r>
            <w:r w:rsidRPr="00453C9F">
              <w:rPr>
                <w:color w:val="000000" w:themeColor="text1"/>
                <w:sz w:val="16"/>
                <w:szCs w:val="16"/>
              </w:rPr>
              <w:t>:</w:t>
            </w:r>
            <w:r w:rsidRPr="00453C9F">
              <w:rPr>
                <w:sz w:val="16"/>
                <w:szCs w:val="16"/>
              </w:rPr>
              <w:t>Comparison of displacement (resultant) for all the models</w:t>
            </w:r>
            <w:bookmarkEnd w:id="12"/>
          </w:p>
        </w:tc>
      </w:tr>
    </w:tbl>
    <w:p w14:paraId="7F4FE274" w14:textId="489D84A4" w:rsidR="00453C9F" w:rsidRDefault="00453C9F" w:rsidP="00453C9F">
      <w:pPr>
        <w:spacing w:line="360" w:lineRule="auto"/>
        <w:jc w:val="both"/>
        <w:rPr>
          <w:sz w:val="20"/>
        </w:rPr>
      </w:pPr>
      <w:r w:rsidRPr="00453C9F">
        <w:rPr>
          <w:sz w:val="20"/>
        </w:rPr>
        <w:t>The above figure shows the Comparison of displacement (resultant) for all the models and it is observed that the displacement (resultant) is maximum in the model-10 having the maximum value of 190 mm.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5"/>
      </w:tblGrid>
      <w:tr w:rsidR="00453C9F" w:rsidRPr="00453C9F" w14:paraId="50F20140" w14:textId="77777777" w:rsidTr="000B749C">
        <w:tc>
          <w:tcPr>
            <w:tcW w:w="8415" w:type="dxa"/>
          </w:tcPr>
          <w:p w14:paraId="6C7B4AD0" w14:textId="77777777" w:rsidR="00453C9F" w:rsidRPr="00453C9F" w:rsidRDefault="00453C9F" w:rsidP="000B749C">
            <w:pPr>
              <w:spacing w:line="360" w:lineRule="auto"/>
              <w:jc w:val="center"/>
              <w:rPr>
                <w:sz w:val="20"/>
              </w:rPr>
            </w:pPr>
            <w:r w:rsidRPr="00453C9F">
              <w:rPr>
                <w:noProof/>
                <w:sz w:val="20"/>
                <w:szCs w:val="16"/>
                <w:lang w:val="en-IN" w:eastAsia="en-IN" w:bidi="hi-IN"/>
              </w:rPr>
              <w:drawing>
                <wp:inline distT="0" distB="0" distL="0" distR="0" wp14:anchorId="0CAE8A4C" wp14:editId="043DF6BE">
                  <wp:extent cx="4582945" cy="2743200"/>
                  <wp:effectExtent l="0" t="0" r="8255" b="0"/>
                  <wp:docPr id="18" name="Chart 1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3C49634-BA64-4CBE-AFA8-B55E952DF97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453C9F" w:rsidRPr="00453C9F" w14:paraId="4157FC06" w14:textId="77777777" w:rsidTr="000B749C">
        <w:tc>
          <w:tcPr>
            <w:tcW w:w="8415" w:type="dxa"/>
          </w:tcPr>
          <w:p w14:paraId="6F26DF78" w14:textId="6A729135" w:rsidR="00453C9F" w:rsidRPr="00453C9F" w:rsidRDefault="00453C9F" w:rsidP="000B749C">
            <w:pPr>
              <w:spacing w:line="360" w:lineRule="auto"/>
              <w:jc w:val="center"/>
              <w:rPr>
                <w:sz w:val="16"/>
                <w:szCs w:val="16"/>
              </w:rPr>
            </w:pPr>
            <w:bookmarkStart w:id="13" w:name="_Toc76336385"/>
            <w:r w:rsidRPr="00453C9F">
              <w:rPr>
                <w:color w:val="000000" w:themeColor="text1"/>
                <w:sz w:val="16"/>
                <w:szCs w:val="16"/>
              </w:rPr>
              <w:t xml:space="preserve">Figure </w:t>
            </w:r>
            <w:r>
              <w:rPr>
                <w:color w:val="000000" w:themeColor="text1"/>
                <w:sz w:val="16"/>
                <w:szCs w:val="16"/>
              </w:rPr>
              <w:t>8</w:t>
            </w:r>
            <w:r w:rsidRPr="00453C9F">
              <w:rPr>
                <w:color w:val="000000" w:themeColor="text1"/>
                <w:sz w:val="16"/>
                <w:szCs w:val="16"/>
              </w:rPr>
              <w:t>:</w:t>
            </w:r>
            <w:r w:rsidRPr="00453C9F">
              <w:rPr>
                <w:sz w:val="16"/>
                <w:szCs w:val="16"/>
              </w:rPr>
              <w:t>Comparison of Horizontal reaction (Fx) for all models</w:t>
            </w:r>
            <w:bookmarkEnd w:id="13"/>
          </w:p>
        </w:tc>
      </w:tr>
    </w:tbl>
    <w:p w14:paraId="676C4EB7" w14:textId="77777777" w:rsidR="00453C9F" w:rsidRPr="00453C9F" w:rsidRDefault="00453C9F" w:rsidP="00453C9F">
      <w:pPr>
        <w:spacing w:line="360" w:lineRule="auto"/>
        <w:jc w:val="both"/>
        <w:rPr>
          <w:sz w:val="20"/>
        </w:rPr>
      </w:pPr>
      <w:bookmarkStart w:id="14" w:name="_Hlk71390504"/>
      <w:r w:rsidRPr="00453C9F">
        <w:rPr>
          <w:sz w:val="20"/>
        </w:rPr>
        <w:t>The above figure shows the Comparison of Horizontal reaction (Fx) for all models and it is observed that the Horizontal reaction (Fx) is maximum in the model-10 having the maximum value of 170 kN.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15"/>
      </w:tblGrid>
      <w:tr w:rsidR="00453C9F" w:rsidRPr="00453C9F" w14:paraId="509DD1DD" w14:textId="77777777" w:rsidTr="000B749C">
        <w:tc>
          <w:tcPr>
            <w:tcW w:w="8415" w:type="dxa"/>
          </w:tcPr>
          <w:p w14:paraId="4114A8D5" w14:textId="77777777" w:rsidR="00453C9F" w:rsidRPr="00453C9F" w:rsidRDefault="00453C9F" w:rsidP="000B749C">
            <w:pPr>
              <w:spacing w:line="360" w:lineRule="auto"/>
              <w:jc w:val="center"/>
              <w:rPr>
                <w:sz w:val="20"/>
              </w:rPr>
            </w:pPr>
            <w:bookmarkStart w:id="15" w:name="_GoBack"/>
            <w:bookmarkEnd w:id="14"/>
            <w:r w:rsidRPr="00453C9F">
              <w:rPr>
                <w:noProof/>
                <w:sz w:val="20"/>
                <w:szCs w:val="16"/>
                <w:lang w:val="en-IN" w:eastAsia="en-IN" w:bidi="hi-IN"/>
              </w:rPr>
              <w:lastRenderedPageBreak/>
              <w:drawing>
                <wp:inline distT="0" distB="0" distL="0" distR="0" wp14:anchorId="4F181C4A" wp14:editId="582F8F71">
                  <wp:extent cx="4569930" cy="2743200"/>
                  <wp:effectExtent l="0" t="0" r="2540" b="0"/>
                  <wp:docPr id="19" name="Chart 1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88DAD06-6E3B-4905-8877-EFA28FFD8C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bookmarkEnd w:id="15"/>
          </w:p>
        </w:tc>
      </w:tr>
      <w:tr w:rsidR="00453C9F" w:rsidRPr="00453C9F" w14:paraId="0C12AB11" w14:textId="77777777" w:rsidTr="000B749C">
        <w:tc>
          <w:tcPr>
            <w:tcW w:w="8415" w:type="dxa"/>
          </w:tcPr>
          <w:p w14:paraId="5188E6FF" w14:textId="645B8D5D" w:rsidR="00453C9F" w:rsidRPr="00453C9F" w:rsidRDefault="00453C9F" w:rsidP="000B749C">
            <w:pPr>
              <w:spacing w:line="360" w:lineRule="auto"/>
              <w:jc w:val="center"/>
              <w:rPr>
                <w:sz w:val="16"/>
                <w:szCs w:val="16"/>
              </w:rPr>
            </w:pPr>
            <w:bookmarkStart w:id="16" w:name="_Toc76336386"/>
            <w:r w:rsidRPr="00453C9F">
              <w:rPr>
                <w:color w:val="000000" w:themeColor="text1"/>
                <w:sz w:val="16"/>
                <w:szCs w:val="16"/>
              </w:rPr>
              <w:t xml:space="preserve">Figure </w:t>
            </w:r>
            <w:r>
              <w:rPr>
                <w:color w:val="000000" w:themeColor="text1"/>
                <w:sz w:val="16"/>
                <w:szCs w:val="16"/>
              </w:rPr>
              <w:t>9</w:t>
            </w:r>
            <w:r w:rsidRPr="00453C9F">
              <w:rPr>
                <w:color w:val="000000" w:themeColor="text1"/>
                <w:sz w:val="16"/>
                <w:szCs w:val="16"/>
              </w:rPr>
              <w:t>:</w:t>
            </w:r>
            <w:r w:rsidRPr="00453C9F">
              <w:rPr>
                <w:sz w:val="16"/>
                <w:szCs w:val="16"/>
              </w:rPr>
              <w:t>Comparison of Vertical reaction (Fy) for all models</w:t>
            </w:r>
            <w:bookmarkEnd w:id="16"/>
          </w:p>
        </w:tc>
      </w:tr>
    </w:tbl>
    <w:p w14:paraId="43396A44" w14:textId="77777777" w:rsidR="00453C9F" w:rsidRPr="00453C9F" w:rsidRDefault="00453C9F" w:rsidP="00453C9F">
      <w:pPr>
        <w:spacing w:line="360" w:lineRule="auto"/>
        <w:jc w:val="both"/>
        <w:rPr>
          <w:sz w:val="20"/>
        </w:rPr>
      </w:pPr>
      <w:bookmarkStart w:id="17" w:name="_Hlk71390541"/>
      <w:r w:rsidRPr="00453C9F">
        <w:rPr>
          <w:sz w:val="20"/>
        </w:rPr>
        <w:t>The above figure shows the Comparison of Vertical reaction (Fy) for all models and it is observed that the Vertical reaction (Fy) is maximum in the model-10 having the maximum value of 3800 kN.</w:t>
      </w:r>
    </w:p>
    <w:bookmarkEnd w:id="17"/>
    <w:p w14:paraId="5DF66AB5" w14:textId="77777777" w:rsidR="00453C9F" w:rsidRPr="00453C9F" w:rsidRDefault="00453C9F" w:rsidP="00453C9F">
      <w:pPr>
        <w:spacing w:line="360" w:lineRule="auto"/>
        <w:jc w:val="both"/>
        <w:rPr>
          <w:sz w:val="20"/>
        </w:rPr>
      </w:pPr>
    </w:p>
    <w:bookmarkEnd w:id="9"/>
    <w:p w14:paraId="19D479F0" w14:textId="77777777" w:rsidR="00980C0C" w:rsidRPr="00F47487" w:rsidRDefault="00BD230A" w:rsidP="00D163CB">
      <w:pPr>
        <w:widowControl/>
        <w:numPr>
          <w:ilvl w:val="0"/>
          <w:numId w:val="1"/>
        </w:numPr>
        <w:spacing w:after="200" w:line="240" w:lineRule="auto"/>
        <w:jc w:val="center"/>
        <w:rPr>
          <w:sz w:val="20"/>
        </w:rPr>
      </w:pPr>
      <w:r w:rsidRPr="00F47487">
        <w:rPr>
          <w:sz w:val="20"/>
        </w:rPr>
        <w:t>CONCLUSION:</w:t>
      </w:r>
    </w:p>
    <w:p w14:paraId="0756B1F3" w14:textId="77777777" w:rsidR="00980C0C" w:rsidRPr="00F47487" w:rsidRDefault="00980C0C" w:rsidP="00D163CB">
      <w:pPr>
        <w:spacing w:line="240" w:lineRule="auto"/>
        <w:rPr>
          <w:sz w:val="20"/>
        </w:rPr>
      </w:pPr>
    </w:p>
    <w:p w14:paraId="23F56EE0" w14:textId="689AD98B" w:rsidR="00980C0C" w:rsidRPr="00F47487" w:rsidRDefault="00BD230A" w:rsidP="00D163CB">
      <w:pPr>
        <w:spacing w:line="240" w:lineRule="auto"/>
        <w:rPr>
          <w:sz w:val="20"/>
        </w:rPr>
      </w:pPr>
      <w:r w:rsidRPr="00F47487">
        <w:rPr>
          <w:sz w:val="20"/>
        </w:rPr>
        <w:t>The conclusions from the above study are as follows:</w:t>
      </w:r>
    </w:p>
    <w:p w14:paraId="33AE66CB" w14:textId="032D51B2" w:rsidR="00453C9F" w:rsidRPr="00453C9F" w:rsidRDefault="00453C9F" w:rsidP="00453C9F">
      <w:pPr>
        <w:pStyle w:val="ListParagraph"/>
        <w:widowControl/>
        <w:numPr>
          <w:ilvl w:val="0"/>
          <w:numId w:val="8"/>
        </w:numPr>
        <w:spacing w:line="240" w:lineRule="auto"/>
        <w:jc w:val="both"/>
        <w:rPr>
          <w:sz w:val="20"/>
        </w:rPr>
      </w:pPr>
      <w:r w:rsidRPr="00453C9F">
        <w:rPr>
          <w:sz w:val="20"/>
        </w:rPr>
        <w:t>The above results shows the Comparison of beam moment (My) for all models and it is observed that the beam moment (My) is maximum in the model-10 having the maximum value of 420 kNm. Also it shows the Comparison of beam moment (Mz) for all models and it is observed that the beam moment (Mz) is maximum in the model-8 having the maximum value of 300 kNm.</w:t>
      </w:r>
    </w:p>
    <w:p w14:paraId="44AA463F" w14:textId="77777777" w:rsidR="00453C9F" w:rsidRPr="00453C9F" w:rsidRDefault="00453C9F" w:rsidP="00453C9F">
      <w:pPr>
        <w:pStyle w:val="ListParagraph"/>
        <w:widowControl/>
        <w:numPr>
          <w:ilvl w:val="0"/>
          <w:numId w:val="8"/>
        </w:numPr>
        <w:spacing w:line="240" w:lineRule="auto"/>
        <w:jc w:val="both"/>
        <w:rPr>
          <w:sz w:val="20"/>
        </w:rPr>
      </w:pPr>
      <w:r w:rsidRPr="00453C9F">
        <w:rPr>
          <w:sz w:val="20"/>
        </w:rPr>
        <w:t>The above results shows the Comparison of Plate shear stresses (SQX-local) for all models and it is observed that the Plate shear stresses (SQX-local) is maximum in the model-10 having the maximum value of 0.35 N/mm2. Also it shows the Comparison of Plate shear stresses (SQY-local) for all models and it is observed that the Plate shear stresses (SQY-local) is maximum in the model-8 having the maximum value of 0.54 N/mm2.</w:t>
      </w:r>
    </w:p>
    <w:p w14:paraId="5355CA2F" w14:textId="77777777" w:rsidR="00453C9F" w:rsidRPr="00453C9F" w:rsidRDefault="00453C9F" w:rsidP="00453C9F">
      <w:pPr>
        <w:pStyle w:val="ListParagraph"/>
        <w:widowControl/>
        <w:numPr>
          <w:ilvl w:val="0"/>
          <w:numId w:val="8"/>
        </w:numPr>
        <w:spacing w:line="240" w:lineRule="auto"/>
        <w:jc w:val="both"/>
        <w:rPr>
          <w:sz w:val="20"/>
        </w:rPr>
      </w:pPr>
      <w:r w:rsidRPr="00453C9F">
        <w:rPr>
          <w:sz w:val="20"/>
        </w:rPr>
        <w:t>The above results shows the Comparison of Plate shear stresses (SXY-local) for all models and it is observed that the Plate shear stresses (SXY-local) is maximum in the model-10 having the maximum value of 0.11 N/mm2. Also it shows the Comparison of Plate shear stresses (SX-local) for all models and it is observed that the Plate shear stresses (SX-local) is maximum in the model-10 having the maximum value of 0.11 N/mm2.</w:t>
      </w:r>
    </w:p>
    <w:p w14:paraId="1D3A4B1D" w14:textId="77777777" w:rsidR="00453C9F" w:rsidRPr="00453C9F" w:rsidRDefault="00453C9F" w:rsidP="00453C9F">
      <w:pPr>
        <w:pStyle w:val="ListParagraph"/>
        <w:widowControl/>
        <w:numPr>
          <w:ilvl w:val="0"/>
          <w:numId w:val="8"/>
        </w:numPr>
        <w:spacing w:line="240" w:lineRule="auto"/>
        <w:jc w:val="both"/>
        <w:rPr>
          <w:sz w:val="20"/>
        </w:rPr>
      </w:pPr>
      <w:r w:rsidRPr="00453C9F">
        <w:rPr>
          <w:sz w:val="20"/>
        </w:rPr>
        <w:t>The above results shows the Comparison of Plate shear stresses (SY-local) for all models and it is observed that the Plate shear stresses (SY-local) is maximum in the model-10 having the maximum value of 1.15 N/mm2. Also it shows the Comparison of Plate shear stresses (SXY-local) for all models and it is observed that the Plate shear stresses (SXY-local) is maximum in the model-8 having the maximum value of 0.45 N/mm2.</w:t>
      </w:r>
    </w:p>
    <w:p w14:paraId="60604970" w14:textId="77777777" w:rsidR="00453C9F" w:rsidRPr="00453C9F" w:rsidRDefault="00453C9F" w:rsidP="00453C9F">
      <w:pPr>
        <w:pStyle w:val="ListParagraph"/>
        <w:widowControl/>
        <w:numPr>
          <w:ilvl w:val="0"/>
          <w:numId w:val="8"/>
        </w:numPr>
        <w:spacing w:line="240" w:lineRule="auto"/>
        <w:jc w:val="both"/>
        <w:rPr>
          <w:sz w:val="20"/>
        </w:rPr>
      </w:pPr>
      <w:r w:rsidRPr="00453C9F">
        <w:rPr>
          <w:sz w:val="20"/>
        </w:rPr>
        <w:t>The above results shows the Comparison of Plate bending moment (Mx) for all models and it is observed that the bending moment (Mx) is maximum in the model-10 having the maximum value of 3kNm/m. Also it shows the Comparison of Plate bending moment (My) for all models and it is observed that the bending moment (My) is maximum in the model-10 having the maximum value of 8.6 kNm/m.</w:t>
      </w:r>
    </w:p>
    <w:p w14:paraId="49418DAA" w14:textId="68EE267A" w:rsidR="00980C0C" w:rsidRPr="00F47487" w:rsidRDefault="00980C0C" w:rsidP="00453C9F">
      <w:pPr>
        <w:pStyle w:val="ListParagraph"/>
        <w:widowControl/>
        <w:spacing w:line="240" w:lineRule="auto"/>
        <w:ind w:left="709"/>
        <w:jc w:val="both"/>
        <w:rPr>
          <w:sz w:val="20"/>
        </w:rPr>
      </w:pPr>
    </w:p>
    <w:p w14:paraId="72E484E1" w14:textId="77777777" w:rsidR="00980C0C" w:rsidRPr="00F47487" w:rsidRDefault="00980C0C">
      <w:pPr>
        <w:spacing w:line="240" w:lineRule="auto"/>
        <w:rPr>
          <w:sz w:val="20"/>
        </w:rPr>
      </w:pPr>
    </w:p>
    <w:p w14:paraId="43CA96F6" w14:textId="77777777" w:rsidR="00980C0C" w:rsidRPr="00F47487" w:rsidRDefault="00BD230A">
      <w:pPr>
        <w:pStyle w:val="MSGENFONTSTYLENAMETEMPLATEROLELEVELMSGENFONTSTYLENAMEBYROLEHEADING2"/>
        <w:keepNext/>
        <w:keepLines/>
        <w:spacing w:after="263" w:line="240" w:lineRule="auto"/>
        <w:ind w:firstLine="0"/>
        <w:jc w:val="both"/>
        <w:rPr>
          <w:sz w:val="20"/>
        </w:rPr>
      </w:pPr>
      <w:bookmarkStart w:id="18" w:name="bookmark19"/>
      <w:r w:rsidRPr="00F47487">
        <w:rPr>
          <w:rStyle w:val="MSGENFONTSTYLENAMETEMPLATEROLELEVELMSGENFONTSTYLENAMEBYROLEHEADING20"/>
          <w:sz w:val="20"/>
        </w:rPr>
        <w:t xml:space="preserve"> REFERENCE:</w:t>
      </w:r>
      <w:bookmarkEnd w:id="18"/>
    </w:p>
    <w:p w14:paraId="7EB02B69" w14:textId="1DBBE07B" w:rsidR="00453C9F" w:rsidRPr="00453C9F" w:rsidRDefault="009A5A68" w:rsidP="00453C9F">
      <w:pPr>
        <w:pStyle w:val="ListParagraph"/>
        <w:widowControl/>
        <w:numPr>
          <w:ilvl w:val="0"/>
          <w:numId w:val="9"/>
        </w:numPr>
        <w:spacing w:line="240" w:lineRule="auto"/>
        <w:jc w:val="both"/>
        <w:rPr>
          <w:sz w:val="20"/>
        </w:rPr>
      </w:pPr>
      <w:r w:rsidRPr="009A5A68">
        <w:rPr>
          <w:sz w:val="20"/>
        </w:rPr>
        <w:t>U</w:t>
      </w:r>
      <w:r w:rsidR="00453C9F">
        <w:rPr>
          <w:sz w:val="20"/>
        </w:rPr>
        <w:t xml:space="preserve"> </w:t>
      </w:r>
      <w:r w:rsidR="00453C9F" w:rsidRPr="00453C9F">
        <w:rPr>
          <w:sz w:val="20"/>
        </w:rPr>
        <w:t>RakshithGowda. K. R, Bhavani Shankar (2014).”Seismic Analysis Comparison of Regular And Vertically irregular RC Building with soft storey at different level”.(IJETE) International journal of emerging Technologies and Engineering. Volume 1 issue 6.</w:t>
      </w:r>
    </w:p>
    <w:p w14:paraId="477E507B" w14:textId="77777777" w:rsidR="00453C9F" w:rsidRPr="00453C9F" w:rsidRDefault="00453C9F" w:rsidP="00453C9F">
      <w:pPr>
        <w:pStyle w:val="ListParagraph"/>
        <w:widowControl/>
        <w:numPr>
          <w:ilvl w:val="0"/>
          <w:numId w:val="9"/>
        </w:numPr>
        <w:spacing w:line="240" w:lineRule="auto"/>
        <w:jc w:val="both"/>
        <w:rPr>
          <w:sz w:val="20"/>
        </w:rPr>
      </w:pPr>
      <w:r w:rsidRPr="00453C9F">
        <w:rPr>
          <w:sz w:val="20"/>
        </w:rPr>
        <w:lastRenderedPageBreak/>
        <w:t>HimanshuGaur, R.K. Goliya, Krishna Murari, Dr.A.K.Mullikh. “A Parametric Study of Multi-storey R\C Buildings with Horizontal Irregularity’’. IJRET Volume: 03. Issue: 04|April 2014.</w:t>
      </w:r>
    </w:p>
    <w:p w14:paraId="53E269E8" w14:textId="77777777" w:rsidR="00453C9F" w:rsidRPr="00453C9F" w:rsidRDefault="00453C9F" w:rsidP="00453C9F">
      <w:pPr>
        <w:pStyle w:val="ListParagraph"/>
        <w:widowControl/>
        <w:numPr>
          <w:ilvl w:val="0"/>
          <w:numId w:val="9"/>
        </w:numPr>
        <w:spacing w:line="240" w:lineRule="auto"/>
        <w:jc w:val="both"/>
        <w:rPr>
          <w:sz w:val="20"/>
        </w:rPr>
      </w:pPr>
      <w:r w:rsidRPr="00453C9F">
        <w:rPr>
          <w:sz w:val="20"/>
        </w:rPr>
        <w:t>Anil Chopra (2004). “Seismic Response of Vertical irregular Frames: Response History and Modal Pushover Analysis”. Journal of Structural Engineering, Vol. 130(8).</w:t>
      </w:r>
    </w:p>
    <w:p w14:paraId="3005C059" w14:textId="77777777" w:rsidR="00453C9F" w:rsidRPr="00453C9F" w:rsidRDefault="00453C9F" w:rsidP="00453C9F">
      <w:pPr>
        <w:pStyle w:val="ListParagraph"/>
        <w:widowControl/>
        <w:numPr>
          <w:ilvl w:val="0"/>
          <w:numId w:val="9"/>
        </w:numPr>
        <w:spacing w:line="240" w:lineRule="auto"/>
        <w:jc w:val="both"/>
        <w:rPr>
          <w:sz w:val="20"/>
        </w:rPr>
      </w:pPr>
      <w:r w:rsidRPr="00453C9F">
        <w:rPr>
          <w:sz w:val="20"/>
        </w:rPr>
        <w:t>Anvesh (2015). “Effect of Mass Irregularity on Reinforced Concrete Structures using Etabs”. International Journal of Innovative Research in Science, Engineering andTechnology, Vol. 4(10).</w:t>
      </w:r>
    </w:p>
    <w:p w14:paraId="67B0F2B7" w14:textId="77777777" w:rsidR="00453C9F" w:rsidRPr="00453C9F" w:rsidRDefault="00453C9F" w:rsidP="00453C9F">
      <w:pPr>
        <w:pStyle w:val="ListParagraph"/>
        <w:widowControl/>
        <w:numPr>
          <w:ilvl w:val="0"/>
          <w:numId w:val="9"/>
        </w:numPr>
        <w:spacing w:line="240" w:lineRule="auto"/>
        <w:jc w:val="both"/>
        <w:rPr>
          <w:sz w:val="20"/>
        </w:rPr>
      </w:pPr>
      <w:r w:rsidRPr="00453C9F">
        <w:rPr>
          <w:sz w:val="20"/>
        </w:rPr>
        <w:t>Devesh Soni, P. and Bharat Mistry, B., (2006). “Qualitative review of seismic response of vertically irregular building frames”. ISET Journal of Earthquake Technology, Vol. 43 (4), Pp. 121-132.</w:t>
      </w:r>
    </w:p>
    <w:p w14:paraId="0A5C5543" w14:textId="77777777" w:rsidR="00453C9F" w:rsidRPr="00453C9F" w:rsidRDefault="00453C9F" w:rsidP="00453C9F">
      <w:pPr>
        <w:pStyle w:val="ListParagraph"/>
        <w:widowControl/>
        <w:numPr>
          <w:ilvl w:val="0"/>
          <w:numId w:val="9"/>
        </w:numPr>
        <w:spacing w:line="240" w:lineRule="auto"/>
        <w:jc w:val="both"/>
        <w:rPr>
          <w:sz w:val="20"/>
        </w:rPr>
      </w:pPr>
      <w:r w:rsidRPr="00453C9F">
        <w:rPr>
          <w:sz w:val="20"/>
        </w:rPr>
        <w:t xml:space="preserve">Gowthami, V., Satheesh, V.S. and Suresh Babu, S., (2016). “An Epitome on 3D Plan Irregularities of RC Buildings with Seismic Analysis”. International Journal forScientific Research &amp; Development, Vol. 4(1). </w:t>
      </w:r>
    </w:p>
    <w:p w14:paraId="133FABB5" w14:textId="77777777" w:rsidR="00453C9F" w:rsidRPr="00453C9F" w:rsidRDefault="00453C9F" w:rsidP="00453C9F">
      <w:pPr>
        <w:pStyle w:val="ListParagraph"/>
        <w:widowControl/>
        <w:numPr>
          <w:ilvl w:val="0"/>
          <w:numId w:val="9"/>
        </w:numPr>
        <w:spacing w:line="240" w:lineRule="auto"/>
        <w:jc w:val="both"/>
        <w:rPr>
          <w:sz w:val="20"/>
        </w:rPr>
      </w:pPr>
      <w:r w:rsidRPr="00453C9F">
        <w:rPr>
          <w:sz w:val="20"/>
        </w:rPr>
        <w:t>Gunay Ozmen, Konuralp Girgin and Durgun, (2014). “Torsional Irregularity in Multi-Story Structures”. International Journalof Advanced Structural Engineering(IJASE), Vol.6(4), Pp. 121–131.</w:t>
      </w:r>
    </w:p>
    <w:p w14:paraId="0CAAF35B" w14:textId="77777777" w:rsidR="00453C9F" w:rsidRPr="00453C9F" w:rsidRDefault="00453C9F" w:rsidP="00453C9F">
      <w:pPr>
        <w:pStyle w:val="ListParagraph"/>
        <w:widowControl/>
        <w:numPr>
          <w:ilvl w:val="0"/>
          <w:numId w:val="9"/>
        </w:numPr>
        <w:spacing w:line="240" w:lineRule="auto"/>
        <w:jc w:val="both"/>
        <w:rPr>
          <w:sz w:val="20"/>
        </w:rPr>
      </w:pPr>
      <w:r w:rsidRPr="00453C9F">
        <w:rPr>
          <w:sz w:val="20"/>
        </w:rPr>
        <w:t>Gupta and Pajagade, P.S., (2012). “Torsional behaviour of multi-storey buildings with plan as well as vertical irregularities”. International Journal for Scientific Research &amp;Development, Vol. 7(3).</w:t>
      </w:r>
    </w:p>
    <w:p w14:paraId="1546B12B" w14:textId="77777777" w:rsidR="00453C9F" w:rsidRPr="00453C9F" w:rsidRDefault="00453C9F" w:rsidP="00453C9F">
      <w:pPr>
        <w:pStyle w:val="ListParagraph"/>
        <w:widowControl/>
        <w:numPr>
          <w:ilvl w:val="0"/>
          <w:numId w:val="9"/>
        </w:numPr>
        <w:spacing w:line="240" w:lineRule="auto"/>
        <w:jc w:val="both"/>
        <w:rPr>
          <w:sz w:val="20"/>
        </w:rPr>
      </w:pPr>
      <w:r w:rsidRPr="00453C9F">
        <w:rPr>
          <w:sz w:val="20"/>
        </w:rPr>
        <w:t>Han Seon Lee and Dong Woo Co, (2002).“Seismic response of high-rise RC bearing-wall structures with irregularities at bottom stories”. 13th World Conference onEarthquake Engineering Vancouver.</w:t>
      </w:r>
    </w:p>
    <w:p w14:paraId="5407808F" w14:textId="77777777" w:rsidR="00453C9F" w:rsidRPr="00453C9F" w:rsidRDefault="00453C9F" w:rsidP="00453C9F">
      <w:pPr>
        <w:pStyle w:val="ListParagraph"/>
        <w:widowControl/>
        <w:numPr>
          <w:ilvl w:val="0"/>
          <w:numId w:val="9"/>
        </w:numPr>
        <w:spacing w:line="240" w:lineRule="auto"/>
        <w:jc w:val="both"/>
        <w:rPr>
          <w:sz w:val="20"/>
        </w:rPr>
      </w:pPr>
      <w:r w:rsidRPr="00453C9F">
        <w:rPr>
          <w:sz w:val="20"/>
        </w:rPr>
        <w:t>IS: 1893-2002. "Criteria for Earthquake resistant design of structures", Part-1 General provisions and buildings (Sixth revision), Bureau of Indian Standards, New Delhi, India.</w:t>
      </w:r>
    </w:p>
    <w:p w14:paraId="3EDBC1CB" w14:textId="77777777" w:rsidR="00453C9F" w:rsidRPr="00453C9F" w:rsidRDefault="00453C9F" w:rsidP="00453C9F">
      <w:pPr>
        <w:pStyle w:val="ListParagraph"/>
        <w:widowControl/>
        <w:numPr>
          <w:ilvl w:val="0"/>
          <w:numId w:val="9"/>
        </w:numPr>
        <w:spacing w:line="240" w:lineRule="auto"/>
        <w:jc w:val="both"/>
        <w:rPr>
          <w:sz w:val="20"/>
        </w:rPr>
      </w:pPr>
      <w:r w:rsidRPr="00453C9F">
        <w:rPr>
          <w:sz w:val="20"/>
        </w:rPr>
        <w:t>IS 456:2000. Indian standard Plain and reinforced concrete – Code of Practice, Bureau ofIndian standard, New Delhi.</w:t>
      </w:r>
    </w:p>
    <w:p w14:paraId="0FA66C67" w14:textId="77777777" w:rsidR="00453C9F" w:rsidRPr="00453C9F" w:rsidRDefault="00453C9F" w:rsidP="00453C9F">
      <w:pPr>
        <w:pStyle w:val="ListParagraph"/>
        <w:widowControl/>
        <w:numPr>
          <w:ilvl w:val="0"/>
          <w:numId w:val="9"/>
        </w:numPr>
        <w:spacing w:line="240" w:lineRule="auto"/>
        <w:jc w:val="both"/>
        <w:rPr>
          <w:sz w:val="20"/>
        </w:rPr>
      </w:pPr>
      <w:r w:rsidRPr="00453C9F">
        <w:rPr>
          <w:sz w:val="20"/>
        </w:rPr>
        <w:t>Kusuma, B., (2017). “Seismic Analysis of a High-rise RC Framed Structure with Irregularities”. International Research Journal of Engineering and Technology (IRJET),Vol.4(7).</w:t>
      </w:r>
    </w:p>
    <w:p w14:paraId="7E997538" w14:textId="77777777" w:rsidR="00453C9F" w:rsidRPr="00453C9F" w:rsidRDefault="00453C9F" w:rsidP="00453C9F">
      <w:pPr>
        <w:pStyle w:val="ListParagraph"/>
        <w:widowControl/>
        <w:numPr>
          <w:ilvl w:val="0"/>
          <w:numId w:val="9"/>
        </w:numPr>
        <w:spacing w:line="240" w:lineRule="auto"/>
        <w:jc w:val="both"/>
        <w:rPr>
          <w:sz w:val="20"/>
        </w:rPr>
      </w:pPr>
      <w:r w:rsidRPr="00453C9F">
        <w:rPr>
          <w:sz w:val="20"/>
        </w:rPr>
        <w:t>Lakshmi Subash, (2017). “Seismic Behaviour of Vertically Irregular Reinforced Concrete Buildings with P-Delta Effect”. International Research Journal of Engineering andTechnology, Vol. 4(4).</w:t>
      </w:r>
    </w:p>
    <w:p w14:paraId="6032E253" w14:textId="77777777" w:rsidR="00453C9F" w:rsidRPr="00453C9F" w:rsidRDefault="00453C9F" w:rsidP="00453C9F">
      <w:pPr>
        <w:pStyle w:val="ListParagraph"/>
        <w:widowControl/>
        <w:numPr>
          <w:ilvl w:val="0"/>
          <w:numId w:val="9"/>
        </w:numPr>
        <w:spacing w:line="240" w:lineRule="auto"/>
        <w:jc w:val="both"/>
        <w:rPr>
          <w:sz w:val="20"/>
        </w:rPr>
      </w:pPr>
      <w:r w:rsidRPr="00453C9F">
        <w:rPr>
          <w:sz w:val="20"/>
        </w:rPr>
        <w:t>Moehle, (1984). “Seismic Response of Vertically Irregular Structures”. Journal ofStructural Engineering, Vol. 110(9).</w:t>
      </w:r>
    </w:p>
    <w:p w14:paraId="1B216318" w14:textId="77777777" w:rsidR="00453C9F" w:rsidRPr="00453C9F" w:rsidRDefault="00453C9F" w:rsidP="00453C9F">
      <w:pPr>
        <w:pStyle w:val="ListParagraph"/>
        <w:widowControl/>
        <w:numPr>
          <w:ilvl w:val="0"/>
          <w:numId w:val="9"/>
        </w:numPr>
        <w:spacing w:line="240" w:lineRule="auto"/>
        <w:jc w:val="both"/>
        <w:rPr>
          <w:sz w:val="20"/>
        </w:rPr>
      </w:pPr>
      <w:r w:rsidRPr="00453C9F">
        <w:rPr>
          <w:sz w:val="20"/>
        </w:rPr>
        <w:t>Neha Modakwar, P., Sangita Meshram, S. and Dinesh Gawatre, W., (2014). “Seismic Analysis of Structures with Irregularities”. Journal of Mechanical and Civil Engineering, Pp. 63-66.</w:t>
      </w:r>
    </w:p>
    <w:p w14:paraId="63D6B563" w14:textId="6AE35A7F" w:rsidR="00CF1607" w:rsidRPr="009A5A68" w:rsidRDefault="00CF1607" w:rsidP="00453C9F">
      <w:pPr>
        <w:pStyle w:val="ListParagraph"/>
        <w:widowControl/>
        <w:spacing w:line="240" w:lineRule="auto"/>
        <w:ind w:left="1134"/>
        <w:jc w:val="both"/>
        <w:rPr>
          <w:sz w:val="20"/>
        </w:rPr>
      </w:pPr>
    </w:p>
    <w:sectPr w:rsidR="00CF1607" w:rsidRPr="009A5A68">
      <w:pgSz w:w="11909" w:h="16834"/>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DE861" w14:textId="77777777" w:rsidR="00777565" w:rsidRDefault="00777565">
      <w:pPr>
        <w:spacing w:after="0" w:line="240" w:lineRule="auto"/>
      </w:pPr>
      <w:r>
        <w:separator/>
      </w:r>
    </w:p>
  </w:endnote>
  <w:endnote w:type="continuationSeparator" w:id="0">
    <w:p w14:paraId="69337FF9" w14:textId="77777777" w:rsidR="00777565" w:rsidRDefault="00777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373F3C" w14:textId="77777777" w:rsidR="00777565" w:rsidRDefault="00777565">
      <w:pPr>
        <w:spacing w:after="0" w:line="240" w:lineRule="auto"/>
      </w:pPr>
      <w:r>
        <w:separator/>
      </w:r>
    </w:p>
  </w:footnote>
  <w:footnote w:type="continuationSeparator" w:id="0">
    <w:p w14:paraId="1A88325E" w14:textId="77777777" w:rsidR="00777565" w:rsidRDefault="007775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2894FDD"/>
    <w:multiLevelType w:val="singleLevel"/>
    <w:tmpl w:val="A2894FDD"/>
    <w:lvl w:ilvl="0">
      <w:start w:val="1"/>
      <w:numFmt w:val="lowerRoman"/>
      <w:lvlText w:val="%1."/>
      <w:lvlJc w:val="left"/>
      <w:pPr>
        <w:tabs>
          <w:tab w:val="left" w:pos="425"/>
        </w:tabs>
        <w:ind w:left="425" w:hanging="425"/>
      </w:pPr>
      <w:rPr>
        <w:rFonts w:hint="default"/>
      </w:rPr>
    </w:lvl>
  </w:abstractNum>
  <w:abstractNum w:abstractNumId="1">
    <w:nsid w:val="08671556"/>
    <w:multiLevelType w:val="hybridMultilevel"/>
    <w:tmpl w:val="714E5B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5232AE"/>
    <w:multiLevelType w:val="hybridMultilevel"/>
    <w:tmpl w:val="0DBE787E"/>
    <w:lvl w:ilvl="0" w:tplc="C018CA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4840F0"/>
    <w:multiLevelType w:val="singleLevel"/>
    <w:tmpl w:val="334840F0"/>
    <w:lvl w:ilvl="0">
      <w:start w:val="1"/>
      <w:numFmt w:val="decimal"/>
      <w:lvlText w:val="[%1]"/>
      <w:lvlJc w:val="left"/>
      <w:pPr>
        <w:tabs>
          <w:tab w:val="left" w:pos="432"/>
        </w:tabs>
        <w:ind w:left="432" w:hanging="432"/>
      </w:pPr>
      <w:rPr>
        <w:rFonts w:hint="default"/>
      </w:rPr>
    </w:lvl>
  </w:abstractNum>
  <w:abstractNum w:abstractNumId="4">
    <w:nsid w:val="3CF0822A"/>
    <w:multiLevelType w:val="singleLevel"/>
    <w:tmpl w:val="3CF0822A"/>
    <w:lvl w:ilvl="0">
      <w:start w:val="1"/>
      <w:numFmt w:val="upperRoman"/>
      <w:suff w:val="space"/>
      <w:lvlText w:val="%1."/>
      <w:lvlJc w:val="left"/>
      <w:pPr>
        <w:ind w:left="50" w:firstLine="0"/>
      </w:pPr>
    </w:lvl>
  </w:abstractNum>
  <w:abstractNum w:abstractNumId="5">
    <w:nsid w:val="43A66C85"/>
    <w:multiLevelType w:val="hybridMultilevel"/>
    <w:tmpl w:val="83B07FF4"/>
    <w:lvl w:ilvl="0" w:tplc="77F8D302">
      <w:start w:val="1"/>
      <w:numFmt w:val="lowerLetter"/>
      <w:lvlText w:val="%1)"/>
      <w:lvlJc w:val="left"/>
      <w:pPr>
        <w:ind w:left="327" w:hanging="480"/>
      </w:pPr>
      <w:rPr>
        <w:rFonts w:hint="default"/>
      </w:rPr>
    </w:lvl>
    <w:lvl w:ilvl="1" w:tplc="04090019" w:tentative="1">
      <w:start w:val="1"/>
      <w:numFmt w:val="lowerLetter"/>
      <w:lvlText w:val="%2."/>
      <w:lvlJc w:val="left"/>
      <w:pPr>
        <w:ind w:left="927" w:hanging="360"/>
      </w:pPr>
    </w:lvl>
    <w:lvl w:ilvl="2" w:tplc="0409001B" w:tentative="1">
      <w:start w:val="1"/>
      <w:numFmt w:val="lowerRoman"/>
      <w:lvlText w:val="%3."/>
      <w:lvlJc w:val="right"/>
      <w:pPr>
        <w:ind w:left="1647" w:hanging="180"/>
      </w:pPr>
    </w:lvl>
    <w:lvl w:ilvl="3" w:tplc="0409000F" w:tentative="1">
      <w:start w:val="1"/>
      <w:numFmt w:val="decimal"/>
      <w:lvlText w:val="%4."/>
      <w:lvlJc w:val="left"/>
      <w:pPr>
        <w:ind w:left="2367" w:hanging="360"/>
      </w:pPr>
    </w:lvl>
    <w:lvl w:ilvl="4" w:tplc="04090019" w:tentative="1">
      <w:start w:val="1"/>
      <w:numFmt w:val="lowerLetter"/>
      <w:lvlText w:val="%5."/>
      <w:lvlJc w:val="left"/>
      <w:pPr>
        <w:ind w:left="3087" w:hanging="360"/>
      </w:pPr>
    </w:lvl>
    <w:lvl w:ilvl="5" w:tplc="0409001B" w:tentative="1">
      <w:start w:val="1"/>
      <w:numFmt w:val="lowerRoman"/>
      <w:lvlText w:val="%6."/>
      <w:lvlJc w:val="right"/>
      <w:pPr>
        <w:ind w:left="3807" w:hanging="180"/>
      </w:pPr>
    </w:lvl>
    <w:lvl w:ilvl="6" w:tplc="0409000F" w:tentative="1">
      <w:start w:val="1"/>
      <w:numFmt w:val="decimal"/>
      <w:lvlText w:val="%7."/>
      <w:lvlJc w:val="left"/>
      <w:pPr>
        <w:ind w:left="4527" w:hanging="360"/>
      </w:pPr>
    </w:lvl>
    <w:lvl w:ilvl="7" w:tplc="04090019" w:tentative="1">
      <w:start w:val="1"/>
      <w:numFmt w:val="lowerLetter"/>
      <w:lvlText w:val="%8."/>
      <w:lvlJc w:val="left"/>
      <w:pPr>
        <w:ind w:left="5247" w:hanging="360"/>
      </w:pPr>
    </w:lvl>
    <w:lvl w:ilvl="8" w:tplc="0409001B" w:tentative="1">
      <w:start w:val="1"/>
      <w:numFmt w:val="lowerRoman"/>
      <w:lvlText w:val="%9."/>
      <w:lvlJc w:val="right"/>
      <w:pPr>
        <w:ind w:left="5967" w:hanging="180"/>
      </w:pPr>
    </w:lvl>
  </w:abstractNum>
  <w:abstractNum w:abstractNumId="6">
    <w:nsid w:val="45797F1B"/>
    <w:multiLevelType w:val="hybridMultilevel"/>
    <w:tmpl w:val="E744D414"/>
    <w:lvl w:ilvl="0" w:tplc="C018CA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7521CEF"/>
    <w:multiLevelType w:val="hybridMultilevel"/>
    <w:tmpl w:val="49048126"/>
    <w:lvl w:ilvl="0" w:tplc="C018CAFA">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823BAA"/>
    <w:multiLevelType w:val="hybridMultilevel"/>
    <w:tmpl w:val="5F4EA646"/>
    <w:lvl w:ilvl="0" w:tplc="90B26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756662C"/>
    <w:multiLevelType w:val="hybridMultilevel"/>
    <w:tmpl w:val="F3464F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9"/>
  </w:num>
  <w:num w:numId="5">
    <w:abstractNumId w:val="1"/>
  </w:num>
  <w:num w:numId="6">
    <w:abstractNumId w:val="5"/>
  </w:num>
  <w:num w:numId="7">
    <w:abstractNumId w:val="2"/>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9E41817"/>
    <w:rsid w:val="00071556"/>
    <w:rsid w:val="000E6224"/>
    <w:rsid w:val="0013541C"/>
    <w:rsid w:val="00140E8A"/>
    <w:rsid w:val="00190B40"/>
    <w:rsid w:val="00352D5D"/>
    <w:rsid w:val="003912A7"/>
    <w:rsid w:val="003C3465"/>
    <w:rsid w:val="00450B4C"/>
    <w:rsid w:val="00453C9F"/>
    <w:rsid w:val="004D1F94"/>
    <w:rsid w:val="004E1069"/>
    <w:rsid w:val="004E1E8F"/>
    <w:rsid w:val="00506AF2"/>
    <w:rsid w:val="005123D5"/>
    <w:rsid w:val="0059598E"/>
    <w:rsid w:val="005F426A"/>
    <w:rsid w:val="00645005"/>
    <w:rsid w:val="00692276"/>
    <w:rsid w:val="006B2999"/>
    <w:rsid w:val="00777565"/>
    <w:rsid w:val="007A1426"/>
    <w:rsid w:val="008B7497"/>
    <w:rsid w:val="00980C0C"/>
    <w:rsid w:val="009A5A68"/>
    <w:rsid w:val="009C3F85"/>
    <w:rsid w:val="009D312E"/>
    <w:rsid w:val="009E7769"/>
    <w:rsid w:val="009F7BBA"/>
    <w:rsid w:val="00B206FE"/>
    <w:rsid w:val="00B218A1"/>
    <w:rsid w:val="00BD230A"/>
    <w:rsid w:val="00C044B8"/>
    <w:rsid w:val="00CF1607"/>
    <w:rsid w:val="00D163CB"/>
    <w:rsid w:val="00D94FA6"/>
    <w:rsid w:val="00DD523D"/>
    <w:rsid w:val="00DE7B05"/>
    <w:rsid w:val="00E03AA9"/>
    <w:rsid w:val="00E21259"/>
    <w:rsid w:val="00F47487"/>
    <w:rsid w:val="00FD17B1"/>
    <w:rsid w:val="00FE7136"/>
    <w:rsid w:val="04B44329"/>
    <w:rsid w:val="09527124"/>
    <w:rsid w:val="12B437D7"/>
    <w:rsid w:val="3A0223BA"/>
    <w:rsid w:val="488D0DC8"/>
    <w:rsid w:val="5D7F3FF1"/>
    <w:rsid w:val="65AF559E"/>
    <w:rsid w:val="69E4181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A3DBBA2"/>
  <w15:docId w15:val="{9C83453E-508C-4F55-BB6D-242607DAC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lsdException w:name="caption" w:semiHidden="1" w:uiPriority="35" w:unhideWhenUsed="1" w:qFormat="1"/>
    <w:lsdException w:name="Title" w:qFormat="1"/>
    <w:lsdException w:name="Default Paragraph Font" w:semiHidden="1"/>
    <w:lsdException w:name="Body Text" w:uiPriority="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unhideWhenUsed/>
    <w:qFormat/>
    <w:pPr>
      <w:widowControl w:val="0"/>
    </w:pPr>
    <w:rPr>
      <w:rFonts w:eastAsia="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unhideWhenUsed/>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unhideWhenUsed/>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GENFONTSTYLENAMETEMPLATEROLEMSGENFONTSTYLENAMEBYROLERUNNINGTITLE">
    <w:name w:val="MSG_EN_FONT_STYLE_NAME_TEMPLATE_ROLE MSG_EN_FONT_STYLE_NAME_BY_ROLE_RUNNING_TITLE"/>
    <w:basedOn w:val="Normal"/>
    <w:link w:val="MSGENFONTSTYLENAMETEMPLATEROLEMSGENFONTSTYLENAMEBYROLERUNNINGTITLE0"/>
    <w:uiPriority w:val="99"/>
    <w:unhideWhenUsed/>
    <w:pPr>
      <w:shd w:val="clear" w:color="auto" w:fill="FFFFFF"/>
    </w:pPr>
    <w:rPr>
      <w:sz w:val="20"/>
    </w:rPr>
  </w:style>
  <w:style w:type="character" w:customStyle="1" w:styleId="MSGENFONTSTYLENAMETEMPLATEROLEMSGENFONTSTYLENAMEBYROLERUNNINGTITLEMSGENFONTSTYLEMODIFERBOLD">
    <w:name w:val="MSG_EN_FONT_STYLE_NAME_TEMPLATE_ROLE MSG_EN_FONT_STYLE_NAME_BY_ROLE_RUNNING_TITLE + MSG_EN_FONT_STYLE_MODIFER_BOLD"/>
    <w:basedOn w:val="MSGENFONTSTYLENAMETEMPLATEROLEMSGENFONTSTYLENAMEBYROLERUNNINGTITLE0"/>
    <w:uiPriority w:val="99"/>
    <w:unhideWhenUsed/>
    <w:rPr>
      <w:rFonts w:hint="default"/>
      <w:b/>
      <w:sz w:val="20"/>
    </w:rPr>
  </w:style>
  <w:style w:type="character" w:customStyle="1" w:styleId="MSGENFONTSTYLENAMETEMPLATEROLEMSGENFONTSTYLENAMEBYROLERUNNINGTITLE0">
    <w:name w:val="MSG_EN_FONT_STYLE_NAME_TEMPLATE_ROLE MSG_EN_FONT_STYLE_NAME_BY_ROLE_RUNNING_TITLE_"/>
    <w:basedOn w:val="DefaultParagraphFont"/>
    <w:link w:val="MSGENFONTSTYLENAMETEMPLATEROLEMSGENFONTSTYLENAMEBYROLERUNNINGTITLE"/>
    <w:uiPriority w:val="99"/>
    <w:unhideWhenUsed/>
    <w:rPr>
      <w:rFonts w:hint="default"/>
      <w:sz w:val="20"/>
    </w:rPr>
  </w:style>
  <w:style w:type="paragraph" w:customStyle="1" w:styleId="MSGENFONTSTYLENAMETEMPLATEROLELEVELMSGENFONTSTYLENAMEBYROLEHEADING2">
    <w:name w:val="MSG_EN_FONT_STYLE_NAME_TEMPLATE_ROLE_LEVEL MSG_EN_FONT_STYLE_NAME_BY_ROLE_HEADING 2"/>
    <w:basedOn w:val="Normal"/>
    <w:link w:val="MSGENFONTSTYLENAMETEMPLATEROLELEVELMSGENFONTSTYLENAMEBYROLEHEADING20"/>
    <w:uiPriority w:val="99"/>
    <w:unhideWhenUsed/>
    <w:qFormat/>
    <w:pPr>
      <w:shd w:val="clear" w:color="auto" w:fill="FFFFFF"/>
      <w:spacing w:after="480" w:line="240" w:lineRule="atLeast"/>
      <w:ind w:hanging="720"/>
      <w:outlineLvl w:val="1"/>
    </w:pPr>
    <w:rPr>
      <w:b/>
      <w:sz w:val="30"/>
    </w:rPr>
  </w:style>
  <w:style w:type="character" w:customStyle="1" w:styleId="MSGENFONTSTYLENAMETEMPLATEROLELEVELMSGENFONTSTYLENAMEBYROLEHEADING20">
    <w:name w:val="MSG_EN_FONT_STYLE_NAME_TEMPLATE_ROLE_LEVEL MSG_EN_FONT_STYLE_NAME_BY_ROLE_HEADING 2_"/>
    <w:basedOn w:val="DefaultParagraphFont"/>
    <w:link w:val="MSGENFONTSTYLENAMETEMPLATEROLELEVELMSGENFONTSTYLENAMEBYROLEHEADING2"/>
    <w:uiPriority w:val="99"/>
    <w:unhideWhenUsed/>
    <w:rPr>
      <w:rFonts w:hint="default"/>
      <w:b/>
      <w:sz w:val="30"/>
    </w:rPr>
  </w:style>
  <w:style w:type="paragraph" w:customStyle="1" w:styleId="MSGENFONTSTYLENAMETEMPLATEROLEMSGENFONTSTYLENAMEBYROLETEXT">
    <w:name w:val="MSG_EN_FONT_STYLE_NAME_TEMPLATE_ROLE MSG_EN_FONT_STYLE_NAME_BY_ROLE_TEXT"/>
    <w:basedOn w:val="Normal"/>
    <w:link w:val="MSGENFONTSTYLENAMETEMPLATEROLEMSGENFONTSTYLENAMEBYROLETEXT0"/>
    <w:uiPriority w:val="99"/>
    <w:unhideWhenUsed/>
    <w:pPr>
      <w:shd w:val="clear" w:color="auto" w:fill="FFFFFF"/>
      <w:spacing w:before="480" w:after="180" w:line="413" w:lineRule="exact"/>
      <w:ind w:hanging="720"/>
      <w:jc w:val="both"/>
    </w:pPr>
    <w:rPr>
      <w:sz w:val="22"/>
    </w:rPr>
  </w:style>
  <w:style w:type="character" w:customStyle="1" w:styleId="MSGENFONTSTYLENAMETEMPLATEROLEMSGENFONTSTYLENAMEBYROLETEXT0">
    <w:name w:val="MSG_EN_FONT_STYLE_NAME_TEMPLATE_ROLE MSG_EN_FONT_STYLE_NAME_BY_ROLE_TEXT_"/>
    <w:basedOn w:val="DefaultParagraphFont"/>
    <w:link w:val="MSGENFONTSTYLENAMETEMPLATEROLEMSGENFONTSTYLENAMEBYROLETEXT"/>
    <w:uiPriority w:val="99"/>
    <w:unhideWhenUsed/>
    <w:rPr>
      <w:rFonts w:hint="default"/>
      <w:sz w:val="22"/>
    </w:rPr>
  </w:style>
  <w:style w:type="paragraph" w:customStyle="1" w:styleId="MSGENFONTSTYLENAMETEMPLATEROLELEVELNUMBERMSGENFONTSTYLENAMEBYROLEHEADING12">
    <w:name w:val="MSG_EN_FONT_STYLE_NAME_TEMPLATE_ROLE_LEVEL_NUMBER MSG_EN_FONT_STYLE_NAME_BY_ROLE_HEADING 1 2"/>
    <w:basedOn w:val="Normal"/>
    <w:link w:val="MSGENFONTSTYLENAMETEMPLATEROLELEVELNUMBERMSGENFONTSTYLENAMEBYROLEHEADING120"/>
    <w:uiPriority w:val="99"/>
    <w:unhideWhenUsed/>
    <w:qFormat/>
    <w:pPr>
      <w:shd w:val="clear" w:color="auto" w:fill="FFFFFF"/>
      <w:spacing w:after="420" w:line="240" w:lineRule="atLeast"/>
      <w:outlineLvl w:val="0"/>
    </w:pPr>
    <w:rPr>
      <w:b/>
      <w:sz w:val="30"/>
    </w:rPr>
  </w:style>
  <w:style w:type="character" w:customStyle="1" w:styleId="MSGENFONTSTYLENAMETEMPLATEROLELEVELNUMBERMSGENFONTSTYLENAMEBYROLEHEADING120">
    <w:name w:val="MSG_EN_FONT_STYLE_NAME_TEMPLATE_ROLE_LEVEL_NUMBER MSG_EN_FONT_STYLE_NAME_BY_ROLE_HEADING 1 2_"/>
    <w:basedOn w:val="DefaultParagraphFont"/>
    <w:link w:val="MSGENFONTSTYLENAMETEMPLATEROLELEVELNUMBERMSGENFONTSTYLENAMEBYROLEHEADING12"/>
    <w:uiPriority w:val="99"/>
    <w:unhideWhenUsed/>
    <w:qFormat/>
    <w:rPr>
      <w:rFonts w:hint="default"/>
      <w:b/>
      <w:sz w:val="30"/>
    </w:rPr>
  </w:style>
  <w:style w:type="paragraph" w:customStyle="1" w:styleId="MSGENFONTSTYLENAMETEMPLATEROLELEVELMSGENFONTSTYLENAMEBYROLEHEADING3">
    <w:name w:val="MSG_EN_FONT_STYLE_NAME_TEMPLATE_ROLE_LEVEL MSG_EN_FONT_STYLE_NAME_BY_ROLE_HEADING 3"/>
    <w:basedOn w:val="Normal"/>
    <w:link w:val="MSGENFONTSTYLENAMETEMPLATEROLELEVELMSGENFONTSTYLENAMEBYROLEHEADING30"/>
    <w:uiPriority w:val="99"/>
    <w:unhideWhenUsed/>
    <w:qFormat/>
    <w:pPr>
      <w:shd w:val="clear" w:color="auto" w:fill="FFFFFF"/>
      <w:spacing w:before="60" w:after="240" w:line="240" w:lineRule="atLeast"/>
      <w:ind w:hanging="640"/>
      <w:outlineLvl w:val="2"/>
    </w:pPr>
    <w:rPr>
      <w:b/>
      <w:sz w:val="26"/>
    </w:rPr>
  </w:style>
  <w:style w:type="character" w:customStyle="1" w:styleId="MSGENFONTSTYLENAMETEMPLATEROLELEVELMSGENFONTSTYLENAMEBYROLEHEADING30">
    <w:name w:val="MSG_EN_FONT_STYLE_NAME_TEMPLATE_ROLE_LEVEL MSG_EN_FONT_STYLE_NAME_BY_ROLE_HEADING 3_"/>
    <w:basedOn w:val="DefaultParagraphFont"/>
    <w:link w:val="MSGENFONTSTYLENAMETEMPLATEROLELEVELMSGENFONTSTYLENAMEBYROLEHEADING3"/>
    <w:uiPriority w:val="99"/>
    <w:unhideWhenUsed/>
    <w:qFormat/>
    <w:rPr>
      <w:rFonts w:hint="default"/>
      <w:b/>
      <w:sz w:val="26"/>
    </w:rPr>
  </w:style>
  <w:style w:type="paragraph" w:customStyle="1" w:styleId="MSGENFONTSTYLENAMETEMPLATEROLENUMBERMSGENFONTSTYLENAMEBYROLEPICTURECAPTION3">
    <w:name w:val="MSG_EN_FONT_STYLE_NAME_TEMPLATE_ROLE_NUMBER MSG_EN_FONT_STYLE_NAME_BY_ROLE_PICTURE_CAPTION 3"/>
    <w:basedOn w:val="Normal"/>
    <w:link w:val="MSGENFONTSTYLENAMETEMPLATEROLENUMBERMSGENFONTSTYLENAMEBYROLEPICTURECAPTION30"/>
    <w:uiPriority w:val="99"/>
    <w:unhideWhenUsed/>
    <w:qFormat/>
    <w:pPr>
      <w:shd w:val="clear" w:color="auto" w:fill="FFFFFF"/>
      <w:spacing w:line="240" w:lineRule="atLeast"/>
    </w:pPr>
    <w:rPr>
      <w:b/>
      <w:sz w:val="20"/>
    </w:rPr>
  </w:style>
  <w:style w:type="character" w:customStyle="1" w:styleId="MSGENFONTSTYLENAMETEMPLATEROLENUMBERMSGENFONTSTYLENAMEBYROLEPICTURECAPTION30">
    <w:name w:val="MSG_EN_FONT_STYLE_NAME_TEMPLATE_ROLE_NUMBER MSG_EN_FONT_STYLE_NAME_BY_ROLE_PICTURE_CAPTION 3_"/>
    <w:basedOn w:val="DefaultParagraphFont"/>
    <w:link w:val="MSGENFONTSTYLENAMETEMPLATEROLENUMBERMSGENFONTSTYLENAMEBYROLEPICTURECAPTION3"/>
    <w:uiPriority w:val="99"/>
    <w:unhideWhenUsed/>
    <w:rPr>
      <w:rFonts w:hint="default"/>
      <w:b/>
      <w:sz w:val="20"/>
    </w:rPr>
  </w:style>
  <w:style w:type="character" w:customStyle="1" w:styleId="MSGENFONTSTYLENAMETEMPLATEROLEMSGENFONTSTYLENAMEBYROLETEXTMSGENFONTSTYLEMODIFERSPACING0">
    <w:name w:val="MSG_EN_FONT_STYLE_NAME_TEMPLATE_ROLE MSG_EN_FONT_STYLE_NAME_BY_ROLE_TEXT + MSG_EN_FONT_STYLE_MODIFER_SPACING 0"/>
    <w:basedOn w:val="MSGENFONTSTYLENAMETEMPLATEROLEMSGENFONTSTYLENAMEBYROLETEXT0"/>
    <w:uiPriority w:val="99"/>
    <w:unhideWhenUsed/>
    <w:qFormat/>
    <w:rPr>
      <w:rFonts w:hint="default"/>
      <w:spacing w:val="10"/>
      <w:sz w:val="22"/>
    </w:rPr>
  </w:style>
  <w:style w:type="character" w:customStyle="1" w:styleId="MSGENFONTSTYLENAMETEMPLATEROLEMSGENFONTSTYLENAMEBYROLETEXTMSGENFONTSTYLEMODIFERSIZE95">
    <w:name w:val="MSG_EN_FONT_STYLE_NAME_TEMPLATE_ROLE MSG_EN_FONT_STYLE_NAME_BY_ROLE_TEXT + MSG_EN_FONT_STYLE_MODIFER_SIZE 9.5"/>
    <w:basedOn w:val="MSGENFONTSTYLENAMETEMPLATEROLEMSGENFONTSTYLENAMEBYROLETEXT0"/>
    <w:uiPriority w:val="99"/>
    <w:unhideWhenUsed/>
    <w:qFormat/>
    <w:rPr>
      <w:rFonts w:hint="default"/>
      <w:b/>
      <w:spacing w:val="10"/>
      <w:sz w:val="19"/>
    </w:rPr>
  </w:style>
  <w:style w:type="character" w:customStyle="1" w:styleId="MSGENFONTSTYLENAMETEMPLATEROLEMSGENFONTSTYLENAMEBYROLETEXTMSGENFONTSTYLEMODIFERBOLD">
    <w:name w:val="MSG_EN_FONT_STYLE_NAME_TEMPLATE_ROLE MSG_EN_FONT_STYLE_NAME_BY_ROLE_TEXT + MSG_EN_FONT_STYLE_MODIFER_BOLD"/>
    <w:basedOn w:val="MSGENFONTSTYLENAMETEMPLATEROLEMSGENFONTSTYLENAMEBYROLETEXT0"/>
    <w:uiPriority w:val="99"/>
    <w:unhideWhenUsed/>
    <w:qFormat/>
    <w:rPr>
      <w:rFonts w:hint="default"/>
      <w:b/>
      <w:sz w:val="22"/>
    </w:rPr>
  </w:style>
  <w:style w:type="paragraph" w:customStyle="1" w:styleId="MSGENFONTSTYLENAMETEMPLATEROLENUMBERMSGENFONTSTYLENAMEBYROLETEXT5">
    <w:name w:val="MSG_EN_FONT_STYLE_NAME_TEMPLATE_ROLE_NUMBER MSG_EN_FONT_STYLE_NAME_BY_ROLE_TEXT 5"/>
    <w:basedOn w:val="Normal"/>
    <w:link w:val="MSGENFONTSTYLENAMETEMPLATEROLENUMBERMSGENFONTSTYLENAMEBYROLETEXT50"/>
    <w:uiPriority w:val="99"/>
    <w:unhideWhenUsed/>
    <w:qFormat/>
    <w:pPr>
      <w:shd w:val="clear" w:color="auto" w:fill="FFFFFF"/>
      <w:spacing w:before="480" w:after="180" w:line="413" w:lineRule="exact"/>
      <w:ind w:hanging="520"/>
      <w:jc w:val="both"/>
    </w:pPr>
    <w:rPr>
      <w:i/>
      <w:sz w:val="22"/>
    </w:rPr>
  </w:style>
  <w:style w:type="character" w:customStyle="1" w:styleId="MSGENFONTSTYLENAMETEMPLATEROLENUMBERMSGENFONTSTYLENAMEBYROLETEXT5MSGENFONTSTYLEMODIFERNOTITALIC">
    <w:name w:val="MSG_EN_FONT_STYLE_NAME_TEMPLATE_ROLE_NUMBER MSG_EN_FONT_STYLE_NAME_BY_ROLE_TEXT 5 + MSG_EN_FONT_STYLE_MODIFER_NOT_ITALIC"/>
    <w:basedOn w:val="MSGENFONTSTYLENAMETEMPLATEROLENUMBERMSGENFONTSTYLENAMEBYROLETEXT50"/>
    <w:uiPriority w:val="99"/>
    <w:unhideWhenUsed/>
    <w:qFormat/>
    <w:rPr>
      <w:rFonts w:hint="default"/>
      <w:i w:val="0"/>
      <w:sz w:val="22"/>
    </w:rPr>
  </w:style>
  <w:style w:type="character" w:customStyle="1" w:styleId="MSGENFONTSTYLENAMETEMPLATEROLENUMBERMSGENFONTSTYLENAMEBYROLETEXT50">
    <w:name w:val="MSG_EN_FONT_STYLE_NAME_TEMPLATE_ROLE_NUMBER MSG_EN_FONT_STYLE_NAME_BY_ROLE_TEXT 5_"/>
    <w:basedOn w:val="DefaultParagraphFont"/>
    <w:link w:val="MSGENFONTSTYLENAMETEMPLATEROLENUMBERMSGENFONTSTYLENAMEBYROLETEXT5"/>
    <w:uiPriority w:val="99"/>
    <w:unhideWhenUsed/>
    <w:qFormat/>
    <w:rPr>
      <w:rFonts w:hint="default"/>
      <w:i/>
      <w:sz w:val="22"/>
    </w:rPr>
  </w:style>
  <w:style w:type="character" w:customStyle="1" w:styleId="MSGENFONTSTYLENAMETEMPLATEROLEMSGENFONTSTYLENAMEBYROLETEXT1">
    <w:name w:val="MSG_EN_FONT_STYLE_NAME_TEMPLATE_ROLE MSG_EN_FONT_STYLE_NAME_BY_ROLE_TEXT1"/>
    <w:basedOn w:val="MSGENFONTSTYLENAMETEMPLATEROLEMSGENFONTSTYLENAMEBYROLETEXT0"/>
    <w:uiPriority w:val="99"/>
    <w:unhideWhenUsed/>
    <w:qFormat/>
    <w:rPr>
      <w:rFonts w:hint="default"/>
      <w:sz w:val="22"/>
    </w:rPr>
  </w:style>
  <w:style w:type="character" w:customStyle="1" w:styleId="MSGENFONTSTYLENAMETEMPLATEROLEMSGENFONTSTYLENAMEBYROLETEXTMSGENFONTSTYLEMODIFERITALIC">
    <w:name w:val="MSG_EN_FONT_STYLE_NAME_TEMPLATE_ROLE MSG_EN_FONT_STYLE_NAME_BY_ROLE_TEXT + MSG_EN_FONT_STYLE_MODIFER_ITALIC"/>
    <w:basedOn w:val="MSGENFONTSTYLENAMETEMPLATEROLEMSGENFONTSTYLENAMEBYROLETEXT0"/>
    <w:uiPriority w:val="99"/>
    <w:unhideWhenUsed/>
    <w:qFormat/>
    <w:rPr>
      <w:rFonts w:hint="default"/>
      <w:i/>
      <w:sz w:val="22"/>
    </w:rPr>
  </w:style>
  <w:style w:type="paragraph" w:customStyle="1" w:styleId="IEEEAuthorAffiliation">
    <w:name w:val="IEEE Author Affiliation"/>
    <w:basedOn w:val="Normal"/>
    <w:next w:val="Normal"/>
    <w:pPr>
      <w:spacing w:after="60"/>
      <w:jc w:val="center"/>
    </w:pPr>
    <w:rPr>
      <w:i/>
      <w:sz w:val="20"/>
      <w:lang w:val="en-GB" w:eastAsia="en-GB"/>
    </w:rPr>
  </w:style>
  <w:style w:type="paragraph" w:styleId="Header">
    <w:name w:val="header"/>
    <w:basedOn w:val="Normal"/>
    <w:link w:val="HeaderChar"/>
    <w:rsid w:val="005F426A"/>
    <w:pPr>
      <w:tabs>
        <w:tab w:val="center" w:pos="4680"/>
        <w:tab w:val="right" w:pos="9360"/>
      </w:tabs>
      <w:spacing w:after="0" w:line="240" w:lineRule="auto"/>
    </w:pPr>
  </w:style>
  <w:style w:type="character" w:customStyle="1" w:styleId="HeaderChar">
    <w:name w:val="Header Char"/>
    <w:basedOn w:val="DefaultParagraphFont"/>
    <w:link w:val="Header"/>
    <w:rsid w:val="005F426A"/>
    <w:rPr>
      <w:rFonts w:eastAsia="Times New Roman"/>
      <w:color w:val="000000"/>
      <w:sz w:val="24"/>
    </w:rPr>
  </w:style>
  <w:style w:type="paragraph" w:styleId="ListParagraph">
    <w:name w:val="List Paragraph"/>
    <w:basedOn w:val="Normal"/>
    <w:uiPriority w:val="34"/>
    <w:qFormat/>
    <w:rsid w:val="00692276"/>
    <w:pPr>
      <w:ind w:left="720"/>
      <w:contextualSpacing/>
    </w:pPr>
  </w:style>
  <w:style w:type="paragraph" w:styleId="BodyText">
    <w:name w:val="Body Text"/>
    <w:basedOn w:val="Normal"/>
    <w:link w:val="BodyTextChar"/>
    <w:uiPriority w:val="1"/>
    <w:qFormat/>
    <w:rsid w:val="0059598E"/>
    <w:pPr>
      <w:autoSpaceDE w:val="0"/>
      <w:autoSpaceDN w:val="0"/>
      <w:spacing w:after="0" w:line="240" w:lineRule="auto"/>
    </w:pPr>
    <w:rPr>
      <w:color w:val="auto"/>
      <w:szCs w:val="24"/>
    </w:rPr>
  </w:style>
  <w:style w:type="character" w:customStyle="1" w:styleId="BodyTextChar">
    <w:name w:val="Body Text Char"/>
    <w:basedOn w:val="DefaultParagraphFont"/>
    <w:link w:val="BodyText"/>
    <w:uiPriority w:val="1"/>
    <w:rsid w:val="0059598E"/>
    <w:rPr>
      <w:rFonts w:eastAsia="Times New Roman"/>
      <w:sz w:val="24"/>
      <w:szCs w:val="24"/>
    </w:rPr>
  </w:style>
  <w:style w:type="paragraph" w:styleId="Caption">
    <w:name w:val="caption"/>
    <w:basedOn w:val="Normal"/>
    <w:next w:val="Normal"/>
    <w:uiPriority w:val="35"/>
    <w:unhideWhenUsed/>
    <w:qFormat/>
    <w:rsid w:val="0059598E"/>
    <w:pPr>
      <w:widowControl/>
      <w:spacing w:after="200" w:line="276" w:lineRule="auto"/>
    </w:pPr>
    <w:rPr>
      <w:rFonts w:ascii="Calibri" w:eastAsia="Calibri" w:hAnsi="Calibri"/>
      <w:b/>
      <w:bCs/>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F:\Projects-Cons\Sandip\Direct\kasturi-seismic\All-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Projects-Cons\Sandip\Direct\kasturi-seismic\All-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Projects-Cons\Sandip\Direct\kasturi-seismic\All-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Projects-Cons\Sandip\Direct\kasturi-seismic\All-resul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Projects-Cons\Sandip\Direct\kasturi-seismic\All-resul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Projects-Cons\Sandip\Direct\kasturi-seismic\All-results.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graphs!$B$1:$B$2</c:f>
              <c:strCache>
                <c:ptCount val="2"/>
                <c:pt idx="0">
                  <c:v>Horizontal</c:v>
                </c:pt>
                <c:pt idx="1">
                  <c:v>X mm</c:v>
                </c:pt>
              </c:strCache>
            </c:strRef>
          </c:tx>
          <c:spPr>
            <a:solidFill>
              <a:schemeClr val="accent1"/>
            </a:solidFill>
            <a:ln>
              <a:noFill/>
            </a:ln>
            <a:effectLst/>
          </c:spPr>
          <c:invertIfNegative val="0"/>
          <c:cat>
            <c:strRef>
              <c:f>graphs!$A$3:$A$12</c:f>
              <c:strCache>
                <c:ptCount val="10"/>
                <c:pt idx="0">
                  <c:v>model-1</c:v>
                </c:pt>
                <c:pt idx="1">
                  <c:v>model-2</c:v>
                </c:pt>
                <c:pt idx="2">
                  <c:v>model-3</c:v>
                </c:pt>
                <c:pt idx="3">
                  <c:v>model-4</c:v>
                </c:pt>
                <c:pt idx="4">
                  <c:v>model-5</c:v>
                </c:pt>
                <c:pt idx="5">
                  <c:v>model-6</c:v>
                </c:pt>
                <c:pt idx="6">
                  <c:v>model-7</c:v>
                </c:pt>
                <c:pt idx="7">
                  <c:v>model-8</c:v>
                </c:pt>
                <c:pt idx="8">
                  <c:v>model-9</c:v>
                </c:pt>
                <c:pt idx="9">
                  <c:v>model-10</c:v>
                </c:pt>
              </c:strCache>
            </c:strRef>
          </c:cat>
          <c:val>
            <c:numRef>
              <c:f>graphs!$B$3:$B$12</c:f>
              <c:numCache>
                <c:formatCode>General</c:formatCode>
                <c:ptCount val="10"/>
                <c:pt idx="0">
                  <c:v>21.632999999999999</c:v>
                </c:pt>
                <c:pt idx="1">
                  <c:v>34.601999999999997</c:v>
                </c:pt>
                <c:pt idx="2">
                  <c:v>51.895000000000003</c:v>
                </c:pt>
                <c:pt idx="3">
                  <c:v>77.834000000000003</c:v>
                </c:pt>
                <c:pt idx="4">
                  <c:v>36.218000000000004</c:v>
                </c:pt>
                <c:pt idx="5">
                  <c:v>57.899000000000001</c:v>
                </c:pt>
                <c:pt idx="6">
                  <c:v>86.805999999999997</c:v>
                </c:pt>
                <c:pt idx="7">
                  <c:v>130.16800000000001</c:v>
                </c:pt>
                <c:pt idx="8">
                  <c:v>99.298000000000002</c:v>
                </c:pt>
                <c:pt idx="9">
                  <c:v>148.92699999999999</c:v>
                </c:pt>
              </c:numCache>
            </c:numRef>
          </c:val>
          <c:extLst xmlns:c16r2="http://schemas.microsoft.com/office/drawing/2015/06/chart">
            <c:ext xmlns:c16="http://schemas.microsoft.com/office/drawing/2014/chart" uri="{C3380CC4-5D6E-409C-BE32-E72D297353CC}">
              <c16:uniqueId val="{00000000-6799-419F-864B-F24EB187B8DD}"/>
            </c:ext>
          </c:extLst>
        </c:ser>
        <c:dLbls>
          <c:showLegendKey val="0"/>
          <c:showVal val="0"/>
          <c:showCatName val="0"/>
          <c:showSerName val="0"/>
          <c:showPercent val="0"/>
          <c:showBubbleSize val="0"/>
        </c:dLbls>
        <c:gapWidth val="150"/>
        <c:axId val="-1508626704"/>
        <c:axId val="-1508623984"/>
      </c:barChart>
      <c:catAx>
        <c:axId val="-150862670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All models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8623984"/>
        <c:crosses val="autoZero"/>
        <c:auto val="1"/>
        <c:lblAlgn val="ctr"/>
        <c:lblOffset val="100"/>
        <c:noMultiLvlLbl val="0"/>
      </c:catAx>
      <c:valAx>
        <c:axId val="-15086239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Displacement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862670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graphs!$C$1:$C$2</c:f>
              <c:strCache>
                <c:ptCount val="2"/>
                <c:pt idx="0">
                  <c:v>Vertical</c:v>
                </c:pt>
                <c:pt idx="1">
                  <c:v>Y mm</c:v>
                </c:pt>
              </c:strCache>
            </c:strRef>
          </c:tx>
          <c:spPr>
            <a:solidFill>
              <a:schemeClr val="accent1"/>
            </a:solidFill>
            <a:ln>
              <a:noFill/>
            </a:ln>
            <a:effectLst/>
          </c:spPr>
          <c:invertIfNegative val="0"/>
          <c:cat>
            <c:strRef>
              <c:f>graphs!$A$3:$A$12</c:f>
              <c:strCache>
                <c:ptCount val="10"/>
                <c:pt idx="0">
                  <c:v>model-1</c:v>
                </c:pt>
                <c:pt idx="1">
                  <c:v>model-2</c:v>
                </c:pt>
                <c:pt idx="2">
                  <c:v>model-3</c:v>
                </c:pt>
                <c:pt idx="3">
                  <c:v>model-4</c:v>
                </c:pt>
                <c:pt idx="4">
                  <c:v>model-5</c:v>
                </c:pt>
                <c:pt idx="5">
                  <c:v>model-6</c:v>
                </c:pt>
                <c:pt idx="6">
                  <c:v>model-7</c:v>
                </c:pt>
                <c:pt idx="7">
                  <c:v>model-8</c:v>
                </c:pt>
                <c:pt idx="8">
                  <c:v>model-9</c:v>
                </c:pt>
                <c:pt idx="9">
                  <c:v>model-10</c:v>
                </c:pt>
              </c:strCache>
            </c:strRef>
          </c:cat>
          <c:val>
            <c:numRef>
              <c:f>graphs!$C$3:$C$12</c:f>
              <c:numCache>
                <c:formatCode>General</c:formatCode>
                <c:ptCount val="10"/>
                <c:pt idx="0">
                  <c:v>5.6539999999999999</c:v>
                </c:pt>
                <c:pt idx="1">
                  <c:v>9.0459999999999994</c:v>
                </c:pt>
                <c:pt idx="2">
                  <c:v>13.569000000000001</c:v>
                </c:pt>
                <c:pt idx="3">
                  <c:v>20.353000000000002</c:v>
                </c:pt>
                <c:pt idx="4">
                  <c:v>7.38</c:v>
                </c:pt>
                <c:pt idx="5">
                  <c:v>11.808</c:v>
                </c:pt>
                <c:pt idx="6">
                  <c:v>17.712</c:v>
                </c:pt>
                <c:pt idx="7">
                  <c:v>26.567</c:v>
                </c:pt>
                <c:pt idx="8">
                  <c:v>18.369</c:v>
                </c:pt>
                <c:pt idx="9">
                  <c:v>27.553999999999998</c:v>
                </c:pt>
              </c:numCache>
            </c:numRef>
          </c:val>
          <c:extLst xmlns:c16r2="http://schemas.microsoft.com/office/drawing/2015/06/chart">
            <c:ext xmlns:c16="http://schemas.microsoft.com/office/drawing/2014/chart" uri="{C3380CC4-5D6E-409C-BE32-E72D297353CC}">
              <c16:uniqueId val="{00000000-8BD1-45FD-823F-51DDCB5521C7}"/>
            </c:ext>
          </c:extLst>
        </c:ser>
        <c:dLbls>
          <c:showLegendKey val="0"/>
          <c:showVal val="0"/>
          <c:showCatName val="0"/>
          <c:showSerName val="0"/>
          <c:showPercent val="0"/>
          <c:showBubbleSize val="0"/>
        </c:dLbls>
        <c:gapWidth val="150"/>
        <c:axId val="-1508621808"/>
        <c:axId val="-1605750768"/>
      </c:barChart>
      <c:catAx>
        <c:axId val="-15086218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All models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5750768"/>
        <c:crosses val="autoZero"/>
        <c:auto val="1"/>
        <c:lblAlgn val="ctr"/>
        <c:lblOffset val="100"/>
        <c:noMultiLvlLbl val="0"/>
      </c:catAx>
      <c:valAx>
        <c:axId val="-1605750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Displacement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86218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graphs!$D$1:$D$2</c:f>
              <c:strCache>
                <c:ptCount val="2"/>
                <c:pt idx="0">
                  <c:v>Horizontal</c:v>
                </c:pt>
                <c:pt idx="1">
                  <c:v>Z mm</c:v>
                </c:pt>
              </c:strCache>
            </c:strRef>
          </c:tx>
          <c:spPr>
            <a:solidFill>
              <a:schemeClr val="accent1"/>
            </a:solidFill>
            <a:ln>
              <a:noFill/>
            </a:ln>
            <a:effectLst/>
          </c:spPr>
          <c:invertIfNegative val="0"/>
          <c:cat>
            <c:strRef>
              <c:f>graphs!$A$3:$A$12</c:f>
              <c:strCache>
                <c:ptCount val="10"/>
                <c:pt idx="0">
                  <c:v>model-1</c:v>
                </c:pt>
                <c:pt idx="1">
                  <c:v>model-2</c:v>
                </c:pt>
                <c:pt idx="2">
                  <c:v>model-3</c:v>
                </c:pt>
                <c:pt idx="3">
                  <c:v>model-4</c:v>
                </c:pt>
                <c:pt idx="4">
                  <c:v>model-5</c:v>
                </c:pt>
                <c:pt idx="5">
                  <c:v>model-6</c:v>
                </c:pt>
                <c:pt idx="6">
                  <c:v>model-7</c:v>
                </c:pt>
                <c:pt idx="7">
                  <c:v>model-8</c:v>
                </c:pt>
                <c:pt idx="8">
                  <c:v>model-9</c:v>
                </c:pt>
                <c:pt idx="9">
                  <c:v>model-10</c:v>
                </c:pt>
              </c:strCache>
            </c:strRef>
          </c:cat>
          <c:val>
            <c:numRef>
              <c:f>graphs!$D$3:$D$12</c:f>
              <c:numCache>
                <c:formatCode>General</c:formatCode>
                <c:ptCount val="10"/>
                <c:pt idx="0">
                  <c:v>26.33</c:v>
                </c:pt>
                <c:pt idx="1">
                  <c:v>42.127000000000002</c:v>
                </c:pt>
                <c:pt idx="2">
                  <c:v>63.188000000000002</c:v>
                </c:pt>
                <c:pt idx="3">
                  <c:v>94.781000000000006</c:v>
                </c:pt>
                <c:pt idx="4">
                  <c:v>45.219000000000001</c:v>
                </c:pt>
                <c:pt idx="5">
                  <c:v>72.195999999999998</c:v>
                </c:pt>
                <c:pt idx="6">
                  <c:v>108.164</c:v>
                </c:pt>
                <c:pt idx="7">
                  <c:v>162.11699999999999</c:v>
                </c:pt>
                <c:pt idx="8">
                  <c:v>126.819</c:v>
                </c:pt>
                <c:pt idx="9">
                  <c:v>190.22399999999999</c:v>
                </c:pt>
              </c:numCache>
            </c:numRef>
          </c:val>
          <c:extLst xmlns:c16r2="http://schemas.microsoft.com/office/drawing/2015/06/chart">
            <c:ext xmlns:c16="http://schemas.microsoft.com/office/drawing/2014/chart" uri="{C3380CC4-5D6E-409C-BE32-E72D297353CC}">
              <c16:uniqueId val="{00000000-14EE-4D91-9543-EBDF928A86C7}"/>
            </c:ext>
          </c:extLst>
        </c:ser>
        <c:dLbls>
          <c:showLegendKey val="0"/>
          <c:showVal val="0"/>
          <c:showCatName val="0"/>
          <c:showSerName val="0"/>
          <c:showPercent val="0"/>
          <c:showBubbleSize val="0"/>
        </c:dLbls>
        <c:gapWidth val="150"/>
        <c:axId val="-1605760560"/>
        <c:axId val="-1605757840"/>
      </c:barChart>
      <c:catAx>
        <c:axId val="-16057605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All models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5757840"/>
        <c:crosses val="autoZero"/>
        <c:auto val="1"/>
        <c:lblAlgn val="ctr"/>
        <c:lblOffset val="100"/>
        <c:noMultiLvlLbl val="0"/>
      </c:catAx>
      <c:valAx>
        <c:axId val="-16057578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Displacement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576056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graphs!$E$1:$E$2</c:f>
              <c:strCache>
                <c:ptCount val="2"/>
                <c:pt idx="0">
                  <c:v>Resultant</c:v>
                </c:pt>
                <c:pt idx="1">
                  <c:v>  mm</c:v>
                </c:pt>
              </c:strCache>
            </c:strRef>
          </c:tx>
          <c:spPr>
            <a:solidFill>
              <a:schemeClr val="accent1"/>
            </a:solidFill>
            <a:ln>
              <a:noFill/>
            </a:ln>
            <a:effectLst/>
          </c:spPr>
          <c:invertIfNegative val="0"/>
          <c:cat>
            <c:strRef>
              <c:f>graphs!$A$3:$A$12</c:f>
              <c:strCache>
                <c:ptCount val="10"/>
                <c:pt idx="0">
                  <c:v>model-1</c:v>
                </c:pt>
                <c:pt idx="1">
                  <c:v>model-2</c:v>
                </c:pt>
                <c:pt idx="2">
                  <c:v>model-3</c:v>
                </c:pt>
                <c:pt idx="3">
                  <c:v>model-4</c:v>
                </c:pt>
                <c:pt idx="4">
                  <c:v>model-5</c:v>
                </c:pt>
                <c:pt idx="5">
                  <c:v>model-6</c:v>
                </c:pt>
                <c:pt idx="6">
                  <c:v>model-7</c:v>
                </c:pt>
                <c:pt idx="7">
                  <c:v>model-8</c:v>
                </c:pt>
                <c:pt idx="8">
                  <c:v>model-9</c:v>
                </c:pt>
                <c:pt idx="9">
                  <c:v>model-10</c:v>
                </c:pt>
              </c:strCache>
            </c:strRef>
          </c:cat>
          <c:val>
            <c:numRef>
              <c:f>graphs!$E$3:$E$12</c:f>
              <c:numCache>
                <c:formatCode>General</c:formatCode>
                <c:ptCount val="10"/>
                <c:pt idx="0">
                  <c:v>50.576999999999998</c:v>
                </c:pt>
                <c:pt idx="1">
                  <c:v>61.664999999999999</c:v>
                </c:pt>
                <c:pt idx="2">
                  <c:v>77.986000000000004</c:v>
                </c:pt>
                <c:pt idx="3">
                  <c:v>104.063</c:v>
                </c:pt>
                <c:pt idx="4">
                  <c:v>69.113</c:v>
                </c:pt>
                <c:pt idx="5">
                  <c:v>91.665999999999997</c:v>
                </c:pt>
                <c:pt idx="6">
                  <c:v>124.727</c:v>
                </c:pt>
                <c:pt idx="7">
                  <c:v>176.8</c:v>
                </c:pt>
                <c:pt idx="8">
                  <c:v>134.33600000000001</c:v>
                </c:pt>
                <c:pt idx="9">
                  <c:v>191.155</c:v>
                </c:pt>
              </c:numCache>
            </c:numRef>
          </c:val>
          <c:extLst xmlns:c16r2="http://schemas.microsoft.com/office/drawing/2015/06/chart">
            <c:ext xmlns:c16="http://schemas.microsoft.com/office/drawing/2014/chart" uri="{C3380CC4-5D6E-409C-BE32-E72D297353CC}">
              <c16:uniqueId val="{00000000-890C-4319-A85C-B4DC36B96D5F}"/>
            </c:ext>
          </c:extLst>
        </c:ser>
        <c:dLbls>
          <c:showLegendKey val="0"/>
          <c:showVal val="0"/>
          <c:showCatName val="0"/>
          <c:showSerName val="0"/>
          <c:showPercent val="0"/>
          <c:showBubbleSize val="0"/>
        </c:dLbls>
        <c:gapWidth val="150"/>
        <c:axId val="-1605756752"/>
        <c:axId val="-1605755120"/>
      </c:barChart>
      <c:catAx>
        <c:axId val="-16057567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All models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5755120"/>
        <c:crosses val="autoZero"/>
        <c:auto val="1"/>
        <c:lblAlgn val="ctr"/>
        <c:lblOffset val="100"/>
        <c:noMultiLvlLbl val="0"/>
      </c:catAx>
      <c:valAx>
        <c:axId val="-1605755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Displacement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05756752"/>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graphs!$H$1:$H$2</c:f>
              <c:strCache>
                <c:ptCount val="2"/>
                <c:pt idx="0">
                  <c:v>Horizontal</c:v>
                </c:pt>
                <c:pt idx="1">
                  <c:v>Fx kN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graphs!$G$3:$G$12</c:f>
              <c:strCache>
                <c:ptCount val="10"/>
                <c:pt idx="0">
                  <c:v>model-1</c:v>
                </c:pt>
                <c:pt idx="1">
                  <c:v>model-2</c:v>
                </c:pt>
                <c:pt idx="2">
                  <c:v>model-3</c:v>
                </c:pt>
                <c:pt idx="3">
                  <c:v>model-4</c:v>
                </c:pt>
                <c:pt idx="4">
                  <c:v>model-5</c:v>
                </c:pt>
                <c:pt idx="5">
                  <c:v>model-6</c:v>
                </c:pt>
                <c:pt idx="6">
                  <c:v>model-7</c:v>
                </c:pt>
                <c:pt idx="7">
                  <c:v>model-8</c:v>
                </c:pt>
                <c:pt idx="8">
                  <c:v>model-9</c:v>
                </c:pt>
                <c:pt idx="9">
                  <c:v>model-10</c:v>
                </c:pt>
              </c:strCache>
            </c:strRef>
          </c:cat>
          <c:val>
            <c:numRef>
              <c:f>graphs!$H$3:$H$12</c:f>
              <c:numCache>
                <c:formatCode>General</c:formatCode>
                <c:ptCount val="10"/>
                <c:pt idx="0">
                  <c:v>45.174999999999997</c:v>
                </c:pt>
                <c:pt idx="1">
                  <c:v>71.885000000000005</c:v>
                </c:pt>
                <c:pt idx="2">
                  <c:v>107.499</c:v>
                </c:pt>
                <c:pt idx="3">
                  <c:v>160.91999999999999</c:v>
                </c:pt>
                <c:pt idx="4">
                  <c:v>47.177999999999997</c:v>
                </c:pt>
                <c:pt idx="5">
                  <c:v>74.915999999999997</c:v>
                </c:pt>
                <c:pt idx="6">
                  <c:v>111.9</c:v>
                </c:pt>
                <c:pt idx="7">
                  <c:v>167.375</c:v>
                </c:pt>
                <c:pt idx="8">
                  <c:v>112.792</c:v>
                </c:pt>
                <c:pt idx="9">
                  <c:v>168.67599999999999</c:v>
                </c:pt>
              </c:numCache>
            </c:numRef>
          </c:val>
          <c:extLst xmlns:c16r2="http://schemas.microsoft.com/office/drawing/2015/06/chart">
            <c:ext xmlns:c16="http://schemas.microsoft.com/office/drawing/2014/chart" uri="{C3380CC4-5D6E-409C-BE32-E72D297353CC}">
              <c16:uniqueId val="{00000000-2001-4130-BC9C-CCF92AF1BB0F}"/>
            </c:ext>
          </c:extLst>
        </c:ser>
        <c:dLbls>
          <c:showLegendKey val="0"/>
          <c:showVal val="0"/>
          <c:showCatName val="0"/>
          <c:showSerName val="0"/>
          <c:showPercent val="0"/>
          <c:showBubbleSize val="0"/>
        </c:dLbls>
        <c:gapWidth val="75"/>
        <c:axId val="-1501684640"/>
        <c:axId val="-1501686816"/>
      </c:barChart>
      <c:catAx>
        <c:axId val="-1501684640"/>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All models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501686816"/>
        <c:crosses val="autoZero"/>
        <c:auto val="1"/>
        <c:lblAlgn val="ctr"/>
        <c:lblOffset val="100"/>
        <c:noMultiLvlLbl val="0"/>
      </c:catAx>
      <c:valAx>
        <c:axId val="-1501686816"/>
        <c:scaling>
          <c:orientation val="minMax"/>
        </c:scaling>
        <c:delete val="0"/>
        <c:axPos val="l"/>
        <c:majorGridlines>
          <c:spPr>
            <a:ln w="9525" cap="flat" cmpd="sng" algn="ctr">
              <a:solidFill>
                <a:schemeClr val="tx2">
                  <a:lumMod val="15000"/>
                  <a:lumOff val="85000"/>
                </a:schemeClr>
              </a:solidFill>
              <a:round/>
            </a:ln>
            <a:effectLst/>
          </c:spPr>
        </c:majorGridlines>
        <c:minorGridlines>
          <c:spPr>
            <a:ln>
              <a:solidFill>
                <a:schemeClr val="tx2">
                  <a:lumMod val="5000"/>
                  <a:lumOff val="95000"/>
                </a:schemeClr>
              </a:solidFill>
            </a:ln>
            <a:effectLst/>
          </c:spPr>
        </c:min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Horizontal Reaction (Fx)</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50168464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graphs!$I$1:$I$2</c:f>
              <c:strCache>
                <c:ptCount val="2"/>
                <c:pt idx="0">
                  <c:v>Vertical</c:v>
                </c:pt>
                <c:pt idx="1">
                  <c:v>Fy kN</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graphs!$G$3:$G$12</c:f>
              <c:strCache>
                <c:ptCount val="10"/>
                <c:pt idx="0">
                  <c:v>model-1</c:v>
                </c:pt>
                <c:pt idx="1">
                  <c:v>model-2</c:v>
                </c:pt>
                <c:pt idx="2">
                  <c:v>model-3</c:v>
                </c:pt>
                <c:pt idx="3">
                  <c:v>model-4</c:v>
                </c:pt>
                <c:pt idx="4">
                  <c:v>model-5</c:v>
                </c:pt>
                <c:pt idx="5">
                  <c:v>model-6</c:v>
                </c:pt>
                <c:pt idx="6">
                  <c:v>model-7</c:v>
                </c:pt>
                <c:pt idx="7">
                  <c:v>model-8</c:v>
                </c:pt>
                <c:pt idx="8">
                  <c:v>model-9</c:v>
                </c:pt>
                <c:pt idx="9">
                  <c:v>model-10</c:v>
                </c:pt>
              </c:strCache>
            </c:strRef>
          </c:cat>
          <c:val>
            <c:numRef>
              <c:f>graphs!$I$3:$I$12</c:f>
              <c:numCache>
                <c:formatCode>General</c:formatCode>
                <c:ptCount val="10"/>
                <c:pt idx="0">
                  <c:v>1724.3109999999999</c:v>
                </c:pt>
                <c:pt idx="1">
                  <c:v>1724.3109999999999</c:v>
                </c:pt>
                <c:pt idx="2">
                  <c:v>1869.3630000000001</c:v>
                </c:pt>
                <c:pt idx="3">
                  <c:v>2133.951</c:v>
                </c:pt>
                <c:pt idx="4">
                  <c:v>2858.61</c:v>
                </c:pt>
                <c:pt idx="5">
                  <c:v>2858.61</c:v>
                </c:pt>
                <c:pt idx="6">
                  <c:v>3046.87</c:v>
                </c:pt>
                <c:pt idx="7">
                  <c:v>3463.5810000000001</c:v>
                </c:pt>
                <c:pt idx="8">
                  <c:v>3288.7379999999998</c:v>
                </c:pt>
                <c:pt idx="9">
                  <c:v>3750.2330000000002</c:v>
                </c:pt>
              </c:numCache>
            </c:numRef>
          </c:val>
          <c:extLst xmlns:c16r2="http://schemas.microsoft.com/office/drawing/2015/06/chart">
            <c:ext xmlns:c16="http://schemas.microsoft.com/office/drawing/2014/chart" uri="{C3380CC4-5D6E-409C-BE32-E72D297353CC}">
              <c16:uniqueId val="{00000000-28B7-4E28-B003-193AB0D45E69}"/>
            </c:ext>
          </c:extLst>
        </c:ser>
        <c:dLbls>
          <c:showLegendKey val="0"/>
          <c:showVal val="0"/>
          <c:showCatName val="0"/>
          <c:showSerName val="0"/>
          <c:showPercent val="0"/>
          <c:showBubbleSize val="0"/>
        </c:dLbls>
        <c:gapWidth val="75"/>
        <c:axId val="-1501684096"/>
        <c:axId val="-1501696064"/>
      </c:barChart>
      <c:catAx>
        <c:axId val="-1501684096"/>
        <c:scaling>
          <c:orientation val="minMax"/>
        </c:scaling>
        <c:delete val="0"/>
        <c:axPos val="b"/>
        <c:title>
          <c:tx>
            <c:rich>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All models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501696064"/>
        <c:crosses val="autoZero"/>
        <c:auto val="1"/>
        <c:lblAlgn val="ctr"/>
        <c:lblOffset val="100"/>
        <c:noMultiLvlLbl val="0"/>
      </c:catAx>
      <c:valAx>
        <c:axId val="-1501696064"/>
        <c:scaling>
          <c:orientation val="minMax"/>
        </c:scaling>
        <c:delete val="0"/>
        <c:axPos val="l"/>
        <c:majorGridlines>
          <c:spPr>
            <a:ln w="9525" cap="flat" cmpd="sng" algn="ctr">
              <a:solidFill>
                <a:schemeClr val="tx2">
                  <a:lumMod val="15000"/>
                  <a:lumOff val="85000"/>
                </a:schemeClr>
              </a:solidFill>
              <a:round/>
            </a:ln>
            <a:effectLst/>
          </c:spPr>
        </c:majorGridlines>
        <c:minorGridlines>
          <c:spPr>
            <a:ln>
              <a:solidFill>
                <a:schemeClr val="tx2">
                  <a:lumMod val="5000"/>
                  <a:lumOff val="95000"/>
                </a:schemeClr>
              </a:solidFill>
            </a:ln>
            <a:effectLst/>
          </c:spPr>
        </c:minorGridlines>
        <c:title>
          <c:tx>
            <c:rich>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r>
                  <a:rPr lang="en-US"/>
                  <a:t>Vertical Reaction (Fy)</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tx2"/>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50168409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6.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7</Pages>
  <Words>1528</Words>
  <Characters>8715</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dc:creator>
  <cp:lastModifiedBy>Microsoft account</cp:lastModifiedBy>
  <cp:revision>27</cp:revision>
  <dcterms:created xsi:type="dcterms:W3CDTF">2021-03-23T12:54:00Z</dcterms:created>
  <dcterms:modified xsi:type="dcterms:W3CDTF">2024-06-26T09:05:00Z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