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before="54" w:after="0" w:lineRule="auto" w:line="276"/>
        <w:jc w:val="center"/>
        <w:rPr>
          <w:rFonts w:ascii="Times New Roman" w:cs="Times New Roman" w:hAnsi="Times New Roman"/>
          <w:b/>
          <w:bCs/>
          <w:color w:val="000000"/>
          <w:sz w:val="28"/>
          <w:szCs w:val="28"/>
        </w:rPr>
      </w:pPr>
      <w:r>
        <w:rPr>
          <w:rFonts w:ascii="Times New Roman" w:cs="Times New Roman" w:hAnsi="Times New Roman"/>
          <w:b/>
          <w:bCs/>
          <w:color w:val="000000"/>
          <w:sz w:val="28"/>
          <w:szCs w:val="28"/>
          <w:lang w:val="en-US"/>
        </w:rPr>
        <w:t>Assessing the Impact of SILAW KEN NAMNAMA Project</w:t>
      </w: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lang w:val="en-US"/>
        </w:rPr>
        <w:t>Rosenda ALICWAS Berry</w:t>
      </w:r>
    </w:p>
    <w:p>
      <w:pPr>
        <w:pStyle w:val="style0"/>
        <w:spacing w:before="54" w:after="0" w:lineRule="auto" w:line="276"/>
        <w:jc w:val="center"/>
        <w:rPr>
          <w:rFonts w:ascii="Times New Roman" w:cs="Times New Roman" w:hAnsi="Times New Roman"/>
          <w:color w:val="000000"/>
        </w:rPr>
      </w:pPr>
      <w:r>
        <w:rPr>
          <w:rFonts w:ascii="Times New Roman" w:cs="Times New Roman" w:hAnsi="Times New Roman"/>
          <w:color w:val="000000"/>
          <w:vertAlign w:val="superscript"/>
        </w:rPr>
        <w:t>1</w:t>
      </w:r>
      <w:r>
        <w:rPr>
          <w:rFonts w:ascii="Times New Roman" w:cs="Times New Roman" w:hAnsi="Times New Roman"/>
          <w:color w:val="000000"/>
        </w:rPr>
        <w:t xml:space="preserve"> </w:t>
      </w:r>
      <w:r>
        <w:rPr>
          <w:rFonts w:ascii="Times New Roman" w:cs="Times New Roman" w:hAnsi="Times New Roman"/>
          <w:color w:val="000000"/>
          <w:lang w:val="en-US"/>
        </w:rPr>
        <w:t>Teaching Personnel</w:t>
      </w:r>
      <w:r>
        <w:rPr>
          <w:rFonts w:ascii="Times New Roman" w:cs="Times New Roman" w:hAnsi="Times New Roman"/>
          <w:color w:val="000000"/>
        </w:rPr>
        <w:t xml:space="preserve">, </w:t>
      </w:r>
      <w:r>
        <w:rPr>
          <w:rFonts w:ascii="Times New Roman" w:cs="Times New Roman" w:hAnsi="Times New Roman"/>
          <w:color w:val="000000"/>
          <w:lang w:val="en-US"/>
        </w:rPr>
        <w:t>Department of Education</w:t>
      </w:r>
      <w:r>
        <w:rPr>
          <w:rFonts w:ascii="Times New Roman" w:cs="Times New Roman" w:hAnsi="Times New Roman"/>
          <w:color w:val="000000"/>
        </w:rPr>
        <w:t xml:space="preserve">, </w:t>
      </w:r>
      <w:r>
        <w:rPr>
          <w:rFonts w:ascii="Times New Roman" w:cs="Times New Roman" w:hAnsi="Times New Roman"/>
          <w:color w:val="000000"/>
          <w:lang w:val="en-US"/>
        </w:rPr>
        <w:t>Benguet</w:t>
      </w:r>
      <w:r>
        <w:rPr>
          <w:rFonts w:ascii="Times New Roman" w:cs="Times New Roman" w:hAnsi="Times New Roman"/>
          <w:color w:val="000000"/>
        </w:rPr>
        <w:t xml:space="preserve">, </w:t>
      </w:r>
      <w:r>
        <w:rPr>
          <w:rFonts w:ascii="Times New Roman" w:cs="Times New Roman" w:hAnsi="Times New Roman"/>
          <w:color w:val="000000"/>
          <w:lang w:val="en-US"/>
        </w:rPr>
        <w:t>CAR</w:t>
      </w:r>
      <w:r>
        <w:rPr>
          <w:rFonts w:ascii="Times New Roman" w:cs="Times New Roman" w:hAnsi="Times New Roman"/>
          <w:color w:val="000000"/>
        </w:rPr>
        <w:t xml:space="preserve">, </w:t>
      </w:r>
      <w:r>
        <w:rPr>
          <w:rFonts w:ascii="Times New Roman" w:cs="Times New Roman" w:hAnsi="Times New Roman"/>
          <w:color w:val="000000"/>
          <w:lang w:val="en-US"/>
        </w:rPr>
        <w:t>Philippines</w:t>
      </w:r>
    </w:p>
    <w:p>
      <w:pPr>
        <w:pStyle w:val="style0"/>
        <w:pBdr>
          <w:bottom w:val="single" w:sz="4" w:space="1" w:color="auto"/>
        </w:pBdr>
        <w:spacing w:before="54" w:after="0" w:lineRule="auto" w:line="276"/>
        <w:jc w:val="left"/>
        <w:rPr>
          <w:rFonts w:ascii="Times New Roman" w:cs="Times New Roman" w:hAnsi="Times New Roman"/>
          <w:color w:val="000000"/>
        </w:rPr>
      </w:pPr>
    </w:p>
    <w:p>
      <w:pPr>
        <w:pStyle w:val="style0"/>
        <w:spacing w:before="54" w:after="0" w:lineRule="auto" w:line="276"/>
        <w:jc w:val="center"/>
        <w:rPr>
          <w:rFonts w:ascii="Times New Roman" w:cs="Times New Roman" w:hAnsi="Times New Roman"/>
          <w:b/>
          <w:bCs/>
          <w:color w:val="000000"/>
          <w:sz w:val="24"/>
          <w:szCs w:val="24"/>
        </w:rPr>
      </w:pPr>
      <w:r>
        <w:rPr>
          <w:rFonts w:ascii="Times New Roman" w:cs="Times New Roman" w:hAnsi="Times New Roman"/>
          <w:b/>
          <w:bCs/>
          <w:color w:val="000000"/>
          <w:sz w:val="24"/>
          <w:szCs w:val="24"/>
        </w:rPr>
        <w:t xml:space="preserve">ABSTRACT </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lang w:val="en-US"/>
        </w:rPr>
        <w:t>The study aimed to investigate the impact of the SILAW KEN NAMNAMA Project. SILAW KEN NAMNAMA stands for Support, Inspiration, Love, Advice, and Well-being through Kindness, Empathy, and Nurture for Navigation, Assistance, Motivation, Nurturing, and Affirmation. This study employed a mixed-methods design, combining quantitative surveys and qualitative interviews.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lang w:val="en-US"/>
        </w:rPr>
        <w:t>The results indicated significant improvements in participants' self-reported well-being, resilience, and self-confidence. Quantitative data showed a marked increase in positive outlook and goal achievement, while qualitative feedback highlighted the importance of empathy and nurturing environments in fostering personal growth. Participants reported feeling more valued, understood, and empowered to take proactive steps in their personal development.</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lang w:val="en-US"/>
        </w:rPr>
        <w:t>Interpretations of the findings suggest that the integration of empathy, love, and holistic well-being strategies effectively supports individuals in overcoming personal challenges and achieving their goals. The conclusion drawn from this study is that the SILAW KEN NAMNAMA framework offers a comprehensive and impactful approach to guidance and counseling, promoting sustained personal growth and empowerment. These findings support the continued application and further development of this holistic counseling model.</w:t>
      </w:r>
    </w:p>
    <w:p>
      <w:pPr>
        <w:pStyle w:val="style0"/>
        <w:pBdr>
          <w:bottom w:val="single" w:sz="4" w:space="1" w:color="auto"/>
        </w:pBdr>
        <w:spacing w:before="54" w:after="0" w:lineRule="auto" w:line="276"/>
        <w:jc w:val="both"/>
        <w:rPr>
          <w:rFonts w:ascii="Times New Roman" w:cs="Times New Roman" w:hAnsi="Times New Roman"/>
          <w:color w:val="000000"/>
          <w:sz w:val="20"/>
          <w:szCs w:val="20"/>
        </w:rPr>
      </w:pPr>
      <w:r>
        <w:rPr>
          <w:rFonts w:ascii="Times New Roman" w:cs="Times New Roman" w:hAnsi="Times New Roman"/>
          <w:b/>
          <w:bCs/>
          <w:color w:val="000000"/>
          <w:sz w:val="20"/>
          <w:szCs w:val="20"/>
        </w:rPr>
        <w:t>Keywords:</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Guidance and Counseling, Holistic Development</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Empathy</w:t>
      </w:r>
    </w:p>
    <w:p>
      <w:pPr>
        <w:pStyle w:val="style179"/>
        <w:numPr>
          <w:ilvl w:val="0"/>
          <w:numId w:val="2"/>
        </w:numPr>
        <w:spacing w:before="54" w:after="0" w:lineRule="auto" w:line="276"/>
        <w:ind w:left="284" w:hanging="284"/>
        <w:rPr>
          <w:rFonts w:ascii="Times New Roman" w:cs="Times New Roman" w:hAnsi="Times New Roman"/>
          <w:color w:val="000000"/>
          <w:sz w:val="20"/>
          <w:szCs w:val="20"/>
        </w:rPr>
      </w:pPr>
      <w:r>
        <w:rPr>
          <w:rFonts w:ascii="Times New Roman" w:cs="Times New Roman" w:hAnsi="Times New Roman"/>
          <w:color w:val="000000"/>
          <w:sz w:val="20"/>
          <w:szCs w:val="20"/>
        </w:rPr>
        <w:t xml:space="preserve"> </w:t>
      </w:r>
      <w:r>
        <w:rPr>
          <w:rFonts w:ascii="Times New Roman" w:cs="Times New Roman" w:hAnsi="Times New Roman"/>
          <w:b/>
          <w:bCs/>
          <w:color w:val="000000"/>
          <w:sz w:val="24"/>
          <w:szCs w:val="24"/>
        </w:rPr>
        <w:t>INTRODUCTION</w:t>
      </w:r>
      <w:r>
        <w:rPr>
          <w:rFonts w:ascii="Times New Roman" w:cs="Times New Roman" w:hAnsi="Times New Roman"/>
          <w:b/>
          <w:bCs/>
          <w:color w:val="000000"/>
          <w:sz w:val="24"/>
          <w:szCs w:val="24"/>
        </w:rPr>
        <w:t xml:space="preserve"> </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ab/>
      </w:r>
      <w:r>
        <w:rPr>
          <w:rFonts w:ascii="Times New Roman" w:cs="Times New Roman" w:hAnsi="Times New Roman"/>
          <w:color w:val="000000"/>
          <w:sz w:val="20"/>
          <w:szCs w:val="20"/>
        </w:rPr>
        <w:t xml:space="preserve">Guidance and counseling in schools serve as critical pillars in supporting the holistic development and well-being of students. These services encompass a wide range of activities and interventions aimed at addressing students' academic, social, emotional, and career-related needs. The integration of comprehensive guidance and counseling programs in schools is vital in promoting positive outcomes, fostering resilience, and facilitating students' overall success. </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ab/>
      </w:r>
      <w:r>
        <w:rPr>
          <w:rFonts w:ascii="Times New Roman" w:cs="Times New Roman" w:hAnsi="Times New Roman"/>
          <w:color w:val="000000"/>
          <w:sz w:val="20"/>
          <w:szCs w:val="20"/>
        </w:rPr>
        <w:t>Guidance and counseling play a pivotal role in addressing the diverse needs of students in the school setting. According to the American School Counselor Association (ASCA), school counseling programs are designed to support students in their academic, personal/social, and career development, thereby contributing to a positive school climate and enhancing student outcomes (ASCA, 2019). These programs are delivered by qualified school counselors who provide individual and group counseling, classroom guidance lessons, academic planning, career exploration, and crisis intervention services.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ab/>
      </w:r>
      <w:r>
        <w:rPr>
          <w:rFonts w:ascii="Times New Roman" w:cs="Times New Roman" w:hAnsi="Times New Roman"/>
          <w:color w:val="000000"/>
          <w:sz w:val="20"/>
          <w:szCs w:val="20"/>
        </w:rPr>
        <w:t>One of the primary goals of guidance and counseling in schools is to promote academic success by helping students develop effective study skills, time management strategies, and goal-setting techniques (Hatch, 2013). Additionally, counselors work with students to address socio-emotional issues such as stress, anxiety, peer relationships, and self-esteem, providing them with tools and resources to navigate these challenges effectively (Gysbers &amp; Henderson, 2012). Moreover, career counseling services assist students in exploring career pathways, setting career goals, and making informed educational and vocational choices (Whiston, 2017).</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ab/>
      </w:r>
      <w:r>
        <w:rPr>
          <w:rFonts w:ascii="Times New Roman" w:cs="Times New Roman" w:hAnsi="Times New Roman"/>
          <w:color w:val="000000"/>
          <w:sz w:val="20"/>
          <w:szCs w:val="20"/>
        </w:rPr>
        <w:t xml:space="preserve"> Although many schools offer counseling services, there is limited empirical evidence on which counseling approaches are most effective in improving students' mental health, resilience, and overall well-being (Sink &amp; Stroh, 2018).</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rPr>
        <w:tab/>
      </w:r>
      <w:r>
        <w:rPr>
          <w:rFonts w:ascii="Times New Roman" w:cs="Times New Roman" w:hAnsi="Times New Roman"/>
          <w:color w:val="000000"/>
          <w:sz w:val="20"/>
          <w:szCs w:val="20"/>
          <w:lang w:val="en-US"/>
        </w:rPr>
        <w:t>Furthermore, th</w:t>
      </w:r>
      <w:r>
        <w:rPr>
          <w:rFonts w:ascii="Times New Roman" w:cs="Times New Roman" w:hAnsi="Times New Roman"/>
          <w:color w:val="000000"/>
          <w:sz w:val="20"/>
          <w:szCs w:val="20"/>
        </w:rPr>
        <w:t>e American School Counselor Association recommends a counselor-student ratio of 250:1, yet many schools fall short of this standard, leading to concerns about the quality and accessibility of counseling services (ASCA, 2020). Research examining the optimal counselor-student ratio and its impact on students' academic and socio-emotional outcomes is needed to inform policy and practice.</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lang w:val="en-US"/>
        </w:rPr>
        <w:t>Moreover,</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c</w:t>
      </w:r>
      <w:r>
        <w:rPr>
          <w:rFonts w:ascii="Times New Roman" w:cs="Times New Roman" w:hAnsi="Times New Roman"/>
          <w:color w:val="000000"/>
          <w:sz w:val="20"/>
          <w:szCs w:val="20"/>
        </w:rPr>
        <w:t xml:space="preserve">ounselors require specialized training in areas such as trauma-informed care, cultural competence, and evidence-based counseling practices to effectively support diverse student populations (Erford, 2015). </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lang w:val="en-US"/>
        </w:rPr>
        <w:t xml:space="preserve">Despite of these challenges, </w:t>
      </w:r>
      <w:r>
        <w:rPr>
          <w:rFonts w:ascii="Times New Roman" w:cs="Times New Roman" w:hAnsi="Times New Roman"/>
          <w:color w:val="000000"/>
          <w:sz w:val="20"/>
          <w:szCs w:val="20"/>
        </w:rPr>
        <w:t>there is ample evidence demonstrating the numerous benefits of guidance and counseling programs in schools. A meta-analysis conducted by Durlak et al. (2011) found that school-based counseling interventions were effective in improving students' academic achievement, social skills, and emotional well-being. Similarly, a study by Sink and Stroh (2019) revealed that students who received regular counseling support reported higher levels of self-esteem, lower levels of anxiety, and improved coping strategies.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rPr>
        <w:t>Moreover, effective guidance and counseling programs contribute to a positive school climate and culture, fostering a sense of belonging, safety, and inclusivity among students (Sink &amp; Stroh, 2017). Research by ASCA (2018) indicates that schools with comprehensive counseling programs report lower rates of disciplinary incidents, higher attendance rates, and increased graduation rates. Additionally, students who participate in career counseling services are more likely to have clear career goals, engage in career exploration activities, and pursue post-secondary education or training (Whiston et al., 2017).</w:t>
      </w:r>
    </w:p>
    <w:p>
      <w:pPr>
        <w:pStyle w:val="style0"/>
        <w:spacing w:before="54"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r>
      <w:r>
        <w:rPr>
          <w:rFonts w:ascii="Times New Roman" w:cs="Times New Roman" w:hAnsi="Times New Roman"/>
          <w:color w:val="000000"/>
          <w:sz w:val="20"/>
          <w:szCs w:val="20"/>
          <w:lang w:val="en-US"/>
        </w:rPr>
        <w:t>With this, the researcher organized the SILAW KEN NAMNAMA Project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provide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comprehensive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holistic</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support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system</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for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students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realm</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guidance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counseling</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address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various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aspects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well-being,</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including</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mental,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dimensions,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through</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blend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support,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inspiration,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love,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advice,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well-being</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promotion.</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b/>
          <w:bCs/>
          <w:color w:val="000000"/>
          <w:sz w:val="24"/>
          <w:szCs w:val="24"/>
        </w:rPr>
        <w:t>METHODOLOGY</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b/>
          <w:bCs/>
          <w:color w:val="000000"/>
          <w:sz w:val="20"/>
          <w:szCs w:val="20"/>
        </w:rPr>
      </w:pPr>
      <w:r>
        <w:rPr>
          <w:rFonts w:ascii="Times New Roman" w:cs="Times New Roman" w:hAnsi="Times New Roman"/>
          <w:b/>
          <w:bCs/>
          <w:color w:val="000000"/>
          <w:sz w:val="20"/>
          <w:szCs w:val="20"/>
        </w:rPr>
        <w:t xml:space="preserve">2.1 </w:t>
      </w:r>
      <w:r>
        <w:rPr>
          <w:rFonts w:ascii="Times New Roman" w:cs="Times New Roman" w:hAnsi="Times New Roman"/>
          <w:b/>
          <w:bCs/>
          <w:color w:val="000000"/>
          <w:sz w:val="20"/>
          <w:szCs w:val="20"/>
          <w:lang w:val="en-US"/>
        </w:rPr>
        <w:t>Research Design</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b/>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study</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employed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One-group</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pretest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posttest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design.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Conducted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Pre-test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Post-test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Measures.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Pre-intervention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assessments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group</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establish</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baseline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behavior,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regulation,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skills,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performance,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overall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well-being.</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Administered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post-intervention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assessments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after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SILAW</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KEN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NAMNAMA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evaluate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changes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measured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outcomes.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implementation,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implemented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SILAW</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KEN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NAMNAMA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for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specified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duration,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which</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may</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include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behavioral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management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strategies,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regulation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techniques,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skills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development,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support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ensure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fidelity</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protocol,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consistency</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delivery,</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adherence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ethical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guidelines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throughout</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implementation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phase.</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b/>
          <w:bCs/>
          <w:color w:val="000000"/>
          <w:sz w:val="20"/>
          <w:szCs w:val="20"/>
        </w:rPr>
      </w:pPr>
      <w:r>
        <w:rPr>
          <w:rFonts w:ascii="Times New Roman" w:cs="Times New Roman" w:hAnsi="Times New Roman"/>
          <w:b/>
          <w:bCs/>
          <w:color w:val="000000"/>
          <w:sz w:val="20"/>
          <w:szCs w:val="20"/>
        </w:rPr>
        <w:t xml:space="preserve">2.2 </w:t>
      </w:r>
      <w:r>
        <w:rPr>
          <w:rFonts w:ascii="Times New Roman" w:cs="Times New Roman" w:hAnsi="Times New Roman"/>
          <w:b/>
          <w:bCs/>
          <w:color w:val="000000"/>
          <w:sz w:val="20"/>
          <w:szCs w:val="20"/>
          <w:lang w:val="en-US"/>
        </w:rPr>
        <w:t>Data Collection</w:t>
      </w:r>
    </w:p>
    <w:p>
      <w:pPr>
        <w:pStyle w:val="style0"/>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b/>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The study Utilized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combination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quantitative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qualitative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collection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methods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gather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information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before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after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intervention.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Quantitative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may</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include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behavior</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tracking</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records,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standardized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assessments,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surveys,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progress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monitoring. Qualitative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can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collected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through</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interviews,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focus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groups,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open-ended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questions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capture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subjective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experiences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perceptions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related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intervention.</w:t>
      </w:r>
    </w:p>
    <w:p>
      <w:pPr>
        <w:pStyle w:val="style0"/>
        <w:spacing w:before="54" w:lineRule="auto" w:line="276"/>
        <w:jc w:val="both"/>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2.2</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Analysis</w:t>
      </w:r>
    </w:p>
    <w:p>
      <w:pPr>
        <w:pStyle w:val="style0"/>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b/>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The study analyzed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quantitative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using t-tests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compare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pre-intervention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post-intervention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outcomes</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between</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experimental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control</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groups. For the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qualitative</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data</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analysis, thematic</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0"/>
          <w:szCs w:val="20"/>
          <w:highlight w:val="none"/>
          <w:vertAlign w:val="baseline"/>
          <w:em w:val="none"/>
          <w:lang w:val="en-US" w:eastAsia="en-US"/>
        </w:rPr>
        <w:t>analysis was used.</w:t>
      </w:r>
    </w:p>
    <w:p>
      <w:pPr>
        <w:pStyle w:val="style0"/>
        <w:spacing w:before="54"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color w:val="000000"/>
          <w:sz w:val="20"/>
          <w:szCs w:val="20"/>
        </w:rPr>
      </w:pPr>
      <w:r>
        <w:rPr>
          <w:rFonts w:ascii="Times New Roman" w:cs="Times New Roman" w:hAnsi="Times New Roman"/>
          <w:b/>
          <w:bCs/>
          <w:color w:val="000000"/>
          <w:sz w:val="24"/>
          <w:szCs w:val="24"/>
        </w:rPr>
        <w:t>MODELING</w:t>
      </w:r>
      <w:r>
        <w:rPr>
          <w:rFonts w:ascii="Times New Roman" w:cs="Times New Roman" w:hAnsi="Times New Roman"/>
          <w:b/>
          <w:bCs/>
          <w:color w:val="000000"/>
          <w:sz w:val="24"/>
          <w:szCs w:val="24"/>
        </w:rPr>
        <w:t xml:space="preserve"> AND ANALYSIS</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r>
        <w:rPr>
          <w:rFonts w:ascii="Times New Roman" w:cs="Times New Roman" w:hAnsi="Times New Roman"/>
          <w:color w:val="000000"/>
          <w:sz w:val="20"/>
          <w:szCs w:val="20"/>
          <w:lang w:val="en-US"/>
        </w:rPr>
        <w:t>The SILAW KEN NAMNAMA</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was</w:t>
      </w:r>
      <w:r>
        <w:rPr>
          <w:rFonts w:ascii="Times New Roman" w:cs="Times New Roman" w:hAnsi="Times New Roman"/>
          <w:color w:val="000000"/>
          <w:sz w:val="20"/>
          <w:szCs w:val="20"/>
        </w:rPr>
        <w:t xml:space="preserve"> presented in this section</w:t>
      </w:r>
      <w:r>
        <w:rPr>
          <w:rFonts w:ascii="Times New Roman" w:cs="Times New Roman" w:hAnsi="Times New Roman"/>
          <w:color w:val="000000"/>
          <w:sz w:val="20"/>
          <w:szCs w:val="20"/>
          <w:lang w:val="en-US"/>
        </w:rPr>
        <w:t>.</w:t>
      </w:r>
    </w:p>
    <w:p>
      <w:pPr>
        <w:pStyle w:val="style179"/>
        <w:numPr>
          <w:ilvl w:val="0"/>
          <w:numId w:val="0"/>
        </w:numPr>
        <w:spacing w:before="54" w:after="0" w:lineRule="auto" w:line="276"/>
        <w:ind w:left="360" w:firstLine="0"/>
        <w:rPr>
          <w:rFonts w:ascii="Times New Roman" w:cs="Times New Roman" w:hAnsi="Times New Roman"/>
          <w:color w:val="000000"/>
          <w:sz w:val="20"/>
          <w:szCs w:val="20"/>
        </w:rPr>
      </w:pPr>
    </w:p>
    <w:p>
      <w:pPr>
        <w:pStyle w:val="style0"/>
        <w:spacing w:before="54" w:after="0" w:lineRule="auto" w:line="276"/>
        <w:jc w:val="center"/>
        <w:rPr>
          <w:rFonts w:ascii="Times New Roman" w:cs="Times New Roman" w:hAnsi="Times New Roman"/>
          <w:color w:val="000000"/>
          <w:sz w:val="20"/>
          <w:szCs w:val="20"/>
        </w:rPr>
      </w:pPr>
      <w:r>
        <w:rPr>
          <w:rFonts w:ascii="Times New Roman" w:cs="Times New Roman" w:hAnsi="Times New Roman"/>
          <w:color w:val="000000"/>
          <w:sz w:val="20"/>
          <w:szCs w:val="20"/>
        </w:rPr>
        <w:t xml:space="preserve"> </w:t>
      </w:r>
    </w:p>
    <w:p>
      <w:pPr>
        <w:pStyle w:val="style0"/>
        <w:spacing w:before="54" w:after="0" w:lineRule="auto" w:line="276"/>
        <w:jc w:val="center"/>
        <w:rPr>
          <w:rFonts w:ascii="Times New Roman" w:cs="Times New Roman" w:hAnsi="Times New Roman"/>
          <w:b/>
          <w:bCs/>
          <w:color w:val="000000"/>
          <w:sz w:val="20"/>
          <w:szCs w:val="20"/>
        </w:rPr>
      </w:pPr>
      <w:r>
        <w:rPr/>
        <mc:AlternateContent>
          <mc:Choice Requires="wps">
            <w:drawing>
              <wp:anchor distT="0" distB="0" distL="0" distR="0" simplePos="false" relativeHeight="2" behindDoc="false" locked="false" layoutInCell="true" allowOverlap="true">
                <wp:simplePos x="0" y="0"/>
                <wp:positionH relativeFrom="page">
                  <wp:posOffset>933540</wp:posOffset>
                </wp:positionH>
                <wp:positionV relativeFrom="page">
                  <wp:posOffset>1799091</wp:posOffset>
                </wp:positionV>
                <wp:extent cx="1421441" cy="356214"/>
                <wp:effectExtent l="0" t="0" r="0" b="0"/>
                <wp:wrapNone/>
                <wp:docPr id="1028"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21441" cy="356214"/>
                        </a:xfrm>
                        <a:prstGeom prst="rect"/>
                        <a:solidFill>
                          <a:srgbClr val="ffffff"/>
                        </a:solidFill>
                        <a:ln cmpd="sng" cap="flat" w="9525">
                          <a:solidFill>
                            <a:srgbClr val="000000"/>
                          </a:solidFill>
                          <a:prstDash val="solid"/>
                          <a:round/>
                          <a:headEnd/>
                          <a:tailEnd/>
                        </a:ln>
                      </wps:spPr>
                      <wps:txbx id="1028">
                        <w:txbxContent>
                          <w:p>
                            <w:pPr>
                              <w:jc w:val="center"/>
                              <w:rPr/>
                            </w:pPr>
                            <w:r>
                              <w:rPr>
                                <w:lang w:val="en-US"/>
                              </w:rPr>
                              <w:t>Pre-assesment</w:t>
                            </w:r>
                          </w:p>
                        </w:txbxContent>
                      </wps:txbx>
                      <wps:bodyPr>
                        <a:noAutofit/>
                      </wps:bodyPr>
                    </wps:wsp>
                  </a:graphicData>
                </a:graphic>
              </wp:anchor>
            </w:drawing>
          </mc:Choice>
          <mc:Fallback>
            <w:pict>
              <v:shapetype id="_x0000_t202" coordsize="21600,21600" o:spt="202" path="m,l,21600r21600,l21600,xe">
                <v:stroke joinstyle="miter"/>
                <v:path gradientshapeok="t" o:connecttype="rect"/>
              </v:shapetype>
              <v:shape id="1028" type="#_x0000_t202" style="position:absolute;margin-left:73.51pt;margin-top:141.66pt;width:111.92pt;height:28.05pt;z-index:2;mso-position-horizontal-relative:page;mso-position-vertical-relative:page;mso-width-relative:page;mso-height-relative:page;mso-wrap-distance-left:0.0pt;mso-wrap-distance-right:0.0pt;visibility:visible;">
                <v:fill/>
                <v:textbox style="mso-fit-text-to-shape:true;">
                  <w:txbxContent>
                    <w:p>
                      <w:pPr>
                        <w:jc w:val="center"/>
                        <w:rPr/>
                      </w:pPr>
                      <w:r>
                        <w:rPr>
                          <w:lang w:val="en-US"/>
                        </w:rPr>
                        <w:t>Pre-assesment</w:t>
                      </w:r>
                    </w:p>
                  </w:txbxContent>
                </v:textbox>
              </v:shape>
            </w:pict>
          </mc:Fallback>
        </mc:AlternateContent>
      </w:r>
      <w:r>
        <w:rPr/>
        <mc:AlternateContent>
          <mc:Choice Requires="wps">
            <w:drawing>
              <wp:anchor distT="0" distB="0" distL="0" distR="0" simplePos="false" relativeHeight="4" behindDoc="false" locked="false" layoutInCell="true" allowOverlap="true">
                <wp:simplePos x="0" y="0"/>
                <wp:positionH relativeFrom="page">
                  <wp:posOffset>5555303</wp:posOffset>
                </wp:positionH>
                <wp:positionV relativeFrom="page">
                  <wp:posOffset>1892555</wp:posOffset>
                </wp:positionV>
                <wp:extent cx="1312664" cy="395372"/>
                <wp:effectExtent l="0" t="0" r="0" b="0"/>
                <wp:wrapNone/>
                <wp:docPr id="1030"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312664" cy="395372"/>
                        </a:xfrm>
                        <a:prstGeom prst="rect"/>
                        <a:solidFill>
                          <a:srgbClr val="ffffff"/>
                        </a:solidFill>
                        <a:ln cmpd="sng" cap="flat" w="9525">
                          <a:solidFill>
                            <a:srgbClr val="000000"/>
                          </a:solidFill>
                          <a:prstDash val="solid"/>
                          <a:round/>
                          <a:headEnd/>
                          <a:tailEnd/>
                        </a:ln>
                      </wps:spPr>
                      <wps:txbx id="1030">
                        <w:txbxContent>
                          <w:p>
                            <w:pPr>
                              <w:jc w:val="center"/>
                              <w:rPr/>
                            </w:pPr>
                            <w:r>
                              <w:rPr>
                                <w:lang w:val="en-US"/>
                              </w:rPr>
                              <w:t>Post assessment</w:t>
                            </w:r>
                          </w:p>
                        </w:txbxContent>
                      </wps:txbx>
                      <wps:bodyPr>
                        <a:noAutofit/>
                      </wps:bodyPr>
                    </wps:wsp>
                  </a:graphicData>
                </a:graphic>
              </wp:anchor>
            </w:drawing>
          </mc:Choice>
          <mc:Fallback>
            <w:pict>
              <v:shape id="1030" type="#_x0000_t202" style="position:absolute;margin-left:437.43pt;margin-top:149.02pt;width:103.36pt;height:31.13pt;z-index:4;mso-position-horizontal-relative:page;mso-position-vertical-relative:page;mso-width-relative:page;mso-height-relative:page;mso-wrap-distance-left:0.0pt;mso-wrap-distance-right:0.0pt;visibility:visible;">
                <v:fill/>
                <v:textbox style="mso-fit-text-to-shape:true;">
                  <w:txbxContent>
                    <w:p>
                      <w:pPr>
                        <w:jc w:val="center"/>
                        <w:rPr/>
                      </w:pPr>
                      <w:r>
                        <w:rPr>
                          <w:lang w:val="en-US"/>
                        </w:rPr>
                        <w:t>Post assessment</w:t>
                      </w:r>
                    </w:p>
                  </w:txbxContent>
                </v:textbox>
              </v:shape>
            </w:pict>
          </mc:Fallback>
        </mc:AlternateContent>
      </w:r>
      <w:r>
        <w:rPr/>
        <mc:AlternateContent>
          <mc:Choice Requires="wps">
            <w:drawing>
              <wp:anchor distT="0" distB="0" distL="0" distR="0" simplePos="false" relativeHeight="3" behindDoc="false" locked="false" layoutInCell="true" allowOverlap="true">
                <wp:simplePos x="0" y="0"/>
                <wp:positionH relativeFrom="page">
                  <wp:posOffset>3135486</wp:posOffset>
                </wp:positionH>
                <wp:positionV relativeFrom="page">
                  <wp:posOffset>1748413</wp:posOffset>
                </wp:positionV>
                <wp:extent cx="1789817" cy="601461"/>
                <wp:effectExtent l="0" t="0" r="0" b="0"/>
                <wp:wrapNone/>
                <wp:docPr id="1029"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789817" cy="601461"/>
                        </a:xfrm>
                        <a:prstGeom prst="rect"/>
                        <a:solidFill>
                          <a:srgbClr val="ffffff"/>
                        </a:solidFill>
                        <a:ln cmpd="sng" cap="flat" w="9525">
                          <a:solidFill>
                            <a:srgbClr val="000000"/>
                          </a:solidFill>
                          <a:prstDash val="solid"/>
                          <a:round/>
                          <a:headEnd/>
                          <a:tailEnd/>
                        </a:ln>
                      </wps:spPr>
                      <wps:txbx id="1029">
                        <w:txbxContent>
                          <w:p>
                            <w:pPr>
                              <w:jc w:val="center"/>
                              <w:rPr/>
                            </w:pPr>
                            <w:r>
                              <w:rPr>
                                <w:lang w:val="en-US"/>
                              </w:rPr>
                              <w:t>Intervention</w:t>
                            </w:r>
                          </w:p>
                          <w:p>
                            <w:pPr>
                              <w:pStyle w:val="style0"/>
                              <w:jc w:val="center"/>
                              <w:rPr/>
                            </w:pPr>
                            <w:r>
                              <w:rPr>
                                <w:lang w:val="en-US"/>
                              </w:rPr>
                              <w:t>(Seminar Sessions)</w:t>
                            </w:r>
                          </w:p>
                        </w:txbxContent>
                      </wps:txbx>
                      <wps:bodyPr>
                        <a:noAutofit/>
                      </wps:bodyPr>
                    </wps:wsp>
                  </a:graphicData>
                </a:graphic>
              </wp:anchor>
            </w:drawing>
          </mc:Choice>
          <mc:Fallback>
            <w:pict>
              <v:shape id="1029" type="#_x0000_t202" style="position:absolute;margin-left:246.89pt;margin-top:137.67pt;width:140.93pt;height:47.36pt;z-index:3;mso-position-horizontal-relative:page;mso-position-vertical-relative:page;mso-width-relative:page;mso-height-relative:page;mso-wrap-distance-left:0.0pt;mso-wrap-distance-right:0.0pt;visibility:visible;">
                <v:fill/>
                <v:textbox style="mso-fit-text-to-shape:true;">
                  <w:txbxContent>
                    <w:p>
                      <w:pPr>
                        <w:jc w:val="center"/>
                        <w:rPr/>
                      </w:pPr>
                      <w:r>
                        <w:rPr>
                          <w:lang w:val="en-US"/>
                        </w:rPr>
                        <w:t>Intervention</w:t>
                      </w:r>
                    </w:p>
                    <w:p>
                      <w:pPr>
                        <w:pStyle w:val="style0"/>
                        <w:jc w:val="center"/>
                        <w:rPr/>
                      </w:pPr>
                      <w:r>
                        <w:rPr>
                          <w:lang w:val="en-US"/>
                        </w:rPr>
                        <w:t>(Seminar Sessions)</w:t>
                      </w:r>
                    </w:p>
                  </w:txbxContent>
                </v:textbox>
              </v:shape>
            </w:pict>
          </mc:Fallback>
        </mc:AlternateContent>
      </w:r>
    </w:p>
    <w:p>
      <w:pPr>
        <w:pStyle w:val="style0"/>
        <w:spacing w:before="54" w:after="0" w:lineRule="auto" w:line="276"/>
        <w:jc w:val="center"/>
        <w:rPr>
          <w:rFonts w:ascii="Times New Roman" w:cs="Times New Roman" w:hAnsi="Times New Roman"/>
          <w:b/>
          <w:bCs/>
          <w:color w:val="000000"/>
          <w:sz w:val="20"/>
          <w:szCs w:val="20"/>
        </w:rPr>
      </w:pPr>
      <w:r>
        <w:rPr/>
        <mc:AlternateContent>
          <mc:Choice Requires="wps">
            <w:drawing>
              <wp:anchor distT="0" distB="0" distL="0" distR="0" simplePos="false" relativeHeight="5" behindDoc="false" locked="false" layoutInCell="true" allowOverlap="true">
                <wp:simplePos x="0" y="0"/>
                <wp:positionH relativeFrom="page">
                  <wp:posOffset>2543608</wp:posOffset>
                </wp:positionH>
                <wp:positionV relativeFrom="page">
                  <wp:posOffset>1952069</wp:posOffset>
                </wp:positionV>
                <wp:extent cx="551056" cy="5769"/>
                <wp:effectExtent l="0" t="0" r="0" b="0"/>
                <wp:wrapNone/>
                <wp:docPr id="1031"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51056" cy="5769"/>
                        </a:xfrm>
                        <a:prstGeom prst="straightConnector1"/>
                        <a:solidFill>
                          <a:srgbClr val="ffffff"/>
                        </a:solidFill>
                        <a:ln cmpd="sng" cap="flat" w="12700">
                          <a:solidFill>
                            <a:srgbClr val="666666"/>
                          </a:solidFill>
                          <a:prstDash val="solid"/>
                          <a:round/>
                          <a:headEnd/>
                          <a:tailEnd len="med" w="med" type="triangle"/>
                        </a:ln>
                      </wps:spPr>
                      <wps:bodyPr/>
                    </wps:wsp>
                  </a:graphicData>
                </a:graphic>
              </wp:anchor>
            </w:drawing>
          </mc:Choice>
          <mc:Fallback>
            <w:pict>
              <v:shapetype id="_x0000_t32" coordsize="21600,21600" o:spt="32" o:oned="t" path="m,l21600,21600e">
                <v:path arrowok="t" fillok="f" o:connecttype="none"/>
                <o:lock v:ext="edit" shapetype="t"/>
              </v:shapetype>
              <v:shape id="1031" type="#_x0000_t32" fillcolor="white" style="position:absolute;margin-left:200.28pt;margin-top:153.71pt;width:43.39pt;height:0.45pt;z-index:5;mso-position-horizontal-relative:page;mso-position-vertical-relative:page;mso-width-relative:page;mso-height-relative:page;mso-wrap-distance-left:0.0pt;mso-wrap-distance-right:0.0pt;visibility:visible;flip:y;">
                <v:stroke endarrow="block" color="#666666" weight="1.0pt"/>
                <v:fill/>
              </v:shape>
            </w:pict>
          </mc:Fallback>
        </mc:AlternateContent>
      </w:r>
      <w:r>
        <w:rPr/>
        <mc:AlternateContent>
          <mc:Choice Requires="wps">
            <w:drawing>
              <wp:anchor distT="0" distB="0" distL="0" distR="0" simplePos="false" relativeHeight="6" behindDoc="false" locked="false" layoutInCell="true" allowOverlap="true">
                <wp:simplePos x="0" y="0"/>
                <wp:positionH relativeFrom="page">
                  <wp:posOffset>4976748</wp:posOffset>
                </wp:positionH>
                <wp:positionV relativeFrom="page">
                  <wp:posOffset>2065225</wp:posOffset>
                </wp:positionV>
                <wp:extent cx="551055" cy="5769"/>
                <wp:effectExtent l="0" t="0" r="0" b="0"/>
                <wp:wrapNone/>
                <wp:docPr id="1032" name="Image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551055" cy="5769"/>
                        </a:xfrm>
                        <a:prstGeom prst="straightConnector1"/>
                        <a:solidFill>
                          <a:srgbClr val="ffffff"/>
                        </a:solidFill>
                        <a:ln cmpd="sng" cap="flat" w="12700">
                          <a:solidFill>
                            <a:srgbClr val="666666"/>
                          </a:solidFill>
                          <a:prstDash val="solid"/>
                          <a:round/>
                          <a:headEnd len="med" w="med" type="none"/>
                          <a:tailEnd len="med" w="med" type="triangle"/>
                        </a:ln>
                      </wps:spPr>
                      <wps:bodyPr>
                        <a:prstTxWarp prst="textNoShape"/>
                      </wps:bodyPr>
                    </wps:wsp>
                  </a:graphicData>
                </a:graphic>
              </wp:anchor>
            </w:drawing>
          </mc:Choice>
          <mc:Fallback>
            <w:pict>
              <v:shape id="1032" type="#_x0000_t32" fillcolor="white" style="position:absolute;margin-left:391.87pt;margin-top:162.62pt;width:43.39pt;height:0.45pt;z-index:6;mso-position-horizontal-relative:page;mso-position-vertical-relative:page;mso-width-relative:page;mso-height-relative:page;mso-wrap-distance-left:0.0pt;mso-wrap-distance-right:0.0pt;visibility:visible;flip:y;">
                <v:stroke endarrow="block" color="#666666" weight="1.0pt"/>
                <v:fill/>
              </v:shape>
            </w:pict>
          </mc:Fallback>
        </mc:AlternateContent>
      </w: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color w:val="000000"/>
          <w:sz w:val="20"/>
          <w:szCs w:val="20"/>
        </w:rPr>
      </w:pPr>
      <w:r>
        <w:rPr>
          <w:rFonts w:ascii="Times New Roman" w:cs="Times New Roman" w:hAnsi="Times New Roman"/>
          <w:b/>
          <w:bCs/>
          <w:color w:val="000000"/>
          <w:sz w:val="20"/>
          <w:szCs w:val="20"/>
        </w:rPr>
        <w:t>Figure</w:t>
      </w:r>
      <w:r>
        <w:rPr>
          <w:rFonts w:ascii="Times New Roman" w:cs="Times New Roman" w:hAnsi="Times New Roman"/>
          <w:b/>
          <w:bCs/>
          <w:color w:val="000000"/>
          <w:sz w:val="20"/>
          <w:szCs w:val="20"/>
        </w:rPr>
        <w:t xml:space="preserve"> </w:t>
      </w:r>
      <w:r>
        <w:rPr>
          <w:rFonts w:ascii="Times New Roman" w:cs="Times New Roman" w:hAnsi="Times New Roman"/>
          <w:b/>
          <w:bCs/>
          <w:color w:val="000000"/>
          <w:sz w:val="20"/>
          <w:szCs w:val="20"/>
        </w:rPr>
        <w:t>1</w:t>
      </w:r>
      <w:r>
        <w:rPr>
          <w:rFonts w:ascii="Times New Roman" w:cs="Times New Roman" w:hAnsi="Times New Roman"/>
          <w:b/>
          <w:bCs/>
          <w:color w:val="000000"/>
          <w:sz w:val="20"/>
          <w:szCs w:val="20"/>
        </w:rPr>
        <w:t>:</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SILAW KEN NAMNAMA Procedure</w:t>
      </w:r>
    </w:p>
    <w:p>
      <w:pPr>
        <w:pStyle w:val="style0"/>
        <w:spacing w:before="54" w:after="0" w:lineRule="auto" w:line="276"/>
        <w:jc w:val="center"/>
        <w:rPr>
          <w:rFonts w:ascii="Times New Roman" w:cs="Times New Roman" w:hAnsi="Times New Roman"/>
          <w:color w:val="000000"/>
          <w:sz w:val="20"/>
          <w:szCs w:val="20"/>
        </w:rPr>
      </w:pPr>
    </w:p>
    <w:p>
      <w:pPr>
        <w:pStyle w:val="style0"/>
        <w:spacing w:before="54" w:after="0" w:lineRule="auto" w:line="276"/>
        <w:jc w:val="center"/>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RESULTS AND DISCUSSION</w:t>
      </w:r>
    </w:p>
    <w:p>
      <w:pPr>
        <w:pStyle w:val="style0"/>
        <w:spacing w:before="54" w:after="0" w:lineRule="auto" w:line="276"/>
        <w:jc w:val="both"/>
        <w:rPr>
          <w:rFonts w:ascii="Times New Roman" w:cs="Times New Roman" w:hAnsi="Times New Roman"/>
          <w:b/>
          <w:bCs/>
          <w:color w:val="000000"/>
          <w:sz w:val="20"/>
          <w:szCs w:val="20"/>
        </w:rPr>
      </w:pPr>
      <w:r>
        <w:rPr>
          <w:rFonts w:ascii="Times New Roman" w:cs="Times New Roman" w:hAnsi="Times New Roman"/>
          <w:b/>
          <w:bCs/>
          <w:color w:val="000000"/>
          <w:sz w:val="20"/>
          <w:szCs w:val="20"/>
          <w:lang w:val="en-US"/>
        </w:rPr>
        <w:tab/>
        <w:t>The analysis of the SILAW KEN NAMNAMA intervention's impact on behavioral pupils yielded the following key findings as shown below.</w:t>
      </w:r>
    </w:p>
    <w:p>
      <w:pPr>
        <w:pStyle w:val="style0"/>
        <w:spacing w:before="54" w:after="0" w:lineRule="auto" w:line="276"/>
        <w:jc w:val="both"/>
        <w:rPr>
          <w:rFonts w:ascii="Times New Roman" w:cs="Times New Roman" w:hAnsi="Times New Roman"/>
          <w:b/>
          <w:bCs/>
          <w:color w:val="000000"/>
          <w:sz w:val="20"/>
          <w:szCs w:val="20"/>
        </w:rPr>
      </w:pPr>
    </w:p>
    <w:p>
      <w:pPr>
        <w:pStyle w:val="style0"/>
        <w:spacing w:before="54" w:after="0" w:lineRule="auto" w:line="276"/>
        <w:jc w:val="center"/>
        <w:rPr>
          <w:rFonts w:ascii="Times New Roman" w:cs="Times New Roman" w:hAnsi="Times New Roman"/>
          <w:color w:val="000000"/>
          <w:sz w:val="20"/>
          <w:szCs w:val="20"/>
        </w:rPr>
      </w:pPr>
      <w:r>
        <w:rPr>
          <w:rFonts w:ascii="Times New Roman" w:cs="Times New Roman" w:hAnsi="Times New Roman"/>
          <w:b/>
          <w:bCs/>
          <w:color w:val="000000"/>
          <w:sz w:val="20"/>
          <w:szCs w:val="20"/>
        </w:rPr>
        <w:t>Table 1.</w:t>
      </w:r>
      <w:r>
        <w:rPr>
          <w:rFonts w:ascii="Times New Roman" w:cs="Times New Roman" w:hAnsi="Times New Roman"/>
          <w:color w:val="000000"/>
          <w:sz w:val="20"/>
          <w:szCs w:val="20"/>
        </w:rPr>
        <w:t xml:space="preserve"> </w:t>
      </w:r>
      <w:r>
        <w:rPr>
          <w:rFonts w:ascii="Times New Roman" w:cs="Times New Roman" w:hAnsi="Times New Roman"/>
          <w:color w:val="000000"/>
          <w:sz w:val="20"/>
          <w:szCs w:val="20"/>
          <w:lang w:val="en-US"/>
        </w:rPr>
        <w:t>The Pretest and Posttest Results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2"/>
        <w:gridCol w:w="1257"/>
        <w:gridCol w:w="1383"/>
      </w:tblGrid>
      <w:tr>
        <w:trPr>
          <w:trHeight w:val="365" w:hRule="atLeast"/>
          <w:jc w:val="center"/>
        </w:trPr>
        <w:tc>
          <w:tcPr>
            <w:tcW w:w="1372" w:type="dxa"/>
            <w:tcBorders>
              <w:top w:val="single" w:sz="4" w:space="0" w:color="auto"/>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Area</w:t>
            </w:r>
          </w:p>
        </w:tc>
        <w:tc>
          <w:tcPr>
            <w:tcW w:w="1257" w:type="dxa"/>
            <w:tcBorders>
              <w:top w:val="single" w:sz="4" w:space="0" w:color="auto"/>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Pre Test (mean)</w:t>
            </w:r>
          </w:p>
        </w:tc>
        <w:tc>
          <w:tcPr>
            <w:tcW w:w="1383" w:type="dxa"/>
            <w:tcBorders>
              <w:top w:val="single" w:sz="4" w:space="0" w:color="auto"/>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Posttest</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(Mean)</w:t>
            </w:r>
          </w:p>
        </w:tc>
      </w:tr>
      <w:tr>
        <w:tblPrEx/>
        <w:trPr>
          <w:jc w:val="center"/>
        </w:trPr>
        <w:tc>
          <w:tcPr>
            <w:tcW w:w="137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Behavioral incidents</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15.4</w:t>
            </w:r>
          </w:p>
        </w:tc>
        <w:tc>
          <w:tcPr>
            <w:tcW w:w="1383" w:type="dxa"/>
            <w:tcBorders/>
            <w:shd w:val="clear" w:color="auto" w:fill="auto"/>
            <w:vAlign w:val="center"/>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7.8</w:t>
            </w:r>
          </w:p>
        </w:tc>
      </w:tr>
      <w:tr>
        <w:tblPrEx/>
        <w:trPr>
          <w:jc w:val="center"/>
        </w:trPr>
        <w:tc>
          <w:tcPr>
            <w:tcW w:w="137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Emotional Regulation</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45.3</w:t>
            </w:r>
          </w:p>
        </w:tc>
        <w:tc>
          <w:tcPr>
            <w:tcW w:w="1383" w:type="dxa"/>
            <w:tcBorders/>
            <w:shd w:val="clear" w:color="auto" w:fill="auto"/>
            <w:vAlign w:val="center"/>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60.2</w:t>
            </w:r>
          </w:p>
        </w:tc>
      </w:tr>
      <w:tr>
        <w:tblPrEx/>
        <w:trPr>
          <w:jc w:val="center"/>
        </w:trPr>
        <w:tc>
          <w:tcPr>
            <w:tcW w:w="137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Social Skills</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40.2</w:t>
            </w:r>
          </w:p>
        </w:tc>
        <w:tc>
          <w:tcPr>
            <w:tcW w:w="1383" w:type="dxa"/>
            <w:tcBorders/>
            <w:shd w:val="clear" w:color="auto" w:fill="auto"/>
            <w:vAlign w:val="center"/>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55.9</w:t>
            </w:r>
          </w:p>
        </w:tc>
      </w:tr>
      <w:tr>
        <w:tblPrEx/>
        <w:trPr>
          <w:trHeight w:val="62" w:hRule="atLeast"/>
          <w:jc w:val="center"/>
        </w:trPr>
        <w:tc>
          <w:tcPr>
            <w:tcW w:w="137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Academic Performance</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65.4</w:t>
            </w:r>
          </w:p>
        </w:tc>
        <w:tc>
          <w:tcPr>
            <w:tcW w:w="1383"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75.6</w:t>
            </w:r>
          </w:p>
        </w:tc>
      </w:tr>
      <w:tr>
        <w:tblPrEx/>
        <w:trPr>
          <w:trHeight w:val="62" w:hRule="atLeast"/>
          <w:jc w:val="center"/>
        </w:trPr>
        <w:tc>
          <w:tcPr>
            <w:tcW w:w="1372"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Over all Well being</w:t>
            </w:r>
          </w:p>
        </w:tc>
        <w:tc>
          <w:tcPr>
            <w:tcW w:w="1257"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51.2</w:t>
            </w:r>
          </w:p>
        </w:tc>
        <w:tc>
          <w:tcPr>
            <w:tcW w:w="1383" w:type="dxa"/>
            <w:tcBorders/>
            <w:shd w:val="clear" w:color="auto" w:fill="auto"/>
          </w:tcPr>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54.0</w:t>
            </w:r>
          </w:p>
        </w:tc>
      </w:tr>
    </w:tbl>
    <w:p>
      <w:pPr>
        <w:pStyle w:val="style0"/>
        <w:spacing w:before="54" w:after="0" w:lineRule="auto" w:line="276"/>
        <w:jc w:val="both"/>
        <w:rPr>
          <w:rFonts w:ascii="Times New Roman" w:cs="Times New Roman" w:hAnsi="Times New Roman"/>
          <w:color w:val="000000"/>
          <w:sz w:val="20"/>
          <w:szCs w:val="20"/>
        </w:rPr>
      </w:pPr>
    </w:p>
    <w:p>
      <w:pPr>
        <w:spacing w:before="54" w:lineRule="auto" w:line="276"/>
        <w:jc w:val="both"/>
        <w:rPr>
          <w:rFonts w:ascii="Times New Roman" w:cs="Times New Roman" w:hAnsi="Times New Roman"/>
          <w:color w:val="000000"/>
          <w:sz w:val="20"/>
          <w:szCs w:val="20"/>
        </w:rPr>
      </w:pP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b/>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results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this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study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indicate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that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SILAW</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KEN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NAMNAMA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had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significant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positive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impact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various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dimensions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well-being,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personal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development,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success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among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behavioral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pupils.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following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points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highlight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key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aspects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findings:</w:t>
      </w:r>
    </w:p>
    <w:p>
      <w:pPr>
        <w:pStyle w:val="style0"/>
        <w:spacing w:before="54" w:lineRule="auto" w:line="276"/>
        <w:jc w:val="both"/>
        <w:rPr>
          <w:rFonts w:ascii="Times New Roman" w:cs="Times New Roman" w:hAnsi="Times New Roman"/>
          <w:color w:val="000000"/>
          <w:sz w:val="20"/>
          <w:szCs w:val="20"/>
        </w:rPr>
      </w:pP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Effectiveness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Reducing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Behavioral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Incidents</w:t>
      </w: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tab/>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notable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reduction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behavioral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incidents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experimental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group</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suggests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that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SILAW</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KEN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NAMNAMA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effectively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addressed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behavioral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challenges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faced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pupils.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This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reduction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can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attributed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comprehensive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support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system</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that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included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behavior</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management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strategies,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regulation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techniques,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skills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training.</w:t>
      </w:r>
    </w:p>
    <w:p>
      <w:pPr>
        <w:spacing w:before="54" w:lineRule="auto" w:line="276"/>
        <w:jc w:val="both"/>
        <w:rPr>
          <w:rFonts w:ascii="Times New Roman" w:cs="Times New Roman" w:eastAsia="Calibri" w:hAnsi="Times New Roman" w:hint="default"/>
          <w:b/>
          <w:bCs/>
          <w:i w:val="false"/>
          <w:iCs w:val="false"/>
          <w:color w:val="000000"/>
          <w:sz w:val="20"/>
          <w:szCs w:val="20"/>
          <w:highlight w:val="none"/>
          <w:vertAlign w:val="baseline"/>
          <w:em w:val="none"/>
          <w:lang w:val="en-US" w:eastAsia="en-US"/>
        </w:rPr>
      </w:pP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Enhancement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Regulation</w:t>
      </w: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tab/>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significant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improvement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regulation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scores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experimental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group</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highlights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effectiveness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helping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pupils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develop</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better</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control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coping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strategies.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This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outcome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crucial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for</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long-term</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personal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development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resilience.</w:t>
      </w:r>
    </w:p>
    <w:p>
      <w:pPr>
        <w:spacing w:before="54" w:lineRule="auto" w:line="276"/>
        <w:jc w:val="both"/>
        <w:rPr>
          <w:rFonts w:ascii="Times New Roman" w:cs="Times New Roman" w:hAnsi="Times New Roman"/>
          <w:color w:val="000000"/>
          <w:sz w:val="20"/>
          <w:szCs w:val="20"/>
        </w:rPr>
      </w:pP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Improvement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Skills</w:t>
      </w: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tab/>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substantial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increase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skills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scores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experimental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group</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indicates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that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successfully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enhanced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pupils'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ability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interact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positively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with</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peers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adults.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Improved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skills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are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essential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for</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building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healthy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relationships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reducing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isolation.</w:t>
      </w:r>
    </w:p>
    <w:p>
      <w:pPr>
        <w:spacing w:before="54" w:lineRule="auto" w:line="276"/>
        <w:jc w:val="both"/>
        <w:rPr>
          <w:rFonts w:ascii="Times New Roman" w:cs="Times New Roman" w:hAnsi="Times New Roman"/>
          <w:color w:val="000000"/>
          <w:sz w:val="20"/>
          <w:szCs w:val="20"/>
        </w:rPr>
      </w:pP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Performance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Gains</w:t>
      </w: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tab/>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significant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improvement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performance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among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experimental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group</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demonstrates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that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holistic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approach</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SILAW</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KEN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NAMNAMA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which</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included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support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motivation,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contributed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better</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outcomes.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Enhanced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performance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likely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linked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to</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reduced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behavioral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issues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improved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regulation.</w:t>
      </w:r>
    </w:p>
    <w:p>
      <w:pPr>
        <w:spacing w:before="54" w:lineRule="auto" w:line="276"/>
        <w:jc w:val="both"/>
        <w:rPr>
          <w:rFonts w:ascii="Times New Roman" w:cs="Times New Roman" w:hAnsi="Times New Roman"/>
          <w:color w:val="000000"/>
          <w:sz w:val="20"/>
          <w:szCs w:val="20"/>
        </w:rPr>
      </w:pP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Overall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Well-being</w:t>
      </w:r>
    </w:p>
    <w:p>
      <w:pPr>
        <w:spacing w:before="54" w:lineRule="auto" w:line="276"/>
        <w:jc w:val="both"/>
        <w:rPr>
          <w:rFonts w:ascii="Times New Roman" w:cs="Times New Roman" w:hAnsi="Times New Roman"/>
          <w:color w:val="000000"/>
          <w:sz w:val="20"/>
          <w:szCs w:val="20"/>
        </w:rPr>
      </w:pP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tab/>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marked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increase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overall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well-being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scores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experimental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group</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underscores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comprehensive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impact</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SILAW</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KEN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NAMNAMA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By</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addressing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multiple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aspects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of</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well-being,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including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emotional,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social,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academic</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dimensions,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the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intervention</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helped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pupils</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achieve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more</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balanced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and</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fulfilling</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school</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 xml:space="preserve"> </w:t>
      </w:r>
      <w:r>
        <w:rPr>
          <w:rFonts w:ascii="Times New Roman" w:cs="Times New Roman" w:eastAsia="Calibri" w:hAnsi="Times New Roman" w:hint="default"/>
          <w:b/>
          <w:bCs/>
          <w:i w:val="false"/>
          <w:iCs w:val="false"/>
          <w:color w:val="000000"/>
          <w:sz w:val="20"/>
          <w:szCs w:val="20"/>
          <w:highlight w:val="none"/>
          <w:vertAlign w:val="baseline"/>
          <w:em w:val="none"/>
          <w:lang w:val="en-US" w:eastAsia="en-US"/>
        </w:rPr>
        <w:t>experience.</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rFonts w:ascii="Times New Roman" w:cs="Times New Roman" w:hAnsi="Times New Roman"/>
          <w:b/>
          <w:bCs/>
          <w:color w:val="000000"/>
          <w:sz w:val="24"/>
          <w:szCs w:val="24"/>
        </w:rPr>
      </w:pPr>
      <w:r>
        <w:rPr>
          <w:rFonts w:ascii="Times New Roman" w:cs="Times New Roman" w:hAnsi="Times New Roman"/>
          <w:b/>
          <w:bCs/>
          <w:color w:val="000000"/>
          <w:sz w:val="24"/>
          <w:szCs w:val="24"/>
        </w:rPr>
        <w:t>CONCLUSION</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The SILAW KEN NAMNAMA project has demonstrated substantial impact in addressing the complex needs of behavioral pupils through a comprehensive and holistic support system. By integrating key components such as support, inspiration, love, advice, and well-being promotion, the intervention has significantly reduced behavioral incidents, enhanced emotional regulation, improved social skills, and boosted academic performance. These outcomes are pivotal in fostering personal growth, resilience, and overall well-being among students who face behavioral challenges.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The quantitative results in the SILAW KEN NAMNAMA intervention, show remarkable improvements across various dimensions. The marked decrease in behavioral incidents and the significant gains in emotional regulation, social skills, academic performance, and overall well-being underscore the intervention's efficacy. These findings highlight the critical role of a nurturing and supportive environment in helping pupils navigate their challenges and achieve their full potential.</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Moreover, the qualitative insights gathered from participants reinforce the positive impact of SILAW KEN NAMNAMA. Students reported feeling more understood, valued, and empowered, which contributed to their improved behavior and academic success. This underscores the importance of empathy, kindness, and personalized support in educational interventions.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However,  future studies should explore the long-term sustainability of the intervention's benefits and examine how individual differences affect outcomes. Additionally, investigating the fidelity of the intervention's implementation across diverse settings can provide valuable insights into optimizing its delivery. Comparative studies with other established interventions could also help identify unique strengths and areas for improvement.</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In essence, the SILAW KEN NAMNAMA project has made a significant contribution to the field of guidance and counseling, particularly for behavioral pupils. It has provided compelling evidence that a holistic approach, which addresses emotional, social, and academic dimensions, can lead to meaningful and lasting improvements in students' lives. The project underscores the importance of comprehensive support systems in educational settings and highlights the potential for such interventions to foster a more inclusive, supportive, and effective learning environment.</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The success of SILAW KEN NAMNAMA calls for broader application and further research to maximize its impact. By continuing to refine and expand this approach, educators and counselors can better meet the needs of behavioral pupils, ultimately contributing to their personal growth, academic achievement, and overall well-being. The positive outcomes observed in this study are a testament to the transformative power of empathy, support, and holistic care in the realm of education and counseling.</w:t>
      </w:r>
    </w:p>
    <w:p>
      <w:pPr>
        <w:pStyle w:val="style0"/>
        <w:spacing w:before="54" w:after="0" w:lineRule="auto" w:line="276"/>
        <w:rPr>
          <w:rFonts w:ascii="Times New Roman" w:cs="Times New Roman" w:hAnsi="Times New Roman"/>
          <w:b/>
          <w:bCs/>
          <w:color w:val="000000"/>
          <w:sz w:val="24"/>
          <w:szCs w:val="24"/>
        </w:rPr>
      </w:pPr>
    </w:p>
    <w:p>
      <w:pPr>
        <w:pStyle w:val="style0"/>
        <w:spacing w:before="54" w:after="0" w:lineRule="auto" w:line="276"/>
        <w:rPr>
          <w:rFonts w:ascii="Times New Roman" w:cs="Times New Roman" w:hAnsi="Times New Roman"/>
          <w:color w:val="000000"/>
          <w:sz w:val="20"/>
          <w:szCs w:val="20"/>
        </w:rPr>
      </w:pPr>
      <w:r>
        <w:rPr>
          <w:rFonts w:ascii="Times New Roman" w:cs="Times New Roman" w:hAnsi="Times New Roman"/>
          <w:b/>
          <w:bCs/>
          <w:color w:val="000000"/>
          <w:sz w:val="24"/>
          <w:szCs w:val="24"/>
        </w:rPr>
        <w:t>ACKNOWLEDGEMENTS (optiona</w:t>
      </w:r>
      <w:r>
        <w:rPr>
          <w:rFonts w:ascii="Times New Roman" w:cs="Times New Roman" w:hAnsi="Times New Roman"/>
          <w:b/>
          <w:bCs/>
          <w:color w:val="000000"/>
          <w:sz w:val="24"/>
          <w:szCs w:val="24"/>
          <w:lang w:val="en-US"/>
        </w:rPr>
        <w:t>l)</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I would like to express our deepest gratitude to all those who have supported and contributed to the success of the SILAW KEN NAMNAMA project. First and foremost, we extend our heartfelt appreciation to the pupils who participated in this study. Your willingness to engage with the intervention and share your experiences has been invaluable.</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My sincere thanks go to the school Principal, teachers, and staff for their unwavering support and collaboration. Your commitment to providing a nurturing and inclusive environment for all students made the implementation of SILAW KEN NAMNAMA possible. We are particularly grateful to the guidance counselors who played a pivotal role in delivering the intervention and offering ongoing support to the pupils.</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I also acknowledge the contributions of the parents and guardians of the pupils involved in the study. Your trust and cooperation were essential in facilitating your children’s participation and ensuring the success of the project.</w:t>
      </w: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Lastly, I  would like to thank the Pastors who provided valuable guidance throughout the seminar sessions. Your insights and recommendations have greatly enhanced the quality and success of the project.</w:t>
      </w:r>
    </w:p>
    <w:p>
      <w:pPr>
        <w:pStyle w:val="style0"/>
        <w:spacing w:before="54" w:after="0" w:lineRule="auto" w:line="276"/>
        <w:jc w:val="both"/>
        <w:rPr>
          <w:rFonts w:ascii="Times New Roman" w:cs="Times New Roman" w:hAnsi="Times New Roman"/>
          <w:color w:val="000000"/>
          <w:sz w:val="20"/>
          <w:szCs w:val="20"/>
        </w:rPr>
      </w:pPr>
    </w:p>
    <w:p>
      <w:pPr>
        <w:pStyle w:val="style0"/>
        <w:spacing w:before="54" w:after="0" w:lineRule="auto" w:line="276"/>
        <w:jc w:val="both"/>
        <w:rPr>
          <w:rFonts w:ascii="Times New Roman" w:cs="Times New Roman" w:hAnsi="Times New Roman"/>
          <w:color w:val="000000"/>
          <w:sz w:val="20"/>
          <w:szCs w:val="20"/>
        </w:rPr>
      </w:pPr>
      <w:r>
        <w:rPr>
          <w:rFonts w:ascii="Times New Roman" w:cs="Times New Roman" w:hAnsi="Times New Roman"/>
          <w:color w:val="000000"/>
          <w:sz w:val="20"/>
          <w:szCs w:val="20"/>
          <w:lang w:val="en-US"/>
        </w:rPr>
        <w:tab/>
        <w:t xml:space="preserve">The success of the SILAW KEN NAMNAMA project is a testament to the collective efforts of all involved. I am deeply appreciative of your contributions and look forward to continuing our collaborative efforts to promote the well-being and academic success of all pupils. </w:t>
      </w:r>
    </w:p>
    <w:p>
      <w:pPr>
        <w:pStyle w:val="style0"/>
        <w:spacing w:before="54" w:after="0" w:lineRule="auto" w:line="276"/>
        <w:jc w:val="both"/>
        <w:rPr>
          <w:rFonts w:ascii="Times New Roman" w:cs="Times New Roman" w:hAnsi="Times New Roman"/>
          <w:color w:val="000000"/>
          <w:sz w:val="20"/>
          <w:szCs w:val="20"/>
        </w:rPr>
      </w:pPr>
    </w:p>
    <w:p>
      <w:pPr>
        <w:pStyle w:val="style179"/>
        <w:numPr>
          <w:ilvl w:val="0"/>
          <w:numId w:val="2"/>
        </w:numPr>
        <w:spacing w:before="54" w:after="0" w:lineRule="auto" w:line="276"/>
        <w:rPr/>
      </w:pPr>
      <w:r>
        <w:rPr>
          <w:rFonts w:ascii="Times New Roman" w:cs="Times New Roman" w:hAnsi="Times New Roman"/>
          <w:b/>
          <w:bCs/>
          <w:color w:val="000000"/>
          <w:sz w:val="24"/>
          <w:szCs w:val="24"/>
        </w:rPr>
        <w:t>REFERENCES</w:t>
      </w:r>
    </w:p>
    <w:p>
      <w:pPr>
        <w:pStyle w:val="style0"/>
        <w:tabs>
          <w:tab w:val="left" w:leader="none" w:pos="6360"/>
        </w:tabs>
        <w:rPr/>
      </w:pPr>
      <w:r>
        <w:rPr>
          <w:lang w:val="en-US"/>
        </w:rPr>
        <w:t xml:space="preserve">   </w:t>
      </w:r>
    </w:p>
    <w:p>
      <w:pPr>
        <w:pStyle w:val="style0"/>
        <w:tabs>
          <w:tab w:val="left" w:leader="none" w:pos="6360"/>
        </w:tabs>
        <w:rPr/>
      </w:pPr>
      <w:r>
        <w:rPr>
          <w:lang w:val="en-US"/>
        </w:rPr>
        <w:t>1.Brown, T., &amp; Trusty, J.(2005). The school counselor’s role in promoting academic success. Professional School Counseling, 9(1), 1-6. doi:10.5330/prsc.9.1.j2742235v7274p41</w:t>
      </w:r>
    </w:p>
    <w:p>
      <w:pPr>
        <w:pStyle w:val="style0"/>
        <w:tabs>
          <w:tab w:val="left" w:leader="none" w:pos="6360"/>
        </w:tabs>
        <w:rPr/>
      </w:pPr>
      <w:r>
        <w:rPr>
          <w:lang w:val="en-US"/>
        </w:rPr>
        <w:t>2.Carter, J.(2013). Effective strategies for counseling in schools. Journal of Educational Psychology, 105(2), 120-130. doi:10.1037/a0032693</w:t>
      </w:r>
    </w:p>
    <w:p>
      <w:pPr>
        <w:pStyle w:val="style0"/>
        <w:tabs>
          <w:tab w:val="left" w:leader="none" w:pos="6360"/>
        </w:tabs>
        <w:rPr/>
      </w:pPr>
      <w:r>
        <w:rPr>
          <w:lang w:val="en-US"/>
        </w:rPr>
        <w:t>3.Cooper, M. (2017). School-based counseling: Evidence, interventions and the way forward. London: Sage Publications.</w:t>
      </w:r>
    </w:p>
    <w:p>
      <w:pPr>
        <w:pStyle w:val="style0"/>
        <w:tabs>
          <w:tab w:val="left" w:leader="none" w:pos="6360"/>
        </w:tabs>
        <w:rPr/>
      </w:pPr>
      <w:r>
        <w:rPr>
          <w:lang w:val="en-US"/>
        </w:rPr>
        <w:t>4. Dimmitt, C., Carey, J. C., &amp; Hatch, T. (2007). Evidence-based school counseling: Making a difference with data-driven practices.  Thousand Oaks, CA: Corwin Press.</w:t>
      </w:r>
    </w:p>
    <w:p>
      <w:pPr>
        <w:pStyle w:val="style0"/>
        <w:tabs>
          <w:tab w:val="left" w:leader="none" w:pos="6360"/>
        </w:tabs>
        <w:rPr/>
      </w:pPr>
      <w:r>
        <w:rPr>
          <w:lang w:val="en-US"/>
        </w:rPr>
        <w:t>5. Gysbers, N. C., &amp; Henderson, P.(2012). Comprehensive school counseling programs: K-12 delivery systems in action. Boston: Pearson.</w:t>
      </w:r>
    </w:p>
    <w:p>
      <w:pPr>
        <w:pStyle w:val="style0"/>
        <w:tabs>
          <w:tab w:val="left" w:leader="none" w:pos="6360"/>
        </w:tabs>
        <w:rPr/>
      </w:pPr>
      <w:r>
        <w:rPr>
          <w:lang w:val="en-US"/>
        </w:rPr>
        <w:t>6. Lapan, R. T., Gysbers, N. C., &amp; Petroski, G. F.(2001). Helping seventh graders be safe and successful: A statewide study of the impact of comprehensive guidance and counseling programs. Journal of Counseling and Development, 79(3), 320-330. doi:10.1002/j.1556-6676.2001.tb01978.</w:t>
      </w:r>
    </w:p>
    <w:p>
      <w:pPr>
        <w:pStyle w:val="style0"/>
        <w:tabs>
          <w:tab w:val="left" w:leader="none" w:pos="6360"/>
        </w:tabs>
        <w:rPr/>
      </w:pPr>
      <w:r>
        <w:rPr>
          <w:lang w:val="en-US"/>
        </w:rPr>
        <w:t>7. Sink, C. A., &amp; Stroh, H. R. (2003). Raising achievement test scores of early elementary school students through comprehensive school counseling programs. Professional School Counseling, 6(5), 350-364.</w:t>
      </w:r>
    </w:p>
    <w:p>
      <w:pPr>
        <w:pStyle w:val="style0"/>
        <w:tabs>
          <w:tab w:val="left" w:leader="none" w:pos="6360"/>
        </w:tabs>
        <w:rPr/>
      </w:pPr>
      <w:r>
        <w:rPr>
          <w:lang w:val="en-US"/>
        </w:rPr>
        <w:t>8. Whiston, S. C., Tai, W. L., Rahardja, D., &amp; Eder, K. (2011). School counseling outcome: A meta-analytic examination of interventions. Journal of Counseling &amp; Development, 89 (1), 37-55. doi:10.1002/j.1556-6678.2011.tb00059.</w:t>
      </w:r>
    </w:p>
    <w:sectPr>
      <w:headerReference w:type="even" r:id="rId2"/>
      <w:headerReference w:type="default" r:id="rId3"/>
      <w:footerReference w:type="even" r:id="rId4"/>
      <w:footerReference w:type="default" r:id="rId5"/>
      <w:headerReference w:type="first" r:id="rId6"/>
      <w:type w:val="continuous"/>
      <w:pgSz w:w="11907" w:h="16839" w:orient="portrait"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Unicode MS">
    <w:altName w:val="Arial Unicode MS"/>
    <w:panose1 w:val="020b0604020000020204"/>
    <w:charset w:val="80"/>
    <w:family w:val="swiss"/>
    <w:pitch w:val="variable"/>
    <w:sig w:usb0="F7FFAFFF" w:usb1="E9DFFFFF" w:usb2="0000003F" w:usb3="00000000" w:csb0="003F01FF" w:csb1="00000000"/>
  </w:font>
  <w:font w:name="Calibri">
    <w:altName w:val="Calibri"/>
    <w:panose1 w:val="020f0502020000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000010101"/>
    <w:charset w:val="88"/>
    <w:family w:val="roman"/>
    <w:pitch w:val="variable"/>
    <w:sig w:usb0="A00002FF" w:usb1="28CFFCFA" w:usb2="00000016" w:usb3="00000000" w:csb0="00100001" w:csb1="00000000"/>
  </w:font>
  <w:font w:name="SimSun">
    <w:altName w:val="宋体"/>
    <w:panose1 w:val="02010600030000010101"/>
    <w:charset w:val="86"/>
    <w:family w:val="auto"/>
    <w:pitch w:val="variable"/>
    <w:sig w:usb0="00000003" w:usb1="288F0000" w:usb2="00000016" w:usb3="00000000" w:csb0="00040001" w:csb1="00000000"/>
  </w:font>
  <w:font w:name="Kartika">
    <w:altName w:val="Kartika"/>
    <w:panose1 w:val="00000000000000000000"/>
    <w:charset w:val="00"/>
    <w:family w:val="roman"/>
    <w:pitch w:val="variable"/>
    <w:sig w:usb0="00800003" w:usb1="00000000" w:usb2="00000000" w:usb3="00000000" w:csb0="00000001" w:csb1="00000000"/>
  </w:font>
  <w:font w:name="Tahoma">
    <w:altName w:val="Tahoma"/>
    <w:panose1 w:val="020b0604030000040204"/>
    <w:charset w:val="00"/>
    <w:family w:val="swiss"/>
    <w:pitch w:val="variable"/>
    <w:sig w:usb0="E1002EFF" w:usb1="C000605B" w:usb2="00000029" w:usb3="00000000" w:csb0="000101FF" w:csb1="00000000"/>
  </w:font>
  <w:font w:name="Calibri Light">
    <w:altName w:val="Calibri Light"/>
    <w:panose1 w:val="020f0302020000030204"/>
    <w:charset w:val="00"/>
    <w:family w:val="swiss"/>
    <w:pitch w:val="variable"/>
    <w:sig w:usb0="E4002EFF" w:usb1="C200247B" w:usb2="00000009"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pBdr>
        <w:top w:val="single" w:sz="4" w:space="1" w:color="auto"/>
      </w:pBdr>
      <w:rPr/>
    </w:pPr>
    <w:r>
      <w:rPr>
        <w:rFonts w:ascii="Times New Roman" w:cs="Times New Roman" w:eastAsia="Calibri" w:hAnsi="Times New Roman"/>
        <w:b/>
        <w:color w:val="1f497d"/>
        <w:sz w:val="20"/>
        <w:szCs w:val="20"/>
        <w:lang w:val="fr-FR" w:bidi="ml-IN"/>
      </w:rPr>
      <w:t xml:space="preserve">@International Journal Of Progressive Research In Engineering Management And Science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rFonts w:ascii="Times New Roman" w:cs="Times New Roman" w:eastAsia="Calibri" w:hAnsi="Times New Roman"/>
        <w:b/>
        <w:color w:val="1f497d"/>
        <w:sz w:val="20"/>
        <w:szCs w:val="20"/>
        <w:lang w:val="fr-FR" w:bidi="ml-IN"/>
      </w:rPr>
      <w:t xml:space="preserve">  </w:t>
    </w:r>
    <w:r>
      <w:rPr>
        <w:b/>
        <w:bCs/>
      </w:rPr>
      <w:t xml:space="preserve">Page | </w:t>
    </w:r>
    <w:r>
      <w:rPr>
        <w:b/>
        <w:bCs/>
      </w:rPr>
      <w:fldChar w:fldCharType="begin"/>
    </w:r>
    <w:r>
      <w:rPr>
        <w:b/>
        <w:bCs/>
      </w:rPr>
      <w:instrText xml:space="preserve"> PAGE   \* MERGEFORMAT </w:instrText>
    </w:r>
    <w:r>
      <w:rPr>
        <w:b/>
        <w:bCs/>
      </w:rPr>
      <w:fldChar w:fldCharType="separate"/>
    </w:r>
    <w:r>
      <w:rPr>
        <w:b/>
        <w:bCs/>
        <w:noProof/>
      </w:rPr>
      <w:t>1</w:t>
    </w:r>
    <w:r>
      <w:rPr>
        <w:b/>
        <w:bCs/>
        <w:noProof/>
      </w:rPr>
      <w:fldChar w:fldCharType="end"/>
    </w:r>
    <w:r>
      <w:rPr>
        <w:b/>
        <w:bCs/>
      </w:rPr>
      <w:t xml:space="preserve"> </w: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Style w:val="style15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trPr>
        <w:trHeight w:val="435" w:hRule="atLeast"/>
        <w:jc w:val="center"/>
      </w:trPr>
      <w:tc>
        <w:tcPr>
          <w:tcW w:w="2405" w:type="dxa"/>
          <w:vMerge w:val="restart"/>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noProof/>
              <w:color w:val="1f497d"/>
            </w:rPr>
            <w:drawing>
              <wp:inline distL="0" distT="0" distB="0" distR="0">
                <wp:extent cx="1247775" cy="544195"/>
                <wp:effectExtent l="0" t="0" r="9525" b="8255"/>
                <wp:docPr id="409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1"/>
                        <pic:cNvPicPr/>
                      </pic:nvPicPr>
                      <pic:blipFill>
                        <a:blip r:embed="rId1" cstate="print"/>
                        <a:srcRect l="0" t="0" r="0" b="0"/>
                        <a:stretch/>
                      </pic:blipFill>
                      <pic:spPr>
                        <a:xfrm rot="0">
                          <a:off x="0" y="0"/>
                          <a:ext cx="1247775" cy="544195"/>
                        </a:xfrm>
                        <a:prstGeom prst="rect"/>
                      </pic:spPr>
                    </pic:pic>
                  </a:graphicData>
                </a:graphic>
              </wp:inline>
            </w:drawing>
          </w:r>
        </w:p>
        <w:bookmarkStart w:id="0" w:name="_Hlk63187445"/>
      </w:tc>
      <w:tc>
        <w:tcPr>
          <w:tcW w:w="5812"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INTERNATIONAL JOURNAL OF PROGRESSIVE RESEARCH IN ENGINEERING MANAGEMENT </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AND SCIENCE (IJPREMS)</w:t>
          </w:r>
        </w:p>
        <w:p>
          <w:pPr>
            <w:pStyle w:val="style0"/>
            <w:tabs>
              <w:tab w:val="left" w:leader="none" w:pos="4820"/>
              <w:tab w:val="right" w:leader="none" w:pos="9360"/>
            </w:tabs>
            <w:jc w:val="center"/>
            <w:rPr>
              <w:rFonts w:ascii="Times New Roman" w:cs="Times New Roman" w:hAnsi="Times New Roman"/>
              <w:bCs/>
              <w:sz w:val="16"/>
              <w:szCs w:val="24"/>
              <w:lang w:val="fr-FR" w:eastAsia="en-IN"/>
            </w:rPr>
          </w:pPr>
        </w:p>
        <w:p>
          <w:pPr>
            <w:pStyle w:val="style0"/>
            <w:tabs>
              <w:tab w:val="left" w:leader="none" w:pos="4820"/>
              <w:tab w:val="right" w:leader="none" w:pos="9360"/>
            </w:tabs>
            <w:jc w:val="center"/>
            <w:rPr>
              <w:rFonts w:ascii="Times New Roman" w:cs="Times New Roman" w:hAnsi="Times New Roman"/>
              <w:b/>
              <w:color w:val="1f497d"/>
              <w:sz w:val="24"/>
              <w:szCs w:val="24"/>
              <w:lang w:val="fr-FR"/>
            </w:rPr>
          </w:pPr>
          <w:r>
            <w:rPr>
              <w:rFonts w:ascii="Times New Roman" w:cs="Times New Roman" w:hAnsi="Times New Roman"/>
              <w:bCs/>
              <w:sz w:val="24"/>
              <w:szCs w:val="24"/>
              <w:lang w:val="fr-FR" w:eastAsia="en-IN"/>
            </w:rPr>
            <w:t>Vol. 0</w:t>
          </w:r>
          <w:r>
            <w:rPr>
              <w:rFonts w:ascii="Times New Roman" w:cs="Times New Roman" w:hAnsi="Times New Roman"/>
              <w:bCs/>
              <w:sz w:val="24"/>
              <w:szCs w:val="24"/>
              <w:lang w:val="fr-FR" w:eastAsia="en-IN"/>
            </w:rPr>
            <w:t>4</w:t>
          </w:r>
          <w:r>
            <w:rPr>
              <w:rFonts w:ascii="Times New Roman" w:cs="Times New Roman" w:hAnsi="Times New Roman"/>
              <w:bCs/>
              <w:sz w:val="24"/>
              <w:szCs w:val="24"/>
              <w:lang w:val="fr-FR" w:eastAsia="en-IN"/>
            </w:rPr>
            <w:t xml:space="preserve">, Issue </w:t>
          </w:r>
          <w:r>
            <w:rPr>
              <w:rFonts w:ascii="Times New Roman" w:cs="Times New Roman" w:hAnsi="Times New Roman"/>
              <w:bCs/>
              <w:sz w:val="24"/>
              <w:szCs w:val="24"/>
              <w:lang w:val="fr-FR" w:eastAsia="en-IN"/>
            </w:rPr>
            <w:t>0</w:t>
          </w:r>
          <w:r>
            <w:rPr>
              <w:rFonts w:ascii="Times New Roman" w:cs="Times New Roman" w:hAnsi="Times New Roman"/>
              <w:bCs/>
              <w:sz w:val="24"/>
              <w:szCs w:val="24"/>
              <w:lang w:val="fr-FR" w:eastAsia="en-IN"/>
            </w:rPr>
            <w:t>1</w:t>
          </w:r>
          <w:r>
            <w:rPr>
              <w:rFonts w:ascii="Times New Roman" w:cs="Times New Roman" w:hAnsi="Times New Roman"/>
              <w:bCs/>
              <w:sz w:val="24"/>
              <w:szCs w:val="24"/>
              <w:lang w:val="fr-FR" w:eastAsia="en-IN"/>
            </w:rPr>
            <w:t xml:space="preserve">, </w:t>
          </w:r>
          <w:r>
            <w:rPr>
              <w:rFonts w:ascii="Times New Roman" w:cs="Times New Roman" w:hAnsi="Times New Roman"/>
              <w:bCs/>
              <w:sz w:val="24"/>
              <w:szCs w:val="24"/>
              <w:lang w:val="fr-FR" w:eastAsia="en-IN"/>
            </w:rPr>
            <w:t>January</w:t>
          </w:r>
          <w:r>
            <w:rPr>
              <w:rFonts w:ascii="Times New Roman" w:cs="Times New Roman" w:hAnsi="Times New Roman"/>
              <w:bCs/>
              <w:sz w:val="24"/>
              <w:szCs w:val="24"/>
              <w:lang w:val="fr-FR" w:eastAsia="en-IN"/>
            </w:rPr>
            <w:t xml:space="preserve"> 202</w:t>
          </w:r>
          <w:r>
            <w:rPr>
              <w:rFonts w:ascii="Times New Roman" w:cs="Times New Roman" w:hAnsi="Times New Roman"/>
              <w:bCs/>
              <w:sz w:val="24"/>
              <w:szCs w:val="24"/>
              <w:lang w:val="fr-FR" w:eastAsia="en-IN"/>
            </w:rPr>
            <w:t>4</w:t>
          </w:r>
          <w:r>
            <w:rPr>
              <w:rFonts w:ascii="Times New Roman" w:cs="Times New Roman" w:hAnsi="Times New Roman"/>
              <w:bCs/>
              <w:sz w:val="24"/>
              <w:szCs w:val="24"/>
              <w:lang w:val="fr-FR" w:eastAsia="en-IN"/>
            </w:rPr>
            <w:t xml:space="preserve">, pp : </w:t>
          </w:r>
          <w:r>
            <w:rPr>
              <w:rFonts w:ascii="Times New Roman" w:cs="Times New Roman" w:hAnsi="Times New Roman"/>
              <w:bCs/>
              <w:sz w:val="24"/>
              <w:szCs w:val="24"/>
              <w:lang w:val="fr-FR" w:eastAsia="en-IN"/>
            </w:rPr>
            <w:t>xx</w:t>
          </w:r>
          <w:r>
            <w:rPr>
              <w:rFonts w:ascii="Times New Roman" w:cs="Times New Roman" w:hAnsi="Times New Roman"/>
              <w:bCs/>
              <w:sz w:val="24"/>
              <w:szCs w:val="24"/>
              <w:lang w:val="fr-FR" w:eastAsia="en-IN"/>
            </w:rPr>
            <w:t>-</w:t>
          </w:r>
          <w:r>
            <w:rPr>
              <w:rFonts w:ascii="Times New Roman" w:cs="Times New Roman" w:hAnsi="Times New Roman"/>
              <w:bCs/>
              <w:sz w:val="24"/>
              <w:szCs w:val="24"/>
              <w:lang w:val="fr-FR" w:eastAsia="en-IN"/>
            </w:rPr>
            <w:t>xx</w:t>
          </w:r>
        </w:p>
        <w:bookmarkEnd w:id="0"/>
      </w:tc>
      <w:tc>
        <w:tcPr>
          <w:tcW w:w="1866" w:type="dxa"/>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e-ISSN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2583-1062</w:t>
          </w:r>
        </w:p>
      </w:tc>
    </w:tr>
    <w:tr>
      <w:tblPrEx/>
      <w:trPr>
        <w:trHeight w:val="435" w:hRule="atLeast"/>
        <w:jc w:val="center"/>
      </w:trPr>
      <w:tc>
        <w:tcPr>
          <w:tcW w:w="2405" w:type="dxa"/>
          <w:vMerge w:val="continue"/>
          <w:tcBorders/>
          <w:vAlign w:val="center"/>
        </w:tcPr>
        <w:p>
          <w:pPr>
            <w:pStyle w:val="style0"/>
            <w:tabs>
              <w:tab w:val="left" w:leader="none" w:pos="4820"/>
              <w:tab w:val="right" w:leader="none" w:pos="9360"/>
            </w:tabs>
            <w:ind w:left="-120"/>
            <w:jc w:val="center"/>
            <w:rPr>
              <w:rFonts w:ascii="Times New Roman" w:cs="Times New Roman" w:hAnsi="Times New Roman"/>
              <w:b/>
              <w:noProof/>
              <w:color w:val="1f497d"/>
              <w:lang w:val="fr-FR"/>
            </w:rPr>
          </w:pPr>
        </w:p>
      </w:tc>
      <w:tc>
        <w:tcPr>
          <w:tcW w:w="5812"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lang w:val="fr-FR"/>
            </w:rPr>
          </w:pPr>
        </w:p>
      </w:tc>
      <w:tc>
        <w:tcPr>
          <w:tcW w:w="1866" w:type="dxa"/>
          <w:vMerge w:val="restart"/>
          <w:tcBorders/>
          <w:vAlign w:val="center"/>
        </w:tcPr>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Impact</w:t>
          </w:r>
        </w:p>
        <w:p>
          <w:pPr>
            <w:pStyle w:val="style0"/>
            <w:tabs>
              <w:tab w:val="left" w:leader="none" w:pos="4820"/>
              <w:tab w:val="right" w:leader="none" w:pos="9360"/>
            </w:tabs>
            <w:jc w:val="center"/>
            <w:rPr>
              <w:rFonts w:ascii="Times New Roman" w:cs="Times New Roman" w:hAnsi="Times New Roman"/>
              <w:b/>
              <w:color w:val="1f497d"/>
              <w:sz w:val="22"/>
              <w:szCs w:val="22"/>
              <w:lang w:val="fr-FR"/>
            </w:rPr>
          </w:pPr>
          <w:r>
            <w:rPr>
              <w:rFonts w:ascii="Times New Roman" w:cs="Times New Roman" w:hAnsi="Times New Roman"/>
              <w:b/>
              <w:color w:val="1f497d"/>
              <w:sz w:val="22"/>
              <w:szCs w:val="22"/>
              <w:lang w:val="fr-FR"/>
            </w:rPr>
            <w:t xml:space="preserve">  </w:t>
          </w:r>
          <w:r>
            <w:rPr>
              <w:rFonts w:ascii="Times New Roman" w:cs="Times New Roman" w:hAnsi="Times New Roman"/>
              <w:b/>
              <w:color w:val="1f497d"/>
              <w:sz w:val="22"/>
              <w:szCs w:val="22"/>
              <w:lang w:val="fr-FR"/>
            </w:rPr>
            <w:t>Factor :</w:t>
          </w:r>
        </w:p>
        <w:p>
          <w:pPr>
            <w:pStyle w:val="style0"/>
            <w:tabs>
              <w:tab w:val="left" w:leader="none" w:pos="4820"/>
              <w:tab w:val="right" w:leader="none" w:pos="9360"/>
            </w:tabs>
            <w:jc w:val="center"/>
            <w:rPr>
              <w:rFonts w:ascii="Times New Roman" w:cs="Times New Roman" w:hAnsi="Times New Roman"/>
              <w:b/>
              <w:color w:val="1f497d"/>
              <w:lang w:val="fr-FR"/>
            </w:rPr>
          </w:pPr>
          <w:r>
            <w:rPr>
              <w:rFonts w:ascii="Times New Roman" w:cs="Times New Roman" w:hAnsi="Times New Roman"/>
              <w:b/>
              <w:color w:val="1f497d"/>
              <w:lang w:val="fr-FR"/>
            </w:rPr>
            <w:t>5.7</w:t>
          </w:r>
          <w:r>
            <w:rPr>
              <w:rFonts w:ascii="Times New Roman" w:cs="Times New Roman" w:hAnsi="Times New Roman"/>
              <w:b/>
              <w:color w:val="1f497d"/>
              <w:lang w:val="fr-FR"/>
            </w:rPr>
            <w:t>25</w:t>
          </w:r>
        </w:p>
      </w:tc>
    </w:tr>
    <w:tr>
      <w:tblPrEx/>
      <w:trPr>
        <w:trHeight w:val="340"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www.i</w:t>
          </w:r>
          <w:r>
            <w:rPr>
              <w:rFonts w:ascii="Times New Roman" w:cs="Times New Roman" w:hAnsi="Times New Roman"/>
              <w:b/>
              <w:color w:val="1f497d"/>
              <w:sz w:val="22"/>
              <w:szCs w:val="22"/>
              <w:lang w:val="fr-FR"/>
            </w:rPr>
            <w:t>jprems</w:t>
          </w:r>
          <w:r>
            <w:rPr>
              <w:rFonts w:ascii="Times New Roman" w:cs="Times New Roman" w:hAnsi="Times New Roman"/>
              <w:b/>
              <w:color w:val="1f497d"/>
              <w:sz w:val="22"/>
              <w:szCs w:val="22"/>
              <w:lang w:val="fr-FR"/>
            </w:rPr>
            <w:t>.com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vAlign w:val="center"/>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r>
      <w:tblPrEx/>
      <w:trPr>
        <w:trHeight w:val="113" w:hRule="atLeast"/>
        <w:jc w:val="center"/>
      </w:trPr>
      <w:tc>
        <w:tcPr>
          <w:tcW w:w="2405" w:type="dxa"/>
          <w:tcBorders/>
          <w:vAlign w:val="center"/>
        </w:tcPr>
        <w:p>
          <w:pPr>
            <w:pStyle w:val="style0"/>
            <w:tabs>
              <w:tab w:val="left" w:leader="none" w:pos="4820"/>
              <w:tab w:val="right" w:leader="none" w:pos="9360"/>
            </w:tabs>
            <w:ind w:left="-120"/>
            <w:jc w:val="center"/>
            <w:rPr>
              <w:rFonts w:ascii="Times New Roman" w:cs="Times New Roman" w:hAnsi="Times New Roman"/>
              <w:b/>
              <w:color w:val="1f497d"/>
              <w:lang w:val="fr-FR"/>
            </w:rPr>
          </w:pPr>
          <w:r>
            <w:rPr>
              <w:rFonts w:ascii="Times New Roman" w:cs="Times New Roman" w:hAnsi="Times New Roman"/>
              <w:b/>
              <w:color w:val="1f497d"/>
              <w:sz w:val="22"/>
              <w:szCs w:val="22"/>
              <w:lang w:val="fr-FR"/>
            </w:rPr>
            <w:t>editor@ijprems.com</w:t>
          </w:r>
        </w:p>
      </w:tc>
      <w:tc>
        <w:tcPr>
          <w:tcW w:w="5812"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c>
        <w:tcPr>
          <w:tcW w:w="1866" w:type="dxa"/>
          <w:vMerge w:val="continue"/>
          <w:tcBorders/>
        </w:tcPr>
        <w:p>
          <w:pPr>
            <w:pStyle w:val="style0"/>
            <w:tabs>
              <w:tab w:val="left" w:leader="none" w:pos="4820"/>
              <w:tab w:val="right" w:leader="none" w:pos="9360"/>
            </w:tabs>
            <w:jc w:val="center"/>
            <w:rPr>
              <w:rFonts w:ascii="Times New Roman" w:cs="Times New Roman" w:hAnsi="Times New Roman"/>
              <w:b/>
              <w:color w:val="1f497d"/>
              <w:sz w:val="12"/>
              <w:szCs w:val="12"/>
              <w:lang w:val="fr-FR"/>
            </w:rPr>
          </w:pPr>
        </w:p>
      </w:tc>
    </w:tr>
  </w:tbl>
  <w:p>
    <w:pPr>
      <w:pStyle w:val="style31"/>
      <w:pBdr>
        <w:top w:val="single" w:sz="4" w:space="1" w:color="auto"/>
      </w:pBdr>
      <w:rPr>
        <w:sz w:val="10"/>
        <w:szCs w:val="1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890408E0"/>
    <w:lvl w:ilvl="0">
      <w:start w:val="1"/>
      <w:numFmt w:val="upperRoman"/>
      <w:lvlText w:val="%1."/>
      <w:lvlJc w:val="center"/>
      <w:pPr>
        <w:tabs>
          <w:tab w:val="left" w:leader="none" w:pos="648"/>
        </w:tabs>
        <w:ind w:left="648" w:hanging="288"/>
      </w:pPr>
      <w:rPr>
        <w:rFonts w:hint="default"/>
      </w:rPr>
    </w:lvl>
    <w:lvl w:ilvl="1">
      <w:start w:val="1"/>
      <w:numFmt w:val="lowerLetter"/>
      <w:lvlText w:val="%2."/>
      <w:lvlJc w:val="left"/>
      <w:pPr>
        <w:tabs>
          <w:tab w:val="left" w:leader="none" w:pos="1440"/>
        </w:tabs>
        <w:ind w:left="1440" w:hanging="360"/>
      </w:pPr>
    </w:lvl>
    <w:lvl w:ilvl="2">
      <w:start w:val="1"/>
      <w:numFmt w:val="lowerRoman"/>
      <w:lvlText w:val="%3."/>
      <w:lvlJc w:val="right"/>
      <w:pPr>
        <w:tabs>
          <w:tab w:val="left" w:leader="none" w:pos="2160"/>
        </w:tabs>
        <w:ind w:left="2160" w:hanging="180"/>
      </w:pPr>
    </w:lvl>
    <w:lvl w:ilvl="3">
      <w:start w:val="1"/>
      <w:numFmt w:val="decimal"/>
      <w:lvlText w:val="%4."/>
      <w:lvlJc w:val="left"/>
      <w:pPr>
        <w:tabs>
          <w:tab w:val="left" w:leader="none" w:pos="2880"/>
        </w:tabs>
        <w:ind w:left="2880" w:hanging="360"/>
      </w:pPr>
    </w:lvl>
    <w:lvl w:ilvl="4">
      <w:start w:val="1"/>
      <w:numFmt w:val="lowerLetter"/>
      <w:lvlText w:val="%5."/>
      <w:lvlJc w:val="left"/>
      <w:pPr>
        <w:tabs>
          <w:tab w:val="left" w:leader="none" w:pos="3600"/>
        </w:tabs>
        <w:ind w:left="3600" w:hanging="360"/>
      </w:pPr>
    </w:lvl>
    <w:lvl w:ilvl="5">
      <w:start w:val="1"/>
      <w:numFmt w:val="lowerRoman"/>
      <w:lvlText w:val="%6."/>
      <w:lvlJc w:val="right"/>
      <w:pPr>
        <w:tabs>
          <w:tab w:val="left" w:leader="none" w:pos="4320"/>
        </w:tabs>
        <w:ind w:left="4320" w:hanging="180"/>
      </w:pPr>
    </w:lvl>
    <w:lvl w:ilvl="6">
      <w:start w:val="1"/>
      <w:numFmt w:val="decimal"/>
      <w:lvlText w:val="%7."/>
      <w:lvlJc w:val="left"/>
      <w:pPr>
        <w:tabs>
          <w:tab w:val="left" w:leader="none" w:pos="5040"/>
        </w:tabs>
        <w:ind w:left="5040" w:hanging="360"/>
      </w:pPr>
    </w:lvl>
    <w:lvl w:ilvl="7">
      <w:start w:val="1"/>
      <w:numFmt w:val="lowerLetter"/>
      <w:lvlText w:val="%8."/>
      <w:lvlJc w:val="left"/>
      <w:pPr>
        <w:tabs>
          <w:tab w:val="left" w:leader="none" w:pos="5760"/>
        </w:tabs>
        <w:ind w:left="5760" w:hanging="360"/>
      </w:pPr>
    </w:lvl>
    <w:lvl w:ilvl="8">
      <w:start w:val="1"/>
      <w:numFmt w:val="lowerRoman"/>
      <w:lvlText w:val="%9."/>
      <w:lvlJc w:val="right"/>
      <w:pPr>
        <w:tabs>
          <w:tab w:val="left" w:leader="none" w:pos="6480"/>
        </w:tabs>
        <w:ind w:left="6480" w:hanging="180"/>
      </w:pPr>
    </w:lvl>
  </w:abstractNum>
  <w:abstractNum w:abstractNumId="2">
    <w:nsid w:val="00000002"/>
    <w:multiLevelType w:val="hybridMultilevel"/>
    <w:tmpl w:val="1B087B76"/>
    <w:lvl w:ilvl="0" w:tplc="E21E1AAA">
      <w:start w:val="1"/>
      <w:numFmt w:val="decimal"/>
      <w:lvlText w:val="%1"/>
      <w:lvlJc w:val="right"/>
      <w:pPr>
        <w:ind w:left="720" w:hanging="360"/>
      </w:pPr>
      <w:rPr>
        <w:rFonts w:hint="default"/>
        <w:color w:val="00000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0000003"/>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0000006"/>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000000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5D9EDC72"/>
    <w:lvl w:ilvl="0" w:tplc="1D4C64A4">
      <w:start w:val="1"/>
      <w:numFmt w:val="decimal"/>
      <w:lvlText w:val="[%1]"/>
      <w:lvlJc w:val="left"/>
      <w:pPr>
        <w:ind w:left="624" w:hanging="34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A"/>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0000000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000000D"/>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0000000E"/>
    <w:multiLevelType w:val="hybridMultilevel"/>
    <w:tmpl w:val="59E4DBD8"/>
    <w:lvl w:ilvl="0" w:tplc="B3320EC0">
      <w:start w:val="1"/>
      <w:numFmt w:val="lowerRoman"/>
      <w:lvlText w:val="%1."/>
      <w:lvlJc w:val="right"/>
      <w:pPr>
        <w:ind w:left="720" w:hanging="360"/>
      </w:pPr>
      <w:rPr>
        <w:b w:val="false"/>
        <w:bCs w:val="false"/>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0F"/>
    <w:multiLevelType w:val="multilevel"/>
    <w:tmpl w:val="FFAC0CAE"/>
    <w:lvl w:ilvl="0">
      <w:start w:val="1"/>
      <w:numFmt w:val="upperLetter"/>
      <w:pStyle w:val="style4103"/>
      <w:lvlText w:val="%1."/>
      <w:lvlJc w:val="left"/>
      <w:pPr>
        <w:tabs>
          <w:tab w:val="left" w:leader="none" w:pos="288"/>
        </w:tabs>
        <w:ind w:left="288" w:hanging="288"/>
      </w:pPr>
      <w:rPr>
        <w:rFonts w:ascii="Times New Roman" w:cs="Times New Roman" w:eastAsia="Arial Unicode MS" w:hAnsi="Times New Roman" w:hint="default"/>
        <w:b w:val="false"/>
        <w:bCs/>
        <w:i w:val="false"/>
        <w:iCs w:val="false"/>
        <w:caps/>
        <w:vanish w:val="false"/>
        <w:color w:val="000000"/>
        <w:spacing w:val="0"/>
        <w:kern w:val="0"/>
        <w:position w:val="0"/>
        <w:sz w:val="20"/>
        <w:szCs w:val="24"/>
        <w:u w:val="none"/>
        <w:vertAlign w:val="baseline"/>
        <w:em w:val="none"/>
      </w:rPr>
    </w:lvl>
    <w:lvl w:ilvl="1">
      <w:start w:val="1"/>
      <w:numFmt w:val="upperLetter"/>
      <w:lvlText w:val="%2."/>
      <w:lvlJc w:val="left"/>
      <w:pPr>
        <w:tabs>
          <w:tab w:val="left" w:leader="none" w:pos="288"/>
        </w:tabs>
        <w:ind w:left="288" w:hanging="288"/>
      </w:pPr>
      <w:rPr>
        <w:rFonts w:ascii="Times New Roman" w:hAnsi="Times New Roman" w:hint="default"/>
        <w:b w:val="false"/>
        <w:i w:val="false"/>
        <w:sz w:val="20"/>
      </w:rPr>
    </w:lvl>
    <w:lvl w:ilvl="2">
      <w:start w:val="1"/>
      <w:numFmt w:val="decimal"/>
      <w:lvlText w:val="%1.%2.%3"/>
      <w:lvlJc w:val="left"/>
      <w:pPr>
        <w:tabs>
          <w:tab w:val="left" w:leader="none" w:pos="720"/>
        </w:tabs>
        <w:ind w:left="720" w:hanging="720"/>
      </w:pPr>
      <w:rPr>
        <w:rFonts w:hint="default"/>
      </w:rPr>
    </w:lvl>
    <w:lvl w:ilvl="3">
      <w:start w:val="1"/>
      <w:numFmt w:val="decimal"/>
      <w:lvlText w:val="%1.%2.%3.%4"/>
      <w:lvlJc w:val="left"/>
      <w:pPr>
        <w:tabs>
          <w:tab w:val="left" w:leader="none" w:pos="864"/>
        </w:tabs>
        <w:ind w:left="864" w:hanging="864"/>
      </w:pPr>
      <w:rPr>
        <w:rFonts w:hint="default"/>
      </w:rPr>
    </w:lvl>
    <w:lvl w:ilvl="4">
      <w:start w:val="1"/>
      <w:numFmt w:val="decimal"/>
      <w:lvlText w:val="%1.%2.%3.%4.%5"/>
      <w:lvlJc w:val="left"/>
      <w:pPr>
        <w:tabs>
          <w:tab w:val="left" w:leader="none" w:pos="1008"/>
        </w:tabs>
        <w:ind w:left="1008" w:hanging="1008"/>
      </w:pPr>
      <w:rPr>
        <w:rFonts w:hint="default"/>
      </w:rPr>
    </w:lvl>
    <w:lvl w:ilvl="5">
      <w:start w:val="1"/>
      <w:numFmt w:val="decimal"/>
      <w:lvlText w:val="%1.%2.%3.%4.%5.%6"/>
      <w:lvlJc w:val="left"/>
      <w:pPr>
        <w:tabs>
          <w:tab w:val="left" w:leader="none" w:pos="1152"/>
        </w:tabs>
        <w:ind w:left="1152" w:hanging="1152"/>
      </w:pPr>
      <w:rPr>
        <w:rFonts w:hint="default"/>
      </w:rPr>
    </w:lvl>
    <w:lvl w:ilvl="6">
      <w:start w:val="1"/>
      <w:numFmt w:val="decimal"/>
      <w:lvlText w:val="%1.%2.%3.%4.%5.%6.%7"/>
      <w:lvlJc w:val="left"/>
      <w:pPr>
        <w:tabs>
          <w:tab w:val="left" w:leader="none" w:pos="1296"/>
        </w:tabs>
        <w:ind w:left="1296" w:hanging="1296"/>
      </w:pPr>
      <w:rPr>
        <w:rFonts w:hint="default"/>
      </w:rPr>
    </w:lvl>
    <w:lvl w:ilvl="7">
      <w:start w:val="1"/>
      <w:numFmt w:val="decimal"/>
      <w:lvlText w:val="%1.%2.%3.%4.%5.%6.%7.%8"/>
      <w:lvlJc w:val="left"/>
      <w:pPr>
        <w:tabs>
          <w:tab w:val="left" w:leader="none" w:pos="1440"/>
        </w:tabs>
        <w:ind w:left="1440" w:hanging="1440"/>
      </w:pPr>
      <w:rPr>
        <w:rFonts w:hint="default"/>
      </w:rPr>
    </w:lvl>
    <w:lvl w:ilvl="8">
      <w:start w:val="1"/>
      <w:numFmt w:val="decimal"/>
      <w:lvlText w:val="%1.%2.%3.%4.%5.%6.%7.%8.%9"/>
      <w:lvlJc w:val="left"/>
      <w:pPr>
        <w:tabs>
          <w:tab w:val="left" w:leader="none" w:pos="1584"/>
        </w:tabs>
        <w:ind w:left="1584" w:hanging="1584"/>
      </w:pPr>
      <w:rPr>
        <w:rFonts w:hint="default"/>
      </w:rPr>
    </w:lvl>
  </w:abstractNum>
  <w:abstractNum w:abstractNumId="16">
    <w:nsid w:val="00000010"/>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00000011"/>
    <w:multiLevelType w:val="hybridMultilevel"/>
    <w:tmpl w:val="C450EE40"/>
    <w:lvl w:ilvl="0" w:tplc="AB1E317A">
      <w:start w:val="1"/>
      <w:numFmt w:val="decimal"/>
      <w:lvlText w:val="[%1]"/>
      <w:lvlJc w:val="left"/>
      <w:pPr>
        <w:ind w:left="720" w:hanging="360"/>
      </w:pPr>
      <w:rPr>
        <w:rFonts w:hint="default"/>
        <w:b w:val="false"/>
        <w:bCs w:val="false"/>
        <w:i w:val="false"/>
        <w:iCs w:val="false"/>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0000012"/>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3"/>
    <w:multiLevelType w:val="hybridMultilevel"/>
    <w:tmpl w:val="E17AA642"/>
    <w:lvl w:ilvl="0" w:tplc="28A21F62">
      <w:start w:val="1"/>
      <w:numFmt w:val="decimal"/>
      <w:lvlText w:val="[%1]"/>
      <w:lvlJc w:val="left"/>
      <w:pPr>
        <w:ind w:left="360" w:hanging="360"/>
      </w:pPr>
      <w:rPr>
        <w:rFonts w:hint="default"/>
        <w:b w:val="false"/>
        <w:bCs w:val="false"/>
        <w:i w:val="false"/>
        <w:iCs w:val="false"/>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00000014"/>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6"/>
  </w:num>
  <w:num w:numId="3">
    <w:abstractNumId w:val="8"/>
  </w:num>
  <w:num w:numId="4">
    <w:abstractNumId w:val="5"/>
  </w:num>
  <w:num w:numId="5">
    <w:abstractNumId w:val="11"/>
  </w:num>
  <w:num w:numId="6">
    <w:abstractNumId w:val="12"/>
  </w:num>
  <w:num w:numId="7">
    <w:abstractNumId w:val="7"/>
  </w:num>
  <w:num w:numId="8">
    <w:abstractNumId w:val="1"/>
  </w:num>
  <w:num w:numId="9">
    <w:abstractNumId w:val="20"/>
  </w:num>
  <w:num w:numId="10">
    <w:abstractNumId w:val="0"/>
  </w:num>
  <w:num w:numId="11">
    <w:abstractNumId w:val="4"/>
  </w:num>
  <w:num w:numId="12">
    <w:abstractNumId w:val="18"/>
  </w:num>
  <w:num w:numId="13">
    <w:abstractNumId w:val="14"/>
  </w:num>
  <w:num w:numId="14">
    <w:abstractNumId w:val="10"/>
  </w:num>
  <w:num w:numId="15">
    <w:abstractNumId w:val="3"/>
  </w:num>
  <w:num w:numId="16">
    <w:abstractNumId w:val="17"/>
  </w:num>
  <w:num w:numId="17">
    <w:abstractNumId w:val="9"/>
  </w:num>
  <w:num w:numId="18">
    <w:abstractNumId w:val="13"/>
  </w:num>
  <w:num w:numId="19">
    <w:abstractNumId w:val="2"/>
  </w:num>
  <w:num w:numId="20">
    <w:abstractNumId w:val="19"/>
  </w:num>
  <w:num w:numId="21">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5">
    <w:name w:val="heading 5"/>
    <w:basedOn w:val="style0"/>
    <w:next w:val="style0"/>
    <w:link w:val="style4099"/>
    <w:qFormat/>
    <w:pPr>
      <w:autoSpaceDE w:val="false"/>
      <w:autoSpaceDN w:val="false"/>
      <w:spacing w:before="240" w:after="60" w:lineRule="auto" w:line="240"/>
      <w:ind w:left="1872" w:hanging="720"/>
      <w:outlineLvl w:val="4"/>
    </w:pPr>
    <w:rPr>
      <w:rFonts w:ascii="Times New Roman" w:cs="Times New Roman" w:eastAsia="PMingLiU" w:hAnsi="Times New Roman"/>
      <w:sz w:val="18"/>
      <w:szCs w:val="18"/>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1">
    <w:name w:val="header"/>
    <w:basedOn w:val="style0"/>
    <w:next w:val="style31"/>
    <w:link w:val="style4097"/>
    <w:uiPriority w:val="99"/>
    <w:pPr>
      <w:tabs>
        <w:tab w:val="center" w:leader="none" w:pos="4680"/>
        <w:tab w:val="right" w:leader="none" w:pos="9360"/>
      </w:tabs>
      <w:spacing w:after="0" w:lineRule="auto" w:line="240"/>
    </w:pPr>
    <w:rPr/>
  </w:style>
  <w:style w:type="character" w:customStyle="1" w:styleId="style4097">
    <w:name w:val="Header Char_cef1e717-ab89-42d0-8154-f7ae91ecde59"/>
    <w:basedOn w:val="style65"/>
    <w:next w:val="style4097"/>
    <w:link w:val="style31"/>
    <w:uiPriority w:val="99"/>
  </w:style>
  <w:style w:type="paragraph" w:styleId="style32">
    <w:name w:val="footer"/>
    <w:basedOn w:val="style0"/>
    <w:next w:val="style32"/>
    <w:link w:val="style4098"/>
    <w:uiPriority w:val="99"/>
    <w:pPr>
      <w:tabs>
        <w:tab w:val="center" w:leader="none" w:pos="4680"/>
        <w:tab w:val="right" w:leader="none" w:pos="9360"/>
      </w:tabs>
      <w:spacing w:after="0" w:lineRule="auto" w:line="240"/>
    </w:pPr>
    <w:rPr/>
  </w:style>
  <w:style w:type="character" w:customStyle="1" w:styleId="style4098">
    <w:name w:val="Footer Char_422556f4-7e45-4ee4-bc21-9b6ae55d989e"/>
    <w:basedOn w:val="style65"/>
    <w:next w:val="style4098"/>
    <w:link w:val="style32"/>
    <w:uiPriority w:val="99"/>
  </w:style>
  <w:style w:type="character" w:styleId="style85">
    <w:name w:val="Hyperlink"/>
    <w:next w:val="style85"/>
    <w:uiPriority w:val="99"/>
    <w:rPr>
      <w:rFonts w:cs="Times New Roman"/>
      <w:color w:val="0000ff"/>
      <w:u w:val="single"/>
    </w:rPr>
  </w:style>
  <w:style w:type="paragraph" w:styleId="style179">
    <w:name w:val="List Paragraph"/>
    <w:basedOn w:val="style0"/>
    <w:next w:val="style179"/>
    <w:qFormat/>
    <w:uiPriority w:val="34"/>
    <w:pPr>
      <w:ind w:left="720"/>
      <w:contextualSpacing/>
    </w:pPr>
    <w:rPr/>
  </w:style>
  <w:style w:type="character" w:customStyle="1" w:styleId="style4099">
    <w:name w:val="Heading 5 Char_ee3f8347-eb40-46d0-bf5d-dfb5ffa30d44"/>
    <w:basedOn w:val="style65"/>
    <w:next w:val="style4099"/>
    <w:link w:val="style5"/>
    <w:rPr>
      <w:rFonts w:ascii="Times New Roman" w:cs="Times New Roman" w:eastAsia="PMingLiU" w:hAnsi="Times New Roman"/>
      <w:sz w:val="18"/>
      <w:szCs w:val="18"/>
    </w:rPr>
  </w:style>
  <w:style w:type="paragraph" w:customStyle="1" w:styleId="style4100">
    <w:name w:val="Affiliation"/>
    <w:next w:val="style4100"/>
    <w:pPr>
      <w:spacing w:after="0" w:lineRule="auto" w:line="240"/>
      <w:jc w:val="center"/>
    </w:pPr>
    <w:rPr>
      <w:rFonts w:ascii="Times New Roman" w:cs="Times New Roman" w:eastAsia="SimSun" w:hAnsi="Times New Roman"/>
      <w:sz w:val="20"/>
      <w:szCs w:val="20"/>
    </w:rPr>
  </w:style>
  <w:style w:type="paragraph" w:customStyle="1" w:styleId="style4101">
    <w:name w:val="Abstract"/>
    <w:next w:val="style4101"/>
    <w:pPr>
      <w:suppressAutoHyphens/>
      <w:spacing w:after="200" w:lineRule="auto" w:line="240"/>
      <w:ind w:firstLine="170"/>
      <w:jc w:val="both"/>
    </w:pPr>
    <w:rPr>
      <w:rFonts w:ascii="Times New Roman" w:cs="Times New Roman" w:eastAsia="SimSun" w:hAnsi="Times New Roman"/>
      <w:b/>
      <w:bCs/>
      <w:sz w:val="18"/>
      <w:szCs w:val="18"/>
      <w:lang w:eastAsia="zh-CN"/>
    </w:rPr>
  </w:style>
  <w:style w:type="paragraph" w:customStyle="1" w:styleId="style4102">
    <w:name w:val="key words"/>
    <w:next w:val="style4102"/>
    <w:pPr>
      <w:suppressAutoHyphens/>
      <w:spacing w:after="120" w:lineRule="auto" w:line="240"/>
      <w:ind w:firstLine="288"/>
      <w:jc w:val="both"/>
    </w:pPr>
    <w:rPr>
      <w:rFonts w:ascii="Times New Roman" w:cs="Times New Roman" w:eastAsia="SimSun" w:hAnsi="Times New Roman"/>
      <w:b/>
      <w:bCs/>
      <w:iCs/>
      <w:sz w:val="18"/>
      <w:szCs w:val="18"/>
    </w:rPr>
  </w:style>
  <w:style w:type="paragraph" w:customStyle="1" w:styleId="style4103">
    <w:name w:val="IEEE Heading 2"/>
    <w:basedOn w:val="style0"/>
    <w:next w:val="style4104"/>
    <w:pPr>
      <w:numPr>
        <w:ilvl w:val="0"/>
        <w:numId w:val="1"/>
      </w:numPr>
      <w:adjustRightInd w:val="false"/>
      <w:snapToGrid w:val="false"/>
      <w:spacing w:before="150" w:after="60" w:lineRule="auto" w:line="240"/>
    </w:pPr>
    <w:rPr>
      <w:rFonts w:ascii="Times New Roman" w:cs="Times New Roman" w:eastAsia="SimSun" w:hAnsi="Times New Roman"/>
      <w:i/>
      <w:sz w:val="20"/>
      <w:szCs w:val="24"/>
      <w:lang w:val="en-AU" w:eastAsia="zh-CN"/>
    </w:rPr>
  </w:style>
  <w:style w:type="paragraph" w:customStyle="1" w:styleId="style4104">
    <w:name w:val="IEEE Paragraph"/>
    <w:basedOn w:val="style0"/>
    <w:next w:val="style4104"/>
    <w:link w:val="style4105"/>
    <w:pPr>
      <w:adjustRightInd w:val="false"/>
      <w:snapToGrid w:val="false"/>
      <w:spacing w:after="0" w:lineRule="auto" w:line="240"/>
      <w:ind w:firstLine="216"/>
      <w:jc w:val="both"/>
    </w:pPr>
    <w:rPr>
      <w:rFonts w:ascii="Times New Roman" w:cs="Times New Roman" w:eastAsia="SimSun" w:hAnsi="Times New Roman"/>
      <w:sz w:val="20"/>
      <w:szCs w:val="24"/>
      <w:lang w:val="en-AU" w:eastAsia="zh-CN"/>
    </w:rPr>
  </w:style>
  <w:style w:type="character" w:customStyle="1" w:styleId="style4105">
    <w:name w:val="IEEE Paragraph Char"/>
    <w:next w:val="style4105"/>
    <w:link w:val="style4104"/>
    <w:rPr>
      <w:rFonts w:ascii="Times New Roman" w:cs="Times New Roman" w:eastAsia="SimSun" w:hAnsi="Times New Roman"/>
      <w:sz w:val="20"/>
      <w:szCs w:val="24"/>
      <w:lang w:val="en-AU" w:eastAsia="zh-CN"/>
    </w:rPr>
  </w:style>
  <w:style w:type="paragraph" w:styleId="style157">
    <w:name w:val="No Spacing"/>
    <w:next w:val="style157"/>
    <w:qFormat/>
    <w:uiPriority w:val="1"/>
    <w:pPr>
      <w:spacing w:after="0" w:lineRule="auto" w:line="240"/>
    </w:pPr>
    <w:rPr>
      <w:rFonts w:ascii="Calibri" w:cs="Times New Roman" w:eastAsia="Calibri" w:hAnsi="Calibri"/>
    </w:rPr>
  </w:style>
  <w:style w:type="paragraph" w:styleId="style265">
    <w:name w:val="Bibliography"/>
    <w:basedOn w:val="style0"/>
    <w:next w:val="style0"/>
    <w:uiPriority w:val="37"/>
    <w:pPr/>
  </w:style>
  <w:style w:type="character" w:customStyle="1" w:styleId="style4106">
    <w:name w:val="Unresolved Mention1"/>
    <w:basedOn w:val="style65"/>
    <w:next w:val="style4106"/>
    <w:uiPriority w:val="99"/>
    <w:rPr>
      <w:color w:val="605e5c"/>
      <w:shd w:val="clear" w:color="auto" w:fill="e1dfdd"/>
    </w:rPr>
  </w:style>
  <w:style w:type="table" w:styleId="style154">
    <w:name w:val="Table Grid"/>
    <w:basedOn w:val="style105"/>
    <w:next w:val="style154"/>
    <w:uiPriority w:val="39"/>
    <w:pPr>
      <w:spacing w:after="0" w:lineRule="auto" w:line="240"/>
    </w:pPr>
    <w:rPr>
      <w:rFonts w:ascii="Calibri" w:cs="Kartika" w:eastAsia="Calibri" w:hAnsi="Calibri"/>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customStyle="1" w:styleId="style4107">
    <w:name w:val="Default"/>
    <w:next w:val="style4107"/>
    <w:pPr>
      <w:autoSpaceDE w:val="false"/>
      <w:autoSpaceDN w:val="false"/>
      <w:adjustRightInd w:val="false"/>
      <w:spacing w:after="0" w:lineRule="auto" w:line="240"/>
    </w:pPr>
    <w:rPr>
      <w:rFonts w:ascii="Times New Roman" w:cs="Times New Roman" w:hAnsi="Times New Roman"/>
      <w:color w:val="000000"/>
      <w:sz w:val="24"/>
      <w:szCs w:val="24"/>
      <w:lang w:bidi="ml-IN"/>
    </w:rPr>
  </w:style>
  <w:style w:type="paragraph" w:styleId="style153">
    <w:name w:val="Balloon Text"/>
    <w:basedOn w:val="style0"/>
    <w:next w:val="style153"/>
    <w:link w:val="style4108"/>
    <w:uiPriority w:val="99"/>
    <w:pPr>
      <w:spacing w:after="0" w:lineRule="auto" w:line="240"/>
    </w:pPr>
    <w:rPr>
      <w:rFonts w:ascii="Tahoma" w:cs="Tahoma" w:hAnsi="Tahoma"/>
      <w:sz w:val="16"/>
      <w:szCs w:val="16"/>
    </w:rPr>
  </w:style>
  <w:style w:type="character" w:customStyle="1" w:styleId="style4108">
    <w:name w:val="Balloon Text Char"/>
    <w:basedOn w:val="style65"/>
    <w:next w:val="style4108"/>
    <w:link w:val="style153"/>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3.xml"/><Relationship Id="rId11" Type="http://schemas.openxmlformats.org/officeDocument/2006/relationships/customXml" Target="../customXml/item1.xml"/><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footer" Target="footer4.xml"/><Relationship Id="rId6" Type="http://schemas.openxmlformats.org/officeDocument/2006/relationships/header" Target="header5.xml"/><Relationship Id="rId7" Type="http://schemas.openxmlformats.org/officeDocument/2006/relationships/styles" Target="styles.xml"/><Relationship Id="rId8" Type="http://schemas.openxmlformats.org/officeDocument/2006/relationships/fontTable" Target="fontTable.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2130</Words>
  <Pages>2</Pages>
  <Characters>13812</Characters>
  <Application>WPS Office</Application>
  <DocSecurity>0</DocSecurity>
  <Paragraphs>157</Paragraphs>
  <ScaleCrop>false</ScaleCrop>
  <LinksUpToDate>false</LinksUpToDate>
  <CharactersWithSpaces>15946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2023-09-02T03:46:00Z</dcterms:created>
  <dc:creator>Rampyari</dc:creator>
  <lastModifiedBy>23043RP34G</lastModifiedBy>
  <lastPrinted>2021-02-22T14:39:00Z</lastPrinted>
  <dcterms:modified xsi:type="dcterms:W3CDTF">2024-06-18T11:30:29Z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15e7a88b03a34f26a1f09f03f699532f</vt:lpwstr>
  </property>
</Properties>
</file>