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370548" w14:textId="0E31E79A" w:rsidR="00AD7E05" w:rsidRPr="00852441" w:rsidRDefault="0093060F" w:rsidP="00F71368">
      <w:pPr>
        <w:pStyle w:val="NormalWeb"/>
        <w:spacing w:after="0" w:line="360" w:lineRule="auto"/>
        <w:jc w:val="center"/>
        <w:rPr>
          <w:b/>
          <w:bCs/>
        </w:rPr>
      </w:pPr>
      <w:r w:rsidRPr="0093060F">
        <w:rPr>
          <w:b/>
          <w:bCs/>
        </w:rPr>
        <w:t>Human Resource Management Strategies for Implementing a Green Supply Chain Inventory Model with Storage Optimization Using Genetic Algorithms in the Mining Industry</w:t>
      </w:r>
    </w:p>
    <w:p w14:paraId="12CC946F" w14:textId="77777777" w:rsidR="00740A3D" w:rsidRPr="00E45F11" w:rsidRDefault="00740A3D" w:rsidP="00740A3D">
      <w:pPr>
        <w:pStyle w:val="NormalWeb"/>
        <w:spacing w:after="0" w:line="360" w:lineRule="auto"/>
        <w:jc w:val="center"/>
        <w:rPr>
          <w:b/>
          <w:bCs/>
        </w:rPr>
      </w:pPr>
      <w:r>
        <w:rPr>
          <w:b/>
          <w:bCs/>
        </w:rPr>
        <w:t>Priyambada Purohit</w:t>
      </w:r>
      <w:r>
        <w:rPr>
          <w:b/>
          <w:bCs/>
          <w:vertAlign w:val="superscript"/>
        </w:rPr>
        <w:t>1</w:t>
      </w:r>
      <w:r>
        <w:rPr>
          <w:b/>
          <w:bCs/>
        </w:rPr>
        <w:t xml:space="preserve">, </w:t>
      </w:r>
      <w:r w:rsidRPr="000446AD">
        <w:rPr>
          <w:b/>
          <w:bCs/>
        </w:rPr>
        <w:t>Prof. P. S. Aithal</w:t>
      </w:r>
      <w:r>
        <w:rPr>
          <w:b/>
          <w:bCs/>
          <w:vertAlign w:val="superscript"/>
        </w:rPr>
        <w:t>2</w:t>
      </w:r>
      <w:r>
        <w:rPr>
          <w:b/>
          <w:bCs/>
        </w:rPr>
        <w:t xml:space="preserve">, </w:t>
      </w:r>
      <w:r w:rsidRPr="000446AD">
        <w:rPr>
          <w:b/>
          <w:bCs/>
        </w:rPr>
        <w:t>Prof. A</w:t>
      </w:r>
      <w:r>
        <w:rPr>
          <w:b/>
          <w:bCs/>
        </w:rPr>
        <w:t>nil Kumar</w:t>
      </w:r>
      <w:r>
        <w:rPr>
          <w:b/>
          <w:bCs/>
          <w:vertAlign w:val="superscript"/>
        </w:rPr>
        <w:t>3</w:t>
      </w:r>
    </w:p>
    <w:p w14:paraId="4D6723C4" w14:textId="77777777" w:rsidR="00740A3D" w:rsidRDefault="00740A3D" w:rsidP="00740A3D">
      <w:pPr>
        <w:pStyle w:val="NormalWeb"/>
        <w:contextualSpacing/>
        <w:jc w:val="both"/>
        <w:rPr>
          <w:b/>
          <w:bCs/>
        </w:rPr>
      </w:pPr>
      <w:r>
        <w:rPr>
          <w:b/>
          <w:bCs/>
          <w:sz w:val="22"/>
          <w:szCs w:val="22"/>
          <w:vertAlign w:val="superscript"/>
        </w:rPr>
        <w:t>1</w:t>
      </w:r>
      <w:r w:rsidRPr="00C1539E">
        <w:rPr>
          <w:b/>
          <w:bCs/>
        </w:rPr>
        <w:t>Post-Doctoral Research Scholar, Srinivas University, Mukka, Surathkal, Mangaluru, Karnataka, India and</w:t>
      </w:r>
      <w:r>
        <w:rPr>
          <w:b/>
          <w:bCs/>
        </w:rPr>
        <w:t xml:space="preserve"> </w:t>
      </w:r>
      <w:r w:rsidRPr="006433DE">
        <w:rPr>
          <w:b/>
          <w:bCs/>
        </w:rPr>
        <w:t>Assistant Professor,</w:t>
      </w:r>
      <w:r>
        <w:rPr>
          <w:b/>
          <w:bCs/>
        </w:rPr>
        <w:t xml:space="preserve"> Faculty of management Studies, SRM Institute of Science and Technology, Delhi-NCR Campus Ghaziabad, U.P.</w:t>
      </w:r>
    </w:p>
    <w:p w14:paraId="08D3EDF3" w14:textId="77777777" w:rsidR="00740A3D" w:rsidRDefault="00740A3D" w:rsidP="00740A3D">
      <w:pPr>
        <w:pStyle w:val="NormalWeb"/>
        <w:contextualSpacing/>
        <w:jc w:val="both"/>
        <w:rPr>
          <w:b/>
          <w:bCs/>
        </w:rPr>
      </w:pPr>
      <w:r>
        <w:rPr>
          <w:b/>
          <w:bCs/>
          <w:vertAlign w:val="superscript"/>
        </w:rPr>
        <w:t>2</w:t>
      </w:r>
      <w:r w:rsidRPr="00703DDC">
        <w:rPr>
          <w:b/>
          <w:bCs/>
        </w:rPr>
        <w:t>Director, Poornaprajna Institute of Management, Udupi, India</w:t>
      </w:r>
    </w:p>
    <w:p w14:paraId="455C2B4A" w14:textId="77777777" w:rsidR="00740A3D" w:rsidRDefault="00740A3D" w:rsidP="00740A3D">
      <w:pPr>
        <w:pStyle w:val="NormalWeb"/>
        <w:contextualSpacing/>
        <w:jc w:val="both"/>
        <w:rPr>
          <w:b/>
          <w:bCs/>
        </w:rPr>
      </w:pPr>
      <w:r>
        <w:rPr>
          <w:b/>
          <w:bCs/>
          <w:sz w:val="22"/>
          <w:szCs w:val="22"/>
          <w:vertAlign w:val="superscript"/>
        </w:rPr>
        <w:t>3</w:t>
      </w:r>
      <w:r>
        <w:rPr>
          <w:b/>
          <w:bCs/>
        </w:rPr>
        <w:t>Mentor, S</w:t>
      </w:r>
      <w:r w:rsidRPr="00C1539E">
        <w:rPr>
          <w:b/>
          <w:bCs/>
        </w:rPr>
        <w:t>rinivas University, Mukka, Surathkal, Mangaluru, Karnataka, India</w:t>
      </w:r>
    </w:p>
    <w:p w14:paraId="6ECDD2E7" w14:textId="77777777" w:rsidR="00447863" w:rsidRDefault="00447863" w:rsidP="00F71368">
      <w:pPr>
        <w:pStyle w:val="NormalWeb"/>
        <w:spacing w:after="0" w:line="360" w:lineRule="auto"/>
        <w:jc w:val="both"/>
        <w:rPr>
          <w:b/>
          <w:bCs/>
        </w:rPr>
      </w:pPr>
    </w:p>
    <w:p w14:paraId="5E33621B" w14:textId="0EC9CD18" w:rsidR="00AD7E05" w:rsidRPr="00852441" w:rsidRDefault="00AD7E05" w:rsidP="00F71368">
      <w:pPr>
        <w:pStyle w:val="NormalWeb"/>
        <w:spacing w:after="0" w:line="360" w:lineRule="auto"/>
        <w:jc w:val="both"/>
        <w:rPr>
          <w:b/>
          <w:bCs/>
        </w:rPr>
      </w:pPr>
      <w:r w:rsidRPr="00852441">
        <w:rPr>
          <w:b/>
          <w:bCs/>
        </w:rPr>
        <w:t>Abstract:</w:t>
      </w:r>
    </w:p>
    <w:p w14:paraId="369EC113" w14:textId="7E10C5DA" w:rsidR="00AD7E05" w:rsidRDefault="00690661" w:rsidP="00690661">
      <w:pPr>
        <w:pStyle w:val="NormalWeb"/>
        <w:spacing w:after="0" w:line="360" w:lineRule="auto"/>
        <w:jc w:val="both"/>
        <w:rPr>
          <w:bCs/>
        </w:rPr>
      </w:pPr>
      <w:r w:rsidRPr="00690661">
        <w:rPr>
          <w:bCs/>
        </w:rPr>
        <w:t xml:space="preserve">This paper meticulously explores the indispensable role of Human Resource Management (HRM) in implementing a green supply chain inventory model in the Mining industry. It focuses on optimizing storage through </w:t>
      </w:r>
      <w:r w:rsidR="00DF2983">
        <w:rPr>
          <w:bCs/>
        </w:rPr>
        <w:t>Genetic algorithms</w:t>
      </w:r>
      <w:r w:rsidRPr="00690661">
        <w:rPr>
          <w:bCs/>
        </w:rPr>
        <w:t xml:space="preserve">, a sophisticated optimization technique. In a landscape where sustainability is paramount, organizations are embracing innovative methods to curtail environmental impact and enhance efficiency. By integrating advanced optimization techniques like </w:t>
      </w:r>
      <w:r w:rsidR="00DF2983">
        <w:rPr>
          <w:bCs/>
        </w:rPr>
        <w:t>Genetic algorithms</w:t>
      </w:r>
      <w:r w:rsidRPr="00690661">
        <w:rPr>
          <w:bCs/>
        </w:rPr>
        <w:t>, there lies a substantial opportunity to refine inventory management practices and curtail waste.</w:t>
      </w:r>
      <w:r>
        <w:rPr>
          <w:bCs/>
        </w:rPr>
        <w:t xml:space="preserve"> </w:t>
      </w:r>
      <w:r w:rsidRPr="00690661">
        <w:rPr>
          <w:bCs/>
        </w:rPr>
        <w:t xml:space="preserve">The study elucidates HRM's multifaceted contributions in enabling the adoption and execution of green supply chain strategies. It delves into critical areas such as talent acquisition, training, change management, performance evaluation, conflict resolution, and ethical responsibility. Through a comprehensive analysis, the paper underscores HRM's pivotal role in fostering organizational alignment, nurturing a </w:t>
      </w:r>
      <w:r w:rsidR="006F4EED" w:rsidRPr="00690661">
        <w:rPr>
          <w:bCs/>
        </w:rPr>
        <w:t>sustainability driven</w:t>
      </w:r>
      <w:r w:rsidRPr="00690661">
        <w:rPr>
          <w:bCs/>
        </w:rPr>
        <w:t xml:space="preserve"> culture, and achieving operational excellence in the Mining industry.</w:t>
      </w:r>
      <w:r>
        <w:rPr>
          <w:bCs/>
        </w:rPr>
        <w:t xml:space="preserve"> </w:t>
      </w:r>
      <w:r w:rsidRPr="00690661">
        <w:rPr>
          <w:bCs/>
        </w:rPr>
        <w:t xml:space="preserve">Employing a case study approach, the research illustrates the practical implications of HRM's involvement in implementing a green supply chain inventory model with storage optimization using </w:t>
      </w:r>
      <w:r w:rsidR="00DF2983">
        <w:rPr>
          <w:bCs/>
        </w:rPr>
        <w:t>Genetic algorithms</w:t>
      </w:r>
      <w:r w:rsidRPr="00690661">
        <w:rPr>
          <w:bCs/>
        </w:rPr>
        <w:t>. By contextualizing the discussion within the Mining industry, the study offers actionable insights and recommendations for organizations aiming to bolster their environmental performance while remaining competitive in today's dynamic market environment.</w:t>
      </w:r>
    </w:p>
    <w:p w14:paraId="2A5E8F16" w14:textId="09F557D0" w:rsidR="00742A38" w:rsidRPr="00852441" w:rsidRDefault="00742A38" w:rsidP="00690661">
      <w:pPr>
        <w:pStyle w:val="NormalWeb"/>
        <w:spacing w:after="0" w:line="360" w:lineRule="auto"/>
        <w:jc w:val="both"/>
        <w:rPr>
          <w:bCs/>
        </w:rPr>
      </w:pPr>
      <w:r w:rsidRPr="00AF7DB7">
        <w:rPr>
          <w:b/>
          <w:color w:val="000000"/>
        </w:rPr>
        <w:t>Keywords: -</w:t>
      </w:r>
      <w:r w:rsidRPr="00AF7DB7">
        <w:rPr>
          <w:bCs/>
        </w:rPr>
        <w:t xml:space="preserve"> Human Resource Management, green supply chain, inventory, storage, and </w:t>
      </w:r>
      <w:r w:rsidR="00EB59CC">
        <w:rPr>
          <w:bCs/>
        </w:rPr>
        <w:t>Genetic algorithms</w:t>
      </w:r>
      <w:r w:rsidRPr="00AF7DB7">
        <w:rPr>
          <w:bCs/>
        </w:rPr>
        <w:t>.</w:t>
      </w:r>
    </w:p>
    <w:p w14:paraId="5ACE802D" w14:textId="77777777" w:rsidR="005D378D" w:rsidRPr="00852441" w:rsidRDefault="008D4258" w:rsidP="00F71368">
      <w:pPr>
        <w:pStyle w:val="ListParagraph"/>
        <w:numPr>
          <w:ilvl w:val="0"/>
          <w:numId w:val="1"/>
        </w:numPr>
        <w:autoSpaceDE w:val="0"/>
        <w:autoSpaceDN w:val="0"/>
        <w:adjustRightInd w:val="0"/>
        <w:spacing w:after="0" w:line="360" w:lineRule="auto"/>
        <w:jc w:val="center"/>
        <w:rPr>
          <w:rFonts w:ascii="Times New Roman" w:hAnsi="Times New Roman" w:cs="Times New Roman"/>
          <w:b/>
          <w:color w:val="000000"/>
          <w:sz w:val="24"/>
          <w:szCs w:val="24"/>
        </w:rPr>
      </w:pPr>
      <w:r w:rsidRPr="00852441">
        <w:rPr>
          <w:rFonts w:ascii="Times New Roman" w:hAnsi="Times New Roman" w:cs="Times New Roman"/>
          <w:b/>
          <w:color w:val="000000"/>
          <w:sz w:val="24"/>
          <w:szCs w:val="24"/>
        </w:rPr>
        <w:t>Introduction</w:t>
      </w:r>
    </w:p>
    <w:p w14:paraId="10707AB5" w14:textId="1AD6D3EB" w:rsidR="00DF2983" w:rsidRDefault="00DF2983" w:rsidP="00DF2983">
      <w:pPr>
        <w:pStyle w:val="NormalWeb"/>
        <w:spacing w:after="0" w:line="360" w:lineRule="auto"/>
        <w:jc w:val="both"/>
      </w:pPr>
      <w:r>
        <w:t>In recent years, the mining industry has experienced significant transformations driven by the growing emphasis on sustainability and environmental responsibility. This shift has compelled mining companies to reassess their operational practices and embrace greener approaches. Key factors prompting this change include evolving consumer preferences, regulatory pressures, and the recognition of environmental stewardship as a strategic imperative.</w:t>
      </w:r>
    </w:p>
    <w:p w14:paraId="46202CB9" w14:textId="77777777" w:rsidR="00DF2983" w:rsidRDefault="00DF2983" w:rsidP="00DF2983">
      <w:pPr>
        <w:pStyle w:val="NormalWeb"/>
        <w:spacing w:after="0" w:line="360" w:lineRule="auto"/>
        <w:jc w:val="both"/>
      </w:pPr>
      <w:r>
        <w:lastRenderedPageBreak/>
        <w:t>Central to this transformation is the adoption of green supply chain management principles. This involves integrating environmental considerations into every aspect of the supply chain, from sourcing raw materials to distribution. One critical aspect of green supply chain management in the mining industry is optimizing inventory management practices to minimize waste, reduce resource consumption, and enhance overall efficiency.</w:t>
      </w:r>
    </w:p>
    <w:p w14:paraId="5B608D2C" w14:textId="77777777" w:rsidR="00DF2983" w:rsidRDefault="00DF2983" w:rsidP="00DF2983">
      <w:pPr>
        <w:pStyle w:val="NormalWeb"/>
        <w:spacing w:after="0" w:line="360" w:lineRule="auto"/>
        <w:jc w:val="both"/>
      </w:pPr>
    </w:p>
    <w:p w14:paraId="0F546208" w14:textId="16B0668B" w:rsidR="00DF2983" w:rsidRDefault="00DF2983" w:rsidP="00DF2983">
      <w:pPr>
        <w:pStyle w:val="NormalWeb"/>
        <w:spacing w:after="0" w:line="360" w:lineRule="auto"/>
        <w:jc w:val="both"/>
      </w:pPr>
      <w:r>
        <w:t>Genetic algorithms have emerged as a powerful tool for addressing inventory optimization challenges. Inspired by the annealing process in metallurgy, genetic algorithms simulate iterative exploration of potential solutions, gradually refining them to find nearoptimal solutions. Applied to inventory management, genetic algorithms help strike a balance between inventory levels, storage costs, and service levels, thereby improving supply chain performance.</w:t>
      </w:r>
    </w:p>
    <w:p w14:paraId="7581E344" w14:textId="34C380FA" w:rsidR="00DF2983" w:rsidRDefault="00DF2983" w:rsidP="00DF2983">
      <w:pPr>
        <w:pStyle w:val="NormalWeb"/>
        <w:spacing w:after="0" w:line="360" w:lineRule="auto"/>
        <w:jc w:val="both"/>
      </w:pPr>
      <w:r>
        <w:t>However, successful implementation of a green supply chain inventory model augmented by genetic algorithms requires more than technical expertise. It necessitates a comprehensive approach that considers the human dimension of organizational change. This is where human resource management (HRM) plays a central role.</w:t>
      </w:r>
    </w:p>
    <w:p w14:paraId="68AFFCA1" w14:textId="4B37B60F" w:rsidR="00DF2983" w:rsidRDefault="00DF2983" w:rsidP="00DF2983">
      <w:pPr>
        <w:pStyle w:val="NormalWeb"/>
        <w:spacing w:after="0" w:line="360" w:lineRule="auto"/>
        <w:jc w:val="both"/>
      </w:pPr>
      <w:r>
        <w:t>HRM involves various practices aimed at effectively managing an organization's human capital to achieve strategic objectives. In the context of implementing a green supply chain inventory model in the mining industry, HRM is crucial in several key areas. These include talent acquisition and development, training and education, change management, performance management, employee engagement, conflict resolution, and ethical responsibility.</w:t>
      </w:r>
    </w:p>
    <w:p w14:paraId="2D1447E6" w14:textId="427B9A2F" w:rsidR="00A81874" w:rsidRDefault="00DF2983" w:rsidP="00DF2983">
      <w:pPr>
        <w:pStyle w:val="NormalWeb"/>
        <w:spacing w:before="0" w:beforeAutospacing="0" w:after="0" w:afterAutospacing="0" w:line="360" w:lineRule="auto"/>
        <w:jc w:val="both"/>
      </w:pPr>
      <w:r>
        <w:t>This paper aims to explore and analyze the critical role of HRM in facilitating the adoption and execution of a green supply chain inventory model with storage optimization using genetic algorithms in the mining industry. By examining the interplay between HRM practices and environmental sustainability within the context of inventory management, this research contributes to a deeper understanding of how organizations can effectively pursue sustainability goals while achieving operational excellence in the mining sector.</w:t>
      </w:r>
    </w:p>
    <w:p w14:paraId="0E6EFFAE" w14:textId="77777777" w:rsidR="00DF2983" w:rsidRDefault="00DF2983" w:rsidP="00DF2983">
      <w:pPr>
        <w:pStyle w:val="NormalWeb"/>
        <w:spacing w:before="0" w:beforeAutospacing="0" w:after="0" w:afterAutospacing="0" w:line="360" w:lineRule="auto"/>
        <w:jc w:val="both"/>
      </w:pPr>
    </w:p>
    <w:p w14:paraId="3F181531" w14:textId="23DC7012" w:rsidR="005D378D" w:rsidRPr="00852441" w:rsidRDefault="005D378D" w:rsidP="00F71368">
      <w:pPr>
        <w:pStyle w:val="NormalWeb"/>
        <w:numPr>
          <w:ilvl w:val="0"/>
          <w:numId w:val="1"/>
        </w:numPr>
        <w:spacing w:before="0" w:beforeAutospacing="0" w:after="0" w:afterAutospacing="0" w:line="360" w:lineRule="auto"/>
        <w:jc w:val="center"/>
        <w:rPr>
          <w:b/>
          <w:bCs/>
        </w:rPr>
      </w:pPr>
      <w:r w:rsidRPr="00852441">
        <w:rPr>
          <w:b/>
          <w:bCs/>
        </w:rPr>
        <w:t>Fundamentals of Human Resources</w:t>
      </w:r>
    </w:p>
    <w:p w14:paraId="3827D9C2" w14:textId="6B057CEC" w:rsidR="00BE59FC" w:rsidRPr="00BE59FC" w:rsidRDefault="00BE59FC" w:rsidP="00BE59FC">
      <w:pPr>
        <w:pStyle w:val="NormalWeb"/>
        <w:spacing w:after="0" w:line="360" w:lineRule="auto"/>
        <w:jc w:val="both"/>
        <w:rPr>
          <w:bCs/>
        </w:rPr>
      </w:pPr>
      <w:r w:rsidRPr="00852E42">
        <w:rPr>
          <w:b/>
        </w:rPr>
        <w:t>1. Talent Acquisition and Mining Skills Assessment:</w:t>
      </w:r>
      <w:r w:rsidRPr="00BE59FC">
        <w:rPr>
          <w:bCs/>
        </w:rPr>
        <w:t xml:space="preserve"> HR is tasked with sourcing and selecting skilled candidates equipped with the necessary qualifications and experience for various roles within the mining sector. This involves understanding the specialized skills required for mining operations, assessing candidates for technical proficiency, and ensuring a seamless recruitment pr</w:t>
      </w:r>
    </w:p>
    <w:p w14:paraId="1A58E36E" w14:textId="47FA5E6E" w:rsidR="00BE59FC" w:rsidRPr="00BE59FC" w:rsidRDefault="00BE59FC" w:rsidP="00BE59FC">
      <w:pPr>
        <w:pStyle w:val="NormalWeb"/>
        <w:spacing w:after="0" w:line="360" w:lineRule="auto"/>
        <w:jc w:val="both"/>
        <w:rPr>
          <w:bCs/>
        </w:rPr>
      </w:pPr>
      <w:r w:rsidRPr="00852E42">
        <w:rPr>
          <w:b/>
        </w:rPr>
        <w:lastRenderedPageBreak/>
        <w:t>2. Safety Training and Technical Skill Development:</w:t>
      </w:r>
      <w:r w:rsidRPr="00BE59FC">
        <w:rPr>
          <w:bCs/>
        </w:rPr>
        <w:t xml:space="preserve"> HR facilitates comprehensive safety training programs and technical skill development initiatives tailored to the unique challenges of the mining industry. This includes training on mine safety protocols, equipment operation, emergency procedures, and compliance with regulatory standards to ensure a safe working environment.</w:t>
      </w:r>
    </w:p>
    <w:p w14:paraId="78464F02" w14:textId="10CDF345" w:rsidR="00BE59FC" w:rsidRPr="00BE59FC" w:rsidRDefault="00BE59FC" w:rsidP="00BE59FC">
      <w:pPr>
        <w:pStyle w:val="NormalWeb"/>
        <w:spacing w:after="0" w:line="360" w:lineRule="auto"/>
        <w:jc w:val="both"/>
        <w:rPr>
          <w:bCs/>
        </w:rPr>
      </w:pPr>
      <w:r w:rsidRPr="00852E42">
        <w:rPr>
          <w:b/>
        </w:rPr>
        <w:t>3. Safety Performance Management:</w:t>
      </w:r>
      <w:r w:rsidRPr="00BE59FC">
        <w:rPr>
          <w:bCs/>
        </w:rPr>
        <w:t xml:space="preserve"> HR establishes performance management systems focused on safety metrics and compliance with safety regulations. This involves setting safety goals, conducting regular safety audits, identifying areas for improvement, and recognizing and rewarding adherence to safety protocols.</w:t>
      </w:r>
    </w:p>
    <w:p w14:paraId="3072639B" w14:textId="2D96E4A2" w:rsidR="00BE59FC" w:rsidRPr="00BE59FC" w:rsidRDefault="00BE59FC" w:rsidP="00BE59FC">
      <w:pPr>
        <w:pStyle w:val="NormalWeb"/>
        <w:spacing w:after="0" w:line="360" w:lineRule="auto"/>
        <w:jc w:val="both"/>
        <w:rPr>
          <w:bCs/>
        </w:rPr>
      </w:pPr>
      <w:r w:rsidRPr="00852E42">
        <w:rPr>
          <w:b/>
        </w:rPr>
        <w:t>4. Compensation and Hazard Pay:</w:t>
      </w:r>
      <w:r w:rsidRPr="00BE59FC">
        <w:rPr>
          <w:bCs/>
        </w:rPr>
        <w:t xml:space="preserve"> HR designs compensation packages that reflect the demanding nature of mining work, including hazard pay and bonuses for employees working in highrisk environments. This entails developing competitive salary structures, administering benefits such as health and life insurance, and providing incentives to attract and retain skilled mining professionals.</w:t>
      </w:r>
    </w:p>
    <w:p w14:paraId="2B06EE3F" w14:textId="1397474C" w:rsidR="00BE59FC" w:rsidRPr="00BE59FC" w:rsidRDefault="00BE59FC" w:rsidP="00BE59FC">
      <w:pPr>
        <w:pStyle w:val="NormalWeb"/>
        <w:spacing w:after="0" w:line="360" w:lineRule="auto"/>
        <w:jc w:val="both"/>
        <w:rPr>
          <w:bCs/>
        </w:rPr>
      </w:pPr>
      <w:r w:rsidRPr="00852E42">
        <w:rPr>
          <w:b/>
        </w:rPr>
        <w:t xml:space="preserve">5. Labor Relations in Mining Communities: </w:t>
      </w:r>
      <w:r w:rsidRPr="00BE59FC">
        <w:rPr>
          <w:bCs/>
        </w:rPr>
        <w:t>HR oversees labor relations in mining communities by fostering positive relationships with local communities, addressing concerns related to employment opportunities, and collaborating with stakeholders to promote sustainable development. This includes implementing community engagement initiatives, resolving conflicts, and supporting local hiring and procurement practices.</w:t>
      </w:r>
    </w:p>
    <w:p w14:paraId="3808A0E4" w14:textId="19F54CD6" w:rsidR="00BE59FC" w:rsidRPr="00BE59FC" w:rsidRDefault="00BE59FC" w:rsidP="00BE59FC">
      <w:pPr>
        <w:pStyle w:val="NormalWeb"/>
        <w:spacing w:after="0" w:line="360" w:lineRule="auto"/>
        <w:jc w:val="both"/>
        <w:rPr>
          <w:bCs/>
        </w:rPr>
      </w:pPr>
      <w:r w:rsidRPr="00852E42">
        <w:rPr>
          <w:b/>
        </w:rPr>
        <w:t xml:space="preserve">6. Compliance with Mining </w:t>
      </w:r>
      <w:r w:rsidR="00852E42" w:rsidRPr="00852E42">
        <w:rPr>
          <w:b/>
        </w:rPr>
        <w:t>Regulations:</w:t>
      </w:r>
      <w:r w:rsidR="00852E42" w:rsidRPr="00BE59FC">
        <w:rPr>
          <w:bCs/>
        </w:rPr>
        <w:t xml:space="preserve"> HR</w:t>
      </w:r>
      <w:r w:rsidRPr="00BE59FC">
        <w:rPr>
          <w:bCs/>
        </w:rPr>
        <w:t xml:space="preserve"> ensures compliance with mining regulations, environmental standards, and health and safety laws to mitigate legal risks and safeguard the reputation of the mining company. This involves staying abreast of regulatory changes, implementing policies and procedures to maintain compliance, and addressing any legal issues or disputes that may arise.</w:t>
      </w:r>
    </w:p>
    <w:p w14:paraId="32A466B3" w14:textId="5AAFE2D2" w:rsidR="00BE59FC" w:rsidRPr="00BE59FC" w:rsidRDefault="00BE59FC" w:rsidP="00BE59FC">
      <w:pPr>
        <w:pStyle w:val="NormalWeb"/>
        <w:spacing w:after="0" w:line="360" w:lineRule="auto"/>
        <w:jc w:val="both"/>
        <w:rPr>
          <w:bCs/>
        </w:rPr>
      </w:pPr>
      <w:r w:rsidRPr="00852E42">
        <w:rPr>
          <w:b/>
        </w:rPr>
        <w:t>7. Strategic Workforce Planning for Mining Operations:</w:t>
      </w:r>
      <w:r w:rsidRPr="00BE59FC">
        <w:rPr>
          <w:bCs/>
        </w:rPr>
        <w:t xml:space="preserve"> HR plays a strategic role in workforce planning for mining operations, including talent forecasting, succession planning, and skills gap analysis. This entails identifying future workforce needs, developing strategies to attract and retain talent, and optimizing the allocation of human resources to maximize operational efficiency.</w:t>
      </w:r>
    </w:p>
    <w:p w14:paraId="17035986" w14:textId="72917BAB" w:rsidR="00BE59FC" w:rsidRPr="00BE59FC" w:rsidRDefault="00BE59FC" w:rsidP="00BE59FC">
      <w:pPr>
        <w:pStyle w:val="NormalWeb"/>
        <w:spacing w:after="0" w:line="360" w:lineRule="auto"/>
        <w:jc w:val="both"/>
        <w:rPr>
          <w:bCs/>
        </w:rPr>
      </w:pPr>
      <w:r w:rsidRPr="00852E42">
        <w:rPr>
          <w:b/>
        </w:rPr>
        <w:t>8. Employee Wellbeing and Mental Health Support:</w:t>
      </w:r>
      <w:r w:rsidRPr="00BE59FC">
        <w:rPr>
          <w:bCs/>
        </w:rPr>
        <w:t xml:space="preserve"> HR prioritizes employee wellbeing and mental health support in the mining industry, recognizing the physical and psychological challenges associated with mining work. This includes providing access to counseling services, promoting </w:t>
      </w:r>
      <w:r w:rsidR="00852E42" w:rsidRPr="00BE59FC">
        <w:rPr>
          <w:bCs/>
        </w:rPr>
        <w:t>work life</w:t>
      </w:r>
      <w:r w:rsidRPr="00BE59FC">
        <w:rPr>
          <w:bCs/>
        </w:rPr>
        <w:t xml:space="preserve"> balance initiatives, and implementing wellness programs to support the holistic health of employees.</w:t>
      </w:r>
    </w:p>
    <w:p w14:paraId="4696A6F8" w14:textId="524230DD" w:rsidR="00BE59FC" w:rsidRPr="00BE59FC" w:rsidRDefault="00BE59FC" w:rsidP="00BE59FC">
      <w:pPr>
        <w:pStyle w:val="NormalWeb"/>
        <w:spacing w:after="0" w:line="360" w:lineRule="auto"/>
        <w:jc w:val="both"/>
        <w:rPr>
          <w:bCs/>
        </w:rPr>
      </w:pPr>
      <w:r w:rsidRPr="00852E42">
        <w:rPr>
          <w:b/>
        </w:rPr>
        <w:t>9. Diversity and Inclusion in Mining Workforces:</w:t>
      </w:r>
      <w:r w:rsidRPr="00BE59FC">
        <w:rPr>
          <w:bCs/>
        </w:rPr>
        <w:t xml:space="preserve"> HR promotes diversity and inclusion within mining workforces by embracing diversity, fostering a culture of respect and equality, and </w:t>
      </w:r>
      <w:r w:rsidRPr="00BE59FC">
        <w:rPr>
          <w:bCs/>
        </w:rPr>
        <w:lastRenderedPageBreak/>
        <w:t>implementing initiatives to ensure equitable opportunities for all employees. This includes promoting gender diversity, supporting indigenous employment initiatives, and creating inclusive work environments that celebrate diversity.</w:t>
      </w:r>
    </w:p>
    <w:p w14:paraId="08BBDDFA" w14:textId="50597982" w:rsidR="00DF2983" w:rsidRPr="00852441" w:rsidRDefault="00BE59FC" w:rsidP="00F71368">
      <w:pPr>
        <w:pStyle w:val="NormalWeb"/>
        <w:spacing w:after="0" w:line="360" w:lineRule="auto"/>
        <w:jc w:val="both"/>
        <w:rPr>
          <w:bCs/>
        </w:rPr>
      </w:pPr>
      <w:r w:rsidRPr="00852E42">
        <w:rPr>
          <w:b/>
        </w:rPr>
        <w:t>10. Adoption of Mining Technology and Data Analytics:</w:t>
      </w:r>
      <w:r w:rsidRPr="00BE59FC">
        <w:rPr>
          <w:bCs/>
        </w:rPr>
        <w:t xml:space="preserve"> HR leverages technology and data analytics to enhance HR processes, improve </w:t>
      </w:r>
      <w:r w:rsidR="00852E42" w:rsidRPr="00BE59FC">
        <w:rPr>
          <w:bCs/>
        </w:rPr>
        <w:t>decision-making</w:t>
      </w:r>
      <w:r w:rsidRPr="00BE59FC">
        <w:rPr>
          <w:bCs/>
        </w:rPr>
        <w:t xml:space="preserve">, and optimize workforce management in the mining industry. This includes implementing </w:t>
      </w:r>
      <w:r w:rsidR="00852E42" w:rsidRPr="00BE59FC">
        <w:rPr>
          <w:bCs/>
        </w:rPr>
        <w:t>mining specific</w:t>
      </w:r>
      <w:r w:rsidRPr="00BE59FC">
        <w:rPr>
          <w:bCs/>
        </w:rPr>
        <w:t xml:space="preserve"> HR software, analyzing workforce data to identify trends and opportunities for improvement, and adopting emerging technologies to streamline recruitment, training, and performance management processes.</w:t>
      </w:r>
    </w:p>
    <w:p w14:paraId="7E865EC0" w14:textId="2A91EDF7" w:rsidR="005D378D" w:rsidRPr="00852441" w:rsidRDefault="00852441" w:rsidP="00F71368">
      <w:pPr>
        <w:pStyle w:val="NormalWeb"/>
        <w:spacing w:before="0" w:beforeAutospacing="0" w:after="0" w:afterAutospacing="0" w:line="360" w:lineRule="auto"/>
        <w:jc w:val="center"/>
        <w:rPr>
          <w:b/>
          <w:bCs/>
        </w:rPr>
      </w:pPr>
      <w:r>
        <w:rPr>
          <w:b/>
          <w:bCs/>
        </w:rPr>
        <w:t xml:space="preserve">3. </w:t>
      </w:r>
      <w:r w:rsidR="005D378D" w:rsidRPr="000525A3">
        <w:rPr>
          <w:rFonts w:eastAsiaTheme="minorHAnsi"/>
          <w:b/>
          <w:lang w:val="en-IN" w:eastAsia="en-US"/>
        </w:rPr>
        <w:t>Green supply chain inventory</w:t>
      </w:r>
    </w:p>
    <w:p w14:paraId="7DA30059" w14:textId="7FCA8312" w:rsidR="00403750" w:rsidRPr="00403750" w:rsidRDefault="00403750" w:rsidP="00403750">
      <w:pPr>
        <w:pStyle w:val="NormalWeb"/>
        <w:spacing w:after="0" w:line="360" w:lineRule="auto"/>
        <w:jc w:val="both"/>
        <w:rPr>
          <w:bCs/>
        </w:rPr>
      </w:pPr>
      <w:r w:rsidRPr="00403750">
        <w:rPr>
          <w:bCs/>
        </w:rPr>
        <w:t xml:space="preserve">The mining industry faces unique challenges in implementing green supply chain inventory practices due to its </w:t>
      </w:r>
      <w:r w:rsidR="00852E42" w:rsidRPr="00403750">
        <w:rPr>
          <w:bCs/>
        </w:rPr>
        <w:t>resource intensive</w:t>
      </w:r>
      <w:r w:rsidRPr="00403750">
        <w:rPr>
          <w:bCs/>
        </w:rPr>
        <w:t xml:space="preserve"> nature and significant environmental impacts. However, by adopting sustainable approaches, mining companies can mitigate these challenges and contribute to environmental conservation. Here's how green supply chain inventory principles can be applied specifically to the mining industry:</w:t>
      </w:r>
    </w:p>
    <w:p w14:paraId="5868F7D4" w14:textId="3F466859" w:rsidR="00403750" w:rsidRPr="00403750" w:rsidRDefault="00403750" w:rsidP="00403750">
      <w:pPr>
        <w:pStyle w:val="NormalWeb"/>
        <w:spacing w:after="0" w:line="360" w:lineRule="auto"/>
        <w:jc w:val="both"/>
        <w:rPr>
          <w:bCs/>
        </w:rPr>
      </w:pPr>
      <w:r w:rsidRPr="00852E42">
        <w:rPr>
          <w:b/>
        </w:rPr>
        <w:t>1. Inventory Optimization:</w:t>
      </w:r>
      <w:r w:rsidRPr="00403750">
        <w:rPr>
          <w:bCs/>
        </w:rPr>
        <w:t xml:space="preserve"> Mining companies can optimize inventory levels by implementing advanced forecasting techniques to better predict demand for raw materials. This helps minimize excess stockpiles and reduces waste associated with overproduction.</w:t>
      </w:r>
    </w:p>
    <w:p w14:paraId="4D67E38A" w14:textId="036F8139" w:rsidR="00403750" w:rsidRPr="00403750" w:rsidRDefault="00403750" w:rsidP="00403750">
      <w:pPr>
        <w:pStyle w:val="NormalWeb"/>
        <w:spacing w:after="0" w:line="360" w:lineRule="auto"/>
        <w:jc w:val="both"/>
        <w:rPr>
          <w:bCs/>
        </w:rPr>
      </w:pPr>
      <w:r w:rsidRPr="00852E42">
        <w:rPr>
          <w:b/>
        </w:rPr>
        <w:t>2. Sustainable Sourcing:</w:t>
      </w:r>
      <w:r w:rsidRPr="00403750">
        <w:rPr>
          <w:bCs/>
        </w:rPr>
        <w:t xml:space="preserve"> Mining companies can source materials responsibly by prioritizing suppliers that adhere to environmental regulations and employ ecofriendly mining practices. This may involve sourcing from mines with a commitment to minimizing environmental impact and promoting community engagement.</w:t>
      </w:r>
    </w:p>
    <w:p w14:paraId="456D3552" w14:textId="67BD07C6" w:rsidR="00403750" w:rsidRPr="00403750" w:rsidRDefault="00403750" w:rsidP="00403750">
      <w:pPr>
        <w:pStyle w:val="NormalWeb"/>
        <w:spacing w:after="0" w:line="360" w:lineRule="auto"/>
        <w:jc w:val="both"/>
        <w:rPr>
          <w:bCs/>
        </w:rPr>
      </w:pPr>
      <w:r w:rsidRPr="00852E42">
        <w:rPr>
          <w:b/>
        </w:rPr>
        <w:t>3. Efficient Transportation:</w:t>
      </w:r>
      <w:r w:rsidRPr="00403750">
        <w:rPr>
          <w:bCs/>
        </w:rPr>
        <w:t xml:space="preserve"> Mining operations can optimize transportation routes and modes to reduce fuel consumption and emissions. This includes utilizing energyefficient vehicles and incorporating alternative transportation methods such as rail or conveyor systems for ore transport.</w:t>
      </w:r>
    </w:p>
    <w:p w14:paraId="5C07C9C8" w14:textId="59E02D3D" w:rsidR="00403750" w:rsidRPr="00403750" w:rsidRDefault="00403750" w:rsidP="00403750">
      <w:pPr>
        <w:pStyle w:val="NormalWeb"/>
        <w:spacing w:after="0" w:line="360" w:lineRule="auto"/>
        <w:jc w:val="both"/>
        <w:rPr>
          <w:bCs/>
        </w:rPr>
      </w:pPr>
      <w:r w:rsidRPr="00852E42">
        <w:rPr>
          <w:b/>
        </w:rPr>
        <w:t>4. Inventory Packaging:</w:t>
      </w:r>
      <w:r w:rsidRPr="00403750">
        <w:rPr>
          <w:bCs/>
        </w:rPr>
        <w:t xml:space="preserve"> Mining companies can minimize waste by utilizing ecofriendly packaging materials for transporting and storing mined materials. This may involve using recyclable containers and reducing packaging waste through innovative design solutions.</w:t>
      </w:r>
    </w:p>
    <w:p w14:paraId="4D563511" w14:textId="57E523BE" w:rsidR="00403750" w:rsidRPr="00403750" w:rsidRDefault="00403750" w:rsidP="00403750">
      <w:pPr>
        <w:pStyle w:val="NormalWeb"/>
        <w:spacing w:after="0" w:line="360" w:lineRule="auto"/>
        <w:jc w:val="both"/>
        <w:rPr>
          <w:bCs/>
        </w:rPr>
      </w:pPr>
      <w:r w:rsidRPr="00852E42">
        <w:rPr>
          <w:b/>
        </w:rPr>
        <w:t xml:space="preserve">5. Reverse Logistics: </w:t>
      </w:r>
      <w:r w:rsidRPr="00403750">
        <w:rPr>
          <w:bCs/>
        </w:rPr>
        <w:t>Implementing efficient processes for managing waste and recycling materials is crucial in the mining industry. Companies can establish systems for recycling waste materials and reusing byproducts to minimize environmental impact and promote circular economy principles.</w:t>
      </w:r>
    </w:p>
    <w:p w14:paraId="22C508AD" w14:textId="5FA35700" w:rsidR="00403750" w:rsidRPr="00403750" w:rsidRDefault="00403750" w:rsidP="00403750">
      <w:pPr>
        <w:pStyle w:val="NormalWeb"/>
        <w:spacing w:after="0" w:line="360" w:lineRule="auto"/>
        <w:jc w:val="both"/>
        <w:rPr>
          <w:bCs/>
        </w:rPr>
      </w:pPr>
      <w:r w:rsidRPr="00852E42">
        <w:rPr>
          <w:b/>
        </w:rPr>
        <w:lastRenderedPageBreak/>
        <w:t>6. Green Technologies:</w:t>
      </w:r>
      <w:r w:rsidRPr="00403750">
        <w:rPr>
          <w:bCs/>
        </w:rPr>
        <w:t xml:space="preserve"> Mining companies can leverage technology solutions such as advanced monitoring systems and automation to improve inventory management efficiency and reduce environmental footprint. This includes implementing IoT sensors for realtime monitoring of inventory levels and adopting RFID tracking for improved inventory visibility.</w:t>
      </w:r>
    </w:p>
    <w:p w14:paraId="7433F381" w14:textId="49A7ECD8" w:rsidR="00403750" w:rsidRPr="00403750" w:rsidRDefault="00403750" w:rsidP="00403750">
      <w:pPr>
        <w:pStyle w:val="NormalWeb"/>
        <w:spacing w:after="0" w:line="360" w:lineRule="auto"/>
        <w:jc w:val="both"/>
        <w:rPr>
          <w:bCs/>
        </w:rPr>
      </w:pPr>
      <w:r w:rsidRPr="00852E42">
        <w:rPr>
          <w:b/>
        </w:rPr>
        <w:t>7. Collaboration and Partnerships:</w:t>
      </w:r>
      <w:r w:rsidRPr="00403750">
        <w:rPr>
          <w:bCs/>
        </w:rPr>
        <w:t xml:space="preserve"> Collaboration with stakeholders such as local communities, environmental organizations, and regulatory bodies is essential for promoting sustainable mining practices. Mining companies can engage in partnerships to implement green initiatives, share best practices, and address environmental concerns.</w:t>
      </w:r>
    </w:p>
    <w:p w14:paraId="25E51234" w14:textId="4A36082A" w:rsidR="00403750" w:rsidRPr="00403750" w:rsidRDefault="00403750" w:rsidP="00403750">
      <w:pPr>
        <w:pStyle w:val="NormalWeb"/>
        <w:spacing w:after="0" w:line="360" w:lineRule="auto"/>
        <w:jc w:val="both"/>
        <w:rPr>
          <w:bCs/>
        </w:rPr>
      </w:pPr>
      <w:r w:rsidRPr="00852E42">
        <w:rPr>
          <w:b/>
        </w:rPr>
        <w:t>8. Performance Measurement and Reporting:</w:t>
      </w:r>
      <w:r w:rsidRPr="00403750">
        <w:rPr>
          <w:bCs/>
        </w:rPr>
        <w:t xml:space="preserve"> Establishing metrics to measure environmental performance is essential for monitoring progress and identifying areas for improvement. Mining companies can track key indicators such as carbon emissions, water usage, and waste generation to ensure compliance with sustainability goals and regulations.</w:t>
      </w:r>
    </w:p>
    <w:p w14:paraId="53C539CB" w14:textId="3B4F1BEF" w:rsidR="000525A3" w:rsidRPr="00B54D2B" w:rsidRDefault="000525A3" w:rsidP="00B54D2B">
      <w:pPr>
        <w:pStyle w:val="ListParagraph"/>
        <w:numPr>
          <w:ilvl w:val="0"/>
          <w:numId w:val="13"/>
        </w:numPr>
        <w:spacing w:line="360" w:lineRule="auto"/>
        <w:jc w:val="center"/>
        <w:rPr>
          <w:rFonts w:ascii="Times New Roman" w:hAnsi="Times New Roman" w:cs="Times New Roman"/>
          <w:b/>
          <w:sz w:val="24"/>
          <w:szCs w:val="24"/>
        </w:rPr>
      </w:pPr>
      <w:r w:rsidRPr="00B54D2B">
        <w:rPr>
          <w:rFonts w:ascii="Times New Roman" w:hAnsi="Times New Roman" w:cs="Times New Roman"/>
          <w:b/>
          <w:sz w:val="24"/>
          <w:szCs w:val="24"/>
        </w:rPr>
        <w:t>Related Work</w:t>
      </w:r>
    </w:p>
    <w:p w14:paraId="0EF6B11A" w14:textId="793F246D" w:rsidR="00A73C54" w:rsidRPr="00852441" w:rsidRDefault="00B54D2B" w:rsidP="00F71368">
      <w:pPr>
        <w:autoSpaceDE w:val="0"/>
        <w:autoSpaceDN w:val="0"/>
        <w:adjustRightInd w:val="0"/>
        <w:spacing w:line="360" w:lineRule="auto"/>
        <w:jc w:val="both"/>
        <w:rPr>
          <w:rFonts w:ascii="Times New Roman" w:hAnsi="Times New Roman" w:cs="Times New Roman"/>
          <w:sz w:val="24"/>
          <w:szCs w:val="24"/>
        </w:rPr>
      </w:pPr>
      <w:r w:rsidRPr="000C7C10">
        <w:rPr>
          <w:rFonts w:ascii="Times New Roman" w:hAnsi="Times New Roman" w:cs="Times New Roman"/>
          <w:sz w:val="24"/>
          <w:szCs w:val="24"/>
        </w:rPr>
        <w:t>Supply chain management can be defined as: "Supply chain management is the coordination of production, storage, location and transport between players in the supply chain to achieve the best combination of responsiveness and efficiency for a given market. Many researchers in the inventory system have focused on a product that does not overcome spoilage. However, there are a number of things whose meaning doesn't stay the same over time. The deterioration of these substances plays an important role and cannot be stored for long {Yadav et al. (1-10)</w:t>
      </w:r>
      <w:r>
        <w:rPr>
          <w:rFonts w:ascii="Times New Roman" w:hAnsi="Times New Roman" w:cs="Times New Roman"/>
          <w:sz w:val="24"/>
          <w:szCs w:val="24"/>
        </w:rPr>
        <w:t>.</w:t>
      </w:r>
      <w:r w:rsidRPr="000C7C10">
        <w:rPr>
          <w:rFonts w:ascii="Times New Roman" w:hAnsi="Times New Roman" w:cs="Times New Roman"/>
          <w:sz w:val="24"/>
          <w:szCs w:val="24"/>
        </w:rPr>
        <w:t xml:space="preserve"> Deterioration of an object can be described as deterioration, evaporation, obsolescence and loss of use or restriction of an object, resulting in less inventory consumption than under natural conditions. When raw materials are put in stock as a stock to meet future needs, there may be a deterioration of the items in the arithmetic system which could occur for one or more reasons, etc. Storage conditions, weather or humidity. {Yadav, et al. (11-20)}</w:t>
      </w:r>
      <w:r>
        <w:rPr>
          <w:rFonts w:ascii="Times New Roman" w:hAnsi="Times New Roman" w:cs="Times New Roman"/>
          <w:sz w:val="24"/>
          <w:szCs w:val="24"/>
        </w:rPr>
        <w:t>.</w:t>
      </w:r>
      <w:r w:rsidRPr="000C7C10">
        <w:rPr>
          <w:rFonts w:ascii="Times New Roman" w:hAnsi="Times New Roman" w:cs="Times New Roman"/>
          <w:sz w:val="24"/>
          <w:szCs w:val="24"/>
        </w:rPr>
        <w:t xml:space="preserve"> Inach generally states that management has a warehouse to store the purchased warehouse. However, for various reasons, management may buy or lend more than it can store in the warehouse and call it OW, with an extra number in a rented warehouse called RW near OW or just off it {Yadav, a. al. (21-53)}. Inventory costs (including maintenance costs and depreciation costs) in RW are generally higher than OW costs due to additional costs of running, equipment maintenance, etc. Reducing inventory costs will cost-effectively utilize RW products as quickly as possible. Actual customer service is only provided by OW, and to reduce costs, RW stock is cleaned first. Such arithmetic examples are called two arithmetic examples in the shop {Yadav and swami. (54-61)}. Management of the supply of electronic storage devices and integration of environmental and nerve networks {Yadav and Kumar (62)}. Analysis of seven supply chain management measures to improve inventory of electronic storage devices by submitting a financial burden using GA and PSO and supply chain management analysis to improve inventory and </w:t>
      </w:r>
      <w:r w:rsidRPr="000C7C10">
        <w:rPr>
          <w:rFonts w:ascii="Times New Roman" w:hAnsi="Times New Roman" w:cs="Times New Roman"/>
          <w:sz w:val="24"/>
          <w:szCs w:val="24"/>
        </w:rPr>
        <w:lastRenderedPageBreak/>
        <w:t>inventory of equipment using genetic computation and model design and chain inventory analysis from bi inventory and economic difficulty in transporting goods by genetic computation {Yadav, AS (63, 64, 65)}. Inventory policies for inventory and inventory needs and miscellaneous inventory costs based on allowable payments and inventory delays</w:t>
      </w:r>
      <w:r>
        <w:rPr>
          <w:rFonts w:ascii="Times New Roman" w:hAnsi="Times New Roman" w:cs="Times New Roman"/>
          <w:sz w:val="24"/>
          <w:szCs w:val="24"/>
        </w:rPr>
        <w:t>.</w:t>
      </w:r>
      <w:r w:rsidRPr="000C7C10">
        <w:rPr>
          <w:rFonts w:ascii="Times New Roman" w:hAnsi="Times New Roman" w:cs="Times New Roman"/>
          <w:sz w:val="24"/>
          <w:szCs w:val="24"/>
        </w:rPr>
        <w:t xml:space="preserve"> An example of depreciation of various types of goods and services and costs by keeping a business loan and inventory model with pricing needs low sensitive, inventory costs versus inflationary business expense loans {Swami, et. al. (66, 67, 68)}. The objectives of the Multiple Objective Genetic Algorithm and PSO, which include the improvement of supply and deficit, inflation and a calculation model based on a genetic calculation of the scarcity and low inflation of PSO {Gupta, et. al. (69, 70)}. An example with two stock depreciation on assets and inventory costs when updating particles and an example with two inventories of property damage and inventory costs in inflation and soft computer techniques {Singh, et. al. (71, 72)}. Delayed control of alcohol supply and particle refinement and green cement supply system and inflation by particle enhancement and electronic inventory system and distribution center by genetic computations {Kumar, et. al. (73, 74</w:t>
      </w:r>
      <w:r>
        <w:rPr>
          <w:rFonts w:ascii="Times New Roman" w:hAnsi="Times New Roman" w:cs="Times New Roman"/>
          <w:sz w:val="24"/>
          <w:szCs w:val="24"/>
        </w:rPr>
        <w:t xml:space="preserve">, </w:t>
      </w:r>
      <w:r w:rsidRPr="000C7C10">
        <w:rPr>
          <w:rFonts w:ascii="Times New Roman" w:hAnsi="Times New Roman" w:cs="Times New Roman"/>
          <w:sz w:val="24"/>
          <w:szCs w:val="24"/>
        </w:rPr>
        <w:t>75)}. Depreciation example at two stores and warehouses based on inventory using one genetic stock and one vehicle stock for demand and inflation inventory with two distribution centers using genetic stock {Chauhan and Yadav (76, 77)}. Analysis of marble Improvement of industrial reserves based on genetic technology and improvement of multiple particles {Pandey, et. al. (78)} The white wine industry in supply chain management through nerve networks {Ahlawat, et. al. (79)}. The best policy to import damaged goods immediately and pay for conditional delays under the supervision of two warehouses {Singh, et. al. (80)}.</w:t>
      </w:r>
    </w:p>
    <w:p w14:paraId="28F4DE48" w14:textId="57AF86E2" w:rsidR="00622C6D" w:rsidRPr="00852441" w:rsidRDefault="00DF2983" w:rsidP="00B54D2B">
      <w:pPr>
        <w:pStyle w:val="NormalWeb"/>
        <w:numPr>
          <w:ilvl w:val="0"/>
          <w:numId w:val="13"/>
        </w:numPr>
        <w:spacing w:before="0" w:beforeAutospacing="0" w:after="0" w:afterAutospacing="0" w:line="360" w:lineRule="auto"/>
        <w:jc w:val="center"/>
        <w:rPr>
          <w:b/>
          <w:bCs/>
        </w:rPr>
      </w:pPr>
      <w:r>
        <w:rPr>
          <w:b/>
          <w:bCs/>
        </w:rPr>
        <w:t>Genetic algorithms</w:t>
      </w:r>
      <w:r w:rsidR="00BE3B5A" w:rsidRPr="00852441">
        <w:rPr>
          <w:b/>
          <w:bCs/>
        </w:rPr>
        <w:t xml:space="preserve"> Based Green Supply Chain Inventory Optimization Analysis</w:t>
      </w:r>
    </w:p>
    <w:p w14:paraId="55002D99" w14:textId="675F29E1" w:rsidR="005A4A06" w:rsidRPr="00852441" w:rsidRDefault="00F9323E" w:rsidP="00F71368">
      <w:pPr>
        <w:pStyle w:val="NormalWeb"/>
        <w:spacing w:before="0" w:beforeAutospacing="0" w:after="0" w:afterAutospacing="0" w:line="360" w:lineRule="auto"/>
        <w:jc w:val="both"/>
        <w:rPr>
          <w:bCs/>
        </w:rPr>
      </w:pPr>
      <w:r w:rsidRPr="00852441">
        <w:rPr>
          <w:bCs/>
        </w:rPr>
        <w:t xml:space="preserve">To be the most effective in controlling the </w:t>
      </w:r>
      <w:r w:rsidR="00A517F4">
        <w:rPr>
          <w:bCs/>
        </w:rPr>
        <w:t>Mining</w:t>
      </w:r>
      <w:r w:rsidRPr="00852441">
        <w:rPr>
          <w:bCs/>
        </w:rPr>
        <w:t xml:space="preserve"> industry vegetable production, the main objective is to predict where, why and how it should be processed and by the way such predictions should be made here. The proposed approach could provide appropriate levels of investment that will be sustained in the near future, reducing the cost of the green grass production process for the </w:t>
      </w:r>
      <w:r w:rsidR="00A517F4">
        <w:rPr>
          <w:bCs/>
        </w:rPr>
        <w:t>Mining</w:t>
      </w:r>
      <w:r w:rsidRPr="00852441">
        <w:rPr>
          <w:bCs/>
        </w:rPr>
        <w:t xml:space="preserve"> industry. The design of the production system is divided into three parts that will be improved</w:t>
      </w:r>
    </w:p>
    <w:p w14:paraId="37B22487" w14:textId="42D9FE8C" w:rsidR="00036A9F" w:rsidRPr="00852441" w:rsidRDefault="00EB59CC" w:rsidP="00F71368">
      <w:pPr>
        <w:pStyle w:val="NormalWeb"/>
        <w:spacing w:before="0" w:beforeAutospacing="0" w:after="0" w:afterAutospacing="0" w:line="360" w:lineRule="auto"/>
        <w:jc w:val="both"/>
        <w:rPr>
          <w:b/>
          <w:bCs/>
        </w:rPr>
      </w:pPr>
      <m:oMathPara>
        <m:oMath>
          <m:eqArr>
            <m:eqArrPr>
              <m:ctrlPr>
                <w:rPr>
                  <w:rFonts w:ascii="Cambria Math" w:hAnsi="Cambria Math"/>
                  <w:bCs/>
                </w:rPr>
              </m:ctrlPr>
            </m:eqArrPr>
            <m:e>
              <m:borderBox>
                <m:borderBoxPr>
                  <m:ctrlPr>
                    <w:rPr>
                      <w:rFonts w:ascii="Cambria Math" w:hAnsi="Cambria Math"/>
                      <w:bCs/>
                    </w:rPr>
                  </m:ctrlPr>
                </m:borderBoxPr>
                <m:e>
                  <m:eqArr>
                    <m:eqArrPr>
                      <m:ctrlPr>
                        <w:rPr>
                          <w:rFonts w:ascii="Cambria Math" w:hAnsi="Cambria Math"/>
                          <w:bCs/>
                        </w:rPr>
                      </m:ctrlPr>
                    </m:eqArrPr>
                    <m:e>
                      <m:r>
                        <m:rPr>
                          <m:nor/>
                        </m:rPr>
                        <w:rPr>
                          <w:bCs/>
                        </w:rPr>
                        <m:t>Green Producer of Mining Industry</m:t>
                      </m:r>
                    </m:e>
                    <m:e>
                      <m:r>
                        <w:rPr>
                          <w:rFonts w:ascii="Cambria Math" w:hAnsi="Cambria Math"/>
                        </w:rPr>
                        <m:t>↓</m:t>
                      </m:r>
                    </m:e>
                    <m:e>
                      <m:r>
                        <m:rPr>
                          <m:nor/>
                        </m:rPr>
                        <w:rPr>
                          <w:bCs/>
                        </w:rPr>
                        <m:t>Green Storage of Mining Industry</m:t>
                      </m:r>
                    </m:e>
                    <m:e>
                      <m:r>
                        <w:rPr>
                          <w:rFonts w:ascii="Cambria Math" w:hAnsi="Cambria Math"/>
                        </w:rPr>
                        <m:t>↓</m:t>
                      </m:r>
                    </m:e>
                    <m:e>
                      <m:r>
                        <m:rPr>
                          <m:nor/>
                        </m:rPr>
                        <w:rPr>
                          <w:bCs/>
                        </w:rPr>
                        <m:t>Green Agents of Mining Industry</m:t>
                      </m:r>
                    </m:e>
                  </m:eqArr>
                </m:e>
              </m:borderBox>
            </m:e>
            <m:e>
              <m:r>
                <m:rPr>
                  <m:nor/>
                </m:rPr>
                <w:rPr>
                  <w:bCs/>
                </w:rPr>
                <m:t xml:space="preserve">Fig. 1. Three stage Green supply chain </m:t>
              </m:r>
              <m:d>
                <m:dPr>
                  <m:ctrlPr>
                    <w:rPr>
                      <w:rFonts w:ascii="Cambria Math" w:hAnsi="Cambria Math"/>
                      <w:bCs/>
                    </w:rPr>
                  </m:ctrlPr>
                </m:dPr>
                <m:e>
                  <m:r>
                    <m:rPr>
                      <m:nor/>
                    </m:rPr>
                    <w:rPr>
                      <w:bCs/>
                    </w:rPr>
                    <m:t>Studied model</m:t>
                  </m:r>
                </m:e>
              </m:d>
            </m:e>
          </m:eqArr>
        </m:oMath>
      </m:oMathPara>
    </w:p>
    <w:p w14:paraId="483028BC" w14:textId="7AB0544D" w:rsidR="005D378D" w:rsidRPr="00852441" w:rsidRDefault="00F9323E" w:rsidP="00F71368">
      <w:pPr>
        <w:pStyle w:val="NormalWeb"/>
        <w:spacing w:before="0" w:beforeAutospacing="0" w:after="0" w:afterAutospacing="0" w:line="360" w:lineRule="auto"/>
        <w:jc w:val="both"/>
        <w:rPr>
          <w:bCs/>
        </w:rPr>
      </w:pPr>
      <w:r w:rsidRPr="00852441">
        <w:rPr>
          <w:bCs/>
        </w:rPr>
        <w:t xml:space="preserve">In this figure 1. The manufacturer supplies the various </w:t>
      </w:r>
      <w:r w:rsidR="00A517F4">
        <w:rPr>
          <w:bCs/>
        </w:rPr>
        <w:t>Mining</w:t>
      </w:r>
      <w:r w:rsidRPr="00852441">
        <w:rPr>
          <w:bCs/>
        </w:rPr>
        <w:t xml:space="preserve"> processors and determines how to deliver it to the </w:t>
      </w:r>
      <w:r w:rsidR="00A517F4">
        <w:rPr>
          <w:bCs/>
        </w:rPr>
        <w:t>Mining</w:t>
      </w:r>
      <w:r w:rsidRPr="00852441">
        <w:rPr>
          <w:bCs/>
        </w:rPr>
        <w:t xml:space="preserve"> industry and how to shift manual investment to the </w:t>
      </w:r>
      <w:r w:rsidR="00A517F4">
        <w:rPr>
          <w:bCs/>
        </w:rPr>
        <w:t>Mining</w:t>
      </w:r>
      <w:r w:rsidRPr="00852441">
        <w:rPr>
          <w:bCs/>
        </w:rPr>
        <w:t xml:space="preserve"> industry. The proposed approach aims to determine the specific product to be targeted and the number of commodities to be held by the various members of the consumer electronics suppliers and the method also examines the level of stocks.</w:t>
      </w:r>
    </w:p>
    <w:p w14:paraId="49C132E2" w14:textId="77777777" w:rsidR="007D36DD" w:rsidRPr="006F4EED" w:rsidRDefault="007D36DD" w:rsidP="006F4EED">
      <w:pPr>
        <w:autoSpaceDE w:val="0"/>
        <w:autoSpaceDN w:val="0"/>
        <w:adjustRightInd w:val="0"/>
        <w:spacing w:line="360" w:lineRule="auto"/>
        <w:jc w:val="both"/>
        <w:rPr>
          <w:rFonts w:ascii="Times New Roman" w:hAnsi="Times New Roman" w:cs="Times New Roman"/>
          <w:sz w:val="24"/>
          <w:szCs w:val="24"/>
        </w:rPr>
      </w:pPr>
    </w:p>
    <w:p w14:paraId="5712F77D" w14:textId="48F3A6E3" w:rsidR="001F4493" w:rsidRPr="006F4EED" w:rsidRDefault="001F4493" w:rsidP="00706BF9">
      <w:pPr>
        <w:pStyle w:val="ListParagraph"/>
        <w:numPr>
          <w:ilvl w:val="0"/>
          <w:numId w:val="13"/>
        </w:numPr>
        <w:autoSpaceDE w:val="0"/>
        <w:autoSpaceDN w:val="0"/>
        <w:adjustRightInd w:val="0"/>
        <w:spacing w:line="360" w:lineRule="auto"/>
        <w:jc w:val="center"/>
        <w:rPr>
          <w:rFonts w:ascii="Times New Roman" w:hAnsi="Times New Roman" w:cs="Times New Roman"/>
          <w:b/>
          <w:bCs/>
          <w:sz w:val="24"/>
          <w:szCs w:val="24"/>
        </w:rPr>
      </w:pPr>
      <w:r w:rsidRPr="006F4EED">
        <w:rPr>
          <w:rFonts w:ascii="Times New Roman" w:hAnsi="Times New Roman" w:cs="Times New Roman"/>
          <w:b/>
          <w:bCs/>
          <w:sz w:val="24"/>
          <w:szCs w:val="24"/>
        </w:rPr>
        <w:t>Role of Human Resource as compared to Supply Chain Management</w:t>
      </w:r>
    </w:p>
    <w:p w14:paraId="2B35E54E" w14:textId="386AF115" w:rsidR="0029256E" w:rsidRPr="00102BE2" w:rsidRDefault="0029256E" w:rsidP="0029256E">
      <w:pPr>
        <w:pStyle w:val="NormalWeb"/>
        <w:spacing w:after="0" w:line="360" w:lineRule="auto"/>
        <w:jc w:val="both"/>
        <w:rPr>
          <w:b/>
        </w:rPr>
      </w:pPr>
      <w:r w:rsidRPr="00102BE2">
        <w:rPr>
          <w:b/>
        </w:rPr>
        <w:t>1. Focus and Purpose:</w:t>
      </w:r>
    </w:p>
    <w:p w14:paraId="4DAAA30C" w14:textId="3C2BD260" w:rsidR="0029256E" w:rsidRPr="0029256E" w:rsidRDefault="0029256E" w:rsidP="00102BE2">
      <w:pPr>
        <w:pStyle w:val="NormalWeb"/>
        <w:numPr>
          <w:ilvl w:val="0"/>
          <w:numId w:val="9"/>
        </w:numPr>
        <w:spacing w:after="0" w:line="360" w:lineRule="auto"/>
        <w:jc w:val="both"/>
        <w:rPr>
          <w:bCs/>
        </w:rPr>
      </w:pPr>
      <w:r w:rsidRPr="00102BE2">
        <w:rPr>
          <w:b/>
        </w:rPr>
        <w:t>Human Resource Management (HRM):</w:t>
      </w:r>
      <w:r w:rsidRPr="0029256E">
        <w:rPr>
          <w:bCs/>
        </w:rPr>
        <w:t xml:space="preserve"> HRM in the mining industry focuses on managing the workforce, including recruitment, training, safety, and compliance with labor laws. It ensures that employees have the necessary skills and are equipped to work in hazardous environments.</w:t>
      </w:r>
    </w:p>
    <w:p w14:paraId="30138B6A" w14:textId="30273D53" w:rsidR="0029256E" w:rsidRPr="0029256E" w:rsidRDefault="0029256E" w:rsidP="00102BE2">
      <w:pPr>
        <w:pStyle w:val="NormalWeb"/>
        <w:numPr>
          <w:ilvl w:val="0"/>
          <w:numId w:val="9"/>
        </w:numPr>
        <w:spacing w:after="0" w:line="360" w:lineRule="auto"/>
        <w:jc w:val="both"/>
        <w:rPr>
          <w:bCs/>
        </w:rPr>
      </w:pPr>
      <w:r w:rsidRPr="00102BE2">
        <w:rPr>
          <w:b/>
        </w:rPr>
        <w:t>Supply Chain Management (SCM):</w:t>
      </w:r>
      <w:r w:rsidRPr="0029256E">
        <w:rPr>
          <w:bCs/>
        </w:rPr>
        <w:t xml:space="preserve"> SCM in mining involves managing the flow of materials, equipment, and resources from extraction sites to processing plants and finally to distribution centers or end customers. This includes procurement, transportation, and inventory management.</w:t>
      </w:r>
    </w:p>
    <w:p w14:paraId="78D82A2F" w14:textId="729203D9" w:rsidR="0029256E" w:rsidRPr="0029256E" w:rsidRDefault="0029256E" w:rsidP="0029256E">
      <w:pPr>
        <w:pStyle w:val="NormalWeb"/>
        <w:spacing w:after="0" w:line="360" w:lineRule="auto"/>
        <w:jc w:val="both"/>
        <w:rPr>
          <w:b/>
        </w:rPr>
      </w:pPr>
      <w:r w:rsidRPr="0029256E">
        <w:rPr>
          <w:b/>
        </w:rPr>
        <w:t>2. Scope:</w:t>
      </w:r>
    </w:p>
    <w:p w14:paraId="17D7549F" w14:textId="0B612FE6" w:rsidR="0029256E" w:rsidRPr="0029256E" w:rsidRDefault="0029256E" w:rsidP="00102BE2">
      <w:pPr>
        <w:pStyle w:val="NormalWeb"/>
        <w:numPr>
          <w:ilvl w:val="0"/>
          <w:numId w:val="10"/>
        </w:numPr>
        <w:spacing w:after="0" w:line="360" w:lineRule="auto"/>
        <w:jc w:val="both"/>
        <w:rPr>
          <w:bCs/>
        </w:rPr>
      </w:pPr>
      <w:r w:rsidRPr="0029256E">
        <w:rPr>
          <w:b/>
        </w:rPr>
        <w:t>HRM:</w:t>
      </w:r>
      <w:r w:rsidRPr="0029256E">
        <w:rPr>
          <w:bCs/>
        </w:rPr>
        <w:t xml:space="preserve"> Primarily internal, HRM in mining concentrates on optimizing the workforce, ensuring safety standards, and fostering a culture of compliance and wellbeing among employees.</w:t>
      </w:r>
    </w:p>
    <w:p w14:paraId="43DE0DC7" w14:textId="2841BFB1" w:rsidR="0029256E" w:rsidRPr="0029256E" w:rsidRDefault="0029256E" w:rsidP="00102BE2">
      <w:pPr>
        <w:pStyle w:val="NormalWeb"/>
        <w:numPr>
          <w:ilvl w:val="0"/>
          <w:numId w:val="10"/>
        </w:numPr>
        <w:spacing w:after="0" w:line="360" w:lineRule="auto"/>
        <w:jc w:val="both"/>
        <w:rPr>
          <w:bCs/>
        </w:rPr>
      </w:pPr>
      <w:r w:rsidRPr="0029256E">
        <w:rPr>
          <w:b/>
        </w:rPr>
        <w:t>SCM:</w:t>
      </w:r>
      <w:r w:rsidRPr="0029256E">
        <w:rPr>
          <w:bCs/>
        </w:rPr>
        <w:t xml:space="preserve"> Both internal and external stakeholders are involved in SCM in mining, including suppliers of raw materials, logistics providers, and end customers. It encompasses sourcing materials, managing transportation, and coordinating with various partners in the supply chain.</w:t>
      </w:r>
    </w:p>
    <w:p w14:paraId="38C353C0" w14:textId="11AA98CE" w:rsidR="0029256E" w:rsidRPr="0029256E" w:rsidRDefault="0029256E" w:rsidP="0029256E">
      <w:pPr>
        <w:pStyle w:val="NormalWeb"/>
        <w:spacing w:after="0" w:line="360" w:lineRule="auto"/>
        <w:jc w:val="both"/>
        <w:rPr>
          <w:b/>
        </w:rPr>
      </w:pPr>
      <w:r w:rsidRPr="0029256E">
        <w:rPr>
          <w:b/>
        </w:rPr>
        <w:t>3. Strategic Importance:</w:t>
      </w:r>
    </w:p>
    <w:p w14:paraId="3870B907" w14:textId="0FFEBFB1" w:rsidR="0029256E" w:rsidRPr="0029256E" w:rsidRDefault="0029256E" w:rsidP="00102BE2">
      <w:pPr>
        <w:pStyle w:val="NormalWeb"/>
        <w:numPr>
          <w:ilvl w:val="0"/>
          <w:numId w:val="11"/>
        </w:numPr>
        <w:spacing w:after="0" w:line="360" w:lineRule="auto"/>
        <w:jc w:val="both"/>
        <w:rPr>
          <w:bCs/>
        </w:rPr>
      </w:pPr>
      <w:r w:rsidRPr="0029256E">
        <w:rPr>
          <w:b/>
        </w:rPr>
        <w:t>HRM:</w:t>
      </w:r>
      <w:r w:rsidRPr="0029256E">
        <w:rPr>
          <w:bCs/>
        </w:rPr>
        <w:t xml:space="preserve"> In mining, HRM is critical for maintaining a skilled workforce capable of operating heavy machinery safely and efficiently. It contributes to organizational success by ensuring adherence to safety regulations and promoting employee wellbeing.</w:t>
      </w:r>
    </w:p>
    <w:p w14:paraId="0EDE163A" w14:textId="1709FF29" w:rsidR="0029256E" w:rsidRPr="0029256E" w:rsidRDefault="0029256E" w:rsidP="00102BE2">
      <w:pPr>
        <w:pStyle w:val="NormalWeb"/>
        <w:numPr>
          <w:ilvl w:val="0"/>
          <w:numId w:val="11"/>
        </w:numPr>
        <w:spacing w:after="0" w:line="360" w:lineRule="auto"/>
        <w:jc w:val="both"/>
        <w:rPr>
          <w:bCs/>
        </w:rPr>
      </w:pPr>
      <w:r w:rsidRPr="0029256E">
        <w:rPr>
          <w:b/>
        </w:rPr>
        <w:t>SCM:</w:t>
      </w:r>
      <w:r w:rsidRPr="0029256E">
        <w:rPr>
          <w:bCs/>
        </w:rPr>
        <w:t xml:space="preserve"> SCM is vital for the mining industry to ensure the timely delivery of materials and equipment to support operations. It minimizes downtime, optimizes resource utilization, and enhances overall operational efficiency.</w:t>
      </w:r>
    </w:p>
    <w:p w14:paraId="79075FD8" w14:textId="04859E5E" w:rsidR="0029256E" w:rsidRPr="0029256E" w:rsidRDefault="0029256E" w:rsidP="0029256E">
      <w:pPr>
        <w:pStyle w:val="NormalWeb"/>
        <w:spacing w:after="0" w:line="360" w:lineRule="auto"/>
        <w:jc w:val="both"/>
        <w:rPr>
          <w:b/>
        </w:rPr>
      </w:pPr>
      <w:r w:rsidRPr="0029256E">
        <w:rPr>
          <w:b/>
        </w:rPr>
        <w:t>4. Challenges:</w:t>
      </w:r>
    </w:p>
    <w:p w14:paraId="2AF4EB30" w14:textId="54A08436" w:rsidR="0029256E" w:rsidRPr="0029256E" w:rsidRDefault="0029256E" w:rsidP="00102BE2">
      <w:pPr>
        <w:pStyle w:val="NormalWeb"/>
        <w:numPr>
          <w:ilvl w:val="0"/>
          <w:numId w:val="12"/>
        </w:numPr>
        <w:spacing w:after="0" w:line="360" w:lineRule="auto"/>
        <w:jc w:val="both"/>
        <w:rPr>
          <w:bCs/>
        </w:rPr>
      </w:pPr>
      <w:r w:rsidRPr="0029256E">
        <w:rPr>
          <w:b/>
        </w:rPr>
        <w:t>HRM:</w:t>
      </w:r>
      <w:r w:rsidRPr="0029256E">
        <w:rPr>
          <w:bCs/>
        </w:rPr>
        <w:t xml:space="preserve"> Challenges in HRM for the mining industry include attracting and retaining skilled workers, ensuring compliance with safety regulations, addressing workforce diversity, and managing remote or isolated work environments.</w:t>
      </w:r>
    </w:p>
    <w:p w14:paraId="4AFE00C7" w14:textId="42F5B764" w:rsidR="0029256E" w:rsidRPr="00102BE2" w:rsidRDefault="0029256E" w:rsidP="0029256E">
      <w:pPr>
        <w:pStyle w:val="NormalWeb"/>
        <w:numPr>
          <w:ilvl w:val="0"/>
          <w:numId w:val="12"/>
        </w:numPr>
        <w:spacing w:after="0" w:line="360" w:lineRule="auto"/>
        <w:jc w:val="both"/>
        <w:rPr>
          <w:bCs/>
        </w:rPr>
      </w:pPr>
      <w:r w:rsidRPr="0029256E">
        <w:rPr>
          <w:b/>
        </w:rPr>
        <w:lastRenderedPageBreak/>
        <w:t>SCM:</w:t>
      </w:r>
      <w:r w:rsidRPr="0029256E">
        <w:rPr>
          <w:bCs/>
        </w:rPr>
        <w:t xml:space="preserve"> Challenges in SCM for mining include managing complex supply chains, optimizing transportation routes in remote locations, mitigating risks associated with volatile commodity prices, and ensuring environmental sustainability throughout the supply chain.</w:t>
      </w:r>
    </w:p>
    <w:p w14:paraId="0D70A17F" w14:textId="3018BA2B" w:rsidR="0029256E" w:rsidRPr="00102BE2" w:rsidRDefault="0029256E" w:rsidP="0029256E">
      <w:pPr>
        <w:pStyle w:val="NormalWeb"/>
        <w:spacing w:after="0" w:line="360" w:lineRule="auto"/>
        <w:jc w:val="both"/>
        <w:rPr>
          <w:b/>
        </w:rPr>
      </w:pPr>
      <w:r w:rsidRPr="00102BE2">
        <w:rPr>
          <w:b/>
        </w:rPr>
        <w:t>5. Integration:</w:t>
      </w:r>
    </w:p>
    <w:p w14:paraId="34F03864" w14:textId="3812BCD9" w:rsidR="0029256E" w:rsidRPr="0029256E" w:rsidRDefault="0029256E" w:rsidP="0029256E">
      <w:pPr>
        <w:pStyle w:val="NormalWeb"/>
        <w:spacing w:after="0" w:line="360" w:lineRule="auto"/>
        <w:jc w:val="both"/>
        <w:rPr>
          <w:bCs/>
        </w:rPr>
      </w:pPr>
      <w:r w:rsidRPr="00102BE2">
        <w:rPr>
          <w:b/>
        </w:rPr>
        <w:t xml:space="preserve">    HRM and SCM</w:t>
      </w:r>
      <w:r w:rsidRPr="0029256E">
        <w:rPr>
          <w:bCs/>
        </w:rPr>
        <w:t>: While distinct, HRM and SCM in mining are interconnected. Effective HRM ensures that employees are adequately trained and motivated, contributing to smoother SCM operations. Conversely, efficient SCM practices support HRM by providing a reliable supply of resources and materials essential for workforce productivity and safety.</w:t>
      </w:r>
    </w:p>
    <w:p w14:paraId="7DC8AD7B" w14:textId="700254DE" w:rsidR="001C09BC" w:rsidRPr="00852441" w:rsidRDefault="001C09BC" w:rsidP="00F71368">
      <w:pPr>
        <w:pStyle w:val="NormalWeb"/>
        <w:spacing w:after="0" w:line="360" w:lineRule="auto"/>
        <w:jc w:val="both"/>
      </w:pPr>
      <w:r w:rsidRPr="00852441">
        <w:rPr>
          <w:bCs/>
        </w:rPr>
        <w:t>Human resource activities in the manufacturing industry also face a similar fate. Here we will discuss the important role that HR can play when it comes to the supply chain.</w:t>
      </w:r>
      <w:r w:rsidRPr="00852441">
        <w:t xml:space="preserve"> </w:t>
      </w:r>
    </w:p>
    <w:p w14:paraId="16B43768" w14:textId="41E39ED5" w:rsidR="001C09BC" w:rsidRPr="00852441" w:rsidRDefault="001C09BC" w:rsidP="00F71368">
      <w:pPr>
        <w:pStyle w:val="NormalWeb"/>
        <w:spacing w:after="0" w:line="360" w:lineRule="auto"/>
        <w:jc w:val="both"/>
        <w:rPr>
          <w:bCs/>
        </w:rPr>
      </w:pPr>
      <w:r w:rsidRPr="00852441">
        <w:rPr>
          <w:bCs/>
        </w:rPr>
        <w:t xml:space="preserve">1. Access to natural resources </w:t>
      </w:r>
    </w:p>
    <w:p w14:paraId="1ABE3DAA" w14:textId="77777777" w:rsidR="001C09BC" w:rsidRPr="00852441" w:rsidRDefault="001C09BC" w:rsidP="00F71368">
      <w:pPr>
        <w:pStyle w:val="NormalWeb"/>
        <w:spacing w:after="0" w:line="360" w:lineRule="auto"/>
        <w:jc w:val="both"/>
        <w:rPr>
          <w:bCs/>
        </w:rPr>
      </w:pPr>
      <w:r w:rsidRPr="00852441">
        <w:rPr>
          <w:bCs/>
        </w:rPr>
        <w:t>2. Switch from raw materials to finished products</w:t>
      </w:r>
    </w:p>
    <w:p w14:paraId="0F507508" w14:textId="54512E97" w:rsidR="001C09BC" w:rsidRPr="00852441" w:rsidRDefault="001C09BC" w:rsidP="00F71368">
      <w:pPr>
        <w:pStyle w:val="NormalWeb"/>
        <w:spacing w:after="0" w:line="360" w:lineRule="auto"/>
        <w:jc w:val="both"/>
        <w:rPr>
          <w:bCs/>
        </w:rPr>
      </w:pPr>
      <w:r w:rsidRPr="00852441">
        <w:rPr>
          <w:bCs/>
        </w:rPr>
        <w:t xml:space="preserve">3. Consciousness </w:t>
      </w:r>
    </w:p>
    <w:p w14:paraId="1CA67851" w14:textId="77777777" w:rsidR="001C09BC" w:rsidRPr="00852441" w:rsidRDefault="001C09BC" w:rsidP="00F71368">
      <w:pPr>
        <w:pStyle w:val="NormalWeb"/>
        <w:spacing w:after="0" w:line="360" w:lineRule="auto"/>
        <w:jc w:val="both"/>
        <w:rPr>
          <w:bCs/>
        </w:rPr>
      </w:pPr>
      <w:r w:rsidRPr="00852441">
        <w:rPr>
          <w:bCs/>
        </w:rPr>
        <w:t>4. Check the quality and check the quality</w:t>
      </w:r>
    </w:p>
    <w:p w14:paraId="39628F0C" w14:textId="77777777" w:rsidR="001C09BC" w:rsidRPr="00852441" w:rsidRDefault="001C09BC" w:rsidP="00F71368">
      <w:pPr>
        <w:pStyle w:val="NormalWeb"/>
        <w:spacing w:after="0" w:line="360" w:lineRule="auto"/>
        <w:jc w:val="both"/>
        <w:rPr>
          <w:bCs/>
        </w:rPr>
      </w:pPr>
      <w:r w:rsidRPr="00852441">
        <w:rPr>
          <w:bCs/>
        </w:rPr>
        <w:t>5. Maintain the balance of transactions</w:t>
      </w:r>
    </w:p>
    <w:p w14:paraId="15168E1D" w14:textId="77777777" w:rsidR="001C09BC" w:rsidRPr="00852441" w:rsidRDefault="001C09BC" w:rsidP="00F71368">
      <w:pPr>
        <w:pStyle w:val="NormalWeb"/>
        <w:spacing w:after="0" w:line="360" w:lineRule="auto"/>
        <w:jc w:val="both"/>
        <w:rPr>
          <w:bCs/>
        </w:rPr>
      </w:pPr>
      <w:r w:rsidRPr="00852441">
        <w:rPr>
          <w:bCs/>
        </w:rPr>
        <w:t>6. SCM can benefit from using HRM services internally</w:t>
      </w:r>
    </w:p>
    <w:p w14:paraId="1D569E58" w14:textId="77777777" w:rsidR="001C09BC" w:rsidRPr="00852441" w:rsidRDefault="001C09BC" w:rsidP="00F71368">
      <w:pPr>
        <w:pStyle w:val="NormalWeb"/>
        <w:spacing w:after="0" w:line="360" w:lineRule="auto"/>
        <w:jc w:val="both"/>
        <w:rPr>
          <w:bCs/>
        </w:rPr>
      </w:pPr>
      <w:r w:rsidRPr="00852441">
        <w:rPr>
          <w:bCs/>
        </w:rPr>
        <w:t>From the previous discussions, we saw that there are significant similarities between the SCM function and the HRM function. In fact, SCM can use the best human resource management to better manage its operations.</w:t>
      </w:r>
    </w:p>
    <w:p w14:paraId="1F05451A" w14:textId="77777777" w:rsidR="001C09BC" w:rsidRPr="00852441" w:rsidRDefault="001C09BC" w:rsidP="00F71368">
      <w:pPr>
        <w:pStyle w:val="NormalWeb"/>
        <w:spacing w:after="0" w:line="360" w:lineRule="auto"/>
        <w:jc w:val="both"/>
        <w:rPr>
          <w:bCs/>
        </w:rPr>
      </w:pPr>
      <w:r w:rsidRPr="00852441">
        <w:rPr>
          <w:bCs/>
        </w:rPr>
        <w:t>1. The use of human resource management services can be connected to a link in the chain</w:t>
      </w:r>
    </w:p>
    <w:p w14:paraId="2838B397" w14:textId="77777777" w:rsidR="001C09BC" w:rsidRPr="00852441" w:rsidRDefault="001C09BC" w:rsidP="00F71368">
      <w:pPr>
        <w:pStyle w:val="NormalWeb"/>
        <w:spacing w:after="0" w:line="360" w:lineRule="auto"/>
        <w:jc w:val="both"/>
        <w:rPr>
          <w:bCs/>
        </w:rPr>
      </w:pPr>
      <w:r w:rsidRPr="00852441">
        <w:rPr>
          <w:bCs/>
        </w:rPr>
        <w:t>2. The effective use of "people"</w:t>
      </w:r>
    </w:p>
    <w:p w14:paraId="224E63BA" w14:textId="77777777" w:rsidR="001C09BC" w:rsidRPr="00852441" w:rsidRDefault="001C09BC" w:rsidP="00F71368">
      <w:pPr>
        <w:pStyle w:val="NormalWeb"/>
        <w:spacing w:before="0" w:beforeAutospacing="0" w:after="0" w:afterAutospacing="0" w:line="360" w:lineRule="auto"/>
        <w:jc w:val="both"/>
        <w:rPr>
          <w:bCs/>
        </w:rPr>
      </w:pPr>
      <w:r w:rsidRPr="00852441">
        <w:rPr>
          <w:bCs/>
        </w:rPr>
        <w:t>3. Advantages of the human resources strategy</w:t>
      </w:r>
    </w:p>
    <w:p w14:paraId="180BF391" w14:textId="5668AA30" w:rsidR="005D378D" w:rsidRDefault="001C09BC" w:rsidP="00F71368">
      <w:pPr>
        <w:pStyle w:val="NormalWeb"/>
        <w:spacing w:before="0" w:beforeAutospacing="0" w:after="0" w:afterAutospacing="0" w:line="360" w:lineRule="auto"/>
        <w:jc w:val="both"/>
      </w:pPr>
      <w:r w:rsidRPr="00852441">
        <w:rPr>
          <w:position w:val="-78"/>
        </w:rPr>
        <w:object w:dxaOrig="5040" w:dyaOrig="6800" w14:anchorId="1DF1C4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340.5pt" o:ole="">
            <v:imagedata r:id="rId5" o:title=""/>
          </v:shape>
          <o:OLEObject Type="Embed" ProgID="Equation.DSMT4" ShapeID="_x0000_i1025" DrawAspect="Content" ObjectID="_1779963956" r:id="rId6"/>
        </w:object>
      </w:r>
    </w:p>
    <w:p w14:paraId="5FE7607F" w14:textId="77777777" w:rsidR="00F71368" w:rsidRPr="00F71368" w:rsidRDefault="00F71368" w:rsidP="00F71368">
      <w:pPr>
        <w:pStyle w:val="NormalWeb"/>
        <w:spacing w:before="0" w:beforeAutospacing="0" w:after="0" w:afterAutospacing="0" w:line="360" w:lineRule="auto"/>
        <w:jc w:val="both"/>
        <w:rPr>
          <w:b/>
        </w:rPr>
      </w:pPr>
    </w:p>
    <w:p w14:paraId="352DB1C7" w14:textId="11A52F31" w:rsidR="008B0037" w:rsidRPr="006F4EED" w:rsidRDefault="00DF2983" w:rsidP="00B54D2B">
      <w:pPr>
        <w:pStyle w:val="NormalWeb"/>
        <w:numPr>
          <w:ilvl w:val="0"/>
          <w:numId w:val="13"/>
        </w:numPr>
        <w:spacing w:before="0" w:beforeAutospacing="0" w:after="0" w:afterAutospacing="0" w:line="360" w:lineRule="auto"/>
        <w:jc w:val="center"/>
        <w:rPr>
          <w:b/>
          <w:bCs/>
        </w:rPr>
      </w:pPr>
      <w:r>
        <w:rPr>
          <w:b/>
          <w:bCs/>
        </w:rPr>
        <w:t>Genetic algorithms</w:t>
      </w:r>
    </w:p>
    <w:p w14:paraId="170752FD" w14:textId="7F44D03E" w:rsidR="00601286" w:rsidRPr="00601286" w:rsidRDefault="00601286" w:rsidP="00601286">
      <w:pPr>
        <w:pStyle w:val="NormalWeb"/>
        <w:spacing w:after="0" w:line="360" w:lineRule="auto"/>
        <w:jc w:val="both"/>
        <w:rPr>
          <w:bCs/>
        </w:rPr>
      </w:pPr>
      <w:r w:rsidRPr="00601286">
        <w:rPr>
          <w:bCs/>
        </w:rPr>
        <w:t>Genetic algorithms (GAs) are a type of optimization algorithm inspired by the principles of natural selection and genetics. They are used to find approximate solutions to optimization and search problems. Here's how they work:</w:t>
      </w:r>
    </w:p>
    <w:p w14:paraId="2B804258" w14:textId="52F43FEA" w:rsidR="00601286" w:rsidRPr="00601286" w:rsidRDefault="00601286" w:rsidP="00601286">
      <w:pPr>
        <w:pStyle w:val="NormalWeb"/>
        <w:spacing w:after="0" w:line="360" w:lineRule="auto"/>
        <w:jc w:val="both"/>
        <w:rPr>
          <w:bCs/>
        </w:rPr>
      </w:pPr>
      <w:r w:rsidRPr="00601286">
        <w:rPr>
          <w:b/>
        </w:rPr>
        <w:t>1. Initialization:</w:t>
      </w:r>
      <w:r w:rsidRPr="00601286">
        <w:rPr>
          <w:bCs/>
        </w:rPr>
        <w:t xml:space="preserve"> The algorithm starts with a population of potential solutions (individuals) to the given problem. Each individual is represented as a set of parameters, often referred to as chromosomes or genes.</w:t>
      </w:r>
    </w:p>
    <w:p w14:paraId="64401215" w14:textId="015FCAD0" w:rsidR="00601286" w:rsidRPr="00601286" w:rsidRDefault="00601286" w:rsidP="00601286">
      <w:pPr>
        <w:pStyle w:val="NormalWeb"/>
        <w:spacing w:after="0" w:line="360" w:lineRule="auto"/>
        <w:jc w:val="both"/>
        <w:rPr>
          <w:bCs/>
        </w:rPr>
      </w:pPr>
      <w:r w:rsidRPr="00601286">
        <w:rPr>
          <w:b/>
        </w:rPr>
        <w:t>2. Evaluation:</w:t>
      </w:r>
      <w:r w:rsidRPr="00601286">
        <w:rPr>
          <w:bCs/>
        </w:rPr>
        <w:t xml:space="preserve"> Each individual in the population is evaluated and assigned a fitness score based on how well it solves the problem. The fitness score indicates the quality of the solution.</w:t>
      </w:r>
    </w:p>
    <w:p w14:paraId="41C80D9C" w14:textId="22C52D19" w:rsidR="00601286" w:rsidRPr="00601286" w:rsidRDefault="00601286" w:rsidP="00601286">
      <w:pPr>
        <w:pStyle w:val="NormalWeb"/>
        <w:spacing w:after="0" w:line="360" w:lineRule="auto"/>
        <w:jc w:val="both"/>
        <w:rPr>
          <w:bCs/>
        </w:rPr>
      </w:pPr>
      <w:r w:rsidRPr="00601286">
        <w:rPr>
          <w:b/>
        </w:rPr>
        <w:t>3. Selection:</w:t>
      </w:r>
      <w:r w:rsidRPr="00601286">
        <w:rPr>
          <w:bCs/>
        </w:rPr>
        <w:t xml:space="preserve"> Individuals are selected from the current population to serve as parents for the next generation. Selection is typically based on the individuals' fitness scores; higher fitness individuals are more likely to be selected.</w:t>
      </w:r>
    </w:p>
    <w:p w14:paraId="6342F23E" w14:textId="5B9FF6A0" w:rsidR="00601286" w:rsidRPr="00601286" w:rsidRDefault="00601286" w:rsidP="00601286">
      <w:pPr>
        <w:pStyle w:val="NormalWeb"/>
        <w:spacing w:after="0" w:line="360" w:lineRule="auto"/>
        <w:jc w:val="both"/>
        <w:rPr>
          <w:bCs/>
        </w:rPr>
      </w:pPr>
      <w:r w:rsidRPr="00601286">
        <w:rPr>
          <w:b/>
        </w:rPr>
        <w:t>4. Crossover:</w:t>
      </w:r>
      <w:r w:rsidRPr="00601286">
        <w:rPr>
          <w:bCs/>
        </w:rPr>
        <w:t xml:space="preserve"> During crossover, pairs of selected individuals (parents) exchange genetic information to produce offspring. This process mimics biological reproduction, where genetic material from both parents combines to create offspring with traits inherited from both parents.</w:t>
      </w:r>
    </w:p>
    <w:p w14:paraId="279AC1BB" w14:textId="4F827A70" w:rsidR="00601286" w:rsidRPr="00601286" w:rsidRDefault="00601286" w:rsidP="00601286">
      <w:pPr>
        <w:pStyle w:val="NormalWeb"/>
        <w:spacing w:after="0" w:line="360" w:lineRule="auto"/>
        <w:jc w:val="both"/>
        <w:rPr>
          <w:bCs/>
        </w:rPr>
      </w:pPr>
      <w:r w:rsidRPr="00601286">
        <w:rPr>
          <w:b/>
        </w:rPr>
        <w:lastRenderedPageBreak/>
        <w:t>5. Mutation:</w:t>
      </w:r>
      <w:r w:rsidRPr="00601286">
        <w:rPr>
          <w:bCs/>
        </w:rPr>
        <w:t xml:space="preserve"> After crossover, some individuals may undergo mutation, where their genetic material is altered randomly. Mutation introduces new genetic diversity into the population, helping to explore new regions of the search space.</w:t>
      </w:r>
    </w:p>
    <w:p w14:paraId="61C5CD7B" w14:textId="5321B751" w:rsidR="00601286" w:rsidRPr="00601286" w:rsidRDefault="00601286" w:rsidP="00601286">
      <w:pPr>
        <w:pStyle w:val="NormalWeb"/>
        <w:spacing w:after="0" w:line="360" w:lineRule="auto"/>
        <w:jc w:val="both"/>
        <w:rPr>
          <w:bCs/>
        </w:rPr>
      </w:pPr>
      <w:r w:rsidRPr="00601286">
        <w:rPr>
          <w:b/>
        </w:rPr>
        <w:t>6. Replacemen</w:t>
      </w:r>
      <w:r w:rsidRPr="00601286">
        <w:rPr>
          <w:bCs/>
        </w:rPr>
        <w:t>t: The new offspring and potentially mutated individuals replace the previous generation to form the next generation population. This ensures that the population evolves over time towards better solutions.</w:t>
      </w:r>
    </w:p>
    <w:p w14:paraId="5B0B7562" w14:textId="5A002895" w:rsidR="00601286" w:rsidRPr="00601286" w:rsidRDefault="00601286" w:rsidP="00601286">
      <w:pPr>
        <w:pStyle w:val="NormalWeb"/>
        <w:spacing w:after="0" w:line="360" w:lineRule="auto"/>
        <w:jc w:val="both"/>
        <w:rPr>
          <w:bCs/>
        </w:rPr>
      </w:pPr>
      <w:r w:rsidRPr="00601286">
        <w:rPr>
          <w:b/>
        </w:rPr>
        <w:t>7. Termination:</w:t>
      </w:r>
      <w:r w:rsidRPr="00601286">
        <w:rPr>
          <w:bCs/>
        </w:rPr>
        <w:t xml:space="preserve"> The algorithm continues iterating through the selection, crossover, mutation, and replacement steps for a certain number of generations or until a termination condition is met (e.g., a satisfactory solution is found).</w:t>
      </w:r>
    </w:p>
    <w:p w14:paraId="4D59B3A0" w14:textId="61A3196D" w:rsidR="0009689A" w:rsidRDefault="00601286" w:rsidP="00601286">
      <w:pPr>
        <w:pStyle w:val="NormalWeb"/>
        <w:spacing w:before="0" w:beforeAutospacing="0" w:after="0" w:afterAutospacing="0" w:line="360" w:lineRule="auto"/>
        <w:jc w:val="both"/>
        <w:rPr>
          <w:bCs/>
        </w:rPr>
      </w:pPr>
      <w:r w:rsidRPr="00601286">
        <w:rPr>
          <w:bCs/>
        </w:rPr>
        <w:t>Genetic algorithms are often applied to optimization problems where the search space is large and complex, and traditional optimization techniques may struggle to find optimal solutions. They have been used in various fields, including engineering, finance, bioinformatics, and machine learning.</w:t>
      </w:r>
    </w:p>
    <w:p w14:paraId="2B3F6A0B" w14:textId="77777777" w:rsidR="00601286" w:rsidRDefault="00601286" w:rsidP="00601286">
      <w:pPr>
        <w:pStyle w:val="NormalWeb"/>
        <w:spacing w:before="0" w:beforeAutospacing="0" w:after="0" w:afterAutospacing="0" w:line="360" w:lineRule="auto"/>
        <w:jc w:val="both"/>
        <w:rPr>
          <w:bCs/>
        </w:rPr>
      </w:pPr>
    </w:p>
    <w:p w14:paraId="69B24C8E" w14:textId="77777777" w:rsidR="00706BF9" w:rsidRDefault="00706BF9" w:rsidP="00601286">
      <w:pPr>
        <w:pStyle w:val="NormalWeb"/>
        <w:spacing w:before="0" w:beforeAutospacing="0" w:after="0" w:afterAutospacing="0" w:line="360" w:lineRule="auto"/>
        <w:jc w:val="both"/>
        <w:rPr>
          <w:bCs/>
        </w:rPr>
      </w:pPr>
    </w:p>
    <w:p w14:paraId="5B54A6D4" w14:textId="77777777" w:rsidR="00706BF9" w:rsidRPr="00852441" w:rsidRDefault="00706BF9" w:rsidP="00601286">
      <w:pPr>
        <w:pStyle w:val="NormalWeb"/>
        <w:spacing w:before="0" w:beforeAutospacing="0" w:after="0" w:afterAutospacing="0" w:line="360" w:lineRule="auto"/>
        <w:jc w:val="both"/>
        <w:rPr>
          <w:bCs/>
        </w:rPr>
      </w:pPr>
    </w:p>
    <w:p w14:paraId="742EB8A2" w14:textId="77777777" w:rsidR="00622C6D" w:rsidRPr="00852441" w:rsidRDefault="00BE3B5A" w:rsidP="00B54D2B">
      <w:pPr>
        <w:pStyle w:val="NormalWeb"/>
        <w:numPr>
          <w:ilvl w:val="0"/>
          <w:numId w:val="13"/>
        </w:numPr>
        <w:spacing w:before="0" w:beforeAutospacing="0" w:after="0" w:afterAutospacing="0" w:line="360" w:lineRule="auto"/>
        <w:jc w:val="center"/>
        <w:rPr>
          <w:b/>
          <w:bCs/>
        </w:rPr>
      </w:pPr>
      <w:r w:rsidRPr="00852441">
        <w:rPr>
          <w:b/>
          <w:bCs/>
        </w:rPr>
        <w:t>Results and Discussions</w:t>
      </w:r>
    </w:p>
    <w:p w14:paraId="3F6E0CD9" w14:textId="0CDF4B70" w:rsidR="00ED4097" w:rsidRPr="00852441" w:rsidRDefault="00F9323E" w:rsidP="00F71368">
      <w:pPr>
        <w:pStyle w:val="NormalWeb"/>
        <w:spacing w:before="0" w:beforeAutospacing="0" w:after="0" w:afterAutospacing="0" w:line="360" w:lineRule="auto"/>
        <w:jc w:val="both"/>
        <w:rPr>
          <w:bCs/>
        </w:rPr>
      </w:pPr>
      <w:r w:rsidRPr="00852441">
        <w:rPr>
          <w:bCs/>
        </w:rPr>
        <w:t xml:space="preserve">Improved design of a </w:t>
      </w:r>
      <w:r w:rsidR="00601286" w:rsidRPr="00852441">
        <w:rPr>
          <w:bCs/>
        </w:rPr>
        <w:t>limited-edition</w:t>
      </w:r>
      <w:r w:rsidRPr="00852441">
        <w:rPr>
          <w:bCs/>
        </w:rPr>
        <w:t xml:space="preserve"> materials management system in the Management chain based on a design platform developed with the help of MATLAB. Computational measurements for various members of the production chain, the private milk processing industry, the private milk processing industry and the expert </w:t>
      </w:r>
      <w:r w:rsidR="00A517F4">
        <w:rPr>
          <w:bCs/>
        </w:rPr>
        <w:t>Mining</w:t>
      </w:r>
      <w:r w:rsidRPr="00852441">
        <w:rPr>
          <w:bCs/>
        </w:rPr>
        <w:t xml:space="preserve"> industry representative in industrial milk processing equipment produced using the MATLAB script, and this set of data is used to assess impact. milk thistle. Table 1 lists some examples of data sets used in the implementation. In Table 1 about 5 data sets are presented and are taken as data from the previous period.</w:t>
      </w:r>
    </w:p>
    <w:p w14:paraId="7BEFAD2E" w14:textId="2FA070EC" w:rsidR="007E2BF7" w:rsidRPr="00852441" w:rsidRDefault="00FC036D" w:rsidP="00F71368">
      <w:pPr>
        <w:pStyle w:val="NormalWeb"/>
        <w:spacing w:before="0" w:beforeAutospacing="0" w:after="0" w:afterAutospacing="0" w:line="360" w:lineRule="auto"/>
        <w:jc w:val="both"/>
        <w:rPr>
          <w:b/>
          <w:bCs/>
        </w:rPr>
      </w:pPr>
      <w:r w:rsidRPr="00852441">
        <w:rPr>
          <w:b/>
          <w:bCs/>
        </w:rPr>
        <w:t xml:space="preserve">Table 1: Some 5 Data sets are </w:t>
      </w:r>
      <w:r w:rsidR="009B41D8" w:rsidRPr="00852441">
        <w:rPr>
          <w:b/>
          <w:bCs/>
        </w:rPr>
        <w:t>given are</w:t>
      </w:r>
      <w:r w:rsidRPr="00852441">
        <w:rPr>
          <w:b/>
          <w:bCs/>
        </w:rPr>
        <w:t xml:space="preserve"> assumed to be records in the previous period</w:t>
      </w:r>
    </w:p>
    <w:p w14:paraId="34D3C170" w14:textId="77777777" w:rsidR="00FC036D" w:rsidRPr="00C63EF1" w:rsidRDefault="00FC036D" w:rsidP="00F71368">
      <w:pPr>
        <w:pStyle w:val="NormalWeb"/>
        <w:spacing w:before="0" w:beforeAutospacing="0" w:after="0" w:afterAutospacing="0" w:line="360" w:lineRule="auto"/>
        <w:jc w:val="both"/>
        <w:rPr>
          <w:b/>
          <w:bCs/>
          <w:sz w:val="22"/>
          <w:szCs w:val="22"/>
        </w:rPr>
      </w:pPr>
    </w:p>
    <w:tbl>
      <w:tblPr>
        <w:tblStyle w:val="TableGrid"/>
        <w:tblW w:w="0" w:type="auto"/>
        <w:tblLook w:val="04A0" w:firstRow="1" w:lastRow="0" w:firstColumn="1" w:lastColumn="0" w:noHBand="0" w:noVBand="1"/>
      </w:tblPr>
      <w:tblGrid>
        <w:gridCol w:w="745"/>
        <w:gridCol w:w="2482"/>
        <w:gridCol w:w="3969"/>
        <w:gridCol w:w="2693"/>
      </w:tblGrid>
      <w:tr w:rsidR="00BE3B5A" w:rsidRPr="00C63EF1" w14:paraId="2AFC812C" w14:textId="77777777" w:rsidTr="00F97D26">
        <w:tc>
          <w:tcPr>
            <w:tcW w:w="745" w:type="dxa"/>
          </w:tcPr>
          <w:p w14:paraId="3AB0A5C0" w14:textId="77777777" w:rsidR="00BE3B5A" w:rsidRPr="00C63EF1" w:rsidRDefault="000D3DCC" w:rsidP="00F71368">
            <w:pPr>
              <w:pStyle w:val="NormalWeb"/>
              <w:spacing w:before="0" w:beforeAutospacing="0" w:after="0" w:afterAutospacing="0" w:line="360" w:lineRule="auto"/>
              <w:jc w:val="both"/>
              <w:rPr>
                <w:bCs/>
                <w:sz w:val="22"/>
                <w:szCs w:val="22"/>
              </w:rPr>
            </w:pPr>
            <w:r w:rsidRPr="00C63EF1">
              <w:rPr>
                <w:bCs/>
                <w:sz w:val="22"/>
                <w:szCs w:val="22"/>
              </w:rPr>
              <w:t>S.N.</w:t>
            </w:r>
          </w:p>
        </w:tc>
        <w:tc>
          <w:tcPr>
            <w:tcW w:w="2482" w:type="dxa"/>
          </w:tcPr>
          <w:p w14:paraId="25D39C34" w14:textId="071EB4B4" w:rsidR="00E71137" w:rsidRPr="00C63EF1" w:rsidRDefault="006749A9" w:rsidP="00F71368">
            <w:pPr>
              <w:pStyle w:val="NormalWeb"/>
              <w:spacing w:before="0" w:beforeAutospacing="0" w:after="0" w:afterAutospacing="0" w:line="360" w:lineRule="auto"/>
              <w:jc w:val="both"/>
              <w:rPr>
                <w:b/>
                <w:bCs/>
                <w:sz w:val="22"/>
                <w:szCs w:val="22"/>
              </w:rPr>
            </w:pPr>
            <w:r w:rsidRPr="00C63EF1">
              <w:rPr>
                <w:b/>
                <w:bCs/>
                <w:sz w:val="22"/>
                <w:szCs w:val="22"/>
              </w:rPr>
              <w:t xml:space="preserve">Green </w:t>
            </w:r>
            <w:r w:rsidR="009B41D8" w:rsidRPr="00C63EF1">
              <w:rPr>
                <w:b/>
                <w:bCs/>
                <w:sz w:val="22"/>
                <w:szCs w:val="22"/>
              </w:rPr>
              <w:t>Producer of</w:t>
            </w:r>
            <w:r w:rsidR="00E71137" w:rsidRPr="00C63EF1">
              <w:rPr>
                <w:b/>
                <w:bCs/>
                <w:sz w:val="22"/>
                <w:szCs w:val="22"/>
              </w:rPr>
              <w:t xml:space="preserve"> </w:t>
            </w:r>
            <w:r w:rsidR="00A517F4">
              <w:rPr>
                <w:b/>
                <w:bCs/>
                <w:sz w:val="22"/>
                <w:szCs w:val="22"/>
              </w:rPr>
              <w:t>Mining</w:t>
            </w:r>
            <w:r w:rsidR="00B919BF" w:rsidRPr="00C63EF1">
              <w:rPr>
                <w:b/>
                <w:bCs/>
                <w:sz w:val="22"/>
                <w:szCs w:val="22"/>
              </w:rPr>
              <w:t xml:space="preserve"> Industry</w:t>
            </w:r>
            <w:r w:rsidR="000F77CE" w:rsidRPr="00C63EF1">
              <w:rPr>
                <w:b/>
                <w:bCs/>
                <w:sz w:val="22"/>
                <w:szCs w:val="22"/>
              </w:rPr>
              <w:t xml:space="preserve"> components industry</w:t>
            </w:r>
          </w:p>
        </w:tc>
        <w:tc>
          <w:tcPr>
            <w:tcW w:w="3969" w:type="dxa"/>
          </w:tcPr>
          <w:p w14:paraId="421C4E7B" w14:textId="77777777" w:rsidR="00BE3B5A" w:rsidRPr="00C63EF1" w:rsidRDefault="006749A9" w:rsidP="00F71368">
            <w:pPr>
              <w:pStyle w:val="NormalWeb"/>
              <w:spacing w:before="0" w:beforeAutospacing="0" w:after="0" w:afterAutospacing="0" w:line="360" w:lineRule="auto"/>
              <w:jc w:val="both"/>
              <w:rPr>
                <w:b/>
                <w:bCs/>
                <w:sz w:val="22"/>
                <w:szCs w:val="22"/>
              </w:rPr>
            </w:pPr>
            <w:r w:rsidRPr="00C63EF1">
              <w:rPr>
                <w:b/>
                <w:bCs/>
                <w:sz w:val="22"/>
                <w:szCs w:val="22"/>
              </w:rPr>
              <w:t xml:space="preserve">Green </w:t>
            </w:r>
            <w:r w:rsidR="000F77CE" w:rsidRPr="00C63EF1">
              <w:rPr>
                <w:b/>
                <w:bCs/>
                <w:sz w:val="22"/>
                <w:szCs w:val="22"/>
              </w:rPr>
              <w:t>Storage</w:t>
            </w:r>
          </w:p>
          <w:p w14:paraId="52FBAB7C" w14:textId="6CCDE769" w:rsidR="00E71137" w:rsidRPr="00C63EF1" w:rsidRDefault="00E71137" w:rsidP="00F71368">
            <w:pPr>
              <w:pStyle w:val="NormalWeb"/>
              <w:spacing w:before="0" w:beforeAutospacing="0" w:after="0" w:afterAutospacing="0" w:line="360" w:lineRule="auto"/>
              <w:jc w:val="both"/>
              <w:rPr>
                <w:bCs/>
                <w:sz w:val="22"/>
                <w:szCs w:val="22"/>
              </w:rPr>
            </w:pPr>
            <w:r w:rsidRPr="00C63EF1">
              <w:rPr>
                <w:b/>
                <w:bCs/>
                <w:sz w:val="22"/>
                <w:szCs w:val="22"/>
              </w:rPr>
              <w:t xml:space="preserve">of </w:t>
            </w:r>
            <w:r w:rsidR="00A517F4">
              <w:rPr>
                <w:b/>
                <w:bCs/>
                <w:sz w:val="22"/>
                <w:szCs w:val="22"/>
              </w:rPr>
              <w:t>Mining</w:t>
            </w:r>
            <w:r w:rsidR="00B919BF" w:rsidRPr="00C63EF1">
              <w:rPr>
                <w:b/>
                <w:bCs/>
                <w:sz w:val="22"/>
                <w:szCs w:val="22"/>
              </w:rPr>
              <w:t xml:space="preserve"> Industry</w:t>
            </w:r>
            <w:r w:rsidR="000F77CE" w:rsidRPr="00C63EF1">
              <w:rPr>
                <w:b/>
                <w:bCs/>
                <w:sz w:val="22"/>
                <w:szCs w:val="22"/>
              </w:rPr>
              <w:t xml:space="preserve"> components industry</w:t>
            </w:r>
          </w:p>
        </w:tc>
        <w:tc>
          <w:tcPr>
            <w:tcW w:w="2693" w:type="dxa"/>
          </w:tcPr>
          <w:p w14:paraId="1BEE95FB" w14:textId="7EB6E065" w:rsidR="00E71137" w:rsidRPr="00C63EF1" w:rsidRDefault="006749A9" w:rsidP="00F71368">
            <w:pPr>
              <w:pStyle w:val="NormalWeb"/>
              <w:spacing w:before="0" w:beforeAutospacing="0" w:after="0" w:afterAutospacing="0" w:line="360" w:lineRule="auto"/>
              <w:jc w:val="both"/>
              <w:rPr>
                <w:b/>
                <w:bCs/>
                <w:sz w:val="22"/>
                <w:szCs w:val="22"/>
              </w:rPr>
            </w:pPr>
            <w:r w:rsidRPr="00C63EF1">
              <w:rPr>
                <w:b/>
                <w:bCs/>
                <w:sz w:val="22"/>
                <w:szCs w:val="22"/>
              </w:rPr>
              <w:t xml:space="preserve">Green </w:t>
            </w:r>
            <w:r w:rsidR="009B41D8" w:rsidRPr="00C63EF1">
              <w:rPr>
                <w:b/>
                <w:bCs/>
                <w:sz w:val="22"/>
                <w:szCs w:val="22"/>
              </w:rPr>
              <w:t>Agents of</w:t>
            </w:r>
            <w:r w:rsidR="00E71137" w:rsidRPr="00C63EF1">
              <w:rPr>
                <w:b/>
                <w:bCs/>
                <w:sz w:val="22"/>
                <w:szCs w:val="22"/>
              </w:rPr>
              <w:t xml:space="preserve"> </w:t>
            </w:r>
            <w:r w:rsidR="00A517F4">
              <w:rPr>
                <w:b/>
                <w:bCs/>
                <w:sz w:val="22"/>
                <w:szCs w:val="22"/>
              </w:rPr>
              <w:t>Mining</w:t>
            </w:r>
            <w:r w:rsidR="00B919BF" w:rsidRPr="00C63EF1">
              <w:rPr>
                <w:b/>
                <w:bCs/>
                <w:sz w:val="22"/>
                <w:szCs w:val="22"/>
              </w:rPr>
              <w:t xml:space="preserve"> Industry</w:t>
            </w:r>
            <w:r w:rsidR="000F77CE" w:rsidRPr="00C63EF1">
              <w:rPr>
                <w:b/>
                <w:bCs/>
                <w:sz w:val="22"/>
                <w:szCs w:val="22"/>
              </w:rPr>
              <w:t xml:space="preserve"> components industry</w:t>
            </w:r>
          </w:p>
        </w:tc>
      </w:tr>
      <w:tr w:rsidR="00BE3B5A" w:rsidRPr="00C63EF1" w14:paraId="41176418" w14:textId="77777777" w:rsidTr="00F97D26">
        <w:tc>
          <w:tcPr>
            <w:tcW w:w="745" w:type="dxa"/>
          </w:tcPr>
          <w:p w14:paraId="33F4374C" w14:textId="77777777" w:rsidR="00BE3B5A" w:rsidRPr="00C63EF1" w:rsidRDefault="00BE3B5A" w:rsidP="00F71368">
            <w:pPr>
              <w:pStyle w:val="NormalWeb"/>
              <w:spacing w:before="0" w:beforeAutospacing="0" w:after="0" w:afterAutospacing="0" w:line="360" w:lineRule="auto"/>
              <w:jc w:val="both"/>
              <w:rPr>
                <w:bCs/>
                <w:sz w:val="22"/>
                <w:szCs w:val="22"/>
              </w:rPr>
            </w:pPr>
            <w:r w:rsidRPr="00C63EF1">
              <w:rPr>
                <w:bCs/>
                <w:sz w:val="22"/>
                <w:szCs w:val="22"/>
              </w:rPr>
              <w:t>1</w:t>
            </w:r>
          </w:p>
        </w:tc>
        <w:tc>
          <w:tcPr>
            <w:tcW w:w="2482" w:type="dxa"/>
          </w:tcPr>
          <w:p w14:paraId="3AFA2EEF" w14:textId="5DFFA948" w:rsidR="00BE3B5A" w:rsidRPr="00C63EF1" w:rsidRDefault="00C425AD" w:rsidP="00F71368">
            <w:pPr>
              <w:pStyle w:val="NormalWeb"/>
              <w:spacing w:before="0" w:beforeAutospacing="0" w:after="0" w:afterAutospacing="0" w:line="360" w:lineRule="auto"/>
              <w:jc w:val="center"/>
              <w:rPr>
                <w:bCs/>
                <w:sz w:val="22"/>
                <w:szCs w:val="22"/>
              </w:rPr>
            </w:pPr>
            <w:r>
              <w:rPr>
                <w:bCs/>
                <w:sz w:val="22"/>
                <w:szCs w:val="22"/>
              </w:rPr>
              <w:t>2</w:t>
            </w:r>
            <w:r w:rsidR="00F97D26" w:rsidRPr="00C63EF1">
              <w:rPr>
                <w:bCs/>
                <w:sz w:val="22"/>
                <w:szCs w:val="22"/>
              </w:rPr>
              <w:t>5</w:t>
            </w:r>
            <w:r w:rsidR="000D3DCC" w:rsidRPr="00C63EF1">
              <w:rPr>
                <w:bCs/>
                <w:sz w:val="22"/>
                <w:szCs w:val="22"/>
              </w:rPr>
              <w:t>9</w:t>
            </w:r>
          </w:p>
        </w:tc>
        <w:tc>
          <w:tcPr>
            <w:tcW w:w="3969" w:type="dxa"/>
          </w:tcPr>
          <w:p w14:paraId="2AE755E0" w14:textId="2A5D2D53" w:rsidR="00BE3B5A" w:rsidRPr="00C63EF1" w:rsidRDefault="00C425AD" w:rsidP="00F71368">
            <w:pPr>
              <w:pStyle w:val="NormalWeb"/>
              <w:spacing w:before="0" w:beforeAutospacing="0" w:after="0" w:afterAutospacing="0" w:line="360" w:lineRule="auto"/>
              <w:jc w:val="center"/>
              <w:rPr>
                <w:bCs/>
                <w:sz w:val="22"/>
                <w:szCs w:val="22"/>
              </w:rPr>
            </w:pPr>
            <w:r>
              <w:rPr>
                <w:bCs/>
                <w:sz w:val="22"/>
                <w:szCs w:val="22"/>
              </w:rPr>
              <w:t>4</w:t>
            </w:r>
            <w:r w:rsidR="008A0470" w:rsidRPr="00C63EF1">
              <w:rPr>
                <w:bCs/>
                <w:sz w:val="22"/>
                <w:szCs w:val="22"/>
              </w:rPr>
              <w:t>1</w:t>
            </w:r>
            <w:r w:rsidR="000D3DCC" w:rsidRPr="00C63EF1">
              <w:rPr>
                <w:bCs/>
                <w:sz w:val="22"/>
                <w:szCs w:val="22"/>
              </w:rPr>
              <w:t>5</w:t>
            </w:r>
          </w:p>
        </w:tc>
        <w:tc>
          <w:tcPr>
            <w:tcW w:w="2693" w:type="dxa"/>
          </w:tcPr>
          <w:p w14:paraId="07D63E0E" w14:textId="0F07D14B" w:rsidR="00BE3B5A" w:rsidRPr="00C63EF1" w:rsidRDefault="00C425AD" w:rsidP="00F71368">
            <w:pPr>
              <w:pStyle w:val="NormalWeb"/>
              <w:spacing w:before="0" w:beforeAutospacing="0" w:after="0" w:afterAutospacing="0" w:line="360" w:lineRule="auto"/>
              <w:jc w:val="center"/>
              <w:rPr>
                <w:bCs/>
                <w:sz w:val="22"/>
                <w:szCs w:val="22"/>
              </w:rPr>
            </w:pPr>
            <w:r>
              <w:rPr>
                <w:bCs/>
                <w:sz w:val="22"/>
                <w:szCs w:val="22"/>
              </w:rPr>
              <w:t>6</w:t>
            </w:r>
            <w:r w:rsidR="008A0470" w:rsidRPr="00C63EF1">
              <w:rPr>
                <w:bCs/>
                <w:sz w:val="22"/>
                <w:szCs w:val="22"/>
              </w:rPr>
              <w:t>9</w:t>
            </w:r>
            <w:r w:rsidR="000D3DCC" w:rsidRPr="00C63EF1">
              <w:rPr>
                <w:bCs/>
                <w:sz w:val="22"/>
                <w:szCs w:val="22"/>
              </w:rPr>
              <w:t>4</w:t>
            </w:r>
          </w:p>
        </w:tc>
      </w:tr>
      <w:tr w:rsidR="00BE3B5A" w:rsidRPr="00C63EF1" w14:paraId="1BEE4C6D" w14:textId="77777777" w:rsidTr="00F97D26">
        <w:tc>
          <w:tcPr>
            <w:tcW w:w="745" w:type="dxa"/>
          </w:tcPr>
          <w:p w14:paraId="3967D1B9" w14:textId="77777777" w:rsidR="00BE3B5A" w:rsidRPr="00C63EF1" w:rsidRDefault="00BE3B5A" w:rsidP="00F71368">
            <w:pPr>
              <w:pStyle w:val="NormalWeb"/>
              <w:spacing w:before="0" w:beforeAutospacing="0" w:after="0" w:afterAutospacing="0" w:line="360" w:lineRule="auto"/>
              <w:jc w:val="both"/>
              <w:rPr>
                <w:bCs/>
                <w:sz w:val="22"/>
                <w:szCs w:val="22"/>
              </w:rPr>
            </w:pPr>
            <w:r w:rsidRPr="00C63EF1">
              <w:rPr>
                <w:bCs/>
                <w:sz w:val="22"/>
                <w:szCs w:val="22"/>
              </w:rPr>
              <w:t>2</w:t>
            </w:r>
          </w:p>
        </w:tc>
        <w:tc>
          <w:tcPr>
            <w:tcW w:w="2482" w:type="dxa"/>
          </w:tcPr>
          <w:p w14:paraId="5EE57A5A" w14:textId="199B8EE3" w:rsidR="00BE3B5A" w:rsidRPr="00C63EF1" w:rsidRDefault="00C425AD" w:rsidP="00F71368">
            <w:pPr>
              <w:pStyle w:val="NormalWeb"/>
              <w:spacing w:before="0" w:beforeAutospacing="0" w:after="0" w:afterAutospacing="0" w:line="360" w:lineRule="auto"/>
              <w:jc w:val="center"/>
              <w:rPr>
                <w:bCs/>
                <w:sz w:val="22"/>
                <w:szCs w:val="22"/>
              </w:rPr>
            </w:pPr>
            <w:r>
              <w:rPr>
                <w:bCs/>
                <w:sz w:val="22"/>
                <w:szCs w:val="22"/>
              </w:rPr>
              <w:t>2</w:t>
            </w:r>
            <w:r w:rsidR="008A0470" w:rsidRPr="00C63EF1">
              <w:rPr>
                <w:bCs/>
                <w:sz w:val="22"/>
                <w:szCs w:val="22"/>
              </w:rPr>
              <w:t>4</w:t>
            </w:r>
            <w:r w:rsidR="000D3DCC" w:rsidRPr="00C63EF1">
              <w:rPr>
                <w:bCs/>
                <w:sz w:val="22"/>
                <w:szCs w:val="22"/>
              </w:rPr>
              <w:t>9</w:t>
            </w:r>
          </w:p>
        </w:tc>
        <w:tc>
          <w:tcPr>
            <w:tcW w:w="3969" w:type="dxa"/>
          </w:tcPr>
          <w:p w14:paraId="2493A7DD" w14:textId="5380089E" w:rsidR="00BE3B5A" w:rsidRPr="00C63EF1" w:rsidRDefault="00C425AD" w:rsidP="00F71368">
            <w:pPr>
              <w:pStyle w:val="NormalWeb"/>
              <w:spacing w:before="0" w:beforeAutospacing="0" w:after="0" w:afterAutospacing="0" w:line="360" w:lineRule="auto"/>
              <w:jc w:val="center"/>
              <w:rPr>
                <w:bCs/>
                <w:sz w:val="22"/>
                <w:szCs w:val="22"/>
              </w:rPr>
            </w:pPr>
            <w:r>
              <w:rPr>
                <w:bCs/>
                <w:sz w:val="22"/>
                <w:szCs w:val="22"/>
              </w:rPr>
              <w:t>4</w:t>
            </w:r>
            <w:r w:rsidR="00F97D26" w:rsidRPr="00C63EF1">
              <w:rPr>
                <w:bCs/>
                <w:sz w:val="22"/>
                <w:szCs w:val="22"/>
              </w:rPr>
              <w:t>16</w:t>
            </w:r>
          </w:p>
        </w:tc>
        <w:tc>
          <w:tcPr>
            <w:tcW w:w="2693" w:type="dxa"/>
          </w:tcPr>
          <w:p w14:paraId="4F9B829B" w14:textId="44E7F8AD" w:rsidR="00BE3B5A" w:rsidRPr="00C63EF1" w:rsidRDefault="00C425AD" w:rsidP="00F71368">
            <w:pPr>
              <w:pStyle w:val="NormalWeb"/>
              <w:spacing w:before="0" w:beforeAutospacing="0" w:after="0" w:afterAutospacing="0" w:line="360" w:lineRule="auto"/>
              <w:jc w:val="center"/>
              <w:rPr>
                <w:bCs/>
                <w:sz w:val="22"/>
                <w:szCs w:val="22"/>
              </w:rPr>
            </w:pPr>
            <w:r>
              <w:rPr>
                <w:bCs/>
                <w:sz w:val="22"/>
                <w:szCs w:val="22"/>
              </w:rPr>
              <w:t>6</w:t>
            </w:r>
            <w:r w:rsidR="00F97D26" w:rsidRPr="00C63EF1">
              <w:rPr>
                <w:bCs/>
                <w:sz w:val="22"/>
                <w:szCs w:val="22"/>
              </w:rPr>
              <w:t>8</w:t>
            </w:r>
            <w:r w:rsidR="000D3DCC" w:rsidRPr="00C63EF1">
              <w:rPr>
                <w:bCs/>
                <w:sz w:val="22"/>
                <w:szCs w:val="22"/>
              </w:rPr>
              <w:t>5</w:t>
            </w:r>
          </w:p>
        </w:tc>
      </w:tr>
      <w:tr w:rsidR="00BE3B5A" w:rsidRPr="00C63EF1" w14:paraId="7D023355" w14:textId="77777777" w:rsidTr="00F97D26">
        <w:tc>
          <w:tcPr>
            <w:tcW w:w="745" w:type="dxa"/>
          </w:tcPr>
          <w:p w14:paraId="1FF6BC74" w14:textId="77777777" w:rsidR="00BE3B5A" w:rsidRPr="00C63EF1" w:rsidRDefault="00BE3B5A" w:rsidP="00F71368">
            <w:pPr>
              <w:pStyle w:val="NormalWeb"/>
              <w:spacing w:before="0" w:beforeAutospacing="0" w:after="0" w:afterAutospacing="0" w:line="360" w:lineRule="auto"/>
              <w:jc w:val="both"/>
              <w:rPr>
                <w:bCs/>
                <w:sz w:val="22"/>
                <w:szCs w:val="22"/>
              </w:rPr>
            </w:pPr>
            <w:r w:rsidRPr="00C63EF1">
              <w:rPr>
                <w:bCs/>
                <w:sz w:val="22"/>
                <w:szCs w:val="22"/>
              </w:rPr>
              <w:t>3</w:t>
            </w:r>
          </w:p>
        </w:tc>
        <w:tc>
          <w:tcPr>
            <w:tcW w:w="2482" w:type="dxa"/>
          </w:tcPr>
          <w:p w14:paraId="57A87339" w14:textId="53EF12CF" w:rsidR="00BE3B5A" w:rsidRPr="00C63EF1" w:rsidRDefault="00C425AD" w:rsidP="00F71368">
            <w:pPr>
              <w:pStyle w:val="NormalWeb"/>
              <w:spacing w:before="0" w:beforeAutospacing="0" w:after="0" w:afterAutospacing="0" w:line="360" w:lineRule="auto"/>
              <w:jc w:val="center"/>
              <w:rPr>
                <w:bCs/>
                <w:sz w:val="22"/>
                <w:szCs w:val="22"/>
              </w:rPr>
            </w:pPr>
            <w:r>
              <w:rPr>
                <w:bCs/>
                <w:sz w:val="22"/>
                <w:szCs w:val="22"/>
              </w:rPr>
              <w:t>2</w:t>
            </w:r>
            <w:r w:rsidR="00F97D26" w:rsidRPr="00C63EF1">
              <w:rPr>
                <w:bCs/>
                <w:sz w:val="22"/>
                <w:szCs w:val="22"/>
              </w:rPr>
              <w:t>3</w:t>
            </w:r>
            <w:r w:rsidR="000D3DCC" w:rsidRPr="00C63EF1">
              <w:rPr>
                <w:bCs/>
                <w:sz w:val="22"/>
                <w:szCs w:val="22"/>
              </w:rPr>
              <w:t>8</w:t>
            </w:r>
          </w:p>
        </w:tc>
        <w:tc>
          <w:tcPr>
            <w:tcW w:w="3969" w:type="dxa"/>
          </w:tcPr>
          <w:p w14:paraId="74593DAD" w14:textId="73CA26B0" w:rsidR="00BE3B5A" w:rsidRPr="00C63EF1" w:rsidRDefault="00C425AD" w:rsidP="00F71368">
            <w:pPr>
              <w:pStyle w:val="NormalWeb"/>
              <w:spacing w:before="0" w:beforeAutospacing="0" w:after="0" w:afterAutospacing="0" w:line="360" w:lineRule="auto"/>
              <w:jc w:val="center"/>
              <w:rPr>
                <w:bCs/>
                <w:sz w:val="22"/>
                <w:szCs w:val="22"/>
              </w:rPr>
            </w:pPr>
            <w:r>
              <w:rPr>
                <w:bCs/>
                <w:sz w:val="22"/>
                <w:szCs w:val="22"/>
              </w:rPr>
              <w:t>4</w:t>
            </w:r>
            <w:r w:rsidR="00F97D26" w:rsidRPr="00C63EF1">
              <w:rPr>
                <w:bCs/>
                <w:sz w:val="22"/>
                <w:szCs w:val="22"/>
              </w:rPr>
              <w:t>1</w:t>
            </w:r>
            <w:r w:rsidR="000D3DCC" w:rsidRPr="00C63EF1">
              <w:rPr>
                <w:bCs/>
                <w:sz w:val="22"/>
                <w:szCs w:val="22"/>
              </w:rPr>
              <w:t>0</w:t>
            </w:r>
          </w:p>
        </w:tc>
        <w:tc>
          <w:tcPr>
            <w:tcW w:w="2693" w:type="dxa"/>
          </w:tcPr>
          <w:p w14:paraId="1EA00C3D" w14:textId="1C178BEB" w:rsidR="00BE3B5A" w:rsidRPr="00C63EF1" w:rsidRDefault="00C425AD" w:rsidP="00F71368">
            <w:pPr>
              <w:pStyle w:val="NormalWeb"/>
              <w:spacing w:before="0" w:beforeAutospacing="0" w:after="0" w:afterAutospacing="0" w:line="360" w:lineRule="auto"/>
              <w:jc w:val="center"/>
              <w:rPr>
                <w:bCs/>
                <w:sz w:val="22"/>
                <w:szCs w:val="22"/>
              </w:rPr>
            </w:pPr>
            <w:r>
              <w:rPr>
                <w:bCs/>
                <w:sz w:val="22"/>
                <w:szCs w:val="22"/>
              </w:rPr>
              <w:t>6</w:t>
            </w:r>
            <w:r w:rsidR="00F97D26" w:rsidRPr="00C63EF1">
              <w:rPr>
                <w:bCs/>
                <w:sz w:val="22"/>
                <w:szCs w:val="22"/>
              </w:rPr>
              <w:t>7</w:t>
            </w:r>
            <w:r w:rsidR="000D3DCC" w:rsidRPr="00C63EF1">
              <w:rPr>
                <w:bCs/>
                <w:sz w:val="22"/>
                <w:szCs w:val="22"/>
              </w:rPr>
              <w:t>6</w:t>
            </w:r>
          </w:p>
        </w:tc>
      </w:tr>
      <w:tr w:rsidR="00BE3B5A" w:rsidRPr="00C63EF1" w14:paraId="171B0BB1" w14:textId="77777777" w:rsidTr="00F97D26">
        <w:tc>
          <w:tcPr>
            <w:tcW w:w="745" w:type="dxa"/>
          </w:tcPr>
          <w:p w14:paraId="58784667" w14:textId="77777777" w:rsidR="00BE3B5A" w:rsidRPr="00C63EF1" w:rsidRDefault="00BE3B5A" w:rsidP="00F71368">
            <w:pPr>
              <w:pStyle w:val="NormalWeb"/>
              <w:spacing w:before="0" w:beforeAutospacing="0" w:after="0" w:afterAutospacing="0" w:line="360" w:lineRule="auto"/>
              <w:jc w:val="both"/>
              <w:rPr>
                <w:bCs/>
                <w:sz w:val="22"/>
                <w:szCs w:val="22"/>
              </w:rPr>
            </w:pPr>
            <w:r w:rsidRPr="00C63EF1">
              <w:rPr>
                <w:bCs/>
                <w:sz w:val="22"/>
                <w:szCs w:val="22"/>
              </w:rPr>
              <w:t>4</w:t>
            </w:r>
          </w:p>
        </w:tc>
        <w:tc>
          <w:tcPr>
            <w:tcW w:w="2482" w:type="dxa"/>
          </w:tcPr>
          <w:p w14:paraId="1931C772" w14:textId="55AF4CEB" w:rsidR="00BE3B5A" w:rsidRPr="00C63EF1" w:rsidRDefault="00C425AD" w:rsidP="00F71368">
            <w:pPr>
              <w:pStyle w:val="NormalWeb"/>
              <w:spacing w:before="0" w:beforeAutospacing="0" w:after="0" w:afterAutospacing="0" w:line="360" w:lineRule="auto"/>
              <w:jc w:val="center"/>
              <w:rPr>
                <w:bCs/>
                <w:sz w:val="22"/>
                <w:szCs w:val="22"/>
              </w:rPr>
            </w:pPr>
            <w:r>
              <w:rPr>
                <w:bCs/>
                <w:sz w:val="22"/>
                <w:szCs w:val="22"/>
              </w:rPr>
              <w:t>2</w:t>
            </w:r>
            <w:r w:rsidR="00F97D26" w:rsidRPr="00C63EF1">
              <w:rPr>
                <w:bCs/>
                <w:sz w:val="22"/>
                <w:szCs w:val="22"/>
              </w:rPr>
              <w:t>2</w:t>
            </w:r>
            <w:r w:rsidR="000D3DCC" w:rsidRPr="00C63EF1">
              <w:rPr>
                <w:bCs/>
                <w:sz w:val="22"/>
                <w:szCs w:val="22"/>
              </w:rPr>
              <w:t>4</w:t>
            </w:r>
          </w:p>
        </w:tc>
        <w:tc>
          <w:tcPr>
            <w:tcW w:w="3969" w:type="dxa"/>
          </w:tcPr>
          <w:p w14:paraId="25BD14B7" w14:textId="50498523" w:rsidR="00BE3B5A" w:rsidRPr="00C63EF1" w:rsidRDefault="00C425AD" w:rsidP="00F71368">
            <w:pPr>
              <w:pStyle w:val="NormalWeb"/>
              <w:spacing w:before="0" w:beforeAutospacing="0" w:after="0" w:afterAutospacing="0" w:line="360" w:lineRule="auto"/>
              <w:jc w:val="center"/>
              <w:rPr>
                <w:bCs/>
                <w:sz w:val="22"/>
                <w:szCs w:val="22"/>
              </w:rPr>
            </w:pPr>
            <w:r>
              <w:rPr>
                <w:bCs/>
                <w:sz w:val="22"/>
                <w:szCs w:val="22"/>
              </w:rPr>
              <w:t>4</w:t>
            </w:r>
            <w:r w:rsidR="00F97D26" w:rsidRPr="00C63EF1">
              <w:rPr>
                <w:bCs/>
                <w:sz w:val="22"/>
                <w:szCs w:val="22"/>
              </w:rPr>
              <w:t>1</w:t>
            </w:r>
            <w:r w:rsidR="000D3DCC" w:rsidRPr="00C63EF1">
              <w:rPr>
                <w:bCs/>
                <w:sz w:val="22"/>
                <w:szCs w:val="22"/>
              </w:rPr>
              <w:t>9</w:t>
            </w:r>
          </w:p>
        </w:tc>
        <w:tc>
          <w:tcPr>
            <w:tcW w:w="2693" w:type="dxa"/>
          </w:tcPr>
          <w:p w14:paraId="61D08213" w14:textId="3C94E534" w:rsidR="00BE3B5A" w:rsidRPr="00C63EF1" w:rsidRDefault="00C425AD" w:rsidP="00F71368">
            <w:pPr>
              <w:pStyle w:val="NormalWeb"/>
              <w:spacing w:before="0" w:beforeAutospacing="0" w:after="0" w:afterAutospacing="0" w:line="360" w:lineRule="auto"/>
              <w:jc w:val="center"/>
              <w:rPr>
                <w:bCs/>
                <w:sz w:val="22"/>
                <w:szCs w:val="22"/>
              </w:rPr>
            </w:pPr>
            <w:r>
              <w:rPr>
                <w:bCs/>
                <w:sz w:val="22"/>
                <w:szCs w:val="22"/>
              </w:rPr>
              <w:t>6</w:t>
            </w:r>
            <w:r w:rsidR="00F97D26" w:rsidRPr="00C63EF1">
              <w:rPr>
                <w:bCs/>
                <w:sz w:val="22"/>
                <w:szCs w:val="22"/>
              </w:rPr>
              <w:t>6</w:t>
            </w:r>
            <w:r w:rsidR="000D3DCC" w:rsidRPr="00C63EF1">
              <w:rPr>
                <w:bCs/>
                <w:sz w:val="22"/>
                <w:szCs w:val="22"/>
              </w:rPr>
              <w:t>8</w:t>
            </w:r>
          </w:p>
        </w:tc>
      </w:tr>
      <w:tr w:rsidR="00BE3B5A" w:rsidRPr="00C63EF1" w14:paraId="7B429943" w14:textId="77777777" w:rsidTr="00F97D26">
        <w:tc>
          <w:tcPr>
            <w:tcW w:w="745" w:type="dxa"/>
          </w:tcPr>
          <w:p w14:paraId="039C314A" w14:textId="77777777" w:rsidR="00BE3B5A" w:rsidRPr="00C63EF1" w:rsidRDefault="00BE3B5A" w:rsidP="00F71368">
            <w:pPr>
              <w:pStyle w:val="NormalWeb"/>
              <w:spacing w:before="0" w:beforeAutospacing="0" w:after="0" w:afterAutospacing="0" w:line="360" w:lineRule="auto"/>
              <w:jc w:val="both"/>
              <w:rPr>
                <w:bCs/>
                <w:sz w:val="22"/>
                <w:szCs w:val="22"/>
              </w:rPr>
            </w:pPr>
            <w:r w:rsidRPr="00C63EF1">
              <w:rPr>
                <w:bCs/>
                <w:sz w:val="22"/>
                <w:szCs w:val="22"/>
              </w:rPr>
              <w:t>5</w:t>
            </w:r>
          </w:p>
        </w:tc>
        <w:tc>
          <w:tcPr>
            <w:tcW w:w="2482" w:type="dxa"/>
          </w:tcPr>
          <w:p w14:paraId="1A1B88E6" w14:textId="075659AF" w:rsidR="00BE3B5A" w:rsidRPr="00C63EF1" w:rsidRDefault="00C425AD" w:rsidP="00F71368">
            <w:pPr>
              <w:pStyle w:val="NormalWeb"/>
              <w:spacing w:before="0" w:beforeAutospacing="0" w:after="0" w:afterAutospacing="0" w:line="360" w:lineRule="auto"/>
              <w:jc w:val="center"/>
              <w:rPr>
                <w:bCs/>
                <w:sz w:val="22"/>
                <w:szCs w:val="22"/>
              </w:rPr>
            </w:pPr>
            <w:r>
              <w:rPr>
                <w:bCs/>
                <w:sz w:val="22"/>
                <w:szCs w:val="22"/>
              </w:rPr>
              <w:t>2</w:t>
            </w:r>
            <w:r w:rsidR="00F97D26" w:rsidRPr="00C63EF1">
              <w:rPr>
                <w:bCs/>
                <w:sz w:val="22"/>
                <w:szCs w:val="22"/>
              </w:rPr>
              <w:t>1</w:t>
            </w:r>
            <w:r w:rsidR="000D3DCC" w:rsidRPr="00C63EF1">
              <w:rPr>
                <w:bCs/>
                <w:sz w:val="22"/>
                <w:szCs w:val="22"/>
              </w:rPr>
              <w:t>6</w:t>
            </w:r>
          </w:p>
        </w:tc>
        <w:tc>
          <w:tcPr>
            <w:tcW w:w="3969" w:type="dxa"/>
          </w:tcPr>
          <w:p w14:paraId="2D5FAF0E" w14:textId="2E48C613" w:rsidR="00BE3B5A" w:rsidRPr="00C63EF1" w:rsidRDefault="00C425AD" w:rsidP="00F71368">
            <w:pPr>
              <w:pStyle w:val="NormalWeb"/>
              <w:spacing w:before="0" w:beforeAutospacing="0" w:after="0" w:afterAutospacing="0" w:line="360" w:lineRule="auto"/>
              <w:jc w:val="center"/>
              <w:rPr>
                <w:bCs/>
                <w:sz w:val="22"/>
                <w:szCs w:val="22"/>
              </w:rPr>
            </w:pPr>
            <w:r>
              <w:rPr>
                <w:bCs/>
                <w:sz w:val="22"/>
                <w:szCs w:val="22"/>
              </w:rPr>
              <w:t>4</w:t>
            </w:r>
            <w:r w:rsidR="00F97D26" w:rsidRPr="00C63EF1">
              <w:rPr>
                <w:bCs/>
                <w:sz w:val="22"/>
                <w:szCs w:val="22"/>
              </w:rPr>
              <w:t>1</w:t>
            </w:r>
            <w:r w:rsidR="000D3DCC" w:rsidRPr="00C63EF1">
              <w:rPr>
                <w:bCs/>
                <w:sz w:val="22"/>
                <w:szCs w:val="22"/>
              </w:rPr>
              <w:t>7</w:t>
            </w:r>
          </w:p>
        </w:tc>
        <w:tc>
          <w:tcPr>
            <w:tcW w:w="2693" w:type="dxa"/>
          </w:tcPr>
          <w:p w14:paraId="4ACB7B36" w14:textId="5B3B55A1" w:rsidR="00BE3B5A" w:rsidRPr="00C63EF1" w:rsidRDefault="00C425AD" w:rsidP="00F71368">
            <w:pPr>
              <w:pStyle w:val="NormalWeb"/>
              <w:spacing w:before="0" w:beforeAutospacing="0" w:after="0" w:afterAutospacing="0" w:line="360" w:lineRule="auto"/>
              <w:jc w:val="center"/>
              <w:rPr>
                <w:bCs/>
                <w:sz w:val="22"/>
                <w:szCs w:val="22"/>
              </w:rPr>
            </w:pPr>
            <w:r>
              <w:rPr>
                <w:bCs/>
                <w:sz w:val="22"/>
                <w:szCs w:val="22"/>
              </w:rPr>
              <w:t>6</w:t>
            </w:r>
            <w:r w:rsidR="00F97D26" w:rsidRPr="00C63EF1">
              <w:rPr>
                <w:bCs/>
                <w:sz w:val="22"/>
                <w:szCs w:val="22"/>
              </w:rPr>
              <w:t>5</w:t>
            </w:r>
            <w:r w:rsidR="000D3DCC" w:rsidRPr="00C63EF1">
              <w:rPr>
                <w:bCs/>
                <w:sz w:val="22"/>
                <w:szCs w:val="22"/>
              </w:rPr>
              <w:t>0</w:t>
            </w:r>
          </w:p>
        </w:tc>
      </w:tr>
    </w:tbl>
    <w:p w14:paraId="44FE8697" w14:textId="77777777" w:rsidR="00616950" w:rsidRDefault="00616950" w:rsidP="00F71368">
      <w:pPr>
        <w:pStyle w:val="NormalWeb"/>
        <w:spacing w:before="0" w:beforeAutospacing="0" w:after="0" w:afterAutospacing="0" w:line="360" w:lineRule="auto"/>
        <w:jc w:val="both"/>
        <w:rPr>
          <w:bCs/>
          <w:sz w:val="22"/>
          <w:szCs w:val="22"/>
        </w:rPr>
      </w:pPr>
    </w:p>
    <w:p w14:paraId="49799F80" w14:textId="2DB9DB98" w:rsidR="00A40A70" w:rsidRDefault="00A40A70" w:rsidP="00F71368">
      <w:pPr>
        <w:pStyle w:val="NormalWeb"/>
        <w:spacing w:before="0" w:beforeAutospacing="0" w:after="0" w:afterAutospacing="0" w:line="360" w:lineRule="auto"/>
        <w:jc w:val="both"/>
        <w:rPr>
          <w:bCs/>
          <w:sz w:val="22"/>
          <w:szCs w:val="22"/>
        </w:rPr>
      </w:pPr>
      <w:r>
        <w:rPr>
          <w:noProof/>
        </w:rPr>
        <w:lastRenderedPageBreak/>
        <w:drawing>
          <wp:inline distT="0" distB="0" distL="0" distR="0" wp14:anchorId="4E2A2890" wp14:editId="67F56204">
            <wp:extent cx="6106602" cy="4047214"/>
            <wp:effectExtent l="0" t="0" r="0" b="0"/>
            <wp:docPr id="1072445665" name="Chart 1">
              <a:extLst xmlns:a="http://schemas.openxmlformats.org/drawingml/2006/main">
                <a:ext uri="{FF2B5EF4-FFF2-40B4-BE49-F238E27FC236}">
                  <a16:creationId xmlns:a16="http://schemas.microsoft.com/office/drawing/2014/main" id="{732AA263-6B8F-6A69-6A4B-39952C0FEF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3CB6F52" w14:textId="0675C9F7" w:rsidR="00A40A70" w:rsidRPr="00CA7AB9" w:rsidRDefault="00CA7AB9" w:rsidP="00F71368">
      <w:pPr>
        <w:pStyle w:val="NormalWeb"/>
        <w:spacing w:before="0" w:beforeAutospacing="0" w:after="0" w:afterAutospacing="0" w:line="360" w:lineRule="auto"/>
        <w:jc w:val="both"/>
        <w:rPr>
          <w:b/>
          <w:bCs/>
        </w:rPr>
      </w:pPr>
      <w:r>
        <w:rPr>
          <w:b/>
          <w:bCs/>
        </w:rPr>
        <w:t>Fig.</w:t>
      </w:r>
      <w:r w:rsidRPr="00852441">
        <w:rPr>
          <w:b/>
          <w:bCs/>
        </w:rPr>
        <w:t xml:space="preserve"> 1: Some 5 Data sets are given are assumed to be records in the previous period</w:t>
      </w:r>
    </w:p>
    <w:p w14:paraId="1EA3C818" w14:textId="77777777" w:rsidR="00A40A70" w:rsidRDefault="00A40A70" w:rsidP="00F71368">
      <w:pPr>
        <w:pStyle w:val="NormalWeb"/>
        <w:spacing w:before="0" w:beforeAutospacing="0" w:after="0" w:afterAutospacing="0" w:line="360" w:lineRule="auto"/>
        <w:jc w:val="both"/>
        <w:rPr>
          <w:bCs/>
          <w:sz w:val="22"/>
          <w:szCs w:val="22"/>
        </w:rPr>
      </w:pPr>
    </w:p>
    <w:p w14:paraId="28B5D567" w14:textId="77777777" w:rsidR="00706BF9" w:rsidRDefault="00706BF9" w:rsidP="00F71368">
      <w:pPr>
        <w:pStyle w:val="NormalWeb"/>
        <w:spacing w:before="0" w:beforeAutospacing="0" w:after="0" w:afterAutospacing="0" w:line="360" w:lineRule="auto"/>
        <w:jc w:val="both"/>
        <w:rPr>
          <w:bCs/>
          <w:sz w:val="22"/>
          <w:szCs w:val="22"/>
        </w:rPr>
      </w:pPr>
    </w:p>
    <w:p w14:paraId="35128687" w14:textId="77777777" w:rsidR="00706BF9" w:rsidRPr="00C63EF1" w:rsidRDefault="00706BF9" w:rsidP="00F71368">
      <w:pPr>
        <w:pStyle w:val="NormalWeb"/>
        <w:spacing w:before="0" w:beforeAutospacing="0" w:after="0" w:afterAutospacing="0" w:line="360" w:lineRule="auto"/>
        <w:jc w:val="both"/>
        <w:rPr>
          <w:bCs/>
          <w:sz w:val="22"/>
          <w:szCs w:val="22"/>
        </w:rPr>
      </w:pPr>
    </w:p>
    <w:p w14:paraId="737E3461" w14:textId="0C349797" w:rsidR="006951B7" w:rsidRPr="00C63EF1" w:rsidRDefault="006951B7" w:rsidP="00F71368">
      <w:pPr>
        <w:pStyle w:val="NormalWeb"/>
        <w:spacing w:before="0" w:beforeAutospacing="0" w:after="0" w:afterAutospacing="0" w:line="360" w:lineRule="auto"/>
        <w:jc w:val="both"/>
        <w:rPr>
          <w:b/>
          <w:bCs/>
          <w:sz w:val="22"/>
          <w:szCs w:val="22"/>
        </w:rPr>
      </w:pPr>
      <w:r w:rsidRPr="00C63EF1">
        <w:rPr>
          <w:b/>
          <w:bCs/>
          <w:sz w:val="22"/>
          <w:szCs w:val="22"/>
        </w:rPr>
        <w:t xml:space="preserve">Table </w:t>
      </w:r>
      <w:r w:rsidR="00A40A70">
        <w:rPr>
          <w:b/>
          <w:bCs/>
          <w:sz w:val="22"/>
          <w:szCs w:val="22"/>
        </w:rPr>
        <w:t>2</w:t>
      </w:r>
      <w:r w:rsidRPr="00C63EF1">
        <w:rPr>
          <w:b/>
          <w:bCs/>
          <w:sz w:val="22"/>
          <w:szCs w:val="22"/>
        </w:rPr>
        <w:t xml:space="preserve">: Some 5 Data sets are </w:t>
      </w:r>
      <w:r w:rsidR="009B41D8" w:rsidRPr="00C63EF1">
        <w:rPr>
          <w:b/>
          <w:bCs/>
          <w:sz w:val="22"/>
          <w:szCs w:val="22"/>
        </w:rPr>
        <w:t>given are</w:t>
      </w:r>
      <w:r w:rsidRPr="00C63EF1">
        <w:rPr>
          <w:b/>
          <w:bCs/>
          <w:sz w:val="22"/>
          <w:szCs w:val="22"/>
        </w:rPr>
        <w:t xml:space="preserve"> assumed to be records in the previous period</w:t>
      </w:r>
    </w:p>
    <w:p w14:paraId="4BAC7229" w14:textId="77777777" w:rsidR="006951B7" w:rsidRPr="00C63EF1" w:rsidRDefault="006951B7" w:rsidP="00F71368">
      <w:pPr>
        <w:pStyle w:val="NormalWeb"/>
        <w:spacing w:before="0" w:beforeAutospacing="0" w:after="0" w:afterAutospacing="0" w:line="360" w:lineRule="auto"/>
        <w:jc w:val="both"/>
        <w:rPr>
          <w:b/>
          <w:bCs/>
          <w:sz w:val="22"/>
          <w:szCs w:val="22"/>
        </w:rPr>
      </w:pPr>
    </w:p>
    <w:tbl>
      <w:tblPr>
        <w:tblStyle w:val="TableGrid"/>
        <w:tblW w:w="10694" w:type="dxa"/>
        <w:tblLook w:val="04A0" w:firstRow="1" w:lastRow="0" w:firstColumn="1" w:lastColumn="0" w:noHBand="0" w:noVBand="1"/>
      </w:tblPr>
      <w:tblGrid>
        <w:gridCol w:w="608"/>
        <w:gridCol w:w="925"/>
        <w:gridCol w:w="999"/>
        <w:gridCol w:w="1035"/>
        <w:gridCol w:w="1353"/>
        <w:gridCol w:w="974"/>
        <w:gridCol w:w="1316"/>
        <w:gridCol w:w="1096"/>
        <w:gridCol w:w="1121"/>
        <w:gridCol w:w="1267"/>
      </w:tblGrid>
      <w:tr w:rsidR="00232836" w:rsidRPr="00C63EF1" w14:paraId="26282307" w14:textId="77777777" w:rsidTr="007A65F4">
        <w:tc>
          <w:tcPr>
            <w:tcW w:w="608" w:type="dxa"/>
          </w:tcPr>
          <w:p w14:paraId="31A471BA" w14:textId="77777777" w:rsidR="00232836" w:rsidRPr="00C63EF1" w:rsidRDefault="00232836" w:rsidP="00F71368">
            <w:pPr>
              <w:pStyle w:val="NormalWeb"/>
              <w:spacing w:before="0" w:beforeAutospacing="0" w:after="0" w:afterAutospacing="0" w:line="360" w:lineRule="auto"/>
              <w:jc w:val="both"/>
              <w:rPr>
                <w:bCs/>
                <w:sz w:val="22"/>
                <w:szCs w:val="22"/>
              </w:rPr>
            </w:pPr>
            <w:r w:rsidRPr="00C63EF1">
              <w:rPr>
                <w:bCs/>
                <w:sz w:val="22"/>
                <w:szCs w:val="22"/>
              </w:rPr>
              <w:t>S.N.</w:t>
            </w:r>
          </w:p>
        </w:tc>
        <w:tc>
          <w:tcPr>
            <w:tcW w:w="925" w:type="dxa"/>
          </w:tcPr>
          <w:p w14:paraId="0CABB674" w14:textId="77777777" w:rsidR="00232836" w:rsidRPr="00C63EF1" w:rsidRDefault="00232836" w:rsidP="00F71368">
            <w:pPr>
              <w:spacing w:line="360" w:lineRule="auto"/>
              <w:rPr>
                <w:rFonts w:ascii="Times New Roman" w:hAnsi="Times New Roman" w:cs="Times New Roman"/>
              </w:rPr>
            </w:pPr>
            <w:r w:rsidRPr="00C63EF1">
              <w:rPr>
                <w:rFonts w:ascii="Times New Roman" w:hAnsi="Times New Roman" w:cs="Times New Roman"/>
              </w:rPr>
              <w:t>Job analysis</w:t>
            </w:r>
          </w:p>
        </w:tc>
        <w:tc>
          <w:tcPr>
            <w:tcW w:w="999" w:type="dxa"/>
          </w:tcPr>
          <w:p w14:paraId="3283375D" w14:textId="77777777" w:rsidR="00232836" w:rsidRPr="00C63EF1" w:rsidRDefault="00232836" w:rsidP="00F71368">
            <w:pPr>
              <w:spacing w:line="360" w:lineRule="auto"/>
              <w:rPr>
                <w:rFonts w:ascii="Times New Roman" w:hAnsi="Times New Roman" w:cs="Times New Roman"/>
              </w:rPr>
            </w:pPr>
            <w:r w:rsidRPr="00C63EF1">
              <w:rPr>
                <w:rFonts w:ascii="Times New Roman" w:hAnsi="Times New Roman" w:cs="Times New Roman"/>
              </w:rPr>
              <w:t>Planning</w:t>
            </w:r>
          </w:p>
        </w:tc>
        <w:tc>
          <w:tcPr>
            <w:tcW w:w="1035" w:type="dxa"/>
          </w:tcPr>
          <w:p w14:paraId="6EEFBF9A" w14:textId="77777777" w:rsidR="00232836" w:rsidRPr="00C63EF1" w:rsidRDefault="00232836" w:rsidP="00F71368">
            <w:pPr>
              <w:spacing w:line="360" w:lineRule="auto"/>
              <w:rPr>
                <w:rFonts w:ascii="Times New Roman" w:hAnsi="Times New Roman" w:cs="Times New Roman"/>
              </w:rPr>
            </w:pPr>
            <w:r w:rsidRPr="00C63EF1">
              <w:rPr>
                <w:rFonts w:ascii="Times New Roman" w:hAnsi="Times New Roman" w:cs="Times New Roman"/>
              </w:rPr>
              <w:t>Selection</w:t>
            </w:r>
          </w:p>
        </w:tc>
        <w:tc>
          <w:tcPr>
            <w:tcW w:w="1353" w:type="dxa"/>
          </w:tcPr>
          <w:p w14:paraId="7E966875" w14:textId="77777777" w:rsidR="00232836" w:rsidRPr="00C63EF1" w:rsidRDefault="00232836" w:rsidP="00F71368">
            <w:pPr>
              <w:spacing w:line="360" w:lineRule="auto"/>
              <w:rPr>
                <w:rFonts w:ascii="Times New Roman" w:hAnsi="Times New Roman" w:cs="Times New Roman"/>
              </w:rPr>
            </w:pPr>
            <w:r w:rsidRPr="00C63EF1">
              <w:rPr>
                <w:rFonts w:ascii="Times New Roman" w:hAnsi="Times New Roman" w:cs="Times New Roman"/>
              </w:rPr>
              <w:t>Career development</w:t>
            </w:r>
          </w:p>
        </w:tc>
        <w:tc>
          <w:tcPr>
            <w:tcW w:w="974" w:type="dxa"/>
          </w:tcPr>
          <w:p w14:paraId="6B3257E6" w14:textId="77777777" w:rsidR="00232836" w:rsidRPr="00C63EF1" w:rsidRDefault="00232836" w:rsidP="00F71368">
            <w:pPr>
              <w:spacing w:line="360" w:lineRule="auto"/>
              <w:rPr>
                <w:rFonts w:ascii="Times New Roman" w:hAnsi="Times New Roman" w:cs="Times New Roman"/>
              </w:rPr>
            </w:pPr>
            <w:r w:rsidRPr="00C63EF1">
              <w:rPr>
                <w:rFonts w:ascii="Times New Roman" w:hAnsi="Times New Roman" w:cs="Times New Roman"/>
              </w:rPr>
              <w:t>Training</w:t>
            </w:r>
          </w:p>
        </w:tc>
        <w:tc>
          <w:tcPr>
            <w:tcW w:w="735" w:type="dxa"/>
          </w:tcPr>
          <w:p w14:paraId="0562F517" w14:textId="77777777" w:rsidR="00232836" w:rsidRPr="00C63EF1" w:rsidRDefault="00232836" w:rsidP="00F71368">
            <w:pPr>
              <w:spacing w:line="360" w:lineRule="auto"/>
              <w:rPr>
                <w:rFonts w:ascii="Times New Roman" w:hAnsi="Times New Roman" w:cs="Times New Roman"/>
              </w:rPr>
            </w:pPr>
            <w:r w:rsidRPr="00C63EF1">
              <w:rPr>
                <w:rFonts w:ascii="Times New Roman" w:hAnsi="Times New Roman" w:cs="Times New Roman"/>
              </w:rPr>
              <w:t>Termination of employment</w:t>
            </w:r>
          </w:p>
        </w:tc>
        <w:tc>
          <w:tcPr>
            <w:tcW w:w="1677" w:type="dxa"/>
          </w:tcPr>
          <w:p w14:paraId="40612170" w14:textId="77777777" w:rsidR="00232836" w:rsidRPr="00C63EF1" w:rsidRDefault="00232836" w:rsidP="00F71368">
            <w:pPr>
              <w:spacing w:line="360" w:lineRule="auto"/>
              <w:rPr>
                <w:rFonts w:ascii="Times New Roman" w:hAnsi="Times New Roman" w:cs="Times New Roman"/>
              </w:rPr>
            </w:pPr>
            <w:r w:rsidRPr="00C63EF1">
              <w:rPr>
                <w:rFonts w:ascii="Times New Roman" w:hAnsi="Times New Roman" w:cs="Times New Roman"/>
              </w:rPr>
              <w:t>Creativity</w:t>
            </w:r>
          </w:p>
          <w:p w14:paraId="694C945C" w14:textId="77777777" w:rsidR="00232836" w:rsidRPr="00C63EF1" w:rsidRDefault="00232836" w:rsidP="00F71368">
            <w:pPr>
              <w:pStyle w:val="NormalWeb"/>
              <w:spacing w:before="0" w:beforeAutospacing="0" w:after="0" w:afterAutospacing="0" w:line="360" w:lineRule="auto"/>
              <w:jc w:val="both"/>
              <w:rPr>
                <w:b/>
                <w:bCs/>
                <w:sz w:val="22"/>
                <w:szCs w:val="22"/>
              </w:rPr>
            </w:pPr>
          </w:p>
        </w:tc>
        <w:tc>
          <w:tcPr>
            <w:tcW w:w="1121" w:type="dxa"/>
          </w:tcPr>
          <w:p w14:paraId="39E482FC" w14:textId="77777777" w:rsidR="00232836" w:rsidRPr="00C63EF1" w:rsidRDefault="00232836" w:rsidP="00F71368">
            <w:pPr>
              <w:spacing w:line="360" w:lineRule="auto"/>
              <w:rPr>
                <w:rFonts w:ascii="Times New Roman" w:hAnsi="Times New Roman" w:cs="Times New Roman"/>
              </w:rPr>
            </w:pPr>
            <w:r w:rsidRPr="00C63EF1">
              <w:rPr>
                <w:rFonts w:ascii="Times New Roman" w:hAnsi="Times New Roman" w:cs="Times New Roman"/>
              </w:rPr>
              <w:t>Indenting leadership potential</w:t>
            </w:r>
          </w:p>
        </w:tc>
        <w:tc>
          <w:tcPr>
            <w:tcW w:w="1267" w:type="dxa"/>
          </w:tcPr>
          <w:p w14:paraId="0E81D72A" w14:textId="77777777" w:rsidR="00232836" w:rsidRPr="00C63EF1" w:rsidRDefault="00232836" w:rsidP="00F71368">
            <w:pPr>
              <w:spacing w:line="360" w:lineRule="auto"/>
              <w:rPr>
                <w:rFonts w:ascii="Times New Roman" w:hAnsi="Times New Roman" w:cs="Times New Roman"/>
                <w:color w:val="333333"/>
                <w:shd w:val="clear" w:color="auto" w:fill="FFFFFF"/>
              </w:rPr>
            </w:pPr>
            <w:r w:rsidRPr="00C63EF1">
              <w:rPr>
                <w:rFonts w:ascii="Times New Roman" w:hAnsi="Times New Roman" w:cs="Times New Roman"/>
              </w:rPr>
              <w:t>Information</w:t>
            </w:r>
          </w:p>
        </w:tc>
      </w:tr>
      <w:tr w:rsidR="00232836" w:rsidRPr="00C63EF1" w14:paraId="5BFB08A9" w14:textId="77777777" w:rsidTr="007A65F4">
        <w:tc>
          <w:tcPr>
            <w:tcW w:w="608" w:type="dxa"/>
          </w:tcPr>
          <w:p w14:paraId="6CD482EE" w14:textId="77777777" w:rsidR="00232836" w:rsidRPr="00C63EF1" w:rsidRDefault="00232836" w:rsidP="00F71368">
            <w:pPr>
              <w:pStyle w:val="NormalWeb"/>
              <w:spacing w:before="0" w:beforeAutospacing="0" w:after="0" w:afterAutospacing="0" w:line="360" w:lineRule="auto"/>
              <w:jc w:val="both"/>
              <w:rPr>
                <w:bCs/>
                <w:sz w:val="22"/>
                <w:szCs w:val="22"/>
              </w:rPr>
            </w:pPr>
            <w:r w:rsidRPr="00C63EF1">
              <w:rPr>
                <w:bCs/>
                <w:sz w:val="22"/>
                <w:szCs w:val="22"/>
              </w:rPr>
              <w:t>1</w:t>
            </w:r>
          </w:p>
        </w:tc>
        <w:tc>
          <w:tcPr>
            <w:tcW w:w="925" w:type="dxa"/>
          </w:tcPr>
          <w:p w14:paraId="2FAFD7ED" w14:textId="51F4B4EA"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2</w:t>
            </w:r>
            <w:r w:rsidR="00232836" w:rsidRPr="00C63EF1">
              <w:rPr>
                <w:bCs/>
                <w:sz w:val="22"/>
                <w:szCs w:val="22"/>
              </w:rPr>
              <w:t>59</w:t>
            </w:r>
          </w:p>
        </w:tc>
        <w:tc>
          <w:tcPr>
            <w:tcW w:w="999" w:type="dxa"/>
          </w:tcPr>
          <w:p w14:paraId="07FB757E" w14:textId="6B97099A"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3</w:t>
            </w:r>
            <w:r w:rsidR="00232836" w:rsidRPr="00C63EF1">
              <w:rPr>
                <w:bCs/>
                <w:sz w:val="22"/>
                <w:szCs w:val="22"/>
              </w:rPr>
              <w:t>15</w:t>
            </w:r>
          </w:p>
        </w:tc>
        <w:tc>
          <w:tcPr>
            <w:tcW w:w="1035" w:type="dxa"/>
          </w:tcPr>
          <w:p w14:paraId="54D726CF" w14:textId="7FC92D84"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5</w:t>
            </w:r>
            <w:r w:rsidR="00232836" w:rsidRPr="00C63EF1">
              <w:rPr>
                <w:bCs/>
                <w:sz w:val="22"/>
                <w:szCs w:val="22"/>
              </w:rPr>
              <w:t>94</w:t>
            </w:r>
          </w:p>
        </w:tc>
        <w:tc>
          <w:tcPr>
            <w:tcW w:w="1353" w:type="dxa"/>
          </w:tcPr>
          <w:p w14:paraId="5CF8AA57" w14:textId="62DA7AB0"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9</w:t>
            </w:r>
            <w:r w:rsidR="00232836" w:rsidRPr="00C63EF1">
              <w:rPr>
                <w:bCs/>
                <w:sz w:val="22"/>
                <w:szCs w:val="22"/>
              </w:rPr>
              <w:t>59</w:t>
            </w:r>
          </w:p>
        </w:tc>
        <w:tc>
          <w:tcPr>
            <w:tcW w:w="974" w:type="dxa"/>
          </w:tcPr>
          <w:p w14:paraId="4AABAEF6" w14:textId="7B6E7FBD"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7</w:t>
            </w:r>
            <w:r w:rsidR="00232836" w:rsidRPr="00C63EF1">
              <w:rPr>
                <w:bCs/>
                <w:sz w:val="22"/>
                <w:szCs w:val="22"/>
              </w:rPr>
              <w:t>15</w:t>
            </w:r>
          </w:p>
        </w:tc>
        <w:tc>
          <w:tcPr>
            <w:tcW w:w="735" w:type="dxa"/>
          </w:tcPr>
          <w:p w14:paraId="3763E7AA" w14:textId="0B020EDA"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3</w:t>
            </w:r>
            <w:r w:rsidR="00C425AD">
              <w:rPr>
                <w:bCs/>
                <w:sz w:val="22"/>
                <w:szCs w:val="22"/>
              </w:rPr>
              <w:t>.</w:t>
            </w:r>
            <w:r w:rsidRPr="00C63EF1">
              <w:rPr>
                <w:bCs/>
                <w:sz w:val="22"/>
                <w:szCs w:val="22"/>
              </w:rPr>
              <w:t>94</w:t>
            </w:r>
          </w:p>
        </w:tc>
        <w:tc>
          <w:tcPr>
            <w:tcW w:w="1677" w:type="dxa"/>
          </w:tcPr>
          <w:p w14:paraId="0EBB2580" w14:textId="3758FC1B"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1</w:t>
            </w:r>
            <w:r w:rsidR="00C425AD">
              <w:rPr>
                <w:bCs/>
                <w:sz w:val="22"/>
                <w:szCs w:val="22"/>
              </w:rPr>
              <w:t>.</w:t>
            </w:r>
            <w:r w:rsidRPr="00C63EF1">
              <w:rPr>
                <w:bCs/>
                <w:sz w:val="22"/>
                <w:szCs w:val="22"/>
              </w:rPr>
              <w:t>59</w:t>
            </w:r>
          </w:p>
        </w:tc>
        <w:tc>
          <w:tcPr>
            <w:tcW w:w="1121" w:type="dxa"/>
          </w:tcPr>
          <w:p w14:paraId="3C9A5094" w14:textId="120F2DB6"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2</w:t>
            </w:r>
            <w:r w:rsidR="00C425AD">
              <w:rPr>
                <w:bCs/>
                <w:sz w:val="22"/>
                <w:szCs w:val="22"/>
              </w:rPr>
              <w:t>.</w:t>
            </w:r>
            <w:r w:rsidRPr="00C63EF1">
              <w:rPr>
                <w:bCs/>
                <w:sz w:val="22"/>
                <w:szCs w:val="22"/>
              </w:rPr>
              <w:t>15</w:t>
            </w:r>
          </w:p>
        </w:tc>
        <w:tc>
          <w:tcPr>
            <w:tcW w:w="1267" w:type="dxa"/>
          </w:tcPr>
          <w:p w14:paraId="071216A2" w14:textId="6BDE5E27"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2</w:t>
            </w:r>
            <w:r w:rsidR="00D46AB8">
              <w:rPr>
                <w:bCs/>
                <w:sz w:val="22"/>
                <w:szCs w:val="22"/>
              </w:rPr>
              <w:t>.</w:t>
            </w:r>
            <w:r w:rsidRPr="00C63EF1">
              <w:rPr>
                <w:bCs/>
                <w:sz w:val="22"/>
                <w:szCs w:val="22"/>
              </w:rPr>
              <w:t>15</w:t>
            </w:r>
          </w:p>
        </w:tc>
      </w:tr>
      <w:tr w:rsidR="00232836" w:rsidRPr="00C63EF1" w14:paraId="72BF72A7" w14:textId="77777777" w:rsidTr="007A65F4">
        <w:tc>
          <w:tcPr>
            <w:tcW w:w="608" w:type="dxa"/>
          </w:tcPr>
          <w:p w14:paraId="488823FF" w14:textId="77777777" w:rsidR="00232836" w:rsidRPr="00C63EF1" w:rsidRDefault="00232836" w:rsidP="00F71368">
            <w:pPr>
              <w:pStyle w:val="NormalWeb"/>
              <w:spacing w:before="0" w:beforeAutospacing="0" w:after="0" w:afterAutospacing="0" w:line="360" w:lineRule="auto"/>
              <w:jc w:val="both"/>
              <w:rPr>
                <w:bCs/>
                <w:sz w:val="22"/>
                <w:szCs w:val="22"/>
              </w:rPr>
            </w:pPr>
            <w:r w:rsidRPr="00C63EF1">
              <w:rPr>
                <w:bCs/>
                <w:sz w:val="22"/>
                <w:szCs w:val="22"/>
              </w:rPr>
              <w:t>2</w:t>
            </w:r>
          </w:p>
        </w:tc>
        <w:tc>
          <w:tcPr>
            <w:tcW w:w="925" w:type="dxa"/>
          </w:tcPr>
          <w:p w14:paraId="29D9B6FE" w14:textId="695629F9"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2</w:t>
            </w:r>
            <w:r w:rsidR="00232836" w:rsidRPr="00C63EF1">
              <w:rPr>
                <w:bCs/>
                <w:sz w:val="22"/>
                <w:szCs w:val="22"/>
              </w:rPr>
              <w:t>49</w:t>
            </w:r>
          </w:p>
        </w:tc>
        <w:tc>
          <w:tcPr>
            <w:tcW w:w="999" w:type="dxa"/>
          </w:tcPr>
          <w:p w14:paraId="204E0172" w14:textId="6920FD12"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3</w:t>
            </w:r>
            <w:r w:rsidR="00232836" w:rsidRPr="00C63EF1">
              <w:rPr>
                <w:bCs/>
                <w:sz w:val="22"/>
                <w:szCs w:val="22"/>
              </w:rPr>
              <w:t>16</w:t>
            </w:r>
          </w:p>
        </w:tc>
        <w:tc>
          <w:tcPr>
            <w:tcW w:w="1035" w:type="dxa"/>
          </w:tcPr>
          <w:p w14:paraId="6B9A3DB7" w14:textId="437F5A58"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5</w:t>
            </w:r>
            <w:r w:rsidR="00232836" w:rsidRPr="00C63EF1">
              <w:rPr>
                <w:bCs/>
                <w:sz w:val="22"/>
                <w:szCs w:val="22"/>
              </w:rPr>
              <w:t>85</w:t>
            </w:r>
          </w:p>
        </w:tc>
        <w:tc>
          <w:tcPr>
            <w:tcW w:w="1353" w:type="dxa"/>
          </w:tcPr>
          <w:p w14:paraId="173E8461" w14:textId="3B4839C9"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9</w:t>
            </w:r>
            <w:r w:rsidR="00232836" w:rsidRPr="00C63EF1">
              <w:rPr>
                <w:bCs/>
                <w:sz w:val="22"/>
                <w:szCs w:val="22"/>
              </w:rPr>
              <w:t>49</w:t>
            </w:r>
          </w:p>
        </w:tc>
        <w:tc>
          <w:tcPr>
            <w:tcW w:w="974" w:type="dxa"/>
          </w:tcPr>
          <w:p w14:paraId="54692A1F" w14:textId="5AD0065F"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7</w:t>
            </w:r>
            <w:r w:rsidR="00232836" w:rsidRPr="00C63EF1">
              <w:rPr>
                <w:bCs/>
                <w:sz w:val="22"/>
                <w:szCs w:val="22"/>
              </w:rPr>
              <w:t>16</w:t>
            </w:r>
          </w:p>
        </w:tc>
        <w:tc>
          <w:tcPr>
            <w:tcW w:w="735" w:type="dxa"/>
          </w:tcPr>
          <w:p w14:paraId="6181B988" w14:textId="6900739F"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3</w:t>
            </w:r>
            <w:r w:rsidR="00C425AD">
              <w:rPr>
                <w:bCs/>
                <w:sz w:val="22"/>
                <w:szCs w:val="22"/>
              </w:rPr>
              <w:t>.</w:t>
            </w:r>
            <w:r w:rsidRPr="00C63EF1">
              <w:rPr>
                <w:bCs/>
                <w:sz w:val="22"/>
                <w:szCs w:val="22"/>
              </w:rPr>
              <w:t>85</w:t>
            </w:r>
          </w:p>
        </w:tc>
        <w:tc>
          <w:tcPr>
            <w:tcW w:w="1677" w:type="dxa"/>
          </w:tcPr>
          <w:p w14:paraId="48B7812E" w14:textId="6BCC5F4A"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1</w:t>
            </w:r>
            <w:r w:rsidR="00C425AD">
              <w:rPr>
                <w:bCs/>
                <w:sz w:val="22"/>
                <w:szCs w:val="22"/>
              </w:rPr>
              <w:t>.</w:t>
            </w:r>
            <w:r w:rsidRPr="00C63EF1">
              <w:rPr>
                <w:bCs/>
                <w:sz w:val="22"/>
                <w:szCs w:val="22"/>
              </w:rPr>
              <w:t>49</w:t>
            </w:r>
          </w:p>
        </w:tc>
        <w:tc>
          <w:tcPr>
            <w:tcW w:w="1121" w:type="dxa"/>
          </w:tcPr>
          <w:p w14:paraId="42E39555" w14:textId="6B595BE2"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2</w:t>
            </w:r>
            <w:r w:rsidR="00C425AD">
              <w:rPr>
                <w:bCs/>
                <w:sz w:val="22"/>
                <w:szCs w:val="22"/>
              </w:rPr>
              <w:t>.</w:t>
            </w:r>
            <w:r w:rsidRPr="00C63EF1">
              <w:rPr>
                <w:bCs/>
                <w:sz w:val="22"/>
                <w:szCs w:val="22"/>
              </w:rPr>
              <w:t>16</w:t>
            </w:r>
          </w:p>
        </w:tc>
        <w:tc>
          <w:tcPr>
            <w:tcW w:w="1267" w:type="dxa"/>
          </w:tcPr>
          <w:p w14:paraId="2FE4ACA1" w14:textId="4CCEE5A5"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2</w:t>
            </w:r>
            <w:r w:rsidR="00D46AB8">
              <w:rPr>
                <w:bCs/>
                <w:sz w:val="22"/>
                <w:szCs w:val="22"/>
              </w:rPr>
              <w:t>.</w:t>
            </w:r>
            <w:r w:rsidRPr="00C63EF1">
              <w:rPr>
                <w:bCs/>
                <w:sz w:val="22"/>
                <w:szCs w:val="22"/>
              </w:rPr>
              <w:t>16</w:t>
            </w:r>
          </w:p>
        </w:tc>
      </w:tr>
      <w:tr w:rsidR="00232836" w:rsidRPr="00C63EF1" w14:paraId="6A79A593" w14:textId="77777777" w:rsidTr="007A65F4">
        <w:tc>
          <w:tcPr>
            <w:tcW w:w="608" w:type="dxa"/>
          </w:tcPr>
          <w:p w14:paraId="359E6C87" w14:textId="77777777" w:rsidR="00232836" w:rsidRPr="00C63EF1" w:rsidRDefault="00232836" w:rsidP="00F71368">
            <w:pPr>
              <w:pStyle w:val="NormalWeb"/>
              <w:spacing w:before="0" w:beforeAutospacing="0" w:after="0" w:afterAutospacing="0" w:line="360" w:lineRule="auto"/>
              <w:jc w:val="both"/>
              <w:rPr>
                <w:bCs/>
                <w:sz w:val="22"/>
                <w:szCs w:val="22"/>
              </w:rPr>
            </w:pPr>
            <w:r w:rsidRPr="00C63EF1">
              <w:rPr>
                <w:bCs/>
                <w:sz w:val="22"/>
                <w:szCs w:val="22"/>
              </w:rPr>
              <w:t>3</w:t>
            </w:r>
          </w:p>
        </w:tc>
        <w:tc>
          <w:tcPr>
            <w:tcW w:w="925" w:type="dxa"/>
          </w:tcPr>
          <w:p w14:paraId="19B63443" w14:textId="583BF3FA"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2</w:t>
            </w:r>
            <w:r w:rsidR="00232836" w:rsidRPr="00C63EF1">
              <w:rPr>
                <w:bCs/>
                <w:sz w:val="22"/>
                <w:szCs w:val="22"/>
              </w:rPr>
              <w:t>38</w:t>
            </w:r>
          </w:p>
        </w:tc>
        <w:tc>
          <w:tcPr>
            <w:tcW w:w="999" w:type="dxa"/>
          </w:tcPr>
          <w:p w14:paraId="7DFFB12C" w14:textId="2D2FBAE3"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3</w:t>
            </w:r>
            <w:r w:rsidR="00232836" w:rsidRPr="00C63EF1">
              <w:rPr>
                <w:bCs/>
                <w:sz w:val="22"/>
                <w:szCs w:val="22"/>
              </w:rPr>
              <w:t>10</w:t>
            </w:r>
          </w:p>
        </w:tc>
        <w:tc>
          <w:tcPr>
            <w:tcW w:w="1035" w:type="dxa"/>
          </w:tcPr>
          <w:p w14:paraId="553CE616" w14:textId="78E002F7"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5</w:t>
            </w:r>
            <w:r w:rsidR="00232836" w:rsidRPr="00C63EF1">
              <w:rPr>
                <w:bCs/>
                <w:sz w:val="22"/>
                <w:szCs w:val="22"/>
              </w:rPr>
              <w:t>76</w:t>
            </w:r>
          </w:p>
        </w:tc>
        <w:tc>
          <w:tcPr>
            <w:tcW w:w="1353" w:type="dxa"/>
          </w:tcPr>
          <w:p w14:paraId="1C53B2A3" w14:textId="3BBA8CC1"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9</w:t>
            </w:r>
            <w:r w:rsidR="00232836" w:rsidRPr="00C63EF1">
              <w:rPr>
                <w:bCs/>
                <w:sz w:val="22"/>
                <w:szCs w:val="22"/>
              </w:rPr>
              <w:t>38</w:t>
            </w:r>
          </w:p>
        </w:tc>
        <w:tc>
          <w:tcPr>
            <w:tcW w:w="974" w:type="dxa"/>
          </w:tcPr>
          <w:p w14:paraId="51F8C61F" w14:textId="57790587"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7</w:t>
            </w:r>
            <w:r w:rsidR="00232836" w:rsidRPr="00C63EF1">
              <w:rPr>
                <w:bCs/>
                <w:sz w:val="22"/>
                <w:szCs w:val="22"/>
              </w:rPr>
              <w:t>10</w:t>
            </w:r>
          </w:p>
        </w:tc>
        <w:tc>
          <w:tcPr>
            <w:tcW w:w="735" w:type="dxa"/>
          </w:tcPr>
          <w:p w14:paraId="4FD561DC" w14:textId="51607DF7"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3</w:t>
            </w:r>
            <w:r w:rsidR="00C425AD">
              <w:rPr>
                <w:bCs/>
                <w:sz w:val="22"/>
                <w:szCs w:val="22"/>
              </w:rPr>
              <w:t>.</w:t>
            </w:r>
            <w:r w:rsidRPr="00C63EF1">
              <w:rPr>
                <w:bCs/>
                <w:sz w:val="22"/>
                <w:szCs w:val="22"/>
              </w:rPr>
              <w:t>76</w:t>
            </w:r>
          </w:p>
        </w:tc>
        <w:tc>
          <w:tcPr>
            <w:tcW w:w="1677" w:type="dxa"/>
          </w:tcPr>
          <w:p w14:paraId="48182384" w14:textId="1A707EAA"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1</w:t>
            </w:r>
            <w:r w:rsidR="00C425AD">
              <w:rPr>
                <w:bCs/>
                <w:sz w:val="22"/>
                <w:szCs w:val="22"/>
              </w:rPr>
              <w:t>.</w:t>
            </w:r>
            <w:r w:rsidRPr="00C63EF1">
              <w:rPr>
                <w:bCs/>
                <w:sz w:val="22"/>
                <w:szCs w:val="22"/>
              </w:rPr>
              <w:t>38</w:t>
            </w:r>
          </w:p>
        </w:tc>
        <w:tc>
          <w:tcPr>
            <w:tcW w:w="1121" w:type="dxa"/>
          </w:tcPr>
          <w:p w14:paraId="61175CB0" w14:textId="5E26D2DA"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2</w:t>
            </w:r>
            <w:r w:rsidR="00C425AD">
              <w:rPr>
                <w:bCs/>
                <w:sz w:val="22"/>
                <w:szCs w:val="22"/>
              </w:rPr>
              <w:t>.</w:t>
            </w:r>
            <w:r w:rsidRPr="00C63EF1">
              <w:rPr>
                <w:bCs/>
                <w:sz w:val="22"/>
                <w:szCs w:val="22"/>
              </w:rPr>
              <w:t>10</w:t>
            </w:r>
          </w:p>
        </w:tc>
        <w:tc>
          <w:tcPr>
            <w:tcW w:w="1267" w:type="dxa"/>
          </w:tcPr>
          <w:p w14:paraId="584BAEB1" w14:textId="384CBEF0"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2</w:t>
            </w:r>
            <w:r w:rsidR="00D46AB8">
              <w:rPr>
                <w:bCs/>
                <w:sz w:val="22"/>
                <w:szCs w:val="22"/>
              </w:rPr>
              <w:t>.</w:t>
            </w:r>
            <w:r w:rsidRPr="00C63EF1">
              <w:rPr>
                <w:bCs/>
                <w:sz w:val="22"/>
                <w:szCs w:val="22"/>
              </w:rPr>
              <w:t>10</w:t>
            </w:r>
          </w:p>
        </w:tc>
      </w:tr>
      <w:tr w:rsidR="00232836" w:rsidRPr="00C63EF1" w14:paraId="4237A211" w14:textId="77777777" w:rsidTr="007A65F4">
        <w:tc>
          <w:tcPr>
            <w:tcW w:w="608" w:type="dxa"/>
          </w:tcPr>
          <w:p w14:paraId="57D1DA1C" w14:textId="77777777" w:rsidR="00232836" w:rsidRPr="00C63EF1" w:rsidRDefault="00232836" w:rsidP="00F71368">
            <w:pPr>
              <w:pStyle w:val="NormalWeb"/>
              <w:spacing w:before="0" w:beforeAutospacing="0" w:after="0" w:afterAutospacing="0" w:line="360" w:lineRule="auto"/>
              <w:jc w:val="both"/>
              <w:rPr>
                <w:bCs/>
                <w:sz w:val="22"/>
                <w:szCs w:val="22"/>
              </w:rPr>
            </w:pPr>
            <w:r w:rsidRPr="00C63EF1">
              <w:rPr>
                <w:bCs/>
                <w:sz w:val="22"/>
                <w:szCs w:val="22"/>
              </w:rPr>
              <w:t>4</w:t>
            </w:r>
          </w:p>
        </w:tc>
        <w:tc>
          <w:tcPr>
            <w:tcW w:w="925" w:type="dxa"/>
          </w:tcPr>
          <w:p w14:paraId="28A9389E" w14:textId="4B7B17EB"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2</w:t>
            </w:r>
            <w:r w:rsidR="00232836" w:rsidRPr="00C63EF1">
              <w:rPr>
                <w:bCs/>
                <w:sz w:val="22"/>
                <w:szCs w:val="22"/>
              </w:rPr>
              <w:t>24</w:t>
            </w:r>
          </w:p>
        </w:tc>
        <w:tc>
          <w:tcPr>
            <w:tcW w:w="999" w:type="dxa"/>
          </w:tcPr>
          <w:p w14:paraId="7EEDD412" w14:textId="64992734"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3</w:t>
            </w:r>
            <w:r w:rsidR="00232836" w:rsidRPr="00C63EF1">
              <w:rPr>
                <w:bCs/>
                <w:sz w:val="22"/>
                <w:szCs w:val="22"/>
              </w:rPr>
              <w:t>19</w:t>
            </w:r>
          </w:p>
        </w:tc>
        <w:tc>
          <w:tcPr>
            <w:tcW w:w="1035" w:type="dxa"/>
          </w:tcPr>
          <w:p w14:paraId="04EDAC1B" w14:textId="31122106"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5</w:t>
            </w:r>
            <w:r w:rsidR="00232836" w:rsidRPr="00C63EF1">
              <w:rPr>
                <w:bCs/>
                <w:sz w:val="22"/>
                <w:szCs w:val="22"/>
              </w:rPr>
              <w:t>68</w:t>
            </w:r>
          </w:p>
        </w:tc>
        <w:tc>
          <w:tcPr>
            <w:tcW w:w="1353" w:type="dxa"/>
          </w:tcPr>
          <w:p w14:paraId="2CF03B23" w14:textId="3F7B5ECC"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9</w:t>
            </w:r>
            <w:r w:rsidR="00232836" w:rsidRPr="00C63EF1">
              <w:rPr>
                <w:bCs/>
                <w:sz w:val="22"/>
                <w:szCs w:val="22"/>
              </w:rPr>
              <w:t>24</w:t>
            </w:r>
          </w:p>
        </w:tc>
        <w:tc>
          <w:tcPr>
            <w:tcW w:w="974" w:type="dxa"/>
          </w:tcPr>
          <w:p w14:paraId="17197174" w14:textId="21149E73"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7</w:t>
            </w:r>
            <w:r w:rsidR="00232836" w:rsidRPr="00C63EF1">
              <w:rPr>
                <w:bCs/>
                <w:sz w:val="22"/>
                <w:szCs w:val="22"/>
              </w:rPr>
              <w:t>19</w:t>
            </w:r>
          </w:p>
        </w:tc>
        <w:tc>
          <w:tcPr>
            <w:tcW w:w="735" w:type="dxa"/>
          </w:tcPr>
          <w:p w14:paraId="46222A69" w14:textId="7DCD5973"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3</w:t>
            </w:r>
            <w:r w:rsidR="00C425AD">
              <w:rPr>
                <w:bCs/>
                <w:sz w:val="22"/>
                <w:szCs w:val="22"/>
              </w:rPr>
              <w:t>.</w:t>
            </w:r>
            <w:r w:rsidRPr="00C63EF1">
              <w:rPr>
                <w:bCs/>
                <w:sz w:val="22"/>
                <w:szCs w:val="22"/>
              </w:rPr>
              <w:t>68</w:t>
            </w:r>
          </w:p>
        </w:tc>
        <w:tc>
          <w:tcPr>
            <w:tcW w:w="1677" w:type="dxa"/>
          </w:tcPr>
          <w:p w14:paraId="27C1CB9F" w14:textId="68B7FF12"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1</w:t>
            </w:r>
            <w:r w:rsidR="00C425AD">
              <w:rPr>
                <w:bCs/>
                <w:sz w:val="22"/>
                <w:szCs w:val="22"/>
              </w:rPr>
              <w:t>.</w:t>
            </w:r>
            <w:r w:rsidRPr="00C63EF1">
              <w:rPr>
                <w:bCs/>
                <w:sz w:val="22"/>
                <w:szCs w:val="22"/>
              </w:rPr>
              <w:t>24</w:t>
            </w:r>
          </w:p>
        </w:tc>
        <w:tc>
          <w:tcPr>
            <w:tcW w:w="1121" w:type="dxa"/>
          </w:tcPr>
          <w:p w14:paraId="50AD658F" w14:textId="1273E8D0"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2</w:t>
            </w:r>
            <w:r w:rsidR="00C425AD">
              <w:rPr>
                <w:bCs/>
                <w:sz w:val="22"/>
                <w:szCs w:val="22"/>
              </w:rPr>
              <w:t>.</w:t>
            </w:r>
            <w:r w:rsidRPr="00C63EF1">
              <w:rPr>
                <w:bCs/>
                <w:sz w:val="22"/>
                <w:szCs w:val="22"/>
              </w:rPr>
              <w:t>19</w:t>
            </w:r>
          </w:p>
        </w:tc>
        <w:tc>
          <w:tcPr>
            <w:tcW w:w="1267" w:type="dxa"/>
          </w:tcPr>
          <w:p w14:paraId="271DEDC7" w14:textId="7345C86A"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2</w:t>
            </w:r>
            <w:r w:rsidR="00D46AB8">
              <w:rPr>
                <w:bCs/>
                <w:sz w:val="22"/>
                <w:szCs w:val="22"/>
              </w:rPr>
              <w:t>.</w:t>
            </w:r>
            <w:r w:rsidRPr="00C63EF1">
              <w:rPr>
                <w:bCs/>
                <w:sz w:val="22"/>
                <w:szCs w:val="22"/>
              </w:rPr>
              <w:t>19</w:t>
            </w:r>
          </w:p>
        </w:tc>
      </w:tr>
      <w:tr w:rsidR="00232836" w:rsidRPr="00C63EF1" w14:paraId="2D1944DC" w14:textId="77777777" w:rsidTr="007A65F4">
        <w:tc>
          <w:tcPr>
            <w:tcW w:w="608" w:type="dxa"/>
          </w:tcPr>
          <w:p w14:paraId="6B51378C" w14:textId="77777777" w:rsidR="00232836" w:rsidRPr="00C63EF1" w:rsidRDefault="00232836" w:rsidP="00F71368">
            <w:pPr>
              <w:pStyle w:val="NormalWeb"/>
              <w:spacing w:before="0" w:beforeAutospacing="0" w:after="0" w:afterAutospacing="0" w:line="360" w:lineRule="auto"/>
              <w:jc w:val="both"/>
              <w:rPr>
                <w:bCs/>
                <w:sz w:val="22"/>
                <w:szCs w:val="22"/>
              </w:rPr>
            </w:pPr>
            <w:r w:rsidRPr="00C63EF1">
              <w:rPr>
                <w:bCs/>
                <w:sz w:val="22"/>
                <w:szCs w:val="22"/>
              </w:rPr>
              <w:t>5</w:t>
            </w:r>
          </w:p>
        </w:tc>
        <w:tc>
          <w:tcPr>
            <w:tcW w:w="925" w:type="dxa"/>
          </w:tcPr>
          <w:p w14:paraId="25CCD9BE" w14:textId="6BF5F6AC"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2</w:t>
            </w:r>
            <w:r w:rsidR="00232836" w:rsidRPr="00C63EF1">
              <w:rPr>
                <w:bCs/>
                <w:sz w:val="22"/>
                <w:szCs w:val="22"/>
              </w:rPr>
              <w:t>16</w:t>
            </w:r>
          </w:p>
        </w:tc>
        <w:tc>
          <w:tcPr>
            <w:tcW w:w="999" w:type="dxa"/>
          </w:tcPr>
          <w:p w14:paraId="3ECA0672" w14:textId="1D7FEFB8"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3</w:t>
            </w:r>
            <w:r w:rsidR="00232836" w:rsidRPr="00C63EF1">
              <w:rPr>
                <w:bCs/>
                <w:sz w:val="22"/>
                <w:szCs w:val="22"/>
              </w:rPr>
              <w:t>17</w:t>
            </w:r>
          </w:p>
        </w:tc>
        <w:tc>
          <w:tcPr>
            <w:tcW w:w="1035" w:type="dxa"/>
          </w:tcPr>
          <w:p w14:paraId="676614A2" w14:textId="7E0C09B0"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5</w:t>
            </w:r>
            <w:r w:rsidR="00232836" w:rsidRPr="00C63EF1">
              <w:rPr>
                <w:bCs/>
                <w:sz w:val="22"/>
                <w:szCs w:val="22"/>
              </w:rPr>
              <w:t>50</w:t>
            </w:r>
          </w:p>
        </w:tc>
        <w:tc>
          <w:tcPr>
            <w:tcW w:w="1353" w:type="dxa"/>
          </w:tcPr>
          <w:p w14:paraId="52328728" w14:textId="779805EA"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9</w:t>
            </w:r>
            <w:r w:rsidR="00232836" w:rsidRPr="00C63EF1">
              <w:rPr>
                <w:bCs/>
                <w:sz w:val="22"/>
                <w:szCs w:val="22"/>
              </w:rPr>
              <w:t>16</w:t>
            </w:r>
          </w:p>
        </w:tc>
        <w:tc>
          <w:tcPr>
            <w:tcW w:w="974" w:type="dxa"/>
          </w:tcPr>
          <w:p w14:paraId="7777F07B" w14:textId="7A96ECA9" w:rsidR="00232836" w:rsidRPr="00C63EF1" w:rsidRDefault="00C425AD" w:rsidP="00F71368">
            <w:pPr>
              <w:pStyle w:val="NormalWeb"/>
              <w:spacing w:before="0" w:beforeAutospacing="0" w:after="0" w:afterAutospacing="0" w:line="360" w:lineRule="auto"/>
              <w:jc w:val="center"/>
              <w:rPr>
                <w:bCs/>
                <w:sz w:val="22"/>
                <w:szCs w:val="22"/>
              </w:rPr>
            </w:pPr>
            <w:r>
              <w:rPr>
                <w:bCs/>
                <w:sz w:val="22"/>
                <w:szCs w:val="22"/>
              </w:rPr>
              <w:t>7</w:t>
            </w:r>
            <w:r w:rsidR="00232836" w:rsidRPr="00C63EF1">
              <w:rPr>
                <w:bCs/>
                <w:sz w:val="22"/>
                <w:szCs w:val="22"/>
              </w:rPr>
              <w:t>17</w:t>
            </w:r>
          </w:p>
        </w:tc>
        <w:tc>
          <w:tcPr>
            <w:tcW w:w="735" w:type="dxa"/>
          </w:tcPr>
          <w:p w14:paraId="4F518E8D" w14:textId="49ED801F"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3</w:t>
            </w:r>
            <w:r w:rsidR="00C425AD">
              <w:rPr>
                <w:bCs/>
                <w:sz w:val="22"/>
                <w:szCs w:val="22"/>
              </w:rPr>
              <w:t>.</w:t>
            </w:r>
            <w:r w:rsidRPr="00C63EF1">
              <w:rPr>
                <w:bCs/>
                <w:sz w:val="22"/>
                <w:szCs w:val="22"/>
              </w:rPr>
              <w:t>50</w:t>
            </w:r>
          </w:p>
        </w:tc>
        <w:tc>
          <w:tcPr>
            <w:tcW w:w="1677" w:type="dxa"/>
          </w:tcPr>
          <w:p w14:paraId="06D69869" w14:textId="75C14208"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1</w:t>
            </w:r>
            <w:r w:rsidR="00C425AD">
              <w:rPr>
                <w:bCs/>
                <w:sz w:val="22"/>
                <w:szCs w:val="22"/>
              </w:rPr>
              <w:t>.</w:t>
            </w:r>
            <w:r w:rsidRPr="00C63EF1">
              <w:rPr>
                <w:bCs/>
                <w:sz w:val="22"/>
                <w:szCs w:val="22"/>
              </w:rPr>
              <w:t>16</w:t>
            </w:r>
          </w:p>
        </w:tc>
        <w:tc>
          <w:tcPr>
            <w:tcW w:w="1121" w:type="dxa"/>
          </w:tcPr>
          <w:p w14:paraId="71A197CF" w14:textId="03B73175"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2</w:t>
            </w:r>
            <w:r w:rsidR="00C425AD">
              <w:rPr>
                <w:bCs/>
                <w:sz w:val="22"/>
                <w:szCs w:val="22"/>
              </w:rPr>
              <w:t>.</w:t>
            </w:r>
            <w:r w:rsidRPr="00C63EF1">
              <w:rPr>
                <w:bCs/>
                <w:sz w:val="22"/>
                <w:szCs w:val="22"/>
              </w:rPr>
              <w:t>17</w:t>
            </w:r>
          </w:p>
        </w:tc>
        <w:tc>
          <w:tcPr>
            <w:tcW w:w="1267" w:type="dxa"/>
          </w:tcPr>
          <w:p w14:paraId="5F49CBB8" w14:textId="5726726F" w:rsidR="00232836" w:rsidRPr="00C63EF1" w:rsidRDefault="00232836" w:rsidP="00F71368">
            <w:pPr>
              <w:pStyle w:val="NormalWeb"/>
              <w:spacing w:before="0" w:beforeAutospacing="0" w:after="0" w:afterAutospacing="0" w:line="360" w:lineRule="auto"/>
              <w:jc w:val="center"/>
              <w:rPr>
                <w:bCs/>
                <w:sz w:val="22"/>
                <w:szCs w:val="22"/>
              </w:rPr>
            </w:pPr>
            <w:r w:rsidRPr="00C63EF1">
              <w:rPr>
                <w:bCs/>
                <w:sz w:val="22"/>
                <w:szCs w:val="22"/>
              </w:rPr>
              <w:t>2</w:t>
            </w:r>
            <w:r w:rsidR="00D46AB8">
              <w:rPr>
                <w:bCs/>
                <w:sz w:val="22"/>
                <w:szCs w:val="22"/>
              </w:rPr>
              <w:t>.</w:t>
            </w:r>
            <w:r w:rsidRPr="00C63EF1">
              <w:rPr>
                <w:bCs/>
                <w:sz w:val="22"/>
                <w:szCs w:val="22"/>
              </w:rPr>
              <w:t>17</w:t>
            </w:r>
          </w:p>
        </w:tc>
      </w:tr>
    </w:tbl>
    <w:p w14:paraId="3D737ECB" w14:textId="77777777" w:rsidR="00ED4097" w:rsidRDefault="00ED4097" w:rsidP="00F71368">
      <w:pPr>
        <w:pStyle w:val="NormalWeb"/>
        <w:spacing w:before="0" w:beforeAutospacing="0" w:after="0" w:afterAutospacing="0" w:line="360" w:lineRule="auto"/>
        <w:ind w:left="720"/>
        <w:rPr>
          <w:b/>
          <w:bCs/>
          <w:sz w:val="22"/>
          <w:szCs w:val="22"/>
        </w:rPr>
      </w:pPr>
    </w:p>
    <w:p w14:paraId="1CCD0882" w14:textId="6027BED5" w:rsidR="00F86F7C" w:rsidRPr="00C63EF1" w:rsidRDefault="00F86F7C" w:rsidP="00F71368">
      <w:pPr>
        <w:pStyle w:val="NormalWeb"/>
        <w:spacing w:before="0" w:beforeAutospacing="0" w:after="0" w:afterAutospacing="0" w:line="360" w:lineRule="auto"/>
        <w:ind w:left="720"/>
        <w:rPr>
          <w:b/>
          <w:bCs/>
          <w:sz w:val="22"/>
          <w:szCs w:val="22"/>
        </w:rPr>
      </w:pPr>
      <w:r>
        <w:rPr>
          <w:noProof/>
        </w:rPr>
        <w:lastRenderedPageBreak/>
        <w:drawing>
          <wp:inline distT="0" distB="0" distL="0" distR="0" wp14:anchorId="6FD0E032" wp14:editId="166E3F0D">
            <wp:extent cx="4572000" cy="2743200"/>
            <wp:effectExtent l="0" t="0" r="0" b="0"/>
            <wp:docPr id="1694179901" name="Chart 1">
              <a:extLst xmlns:a="http://schemas.openxmlformats.org/drawingml/2006/main">
                <a:ext uri="{FF2B5EF4-FFF2-40B4-BE49-F238E27FC236}">
                  <a16:creationId xmlns:a16="http://schemas.microsoft.com/office/drawing/2014/main" id="{6994B8DA-A677-F325-D806-04AEAA69DFB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6B5C98" w14:textId="71193E7B" w:rsidR="007A65F4" w:rsidRDefault="00CA7AB9" w:rsidP="0052631C">
      <w:pPr>
        <w:pStyle w:val="NormalWeb"/>
        <w:spacing w:before="0" w:beforeAutospacing="0" w:after="0" w:afterAutospacing="0" w:line="360" w:lineRule="auto"/>
        <w:ind w:left="720"/>
        <w:rPr>
          <w:b/>
          <w:bCs/>
          <w:sz w:val="22"/>
          <w:szCs w:val="22"/>
        </w:rPr>
      </w:pPr>
      <w:r>
        <w:rPr>
          <w:b/>
          <w:bCs/>
          <w:sz w:val="22"/>
          <w:szCs w:val="22"/>
        </w:rPr>
        <w:t>Fig.</w:t>
      </w:r>
      <w:r w:rsidRPr="00C63EF1">
        <w:rPr>
          <w:b/>
          <w:bCs/>
          <w:sz w:val="22"/>
          <w:szCs w:val="22"/>
        </w:rPr>
        <w:t xml:space="preserve"> </w:t>
      </w:r>
      <w:r>
        <w:rPr>
          <w:b/>
          <w:bCs/>
          <w:sz w:val="22"/>
          <w:szCs w:val="22"/>
        </w:rPr>
        <w:t>2</w:t>
      </w:r>
      <w:r w:rsidRPr="00C63EF1">
        <w:rPr>
          <w:b/>
          <w:bCs/>
          <w:sz w:val="22"/>
          <w:szCs w:val="22"/>
        </w:rPr>
        <w:t>: Some 5 Data sets are given are assumed to be records</w:t>
      </w:r>
    </w:p>
    <w:p w14:paraId="147383B7" w14:textId="77777777" w:rsidR="007A65F4" w:rsidRPr="00C63EF1" w:rsidRDefault="007A65F4" w:rsidP="00F71368">
      <w:pPr>
        <w:pStyle w:val="NormalWeb"/>
        <w:spacing w:before="0" w:beforeAutospacing="0" w:after="0" w:afterAutospacing="0" w:line="360" w:lineRule="auto"/>
        <w:ind w:left="720"/>
        <w:rPr>
          <w:b/>
          <w:bCs/>
          <w:sz w:val="22"/>
          <w:szCs w:val="22"/>
        </w:rPr>
      </w:pPr>
    </w:p>
    <w:p w14:paraId="6B321225" w14:textId="77777777" w:rsidR="00622C6D" w:rsidRPr="00C63EF1" w:rsidRDefault="006749A9" w:rsidP="0052631C">
      <w:pPr>
        <w:pStyle w:val="NormalWeb"/>
        <w:numPr>
          <w:ilvl w:val="0"/>
          <w:numId w:val="13"/>
        </w:numPr>
        <w:spacing w:before="0" w:beforeAutospacing="0" w:after="0" w:afterAutospacing="0" w:line="360" w:lineRule="auto"/>
        <w:jc w:val="center"/>
        <w:rPr>
          <w:b/>
          <w:bCs/>
          <w:sz w:val="22"/>
          <w:szCs w:val="22"/>
        </w:rPr>
      </w:pPr>
      <w:r w:rsidRPr="00C63EF1">
        <w:rPr>
          <w:b/>
          <w:bCs/>
          <w:sz w:val="22"/>
          <w:szCs w:val="22"/>
        </w:rPr>
        <w:t>Conclusion</w:t>
      </w:r>
    </w:p>
    <w:p w14:paraId="67734B29" w14:textId="4AD4A379" w:rsidR="007A65F4" w:rsidRPr="007A65F4" w:rsidRDefault="007A65F4" w:rsidP="007A65F4">
      <w:pPr>
        <w:tabs>
          <w:tab w:val="left" w:pos="5485"/>
        </w:tabs>
        <w:spacing w:line="360" w:lineRule="auto"/>
        <w:jc w:val="both"/>
        <w:rPr>
          <w:rFonts w:ascii="Times New Roman" w:hAnsi="Times New Roman" w:cs="Times New Roman"/>
          <w:bCs/>
          <w:sz w:val="24"/>
          <w:szCs w:val="24"/>
        </w:rPr>
      </w:pPr>
      <w:r w:rsidRPr="007A65F4">
        <w:rPr>
          <w:rFonts w:ascii="Times New Roman" w:hAnsi="Times New Roman" w:cs="Times New Roman"/>
          <w:bCs/>
          <w:sz w:val="24"/>
          <w:szCs w:val="24"/>
        </w:rPr>
        <w:t>Genetic algorithms emerge as a potent tool in optimizing complex challenges within the mining industry. Drawing inspiration from metallurgical annealing processes, this heuristic algorithm adeptly navigates solution landscapes by iteratively refining candidate solutions. Its prowess lies in efficiently exploring vast solution spaces and evading local optima, crucial for addressing the intricate optimization problems inherent in mining operations.</w:t>
      </w:r>
      <w:r w:rsidR="006F4EED">
        <w:rPr>
          <w:rFonts w:ascii="Times New Roman" w:hAnsi="Times New Roman" w:cs="Times New Roman"/>
          <w:bCs/>
          <w:sz w:val="24"/>
          <w:szCs w:val="24"/>
        </w:rPr>
        <w:t xml:space="preserve"> </w:t>
      </w:r>
      <w:r w:rsidRPr="007A65F4">
        <w:rPr>
          <w:rFonts w:ascii="Times New Roman" w:hAnsi="Times New Roman" w:cs="Times New Roman"/>
          <w:bCs/>
          <w:sz w:val="24"/>
          <w:szCs w:val="24"/>
        </w:rPr>
        <w:t>By leveraging genetic algorithms, mining organizations can enhance decision-making processes, streamline resource allocation, and bolster system performance across various domains, including exploration, extraction, and logistics. This methodology proves particularly beneficial where exact solutions are computationally unfeasible or economically prohibitive, empowering mining companies to make informed choices and optimize operations amidst dynamic market conditions</w:t>
      </w:r>
      <w:r w:rsidR="006F4EED">
        <w:rPr>
          <w:rFonts w:ascii="Times New Roman" w:hAnsi="Times New Roman" w:cs="Times New Roman"/>
          <w:bCs/>
          <w:sz w:val="24"/>
          <w:szCs w:val="24"/>
        </w:rPr>
        <w:t xml:space="preserve">. </w:t>
      </w:r>
      <w:r w:rsidRPr="007A65F4">
        <w:rPr>
          <w:rFonts w:ascii="Times New Roman" w:hAnsi="Times New Roman" w:cs="Times New Roman"/>
          <w:bCs/>
          <w:sz w:val="24"/>
          <w:szCs w:val="24"/>
        </w:rPr>
        <w:t>it's imperative to recognize the limitations of genetic algorithms within the mining context. The algorithm's efficacy can hinge on parameter selection, such as the temperature schedule and termination criteria. Additionally, challenges arise when dealing with highly multimodal or discontinuous objective functions, necessitating careful formulation and parameter tuning for satisfactory results.</w:t>
      </w:r>
      <w:r w:rsidR="006F4EED">
        <w:rPr>
          <w:rFonts w:ascii="Times New Roman" w:hAnsi="Times New Roman" w:cs="Times New Roman"/>
          <w:bCs/>
          <w:sz w:val="24"/>
          <w:szCs w:val="24"/>
        </w:rPr>
        <w:t xml:space="preserve"> </w:t>
      </w:r>
      <w:r w:rsidRPr="007A65F4">
        <w:rPr>
          <w:rFonts w:ascii="Times New Roman" w:hAnsi="Times New Roman" w:cs="Times New Roman"/>
          <w:bCs/>
          <w:sz w:val="24"/>
          <w:szCs w:val="24"/>
        </w:rPr>
        <w:t xml:space="preserve">Looking ahead, future research </w:t>
      </w:r>
      <w:r w:rsidR="006F4EED" w:rsidRPr="007A65F4">
        <w:rPr>
          <w:rFonts w:ascii="Times New Roman" w:hAnsi="Times New Roman" w:cs="Times New Roman"/>
          <w:bCs/>
          <w:sz w:val="24"/>
          <w:szCs w:val="24"/>
        </w:rPr>
        <w:t>endeavours</w:t>
      </w:r>
      <w:r w:rsidRPr="007A65F4">
        <w:rPr>
          <w:rFonts w:ascii="Times New Roman" w:hAnsi="Times New Roman" w:cs="Times New Roman"/>
          <w:bCs/>
          <w:sz w:val="24"/>
          <w:szCs w:val="24"/>
        </w:rPr>
        <w:t xml:space="preserve"> may concentrate on refining genetic algorithms techniques tailored specifically for mining applications. Hybrid approaches, integrating genetic algorithms with other optimization methods like particle swarm optimization, hold promise for overcoming inherent limitations and enhancing performance in this domain. Furthermore, the development of adaptive algorithms capable of dynamically adjusting parameters based on problem characteristics and solution progress can further elevate the efficacy of genetic algorithms in mining optimization.</w:t>
      </w:r>
    </w:p>
    <w:p w14:paraId="4F785437" w14:textId="10435FFD" w:rsidR="00E222AB" w:rsidRPr="0077532C" w:rsidRDefault="00E222AB" w:rsidP="007A65F4">
      <w:pPr>
        <w:tabs>
          <w:tab w:val="left" w:pos="5485"/>
        </w:tabs>
        <w:spacing w:line="360" w:lineRule="auto"/>
        <w:jc w:val="both"/>
        <w:rPr>
          <w:rFonts w:ascii="Times New Roman" w:hAnsi="Times New Roman" w:cs="Times New Roman"/>
          <w:b/>
          <w:sz w:val="24"/>
          <w:szCs w:val="24"/>
        </w:rPr>
      </w:pPr>
      <w:r w:rsidRPr="0077532C">
        <w:rPr>
          <w:rFonts w:ascii="Times New Roman" w:hAnsi="Times New Roman" w:cs="Times New Roman"/>
          <w:b/>
          <w:sz w:val="24"/>
          <w:szCs w:val="24"/>
        </w:rPr>
        <w:t>References:</w:t>
      </w:r>
    </w:p>
    <w:p w14:paraId="62A6DEA8"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 xml:space="preserve">Yadav, A.S., Bansal, K.K., Shivani, Agarwal, S. And Vanaja, R. (2020) FIFO in Green Supply Chain Inventory Model of Electrical Components Industry With Distribution Centres </w:t>
      </w:r>
      <w:r w:rsidRPr="002D32B9">
        <w:rPr>
          <w:rFonts w:ascii="Times New Roman" w:hAnsi="Times New Roman" w:cs="Times New Roman"/>
          <w:sz w:val="24"/>
          <w:szCs w:val="24"/>
        </w:rPr>
        <w:lastRenderedPageBreak/>
        <w:t>Using Particle Swarm Optimization. Advances in Mathematics: Scientific Journal. 9 (7), 5115–5120.</w:t>
      </w:r>
    </w:p>
    <w:p w14:paraId="36B8B5B6"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Kumar, A., Agarwal, P., Kumar, T. And Vanaja, R. (2020) LIFO in Green Supply Chain Inventory Model of Auto-Components Industry with Warehouses Using Differential Evolution. Advances in Mathematics: Scientific Journal, 9 no.7, 5121–5126.</w:t>
      </w:r>
    </w:p>
    <w:p w14:paraId="671FE96C"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Abid, M., Bansal, S., Tyagi, S.L. And Kumar, T. (2020) FIFO &amp; LIFO in Green Supply Chain Inventory Model of Hazardous Substance Components Industry with Storage Using Simulated Annealing. Advances in Mathematics: Scientific Journal, 9 no.7, 5127–5132.</w:t>
      </w:r>
    </w:p>
    <w:p w14:paraId="4E4ABA10"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Tandon, A. and Selva, N.S. (2020) National Blood Bank Centre Supply Chain Management For Blockchain Application Using Genetic Algorithm. International Journal of Advanced Science and Technology Vol. 29, No. 8s, 1318-1324.</w:t>
      </w:r>
    </w:p>
    <w:p w14:paraId="23D0CBE2"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Selva, N.S. and Tandon, A. (2020) Medicine Manufacturing Industries supply chain management for Blockchain application using artificial neural networks, International Journal of Advanced Science and Technology Vol. 29, No. 8s, 1294-1301.</w:t>
      </w:r>
    </w:p>
    <w:p w14:paraId="1C2A6F4D"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Ahlawat, N., Agarwal, S., Pandey, T. and Swami, A. (2020) Red Wine Industry of Supply Chain Management for Distribution Center Using Neural Networks, Test Engraining &amp; Management, Volume 83 Issue: March – April, 11215 – 11222.</w:t>
      </w:r>
    </w:p>
    <w:p w14:paraId="22FC9A6A"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Pandey, T., Ahlawat, N., Agarwal, S. and Swami, A. (2020) Rose Wine industry of Supply Chain Management for Storage using Genetic Algorithm. Test Engraining &amp; Management, Volume 83 Issue: March – April, 11223 – 11230.</w:t>
      </w:r>
    </w:p>
    <w:p w14:paraId="4FBCAC40"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Ahlawat, N., Sharma, N., Swami, A. And Navyata (2020) Healthcare Systems of Inventory Control For Blood Bank Storage With Reliability Applications Using Genetic Algorithm. Advances in Mathematics: Scientific Journal  9 no.7, 5133–5142.</w:t>
      </w:r>
    </w:p>
    <w:p w14:paraId="1428E1A1"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Dubey, R., Pandey, G., Ahlawat, N. and Swami, A. (2020) Distillery Industry Inventory Control for Storage with Wastewater Treatment &amp; Logistics Using Particle Swarm Optimization Test Engraining &amp; Management Volume 83 Issue: May – June, 15362-15370.</w:t>
      </w:r>
    </w:p>
    <w:p w14:paraId="7F6490D0"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Ahlawat, N., Dubey, R., Pandey, G. and Swami, A. (2020) Pulp and paper industry inventory control for Storage with wastewater treatment and Inorganic composition using genetic algorithm (ELD Problem). Test Engraining &amp; Management, Volume 83 Issue: May – June, 15508-15517.</w:t>
      </w:r>
    </w:p>
    <w:p w14:paraId="501465A9"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Pandey, G., Ahlawat, N., Dubey, R. and Swami, A. (2020) Wine Industry Inventory Control for Storage with Wastewater Treatment and Pollution Load Using Ant Colony Optimization Algorithm, Test Engraining &amp; Management, Volume 83 Issue: May – June, 15528-15535.</w:t>
      </w:r>
    </w:p>
    <w:p w14:paraId="398CE607"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 xml:space="preserve">Yadav, A.S., Navyata, Sharma, N., Ahlawat, N. and Swami, A. (2020) Reliability Consideration costing method for LIFO Inventory model with chemical industry warehouse. </w:t>
      </w:r>
      <w:r w:rsidRPr="002D32B9">
        <w:rPr>
          <w:rFonts w:ascii="Times New Roman" w:hAnsi="Times New Roman" w:cs="Times New Roman"/>
          <w:sz w:val="24"/>
          <w:szCs w:val="24"/>
        </w:rPr>
        <w:lastRenderedPageBreak/>
        <w:t>International Journal of Advanced Trends in Computer Science and Engineering, Volume 9 No 1, 403-408.</w:t>
      </w:r>
    </w:p>
    <w:p w14:paraId="6D616804"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Bansal, K.K., Kumar, J. and Kumar, S. (2019) Supply Chain Inventory Model For Deteriorating Item With Warehouse &amp; Distribution Centres Under Inflation. International Journal of Engineering and Advanced Technology, Volume-8, Issue-2S2, 7-13.</w:t>
      </w:r>
    </w:p>
    <w:p w14:paraId="4CE05A9D"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Kumar, J., Malik, M. and Pandey, T. (2019) Supply Chain of Chemical Industry For Warehouse With Distribution Centres Using Artificial Bee Colony Algorithm. International Journal of Engineering and Advanced Technology, Volume-8, Issue-2S2, 14-19.</w:t>
      </w:r>
    </w:p>
    <w:p w14:paraId="560107EF"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Navyata, Ahlawat, N. and Pandey, T. (2019) Soft computing techniques based Hazardous Substance Storage Inventory Model for decaying Items and Inflation using Genetic Algorithm. International Journal of Advance Research and Innovative Ideas in Education, Volume 5 Issue 9, 1102-1112.</w:t>
      </w:r>
    </w:p>
    <w:p w14:paraId="009A3FEF"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Navyata, Ahlawat, N. and Pandey, T. (2019) Hazardous Substance Storage Inventory Model for decaying Items using Differential Evolution. International Journal of Advance Research and Innovative Ideas in Education, Volume 5 Issue 9, 1113-1122. </w:t>
      </w:r>
    </w:p>
    <w:p w14:paraId="38935AB6"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Navyata, Ahlawat, N. and Pandey, T. (2019) Probabilistic inventory model based Hazardous Substance Storage for decaying Items and Inflation using Particle Swarm Optimization. International Journal of Advance Research and Innovative Ideas in Education, Volume 5 Issue 9, 1123-1133.</w:t>
      </w:r>
    </w:p>
    <w:p w14:paraId="080BDC60"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Navyata, Ahlawat, N. and Pandey, T. (2019) Reliability Consideration based Hazardous Substance Storage Inventory Model for decaying Items using Simulated Annealing. International Journal of Advance Research and Innovative Ideas in Education, Volume 5 Issue 9, 1134-1143.</w:t>
      </w:r>
    </w:p>
    <w:p w14:paraId="4A120F2A"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Swami, A. and Kher, G. (2019) Blood bank supply chain inventory model for blood collection sites and hospital using genetic algorithm. Selforganizology, Volume 6 No.(3-4), 13-23.</w:t>
      </w:r>
    </w:p>
    <w:p w14:paraId="31DC9241"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Swami, A. and Ahlawat, N. (2018) A Green supply chain management of Auto industry for inventory model with distribution centers using Particle Swarm Optimization. Selforganizology, Volume 5 No. (3-4)</w:t>
      </w:r>
    </w:p>
    <w:p w14:paraId="75E392D7"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Ahlawat, N., and Sharma, S. (2018) Hybrid Techniques of Genetic Algorithm for inventory of Auto industry model for deteriorating items with two warehouses. International Journal of Trend in Scientific Research and Development, Volume 2 Issue 5, 58-65.</w:t>
      </w:r>
    </w:p>
    <w:p w14:paraId="36852A08"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Swami, A. and Gupta, C.B. (2018) A Supply Chain Management of Pharmaceutical For Deteriorating Items Using Genetic Algorithm. International Journal for Science and Advance Research In Technology, Volume 4 Issue 4, 2147-2153.</w:t>
      </w:r>
    </w:p>
    <w:p w14:paraId="2DAA4C59"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lastRenderedPageBreak/>
        <w:t>Yadav, A.S., Maheshwari, P., Swami, A., and Pandey, G. (2018) A supply chain management of chemical industry for deteriorating items with warehouse using genetic algorithm. Selforganizology, Volume 5 No.1-2, 41-51.</w:t>
      </w:r>
    </w:p>
    <w:p w14:paraId="793FCB32"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Garg, A., Gupta, K. and Swami, A. (2017) Multi-objective Genetic algorithm optimization in Inventory model for deteriorating items with shortages using Supply Chain management. IPASJ International journal of computer science, Volume 5, Issue 6, 15-35.</w:t>
      </w:r>
    </w:p>
    <w:p w14:paraId="1F632757"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Garg, A., Swami, A. and Kher, G. (2017) A Supply Chain management in Inventory Optimization for deteriorating items with Genetic algorithm. International Journal of Emerging Trends &amp; Technology in Computer Science, Volume 6, Issue 3, 335-352.</w:t>
      </w:r>
    </w:p>
    <w:p w14:paraId="39E8F6EB"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Maheshwari, P., Garg, A., Swami, A. and Kher, G. (2017) Modeling&amp; Analysis of Supply Chain management in Inventory Optimization for deteriorating items with Genetic algorithm and Particle Swarm optimization. International Journal of Application or Innovation in Engineering &amp; Management, Volume 6, Issue 6, 86-107.</w:t>
      </w:r>
    </w:p>
    <w:p w14:paraId="395565B2"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Garg, A., Gupta, K. and Swami, A. (2017) Multi-objective Particle Swarm optimization and Genetic algorithm in Inventory model for deteriorating items with shortages using Supply Chain management. International Journal of Application or Innovation in Engineering &amp; Management, Volume 6, Issue 6, 130-144.</w:t>
      </w:r>
    </w:p>
    <w:p w14:paraId="1C2B2CB7"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Swami, A. and Kher, G. (2017) Multi-Objective Genetic Algorithm Involving Green Supply Chain Management International Journal for Science and Advance Research In Technology, Volume 3 Issue 9, 132-138.</w:t>
      </w:r>
    </w:p>
    <w:p w14:paraId="3F5F3429"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Swami, A., Kher, G. (2017) Multi-Objective Particle Swarm Optimization Algorithm Involving Green Supply Chain Inventory Management. International Journal for Science and Advance Research In Technology, Volume 3 Issue, 240-246.</w:t>
      </w:r>
    </w:p>
    <w:p w14:paraId="4260CDE7"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Swami, A. and Pandey, G. (2017) Green Supply Chain Management for Warehouse with Particle Swarm Optimization Algorithm. International Journal for Science and Advance Research in Technology, Volume 3 Issue 10, 769-775.</w:t>
      </w:r>
    </w:p>
    <w:p w14:paraId="16C7FBED"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Swami, A., Kher, G. and Garg, A. (2017) Analysis of seven stages supply chain management in electronic component inventory optimization for warehouse with economic load dispatch using genetic algorithm. Selforganizology, 4 No.2, 18-29 .</w:t>
      </w:r>
    </w:p>
    <w:p w14:paraId="111860E2"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Maheshwari, P., Swami, A. and Garg, A. (2017) Analysis of Six Stages Supply Chain management in Inventory Optimization for warehouse with Artificial bee colony algorithm using Genetic Algorithm. Selforganizology, Volume 4 No.3, 41-51.</w:t>
      </w:r>
    </w:p>
    <w:p w14:paraId="6F4970E6"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Swami, A., Gupta, C.B. and Garg, A. (2017) Analysis of Electronic component inventory Optimization in Six Stages Supply Chain management for warehouse with ABC using genetic algorithm and PSO. Selforganizology, Volume 4 No.4, 52-64.</w:t>
      </w:r>
    </w:p>
    <w:p w14:paraId="6F7D2D99"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lastRenderedPageBreak/>
        <w:t>Yadav, A.S., Maheshwari, P. and Swami, A. (2016) Analysis of Genetic Algorithm and Particle Swarm Optimization for warehouse with Supply Chain management in Inventory control. International Journal of Computer Applications, Volume 145 –No.5, 10-17.</w:t>
      </w:r>
    </w:p>
    <w:p w14:paraId="304B4523"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Swami, A. and Kumar, S. (2018) Inventory of Electronic components model for deteriorating items with warehousing using Genetic Algorithm. International Journal of Pure and Applied Mathematics, Volume 119 No. 16, 169-177.</w:t>
      </w:r>
    </w:p>
    <w:p w14:paraId="52A8219C"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 xml:space="preserve">Yadav, A.S., Johri, M., Singh, J. and Uppal, S. (2018) Analysis of Green Supply Chain Inventory Management for Warehouse With Environmental Collaboration and Sustainability Performance Using Genetic Algorithm. International Journal of Pure and Applied Mathematics, Volume 118 No. 20, 155-161. </w:t>
      </w:r>
    </w:p>
    <w:p w14:paraId="171E4BF8"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Ahlawat, N., Swami, A. and Kher, G. (2019) Auto Industry inventory model for deteriorating items with two warehouse and Transportation Cost using Simulated Annealing Algorithms. International Journal of Advance Research and Innovative Ideas in Education, Volume 5,Issue 1, 24-33.</w:t>
      </w:r>
    </w:p>
    <w:p w14:paraId="00552AF6"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Ahlawat, N., Swami, A. and Kher, G. (2019) A Particle Swarm Optimization based a two-storage model for deteriorating items with Transportation Cost and Advertising Cost: The Auto Industry. International Journal of Advance Research and Innovative Ideas in Education, Volume 5, Issue 1, 34-44.</w:t>
      </w:r>
    </w:p>
    <w:p w14:paraId="5E5DC5E1"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Ahlawat, N., and Sharma, S. (2018) A Particle Swarm Optimization for inventory of Auto industry model for two warehouses with deteriorating items. International Journal of Trend in Scientific Research and Development, Volume 2 Issue 5, 66-74.</w:t>
      </w:r>
    </w:p>
    <w:p w14:paraId="4E7D3084"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Swami, A. and Kher, G. (2018) Particle Swarm optimization of inventory model with two-warehouses. Asian Journal of Mathematics and Computer Research, Volume 23 No.1, 17-26.</w:t>
      </w:r>
    </w:p>
    <w:p w14:paraId="33BB0FC5"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Maheshwari, P.,, Swami, A. and Kher, G. (2017) Soft Computing Optimization of Two Warehouse Inventory Model With Genetic Algorithm. Asian Journal of Mathematics and Computer Research, Volume 19 No.4, 214-223.</w:t>
      </w:r>
    </w:p>
    <w:p w14:paraId="2A58CDE9"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Swami, A., Kumar, S. and Singh, R.K. (2016) Two-Warehouse Inventory Model for Deteriorating Items with Variable Holding Cost, Time-Dependent Demand and Shortages. IOSR Journal of Mathematics, Volume 12, Issue 2 Ver. IV, 47-53.</w:t>
      </w:r>
    </w:p>
    <w:p w14:paraId="2BE03937"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Sharam, S. and Swami, A. (2016) Two Warehouse Inventory Model with Ramp Type Demand and Partial Backordering for Weibull Distribution Deterioration. International Journal of Computer Applications, Volume 140 –No.4, 15-25.</w:t>
      </w:r>
    </w:p>
    <w:p w14:paraId="53FFB717"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Swami, A. and Singh, R.K. (2016) A two-storage model for deteriorating items with holding cost under inflation and Genetic Algorithms. International Journal of Advanced Engineering, Management and Science, Volume -2, Issue-4, 251-258.</w:t>
      </w:r>
    </w:p>
    <w:p w14:paraId="141FCB78"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lastRenderedPageBreak/>
        <w:t>Yadav, A.S., Swami, A., Kher, G. and Kumar, S. (2017) Supply Chain Inventory Model for Two Warehouses with Soft Computing Optimization. International Journal of Applied Business and Economic Research, Volume 15 No 4, 41-55.</w:t>
      </w:r>
    </w:p>
    <w:p w14:paraId="22CD7377"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Rajesh Mishra, Kumar, S. and Yadav, S. (2016) Multi Objective Optimization for Electronic Component Inventory Model &amp; Deteriorating Items with Two-warehouse using Genetic Algorithm. International Journal of Control Theory and applications, Volume 9 No.2, 881-892.</w:t>
      </w:r>
    </w:p>
    <w:p w14:paraId="3ED370E6"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Gupta, K., Garg, A. and Swami, A. (2015) A Soft computing Optimization based Two Ware-House Inventory Model for Deteriorating Items with shortages using Genetic Algorithm. International Journal of Computer Applications, Volume 126 – No.13, 7-16.</w:t>
      </w:r>
    </w:p>
    <w:p w14:paraId="509F0B22"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Gupta, K., Garg, A. and Swami, A. (2015) A Two Warehouse Inventory Model for Deteriorating Items with Shortages under Genetic Algorithm and PSO. International Journal of Emerging Trends &amp; Technology in Computer Science, Volume 4, Issue 5(2), 40-48.</w:t>
      </w:r>
    </w:p>
    <w:p w14:paraId="007B008E"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Swami, A., and Kumar, S. (2018) A supply chain Inventory Model for decaying Items with Two Ware-House and Partial ordering under Inflation. International Journal of Pure and Applied Mathematics, Volume 120 No 6, 3053-3088.</w:t>
      </w:r>
    </w:p>
    <w:p w14:paraId="09D0FBF7"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Swami, A. and Kumar, S. (2018) An Inventory Model for Deteriorating Items with Two warehouses and variable holding Cost. International Journal of Pure and Applied Mathematics, Volume 120 No 6, 3069-3086.</w:t>
      </w:r>
    </w:p>
    <w:p w14:paraId="315EE4EF"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Taygi, B., Sharma, S. and Swami, A. (2017) Effect of inflation on a two-warehouse inventory model for deteriorating items with time varying demand and shortages. International Journal Procurement Management, Volume 10, No. 6, 761-775.</w:t>
      </w:r>
    </w:p>
    <w:p w14:paraId="20817EA1"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R. P. Mahapatra, Sharma, S. and Swami, A. (2017) An Inflationary Inventory Model for Deteriorating items under Two Storage Systems. International Journal of Economic Research, Volume 14 No.9, 29-40.</w:t>
      </w:r>
    </w:p>
    <w:p w14:paraId="22E3A17F"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Sharma, S. and Swami, A. (2017) A Fuzzy Based Two-Warehouse Inventory Model For Non instantaneous Deteriorating Items With Conditionally Permissible Delay In Payment. International Journal of Control Theory And Applications, Volume 10 No.11, 107-123.</w:t>
      </w:r>
    </w:p>
    <w:p w14:paraId="11B74D69"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and Swami, A. (2018) Integrated Supply Chain Model for Deteriorating Items With Linear Stock Dependent Demand Under Imprecise And Inflationary Environment. International Journal Procurement Management, Volume 11 No 6, 684-704.</w:t>
      </w:r>
    </w:p>
    <w:p w14:paraId="40215CD2"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and Swami, A. (2018) A partial backlogging production-inventory lot-size model with time-varying holding cost and weibull deterioration. International Journal Procurement Management, Volume 11, No. 5, 639-649.</w:t>
      </w:r>
    </w:p>
    <w:p w14:paraId="5AF2B1CD"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lastRenderedPageBreak/>
        <w:t>Yadav, A.S. and Swami, A. (2013) A Partial Backlogging Two-Warehouse Inventory Models For Decaying Items With Inflation.  International Organization of Scientific Research Journal of Mathematics, Issue 6, 69-78.</w:t>
      </w:r>
    </w:p>
    <w:p w14:paraId="2B9BEEF9"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and Swami, A. (2019) An inventory model for non-instantaneous deteriorating items with variable holding cost under two-storage. International Journal Procurement Management, Volume 12 No 6, 690-710.</w:t>
      </w:r>
    </w:p>
    <w:p w14:paraId="182B96B5"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and Swami, A. (2019) A Volume Flexible Two-Warehouse Model with Fluctuating Demand and Holding Cost under Inflation. International Journal Procurement Management, Volume 12 No 4, 441-456.</w:t>
      </w:r>
    </w:p>
    <w:p w14:paraId="5B4165D5"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and Swami, A. (2014) Two-Warehouse Inventory Model for Deteriorating Items with Ramp-Type Demand Rate and Inflation. American Journal of Mathematics and Sciences Volume 3 No-1, 137-144.</w:t>
      </w:r>
    </w:p>
    <w:p w14:paraId="76EC928A"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and Swami, A. (2013) Effect of Permissible Delay on Two-Warehouse Inventory Model for Deteriorating items with Shortages. International Journal of Application or Innovation in Engineering &amp; Management, Volume 2, Issue 3, 65-71.</w:t>
      </w:r>
    </w:p>
    <w:p w14:paraId="6CBEA321"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and Swami, A. (2013) A Two-Warehouse Inventory Model for Decaying Items with Exponential Demand and Variable Holding Cost. International of Inventive Engineering and Sciences, Volume-1, Issue-5, 18-22.</w:t>
      </w:r>
    </w:p>
    <w:p w14:paraId="68851183"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and Kumar, S. (2017) Electronic Components Supply Chain Management for Warehouse with Environmental Collaboration &amp; Neural Networks. International Journal of Pure and Applied Mathematics, Volume 117 No. 17, 169-177.</w:t>
      </w:r>
    </w:p>
    <w:p w14:paraId="53FDB76A"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(2017) Analysis of Seven Stages Supply Chain Management in Electronic Component Inventory Optimization for Warehouse with Economic Load Dispatch Using GA and PSO. Asian Journal Of Mathematics And Computer Research, volume 16 No.4, 208-219.</w:t>
      </w:r>
    </w:p>
    <w:p w14:paraId="47723BC4"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(2017) Analysis Of Supply Chain Management In Inventory Optimization For Warehouse With Logistics Using Genetic Algorithm International Journal of Control Theory And Applications, Volume 10 No.10, 1-12 .</w:t>
      </w:r>
    </w:p>
    <w:p w14:paraId="046BBB61"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Yadav, A.S. (2017) Modeling and Analysis of Supply Chain Inventory Model with two-warehouses and Economic Load Dispatch Problem Using Genetic Algorithm. International Journal of Engineering and Technology, Volume 9 No 1, 33-44.</w:t>
      </w:r>
    </w:p>
    <w:p w14:paraId="34001E4E"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Swami, A., Singh, S.R., Pareek, S. and Yadav, A.S. (2015) Inventory policies for deteriorating item with stock dependent demand and variable holding costs under permissible delay in payment. International Journal of Application or Innovation in Engineering &amp; Management, Volume 4, Issue 2, 89-99.</w:t>
      </w:r>
    </w:p>
    <w:p w14:paraId="0397544E"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Swami, A., Pareek, S., Singh S.R. and Yadav, A.S. (2015) Inventory Model for Decaying Items with Multivariate Demand and Variable Holding cost under the facility of Trade-Credit. International Journal of Computer Application, 18-28.</w:t>
      </w:r>
    </w:p>
    <w:p w14:paraId="5F89F021"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lastRenderedPageBreak/>
        <w:t>Swami, A., Pareek, S., Singh, S.R. and Yadav, A.S. (2015) An Inventory Model With Price Sensitive Demand, Variable Holding Cost And Trade-Credit Under Inflation. International Journal of Current Research, Volume 7, Issue, 06, 17312-17321.</w:t>
      </w:r>
    </w:p>
    <w:p w14:paraId="49CDF9E1"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Gupta, K., Yadav, A.S., Garg, A. and Swami, A. (2015) A Binary Multi-Objective Genetic Algorithm &amp;PSO involving Supply Chain Inventory Optimization with Shortages, inflation. International Journal of Application or Innovation in Engineering &amp; Management, Volume 4, Issue 8, 37-44.</w:t>
      </w:r>
    </w:p>
    <w:p w14:paraId="7DF8090C"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Gupta, K., Yadav, A.S., Garg, A., (2015) Fuzzy-Genetic Algorithm based inventory model for shortages and inflation under hybrid &amp; PSO. IOSR Journal of Computer Engineering, Volume 17, Issue 5, Ver. I , 61-67.</w:t>
      </w:r>
    </w:p>
    <w:p w14:paraId="2F80092C"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Singh, R.K., Yadav, A.S. and Swami, A. (2016) A Two-Warehouse Model for Deteriorating Items with Holding Cost under Particle Swarm Optimization. International Journal of Advanced Engineering, Management and Science, Volume -2, Issue-6, 858-864.</w:t>
      </w:r>
    </w:p>
    <w:p w14:paraId="5DECA18B"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Singh, R.K., Yadav, A.S. and Swami, A. (2016) A Two-Warehouse Model for Deteriorating Items with Holding Cost under Inflation and Soft Computing Techniques. International Journal of Advanced Engineering, Management and Science, Volume -2, Issue-6, 869-876.</w:t>
      </w:r>
    </w:p>
    <w:p w14:paraId="59FE330D"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Kumar, S., Yadav, A.S., Ahlawat, N. and Swami, A. (2019) Supply Chain Management of Alcoholic Beverage Industry Warehouse with Permissible Delay in Payments using Particle Swarm Optimization. International Journal for Research in Applied Science and Engineering Technology, Volume 7 Issue VIII, 504-509.</w:t>
      </w:r>
    </w:p>
    <w:p w14:paraId="07F96699"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Kumar, S., Yadav, A.S., Ahlawat, N. and Swami, A. (2019) Green Supply Chain Inventory System of Cement Industry for Warehouse with Inflation using Particle Swarm Optimization. International Journal for Research in Applied Science and Engineering Technology, Volume 7 Issue VIII, 498-503.</w:t>
      </w:r>
    </w:p>
    <w:p w14:paraId="05E1AC24" w14:textId="77777777" w:rsidR="0052631C" w:rsidRPr="002D32B9"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Kumar, S., Yadav, A.S., Ahlawat, N. and Swami, A. (2019) Electronic Components Inventory Model for Deterioration Items with Distribution Centre using Genetic Algorithm. International Journal for Research in Applied Science and Engineering Technology, Volume 7 Issue VIII, 433-443.</w:t>
      </w:r>
    </w:p>
    <w:p w14:paraId="3D95892A"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Chauhan, N. and Yadav, A.S. (2020) An Inventory Model for Deteriorating Items with Two-Warehouse &amp; Stock Dependent Demand using Genetic algorithm. International Journal of Advanced Science and Technology, Vol. 29, No. 5s, 1152-1162 .</w:t>
      </w:r>
    </w:p>
    <w:p w14:paraId="2CBBF0EB"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Chauhan, N. and Yadav, A.S. (2020) Inventory System of Automobile for Stock Dependent Demand &amp; Inflation with Two-Distribution Center Using Genetic Algorithm. Test Engraining &amp; Management, Volume 83, Issue: March – April, 6583 – 6591.</w:t>
      </w:r>
    </w:p>
    <w:p w14:paraId="411626FC"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t>Pandey, T., Yadav, A.S. and Medhavi Malik (2019) An Analysis Marble Industry Inventory Optimization Based on Genetic Algorithms and Particle swarm optimization. International Journal of Recent Technology and Engineering Volume-7, Issue-6S4, 369-373.</w:t>
      </w:r>
    </w:p>
    <w:p w14:paraId="09E2738F" w14:textId="77777777" w:rsidR="0052631C" w:rsidRPr="002D32B9" w:rsidRDefault="0052631C" w:rsidP="0052631C">
      <w:pPr>
        <w:pStyle w:val="ListParagraph"/>
        <w:numPr>
          <w:ilvl w:val="0"/>
          <w:numId w:val="2"/>
        </w:numPr>
        <w:spacing w:after="0" w:line="360" w:lineRule="auto"/>
        <w:jc w:val="both"/>
        <w:rPr>
          <w:rFonts w:ascii="Times New Roman" w:hAnsi="Times New Roman" w:cs="Times New Roman"/>
          <w:sz w:val="24"/>
          <w:szCs w:val="24"/>
        </w:rPr>
      </w:pPr>
      <w:r w:rsidRPr="002D32B9">
        <w:rPr>
          <w:rFonts w:ascii="Times New Roman" w:hAnsi="Times New Roman" w:cs="Times New Roman"/>
          <w:sz w:val="24"/>
          <w:szCs w:val="24"/>
        </w:rPr>
        <w:lastRenderedPageBreak/>
        <w:t>Ahlawat, N., Agarwal, S., Pandey, T., Yadav, A.S., Swami, A. (2020) White Wine Industry of Supply Chain Management for Warehouse using Neural Networks Test Engraining &amp; Management, Volume 83, Issue: March – April, 11259 – 11266.</w:t>
      </w:r>
    </w:p>
    <w:p w14:paraId="4F77D88A" w14:textId="77777777" w:rsidR="0052631C" w:rsidRPr="00C63EF1" w:rsidRDefault="0052631C" w:rsidP="0052631C">
      <w:pPr>
        <w:pStyle w:val="ListParagraph"/>
        <w:numPr>
          <w:ilvl w:val="0"/>
          <w:numId w:val="2"/>
        </w:numPr>
        <w:autoSpaceDE w:val="0"/>
        <w:autoSpaceDN w:val="0"/>
        <w:adjustRightInd w:val="0"/>
        <w:spacing w:after="0" w:line="360" w:lineRule="auto"/>
        <w:jc w:val="both"/>
        <w:rPr>
          <w:rFonts w:ascii="Times New Roman" w:hAnsi="Times New Roman" w:cs="Times New Roman"/>
        </w:rPr>
      </w:pPr>
      <w:r w:rsidRPr="002D32B9">
        <w:rPr>
          <w:rFonts w:ascii="Times New Roman" w:hAnsi="Times New Roman" w:cs="Times New Roman"/>
          <w:sz w:val="24"/>
          <w:szCs w:val="24"/>
        </w:rPr>
        <w:t>Singh, S. Yadav, A.S. and Swami, A. (2016) An Optimal Ordering Policy For Non-Instantaneous Deteriorating Items With Conditionally Permissible Delay In Payment Under Two Storage Management International Journal of Computer Applications, Volume 147 –No.1, 16-25.</w:t>
      </w:r>
    </w:p>
    <w:p w14:paraId="73A52B88" w14:textId="77777777" w:rsidR="008D4258" w:rsidRPr="00C63EF1" w:rsidRDefault="008D4258" w:rsidP="00F71368">
      <w:pPr>
        <w:pStyle w:val="NormalWeb"/>
        <w:spacing w:before="0" w:beforeAutospacing="0" w:after="0" w:afterAutospacing="0" w:line="360" w:lineRule="auto"/>
        <w:jc w:val="both"/>
        <w:rPr>
          <w:bCs/>
          <w:sz w:val="22"/>
          <w:szCs w:val="22"/>
        </w:rPr>
      </w:pPr>
    </w:p>
    <w:sectPr w:rsidR="008D4258" w:rsidRPr="00C63EF1" w:rsidSect="00F1239B">
      <w:pgSz w:w="11906" w:h="16838"/>
      <w:pgMar w:top="568" w:right="1133"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347197"/>
    <w:multiLevelType w:val="hybridMultilevel"/>
    <w:tmpl w:val="90743580"/>
    <w:lvl w:ilvl="0" w:tplc="F51E338A">
      <w:start w:val="1"/>
      <w:numFmt w:val="upperRoman"/>
      <w:lvlText w:val="(%1)"/>
      <w:lvlJc w:val="left"/>
      <w:pPr>
        <w:ind w:left="117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01B7"/>
    <w:multiLevelType w:val="hybridMultilevel"/>
    <w:tmpl w:val="FBE40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C0419E"/>
    <w:multiLevelType w:val="hybridMultilevel"/>
    <w:tmpl w:val="C1D82038"/>
    <w:lvl w:ilvl="0" w:tplc="40090001">
      <w:start w:val="1"/>
      <w:numFmt w:val="bullet"/>
      <w:lvlText w:val=""/>
      <w:lvlJc w:val="left"/>
      <w:pPr>
        <w:ind w:left="895" w:hanging="360"/>
      </w:pPr>
      <w:rPr>
        <w:rFonts w:ascii="Symbol" w:hAnsi="Symbol" w:hint="default"/>
      </w:rPr>
    </w:lvl>
    <w:lvl w:ilvl="1" w:tplc="40090003" w:tentative="1">
      <w:start w:val="1"/>
      <w:numFmt w:val="bullet"/>
      <w:lvlText w:val="o"/>
      <w:lvlJc w:val="left"/>
      <w:pPr>
        <w:ind w:left="1615" w:hanging="360"/>
      </w:pPr>
      <w:rPr>
        <w:rFonts w:ascii="Courier New" w:hAnsi="Courier New" w:cs="Courier New" w:hint="default"/>
      </w:rPr>
    </w:lvl>
    <w:lvl w:ilvl="2" w:tplc="40090005" w:tentative="1">
      <w:start w:val="1"/>
      <w:numFmt w:val="bullet"/>
      <w:lvlText w:val=""/>
      <w:lvlJc w:val="left"/>
      <w:pPr>
        <w:ind w:left="2335" w:hanging="360"/>
      </w:pPr>
      <w:rPr>
        <w:rFonts w:ascii="Wingdings" w:hAnsi="Wingdings" w:hint="default"/>
      </w:rPr>
    </w:lvl>
    <w:lvl w:ilvl="3" w:tplc="40090001" w:tentative="1">
      <w:start w:val="1"/>
      <w:numFmt w:val="bullet"/>
      <w:lvlText w:val=""/>
      <w:lvlJc w:val="left"/>
      <w:pPr>
        <w:ind w:left="3055" w:hanging="360"/>
      </w:pPr>
      <w:rPr>
        <w:rFonts w:ascii="Symbol" w:hAnsi="Symbol" w:hint="default"/>
      </w:rPr>
    </w:lvl>
    <w:lvl w:ilvl="4" w:tplc="40090003" w:tentative="1">
      <w:start w:val="1"/>
      <w:numFmt w:val="bullet"/>
      <w:lvlText w:val="o"/>
      <w:lvlJc w:val="left"/>
      <w:pPr>
        <w:ind w:left="3775" w:hanging="360"/>
      </w:pPr>
      <w:rPr>
        <w:rFonts w:ascii="Courier New" w:hAnsi="Courier New" w:cs="Courier New" w:hint="default"/>
      </w:rPr>
    </w:lvl>
    <w:lvl w:ilvl="5" w:tplc="40090005" w:tentative="1">
      <w:start w:val="1"/>
      <w:numFmt w:val="bullet"/>
      <w:lvlText w:val=""/>
      <w:lvlJc w:val="left"/>
      <w:pPr>
        <w:ind w:left="4495" w:hanging="360"/>
      </w:pPr>
      <w:rPr>
        <w:rFonts w:ascii="Wingdings" w:hAnsi="Wingdings" w:hint="default"/>
      </w:rPr>
    </w:lvl>
    <w:lvl w:ilvl="6" w:tplc="40090001" w:tentative="1">
      <w:start w:val="1"/>
      <w:numFmt w:val="bullet"/>
      <w:lvlText w:val=""/>
      <w:lvlJc w:val="left"/>
      <w:pPr>
        <w:ind w:left="5215" w:hanging="360"/>
      </w:pPr>
      <w:rPr>
        <w:rFonts w:ascii="Symbol" w:hAnsi="Symbol" w:hint="default"/>
      </w:rPr>
    </w:lvl>
    <w:lvl w:ilvl="7" w:tplc="40090003" w:tentative="1">
      <w:start w:val="1"/>
      <w:numFmt w:val="bullet"/>
      <w:lvlText w:val="o"/>
      <w:lvlJc w:val="left"/>
      <w:pPr>
        <w:ind w:left="5935" w:hanging="360"/>
      </w:pPr>
      <w:rPr>
        <w:rFonts w:ascii="Courier New" w:hAnsi="Courier New" w:cs="Courier New" w:hint="default"/>
      </w:rPr>
    </w:lvl>
    <w:lvl w:ilvl="8" w:tplc="40090005" w:tentative="1">
      <w:start w:val="1"/>
      <w:numFmt w:val="bullet"/>
      <w:lvlText w:val=""/>
      <w:lvlJc w:val="left"/>
      <w:pPr>
        <w:ind w:left="6655" w:hanging="360"/>
      </w:pPr>
      <w:rPr>
        <w:rFonts w:ascii="Wingdings" w:hAnsi="Wingdings" w:hint="default"/>
      </w:rPr>
    </w:lvl>
  </w:abstractNum>
  <w:abstractNum w:abstractNumId="3" w15:restartNumberingAfterBreak="0">
    <w:nsid w:val="18175A55"/>
    <w:multiLevelType w:val="hybridMultilevel"/>
    <w:tmpl w:val="8AC080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C8151D"/>
    <w:multiLevelType w:val="hybridMultilevel"/>
    <w:tmpl w:val="D57A3700"/>
    <w:lvl w:ilvl="0" w:tplc="40090001">
      <w:start w:val="1"/>
      <w:numFmt w:val="bullet"/>
      <w:lvlText w:val=""/>
      <w:lvlJc w:val="left"/>
      <w:pPr>
        <w:ind w:left="958" w:hanging="360"/>
      </w:pPr>
      <w:rPr>
        <w:rFonts w:ascii="Symbol" w:hAnsi="Symbol" w:hint="default"/>
      </w:rPr>
    </w:lvl>
    <w:lvl w:ilvl="1" w:tplc="40090003" w:tentative="1">
      <w:start w:val="1"/>
      <w:numFmt w:val="bullet"/>
      <w:lvlText w:val="o"/>
      <w:lvlJc w:val="left"/>
      <w:pPr>
        <w:ind w:left="1678" w:hanging="360"/>
      </w:pPr>
      <w:rPr>
        <w:rFonts w:ascii="Courier New" w:hAnsi="Courier New" w:cs="Courier New" w:hint="default"/>
      </w:rPr>
    </w:lvl>
    <w:lvl w:ilvl="2" w:tplc="40090005" w:tentative="1">
      <w:start w:val="1"/>
      <w:numFmt w:val="bullet"/>
      <w:lvlText w:val=""/>
      <w:lvlJc w:val="left"/>
      <w:pPr>
        <w:ind w:left="2398" w:hanging="360"/>
      </w:pPr>
      <w:rPr>
        <w:rFonts w:ascii="Wingdings" w:hAnsi="Wingdings" w:hint="default"/>
      </w:rPr>
    </w:lvl>
    <w:lvl w:ilvl="3" w:tplc="40090001" w:tentative="1">
      <w:start w:val="1"/>
      <w:numFmt w:val="bullet"/>
      <w:lvlText w:val=""/>
      <w:lvlJc w:val="left"/>
      <w:pPr>
        <w:ind w:left="3118" w:hanging="360"/>
      </w:pPr>
      <w:rPr>
        <w:rFonts w:ascii="Symbol" w:hAnsi="Symbol" w:hint="default"/>
      </w:rPr>
    </w:lvl>
    <w:lvl w:ilvl="4" w:tplc="40090003" w:tentative="1">
      <w:start w:val="1"/>
      <w:numFmt w:val="bullet"/>
      <w:lvlText w:val="o"/>
      <w:lvlJc w:val="left"/>
      <w:pPr>
        <w:ind w:left="3838" w:hanging="360"/>
      </w:pPr>
      <w:rPr>
        <w:rFonts w:ascii="Courier New" w:hAnsi="Courier New" w:cs="Courier New" w:hint="default"/>
      </w:rPr>
    </w:lvl>
    <w:lvl w:ilvl="5" w:tplc="40090005" w:tentative="1">
      <w:start w:val="1"/>
      <w:numFmt w:val="bullet"/>
      <w:lvlText w:val=""/>
      <w:lvlJc w:val="left"/>
      <w:pPr>
        <w:ind w:left="4558" w:hanging="360"/>
      </w:pPr>
      <w:rPr>
        <w:rFonts w:ascii="Wingdings" w:hAnsi="Wingdings" w:hint="default"/>
      </w:rPr>
    </w:lvl>
    <w:lvl w:ilvl="6" w:tplc="40090001" w:tentative="1">
      <w:start w:val="1"/>
      <w:numFmt w:val="bullet"/>
      <w:lvlText w:val=""/>
      <w:lvlJc w:val="left"/>
      <w:pPr>
        <w:ind w:left="5278" w:hanging="360"/>
      </w:pPr>
      <w:rPr>
        <w:rFonts w:ascii="Symbol" w:hAnsi="Symbol" w:hint="default"/>
      </w:rPr>
    </w:lvl>
    <w:lvl w:ilvl="7" w:tplc="40090003" w:tentative="1">
      <w:start w:val="1"/>
      <w:numFmt w:val="bullet"/>
      <w:lvlText w:val="o"/>
      <w:lvlJc w:val="left"/>
      <w:pPr>
        <w:ind w:left="5998" w:hanging="360"/>
      </w:pPr>
      <w:rPr>
        <w:rFonts w:ascii="Courier New" w:hAnsi="Courier New" w:cs="Courier New" w:hint="default"/>
      </w:rPr>
    </w:lvl>
    <w:lvl w:ilvl="8" w:tplc="40090005" w:tentative="1">
      <w:start w:val="1"/>
      <w:numFmt w:val="bullet"/>
      <w:lvlText w:val=""/>
      <w:lvlJc w:val="left"/>
      <w:pPr>
        <w:ind w:left="6718" w:hanging="360"/>
      </w:pPr>
      <w:rPr>
        <w:rFonts w:ascii="Wingdings" w:hAnsi="Wingdings" w:hint="default"/>
      </w:rPr>
    </w:lvl>
  </w:abstractNum>
  <w:abstractNum w:abstractNumId="5" w15:restartNumberingAfterBreak="0">
    <w:nsid w:val="3F402D28"/>
    <w:multiLevelType w:val="hybridMultilevel"/>
    <w:tmpl w:val="4F3C4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1632B79"/>
    <w:multiLevelType w:val="hybridMultilevel"/>
    <w:tmpl w:val="2416DA34"/>
    <w:lvl w:ilvl="0" w:tplc="A4749286">
      <w:start w:val="1"/>
      <w:numFmt w:val="decimal"/>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293D58"/>
    <w:multiLevelType w:val="hybridMultilevel"/>
    <w:tmpl w:val="B5980E5C"/>
    <w:lvl w:ilvl="0" w:tplc="40090001">
      <w:start w:val="1"/>
      <w:numFmt w:val="bullet"/>
      <w:lvlText w:val=""/>
      <w:lvlJc w:val="left"/>
      <w:pPr>
        <w:ind w:left="958" w:hanging="360"/>
      </w:pPr>
      <w:rPr>
        <w:rFonts w:ascii="Symbol" w:hAnsi="Symbol" w:hint="default"/>
      </w:rPr>
    </w:lvl>
    <w:lvl w:ilvl="1" w:tplc="40090003" w:tentative="1">
      <w:start w:val="1"/>
      <w:numFmt w:val="bullet"/>
      <w:lvlText w:val="o"/>
      <w:lvlJc w:val="left"/>
      <w:pPr>
        <w:ind w:left="1678" w:hanging="360"/>
      </w:pPr>
      <w:rPr>
        <w:rFonts w:ascii="Courier New" w:hAnsi="Courier New" w:cs="Courier New" w:hint="default"/>
      </w:rPr>
    </w:lvl>
    <w:lvl w:ilvl="2" w:tplc="40090005" w:tentative="1">
      <w:start w:val="1"/>
      <w:numFmt w:val="bullet"/>
      <w:lvlText w:val=""/>
      <w:lvlJc w:val="left"/>
      <w:pPr>
        <w:ind w:left="2398" w:hanging="360"/>
      </w:pPr>
      <w:rPr>
        <w:rFonts w:ascii="Wingdings" w:hAnsi="Wingdings" w:hint="default"/>
      </w:rPr>
    </w:lvl>
    <w:lvl w:ilvl="3" w:tplc="40090001" w:tentative="1">
      <w:start w:val="1"/>
      <w:numFmt w:val="bullet"/>
      <w:lvlText w:val=""/>
      <w:lvlJc w:val="left"/>
      <w:pPr>
        <w:ind w:left="3118" w:hanging="360"/>
      </w:pPr>
      <w:rPr>
        <w:rFonts w:ascii="Symbol" w:hAnsi="Symbol" w:hint="default"/>
      </w:rPr>
    </w:lvl>
    <w:lvl w:ilvl="4" w:tplc="40090003" w:tentative="1">
      <w:start w:val="1"/>
      <w:numFmt w:val="bullet"/>
      <w:lvlText w:val="o"/>
      <w:lvlJc w:val="left"/>
      <w:pPr>
        <w:ind w:left="3838" w:hanging="360"/>
      </w:pPr>
      <w:rPr>
        <w:rFonts w:ascii="Courier New" w:hAnsi="Courier New" w:cs="Courier New" w:hint="default"/>
      </w:rPr>
    </w:lvl>
    <w:lvl w:ilvl="5" w:tplc="40090005" w:tentative="1">
      <w:start w:val="1"/>
      <w:numFmt w:val="bullet"/>
      <w:lvlText w:val=""/>
      <w:lvlJc w:val="left"/>
      <w:pPr>
        <w:ind w:left="4558" w:hanging="360"/>
      </w:pPr>
      <w:rPr>
        <w:rFonts w:ascii="Wingdings" w:hAnsi="Wingdings" w:hint="default"/>
      </w:rPr>
    </w:lvl>
    <w:lvl w:ilvl="6" w:tplc="40090001" w:tentative="1">
      <w:start w:val="1"/>
      <w:numFmt w:val="bullet"/>
      <w:lvlText w:val=""/>
      <w:lvlJc w:val="left"/>
      <w:pPr>
        <w:ind w:left="5278" w:hanging="360"/>
      </w:pPr>
      <w:rPr>
        <w:rFonts w:ascii="Symbol" w:hAnsi="Symbol" w:hint="default"/>
      </w:rPr>
    </w:lvl>
    <w:lvl w:ilvl="7" w:tplc="40090003" w:tentative="1">
      <w:start w:val="1"/>
      <w:numFmt w:val="bullet"/>
      <w:lvlText w:val="o"/>
      <w:lvlJc w:val="left"/>
      <w:pPr>
        <w:ind w:left="5998" w:hanging="360"/>
      </w:pPr>
      <w:rPr>
        <w:rFonts w:ascii="Courier New" w:hAnsi="Courier New" w:cs="Courier New" w:hint="default"/>
      </w:rPr>
    </w:lvl>
    <w:lvl w:ilvl="8" w:tplc="40090005" w:tentative="1">
      <w:start w:val="1"/>
      <w:numFmt w:val="bullet"/>
      <w:lvlText w:val=""/>
      <w:lvlJc w:val="left"/>
      <w:pPr>
        <w:ind w:left="6718" w:hanging="360"/>
      </w:pPr>
      <w:rPr>
        <w:rFonts w:ascii="Wingdings" w:hAnsi="Wingdings" w:hint="default"/>
      </w:rPr>
    </w:lvl>
  </w:abstractNum>
  <w:abstractNum w:abstractNumId="8" w15:restartNumberingAfterBreak="0">
    <w:nsid w:val="54F804E1"/>
    <w:multiLevelType w:val="hybridMultilevel"/>
    <w:tmpl w:val="B9DA606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EC16F9"/>
    <w:multiLevelType w:val="hybridMultilevel"/>
    <w:tmpl w:val="7604E324"/>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7E94842"/>
    <w:multiLevelType w:val="hybridMultilevel"/>
    <w:tmpl w:val="A02E7AD8"/>
    <w:lvl w:ilvl="0" w:tplc="40090001">
      <w:start w:val="1"/>
      <w:numFmt w:val="bullet"/>
      <w:lvlText w:val=""/>
      <w:lvlJc w:val="left"/>
      <w:pPr>
        <w:ind w:left="958" w:hanging="360"/>
      </w:pPr>
      <w:rPr>
        <w:rFonts w:ascii="Symbol" w:hAnsi="Symbol" w:hint="default"/>
      </w:rPr>
    </w:lvl>
    <w:lvl w:ilvl="1" w:tplc="40090003" w:tentative="1">
      <w:start w:val="1"/>
      <w:numFmt w:val="bullet"/>
      <w:lvlText w:val="o"/>
      <w:lvlJc w:val="left"/>
      <w:pPr>
        <w:ind w:left="1678" w:hanging="360"/>
      </w:pPr>
      <w:rPr>
        <w:rFonts w:ascii="Courier New" w:hAnsi="Courier New" w:cs="Courier New" w:hint="default"/>
      </w:rPr>
    </w:lvl>
    <w:lvl w:ilvl="2" w:tplc="40090005" w:tentative="1">
      <w:start w:val="1"/>
      <w:numFmt w:val="bullet"/>
      <w:lvlText w:val=""/>
      <w:lvlJc w:val="left"/>
      <w:pPr>
        <w:ind w:left="2398" w:hanging="360"/>
      </w:pPr>
      <w:rPr>
        <w:rFonts w:ascii="Wingdings" w:hAnsi="Wingdings" w:hint="default"/>
      </w:rPr>
    </w:lvl>
    <w:lvl w:ilvl="3" w:tplc="40090001" w:tentative="1">
      <w:start w:val="1"/>
      <w:numFmt w:val="bullet"/>
      <w:lvlText w:val=""/>
      <w:lvlJc w:val="left"/>
      <w:pPr>
        <w:ind w:left="3118" w:hanging="360"/>
      </w:pPr>
      <w:rPr>
        <w:rFonts w:ascii="Symbol" w:hAnsi="Symbol" w:hint="default"/>
      </w:rPr>
    </w:lvl>
    <w:lvl w:ilvl="4" w:tplc="40090003" w:tentative="1">
      <w:start w:val="1"/>
      <w:numFmt w:val="bullet"/>
      <w:lvlText w:val="o"/>
      <w:lvlJc w:val="left"/>
      <w:pPr>
        <w:ind w:left="3838" w:hanging="360"/>
      </w:pPr>
      <w:rPr>
        <w:rFonts w:ascii="Courier New" w:hAnsi="Courier New" w:cs="Courier New" w:hint="default"/>
      </w:rPr>
    </w:lvl>
    <w:lvl w:ilvl="5" w:tplc="40090005" w:tentative="1">
      <w:start w:val="1"/>
      <w:numFmt w:val="bullet"/>
      <w:lvlText w:val=""/>
      <w:lvlJc w:val="left"/>
      <w:pPr>
        <w:ind w:left="4558" w:hanging="360"/>
      </w:pPr>
      <w:rPr>
        <w:rFonts w:ascii="Wingdings" w:hAnsi="Wingdings" w:hint="default"/>
      </w:rPr>
    </w:lvl>
    <w:lvl w:ilvl="6" w:tplc="40090001" w:tentative="1">
      <w:start w:val="1"/>
      <w:numFmt w:val="bullet"/>
      <w:lvlText w:val=""/>
      <w:lvlJc w:val="left"/>
      <w:pPr>
        <w:ind w:left="5278" w:hanging="360"/>
      </w:pPr>
      <w:rPr>
        <w:rFonts w:ascii="Symbol" w:hAnsi="Symbol" w:hint="default"/>
      </w:rPr>
    </w:lvl>
    <w:lvl w:ilvl="7" w:tplc="40090003" w:tentative="1">
      <w:start w:val="1"/>
      <w:numFmt w:val="bullet"/>
      <w:lvlText w:val="o"/>
      <w:lvlJc w:val="left"/>
      <w:pPr>
        <w:ind w:left="5998" w:hanging="360"/>
      </w:pPr>
      <w:rPr>
        <w:rFonts w:ascii="Courier New" w:hAnsi="Courier New" w:cs="Courier New" w:hint="default"/>
      </w:rPr>
    </w:lvl>
    <w:lvl w:ilvl="8" w:tplc="40090005" w:tentative="1">
      <w:start w:val="1"/>
      <w:numFmt w:val="bullet"/>
      <w:lvlText w:val=""/>
      <w:lvlJc w:val="left"/>
      <w:pPr>
        <w:ind w:left="6718" w:hanging="360"/>
      </w:pPr>
      <w:rPr>
        <w:rFonts w:ascii="Wingdings" w:hAnsi="Wingdings" w:hint="default"/>
      </w:rPr>
    </w:lvl>
  </w:abstractNum>
  <w:abstractNum w:abstractNumId="11" w15:restartNumberingAfterBreak="0">
    <w:nsid w:val="5A6D6148"/>
    <w:multiLevelType w:val="hybridMultilevel"/>
    <w:tmpl w:val="7D966594"/>
    <w:lvl w:ilvl="0" w:tplc="7F648A10">
      <w:start w:val="1"/>
      <w:numFmt w:val="decimal"/>
      <w:lvlText w:val="[%1]  "/>
      <w:lvlJc w:val="center"/>
      <w:pPr>
        <w:ind w:left="720" w:hanging="360"/>
      </w:pPr>
      <w:rPr>
        <w:rFonts w:ascii="Times New Roman" w:hAnsi="Times New Roman"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AEE47F6"/>
    <w:multiLevelType w:val="multilevel"/>
    <w:tmpl w:val="380484F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40960774">
    <w:abstractNumId w:val="12"/>
  </w:num>
  <w:num w:numId="2" w16cid:durableId="1923104690">
    <w:abstractNumId w:val="5"/>
  </w:num>
  <w:num w:numId="3" w16cid:durableId="1674916246">
    <w:abstractNumId w:val="6"/>
  </w:num>
  <w:num w:numId="4" w16cid:durableId="1008562591">
    <w:abstractNumId w:val="3"/>
  </w:num>
  <w:num w:numId="5" w16cid:durableId="953748588">
    <w:abstractNumId w:val="1"/>
  </w:num>
  <w:num w:numId="6" w16cid:durableId="206307792">
    <w:abstractNumId w:val="8"/>
  </w:num>
  <w:num w:numId="7" w16cid:durableId="53358369">
    <w:abstractNumId w:val="0"/>
  </w:num>
  <w:num w:numId="8" w16cid:durableId="956529210">
    <w:abstractNumId w:val="11"/>
  </w:num>
  <w:num w:numId="9" w16cid:durableId="1065642705">
    <w:abstractNumId w:val="2"/>
  </w:num>
  <w:num w:numId="10" w16cid:durableId="1219825542">
    <w:abstractNumId w:val="4"/>
  </w:num>
  <w:num w:numId="11" w16cid:durableId="1249920303">
    <w:abstractNumId w:val="10"/>
  </w:num>
  <w:num w:numId="12" w16cid:durableId="2109350842">
    <w:abstractNumId w:val="7"/>
  </w:num>
  <w:num w:numId="13" w16cid:durableId="1903441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E594B"/>
    <w:rsid w:val="0003598B"/>
    <w:rsid w:val="00036A9F"/>
    <w:rsid w:val="00051D90"/>
    <w:rsid w:val="000525A3"/>
    <w:rsid w:val="00062629"/>
    <w:rsid w:val="00086717"/>
    <w:rsid w:val="0009689A"/>
    <w:rsid w:val="000D11D3"/>
    <w:rsid w:val="000D3DCC"/>
    <w:rsid w:val="000F77CE"/>
    <w:rsid w:val="00102BE2"/>
    <w:rsid w:val="00125FA0"/>
    <w:rsid w:val="001272DA"/>
    <w:rsid w:val="00131C9F"/>
    <w:rsid w:val="00184954"/>
    <w:rsid w:val="001B07AF"/>
    <w:rsid w:val="001C09BC"/>
    <w:rsid w:val="001C3A77"/>
    <w:rsid w:val="001F4493"/>
    <w:rsid w:val="002130EA"/>
    <w:rsid w:val="00225B93"/>
    <w:rsid w:val="00232836"/>
    <w:rsid w:val="002821F9"/>
    <w:rsid w:val="0029256E"/>
    <w:rsid w:val="003436C9"/>
    <w:rsid w:val="00374586"/>
    <w:rsid w:val="00403750"/>
    <w:rsid w:val="00447863"/>
    <w:rsid w:val="00497F9C"/>
    <w:rsid w:val="004B30E6"/>
    <w:rsid w:val="004B7E23"/>
    <w:rsid w:val="004E07E5"/>
    <w:rsid w:val="004E2D4E"/>
    <w:rsid w:val="004E772D"/>
    <w:rsid w:val="0052631C"/>
    <w:rsid w:val="005A4A06"/>
    <w:rsid w:val="005D2306"/>
    <w:rsid w:val="005D378D"/>
    <w:rsid w:val="005F1702"/>
    <w:rsid w:val="00601286"/>
    <w:rsid w:val="00616950"/>
    <w:rsid w:val="00622C6D"/>
    <w:rsid w:val="006431F5"/>
    <w:rsid w:val="006749A9"/>
    <w:rsid w:val="00690661"/>
    <w:rsid w:val="00693BF7"/>
    <w:rsid w:val="006951B7"/>
    <w:rsid w:val="006F4EED"/>
    <w:rsid w:val="00706BF9"/>
    <w:rsid w:val="00740A3D"/>
    <w:rsid w:val="00742A38"/>
    <w:rsid w:val="0079456F"/>
    <w:rsid w:val="007A65F4"/>
    <w:rsid w:val="007A7E18"/>
    <w:rsid w:val="007D36DD"/>
    <w:rsid w:val="007E2BF7"/>
    <w:rsid w:val="007F00C5"/>
    <w:rsid w:val="0080525D"/>
    <w:rsid w:val="008401AF"/>
    <w:rsid w:val="00852441"/>
    <w:rsid w:val="00852E42"/>
    <w:rsid w:val="008940A4"/>
    <w:rsid w:val="008A0470"/>
    <w:rsid w:val="008A5F7E"/>
    <w:rsid w:val="008B0037"/>
    <w:rsid w:val="008D4258"/>
    <w:rsid w:val="008E5A01"/>
    <w:rsid w:val="008F6026"/>
    <w:rsid w:val="00917631"/>
    <w:rsid w:val="0093060F"/>
    <w:rsid w:val="00966D54"/>
    <w:rsid w:val="00985489"/>
    <w:rsid w:val="009A0156"/>
    <w:rsid w:val="009B3756"/>
    <w:rsid w:val="009B41D8"/>
    <w:rsid w:val="00A14B6F"/>
    <w:rsid w:val="00A40A70"/>
    <w:rsid w:val="00A517F4"/>
    <w:rsid w:val="00A73C54"/>
    <w:rsid w:val="00A81874"/>
    <w:rsid w:val="00AB5228"/>
    <w:rsid w:val="00AD7E05"/>
    <w:rsid w:val="00B17A15"/>
    <w:rsid w:val="00B54D2B"/>
    <w:rsid w:val="00B746E0"/>
    <w:rsid w:val="00B919BF"/>
    <w:rsid w:val="00BD1C00"/>
    <w:rsid w:val="00BD55AB"/>
    <w:rsid w:val="00BE3B5A"/>
    <w:rsid w:val="00BE594B"/>
    <w:rsid w:val="00BE59FC"/>
    <w:rsid w:val="00BE6F01"/>
    <w:rsid w:val="00C13548"/>
    <w:rsid w:val="00C27F46"/>
    <w:rsid w:val="00C425AD"/>
    <w:rsid w:val="00C56FDE"/>
    <w:rsid w:val="00C63EF1"/>
    <w:rsid w:val="00C95E0E"/>
    <w:rsid w:val="00CA7AB9"/>
    <w:rsid w:val="00CB4F01"/>
    <w:rsid w:val="00CB6E12"/>
    <w:rsid w:val="00D46AB8"/>
    <w:rsid w:val="00DF2983"/>
    <w:rsid w:val="00E222AB"/>
    <w:rsid w:val="00E71137"/>
    <w:rsid w:val="00EB59CC"/>
    <w:rsid w:val="00ED4097"/>
    <w:rsid w:val="00EE6A6C"/>
    <w:rsid w:val="00EF7C70"/>
    <w:rsid w:val="00F059A4"/>
    <w:rsid w:val="00F111CF"/>
    <w:rsid w:val="00F1239B"/>
    <w:rsid w:val="00F40AD3"/>
    <w:rsid w:val="00F71368"/>
    <w:rsid w:val="00F81202"/>
    <w:rsid w:val="00F86F7C"/>
    <w:rsid w:val="00F9323E"/>
    <w:rsid w:val="00F97D26"/>
    <w:rsid w:val="00FB48EA"/>
    <w:rsid w:val="00FC036D"/>
    <w:rsid w:val="00FF7BF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A0C2D7C"/>
  <w15:docId w15:val="{DD07A836-F0B6-4A3F-B7DC-8F37CA72C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1D3"/>
  </w:style>
  <w:style w:type="paragraph" w:styleId="Heading2">
    <w:name w:val="heading 2"/>
    <w:basedOn w:val="Normal"/>
    <w:link w:val="Heading2Char"/>
    <w:uiPriority w:val="9"/>
    <w:qFormat/>
    <w:rsid w:val="00B919BF"/>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E6F01"/>
    <w:pPr>
      <w:spacing w:before="100" w:beforeAutospacing="1" w:after="100" w:afterAutospacing="1" w:line="240" w:lineRule="auto"/>
    </w:pPr>
    <w:rPr>
      <w:rFonts w:ascii="Times New Roman" w:eastAsia="SimSun" w:hAnsi="Times New Roman" w:cs="Times New Roman"/>
      <w:sz w:val="24"/>
      <w:szCs w:val="24"/>
      <w:lang w:val="en-US" w:eastAsia="zh-CN"/>
    </w:rPr>
  </w:style>
  <w:style w:type="table" w:styleId="TableGrid">
    <w:name w:val="Table Grid"/>
    <w:basedOn w:val="TableNormal"/>
    <w:uiPriority w:val="59"/>
    <w:rsid w:val="00BE3B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8D4258"/>
    <w:pPr>
      <w:ind w:left="720"/>
      <w:contextualSpacing/>
    </w:pPr>
  </w:style>
  <w:style w:type="character" w:customStyle="1" w:styleId="ListParagraphChar">
    <w:name w:val="List Paragraph Char"/>
    <w:link w:val="ListParagraph"/>
    <w:uiPriority w:val="34"/>
    <w:locked/>
    <w:rsid w:val="008D4258"/>
  </w:style>
  <w:style w:type="paragraph" w:styleId="Title">
    <w:name w:val="Title"/>
    <w:basedOn w:val="Normal"/>
    <w:link w:val="TitleChar"/>
    <w:qFormat/>
    <w:rsid w:val="008D4258"/>
    <w:pPr>
      <w:spacing w:after="0" w:line="540" w:lineRule="atLeast"/>
      <w:jc w:val="center"/>
    </w:pPr>
    <w:rPr>
      <w:rFonts w:ascii="Times New Roman" w:eastAsia="Times New Roman" w:hAnsi="Times New Roman" w:cs="Times New Roman"/>
      <w:b/>
      <w:iCs/>
      <w:spacing w:val="14"/>
      <w:sz w:val="72"/>
      <w:szCs w:val="24"/>
      <w:lang w:val="en-US"/>
    </w:rPr>
  </w:style>
  <w:style w:type="character" w:customStyle="1" w:styleId="TitleChar">
    <w:name w:val="Title Char"/>
    <w:basedOn w:val="DefaultParagraphFont"/>
    <w:link w:val="Title"/>
    <w:rsid w:val="008D4258"/>
    <w:rPr>
      <w:rFonts w:ascii="Times New Roman" w:eastAsia="Times New Roman" w:hAnsi="Times New Roman" w:cs="Times New Roman"/>
      <w:b/>
      <w:iCs/>
      <w:spacing w:val="14"/>
      <w:sz w:val="72"/>
      <w:szCs w:val="24"/>
      <w:lang w:val="en-US"/>
    </w:rPr>
  </w:style>
  <w:style w:type="paragraph" w:styleId="BodyText3">
    <w:name w:val="Body Text 3"/>
    <w:basedOn w:val="Normal"/>
    <w:link w:val="BodyText3Char"/>
    <w:rsid w:val="006749A9"/>
    <w:pPr>
      <w:spacing w:after="0" w:line="240" w:lineRule="auto"/>
    </w:pPr>
    <w:rPr>
      <w:rFonts w:ascii="Times New Roman" w:eastAsia="Times New Roman" w:hAnsi="Times New Roman" w:cs="Times New Roman"/>
      <w:sz w:val="20"/>
      <w:szCs w:val="24"/>
      <w:lang w:val="en-US"/>
    </w:rPr>
  </w:style>
  <w:style w:type="character" w:customStyle="1" w:styleId="BodyText3Char">
    <w:name w:val="Body Text 3 Char"/>
    <w:basedOn w:val="DefaultParagraphFont"/>
    <w:link w:val="BodyText3"/>
    <w:rsid w:val="006749A9"/>
    <w:rPr>
      <w:rFonts w:ascii="Times New Roman" w:eastAsia="Times New Roman" w:hAnsi="Times New Roman" w:cs="Times New Roman"/>
      <w:sz w:val="20"/>
      <w:szCs w:val="24"/>
      <w:lang w:val="en-US"/>
    </w:rPr>
  </w:style>
  <w:style w:type="character" w:customStyle="1" w:styleId="Heading2Char">
    <w:name w:val="Heading 2 Char"/>
    <w:basedOn w:val="DefaultParagraphFont"/>
    <w:link w:val="Heading2"/>
    <w:uiPriority w:val="9"/>
    <w:rsid w:val="00B919BF"/>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5D37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857879">
      <w:bodyDiv w:val="1"/>
      <w:marLeft w:val="0"/>
      <w:marRight w:val="0"/>
      <w:marTop w:val="0"/>
      <w:marBottom w:val="0"/>
      <w:divBdr>
        <w:top w:val="none" w:sz="0" w:space="0" w:color="auto"/>
        <w:left w:val="none" w:sz="0" w:space="0" w:color="auto"/>
        <w:bottom w:val="none" w:sz="0" w:space="0" w:color="auto"/>
        <w:right w:val="none" w:sz="0" w:space="0" w:color="auto"/>
      </w:divBdr>
    </w:div>
    <w:div w:id="1898125531">
      <w:bodyDiv w:val="1"/>
      <w:marLeft w:val="0"/>
      <w:marRight w:val="0"/>
      <w:marTop w:val="0"/>
      <w:marBottom w:val="0"/>
      <w:divBdr>
        <w:top w:val="none" w:sz="0" w:space="0" w:color="auto"/>
        <w:left w:val="none" w:sz="0" w:space="0" w:color="auto"/>
        <w:bottom w:val="none" w:sz="0" w:space="0" w:color="auto"/>
        <w:right w:val="none" w:sz="0" w:space="0" w:color="auto"/>
      </w:divBdr>
    </w:div>
    <w:div w:id="20592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gbe95\OneDrive\Desktop\4th%20sem%20attendance.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gbe95\OneDrive\Desktop\4th%20sem%20attendance.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Sheet4!$A$1</c:f>
              <c:strCache>
                <c:ptCount val="1"/>
                <c:pt idx="0">
                  <c:v>S.N.</c:v>
                </c:pt>
              </c:strCache>
            </c:strRef>
          </c:tx>
          <c:spPr>
            <a:solidFill>
              <a:schemeClr val="accent1"/>
            </a:solidFill>
            <a:ln>
              <a:noFill/>
            </a:ln>
            <a:effectLst/>
            <a:sp3d/>
          </c:spPr>
          <c:invertIfNegative val="0"/>
          <c:val>
            <c:numRef>
              <c:f>Sheet4!$A$2:$A$7</c:f>
              <c:numCache>
                <c:formatCode>General</c:formatCode>
                <c:ptCount val="6"/>
                <c:pt idx="1">
                  <c:v>1</c:v>
                </c:pt>
                <c:pt idx="2">
                  <c:v>2</c:v>
                </c:pt>
                <c:pt idx="3">
                  <c:v>3</c:v>
                </c:pt>
                <c:pt idx="4">
                  <c:v>4</c:v>
                </c:pt>
                <c:pt idx="5">
                  <c:v>5</c:v>
                </c:pt>
              </c:numCache>
            </c:numRef>
          </c:val>
          <c:extLst>
            <c:ext xmlns:c16="http://schemas.microsoft.com/office/drawing/2014/chart" uri="{C3380CC4-5D6E-409C-BE32-E72D297353CC}">
              <c16:uniqueId val="{00000000-D589-449D-BC16-257B2392EEA4}"/>
            </c:ext>
          </c:extLst>
        </c:ser>
        <c:ser>
          <c:idx val="1"/>
          <c:order val="1"/>
          <c:tx>
            <c:strRef>
              <c:f>Sheet4!$B$1</c:f>
              <c:strCache>
                <c:ptCount val="1"/>
                <c:pt idx="0">
                  <c:v>Job analysis</c:v>
                </c:pt>
              </c:strCache>
            </c:strRef>
          </c:tx>
          <c:spPr>
            <a:solidFill>
              <a:schemeClr val="accent2"/>
            </a:solidFill>
            <a:ln>
              <a:noFill/>
            </a:ln>
            <a:effectLst/>
            <a:sp3d/>
          </c:spPr>
          <c:invertIfNegative val="0"/>
          <c:val>
            <c:numRef>
              <c:f>Sheet4!$B$2:$B$7</c:f>
              <c:numCache>
                <c:formatCode>General</c:formatCode>
                <c:ptCount val="6"/>
                <c:pt idx="1">
                  <c:v>159</c:v>
                </c:pt>
                <c:pt idx="2">
                  <c:v>149</c:v>
                </c:pt>
                <c:pt idx="3">
                  <c:v>138</c:v>
                </c:pt>
                <c:pt idx="4">
                  <c:v>124</c:v>
                </c:pt>
                <c:pt idx="5">
                  <c:v>116</c:v>
                </c:pt>
              </c:numCache>
            </c:numRef>
          </c:val>
          <c:extLst>
            <c:ext xmlns:c16="http://schemas.microsoft.com/office/drawing/2014/chart" uri="{C3380CC4-5D6E-409C-BE32-E72D297353CC}">
              <c16:uniqueId val="{00000001-D589-449D-BC16-257B2392EEA4}"/>
            </c:ext>
          </c:extLst>
        </c:ser>
        <c:ser>
          <c:idx val="2"/>
          <c:order val="2"/>
          <c:tx>
            <c:strRef>
              <c:f>Sheet4!$C$1</c:f>
              <c:strCache>
                <c:ptCount val="1"/>
                <c:pt idx="0">
                  <c:v>Planning</c:v>
                </c:pt>
              </c:strCache>
            </c:strRef>
          </c:tx>
          <c:spPr>
            <a:solidFill>
              <a:schemeClr val="accent3"/>
            </a:solidFill>
            <a:ln>
              <a:noFill/>
            </a:ln>
            <a:effectLst/>
            <a:sp3d/>
          </c:spPr>
          <c:invertIfNegative val="0"/>
          <c:val>
            <c:numRef>
              <c:f>Sheet4!$C$2:$C$7</c:f>
              <c:numCache>
                <c:formatCode>General</c:formatCode>
                <c:ptCount val="6"/>
                <c:pt idx="1">
                  <c:v>215</c:v>
                </c:pt>
                <c:pt idx="2">
                  <c:v>216</c:v>
                </c:pt>
                <c:pt idx="3">
                  <c:v>210</c:v>
                </c:pt>
                <c:pt idx="4">
                  <c:v>219</c:v>
                </c:pt>
                <c:pt idx="5">
                  <c:v>217</c:v>
                </c:pt>
              </c:numCache>
            </c:numRef>
          </c:val>
          <c:extLst>
            <c:ext xmlns:c16="http://schemas.microsoft.com/office/drawing/2014/chart" uri="{C3380CC4-5D6E-409C-BE32-E72D297353CC}">
              <c16:uniqueId val="{00000002-D589-449D-BC16-257B2392EEA4}"/>
            </c:ext>
          </c:extLst>
        </c:ser>
        <c:ser>
          <c:idx val="3"/>
          <c:order val="3"/>
          <c:tx>
            <c:strRef>
              <c:f>Sheet4!$D$1</c:f>
              <c:strCache>
                <c:ptCount val="1"/>
                <c:pt idx="0">
                  <c:v>Selection</c:v>
                </c:pt>
              </c:strCache>
            </c:strRef>
          </c:tx>
          <c:spPr>
            <a:solidFill>
              <a:schemeClr val="accent4"/>
            </a:solidFill>
            <a:ln>
              <a:noFill/>
            </a:ln>
            <a:effectLst/>
            <a:sp3d/>
          </c:spPr>
          <c:invertIfNegative val="0"/>
          <c:val>
            <c:numRef>
              <c:f>Sheet4!$D$2:$D$7</c:f>
              <c:numCache>
                <c:formatCode>General</c:formatCode>
                <c:ptCount val="6"/>
                <c:pt idx="1">
                  <c:v>394</c:v>
                </c:pt>
                <c:pt idx="2">
                  <c:v>385</c:v>
                </c:pt>
                <c:pt idx="3">
                  <c:v>376</c:v>
                </c:pt>
                <c:pt idx="4">
                  <c:v>368</c:v>
                </c:pt>
                <c:pt idx="5">
                  <c:v>350</c:v>
                </c:pt>
              </c:numCache>
            </c:numRef>
          </c:val>
          <c:extLst>
            <c:ext xmlns:c16="http://schemas.microsoft.com/office/drawing/2014/chart" uri="{C3380CC4-5D6E-409C-BE32-E72D297353CC}">
              <c16:uniqueId val="{00000003-D589-449D-BC16-257B2392EEA4}"/>
            </c:ext>
          </c:extLst>
        </c:ser>
        <c:dLbls>
          <c:showLegendKey val="0"/>
          <c:showVal val="0"/>
          <c:showCatName val="0"/>
          <c:showSerName val="0"/>
          <c:showPercent val="0"/>
          <c:showBubbleSize val="0"/>
        </c:dLbls>
        <c:gapWidth val="150"/>
        <c:shape val="box"/>
        <c:axId val="1389159983"/>
        <c:axId val="1389158543"/>
        <c:axId val="0"/>
      </c:bar3DChart>
      <c:catAx>
        <c:axId val="1389159983"/>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158543"/>
        <c:crosses val="autoZero"/>
        <c:auto val="1"/>
        <c:lblAlgn val="ctr"/>
        <c:lblOffset val="100"/>
        <c:noMultiLvlLbl val="0"/>
      </c:catAx>
      <c:valAx>
        <c:axId val="138915854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9159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areaChart>
        <c:grouping val="stacked"/>
        <c:varyColors val="0"/>
        <c:ser>
          <c:idx val="0"/>
          <c:order val="0"/>
          <c:spPr>
            <a:solidFill>
              <a:schemeClr val="accent1"/>
            </a:solidFill>
            <a:ln>
              <a:noFill/>
            </a:ln>
            <a:effectLst/>
          </c:spPr>
          <c:cat>
            <c:strRef>
              <c:f>Sheet4!$A$1:$J$1</c:f>
              <c:strCache>
                <c:ptCount val="10"/>
                <c:pt idx="0">
                  <c:v>S.N.</c:v>
                </c:pt>
                <c:pt idx="1">
                  <c:v>Job analysis</c:v>
                </c:pt>
                <c:pt idx="2">
                  <c:v>Planning</c:v>
                </c:pt>
                <c:pt idx="3">
                  <c:v>Selection</c:v>
                </c:pt>
                <c:pt idx="4">
                  <c:v>Career development</c:v>
                </c:pt>
                <c:pt idx="5">
                  <c:v>Training</c:v>
                </c:pt>
                <c:pt idx="6">
                  <c:v>Termination of employment</c:v>
                </c:pt>
                <c:pt idx="7">
                  <c:v>Creativity</c:v>
                </c:pt>
                <c:pt idx="8">
                  <c:v>Indenting leadership potential</c:v>
                </c:pt>
                <c:pt idx="9">
                  <c:v>Information</c:v>
                </c:pt>
              </c:strCache>
            </c:strRef>
          </c:cat>
          <c:val>
            <c:numRef>
              <c:f>Sheet4!$A$2:$J$2</c:f>
              <c:numCache>
                <c:formatCode>General</c:formatCode>
                <c:ptCount val="10"/>
              </c:numCache>
            </c:numRef>
          </c:val>
          <c:extLst>
            <c:ext xmlns:c16="http://schemas.microsoft.com/office/drawing/2014/chart" uri="{C3380CC4-5D6E-409C-BE32-E72D297353CC}">
              <c16:uniqueId val="{00000000-20EF-4FF2-9564-49BCBE72E517}"/>
            </c:ext>
          </c:extLst>
        </c:ser>
        <c:ser>
          <c:idx val="1"/>
          <c:order val="1"/>
          <c:spPr>
            <a:solidFill>
              <a:schemeClr val="accent2"/>
            </a:solidFill>
            <a:ln>
              <a:noFill/>
            </a:ln>
            <a:effectLst/>
          </c:spPr>
          <c:cat>
            <c:strRef>
              <c:f>Sheet4!$A$1:$J$1</c:f>
              <c:strCache>
                <c:ptCount val="10"/>
                <c:pt idx="0">
                  <c:v>S.N.</c:v>
                </c:pt>
                <c:pt idx="1">
                  <c:v>Job analysis</c:v>
                </c:pt>
                <c:pt idx="2">
                  <c:v>Planning</c:v>
                </c:pt>
                <c:pt idx="3">
                  <c:v>Selection</c:v>
                </c:pt>
                <c:pt idx="4">
                  <c:v>Career development</c:v>
                </c:pt>
                <c:pt idx="5">
                  <c:v>Training</c:v>
                </c:pt>
                <c:pt idx="6">
                  <c:v>Termination of employment</c:v>
                </c:pt>
                <c:pt idx="7">
                  <c:v>Creativity</c:v>
                </c:pt>
                <c:pt idx="8">
                  <c:v>Indenting leadership potential</c:v>
                </c:pt>
                <c:pt idx="9">
                  <c:v>Information</c:v>
                </c:pt>
              </c:strCache>
            </c:strRef>
          </c:cat>
          <c:val>
            <c:numRef>
              <c:f>Sheet4!$A$3:$J$3</c:f>
              <c:numCache>
                <c:formatCode>General</c:formatCode>
                <c:ptCount val="10"/>
                <c:pt idx="0">
                  <c:v>1</c:v>
                </c:pt>
                <c:pt idx="1">
                  <c:v>159</c:v>
                </c:pt>
                <c:pt idx="2">
                  <c:v>215</c:v>
                </c:pt>
                <c:pt idx="3">
                  <c:v>394</c:v>
                </c:pt>
                <c:pt idx="4">
                  <c:v>159</c:v>
                </c:pt>
                <c:pt idx="5">
                  <c:v>215</c:v>
                </c:pt>
                <c:pt idx="6">
                  <c:v>394</c:v>
                </c:pt>
                <c:pt idx="7">
                  <c:v>159</c:v>
                </c:pt>
                <c:pt idx="8">
                  <c:v>215</c:v>
                </c:pt>
                <c:pt idx="9">
                  <c:v>215</c:v>
                </c:pt>
              </c:numCache>
            </c:numRef>
          </c:val>
          <c:extLst>
            <c:ext xmlns:c16="http://schemas.microsoft.com/office/drawing/2014/chart" uri="{C3380CC4-5D6E-409C-BE32-E72D297353CC}">
              <c16:uniqueId val="{00000001-20EF-4FF2-9564-49BCBE72E517}"/>
            </c:ext>
          </c:extLst>
        </c:ser>
        <c:ser>
          <c:idx val="2"/>
          <c:order val="2"/>
          <c:spPr>
            <a:solidFill>
              <a:schemeClr val="accent3"/>
            </a:solidFill>
            <a:ln>
              <a:noFill/>
            </a:ln>
            <a:effectLst/>
          </c:spPr>
          <c:cat>
            <c:strRef>
              <c:f>Sheet4!$A$1:$J$1</c:f>
              <c:strCache>
                <c:ptCount val="10"/>
                <c:pt idx="0">
                  <c:v>S.N.</c:v>
                </c:pt>
                <c:pt idx="1">
                  <c:v>Job analysis</c:v>
                </c:pt>
                <c:pt idx="2">
                  <c:v>Planning</c:v>
                </c:pt>
                <c:pt idx="3">
                  <c:v>Selection</c:v>
                </c:pt>
                <c:pt idx="4">
                  <c:v>Career development</c:v>
                </c:pt>
                <c:pt idx="5">
                  <c:v>Training</c:v>
                </c:pt>
                <c:pt idx="6">
                  <c:v>Termination of employment</c:v>
                </c:pt>
                <c:pt idx="7">
                  <c:v>Creativity</c:v>
                </c:pt>
                <c:pt idx="8">
                  <c:v>Indenting leadership potential</c:v>
                </c:pt>
                <c:pt idx="9">
                  <c:v>Information</c:v>
                </c:pt>
              </c:strCache>
            </c:strRef>
          </c:cat>
          <c:val>
            <c:numRef>
              <c:f>Sheet4!$A$4:$J$4</c:f>
              <c:numCache>
                <c:formatCode>General</c:formatCode>
                <c:ptCount val="10"/>
                <c:pt idx="0">
                  <c:v>2</c:v>
                </c:pt>
                <c:pt idx="1">
                  <c:v>149</c:v>
                </c:pt>
                <c:pt idx="2">
                  <c:v>216</c:v>
                </c:pt>
                <c:pt idx="3">
                  <c:v>385</c:v>
                </c:pt>
                <c:pt idx="4">
                  <c:v>149</c:v>
                </c:pt>
                <c:pt idx="5">
                  <c:v>216</c:v>
                </c:pt>
                <c:pt idx="6">
                  <c:v>385</c:v>
                </c:pt>
                <c:pt idx="7">
                  <c:v>149</c:v>
                </c:pt>
                <c:pt idx="8">
                  <c:v>216</c:v>
                </c:pt>
                <c:pt idx="9">
                  <c:v>216</c:v>
                </c:pt>
              </c:numCache>
            </c:numRef>
          </c:val>
          <c:extLst>
            <c:ext xmlns:c16="http://schemas.microsoft.com/office/drawing/2014/chart" uri="{C3380CC4-5D6E-409C-BE32-E72D297353CC}">
              <c16:uniqueId val="{00000002-20EF-4FF2-9564-49BCBE72E517}"/>
            </c:ext>
          </c:extLst>
        </c:ser>
        <c:ser>
          <c:idx val="3"/>
          <c:order val="3"/>
          <c:spPr>
            <a:solidFill>
              <a:schemeClr val="accent4"/>
            </a:solidFill>
            <a:ln>
              <a:noFill/>
            </a:ln>
            <a:effectLst/>
          </c:spPr>
          <c:cat>
            <c:strRef>
              <c:f>Sheet4!$A$1:$J$1</c:f>
              <c:strCache>
                <c:ptCount val="10"/>
                <c:pt idx="0">
                  <c:v>S.N.</c:v>
                </c:pt>
                <c:pt idx="1">
                  <c:v>Job analysis</c:v>
                </c:pt>
                <c:pt idx="2">
                  <c:v>Planning</c:v>
                </c:pt>
                <c:pt idx="3">
                  <c:v>Selection</c:v>
                </c:pt>
                <c:pt idx="4">
                  <c:v>Career development</c:v>
                </c:pt>
                <c:pt idx="5">
                  <c:v>Training</c:v>
                </c:pt>
                <c:pt idx="6">
                  <c:v>Termination of employment</c:v>
                </c:pt>
                <c:pt idx="7">
                  <c:v>Creativity</c:v>
                </c:pt>
                <c:pt idx="8">
                  <c:v>Indenting leadership potential</c:v>
                </c:pt>
                <c:pt idx="9">
                  <c:v>Information</c:v>
                </c:pt>
              </c:strCache>
            </c:strRef>
          </c:cat>
          <c:val>
            <c:numRef>
              <c:f>Sheet4!$A$5:$J$5</c:f>
              <c:numCache>
                <c:formatCode>General</c:formatCode>
                <c:ptCount val="10"/>
                <c:pt idx="0">
                  <c:v>3</c:v>
                </c:pt>
                <c:pt idx="1">
                  <c:v>138</c:v>
                </c:pt>
                <c:pt idx="2">
                  <c:v>210</c:v>
                </c:pt>
                <c:pt idx="3">
                  <c:v>376</c:v>
                </c:pt>
                <c:pt idx="4">
                  <c:v>138</c:v>
                </c:pt>
                <c:pt idx="5">
                  <c:v>210</c:v>
                </c:pt>
                <c:pt idx="6">
                  <c:v>376</c:v>
                </c:pt>
                <c:pt idx="7">
                  <c:v>138</c:v>
                </c:pt>
                <c:pt idx="8">
                  <c:v>210</c:v>
                </c:pt>
                <c:pt idx="9">
                  <c:v>210</c:v>
                </c:pt>
              </c:numCache>
            </c:numRef>
          </c:val>
          <c:extLst>
            <c:ext xmlns:c16="http://schemas.microsoft.com/office/drawing/2014/chart" uri="{C3380CC4-5D6E-409C-BE32-E72D297353CC}">
              <c16:uniqueId val="{00000003-20EF-4FF2-9564-49BCBE72E517}"/>
            </c:ext>
          </c:extLst>
        </c:ser>
        <c:ser>
          <c:idx val="4"/>
          <c:order val="4"/>
          <c:spPr>
            <a:solidFill>
              <a:schemeClr val="accent5"/>
            </a:solidFill>
            <a:ln>
              <a:noFill/>
            </a:ln>
            <a:effectLst/>
          </c:spPr>
          <c:cat>
            <c:strRef>
              <c:f>Sheet4!$A$1:$J$1</c:f>
              <c:strCache>
                <c:ptCount val="10"/>
                <c:pt idx="0">
                  <c:v>S.N.</c:v>
                </c:pt>
                <c:pt idx="1">
                  <c:v>Job analysis</c:v>
                </c:pt>
                <c:pt idx="2">
                  <c:v>Planning</c:v>
                </c:pt>
                <c:pt idx="3">
                  <c:v>Selection</c:v>
                </c:pt>
                <c:pt idx="4">
                  <c:v>Career development</c:v>
                </c:pt>
                <c:pt idx="5">
                  <c:v>Training</c:v>
                </c:pt>
                <c:pt idx="6">
                  <c:v>Termination of employment</c:v>
                </c:pt>
                <c:pt idx="7">
                  <c:v>Creativity</c:v>
                </c:pt>
                <c:pt idx="8">
                  <c:v>Indenting leadership potential</c:v>
                </c:pt>
                <c:pt idx="9">
                  <c:v>Information</c:v>
                </c:pt>
              </c:strCache>
            </c:strRef>
          </c:cat>
          <c:val>
            <c:numRef>
              <c:f>Sheet4!$A$6:$J$6</c:f>
              <c:numCache>
                <c:formatCode>General</c:formatCode>
                <c:ptCount val="10"/>
                <c:pt idx="0">
                  <c:v>4</c:v>
                </c:pt>
                <c:pt idx="1">
                  <c:v>124</c:v>
                </c:pt>
                <c:pt idx="2">
                  <c:v>219</c:v>
                </c:pt>
                <c:pt idx="3">
                  <c:v>368</c:v>
                </c:pt>
                <c:pt idx="4">
                  <c:v>124</c:v>
                </c:pt>
                <c:pt idx="5">
                  <c:v>219</c:v>
                </c:pt>
                <c:pt idx="6">
                  <c:v>368</c:v>
                </c:pt>
                <c:pt idx="7">
                  <c:v>124</c:v>
                </c:pt>
                <c:pt idx="8">
                  <c:v>219</c:v>
                </c:pt>
                <c:pt idx="9">
                  <c:v>219</c:v>
                </c:pt>
              </c:numCache>
            </c:numRef>
          </c:val>
          <c:extLst>
            <c:ext xmlns:c16="http://schemas.microsoft.com/office/drawing/2014/chart" uri="{C3380CC4-5D6E-409C-BE32-E72D297353CC}">
              <c16:uniqueId val="{00000004-20EF-4FF2-9564-49BCBE72E517}"/>
            </c:ext>
          </c:extLst>
        </c:ser>
        <c:ser>
          <c:idx val="5"/>
          <c:order val="5"/>
          <c:spPr>
            <a:solidFill>
              <a:schemeClr val="accent6"/>
            </a:solidFill>
            <a:ln>
              <a:noFill/>
            </a:ln>
            <a:effectLst/>
          </c:spPr>
          <c:cat>
            <c:strRef>
              <c:f>Sheet4!$A$1:$J$1</c:f>
              <c:strCache>
                <c:ptCount val="10"/>
                <c:pt idx="0">
                  <c:v>S.N.</c:v>
                </c:pt>
                <c:pt idx="1">
                  <c:v>Job analysis</c:v>
                </c:pt>
                <c:pt idx="2">
                  <c:v>Planning</c:v>
                </c:pt>
                <c:pt idx="3">
                  <c:v>Selection</c:v>
                </c:pt>
                <c:pt idx="4">
                  <c:v>Career development</c:v>
                </c:pt>
                <c:pt idx="5">
                  <c:v>Training</c:v>
                </c:pt>
                <c:pt idx="6">
                  <c:v>Termination of employment</c:v>
                </c:pt>
                <c:pt idx="7">
                  <c:v>Creativity</c:v>
                </c:pt>
                <c:pt idx="8">
                  <c:v>Indenting leadership potential</c:v>
                </c:pt>
                <c:pt idx="9">
                  <c:v>Information</c:v>
                </c:pt>
              </c:strCache>
            </c:strRef>
          </c:cat>
          <c:val>
            <c:numRef>
              <c:f>Sheet4!$A$7:$J$7</c:f>
              <c:numCache>
                <c:formatCode>General</c:formatCode>
                <c:ptCount val="10"/>
                <c:pt idx="0">
                  <c:v>5</c:v>
                </c:pt>
                <c:pt idx="1">
                  <c:v>116</c:v>
                </c:pt>
                <c:pt idx="2">
                  <c:v>217</c:v>
                </c:pt>
                <c:pt idx="3">
                  <c:v>350</c:v>
                </c:pt>
                <c:pt idx="4">
                  <c:v>116</c:v>
                </c:pt>
                <c:pt idx="5">
                  <c:v>217</c:v>
                </c:pt>
                <c:pt idx="6">
                  <c:v>350</c:v>
                </c:pt>
                <c:pt idx="7">
                  <c:v>116</c:v>
                </c:pt>
                <c:pt idx="8">
                  <c:v>217</c:v>
                </c:pt>
                <c:pt idx="9">
                  <c:v>217</c:v>
                </c:pt>
              </c:numCache>
            </c:numRef>
          </c:val>
          <c:extLst>
            <c:ext xmlns:c16="http://schemas.microsoft.com/office/drawing/2014/chart" uri="{C3380CC4-5D6E-409C-BE32-E72D297353CC}">
              <c16:uniqueId val="{00000005-20EF-4FF2-9564-49BCBE72E517}"/>
            </c:ext>
          </c:extLst>
        </c:ser>
        <c:dLbls>
          <c:showLegendKey val="0"/>
          <c:showVal val="0"/>
          <c:showCatName val="0"/>
          <c:showSerName val="0"/>
          <c:showPercent val="0"/>
          <c:showBubbleSize val="0"/>
        </c:dLbls>
        <c:axId val="1843772047"/>
        <c:axId val="1843772527"/>
      </c:areaChart>
      <c:catAx>
        <c:axId val="1843772047"/>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3772527"/>
        <c:crosses val="autoZero"/>
        <c:auto val="1"/>
        <c:lblAlgn val="ctr"/>
        <c:lblOffset val="100"/>
        <c:noMultiLvlLbl val="0"/>
      </c:catAx>
      <c:valAx>
        <c:axId val="1843772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3772047"/>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20</Pages>
  <Words>6835</Words>
  <Characters>38963</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Elavarasan G</cp:lastModifiedBy>
  <cp:revision>66</cp:revision>
  <cp:lastPrinted>2024-05-28T10:48:00Z</cp:lastPrinted>
  <dcterms:created xsi:type="dcterms:W3CDTF">2020-08-02T08:26:00Z</dcterms:created>
  <dcterms:modified xsi:type="dcterms:W3CDTF">2024-06-15T08:09:00Z</dcterms:modified>
</cp:coreProperties>
</file>