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90C" w:rsidRDefault="0007490C" w:rsidP="003C3FD4">
      <w:pPr>
        <w:spacing w:before="20" w:after="20" w:line="360" w:lineRule="auto"/>
        <w:jc w:val="center"/>
        <w:rPr>
          <w:b/>
          <w:color w:val="000000" w:themeColor="text1"/>
        </w:rPr>
      </w:pPr>
      <w:r w:rsidRPr="0007490C">
        <w:rPr>
          <w:b/>
          <w:color w:val="000000" w:themeColor="text1"/>
        </w:rPr>
        <w:t>A STUDY ON MERGERS AND ACQUISITIONS</w:t>
      </w:r>
    </w:p>
    <w:p w:rsidR="004B7906" w:rsidRPr="00457CB0" w:rsidRDefault="004B7906" w:rsidP="004B7906">
      <w:pPr>
        <w:ind w:right="19"/>
        <w:jc w:val="center"/>
        <w:rPr>
          <w:rStyle w:val="Strong"/>
          <w:rFonts w:eastAsiaTheme="majorEastAsia"/>
          <w:b w:val="0"/>
          <w:color w:val="000000"/>
        </w:rPr>
      </w:pPr>
      <w:r w:rsidRPr="00667B96">
        <w:rPr>
          <w:rStyle w:val="Strong"/>
          <w:rFonts w:eastAsiaTheme="majorEastAsia"/>
          <w:b w:val="0"/>
          <w:color w:val="000000"/>
          <w:vertAlign w:val="superscript"/>
        </w:rPr>
        <w:t>1</w:t>
      </w:r>
      <w:r w:rsidR="00667B96" w:rsidRPr="00667B96">
        <w:rPr>
          <w:rStyle w:val="Strong"/>
          <w:rFonts w:eastAsiaTheme="majorEastAsia"/>
          <w:b w:val="0"/>
          <w:color w:val="000000"/>
        </w:rPr>
        <w:t>A. Veeraviswanath</w:t>
      </w:r>
      <w:r w:rsidRPr="00667B96">
        <w:rPr>
          <w:rStyle w:val="Strong"/>
          <w:rFonts w:eastAsiaTheme="majorEastAsia"/>
          <w:b w:val="0"/>
          <w:color w:val="000000"/>
        </w:rPr>
        <w:t>, Assistant Professor, Dept. of MBA, Santhiram Engineering</w:t>
      </w:r>
      <w:r w:rsidRPr="00457CB0">
        <w:rPr>
          <w:rStyle w:val="Strong"/>
          <w:rFonts w:eastAsiaTheme="majorEastAsia"/>
          <w:b w:val="0"/>
          <w:color w:val="000000"/>
        </w:rPr>
        <w:t xml:space="preserve"> College(A), Nandyal,A.P., India </w:t>
      </w:r>
    </w:p>
    <w:p w:rsidR="004B7906" w:rsidRPr="00457CB0" w:rsidRDefault="004B7906" w:rsidP="004B7906">
      <w:pPr>
        <w:ind w:right="19"/>
        <w:jc w:val="center"/>
        <w:rPr>
          <w:rStyle w:val="Strong"/>
          <w:rFonts w:eastAsiaTheme="majorEastAsia"/>
          <w:b w:val="0"/>
          <w:color w:val="000000"/>
        </w:rPr>
      </w:pPr>
      <w:r w:rsidRPr="0086356D">
        <w:rPr>
          <w:rStyle w:val="Strong"/>
          <w:rFonts w:eastAsiaTheme="majorEastAsia"/>
          <w:b w:val="0"/>
          <w:color w:val="000000"/>
          <w:vertAlign w:val="superscript"/>
        </w:rPr>
        <w:t>2</w:t>
      </w:r>
      <w:r w:rsidR="00856A55" w:rsidRPr="00856A55">
        <w:rPr>
          <w:rStyle w:val="Strong"/>
          <w:rFonts w:eastAsiaTheme="majorEastAsia"/>
          <w:b w:val="0"/>
          <w:color w:val="000000"/>
        </w:rPr>
        <w:t>S</w:t>
      </w:r>
      <w:r w:rsidR="00856A55">
        <w:rPr>
          <w:rStyle w:val="Strong"/>
          <w:rFonts w:eastAsiaTheme="majorEastAsia"/>
          <w:b w:val="0"/>
          <w:color w:val="000000"/>
        </w:rPr>
        <w:t>.</w:t>
      </w:r>
      <w:r w:rsidR="00856A55" w:rsidRPr="00856A55">
        <w:rPr>
          <w:rStyle w:val="Strong"/>
          <w:rFonts w:eastAsiaTheme="majorEastAsia"/>
          <w:b w:val="0"/>
          <w:color w:val="000000"/>
        </w:rPr>
        <w:t xml:space="preserve"> Nagendra</w:t>
      </w:r>
      <w:r>
        <w:rPr>
          <w:rStyle w:val="Strong"/>
          <w:rFonts w:eastAsiaTheme="majorEastAsia"/>
          <w:b w:val="0"/>
          <w:color w:val="000000"/>
        </w:rPr>
        <w:t xml:space="preserve">, </w:t>
      </w:r>
      <w:r w:rsidRPr="00457CB0">
        <w:rPr>
          <w:rStyle w:val="Strong"/>
          <w:rFonts w:eastAsiaTheme="majorEastAsia"/>
          <w:b w:val="0"/>
          <w:color w:val="000000"/>
        </w:rPr>
        <w:t>Student, Dept. of MBA, Santhiram Engineering College(A), Nandyal,A.P., India</w:t>
      </w:r>
    </w:p>
    <w:p w:rsidR="0007490C" w:rsidRDefault="001F347D" w:rsidP="0007490C">
      <w:pPr>
        <w:spacing w:before="20" w:after="20" w:line="360" w:lineRule="auto"/>
        <w:rPr>
          <w:b/>
          <w:color w:val="000000" w:themeColor="text1"/>
        </w:rPr>
      </w:pPr>
      <w:r>
        <w:rPr>
          <w:b/>
          <w:color w:val="000000" w:themeColor="text1"/>
        </w:rPr>
        <w:t>Abstract:</w:t>
      </w:r>
    </w:p>
    <w:p w:rsidR="001F347D" w:rsidRPr="001F347D" w:rsidRDefault="001F347D" w:rsidP="001F347D">
      <w:pPr>
        <w:spacing w:before="20" w:after="20" w:line="360" w:lineRule="auto"/>
        <w:jc w:val="both"/>
        <w:rPr>
          <w:color w:val="000000" w:themeColor="text1"/>
        </w:rPr>
      </w:pPr>
      <w:r w:rsidRPr="001F347D">
        <w:rPr>
          <w:color w:val="000000" w:themeColor="text1"/>
        </w:rPr>
        <w:t>Mergers &amp; Acquisition are regarded as one of the most complex business transaction that rely heavily on proper management and strategization. The research paper aims to create a framework and become a one-stop read for understanding and developing a plan for Mergers &amp; Acquisition. The paper uses the acquisition of by Welspun Corp as a case study example. In each of the sections, relevant examples are given to help readers get an in-depth understanding of the strategy/ concept provided. The scope of the study includes: identification of targets, due deiligence, integration planning process, post-merger evaluation tactics, impact of postmerger integration, different M&amp;A strategies, art of a successful M&amp;A, key challenges faced and techniques to optimize an M&amp;A. The paper also focuses on the role of IBC in the process</w:t>
      </w:r>
      <w:r w:rsidR="00AA7DA1">
        <w:rPr>
          <w:color w:val="000000" w:themeColor="text1"/>
        </w:rPr>
        <w:t>.</w:t>
      </w:r>
    </w:p>
    <w:p w:rsidR="0007490C" w:rsidRPr="00524ED0" w:rsidRDefault="00524ED0" w:rsidP="0007490C">
      <w:pPr>
        <w:spacing w:before="20" w:after="20" w:line="360" w:lineRule="auto"/>
        <w:rPr>
          <w:color w:val="000000" w:themeColor="text1"/>
        </w:rPr>
      </w:pPr>
      <w:r>
        <w:rPr>
          <w:b/>
          <w:color w:val="000000" w:themeColor="text1"/>
        </w:rPr>
        <w:t xml:space="preserve">Index terms: </w:t>
      </w:r>
      <w:r>
        <w:rPr>
          <w:color w:val="000000" w:themeColor="text1"/>
        </w:rPr>
        <w:t xml:space="preserve">Mergers, Acquisitions,  M&amp;A, Merger, </w:t>
      </w:r>
      <w:r w:rsidRPr="00524ED0">
        <w:rPr>
          <w:color w:val="000000" w:themeColor="text1"/>
        </w:rPr>
        <w:t>data analysis &amp; interpretation</w:t>
      </w:r>
    </w:p>
    <w:p w:rsidR="004A370B" w:rsidRPr="0007490C" w:rsidRDefault="001F347D" w:rsidP="0007490C">
      <w:pPr>
        <w:spacing w:before="20" w:after="20" w:line="360" w:lineRule="auto"/>
        <w:rPr>
          <w:b/>
          <w:color w:val="000000" w:themeColor="text1"/>
        </w:rPr>
      </w:pPr>
      <w:r>
        <w:rPr>
          <w:b/>
          <w:color w:val="000000" w:themeColor="text1"/>
        </w:rPr>
        <w:t>1.</w:t>
      </w:r>
      <w:r w:rsidR="004A370B" w:rsidRPr="0007490C">
        <w:rPr>
          <w:b/>
          <w:color w:val="000000" w:themeColor="text1"/>
        </w:rPr>
        <w:t>INTRODUCTION</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1.1.</w:t>
      </w:r>
      <w:r w:rsidR="001A6D67" w:rsidRPr="0007490C">
        <w:rPr>
          <w:b/>
          <w:bCs/>
          <w:color w:val="000000" w:themeColor="text1"/>
        </w:rPr>
        <w:t>Merger:</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Merger is defined as combination of two or more companies into a single company where one survives and the others lose their corporate existence. The survivor acquires all the assets as well as liabilities of the merged company or companies. Generally, the surviving company is the buyer, which retains its identity, and the extinguished company is the seller.</w:t>
      </w:r>
      <w:r w:rsidR="001F347D">
        <w:rPr>
          <w:color w:val="000000" w:themeColor="text1"/>
        </w:rPr>
        <w:t xml:space="preserve"> </w:t>
      </w:r>
      <w:r w:rsidRPr="0007490C">
        <w:rPr>
          <w:color w:val="000000" w:themeColor="text1"/>
        </w:rPr>
        <w:t>Merger is also defined as amalgamation. Merger is the fusion of two or more existing companies</w:t>
      </w:r>
      <w:r w:rsidR="00AA7DA1">
        <w:rPr>
          <w:color w:val="000000" w:themeColor="text1"/>
        </w:rPr>
        <w:t>[1]</w:t>
      </w:r>
      <w:r w:rsidRPr="0007490C">
        <w:rPr>
          <w:color w:val="000000" w:themeColor="text1"/>
        </w:rPr>
        <w:t>. All assets, liabilities and the stock of one company stand transferred to transferee Company in consideration of payment in the form of:</w:t>
      </w:r>
    </w:p>
    <w:p w:rsidR="001A6D67" w:rsidRPr="0007490C" w:rsidRDefault="001A6D67" w:rsidP="001A6D67">
      <w:pPr>
        <w:numPr>
          <w:ilvl w:val="0"/>
          <w:numId w:val="28"/>
        </w:numPr>
        <w:tabs>
          <w:tab w:val="left" w:pos="720"/>
        </w:tabs>
        <w:spacing w:line="360" w:lineRule="auto"/>
        <w:jc w:val="both"/>
        <w:rPr>
          <w:color w:val="000000" w:themeColor="text1"/>
        </w:rPr>
      </w:pPr>
      <w:r w:rsidRPr="0007490C">
        <w:rPr>
          <w:color w:val="000000" w:themeColor="text1"/>
        </w:rPr>
        <w:t>Equity shares in the transferee company,</w:t>
      </w:r>
    </w:p>
    <w:p w:rsidR="001A6D67" w:rsidRPr="0007490C" w:rsidRDefault="001A6D67" w:rsidP="001A6D67">
      <w:pPr>
        <w:numPr>
          <w:ilvl w:val="0"/>
          <w:numId w:val="28"/>
        </w:numPr>
        <w:tabs>
          <w:tab w:val="left" w:pos="720"/>
        </w:tabs>
        <w:spacing w:line="360" w:lineRule="auto"/>
        <w:jc w:val="both"/>
        <w:rPr>
          <w:color w:val="000000" w:themeColor="text1"/>
        </w:rPr>
      </w:pPr>
      <w:r w:rsidRPr="0007490C">
        <w:rPr>
          <w:color w:val="000000" w:themeColor="text1"/>
        </w:rPr>
        <w:t xml:space="preserve">Debentures in the transferee company, </w:t>
      </w:r>
    </w:p>
    <w:p w:rsidR="001A6D67" w:rsidRPr="0007490C" w:rsidRDefault="001A6D67" w:rsidP="001A6D67">
      <w:pPr>
        <w:numPr>
          <w:ilvl w:val="0"/>
          <w:numId w:val="28"/>
        </w:numPr>
        <w:tabs>
          <w:tab w:val="left" w:pos="720"/>
        </w:tabs>
        <w:spacing w:line="360" w:lineRule="auto"/>
        <w:jc w:val="both"/>
        <w:rPr>
          <w:color w:val="000000" w:themeColor="text1"/>
        </w:rPr>
      </w:pPr>
      <w:r w:rsidRPr="0007490C">
        <w:rPr>
          <w:color w:val="000000" w:themeColor="text1"/>
        </w:rPr>
        <w:t xml:space="preserve">Cash, or </w:t>
      </w:r>
    </w:p>
    <w:p w:rsidR="001A6D67" w:rsidRPr="0007490C" w:rsidRDefault="001A6D67" w:rsidP="001A6D67">
      <w:pPr>
        <w:numPr>
          <w:ilvl w:val="0"/>
          <w:numId w:val="28"/>
        </w:numPr>
        <w:tabs>
          <w:tab w:val="left" w:pos="720"/>
        </w:tabs>
        <w:spacing w:line="360" w:lineRule="auto"/>
        <w:jc w:val="both"/>
        <w:rPr>
          <w:color w:val="000000" w:themeColor="text1"/>
        </w:rPr>
      </w:pPr>
      <w:r w:rsidRPr="0007490C">
        <w:rPr>
          <w:color w:val="000000" w:themeColor="text1"/>
        </w:rPr>
        <w:t>A mix of the above modes.</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1.2.</w:t>
      </w:r>
      <w:r w:rsidR="001A6D67" w:rsidRPr="0007490C">
        <w:rPr>
          <w:b/>
          <w:bCs/>
          <w:color w:val="000000" w:themeColor="text1"/>
        </w:rPr>
        <w:t>Acquisition: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lastRenderedPageBreak/>
        <w:tab/>
        <w:t>Acquisition in general sense is acquiring the ownership in the property. In the context of business combinations, an acquisition is the purchase by one company of a controlling interest in the share capital of another existing company</w:t>
      </w:r>
      <w:r w:rsidR="00AA7DA1">
        <w:rPr>
          <w:color w:val="000000" w:themeColor="text1"/>
        </w:rPr>
        <w:t>[2]</w:t>
      </w:r>
      <w:r w:rsidRPr="0007490C">
        <w:rPr>
          <w:color w:val="000000" w:themeColor="text1"/>
        </w:rPr>
        <w:t>.</w:t>
      </w:r>
    </w:p>
    <w:p w:rsidR="001A6D67" w:rsidRPr="0007490C" w:rsidRDefault="001F347D" w:rsidP="001A6D67">
      <w:pPr>
        <w:tabs>
          <w:tab w:val="left" w:pos="720"/>
        </w:tabs>
        <w:spacing w:line="360" w:lineRule="auto"/>
        <w:jc w:val="both"/>
        <w:rPr>
          <w:b/>
          <w:bCs/>
          <w:iCs/>
          <w:color w:val="000000" w:themeColor="text1"/>
        </w:rPr>
      </w:pPr>
      <w:r>
        <w:rPr>
          <w:b/>
          <w:bCs/>
          <w:iCs/>
          <w:color w:val="000000" w:themeColor="text1"/>
        </w:rPr>
        <w:t>1.3.</w:t>
      </w:r>
      <w:r w:rsidR="001A6D67" w:rsidRPr="0007490C">
        <w:rPr>
          <w:b/>
          <w:bCs/>
          <w:iCs/>
          <w:color w:val="000000" w:themeColor="text1"/>
        </w:rPr>
        <w:t>Methods of Acquisition: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 xml:space="preserve">An acquisition may be affected by </w:t>
      </w:r>
    </w:p>
    <w:p w:rsidR="001A6D67" w:rsidRPr="0007490C" w:rsidRDefault="001A6D67" w:rsidP="001A6D67">
      <w:pPr>
        <w:numPr>
          <w:ilvl w:val="0"/>
          <w:numId w:val="29"/>
        </w:numPr>
        <w:tabs>
          <w:tab w:val="left" w:pos="720"/>
        </w:tabs>
        <w:spacing w:line="360" w:lineRule="auto"/>
        <w:jc w:val="both"/>
        <w:rPr>
          <w:color w:val="000000" w:themeColor="text1"/>
        </w:rPr>
      </w:pPr>
      <w:r w:rsidRPr="0007490C">
        <w:rPr>
          <w:color w:val="000000" w:themeColor="text1"/>
        </w:rPr>
        <w:t>agreement with the persons holding majority interest in the company management like members of the board or major shareholders commanding majority of voting power;</w:t>
      </w:r>
    </w:p>
    <w:p w:rsidR="001A6D67" w:rsidRPr="0007490C" w:rsidRDefault="001A6D67" w:rsidP="001A6D67">
      <w:pPr>
        <w:numPr>
          <w:ilvl w:val="0"/>
          <w:numId w:val="29"/>
        </w:numPr>
        <w:tabs>
          <w:tab w:val="left" w:pos="720"/>
        </w:tabs>
        <w:spacing w:line="360" w:lineRule="auto"/>
        <w:jc w:val="both"/>
        <w:rPr>
          <w:color w:val="000000" w:themeColor="text1"/>
        </w:rPr>
      </w:pPr>
      <w:r w:rsidRPr="0007490C">
        <w:rPr>
          <w:color w:val="000000" w:themeColor="text1"/>
        </w:rPr>
        <w:t>purchase of shares in open market;</w:t>
      </w:r>
    </w:p>
    <w:p w:rsidR="001A6D67" w:rsidRPr="0007490C" w:rsidRDefault="001A6D67" w:rsidP="001A6D67">
      <w:pPr>
        <w:numPr>
          <w:ilvl w:val="0"/>
          <w:numId w:val="29"/>
        </w:numPr>
        <w:tabs>
          <w:tab w:val="left" w:pos="720"/>
        </w:tabs>
        <w:spacing w:line="360" w:lineRule="auto"/>
        <w:jc w:val="both"/>
        <w:rPr>
          <w:color w:val="000000" w:themeColor="text1"/>
        </w:rPr>
      </w:pPr>
      <w:r w:rsidRPr="0007490C">
        <w:rPr>
          <w:color w:val="000000" w:themeColor="text1"/>
        </w:rPr>
        <w:t>to make takeover offer to the general body of shareholders;</w:t>
      </w:r>
    </w:p>
    <w:p w:rsidR="001A6D67" w:rsidRPr="0007490C" w:rsidRDefault="001A6D67" w:rsidP="001A6D67">
      <w:pPr>
        <w:numPr>
          <w:ilvl w:val="0"/>
          <w:numId w:val="29"/>
        </w:numPr>
        <w:tabs>
          <w:tab w:val="left" w:pos="720"/>
        </w:tabs>
        <w:spacing w:line="360" w:lineRule="auto"/>
        <w:jc w:val="both"/>
        <w:rPr>
          <w:color w:val="000000" w:themeColor="text1"/>
        </w:rPr>
      </w:pPr>
      <w:r w:rsidRPr="0007490C">
        <w:rPr>
          <w:color w:val="000000" w:themeColor="text1"/>
        </w:rPr>
        <w:t>purchase of new shares by private treaty;</w:t>
      </w:r>
    </w:p>
    <w:p w:rsidR="001A6D67" w:rsidRPr="0007490C" w:rsidRDefault="001A6D67" w:rsidP="001A6D67">
      <w:pPr>
        <w:numPr>
          <w:ilvl w:val="0"/>
          <w:numId w:val="29"/>
        </w:numPr>
        <w:tabs>
          <w:tab w:val="left" w:pos="720"/>
        </w:tabs>
        <w:spacing w:line="360" w:lineRule="auto"/>
        <w:jc w:val="both"/>
        <w:rPr>
          <w:color w:val="000000" w:themeColor="text1"/>
        </w:rPr>
      </w:pPr>
      <w:r w:rsidRPr="0007490C">
        <w:rPr>
          <w:color w:val="000000" w:themeColor="text1"/>
        </w:rPr>
        <w:t>Acquisition of share capital through the following forms of considerations viz. means of cash, issuance of loan capital, or insurance of share capital.</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1.4.</w:t>
      </w:r>
      <w:r w:rsidR="001A6D67" w:rsidRPr="0007490C">
        <w:rPr>
          <w:b/>
          <w:bCs/>
          <w:color w:val="000000" w:themeColor="text1"/>
        </w:rPr>
        <w:t>Takeover:</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A ‘takeover’ is acquisition and both the terms are used interchangeably. Takeover differs from merger in approach to business combinations i.e. the process of takeover, transaction involved in takeover, determination of share exchange or cash price and the fulfillment of goals of combination all are different in takeovers than in mergers</w:t>
      </w:r>
      <w:r w:rsidR="00AA7DA1">
        <w:rPr>
          <w:color w:val="000000" w:themeColor="text1"/>
        </w:rPr>
        <w:t>[3]</w:t>
      </w:r>
      <w:r w:rsidRPr="0007490C">
        <w:rPr>
          <w:color w:val="000000" w:themeColor="text1"/>
        </w:rPr>
        <w:t>. For example, process of takeover is unilateral and the offeror company decides about the maximum price. Time taken in completion of transaction is less in takeover than in mergers, top management of the offeree company being more co-operative.</w:t>
      </w:r>
    </w:p>
    <w:p w:rsidR="001A6D67" w:rsidRPr="0007490C" w:rsidRDefault="001F347D" w:rsidP="001A6D67">
      <w:pPr>
        <w:tabs>
          <w:tab w:val="left" w:pos="720"/>
        </w:tabs>
        <w:spacing w:line="360" w:lineRule="auto"/>
        <w:jc w:val="both"/>
        <w:rPr>
          <w:b/>
          <w:iCs/>
          <w:color w:val="000000" w:themeColor="text1"/>
        </w:rPr>
      </w:pPr>
      <w:r>
        <w:rPr>
          <w:b/>
          <w:iCs/>
          <w:color w:val="000000" w:themeColor="text1"/>
        </w:rPr>
        <w:t>1.5.</w:t>
      </w:r>
      <w:r w:rsidR="001A6D67" w:rsidRPr="0007490C">
        <w:rPr>
          <w:b/>
          <w:iCs/>
          <w:color w:val="000000" w:themeColor="text1"/>
        </w:rPr>
        <w:t>Assess target quality:</w:t>
      </w:r>
    </w:p>
    <w:p w:rsidR="001A6D67" w:rsidRDefault="001A6D67" w:rsidP="001F347D">
      <w:pPr>
        <w:tabs>
          <w:tab w:val="left" w:pos="720"/>
        </w:tabs>
        <w:spacing w:line="360" w:lineRule="auto"/>
        <w:jc w:val="both"/>
        <w:rPr>
          <w:color w:val="000000" w:themeColor="text1"/>
        </w:rPr>
      </w:pPr>
      <w:r w:rsidRPr="0007490C">
        <w:rPr>
          <w:color w:val="000000" w:themeColor="text1"/>
        </w:rPr>
        <w:t>To say that a company should be worth the price a buyer pays is to state the obvious. But assessing companies in Asia can be fraught with problems, and several deals have gone badly wrong because buyers failed to dig deeply enough</w:t>
      </w:r>
      <w:r w:rsidR="00AA7DA1">
        <w:rPr>
          <w:color w:val="000000" w:themeColor="text1"/>
        </w:rPr>
        <w:t>[4]</w:t>
      </w:r>
      <w:r w:rsidRPr="0007490C">
        <w:rPr>
          <w:color w:val="000000" w:themeColor="text1"/>
        </w:rPr>
        <w:t>. The attraction of knockdown price tag may tempt companies to skip crucial checks. Concealed high debt levels and deferred contingent liabilities have resulted in large deals destroying value. But in other cases, where buyers have undertaken detailed due diligence, they have been able to negotiate prices as low as half of the initial figure.</w:t>
      </w:r>
      <w:r w:rsidR="001F347D">
        <w:rPr>
          <w:color w:val="000000" w:themeColor="text1"/>
        </w:rPr>
        <w:t xml:space="preserve"> </w:t>
      </w:r>
      <w:r w:rsidRPr="0007490C">
        <w:rPr>
          <w:color w:val="000000" w:themeColor="text1"/>
        </w:rPr>
        <w:t xml:space="preserve">Due diligence can be difficult because disclosure practices are poor and companies often lack the information buyer need. Moreover, most Asian conglomerates still do not present consolidated financial statements, leaving the possibilities that the sales and the profit </w:t>
      </w:r>
      <w:r w:rsidRPr="0007490C">
        <w:rPr>
          <w:color w:val="000000" w:themeColor="text1"/>
        </w:rPr>
        <w:lastRenderedPageBreak/>
        <w:t>figures might be bloated by transactions between affiliated companies. The financial records that are available are often unreliable, with different projections made by different departments within the same company, and different projections made for different audiences. Banks and investors, naturally, are likely to be shown optimistic forecasts.</w:t>
      </w:r>
    </w:p>
    <w:p w:rsidR="00524ED0" w:rsidRPr="0007490C" w:rsidRDefault="00524ED0" w:rsidP="001F347D">
      <w:pPr>
        <w:tabs>
          <w:tab w:val="left" w:pos="720"/>
        </w:tabs>
        <w:spacing w:line="360" w:lineRule="auto"/>
        <w:jc w:val="both"/>
        <w:rPr>
          <w:color w:val="000000" w:themeColor="text1"/>
        </w:rPr>
      </w:pPr>
    </w:p>
    <w:p w:rsidR="001A6D67" w:rsidRPr="0007490C" w:rsidRDefault="001F347D" w:rsidP="001A6D67">
      <w:pPr>
        <w:tabs>
          <w:tab w:val="left" w:pos="720"/>
        </w:tabs>
        <w:spacing w:line="360" w:lineRule="auto"/>
        <w:jc w:val="both"/>
        <w:rPr>
          <w:color w:val="000000" w:themeColor="text1"/>
        </w:rPr>
      </w:pPr>
      <w:r>
        <w:rPr>
          <w:b/>
          <w:bCs/>
          <w:iCs/>
          <w:color w:val="000000" w:themeColor="text1"/>
        </w:rPr>
        <w:t xml:space="preserve">2. </w:t>
      </w:r>
      <w:r w:rsidR="001A6D67" w:rsidRPr="0007490C">
        <w:rPr>
          <w:b/>
          <w:bCs/>
          <w:iCs/>
          <w:color w:val="000000" w:themeColor="text1"/>
        </w:rPr>
        <w:t>TYPES OF MERGERS:</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Merger or acquisition depends upon the purpose of the offeror company it wants to achieve. Based on the offerors’ objectives profile, combinations could be vertical, horizontal, circular and conglomeratic as precisely described below with reference to the purpose in view of the offeror company</w:t>
      </w:r>
      <w:r w:rsidR="00AA7DA1">
        <w:rPr>
          <w:color w:val="000000" w:themeColor="text1"/>
        </w:rPr>
        <w:t>[5]</w:t>
      </w:r>
      <w:r w:rsidRPr="0007490C">
        <w:rPr>
          <w:color w:val="000000" w:themeColor="text1"/>
        </w:rPr>
        <w:t>.</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 xml:space="preserve">2.1. </w:t>
      </w:r>
      <w:r w:rsidR="001A6D67" w:rsidRPr="0007490C">
        <w:rPr>
          <w:b/>
          <w:bCs/>
          <w:color w:val="000000" w:themeColor="text1"/>
        </w:rPr>
        <w:t>Vertical combination: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A company would like to takeover another company or seek its merger with that company to expand espousing backward integration to assimilate the resources of supply and forward integration towards market outlets. The acquiring company through merger of another unit attempts on reduction of inventories of raw material and finished goods, implements its production plans as per the objectives and economizes on working capital investments. In other words, in vertical combinations, the merging undertaking would be either a supplier or a buyer using its product as intermediary material for final production</w:t>
      </w:r>
      <w:r w:rsidR="00AA7DA1">
        <w:rPr>
          <w:color w:val="000000" w:themeColor="text1"/>
        </w:rPr>
        <w:t>[6]</w:t>
      </w:r>
      <w:r w:rsidRPr="0007490C">
        <w:rPr>
          <w:color w:val="000000" w:themeColor="text1"/>
        </w:rPr>
        <w:t>.</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 xml:space="preserve">The following main benefits accrue from the vertical combination to the acquirer company i.e. </w:t>
      </w:r>
    </w:p>
    <w:p w:rsidR="001A6D67" w:rsidRPr="0007490C" w:rsidRDefault="001A6D67" w:rsidP="001A6D67">
      <w:pPr>
        <w:numPr>
          <w:ilvl w:val="0"/>
          <w:numId w:val="34"/>
        </w:numPr>
        <w:tabs>
          <w:tab w:val="left" w:pos="720"/>
        </w:tabs>
        <w:spacing w:line="360" w:lineRule="auto"/>
        <w:jc w:val="both"/>
        <w:rPr>
          <w:color w:val="000000" w:themeColor="text1"/>
        </w:rPr>
      </w:pPr>
      <w:r w:rsidRPr="0007490C">
        <w:rPr>
          <w:color w:val="000000" w:themeColor="text1"/>
        </w:rPr>
        <w:t>It gains a strong position because of imperfect market of the intermediary products, scarcity of resources and purchased products;</w:t>
      </w:r>
    </w:p>
    <w:p w:rsidR="001A6D67" w:rsidRPr="0007490C" w:rsidRDefault="001A6D67" w:rsidP="001A6D67">
      <w:pPr>
        <w:numPr>
          <w:ilvl w:val="0"/>
          <w:numId w:val="34"/>
        </w:numPr>
        <w:tabs>
          <w:tab w:val="left" w:pos="720"/>
        </w:tabs>
        <w:spacing w:line="360" w:lineRule="auto"/>
        <w:jc w:val="both"/>
        <w:rPr>
          <w:color w:val="000000" w:themeColor="text1"/>
        </w:rPr>
      </w:pPr>
      <w:r w:rsidRPr="0007490C">
        <w:rPr>
          <w:color w:val="000000" w:themeColor="text1"/>
        </w:rPr>
        <w:t>Has control over products specifications.</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 xml:space="preserve">2.2. </w:t>
      </w:r>
      <w:r w:rsidR="001A6D67" w:rsidRPr="0007490C">
        <w:rPr>
          <w:b/>
          <w:bCs/>
          <w:color w:val="000000" w:themeColor="text1"/>
        </w:rPr>
        <w:t>Horizontal combination: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It is a merger of two competing firms which are at the same stage of industrial process. The acquiring firm belongs to the same industry as the target company. The mail purpose of such mergers is to obtain economies of scale in production by eliminating duplication of facilities and the operations and broadening the product line, reduction in investment in working capital, elimination in competition concentration in product, reduction in advertising costs, increase in market segments and exercise better control on market.</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lastRenderedPageBreak/>
        <w:t>2.3.</w:t>
      </w:r>
      <w:r w:rsidR="001A6D67" w:rsidRPr="0007490C">
        <w:rPr>
          <w:b/>
          <w:bCs/>
          <w:color w:val="000000" w:themeColor="text1"/>
        </w:rPr>
        <w:t>Circular combination: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Companies producing distinct products seek amalgamation to share common distribution and research facilities to obtain economies by elimination of cost on duplication and promoting market enlargement. The acquiring company obtains benefits in the form of economies of resource sharing and diversification.</w:t>
      </w:r>
    </w:p>
    <w:p w:rsidR="001A6D67" w:rsidRPr="0007490C" w:rsidRDefault="001F347D" w:rsidP="001A6D67">
      <w:pPr>
        <w:tabs>
          <w:tab w:val="left" w:pos="720"/>
        </w:tabs>
        <w:spacing w:line="360" w:lineRule="auto"/>
        <w:jc w:val="both"/>
        <w:rPr>
          <w:b/>
          <w:bCs/>
          <w:color w:val="000000" w:themeColor="text1"/>
        </w:rPr>
      </w:pPr>
      <w:r>
        <w:rPr>
          <w:b/>
          <w:bCs/>
          <w:color w:val="000000" w:themeColor="text1"/>
        </w:rPr>
        <w:t>2.4.</w:t>
      </w:r>
      <w:r w:rsidR="001A6D67" w:rsidRPr="0007490C">
        <w:rPr>
          <w:b/>
          <w:bCs/>
          <w:color w:val="000000" w:themeColor="text1"/>
        </w:rPr>
        <w:t>Conglomerate combination:</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It is amalgamation of two companies engaged in unrelated industries like DCM and Modi Industries. The basic purpose of such amalgamations remains utilization of financial resources and enlarges debt capacity through re-organizing their financial structure so as to service the shareholders by increased leveraging and EPS, lowering average cost of capital and thereby raising present worth of the outstanding shares. Merger enhances the overall stability of the acquirer company and creates balance in the company’s total portfolio of diverse products and production processes.</w:t>
      </w:r>
    </w:p>
    <w:p w:rsidR="001A6D67" w:rsidRPr="0007490C" w:rsidRDefault="001F347D" w:rsidP="001A6D67">
      <w:pPr>
        <w:pStyle w:val="BodyTextIndent"/>
        <w:tabs>
          <w:tab w:val="left" w:pos="0"/>
          <w:tab w:val="left" w:pos="720"/>
        </w:tabs>
        <w:spacing w:after="0" w:line="360" w:lineRule="auto"/>
        <w:ind w:left="0"/>
        <w:jc w:val="both"/>
        <w:rPr>
          <w:color w:val="000000" w:themeColor="text1"/>
        </w:rPr>
      </w:pPr>
      <w:r>
        <w:rPr>
          <w:b/>
          <w:bCs/>
          <w:iCs/>
          <w:color w:val="000000" w:themeColor="text1"/>
        </w:rPr>
        <w:t xml:space="preserve">3. </w:t>
      </w:r>
      <w:r w:rsidR="001A6D67" w:rsidRPr="0007490C">
        <w:rPr>
          <w:b/>
          <w:bCs/>
          <w:iCs/>
          <w:color w:val="000000" w:themeColor="text1"/>
        </w:rPr>
        <w:t xml:space="preserve">Minority shareholders rights: </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SEBI regulations do not provide insight in the event of minority shareholders not agreeing to the takeover offer. However section 395 of the Companies Act, 1956 provides for the acquisition of shares of the shareholders. According to section 395 of the Companies Act, if the offerer has acquired at least 90% in value of those shares may give notice to the non-accepting shareholders of the intention of buying their shares</w:t>
      </w:r>
      <w:r w:rsidR="00691C77">
        <w:rPr>
          <w:color w:val="000000" w:themeColor="text1"/>
        </w:rPr>
        <w:t>[7]</w:t>
      </w:r>
      <w:r w:rsidRPr="0007490C">
        <w:rPr>
          <w:color w:val="000000" w:themeColor="text1"/>
        </w:rPr>
        <w:t>. The 90% acceptance level shall not include the share held by the offerer or it’s associates. The procedure laid down in this section is briefly noted below.</w:t>
      </w:r>
    </w:p>
    <w:p w:rsidR="001A6D67" w:rsidRPr="0007490C" w:rsidRDefault="001A6D67" w:rsidP="001A6D67">
      <w:pPr>
        <w:numPr>
          <w:ilvl w:val="0"/>
          <w:numId w:val="38"/>
        </w:numPr>
        <w:tabs>
          <w:tab w:val="left" w:pos="720"/>
        </w:tabs>
        <w:spacing w:line="360" w:lineRule="auto"/>
        <w:jc w:val="both"/>
        <w:rPr>
          <w:color w:val="000000" w:themeColor="text1"/>
        </w:rPr>
      </w:pPr>
      <w:r w:rsidRPr="0007490C">
        <w:rPr>
          <w:color w:val="000000" w:themeColor="text1"/>
        </w:rPr>
        <w:t>In order to buy the shares of non-accepting shareholders the offerer must have reached the 90% acceptance level within 4 months of the date of the offer, and notice must have been served on those shareholders within 2 months of reaching the 90% level.</w:t>
      </w:r>
    </w:p>
    <w:p w:rsidR="001A6D67" w:rsidRPr="0007490C" w:rsidRDefault="001A6D67" w:rsidP="001A6D67">
      <w:pPr>
        <w:numPr>
          <w:ilvl w:val="0"/>
          <w:numId w:val="38"/>
        </w:numPr>
        <w:tabs>
          <w:tab w:val="left" w:pos="720"/>
        </w:tabs>
        <w:spacing w:line="360" w:lineRule="auto"/>
        <w:jc w:val="both"/>
        <w:rPr>
          <w:color w:val="000000" w:themeColor="text1"/>
        </w:rPr>
      </w:pPr>
      <w:r w:rsidRPr="0007490C">
        <w:rPr>
          <w:color w:val="000000" w:themeColor="text1"/>
        </w:rPr>
        <w:t>The notice to the non-accepting shareholders must be in a prescribed manner. A copy of a notice and a statutory declaration by the offerer  (or, if the offerer is a company, by a director) in the prescribed form confirming that the conditions for giving the notice have been satisfied must be sent to the target.</w:t>
      </w:r>
    </w:p>
    <w:p w:rsidR="001A6D67" w:rsidRPr="0007490C" w:rsidRDefault="001A6D67" w:rsidP="001A6D67">
      <w:pPr>
        <w:numPr>
          <w:ilvl w:val="0"/>
          <w:numId w:val="38"/>
        </w:numPr>
        <w:tabs>
          <w:tab w:val="left" w:pos="720"/>
        </w:tabs>
        <w:spacing w:line="360" w:lineRule="auto"/>
        <w:jc w:val="both"/>
        <w:rPr>
          <w:color w:val="000000" w:themeColor="text1"/>
        </w:rPr>
      </w:pPr>
      <w:r w:rsidRPr="0007490C">
        <w:rPr>
          <w:color w:val="000000" w:themeColor="text1"/>
        </w:rPr>
        <w:t>Once the notice has been given, the offerer is entitled and bound to acquire the outstanding shares on the terms of the offer.</w:t>
      </w:r>
    </w:p>
    <w:p w:rsidR="001A6D67" w:rsidRPr="0007490C" w:rsidRDefault="001A6D67" w:rsidP="001A6D67">
      <w:pPr>
        <w:numPr>
          <w:ilvl w:val="0"/>
          <w:numId w:val="38"/>
        </w:numPr>
        <w:tabs>
          <w:tab w:val="left" w:pos="720"/>
        </w:tabs>
        <w:spacing w:line="360" w:lineRule="auto"/>
        <w:jc w:val="both"/>
        <w:rPr>
          <w:color w:val="000000" w:themeColor="text1"/>
        </w:rPr>
      </w:pPr>
      <w:r w:rsidRPr="0007490C">
        <w:rPr>
          <w:color w:val="000000" w:themeColor="text1"/>
        </w:rPr>
        <w:t xml:space="preserve">If the terms of the offer give the shareholders a choice of consideration, the notice must give particulars of options available and inform the shareholders </w:t>
      </w:r>
      <w:r w:rsidRPr="0007490C">
        <w:rPr>
          <w:color w:val="000000" w:themeColor="text1"/>
        </w:rPr>
        <w:lastRenderedPageBreak/>
        <w:t>that he has six weeks from the date of the notice to indicate his choice of consideration in writing.</w:t>
      </w:r>
    </w:p>
    <w:p w:rsidR="001A6D67" w:rsidRPr="0007490C" w:rsidRDefault="006179AA" w:rsidP="001A6D67">
      <w:pPr>
        <w:tabs>
          <w:tab w:val="left" w:pos="720"/>
        </w:tabs>
        <w:spacing w:line="360" w:lineRule="auto"/>
        <w:jc w:val="both"/>
        <w:rPr>
          <w:b/>
          <w:bCs/>
          <w:iCs/>
          <w:color w:val="000000" w:themeColor="text1"/>
        </w:rPr>
      </w:pPr>
      <w:r w:rsidRPr="0007490C">
        <w:rPr>
          <w:b/>
          <w:bCs/>
          <w:iCs/>
          <w:color w:val="000000" w:themeColor="text1"/>
        </w:rPr>
        <w:t>4</w:t>
      </w:r>
      <w:r w:rsidR="001F347D">
        <w:rPr>
          <w:b/>
          <w:bCs/>
          <w:iCs/>
          <w:color w:val="000000" w:themeColor="text1"/>
        </w:rPr>
        <w:t>.</w:t>
      </w:r>
      <w:r w:rsidRPr="0007490C">
        <w:rPr>
          <w:b/>
          <w:bCs/>
          <w:iCs/>
          <w:color w:val="000000" w:themeColor="text1"/>
        </w:rPr>
        <w:t xml:space="preserve"> </w:t>
      </w:r>
      <w:r w:rsidR="001A6D67" w:rsidRPr="0007490C">
        <w:rPr>
          <w:b/>
          <w:bCs/>
          <w:iCs/>
          <w:color w:val="000000" w:themeColor="text1"/>
        </w:rPr>
        <w:t>PROCEDURE FOR TAKEOVER AND ACQUISITION:</w:t>
      </w:r>
    </w:p>
    <w:p w:rsidR="001A6D67" w:rsidRPr="0007490C" w:rsidRDefault="001A6D67" w:rsidP="001A6D67">
      <w:pPr>
        <w:tabs>
          <w:tab w:val="left" w:pos="720"/>
        </w:tabs>
        <w:spacing w:line="360" w:lineRule="auto"/>
        <w:jc w:val="both"/>
        <w:rPr>
          <w:b/>
          <w:bCs/>
          <w:iCs/>
          <w:color w:val="000000" w:themeColor="text1"/>
        </w:rPr>
      </w:pPr>
      <w:r w:rsidRPr="0007490C">
        <w:rPr>
          <w:b/>
          <w:bCs/>
          <w:iCs/>
          <w:color w:val="000000" w:themeColor="text1"/>
        </w:rPr>
        <w:t>Public Announcement:</w:t>
      </w:r>
    </w:p>
    <w:p w:rsidR="001A6D67" w:rsidRPr="0007490C" w:rsidRDefault="001A6D67" w:rsidP="001A6D67">
      <w:pPr>
        <w:tabs>
          <w:tab w:val="left" w:pos="720"/>
        </w:tabs>
        <w:spacing w:line="360" w:lineRule="auto"/>
        <w:jc w:val="both"/>
        <w:rPr>
          <w:color w:val="000000" w:themeColor="text1"/>
        </w:rPr>
      </w:pPr>
      <w:r w:rsidRPr="0007490C">
        <w:rPr>
          <w:color w:val="000000" w:themeColor="text1"/>
        </w:rPr>
        <w:t>To make a public announcement an acquirer shall follow the following procedure:</w:t>
      </w:r>
    </w:p>
    <w:p w:rsidR="001A6D67" w:rsidRPr="0007490C" w:rsidRDefault="001A6D67" w:rsidP="001A6D67">
      <w:pPr>
        <w:tabs>
          <w:tab w:val="left" w:pos="720"/>
        </w:tabs>
        <w:spacing w:line="360" w:lineRule="auto"/>
        <w:jc w:val="both"/>
        <w:rPr>
          <w:b/>
          <w:bCs/>
          <w:color w:val="000000" w:themeColor="text1"/>
        </w:rPr>
      </w:pPr>
      <w:r w:rsidRPr="0007490C">
        <w:rPr>
          <w:b/>
          <w:bCs/>
          <w:color w:val="000000" w:themeColor="text1"/>
        </w:rPr>
        <w:t>Appointment of merchant banker:</w:t>
      </w:r>
    </w:p>
    <w:p w:rsidR="001A6D67" w:rsidRPr="0007490C" w:rsidRDefault="001A6D67" w:rsidP="001A6D67">
      <w:pPr>
        <w:pStyle w:val="BodyTextIndent"/>
        <w:tabs>
          <w:tab w:val="left" w:pos="720"/>
        </w:tabs>
        <w:spacing w:after="0" w:line="360" w:lineRule="auto"/>
        <w:ind w:left="0"/>
        <w:jc w:val="both"/>
        <w:rPr>
          <w:color w:val="000000" w:themeColor="text1"/>
        </w:rPr>
      </w:pPr>
      <w:r w:rsidRPr="0007490C">
        <w:rPr>
          <w:color w:val="000000" w:themeColor="text1"/>
        </w:rPr>
        <w:t>The acquirer shall appoint a merchant banker registered as category – I with SEBI to advise him on the acquisition and to make a public announcement of offer on his behalf.</w:t>
      </w:r>
    </w:p>
    <w:p w:rsidR="001A6D67" w:rsidRPr="0007490C" w:rsidRDefault="001A6D67" w:rsidP="001A6D67">
      <w:pPr>
        <w:tabs>
          <w:tab w:val="left" w:pos="720"/>
        </w:tabs>
        <w:spacing w:line="360" w:lineRule="auto"/>
        <w:jc w:val="both"/>
        <w:rPr>
          <w:b/>
          <w:bCs/>
          <w:color w:val="000000" w:themeColor="text1"/>
        </w:rPr>
      </w:pPr>
      <w:r w:rsidRPr="0007490C">
        <w:rPr>
          <w:b/>
          <w:bCs/>
          <w:color w:val="000000" w:themeColor="text1"/>
        </w:rPr>
        <w:t>Use of media for announcement:</w:t>
      </w:r>
    </w:p>
    <w:p w:rsidR="001A6D67" w:rsidRPr="0007490C" w:rsidRDefault="001A6D67" w:rsidP="001A6D67">
      <w:pPr>
        <w:pStyle w:val="BodyTextIndent2"/>
        <w:tabs>
          <w:tab w:val="left" w:pos="720"/>
        </w:tabs>
        <w:spacing w:after="0" w:line="360" w:lineRule="auto"/>
        <w:ind w:left="0"/>
        <w:jc w:val="both"/>
        <w:rPr>
          <w:color w:val="000000" w:themeColor="text1"/>
        </w:rPr>
      </w:pPr>
      <w:r w:rsidRPr="0007490C">
        <w:rPr>
          <w:color w:val="000000" w:themeColor="text1"/>
        </w:rPr>
        <w:t>Public announcement shall be made at least in one national English daily one Hindi daily and one regional language daily newspaper of that place where the shares of that company are listed and traded.</w:t>
      </w:r>
    </w:p>
    <w:p w:rsidR="001A6D67" w:rsidRPr="0007490C" w:rsidRDefault="001A6D67" w:rsidP="001A6D67">
      <w:pPr>
        <w:tabs>
          <w:tab w:val="left" w:pos="720"/>
        </w:tabs>
        <w:spacing w:line="360" w:lineRule="auto"/>
        <w:jc w:val="both"/>
        <w:rPr>
          <w:b/>
          <w:bCs/>
          <w:color w:val="000000" w:themeColor="text1"/>
        </w:rPr>
      </w:pPr>
      <w:r w:rsidRPr="0007490C">
        <w:rPr>
          <w:b/>
          <w:bCs/>
          <w:color w:val="000000" w:themeColor="text1"/>
        </w:rPr>
        <w:t>Timings of announcement:</w:t>
      </w:r>
    </w:p>
    <w:p w:rsidR="001A6D67" w:rsidRPr="0007490C" w:rsidRDefault="001A6D67" w:rsidP="001A6D67">
      <w:pPr>
        <w:pStyle w:val="Heading1"/>
        <w:tabs>
          <w:tab w:val="left" w:pos="720"/>
        </w:tabs>
        <w:spacing w:before="0" w:line="360" w:lineRule="auto"/>
        <w:jc w:val="both"/>
        <w:rPr>
          <w:rFonts w:ascii="Times New Roman" w:hAnsi="Times New Roman" w:cs="Times New Roman"/>
          <w:b w:val="0"/>
          <w:bCs w:val="0"/>
          <w:color w:val="000000" w:themeColor="text1"/>
          <w:sz w:val="24"/>
          <w:szCs w:val="24"/>
        </w:rPr>
      </w:pPr>
      <w:r w:rsidRPr="0007490C">
        <w:rPr>
          <w:rFonts w:ascii="Times New Roman" w:hAnsi="Times New Roman" w:cs="Times New Roman"/>
          <w:b w:val="0"/>
          <w:bCs w:val="0"/>
          <w:color w:val="000000" w:themeColor="text1"/>
          <w:sz w:val="24"/>
          <w:szCs w:val="24"/>
        </w:rPr>
        <w:t>Public announcement should be made within four days of finalization of negotiations or entering into any agreement or memorandum of understanding to acquire the shares or the voting rights.</w:t>
      </w:r>
    </w:p>
    <w:p w:rsidR="003C3FD4" w:rsidRPr="0007490C" w:rsidRDefault="001F347D" w:rsidP="001F347D">
      <w:pPr>
        <w:pStyle w:val="Heading1"/>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r w:rsidR="006179AA" w:rsidRPr="0007490C">
        <w:rPr>
          <w:rFonts w:ascii="Times New Roman" w:hAnsi="Times New Roman" w:cs="Times New Roman"/>
          <w:color w:val="000000" w:themeColor="text1"/>
          <w:sz w:val="24"/>
          <w:szCs w:val="24"/>
        </w:rPr>
        <w:t xml:space="preserve"> </w:t>
      </w:r>
      <w:r w:rsidR="00721354" w:rsidRPr="0007490C">
        <w:rPr>
          <w:rFonts w:ascii="Times New Roman" w:hAnsi="Times New Roman" w:cs="Times New Roman"/>
          <w:color w:val="000000" w:themeColor="text1"/>
          <w:sz w:val="24"/>
          <w:szCs w:val="24"/>
        </w:rPr>
        <w:t>OBJECTIVES OF THE STUDY</w:t>
      </w:r>
    </w:p>
    <w:p w:rsidR="003C3FD4" w:rsidRPr="0007490C" w:rsidRDefault="003C3FD4" w:rsidP="0055497D">
      <w:pPr>
        <w:pStyle w:val="Heading1"/>
        <w:keepNext/>
        <w:numPr>
          <w:ilvl w:val="0"/>
          <w:numId w:val="3"/>
        </w:numPr>
        <w:spacing w:before="0" w:line="360" w:lineRule="auto"/>
        <w:ind w:left="360"/>
        <w:contextualSpacing w:val="0"/>
        <w:jc w:val="both"/>
        <w:rPr>
          <w:rFonts w:ascii="Times New Roman" w:hAnsi="Times New Roman" w:cs="Times New Roman"/>
          <w:color w:val="000000" w:themeColor="text1"/>
          <w:sz w:val="24"/>
          <w:szCs w:val="24"/>
        </w:rPr>
      </w:pPr>
      <w:r w:rsidRPr="0007490C">
        <w:rPr>
          <w:rFonts w:ascii="Times New Roman" w:hAnsi="Times New Roman" w:cs="Times New Roman"/>
          <w:b w:val="0"/>
          <w:bCs w:val="0"/>
          <w:color w:val="000000" w:themeColor="text1"/>
          <w:spacing w:val="-3"/>
          <w:w w:val="116"/>
          <w:sz w:val="24"/>
          <w:szCs w:val="24"/>
        </w:rPr>
        <w:t xml:space="preserve">To know the pre-merger financial performance of </w:t>
      </w:r>
      <w:r w:rsidR="00F21E56" w:rsidRPr="0007490C">
        <w:rPr>
          <w:rFonts w:ascii="Times New Roman" w:hAnsi="Times New Roman" w:cs="Times New Roman"/>
          <w:b w:val="0"/>
          <w:bCs w:val="0"/>
          <w:color w:val="000000" w:themeColor="text1"/>
          <w:spacing w:val="-3"/>
          <w:w w:val="116"/>
          <w:sz w:val="24"/>
          <w:szCs w:val="24"/>
        </w:rPr>
        <w:t>IIFL</w:t>
      </w:r>
      <w:r w:rsidRPr="0007490C">
        <w:rPr>
          <w:rFonts w:ascii="Times New Roman" w:hAnsi="Times New Roman" w:cs="Times New Roman"/>
          <w:b w:val="0"/>
          <w:bCs w:val="0"/>
          <w:color w:val="000000" w:themeColor="text1"/>
          <w:spacing w:val="-3"/>
          <w:w w:val="116"/>
          <w:sz w:val="24"/>
          <w:szCs w:val="24"/>
        </w:rPr>
        <w:t xml:space="preserve"> </w:t>
      </w:r>
    </w:p>
    <w:p w:rsidR="003C3FD4" w:rsidRPr="0007490C" w:rsidRDefault="003C3FD4" w:rsidP="0055497D">
      <w:pPr>
        <w:pStyle w:val="ListParagraph"/>
        <w:numPr>
          <w:ilvl w:val="0"/>
          <w:numId w:val="3"/>
        </w:numPr>
        <w:spacing w:line="360" w:lineRule="auto"/>
        <w:ind w:left="360"/>
        <w:jc w:val="both"/>
        <w:rPr>
          <w:color w:val="000000" w:themeColor="text1"/>
        </w:rPr>
      </w:pPr>
      <w:r w:rsidRPr="0007490C">
        <w:rPr>
          <w:color w:val="000000" w:themeColor="text1"/>
        </w:rPr>
        <w:t>To analyze the post-merger financial position of the merged firms.</w:t>
      </w:r>
    </w:p>
    <w:p w:rsidR="003C3FD4" w:rsidRPr="0007490C" w:rsidRDefault="003C3FD4" w:rsidP="0055497D">
      <w:pPr>
        <w:pStyle w:val="ListParagraph"/>
        <w:numPr>
          <w:ilvl w:val="0"/>
          <w:numId w:val="3"/>
        </w:numPr>
        <w:spacing w:line="360" w:lineRule="auto"/>
        <w:ind w:left="360"/>
        <w:jc w:val="both"/>
        <w:rPr>
          <w:color w:val="000000" w:themeColor="text1"/>
        </w:rPr>
      </w:pPr>
      <w:r w:rsidRPr="0007490C">
        <w:rPr>
          <w:color w:val="000000" w:themeColor="text1"/>
        </w:rPr>
        <w:t>To understand the merging and acquisition process of the selected company’s and firm.</w:t>
      </w:r>
    </w:p>
    <w:p w:rsidR="003C3FD4" w:rsidRPr="0007490C" w:rsidRDefault="003C3FD4" w:rsidP="0055497D">
      <w:pPr>
        <w:pStyle w:val="ListParagraph"/>
        <w:numPr>
          <w:ilvl w:val="0"/>
          <w:numId w:val="3"/>
        </w:numPr>
        <w:spacing w:line="360" w:lineRule="auto"/>
        <w:ind w:left="360"/>
        <w:jc w:val="both"/>
        <w:rPr>
          <w:color w:val="000000" w:themeColor="text1"/>
        </w:rPr>
      </w:pPr>
      <w:r w:rsidRPr="0007490C">
        <w:rPr>
          <w:color w:val="000000" w:themeColor="text1"/>
        </w:rPr>
        <w:t>To evaluate the changes in the market price of the merged firm.</w:t>
      </w:r>
    </w:p>
    <w:p w:rsidR="00721354" w:rsidRPr="0007490C" w:rsidRDefault="00721354" w:rsidP="0055497D">
      <w:pPr>
        <w:spacing w:line="360" w:lineRule="auto"/>
        <w:rPr>
          <w:color w:val="000000" w:themeColor="text1"/>
        </w:rPr>
      </w:pPr>
      <w:r w:rsidRPr="0007490C">
        <w:rPr>
          <w:color w:val="000000" w:themeColor="text1"/>
        </w:rPr>
        <w:t>5. To analyze the mergers by industries, financial advisors and legal advisors.</w:t>
      </w:r>
    </w:p>
    <w:p w:rsidR="00721354" w:rsidRPr="0007490C" w:rsidRDefault="00721354" w:rsidP="0055497D">
      <w:pPr>
        <w:widowControl w:val="0"/>
        <w:autoSpaceDE w:val="0"/>
        <w:autoSpaceDN w:val="0"/>
        <w:adjustRightInd w:val="0"/>
        <w:spacing w:line="360" w:lineRule="auto"/>
        <w:rPr>
          <w:b/>
          <w:color w:val="000000" w:themeColor="text1"/>
        </w:rPr>
      </w:pPr>
      <w:r w:rsidRPr="0007490C">
        <w:rPr>
          <w:color w:val="000000" w:themeColor="text1"/>
        </w:rPr>
        <w:t>6. To study the financial performance in the growth of individual company before &amp;    after the merger</w:t>
      </w:r>
      <w:r w:rsidR="00691C77">
        <w:rPr>
          <w:color w:val="000000" w:themeColor="text1"/>
        </w:rPr>
        <w:t>[8]</w:t>
      </w:r>
      <w:r w:rsidRPr="0007490C">
        <w:rPr>
          <w:color w:val="000000" w:themeColor="text1"/>
        </w:rPr>
        <w:t>.</w:t>
      </w:r>
    </w:p>
    <w:p w:rsidR="0057701F" w:rsidRPr="0007490C" w:rsidRDefault="009B0597" w:rsidP="009B0597">
      <w:pPr>
        <w:spacing w:line="360" w:lineRule="auto"/>
        <w:rPr>
          <w:b/>
          <w:color w:val="000000" w:themeColor="text1"/>
        </w:rPr>
      </w:pPr>
      <w:r>
        <w:rPr>
          <w:b/>
          <w:color w:val="000000" w:themeColor="text1"/>
        </w:rPr>
        <w:t xml:space="preserve">6. </w:t>
      </w:r>
      <w:r w:rsidR="00164BC6" w:rsidRPr="0007490C">
        <w:rPr>
          <w:b/>
          <w:color w:val="000000" w:themeColor="text1"/>
        </w:rPr>
        <w:t>DATA</w:t>
      </w:r>
      <w:r w:rsidR="0057701F" w:rsidRPr="0007490C">
        <w:rPr>
          <w:b/>
          <w:color w:val="000000" w:themeColor="text1"/>
        </w:rPr>
        <w:t xml:space="preserve"> ANALYSIS &amp; INTERPRETATION</w:t>
      </w:r>
    </w:p>
    <w:p w:rsidR="003E02C2" w:rsidRPr="0007490C" w:rsidRDefault="003E02C2" w:rsidP="003E02C2">
      <w:pPr>
        <w:spacing w:line="360" w:lineRule="auto"/>
        <w:jc w:val="both"/>
        <w:rPr>
          <w:b/>
          <w:color w:val="000000" w:themeColor="text1"/>
        </w:rPr>
      </w:pPr>
      <w:r w:rsidRPr="0007490C">
        <w:rPr>
          <w:b/>
          <w:color w:val="000000" w:themeColor="text1"/>
        </w:rPr>
        <w:t xml:space="preserve">Profit &amp; Loss Account </w:t>
      </w:r>
      <w:r w:rsidR="004B315D" w:rsidRPr="0007490C">
        <w:rPr>
          <w:b/>
          <w:color w:val="000000" w:themeColor="text1"/>
        </w:rPr>
        <w:t xml:space="preserve">of </w:t>
      </w:r>
      <w:r w:rsidR="00F21E56" w:rsidRPr="0007490C">
        <w:rPr>
          <w:b/>
          <w:color w:val="000000" w:themeColor="text1"/>
        </w:rPr>
        <w:t>IIFL</w:t>
      </w:r>
      <w:r w:rsidRPr="0007490C">
        <w:rPr>
          <w:b/>
          <w:color w:val="000000" w:themeColor="text1"/>
        </w:rPr>
        <w:t xml:space="preserve"> from (20</w:t>
      </w:r>
      <w:r w:rsidR="00604815" w:rsidRPr="0007490C">
        <w:rPr>
          <w:b/>
          <w:color w:val="000000" w:themeColor="text1"/>
        </w:rPr>
        <w:t>19</w:t>
      </w:r>
      <w:r w:rsidRPr="0007490C">
        <w:rPr>
          <w:b/>
          <w:color w:val="000000" w:themeColor="text1"/>
        </w:rPr>
        <w:t>-20</w:t>
      </w:r>
      <w:r w:rsidR="00604815" w:rsidRPr="0007490C">
        <w:rPr>
          <w:b/>
          <w:color w:val="000000" w:themeColor="text1"/>
        </w:rPr>
        <w:t>23</w:t>
      </w:r>
      <w:r w:rsidRPr="0007490C">
        <w:rPr>
          <w:b/>
          <w:color w:val="000000" w:themeColor="text1"/>
        </w:rPr>
        <w:t>) (Rs. in Crores)</w:t>
      </w:r>
    </w:p>
    <w:p w:rsidR="00050C5F" w:rsidRPr="0007490C" w:rsidRDefault="00050C5F" w:rsidP="00050C5F">
      <w:pPr>
        <w:spacing w:line="360" w:lineRule="auto"/>
        <w:jc w:val="both"/>
        <w:rPr>
          <w:b/>
          <w:color w:val="000000" w:themeColor="text1"/>
        </w:rPr>
      </w:pPr>
      <w:r w:rsidRPr="0007490C">
        <w:rPr>
          <w:b/>
          <w:color w:val="000000" w:themeColor="text1"/>
        </w:rPr>
        <w:t>TABLE NO 4.3</w:t>
      </w:r>
    </w:p>
    <w:tbl>
      <w:tblPr>
        <w:tblW w:w="9824" w:type="dxa"/>
        <w:tblCellSpacing w:w="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30" w:type="dxa"/>
          <w:bottom w:w="60" w:type="dxa"/>
          <w:right w:w="30" w:type="dxa"/>
        </w:tblCellMar>
        <w:tblLook w:val="04A0"/>
      </w:tblPr>
      <w:tblGrid>
        <w:gridCol w:w="2776"/>
        <w:gridCol w:w="1351"/>
        <w:gridCol w:w="1460"/>
        <w:gridCol w:w="1432"/>
        <w:gridCol w:w="1440"/>
        <w:gridCol w:w="1365"/>
      </w:tblGrid>
      <w:tr w:rsidR="00604815" w:rsidRPr="0007490C" w:rsidTr="00AB69FC">
        <w:trPr>
          <w:trHeight w:val="146"/>
          <w:tblCellSpacing w:w="7" w:type="dxa"/>
        </w:trPr>
        <w:tc>
          <w:tcPr>
            <w:tcW w:w="1402" w:type="pct"/>
            <w:shd w:val="clear" w:color="auto" w:fill="auto"/>
            <w:tcMar>
              <w:right w:w="30" w:type="dxa"/>
            </w:tcMar>
            <w:vAlign w:val="center"/>
          </w:tcPr>
          <w:p w:rsidR="00604815" w:rsidRPr="0007490C" w:rsidRDefault="00604815" w:rsidP="004B315D">
            <w:pPr>
              <w:jc w:val="both"/>
              <w:rPr>
                <w:b/>
                <w:bCs/>
                <w:color w:val="000000" w:themeColor="text1"/>
              </w:rPr>
            </w:pPr>
            <w:r w:rsidRPr="0007490C">
              <w:rPr>
                <w:b/>
                <w:bCs/>
                <w:color w:val="000000" w:themeColor="text1"/>
              </w:rPr>
              <w:t>Particulars</w:t>
            </w:r>
          </w:p>
        </w:tc>
        <w:tc>
          <w:tcPr>
            <w:tcW w:w="680" w:type="pct"/>
            <w:shd w:val="clear" w:color="auto" w:fill="auto"/>
            <w:tcMar>
              <w:top w:w="75" w:type="dxa"/>
              <w:left w:w="75" w:type="dxa"/>
              <w:bottom w:w="75" w:type="dxa"/>
              <w:right w:w="75" w:type="dxa"/>
            </w:tcMar>
            <w:vAlign w:val="center"/>
          </w:tcPr>
          <w:p w:rsidR="00604815" w:rsidRPr="0007490C" w:rsidRDefault="00604815" w:rsidP="00AB25EB">
            <w:pPr>
              <w:jc w:val="both"/>
              <w:rPr>
                <w:b/>
                <w:color w:val="000000" w:themeColor="text1"/>
              </w:rPr>
            </w:pPr>
            <w:r w:rsidRPr="0007490C">
              <w:rPr>
                <w:b/>
                <w:color w:val="000000" w:themeColor="text1"/>
              </w:rPr>
              <w:t>Mar2023</w:t>
            </w:r>
          </w:p>
        </w:tc>
        <w:tc>
          <w:tcPr>
            <w:tcW w:w="736" w:type="pct"/>
            <w:shd w:val="clear" w:color="auto" w:fill="auto"/>
            <w:tcMar>
              <w:top w:w="45" w:type="dxa"/>
              <w:left w:w="120" w:type="dxa"/>
              <w:bottom w:w="45" w:type="dxa"/>
              <w:right w:w="30" w:type="dxa"/>
            </w:tcMar>
            <w:vAlign w:val="center"/>
          </w:tcPr>
          <w:p w:rsidR="00604815" w:rsidRPr="0007490C" w:rsidRDefault="00604815" w:rsidP="00AB25EB">
            <w:pPr>
              <w:jc w:val="both"/>
              <w:rPr>
                <w:b/>
                <w:color w:val="000000" w:themeColor="text1"/>
              </w:rPr>
            </w:pPr>
            <w:r w:rsidRPr="0007490C">
              <w:rPr>
                <w:b/>
                <w:color w:val="000000" w:themeColor="text1"/>
              </w:rPr>
              <w:t>Mar2022</w:t>
            </w:r>
          </w:p>
        </w:tc>
        <w:tc>
          <w:tcPr>
            <w:tcW w:w="722" w:type="pct"/>
            <w:shd w:val="clear" w:color="auto" w:fill="auto"/>
            <w:tcMar>
              <w:left w:w="120" w:type="dxa"/>
              <w:right w:w="30" w:type="dxa"/>
            </w:tcMar>
            <w:vAlign w:val="center"/>
          </w:tcPr>
          <w:p w:rsidR="00604815" w:rsidRPr="0007490C" w:rsidRDefault="00604815" w:rsidP="00AB25EB">
            <w:pPr>
              <w:jc w:val="both"/>
              <w:rPr>
                <w:b/>
                <w:color w:val="000000" w:themeColor="text1"/>
              </w:rPr>
            </w:pPr>
            <w:r w:rsidRPr="0007490C">
              <w:rPr>
                <w:b/>
                <w:color w:val="000000" w:themeColor="text1"/>
              </w:rPr>
              <w:t>Mar2021</w:t>
            </w:r>
          </w:p>
        </w:tc>
        <w:tc>
          <w:tcPr>
            <w:tcW w:w="726" w:type="pct"/>
            <w:shd w:val="clear" w:color="auto" w:fill="auto"/>
            <w:tcMar>
              <w:right w:w="30" w:type="dxa"/>
            </w:tcMar>
            <w:vAlign w:val="center"/>
          </w:tcPr>
          <w:p w:rsidR="00604815" w:rsidRPr="0007490C" w:rsidRDefault="00604815" w:rsidP="00AB25EB">
            <w:pPr>
              <w:jc w:val="both"/>
              <w:rPr>
                <w:b/>
                <w:color w:val="000000" w:themeColor="text1"/>
              </w:rPr>
            </w:pPr>
            <w:r w:rsidRPr="0007490C">
              <w:rPr>
                <w:b/>
                <w:color w:val="000000" w:themeColor="text1"/>
              </w:rPr>
              <w:t>Mar2020</w:t>
            </w:r>
          </w:p>
        </w:tc>
        <w:tc>
          <w:tcPr>
            <w:tcW w:w="684" w:type="pct"/>
            <w:shd w:val="clear" w:color="auto" w:fill="auto"/>
            <w:tcMar>
              <w:right w:w="30" w:type="dxa"/>
            </w:tcMar>
            <w:vAlign w:val="center"/>
          </w:tcPr>
          <w:p w:rsidR="00604815" w:rsidRPr="0007490C" w:rsidRDefault="00604815" w:rsidP="00AB25EB">
            <w:pPr>
              <w:jc w:val="both"/>
              <w:rPr>
                <w:b/>
                <w:color w:val="000000" w:themeColor="text1"/>
              </w:rPr>
            </w:pPr>
            <w:r w:rsidRPr="0007490C">
              <w:rPr>
                <w:b/>
                <w:color w:val="000000" w:themeColor="text1"/>
              </w:rPr>
              <w:t>Mar 2019</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Sales Turnover</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6645.00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6425.96</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6290.35</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4994.44</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3196.68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Other Income</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84.75</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45.03</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37.</w:t>
            </w:r>
            <w:r w:rsidR="005D43DD" w:rsidRPr="0007490C">
              <w:rPr>
                <w:color w:val="000000" w:themeColor="text1"/>
              </w:rPr>
              <w:t>17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27.51</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22.37</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Stock Adjustments</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9.96</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32.</w:t>
            </w:r>
            <w:r w:rsidR="005D43DD" w:rsidRPr="0007490C">
              <w:rPr>
                <w:color w:val="000000" w:themeColor="text1"/>
              </w:rPr>
              <w:t>17</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50.27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49.</w:t>
            </w:r>
            <w:r w:rsidR="005D43DD" w:rsidRPr="0007490C">
              <w:rPr>
                <w:color w:val="000000" w:themeColor="text1"/>
              </w:rPr>
              <w:t>18</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97.56</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lastRenderedPageBreak/>
              <w:t>Total Income</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6889.71</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6503.</w:t>
            </w:r>
            <w:r w:rsidR="005D43DD" w:rsidRPr="0007490C">
              <w:rPr>
                <w:color w:val="000000" w:themeColor="text1"/>
              </w:rPr>
              <w:t>16</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6377.69</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5</w:t>
            </w:r>
            <w:r w:rsidR="005D43DD" w:rsidRPr="0007490C">
              <w:rPr>
                <w:color w:val="000000" w:themeColor="text1"/>
              </w:rPr>
              <w:t>17</w:t>
            </w:r>
            <w:r w:rsidRPr="0007490C">
              <w:rPr>
                <w:color w:val="000000" w:themeColor="text1"/>
              </w:rPr>
              <w:t>1.</w:t>
            </w:r>
            <w:r w:rsidR="005D43DD" w:rsidRPr="0007490C">
              <w:rPr>
                <w:color w:val="000000" w:themeColor="text1"/>
              </w:rPr>
              <w:t>18</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33</w:t>
            </w:r>
            <w:r w:rsidR="005D43DD" w:rsidRPr="0007490C">
              <w:rPr>
                <w:color w:val="000000" w:themeColor="text1"/>
              </w:rPr>
              <w:t>19</w:t>
            </w:r>
            <w:r w:rsidRPr="0007490C">
              <w:rPr>
                <w:color w:val="000000" w:themeColor="text1"/>
              </w:rPr>
              <w:t>.61</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Raw Materials</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5290.75</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4950.52</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4873.79</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3471.66</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2262.88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Excise Duty</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619.33</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644.26</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655.51</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445.73</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281.28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Power &amp; Fuel Cost</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3.21</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2.62</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2.36</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2.02</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1.97</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Other Manufacturing Expenses</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2</w:t>
            </w:r>
            <w:r w:rsidR="005D43DD" w:rsidRPr="0007490C">
              <w:rPr>
                <w:color w:val="000000" w:themeColor="text1"/>
              </w:rPr>
              <w:t>19</w:t>
            </w:r>
            <w:r w:rsidRPr="0007490C">
              <w:rPr>
                <w:color w:val="000000" w:themeColor="text1"/>
              </w:rPr>
              <w:t>.</w:t>
            </w:r>
            <w:r w:rsidR="005D43DD" w:rsidRPr="0007490C">
              <w:rPr>
                <w:color w:val="000000" w:themeColor="text1"/>
              </w:rPr>
              <w:t>19</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221.21</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240.58</w:t>
            </w:r>
          </w:p>
        </w:tc>
        <w:tc>
          <w:tcPr>
            <w:tcW w:w="72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1.23</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77.99</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Employee Cost</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19</w:t>
            </w:r>
            <w:r w:rsidR="003E02C2" w:rsidRPr="0007490C">
              <w:rPr>
                <w:color w:val="000000" w:themeColor="text1"/>
              </w:rPr>
              <w:t>3.</w:t>
            </w:r>
            <w:r w:rsidRPr="0007490C">
              <w:rPr>
                <w:color w:val="000000" w:themeColor="text1"/>
              </w:rPr>
              <w:t>20</w:t>
            </w:r>
          </w:p>
        </w:tc>
        <w:tc>
          <w:tcPr>
            <w:tcW w:w="73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19</w:t>
            </w:r>
            <w:r w:rsidR="003E02C2" w:rsidRPr="0007490C">
              <w:rPr>
                <w:color w:val="000000" w:themeColor="text1"/>
              </w:rPr>
              <w:t>1.45</w:t>
            </w:r>
          </w:p>
        </w:tc>
        <w:tc>
          <w:tcPr>
            <w:tcW w:w="722"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16</w:t>
            </w:r>
            <w:r w:rsidR="0081111D" w:rsidRPr="0007490C">
              <w:rPr>
                <w:color w:val="000000" w:themeColor="text1"/>
              </w:rPr>
              <w:t>7</w:t>
            </w:r>
            <w:r w:rsidR="003E02C2" w:rsidRPr="0007490C">
              <w:rPr>
                <w:color w:val="000000" w:themeColor="text1"/>
              </w:rPr>
              <w:t>.95</w:t>
            </w:r>
          </w:p>
        </w:tc>
        <w:tc>
          <w:tcPr>
            <w:tcW w:w="72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3.98</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99.53</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Selling and Administration Expenses</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16</w:t>
            </w:r>
            <w:r w:rsidR="003E02C2" w:rsidRPr="0007490C">
              <w:rPr>
                <w:color w:val="000000" w:themeColor="text1"/>
              </w:rPr>
              <w:t>7.84</w:t>
            </w:r>
          </w:p>
        </w:tc>
        <w:tc>
          <w:tcPr>
            <w:tcW w:w="73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3.26</w:t>
            </w:r>
          </w:p>
        </w:tc>
        <w:tc>
          <w:tcPr>
            <w:tcW w:w="722"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0.64</w:t>
            </w:r>
          </w:p>
        </w:tc>
        <w:tc>
          <w:tcPr>
            <w:tcW w:w="72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5.39</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99.82</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Miscellaneous Expenses</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17</w:t>
            </w:r>
            <w:r w:rsidR="003E02C2" w:rsidRPr="0007490C">
              <w:rPr>
                <w:color w:val="000000" w:themeColor="text1"/>
              </w:rPr>
              <w:t>.29</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65.02</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7.64</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7.84</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w:t>
            </w:r>
            <w:r w:rsidR="005D43DD" w:rsidRPr="0007490C">
              <w:rPr>
                <w:color w:val="000000" w:themeColor="text1"/>
              </w:rPr>
              <w:t>19</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Less: Preoperative Expenditure Capitalized</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0.</w:t>
            </w:r>
            <w:r w:rsidR="005D43DD" w:rsidRPr="0007490C">
              <w:rPr>
                <w:color w:val="000000" w:themeColor="text1"/>
              </w:rPr>
              <w:t>20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Profit before Interest, Depreciation &amp; Tax</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489.</w:t>
            </w:r>
            <w:r w:rsidR="005D43DD" w:rsidRPr="0007490C">
              <w:rPr>
                <w:color w:val="000000" w:themeColor="text1"/>
              </w:rPr>
              <w:t>20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324.72</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w:t>
            </w:r>
            <w:r w:rsidR="005D43DD" w:rsidRPr="0007490C">
              <w:rPr>
                <w:color w:val="000000" w:themeColor="text1"/>
              </w:rPr>
              <w:t>19</w:t>
            </w:r>
            <w:r w:rsidRPr="0007490C">
              <w:rPr>
                <w:color w:val="000000" w:themeColor="text1"/>
              </w:rPr>
              <w:t>.22</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w:t>
            </w:r>
            <w:r w:rsidR="005D43DD" w:rsidRPr="0007490C">
              <w:rPr>
                <w:color w:val="000000" w:themeColor="text1"/>
              </w:rPr>
              <w:t>18</w:t>
            </w:r>
            <w:r w:rsidRPr="0007490C">
              <w:rPr>
                <w:color w:val="000000" w:themeColor="text1"/>
              </w:rPr>
              <w:t>.23</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485.98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Interest &amp; Financial Charges</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.45</w:t>
            </w:r>
          </w:p>
        </w:tc>
        <w:tc>
          <w:tcPr>
            <w:tcW w:w="73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18</w:t>
            </w:r>
            <w:r w:rsidR="003E02C2" w:rsidRPr="0007490C">
              <w:rPr>
                <w:color w:val="000000" w:themeColor="text1"/>
              </w:rPr>
              <w:t>.</w:t>
            </w:r>
            <w:r w:rsidRPr="0007490C">
              <w:rPr>
                <w:color w:val="000000" w:themeColor="text1"/>
              </w:rPr>
              <w:t>19</w:t>
            </w:r>
          </w:p>
        </w:tc>
        <w:tc>
          <w:tcPr>
            <w:tcW w:w="722"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w:t>
            </w:r>
            <w:r w:rsidRPr="0007490C">
              <w:rPr>
                <w:color w:val="000000" w:themeColor="text1"/>
              </w:rPr>
              <w:t>20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4.19</w:t>
            </w:r>
          </w:p>
        </w:tc>
        <w:tc>
          <w:tcPr>
            <w:tcW w:w="684"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.99</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Profit before Depreciation &amp; Tax</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478.70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w:t>
            </w:r>
            <w:r w:rsidR="005D43DD" w:rsidRPr="0007490C">
              <w:rPr>
                <w:color w:val="000000" w:themeColor="text1"/>
              </w:rPr>
              <w:t>16</w:t>
            </w:r>
            <w:r w:rsidRPr="0007490C">
              <w:rPr>
                <w:color w:val="000000" w:themeColor="text1"/>
              </w:rPr>
              <w:t>.58</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301.</w:t>
            </w:r>
            <w:r w:rsidR="005D43DD" w:rsidRPr="0007490C">
              <w:rPr>
                <w:color w:val="000000" w:themeColor="text1"/>
              </w:rPr>
              <w:t>17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w:t>
            </w:r>
            <w:r w:rsidR="005D43DD" w:rsidRPr="0007490C">
              <w:rPr>
                <w:color w:val="000000" w:themeColor="text1"/>
              </w:rPr>
              <w:t>19</w:t>
            </w:r>
            <w:r w:rsidRPr="0007490C">
              <w:rPr>
                <w:color w:val="000000" w:themeColor="text1"/>
              </w:rPr>
              <w:t>.04</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469.99</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Depreciation</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30.51</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36.38</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33.80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31.86</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30.</w:t>
            </w:r>
            <w:r w:rsidR="005D43DD" w:rsidRPr="0007490C">
              <w:rPr>
                <w:color w:val="000000" w:themeColor="text1"/>
              </w:rPr>
              <w:t>16</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Profit Before Tax</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448.19</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275.20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267.27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677.18</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439.88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Tax</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3.89</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90.22</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92.51</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198.88</w:t>
            </w:r>
          </w:p>
        </w:tc>
        <w:tc>
          <w:tcPr>
            <w:tcW w:w="684"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18</w:t>
            </w:r>
            <w:r w:rsidR="003E02C2" w:rsidRPr="0007490C">
              <w:rPr>
                <w:color w:val="000000" w:themeColor="text1"/>
              </w:rPr>
              <w:t>6.</w:t>
            </w:r>
            <w:r w:rsidRPr="0007490C">
              <w:rPr>
                <w:color w:val="000000" w:themeColor="text1"/>
              </w:rPr>
              <w:t>18</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Profit After Tax</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294.30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184.98</w:t>
            </w:r>
          </w:p>
        </w:tc>
        <w:tc>
          <w:tcPr>
            <w:tcW w:w="722"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4.76</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478.30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303.75</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Adjustment below Net Profit</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 &amp; L Balance brought forward</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Appropriations</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294.30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184.98</w:t>
            </w:r>
          </w:p>
        </w:tc>
        <w:tc>
          <w:tcPr>
            <w:tcW w:w="722"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4.76</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478.30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303.75</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 &amp; L Bal. carried down</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Equity Dividend</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99.91</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69.94</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53.95</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239.78</w:t>
            </w:r>
          </w:p>
        </w:tc>
        <w:tc>
          <w:tcPr>
            <w:tcW w:w="684"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20</w:t>
            </w:r>
            <w:r w:rsidR="003E02C2" w:rsidRPr="0007490C">
              <w:rPr>
                <w:color w:val="000000" w:themeColor="text1"/>
              </w:rPr>
              <w:t>3.86</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Preference Dividend</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Corporate Dividend Tax</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19</w:t>
            </w:r>
            <w:r w:rsidR="003E02C2" w:rsidRPr="0007490C">
              <w:rPr>
                <w:color w:val="000000" w:themeColor="text1"/>
              </w:rPr>
              <w:t>.98</w:t>
            </w:r>
          </w:p>
        </w:tc>
        <w:tc>
          <w:tcPr>
            <w:tcW w:w="73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16</w:t>
            </w:r>
            <w:r w:rsidR="003E02C2" w:rsidRPr="0007490C">
              <w:rPr>
                <w:color w:val="000000" w:themeColor="text1"/>
              </w:rPr>
              <w:t>.89</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7.57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32.74</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19.71</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Equity Dividend (%)</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50.00</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35.00</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27.00</w:t>
            </w:r>
          </w:p>
        </w:tc>
        <w:tc>
          <w:tcPr>
            <w:tcW w:w="726"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17</w:t>
            </w:r>
            <w:r w:rsidR="003E02C2"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77.00</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Earning Per Share (Rs.)</w:t>
            </w:r>
          </w:p>
        </w:tc>
        <w:tc>
          <w:tcPr>
            <w:tcW w:w="680" w:type="pct"/>
            <w:shd w:val="clear" w:color="auto" w:fill="auto"/>
            <w:tcMar>
              <w:top w:w="45" w:type="dxa"/>
              <w:left w:w="30" w:type="dxa"/>
              <w:bottom w:w="45" w:type="dxa"/>
              <w:right w:w="90" w:type="dxa"/>
            </w:tcMar>
            <w:vAlign w:val="center"/>
          </w:tcPr>
          <w:p w:rsidR="003E02C2" w:rsidRPr="0007490C" w:rsidRDefault="005D43DD" w:rsidP="004B315D">
            <w:pPr>
              <w:jc w:val="both"/>
              <w:rPr>
                <w:color w:val="000000" w:themeColor="text1"/>
              </w:rPr>
            </w:pPr>
            <w:r w:rsidRPr="0007490C">
              <w:rPr>
                <w:color w:val="000000" w:themeColor="text1"/>
              </w:rPr>
              <w:t>18</w:t>
            </w:r>
            <w:r w:rsidR="003E02C2" w:rsidRPr="0007490C">
              <w:rPr>
                <w:color w:val="000000" w:themeColor="text1"/>
              </w:rPr>
              <w:t>.88</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8.66</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8.37</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22.30</w:t>
            </w:r>
          </w:p>
        </w:tc>
        <w:tc>
          <w:tcPr>
            <w:tcW w:w="684" w:type="pct"/>
            <w:shd w:val="clear" w:color="auto" w:fill="auto"/>
            <w:tcMar>
              <w:top w:w="45" w:type="dxa"/>
              <w:left w:w="105" w:type="dxa"/>
              <w:bottom w:w="45" w:type="dxa"/>
              <w:right w:w="30" w:type="dxa"/>
            </w:tcMar>
            <w:vAlign w:val="center"/>
          </w:tcPr>
          <w:p w:rsidR="003E02C2" w:rsidRPr="0007490C" w:rsidRDefault="005D43DD" w:rsidP="004B315D">
            <w:pPr>
              <w:jc w:val="both"/>
              <w:rPr>
                <w:color w:val="000000" w:themeColor="text1"/>
              </w:rPr>
            </w:pPr>
            <w:r w:rsidRPr="0007490C">
              <w:rPr>
                <w:color w:val="000000" w:themeColor="text1"/>
              </w:rPr>
              <w:t>19</w:t>
            </w:r>
            <w:r w:rsidR="003E02C2" w:rsidRPr="0007490C">
              <w:rPr>
                <w:color w:val="000000" w:themeColor="text1"/>
              </w:rPr>
              <w:t>.21</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Book Value</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57.66</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48.78</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43.62</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37.95</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27.67</w:t>
            </w:r>
          </w:p>
        </w:tc>
      </w:tr>
      <w:tr w:rsidR="003E02C2" w:rsidRPr="0007490C" w:rsidTr="00AB69FC">
        <w:trPr>
          <w:trHeight w:val="146"/>
          <w:tblCellSpacing w:w="7" w:type="dxa"/>
        </w:trPr>
        <w:tc>
          <w:tcPr>
            <w:tcW w:w="140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Extraordinary Items</w:t>
            </w:r>
          </w:p>
        </w:tc>
        <w:tc>
          <w:tcPr>
            <w:tcW w:w="680" w:type="pct"/>
            <w:shd w:val="clear" w:color="auto" w:fill="auto"/>
            <w:tcMar>
              <w:top w:w="45" w:type="dxa"/>
              <w:left w:w="30" w:type="dxa"/>
              <w:bottom w:w="45" w:type="dxa"/>
              <w:right w:w="90" w:type="dxa"/>
            </w:tcMar>
            <w:vAlign w:val="center"/>
          </w:tcPr>
          <w:p w:rsidR="003E02C2" w:rsidRPr="0007490C" w:rsidRDefault="003E02C2" w:rsidP="004B315D">
            <w:pPr>
              <w:jc w:val="both"/>
              <w:rPr>
                <w:color w:val="000000" w:themeColor="text1"/>
              </w:rPr>
            </w:pPr>
            <w:r w:rsidRPr="0007490C">
              <w:rPr>
                <w:color w:val="000000" w:themeColor="text1"/>
              </w:rPr>
              <w:t>-1.28</w:t>
            </w:r>
          </w:p>
        </w:tc>
        <w:tc>
          <w:tcPr>
            <w:tcW w:w="73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-28.54</w:t>
            </w:r>
          </w:p>
        </w:tc>
        <w:tc>
          <w:tcPr>
            <w:tcW w:w="722"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726"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c>
          <w:tcPr>
            <w:tcW w:w="684" w:type="pct"/>
            <w:shd w:val="clear" w:color="auto" w:fill="auto"/>
            <w:tcMar>
              <w:top w:w="45" w:type="dxa"/>
              <w:left w:w="105" w:type="dxa"/>
              <w:bottom w:w="45" w:type="dxa"/>
              <w:right w:w="30" w:type="dxa"/>
            </w:tcMar>
            <w:vAlign w:val="center"/>
          </w:tcPr>
          <w:p w:rsidR="003E02C2" w:rsidRPr="0007490C" w:rsidRDefault="003E02C2" w:rsidP="004B315D">
            <w:pPr>
              <w:jc w:val="both"/>
              <w:rPr>
                <w:color w:val="000000" w:themeColor="text1"/>
              </w:rPr>
            </w:pPr>
            <w:r w:rsidRPr="0007490C">
              <w:rPr>
                <w:color w:val="000000" w:themeColor="text1"/>
              </w:rPr>
              <w:t>0.00</w:t>
            </w:r>
          </w:p>
        </w:tc>
      </w:tr>
    </w:tbl>
    <w:p w:rsidR="004B315D" w:rsidRPr="0007490C" w:rsidRDefault="004B315D" w:rsidP="003E02C2">
      <w:pPr>
        <w:spacing w:line="360" w:lineRule="auto"/>
        <w:jc w:val="both"/>
        <w:rPr>
          <w:b/>
          <w:color w:val="000000" w:themeColor="text1"/>
        </w:rPr>
      </w:pPr>
    </w:p>
    <w:p w:rsidR="003E02C2" w:rsidRPr="0007490C" w:rsidRDefault="003E02C2" w:rsidP="003E02C2">
      <w:pPr>
        <w:spacing w:line="360" w:lineRule="auto"/>
        <w:jc w:val="both"/>
        <w:rPr>
          <w:b/>
          <w:color w:val="000000" w:themeColor="text1"/>
        </w:rPr>
      </w:pPr>
      <w:r w:rsidRPr="0007490C">
        <w:rPr>
          <w:b/>
          <w:color w:val="000000" w:themeColor="text1"/>
        </w:rPr>
        <w:t xml:space="preserve">Balance sheet of </w:t>
      </w:r>
      <w:r w:rsidR="00F21E56" w:rsidRPr="0007490C">
        <w:rPr>
          <w:b/>
          <w:color w:val="000000" w:themeColor="text1"/>
        </w:rPr>
        <w:t>IIFL</w:t>
      </w:r>
      <w:r w:rsidRPr="0007490C">
        <w:rPr>
          <w:b/>
          <w:color w:val="000000" w:themeColor="text1"/>
        </w:rPr>
        <w:t xml:space="preserve"> from (20</w:t>
      </w:r>
      <w:r w:rsidR="00604815" w:rsidRPr="0007490C">
        <w:rPr>
          <w:b/>
          <w:color w:val="000000" w:themeColor="text1"/>
        </w:rPr>
        <w:t>19</w:t>
      </w:r>
      <w:r w:rsidRPr="0007490C">
        <w:rPr>
          <w:b/>
          <w:color w:val="000000" w:themeColor="text1"/>
        </w:rPr>
        <w:t>-20</w:t>
      </w:r>
      <w:r w:rsidR="00604815" w:rsidRPr="0007490C">
        <w:rPr>
          <w:b/>
          <w:color w:val="000000" w:themeColor="text1"/>
        </w:rPr>
        <w:t>23</w:t>
      </w:r>
      <w:r w:rsidRPr="0007490C">
        <w:rPr>
          <w:b/>
          <w:color w:val="000000" w:themeColor="text1"/>
        </w:rPr>
        <w:t xml:space="preserve">) </w:t>
      </w:r>
    </w:p>
    <w:p w:rsidR="003E02C2" w:rsidRPr="0007490C" w:rsidRDefault="003E02C2" w:rsidP="003E02C2">
      <w:pPr>
        <w:spacing w:line="360" w:lineRule="auto"/>
        <w:jc w:val="both"/>
        <w:rPr>
          <w:b/>
          <w:color w:val="000000" w:themeColor="text1"/>
        </w:rPr>
      </w:pPr>
      <w:r w:rsidRPr="0007490C">
        <w:rPr>
          <w:b/>
          <w:color w:val="000000" w:themeColor="text1"/>
        </w:rPr>
        <w:lastRenderedPageBreak/>
        <w:t>(Rs. in Crores)</w:t>
      </w:r>
    </w:p>
    <w:p w:rsidR="00050C5F" w:rsidRPr="0007490C" w:rsidRDefault="00050C5F" w:rsidP="00050C5F">
      <w:pPr>
        <w:spacing w:line="360" w:lineRule="auto"/>
        <w:jc w:val="both"/>
        <w:rPr>
          <w:b/>
          <w:color w:val="000000" w:themeColor="text1"/>
        </w:rPr>
      </w:pPr>
      <w:r w:rsidRPr="0007490C">
        <w:rPr>
          <w:b/>
          <w:color w:val="000000" w:themeColor="text1"/>
        </w:rPr>
        <w:t>TABLE NO 4.4</w:t>
      </w:r>
    </w:p>
    <w:tbl>
      <w:tblPr>
        <w:tblW w:w="5555" w:type="pct"/>
        <w:tblCellSpacing w:w="7" w:type="dxa"/>
        <w:tblInd w:w="-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30" w:type="dxa"/>
          <w:bottom w:w="60" w:type="dxa"/>
          <w:right w:w="30" w:type="dxa"/>
        </w:tblCellMar>
        <w:tblLook w:val="04A0"/>
      </w:tblPr>
      <w:tblGrid>
        <w:gridCol w:w="3473"/>
        <w:gridCol w:w="1257"/>
        <w:gridCol w:w="1257"/>
        <w:gridCol w:w="1301"/>
        <w:gridCol w:w="1225"/>
        <w:gridCol w:w="836"/>
      </w:tblGrid>
      <w:tr w:rsidR="00604815" w:rsidRPr="0007490C" w:rsidTr="00050C5F">
        <w:trPr>
          <w:tblCellSpacing w:w="7" w:type="dxa"/>
        </w:trPr>
        <w:tc>
          <w:tcPr>
            <w:tcW w:w="1867" w:type="pct"/>
            <w:shd w:val="clear" w:color="auto" w:fill="auto"/>
            <w:tcMar>
              <w:right w:w="30" w:type="dxa"/>
            </w:tcMar>
            <w:vAlign w:val="center"/>
          </w:tcPr>
          <w:p w:rsidR="00604815" w:rsidRPr="0007490C" w:rsidRDefault="00604815" w:rsidP="003861F3">
            <w:pPr>
              <w:spacing w:line="360" w:lineRule="auto"/>
              <w:jc w:val="both"/>
              <w:rPr>
                <w:b/>
                <w:bCs/>
                <w:color w:val="000000" w:themeColor="text1"/>
              </w:rPr>
            </w:pPr>
            <w:r w:rsidRPr="0007490C">
              <w:rPr>
                <w:b/>
                <w:bCs/>
                <w:color w:val="000000" w:themeColor="text1"/>
              </w:rPr>
              <w:t>Particulars</w:t>
            </w:r>
          </w:p>
        </w:tc>
        <w:tc>
          <w:tcPr>
            <w:tcW w:w="673" w:type="pct"/>
            <w:shd w:val="clear" w:color="auto" w:fill="auto"/>
            <w:tcMar>
              <w:top w:w="75" w:type="dxa"/>
              <w:left w:w="75" w:type="dxa"/>
              <w:bottom w:w="75" w:type="dxa"/>
              <w:right w:w="75" w:type="dxa"/>
            </w:tcMar>
            <w:vAlign w:val="center"/>
          </w:tcPr>
          <w:p w:rsidR="00604815" w:rsidRPr="0007490C" w:rsidRDefault="00604815" w:rsidP="00AB25EB">
            <w:pPr>
              <w:jc w:val="both"/>
              <w:rPr>
                <w:b/>
                <w:color w:val="000000" w:themeColor="text1"/>
              </w:rPr>
            </w:pPr>
            <w:r w:rsidRPr="0007490C">
              <w:rPr>
                <w:b/>
                <w:color w:val="000000" w:themeColor="text1"/>
              </w:rPr>
              <w:t>Mar2023</w:t>
            </w:r>
          </w:p>
        </w:tc>
        <w:tc>
          <w:tcPr>
            <w:tcW w:w="673" w:type="pct"/>
            <w:shd w:val="clear" w:color="auto" w:fill="auto"/>
            <w:tcMar>
              <w:top w:w="45" w:type="dxa"/>
              <w:left w:w="120" w:type="dxa"/>
              <w:bottom w:w="45" w:type="dxa"/>
              <w:right w:w="30" w:type="dxa"/>
            </w:tcMar>
            <w:vAlign w:val="center"/>
          </w:tcPr>
          <w:p w:rsidR="00604815" w:rsidRPr="0007490C" w:rsidRDefault="00604815" w:rsidP="00AB25EB">
            <w:pPr>
              <w:jc w:val="both"/>
              <w:rPr>
                <w:b/>
                <w:color w:val="000000" w:themeColor="text1"/>
              </w:rPr>
            </w:pPr>
            <w:r w:rsidRPr="0007490C">
              <w:rPr>
                <w:b/>
                <w:color w:val="000000" w:themeColor="text1"/>
              </w:rPr>
              <w:t>Mar2022</w:t>
            </w:r>
          </w:p>
        </w:tc>
        <w:tc>
          <w:tcPr>
            <w:tcW w:w="0" w:type="auto"/>
            <w:shd w:val="clear" w:color="auto" w:fill="auto"/>
            <w:tcMar>
              <w:left w:w="120" w:type="dxa"/>
              <w:right w:w="30" w:type="dxa"/>
            </w:tcMar>
            <w:vAlign w:val="center"/>
          </w:tcPr>
          <w:p w:rsidR="00604815" w:rsidRPr="0007490C" w:rsidRDefault="00604815" w:rsidP="00AB25EB">
            <w:pPr>
              <w:jc w:val="both"/>
              <w:rPr>
                <w:b/>
                <w:color w:val="000000" w:themeColor="text1"/>
              </w:rPr>
            </w:pPr>
            <w:r w:rsidRPr="0007490C">
              <w:rPr>
                <w:b/>
                <w:color w:val="000000" w:themeColor="text1"/>
              </w:rPr>
              <w:t>Mar2021</w:t>
            </w:r>
          </w:p>
        </w:tc>
        <w:tc>
          <w:tcPr>
            <w:tcW w:w="0" w:type="auto"/>
            <w:shd w:val="clear" w:color="auto" w:fill="auto"/>
            <w:tcMar>
              <w:right w:w="30" w:type="dxa"/>
            </w:tcMar>
            <w:vAlign w:val="center"/>
          </w:tcPr>
          <w:p w:rsidR="00604815" w:rsidRPr="0007490C" w:rsidRDefault="00604815" w:rsidP="00AB25EB">
            <w:pPr>
              <w:jc w:val="both"/>
              <w:rPr>
                <w:b/>
                <w:color w:val="000000" w:themeColor="text1"/>
              </w:rPr>
            </w:pPr>
            <w:r w:rsidRPr="0007490C">
              <w:rPr>
                <w:b/>
                <w:color w:val="000000" w:themeColor="text1"/>
              </w:rPr>
              <w:t>Mar2020</w:t>
            </w:r>
          </w:p>
        </w:tc>
        <w:tc>
          <w:tcPr>
            <w:tcW w:w="436" w:type="pct"/>
            <w:shd w:val="clear" w:color="auto" w:fill="auto"/>
            <w:tcMar>
              <w:right w:w="30" w:type="dxa"/>
            </w:tcMar>
            <w:vAlign w:val="center"/>
          </w:tcPr>
          <w:p w:rsidR="00604815" w:rsidRPr="0007490C" w:rsidRDefault="00604815" w:rsidP="00AB25EB">
            <w:pPr>
              <w:jc w:val="both"/>
              <w:rPr>
                <w:b/>
                <w:color w:val="000000" w:themeColor="text1"/>
              </w:rPr>
            </w:pPr>
            <w:r w:rsidRPr="0007490C">
              <w:rPr>
                <w:b/>
                <w:color w:val="000000" w:themeColor="text1"/>
              </w:rPr>
              <w:t>Mar 2019</w:t>
            </w:r>
          </w:p>
        </w:tc>
      </w:tr>
      <w:tr w:rsidR="003E02C2" w:rsidRPr="0007490C" w:rsidTr="00050C5F">
        <w:trPr>
          <w:tblCellSpacing w:w="7" w:type="dxa"/>
        </w:trPr>
        <w:tc>
          <w:tcPr>
            <w:tcW w:w="3909" w:type="pct"/>
            <w:gridSpan w:val="4"/>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b/>
                <w:bCs/>
                <w:color w:val="000000" w:themeColor="text1"/>
              </w:rPr>
              <w:t>Sources of Funds :</w:t>
            </w:r>
          </w:p>
        </w:tc>
        <w:tc>
          <w:tcPr>
            <w:tcW w:w="0" w:type="auto"/>
            <w:shd w:val="clear" w:color="auto" w:fill="auto"/>
            <w:vAlign w:val="center"/>
          </w:tcPr>
          <w:p w:rsidR="003E02C2" w:rsidRPr="0007490C" w:rsidRDefault="003E02C2" w:rsidP="003861F3">
            <w:pPr>
              <w:spacing w:line="360" w:lineRule="auto"/>
              <w:jc w:val="both"/>
              <w:rPr>
                <w:color w:val="000000" w:themeColor="text1"/>
              </w:rPr>
            </w:pPr>
          </w:p>
        </w:tc>
        <w:tc>
          <w:tcPr>
            <w:tcW w:w="436" w:type="pct"/>
            <w:shd w:val="clear" w:color="auto" w:fill="auto"/>
            <w:vAlign w:val="center"/>
          </w:tcPr>
          <w:p w:rsidR="003E02C2" w:rsidRPr="0007490C" w:rsidRDefault="003E02C2" w:rsidP="003861F3">
            <w:pPr>
              <w:spacing w:line="360" w:lineRule="auto"/>
              <w:jc w:val="both"/>
              <w:rPr>
                <w:color w:val="000000" w:themeColor="text1"/>
              </w:rPr>
            </w:pP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Share Capital</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199.82</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199.82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199.82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199.82</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199.82</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Reserves &amp; Surplus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952.39</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774.97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671.82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558.58</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353.</w:t>
            </w:r>
            <w:r w:rsidR="005D43DD" w:rsidRPr="0007490C">
              <w:rPr>
                <w:color w:val="000000" w:themeColor="text1"/>
              </w:rPr>
              <w:t>17</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Total Shareholders Funds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16</w:t>
            </w:r>
            <w:r w:rsidR="0081111D" w:rsidRPr="0007490C">
              <w:rPr>
                <w:color w:val="000000" w:themeColor="text1"/>
              </w:rPr>
              <w:t>7</w:t>
            </w:r>
            <w:r w:rsidR="003E02C2" w:rsidRPr="0007490C">
              <w:rPr>
                <w:color w:val="000000" w:themeColor="text1"/>
              </w:rPr>
              <w:t>2.21</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974.79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871.64</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758.40</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552.94</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Secured Loans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w:t>
            </w:r>
            <w:r w:rsidR="005D43DD" w:rsidRPr="0007490C">
              <w:rPr>
                <w:color w:val="000000" w:themeColor="text1"/>
              </w:rPr>
              <w:t>18</w:t>
            </w:r>
            <w:r w:rsidRPr="0007490C">
              <w:rPr>
                <w:color w:val="000000" w:themeColor="text1"/>
              </w:rPr>
              <w:t>.</w:t>
            </w:r>
            <w:r w:rsidR="005D43DD" w:rsidRPr="0007490C">
              <w:rPr>
                <w:color w:val="000000" w:themeColor="text1"/>
              </w:rPr>
              <w:t>20</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4.67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87.29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62.46</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25.96</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Unsecured Loans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44.85</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Total Debt</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w:t>
            </w:r>
            <w:r w:rsidR="005D43DD" w:rsidRPr="0007490C">
              <w:rPr>
                <w:color w:val="000000" w:themeColor="text1"/>
              </w:rPr>
              <w:t>18</w:t>
            </w:r>
            <w:r w:rsidRPr="0007490C">
              <w:rPr>
                <w:color w:val="000000" w:themeColor="text1"/>
              </w:rPr>
              <w:t>.</w:t>
            </w:r>
            <w:r w:rsidR="005D43DD" w:rsidRPr="0007490C">
              <w:rPr>
                <w:color w:val="000000" w:themeColor="text1"/>
              </w:rPr>
              <w:t>20</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4.67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87.29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62.46</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70.81</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Total Liabilities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60.36</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79.46</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958.93</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820.86</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623.75</w:t>
            </w:r>
          </w:p>
        </w:tc>
      </w:tr>
      <w:tr w:rsidR="003E02C2" w:rsidRPr="0007490C" w:rsidTr="00050C5F">
        <w:trPr>
          <w:tblCellSpacing w:w="7" w:type="dxa"/>
        </w:trPr>
        <w:tc>
          <w:tcPr>
            <w:tcW w:w="3909" w:type="pct"/>
            <w:gridSpan w:val="4"/>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b/>
                <w:bCs/>
                <w:color w:val="000000" w:themeColor="text1"/>
              </w:rPr>
              <w:t>Application of Funds  :</w:t>
            </w:r>
          </w:p>
        </w:tc>
        <w:tc>
          <w:tcPr>
            <w:tcW w:w="0" w:type="auto"/>
            <w:shd w:val="clear" w:color="auto" w:fill="auto"/>
            <w:vAlign w:val="center"/>
          </w:tcPr>
          <w:p w:rsidR="003E02C2" w:rsidRPr="0007490C" w:rsidRDefault="003E02C2" w:rsidP="003861F3">
            <w:pPr>
              <w:spacing w:line="360" w:lineRule="auto"/>
              <w:jc w:val="both"/>
              <w:rPr>
                <w:color w:val="000000" w:themeColor="text1"/>
              </w:rPr>
            </w:pPr>
          </w:p>
        </w:tc>
        <w:tc>
          <w:tcPr>
            <w:tcW w:w="436" w:type="pct"/>
            <w:shd w:val="clear" w:color="auto" w:fill="auto"/>
            <w:vAlign w:val="center"/>
          </w:tcPr>
          <w:p w:rsidR="003E02C2" w:rsidRPr="0007490C" w:rsidRDefault="003E02C2" w:rsidP="003861F3">
            <w:pPr>
              <w:spacing w:line="360" w:lineRule="auto"/>
              <w:jc w:val="both"/>
              <w:rPr>
                <w:color w:val="000000" w:themeColor="text1"/>
              </w:rPr>
            </w:pP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Gross Block</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33.43</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2019</w:t>
            </w:r>
            <w:r w:rsidR="003E02C2" w:rsidRPr="0007490C">
              <w:rPr>
                <w:color w:val="000000" w:themeColor="text1"/>
              </w:rPr>
              <w:t>.57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962.61</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940.65</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927.49</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Less: Accum. Depreciation</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701.46</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681.48</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590.58</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558.</w:t>
            </w:r>
            <w:r w:rsidR="005D43DD" w:rsidRPr="0007490C">
              <w:rPr>
                <w:color w:val="000000" w:themeColor="text1"/>
              </w:rPr>
              <w:t>20</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525.90</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Net Block</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331.97</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333.</w:t>
            </w:r>
            <w:r w:rsidR="005D43DD" w:rsidRPr="0007490C">
              <w:rPr>
                <w:color w:val="000000" w:themeColor="text1"/>
              </w:rPr>
              <w:t>19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372.03</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382.55</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401.59</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Capital Work in Progress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w:t>
            </w:r>
            <w:r w:rsidR="005D43DD" w:rsidRPr="0007490C">
              <w:rPr>
                <w:color w:val="000000" w:themeColor="text1"/>
              </w:rPr>
              <w:t>20</w:t>
            </w:r>
            <w:r w:rsidRPr="0007490C">
              <w:rPr>
                <w:color w:val="000000" w:themeColor="text1"/>
              </w:rPr>
              <w:t>.</w:t>
            </w:r>
            <w:r w:rsidR="005D43DD" w:rsidRPr="0007490C">
              <w:rPr>
                <w:color w:val="000000" w:themeColor="text1"/>
              </w:rPr>
              <w:t>20</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5.39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61.39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37.34</w:t>
            </w:r>
          </w:p>
        </w:tc>
        <w:tc>
          <w:tcPr>
            <w:tcW w:w="436"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17</w:t>
            </w:r>
            <w:r w:rsidR="003E02C2" w:rsidRPr="0007490C">
              <w:rPr>
                <w:color w:val="000000" w:themeColor="text1"/>
              </w:rPr>
              <w:t>.29</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Investments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77.02</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78.57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78.49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66.83</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66.</w:t>
            </w:r>
            <w:r w:rsidR="005D43DD" w:rsidRPr="0007490C">
              <w:rPr>
                <w:color w:val="000000" w:themeColor="text1"/>
              </w:rPr>
              <w:t>19</w:t>
            </w:r>
          </w:p>
        </w:tc>
      </w:tr>
      <w:tr w:rsidR="003E02C2" w:rsidRPr="0007490C" w:rsidTr="00050C5F">
        <w:trPr>
          <w:tblCellSpacing w:w="7" w:type="dxa"/>
        </w:trPr>
        <w:tc>
          <w:tcPr>
            <w:tcW w:w="3909" w:type="pct"/>
            <w:gridSpan w:val="4"/>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b/>
                <w:bCs/>
                <w:color w:val="000000" w:themeColor="text1"/>
              </w:rPr>
              <w:t>Current Assets, Loans &amp; Advances :</w:t>
            </w:r>
          </w:p>
        </w:tc>
        <w:tc>
          <w:tcPr>
            <w:tcW w:w="0" w:type="auto"/>
            <w:shd w:val="clear" w:color="auto" w:fill="auto"/>
            <w:vAlign w:val="center"/>
          </w:tcPr>
          <w:p w:rsidR="003E02C2" w:rsidRPr="0007490C" w:rsidRDefault="003E02C2" w:rsidP="003861F3">
            <w:pPr>
              <w:spacing w:line="360" w:lineRule="auto"/>
              <w:jc w:val="both"/>
              <w:rPr>
                <w:color w:val="000000" w:themeColor="text1"/>
              </w:rPr>
            </w:pPr>
          </w:p>
        </w:tc>
        <w:tc>
          <w:tcPr>
            <w:tcW w:w="436" w:type="pct"/>
            <w:shd w:val="clear" w:color="auto" w:fill="auto"/>
            <w:vAlign w:val="center"/>
          </w:tcPr>
          <w:p w:rsidR="003E02C2" w:rsidRPr="0007490C" w:rsidRDefault="003E02C2" w:rsidP="003861F3">
            <w:pPr>
              <w:spacing w:line="360" w:lineRule="auto"/>
              <w:jc w:val="both"/>
              <w:rPr>
                <w:color w:val="000000" w:themeColor="text1"/>
              </w:rPr>
            </w:pP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Inventories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1620</w:t>
            </w:r>
            <w:r w:rsidR="003E02C2" w:rsidRPr="0007490C">
              <w:rPr>
                <w:color w:val="000000" w:themeColor="text1"/>
              </w:rPr>
              <w:t>.31</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719.29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722.82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724.37</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471.26</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Sundry Debtors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387.25</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229.79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247.66</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4.29</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90.</w:t>
            </w:r>
            <w:r w:rsidR="005D43DD" w:rsidRPr="0007490C">
              <w:rPr>
                <w:color w:val="000000" w:themeColor="text1"/>
              </w:rPr>
              <w:t>19</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Cash and Bank Balance</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2.23</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1.</w:t>
            </w:r>
            <w:r w:rsidR="005D43DD" w:rsidRPr="0007490C">
              <w:rPr>
                <w:color w:val="000000" w:themeColor="text1"/>
              </w:rPr>
              <w:t>19</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w:t>
            </w:r>
            <w:r w:rsidR="005D43DD" w:rsidRPr="0007490C">
              <w:rPr>
                <w:color w:val="000000" w:themeColor="text1"/>
              </w:rPr>
              <w:t>20</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53.40</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2.79</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Loans and Advances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587.35</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683.41</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560.90</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473.33</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266.53</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Total Current Assets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w:t>
            </w:r>
            <w:r w:rsidR="005D43DD" w:rsidRPr="0007490C">
              <w:rPr>
                <w:color w:val="000000" w:themeColor="text1"/>
              </w:rPr>
              <w:t>19</w:t>
            </w:r>
            <w:r w:rsidRPr="0007490C">
              <w:rPr>
                <w:color w:val="000000" w:themeColor="text1"/>
              </w:rPr>
              <w:t>4.</w:t>
            </w:r>
            <w:r w:rsidR="005D43DD" w:rsidRPr="0007490C">
              <w:rPr>
                <w:color w:val="000000" w:themeColor="text1"/>
              </w:rPr>
              <w:t>19</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33.65</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34.55</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25.39</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830.72</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Current Liabilities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919.73</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553.02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586.37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598.26</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427.62</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Provisions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538.</w:t>
            </w:r>
            <w:r w:rsidR="005D43DD" w:rsidRPr="0007490C">
              <w:rPr>
                <w:color w:val="000000" w:themeColor="text1"/>
              </w:rPr>
              <w:t>19</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558.22</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501.41</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493.49</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262.26</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lastRenderedPageBreak/>
              <w:t>Total Current Liabilities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57.87</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1616</w:t>
            </w:r>
            <w:r w:rsidR="003E02C2" w:rsidRPr="0007490C">
              <w:rPr>
                <w:color w:val="000000" w:themeColor="text1"/>
              </w:rPr>
              <w:t>.24</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87.78</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91.75</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689.88</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Net Current Assets</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636.27</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522.41</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446.77</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333.64</w:t>
            </w:r>
          </w:p>
        </w:tc>
        <w:tc>
          <w:tcPr>
            <w:tcW w:w="436"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0.84</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Miscellaneous Expenses not w/o</w:t>
            </w:r>
          </w:p>
        </w:tc>
        <w:tc>
          <w:tcPr>
            <w:tcW w:w="673" w:type="pct"/>
            <w:shd w:val="clear" w:color="auto" w:fill="auto"/>
            <w:tcMar>
              <w:top w:w="45" w:type="dxa"/>
              <w:left w:w="30" w:type="dxa"/>
              <w:bottom w:w="45" w:type="dxa"/>
              <w:right w:w="9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673"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0.00</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0.25</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0.50</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2.87</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Total Assets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60.36</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79.46</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958.93</w:t>
            </w:r>
          </w:p>
        </w:tc>
        <w:tc>
          <w:tcPr>
            <w:tcW w:w="0" w:type="auto"/>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820.86</w:t>
            </w:r>
          </w:p>
        </w:tc>
        <w:tc>
          <w:tcPr>
            <w:tcW w:w="436"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623.75</w:t>
            </w:r>
          </w:p>
        </w:tc>
      </w:tr>
      <w:tr w:rsidR="003E02C2" w:rsidRPr="0007490C" w:rsidTr="00050C5F">
        <w:trPr>
          <w:tblCellSpacing w:w="7" w:type="dxa"/>
        </w:trPr>
        <w:tc>
          <w:tcPr>
            <w:tcW w:w="1867" w:type="pct"/>
            <w:shd w:val="clear" w:color="auto" w:fill="auto"/>
            <w:tcMar>
              <w:top w:w="45" w:type="dxa"/>
              <w:left w:w="105" w:type="dxa"/>
              <w:bottom w:w="45" w:type="dxa"/>
              <w:right w:w="30" w:type="dxa"/>
            </w:tcMar>
            <w:vAlign w:val="center"/>
          </w:tcPr>
          <w:p w:rsidR="003E02C2" w:rsidRPr="0007490C" w:rsidRDefault="003E02C2" w:rsidP="003861F3">
            <w:pPr>
              <w:spacing w:line="360" w:lineRule="auto"/>
              <w:jc w:val="both"/>
              <w:rPr>
                <w:color w:val="000000" w:themeColor="text1"/>
              </w:rPr>
            </w:pPr>
            <w:r w:rsidRPr="0007490C">
              <w:rPr>
                <w:color w:val="000000" w:themeColor="text1"/>
              </w:rPr>
              <w:t>Contingent Liabilities</w:t>
            </w:r>
          </w:p>
        </w:tc>
        <w:tc>
          <w:tcPr>
            <w:tcW w:w="673" w:type="pct"/>
            <w:shd w:val="clear" w:color="auto" w:fill="auto"/>
            <w:tcMar>
              <w:top w:w="45" w:type="dxa"/>
              <w:left w:w="30" w:type="dxa"/>
              <w:bottom w:w="45" w:type="dxa"/>
              <w:right w:w="9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18</w:t>
            </w:r>
            <w:r w:rsidR="003E02C2" w:rsidRPr="0007490C">
              <w:rPr>
                <w:color w:val="000000" w:themeColor="text1"/>
              </w:rPr>
              <w:t>1.50</w:t>
            </w:r>
          </w:p>
        </w:tc>
        <w:tc>
          <w:tcPr>
            <w:tcW w:w="673"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16</w:t>
            </w:r>
            <w:r w:rsidR="003E02C2" w:rsidRPr="0007490C">
              <w:rPr>
                <w:color w:val="000000" w:themeColor="text1"/>
              </w:rPr>
              <w:t>1.81</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17</w:t>
            </w:r>
            <w:r w:rsidR="003E02C2" w:rsidRPr="0007490C">
              <w:rPr>
                <w:color w:val="000000" w:themeColor="text1"/>
              </w:rPr>
              <w:t>2.95</w:t>
            </w:r>
          </w:p>
        </w:tc>
        <w:tc>
          <w:tcPr>
            <w:tcW w:w="0" w:type="auto"/>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20</w:t>
            </w:r>
            <w:r w:rsidR="003E02C2" w:rsidRPr="0007490C">
              <w:rPr>
                <w:color w:val="000000" w:themeColor="text1"/>
              </w:rPr>
              <w:t>5.39</w:t>
            </w:r>
          </w:p>
        </w:tc>
        <w:tc>
          <w:tcPr>
            <w:tcW w:w="436" w:type="pct"/>
            <w:shd w:val="clear" w:color="auto" w:fill="auto"/>
            <w:tcMar>
              <w:top w:w="45" w:type="dxa"/>
              <w:left w:w="105" w:type="dxa"/>
              <w:bottom w:w="45" w:type="dxa"/>
              <w:right w:w="30" w:type="dxa"/>
            </w:tcMar>
            <w:vAlign w:val="center"/>
          </w:tcPr>
          <w:p w:rsidR="003E02C2" w:rsidRPr="0007490C" w:rsidRDefault="005D43DD" w:rsidP="003861F3">
            <w:pPr>
              <w:spacing w:line="360" w:lineRule="auto"/>
              <w:jc w:val="both"/>
              <w:rPr>
                <w:color w:val="000000" w:themeColor="text1"/>
              </w:rPr>
            </w:pPr>
            <w:r w:rsidRPr="0007490C">
              <w:rPr>
                <w:color w:val="000000" w:themeColor="text1"/>
              </w:rPr>
              <w:t>19</w:t>
            </w:r>
            <w:r w:rsidR="003E02C2" w:rsidRPr="0007490C">
              <w:rPr>
                <w:color w:val="000000" w:themeColor="text1"/>
              </w:rPr>
              <w:t>8.67</w:t>
            </w:r>
          </w:p>
        </w:tc>
      </w:tr>
    </w:tbl>
    <w:p w:rsidR="003E02C2" w:rsidRPr="0007490C" w:rsidRDefault="003E02C2" w:rsidP="00F12B93">
      <w:pPr>
        <w:spacing w:line="360" w:lineRule="auto"/>
        <w:jc w:val="both"/>
        <w:rPr>
          <w:b/>
          <w:color w:val="000000" w:themeColor="text1"/>
        </w:rPr>
      </w:pPr>
    </w:p>
    <w:p w:rsidR="0028284F" w:rsidRPr="0007490C" w:rsidRDefault="0028284F" w:rsidP="00F12B93">
      <w:pPr>
        <w:spacing w:line="360" w:lineRule="auto"/>
        <w:jc w:val="both"/>
        <w:rPr>
          <w:b/>
          <w:color w:val="000000" w:themeColor="text1"/>
        </w:rPr>
      </w:pPr>
      <w:r w:rsidRPr="0007490C">
        <w:rPr>
          <w:b/>
          <w:color w:val="000000" w:themeColor="text1"/>
        </w:rPr>
        <w:t>Analysis:</w:t>
      </w:r>
    </w:p>
    <w:p w:rsidR="0028284F" w:rsidRPr="0007490C" w:rsidRDefault="0028284F" w:rsidP="00F12B93">
      <w:pPr>
        <w:spacing w:line="360" w:lineRule="auto"/>
        <w:jc w:val="both"/>
        <w:rPr>
          <w:color w:val="000000" w:themeColor="text1"/>
        </w:rPr>
      </w:pPr>
      <w:r w:rsidRPr="0007490C">
        <w:rPr>
          <w:color w:val="000000" w:themeColor="text1"/>
        </w:rPr>
        <w:t xml:space="preserve">The swap ratio was 4:37 i.e 37 shares of </w:t>
      </w:r>
      <w:r w:rsidR="00F21E56" w:rsidRPr="0007490C">
        <w:rPr>
          <w:color w:val="000000" w:themeColor="text1"/>
        </w:rPr>
        <w:t>IIFL</w:t>
      </w:r>
      <w:r w:rsidRPr="0007490C">
        <w:rPr>
          <w:color w:val="000000" w:themeColor="text1"/>
        </w:rPr>
        <w:t xml:space="preserve"> gets 4 shares of </w:t>
      </w:r>
      <w:r w:rsidR="00F21E56" w:rsidRPr="0007490C">
        <w:rPr>
          <w:color w:val="000000" w:themeColor="text1"/>
        </w:rPr>
        <w:t>IIFL</w:t>
      </w:r>
      <w:r w:rsidRPr="0007490C">
        <w:rPr>
          <w:color w:val="000000" w:themeColor="text1"/>
        </w:rPr>
        <w:t xml:space="preserve"> on March 25</w:t>
      </w:r>
      <w:r w:rsidRPr="0007490C">
        <w:rPr>
          <w:color w:val="000000" w:themeColor="text1"/>
          <w:vertAlign w:val="superscript"/>
        </w:rPr>
        <w:t>th</w:t>
      </w:r>
    </w:p>
    <w:p w:rsidR="0028284F" w:rsidRPr="0007490C" w:rsidRDefault="00C81B74" w:rsidP="00F12B93">
      <w:pPr>
        <w:spacing w:line="360" w:lineRule="auto"/>
        <w:jc w:val="both"/>
        <w:rPr>
          <w:b/>
          <w:color w:val="000000" w:themeColor="text1"/>
        </w:rPr>
      </w:pPr>
      <w:r w:rsidRPr="0007490C">
        <w:rPr>
          <w:b/>
          <w:color w:val="000000" w:themeColor="text1"/>
        </w:rPr>
        <w:t>Market Price :</w:t>
      </w:r>
    </w:p>
    <w:p w:rsidR="0028284F" w:rsidRPr="0007490C" w:rsidRDefault="0028284F" w:rsidP="00F12B93">
      <w:pPr>
        <w:spacing w:line="360" w:lineRule="auto"/>
        <w:jc w:val="both"/>
        <w:rPr>
          <w:color w:val="000000" w:themeColor="text1"/>
        </w:rPr>
      </w:pPr>
      <w:r w:rsidRPr="0007490C">
        <w:rPr>
          <w:color w:val="000000" w:themeColor="text1"/>
        </w:rPr>
        <w:t xml:space="preserve">The price of </w:t>
      </w:r>
      <w:r w:rsidR="00F21E56" w:rsidRPr="0007490C">
        <w:rPr>
          <w:color w:val="000000" w:themeColor="text1"/>
        </w:rPr>
        <w:t>IIFL</w:t>
      </w:r>
      <w:r w:rsidR="006B00E0" w:rsidRPr="0007490C">
        <w:rPr>
          <w:color w:val="000000" w:themeColor="text1"/>
        </w:rPr>
        <w:t>:</w:t>
      </w:r>
      <w:r w:rsidR="005B1EFC" w:rsidRPr="0007490C">
        <w:rPr>
          <w:color w:val="000000" w:themeColor="text1"/>
        </w:rPr>
        <w:t xml:space="preserve"> Rs.</w:t>
      </w:r>
      <w:r w:rsidRPr="0007490C">
        <w:rPr>
          <w:color w:val="000000" w:themeColor="text1"/>
        </w:rPr>
        <w:t>45</w:t>
      </w:r>
    </w:p>
    <w:p w:rsidR="0028284F" w:rsidRPr="0007490C" w:rsidRDefault="0028284F" w:rsidP="00F12B93">
      <w:pPr>
        <w:spacing w:line="360" w:lineRule="auto"/>
        <w:jc w:val="both"/>
        <w:rPr>
          <w:color w:val="000000" w:themeColor="text1"/>
        </w:rPr>
      </w:pPr>
      <w:r w:rsidRPr="0007490C">
        <w:rPr>
          <w:color w:val="000000" w:themeColor="text1"/>
        </w:rPr>
        <w:t xml:space="preserve">The price of </w:t>
      </w:r>
      <w:r w:rsidR="00F21E56" w:rsidRPr="0007490C">
        <w:rPr>
          <w:color w:val="000000" w:themeColor="text1"/>
        </w:rPr>
        <w:t>IIFL</w:t>
      </w:r>
      <w:r w:rsidR="006B00E0" w:rsidRPr="0007490C">
        <w:rPr>
          <w:color w:val="000000" w:themeColor="text1"/>
        </w:rPr>
        <w:t>:</w:t>
      </w:r>
      <w:r w:rsidR="005B1EFC" w:rsidRPr="0007490C">
        <w:rPr>
          <w:color w:val="000000" w:themeColor="text1"/>
        </w:rPr>
        <w:t xml:space="preserve"> Rs.</w:t>
      </w:r>
      <w:r w:rsidRPr="0007490C">
        <w:rPr>
          <w:color w:val="000000" w:themeColor="text1"/>
        </w:rPr>
        <w:t>430</w:t>
      </w:r>
    </w:p>
    <w:p w:rsidR="0028284F" w:rsidRPr="0007490C" w:rsidRDefault="0028284F" w:rsidP="00F12B93">
      <w:pPr>
        <w:spacing w:line="360" w:lineRule="auto"/>
        <w:jc w:val="both"/>
        <w:rPr>
          <w:color w:val="000000" w:themeColor="text1"/>
        </w:rPr>
      </w:pPr>
      <w:r w:rsidRPr="0007490C">
        <w:rPr>
          <w:color w:val="000000" w:themeColor="text1"/>
        </w:rPr>
        <w:t>45*37 Shares =</w:t>
      </w:r>
      <w:r w:rsidR="005B1EFC" w:rsidRPr="0007490C">
        <w:rPr>
          <w:color w:val="000000" w:themeColor="text1"/>
        </w:rPr>
        <w:t xml:space="preserve"> Rs.</w:t>
      </w:r>
      <w:r w:rsidR="005D43DD" w:rsidRPr="0007490C">
        <w:rPr>
          <w:color w:val="000000" w:themeColor="text1"/>
        </w:rPr>
        <w:t>19</w:t>
      </w:r>
      <w:r w:rsidRPr="0007490C">
        <w:rPr>
          <w:color w:val="000000" w:themeColor="text1"/>
        </w:rPr>
        <w:t>65</w:t>
      </w:r>
    </w:p>
    <w:p w:rsidR="0028284F" w:rsidRPr="0007490C" w:rsidRDefault="0028284F" w:rsidP="00F12B93">
      <w:pPr>
        <w:spacing w:line="360" w:lineRule="auto"/>
        <w:jc w:val="both"/>
        <w:rPr>
          <w:color w:val="000000" w:themeColor="text1"/>
        </w:rPr>
      </w:pPr>
      <w:r w:rsidRPr="0007490C">
        <w:rPr>
          <w:color w:val="000000" w:themeColor="text1"/>
        </w:rPr>
        <w:t>430*4 Shares =</w:t>
      </w:r>
      <w:r w:rsidR="005B1EFC" w:rsidRPr="0007490C">
        <w:rPr>
          <w:color w:val="000000" w:themeColor="text1"/>
        </w:rPr>
        <w:t xml:space="preserve"> Rs.</w:t>
      </w:r>
      <w:r w:rsidR="005D43DD" w:rsidRPr="0007490C">
        <w:rPr>
          <w:color w:val="000000" w:themeColor="text1"/>
        </w:rPr>
        <w:t>20</w:t>
      </w:r>
      <w:r w:rsidRPr="0007490C">
        <w:rPr>
          <w:color w:val="000000" w:themeColor="text1"/>
        </w:rPr>
        <w:t>20</w:t>
      </w:r>
    </w:p>
    <w:p w:rsidR="0028284F" w:rsidRPr="0007490C" w:rsidRDefault="009F7E66" w:rsidP="00F12B93">
      <w:pPr>
        <w:spacing w:line="360" w:lineRule="auto"/>
        <w:jc w:val="both"/>
        <w:rPr>
          <w:color w:val="000000" w:themeColor="text1"/>
        </w:rPr>
      </w:pPr>
      <w:r w:rsidRPr="0007490C">
        <w:rPr>
          <w:color w:val="000000" w:themeColor="text1"/>
        </w:rPr>
        <w:t xml:space="preserve"> </w:t>
      </w:r>
      <w:r w:rsidR="0028284F" w:rsidRPr="0007490C">
        <w:rPr>
          <w:color w:val="000000" w:themeColor="text1"/>
        </w:rPr>
        <w:t>As we can analyses from the a</w:t>
      </w:r>
      <w:r w:rsidR="002D0D8B" w:rsidRPr="0007490C">
        <w:rPr>
          <w:color w:val="000000" w:themeColor="text1"/>
        </w:rPr>
        <w:t>bove calculation that the share</w:t>
      </w:r>
      <w:r w:rsidR="0028284F" w:rsidRPr="0007490C">
        <w:rPr>
          <w:color w:val="000000" w:themeColor="text1"/>
        </w:rPr>
        <w:t>holders are profited of</w:t>
      </w:r>
    </w:p>
    <w:p w:rsidR="0028284F" w:rsidRPr="0007490C" w:rsidRDefault="0028284F" w:rsidP="00F12B93">
      <w:pPr>
        <w:spacing w:line="360" w:lineRule="auto"/>
        <w:jc w:val="both"/>
        <w:rPr>
          <w:color w:val="000000" w:themeColor="text1"/>
        </w:rPr>
      </w:pPr>
      <w:r w:rsidRPr="0007490C">
        <w:rPr>
          <w:color w:val="000000" w:themeColor="text1"/>
        </w:rPr>
        <w:t>Rs55/- per share {</w:t>
      </w:r>
      <w:r w:rsidR="005D43DD" w:rsidRPr="0007490C">
        <w:rPr>
          <w:color w:val="000000" w:themeColor="text1"/>
        </w:rPr>
        <w:t>20</w:t>
      </w:r>
      <w:r w:rsidRPr="0007490C">
        <w:rPr>
          <w:color w:val="000000" w:themeColor="text1"/>
        </w:rPr>
        <w:t>20-</w:t>
      </w:r>
      <w:r w:rsidR="005D43DD" w:rsidRPr="0007490C">
        <w:rPr>
          <w:color w:val="000000" w:themeColor="text1"/>
        </w:rPr>
        <w:t>19</w:t>
      </w:r>
      <w:r w:rsidRPr="0007490C">
        <w:rPr>
          <w:color w:val="000000" w:themeColor="text1"/>
        </w:rPr>
        <w:t xml:space="preserve">65=55}.which would mean post the Merger of both the companies of </w:t>
      </w:r>
      <w:r w:rsidR="00F21E56" w:rsidRPr="0007490C">
        <w:rPr>
          <w:color w:val="000000" w:themeColor="text1"/>
        </w:rPr>
        <w:t>IIFL</w:t>
      </w:r>
      <w:r w:rsidR="005B1EFC" w:rsidRPr="0007490C">
        <w:rPr>
          <w:color w:val="000000" w:themeColor="text1"/>
        </w:rPr>
        <w:t>,</w:t>
      </w:r>
      <w:r w:rsidRPr="0007490C">
        <w:rPr>
          <w:color w:val="000000" w:themeColor="text1"/>
        </w:rPr>
        <w:t xml:space="preserve"> it was a beneficial aspect the shareholders of both the companies as it derived profits</w:t>
      </w:r>
      <w:r w:rsidR="00691C77">
        <w:rPr>
          <w:color w:val="000000" w:themeColor="text1"/>
        </w:rPr>
        <w:t>[9]</w:t>
      </w:r>
      <w:r w:rsidRPr="0007490C">
        <w:rPr>
          <w:color w:val="000000" w:themeColor="text1"/>
        </w:rPr>
        <w:t>.</w:t>
      </w:r>
    </w:p>
    <w:p w:rsidR="006E669A" w:rsidRPr="0007490C" w:rsidRDefault="0028284F" w:rsidP="00F12B93">
      <w:pPr>
        <w:spacing w:line="360" w:lineRule="auto"/>
        <w:jc w:val="both"/>
        <w:rPr>
          <w:color w:val="000000" w:themeColor="text1"/>
        </w:rPr>
      </w:pPr>
      <w:r w:rsidRPr="0007490C">
        <w:rPr>
          <w:color w:val="000000" w:themeColor="text1"/>
        </w:rPr>
        <w:t xml:space="preserve">At no point of </w:t>
      </w:r>
      <w:r w:rsidR="006B00E0" w:rsidRPr="0007490C">
        <w:rPr>
          <w:color w:val="000000" w:themeColor="text1"/>
        </w:rPr>
        <w:t>time,</w:t>
      </w:r>
      <w:r w:rsidRPr="0007490C">
        <w:rPr>
          <w:color w:val="000000" w:themeColor="text1"/>
        </w:rPr>
        <w:t xml:space="preserve"> would the shareholders be attributed to lessened share value in terms of share capital, which is an important aspect to be looked at while merging two companies always.</w:t>
      </w:r>
    </w:p>
    <w:p w:rsidR="0028284F" w:rsidRPr="0007490C" w:rsidRDefault="006B00E0" w:rsidP="00F12B93">
      <w:pPr>
        <w:spacing w:line="360" w:lineRule="auto"/>
        <w:jc w:val="both"/>
        <w:rPr>
          <w:b/>
          <w:color w:val="000000" w:themeColor="text1"/>
        </w:rPr>
      </w:pPr>
      <w:r w:rsidRPr="0007490C">
        <w:rPr>
          <w:b/>
          <w:color w:val="000000" w:themeColor="text1"/>
        </w:rPr>
        <w:t>Face Value</w:t>
      </w:r>
      <w:r w:rsidR="0028284F" w:rsidRPr="0007490C">
        <w:rPr>
          <w:b/>
          <w:color w:val="000000" w:themeColor="text1"/>
        </w:rPr>
        <w:t>:</w:t>
      </w:r>
    </w:p>
    <w:p w:rsidR="0028284F" w:rsidRPr="0007490C" w:rsidRDefault="0028284F" w:rsidP="00F12B93">
      <w:pPr>
        <w:spacing w:line="360" w:lineRule="auto"/>
        <w:jc w:val="both"/>
        <w:rPr>
          <w:color w:val="000000" w:themeColor="text1"/>
        </w:rPr>
      </w:pPr>
      <w:r w:rsidRPr="0007490C">
        <w:rPr>
          <w:color w:val="000000" w:themeColor="text1"/>
        </w:rPr>
        <w:t xml:space="preserve">The face value of </w:t>
      </w:r>
      <w:r w:rsidR="00F21E56" w:rsidRPr="0007490C">
        <w:rPr>
          <w:color w:val="000000" w:themeColor="text1"/>
        </w:rPr>
        <w:t>IIFL</w:t>
      </w:r>
      <w:r w:rsidRPr="0007490C">
        <w:rPr>
          <w:color w:val="000000" w:themeColor="text1"/>
        </w:rPr>
        <w:t xml:space="preserve"> shares are Rs</w:t>
      </w:r>
      <w:r w:rsidR="005B1EFC" w:rsidRPr="0007490C">
        <w:rPr>
          <w:color w:val="000000" w:themeColor="text1"/>
        </w:rPr>
        <w:t>.</w:t>
      </w:r>
      <w:r w:rsidR="005D43DD" w:rsidRPr="0007490C">
        <w:rPr>
          <w:color w:val="000000" w:themeColor="text1"/>
        </w:rPr>
        <w:t>20</w:t>
      </w:r>
      <w:r w:rsidRPr="0007490C">
        <w:rPr>
          <w:color w:val="000000" w:themeColor="text1"/>
        </w:rPr>
        <w:t>/- each.</w:t>
      </w:r>
    </w:p>
    <w:p w:rsidR="0028284F" w:rsidRPr="0007490C" w:rsidRDefault="0028284F" w:rsidP="00F12B93">
      <w:pPr>
        <w:spacing w:line="360" w:lineRule="auto"/>
        <w:jc w:val="both"/>
        <w:rPr>
          <w:color w:val="000000" w:themeColor="text1"/>
        </w:rPr>
      </w:pPr>
      <w:r w:rsidRPr="0007490C">
        <w:rPr>
          <w:color w:val="000000" w:themeColor="text1"/>
        </w:rPr>
        <w:t>Face Value * No of shares</w:t>
      </w:r>
    </w:p>
    <w:p w:rsidR="0028284F" w:rsidRPr="0007490C" w:rsidRDefault="0028284F" w:rsidP="00F12B93">
      <w:pPr>
        <w:spacing w:line="360" w:lineRule="auto"/>
        <w:jc w:val="both"/>
        <w:rPr>
          <w:color w:val="000000" w:themeColor="text1"/>
        </w:rPr>
      </w:pPr>
      <w:r w:rsidRPr="0007490C">
        <w:rPr>
          <w:color w:val="000000" w:themeColor="text1"/>
        </w:rPr>
        <w:t>BPRL=</w:t>
      </w:r>
      <w:r w:rsidR="005D43DD" w:rsidRPr="0007490C">
        <w:rPr>
          <w:color w:val="000000" w:themeColor="text1"/>
        </w:rPr>
        <w:t>20</w:t>
      </w:r>
      <w:r w:rsidRPr="0007490C">
        <w:rPr>
          <w:color w:val="000000" w:themeColor="text1"/>
        </w:rPr>
        <w:t>*37=</w:t>
      </w:r>
      <w:r w:rsidR="00FB05FA" w:rsidRPr="0007490C">
        <w:rPr>
          <w:color w:val="000000" w:themeColor="text1"/>
        </w:rPr>
        <w:t xml:space="preserve"> Rs.</w:t>
      </w:r>
      <w:r w:rsidRPr="0007490C">
        <w:rPr>
          <w:color w:val="000000" w:themeColor="text1"/>
        </w:rPr>
        <w:t>370</w:t>
      </w:r>
    </w:p>
    <w:p w:rsidR="0028284F" w:rsidRPr="0007490C" w:rsidRDefault="00F21E56" w:rsidP="00F12B93">
      <w:pPr>
        <w:spacing w:line="360" w:lineRule="auto"/>
        <w:jc w:val="both"/>
        <w:rPr>
          <w:color w:val="000000" w:themeColor="text1"/>
        </w:rPr>
      </w:pPr>
      <w:r w:rsidRPr="0007490C">
        <w:rPr>
          <w:color w:val="000000" w:themeColor="text1"/>
        </w:rPr>
        <w:t>IIFL</w:t>
      </w:r>
      <w:r w:rsidR="0028284F" w:rsidRPr="0007490C">
        <w:rPr>
          <w:color w:val="000000" w:themeColor="text1"/>
        </w:rPr>
        <w:t>=</w:t>
      </w:r>
      <w:r w:rsidR="005D43DD" w:rsidRPr="0007490C">
        <w:rPr>
          <w:color w:val="000000" w:themeColor="text1"/>
        </w:rPr>
        <w:t>20</w:t>
      </w:r>
      <w:r w:rsidR="0028284F" w:rsidRPr="0007490C">
        <w:rPr>
          <w:color w:val="000000" w:themeColor="text1"/>
        </w:rPr>
        <w:t>*4=</w:t>
      </w:r>
      <w:r w:rsidR="00FB05FA" w:rsidRPr="0007490C">
        <w:rPr>
          <w:color w:val="000000" w:themeColor="text1"/>
        </w:rPr>
        <w:t xml:space="preserve"> Rs.</w:t>
      </w:r>
      <w:r w:rsidR="0028284F" w:rsidRPr="0007490C">
        <w:rPr>
          <w:color w:val="000000" w:themeColor="text1"/>
        </w:rPr>
        <w:t>40</w:t>
      </w:r>
    </w:p>
    <w:p w:rsidR="003263E5" w:rsidRPr="0007490C" w:rsidRDefault="0028284F" w:rsidP="00F12B93">
      <w:pPr>
        <w:spacing w:line="360" w:lineRule="auto"/>
        <w:jc w:val="both"/>
        <w:rPr>
          <w:color w:val="000000" w:themeColor="text1"/>
        </w:rPr>
      </w:pPr>
      <w:r w:rsidRPr="0007490C">
        <w:rPr>
          <w:color w:val="000000" w:themeColor="text1"/>
        </w:rPr>
        <w:t>Loss</w:t>
      </w:r>
      <w:r w:rsidR="003263E5" w:rsidRPr="0007490C">
        <w:rPr>
          <w:color w:val="000000" w:themeColor="text1"/>
        </w:rPr>
        <w:t xml:space="preserve"> </w:t>
      </w:r>
      <w:r w:rsidR="00FB05FA" w:rsidRPr="0007490C">
        <w:rPr>
          <w:color w:val="000000" w:themeColor="text1"/>
        </w:rPr>
        <w:t>[370-40] = Rs.330</w:t>
      </w:r>
    </w:p>
    <w:p w:rsidR="0028284F" w:rsidRPr="0007490C" w:rsidRDefault="0028284F" w:rsidP="00F12B93">
      <w:pPr>
        <w:spacing w:line="360" w:lineRule="auto"/>
        <w:jc w:val="both"/>
        <w:rPr>
          <w:color w:val="000000" w:themeColor="text1"/>
        </w:rPr>
      </w:pPr>
      <w:r w:rsidRPr="0007490C">
        <w:rPr>
          <w:color w:val="000000" w:themeColor="text1"/>
        </w:rPr>
        <w:t xml:space="preserve">By calculation of the price the </w:t>
      </w:r>
      <w:r w:rsidR="00F21E56" w:rsidRPr="0007490C">
        <w:rPr>
          <w:color w:val="000000" w:themeColor="text1"/>
        </w:rPr>
        <w:t>IIFL</w:t>
      </w:r>
      <w:r w:rsidRPr="0007490C">
        <w:rPr>
          <w:color w:val="000000" w:themeColor="text1"/>
        </w:rPr>
        <w:t xml:space="preserve"> share holders will get no loss. How ever this company merged with big company the share holders of </w:t>
      </w:r>
      <w:r w:rsidR="00F21E56" w:rsidRPr="0007490C">
        <w:rPr>
          <w:color w:val="000000" w:themeColor="text1"/>
        </w:rPr>
        <w:t>IIFL</w:t>
      </w:r>
      <w:r w:rsidRPr="0007490C">
        <w:rPr>
          <w:color w:val="000000" w:themeColor="text1"/>
        </w:rPr>
        <w:t xml:space="preserve"> will get profits only.</w:t>
      </w:r>
    </w:p>
    <w:p w:rsidR="0028284F" w:rsidRPr="0007490C" w:rsidRDefault="0028284F" w:rsidP="00F12B93">
      <w:pPr>
        <w:spacing w:line="360" w:lineRule="auto"/>
        <w:jc w:val="both"/>
        <w:rPr>
          <w:color w:val="000000" w:themeColor="text1"/>
        </w:rPr>
      </w:pPr>
      <w:r w:rsidRPr="0007490C">
        <w:rPr>
          <w:color w:val="000000" w:themeColor="text1"/>
        </w:rPr>
        <w:t xml:space="preserve">Also an important aspect to be noted while calculating the Face Value of the company of the shares that are going to be merged is , the positive re-inforcement of the shareholders holding a lower price value in terms of no of shares held . In this </w:t>
      </w:r>
      <w:r w:rsidR="00016DB3" w:rsidRPr="0007490C">
        <w:rPr>
          <w:color w:val="000000" w:themeColor="text1"/>
        </w:rPr>
        <w:lastRenderedPageBreak/>
        <w:t>scenario,</w:t>
      </w:r>
      <w:r w:rsidRPr="0007490C">
        <w:rPr>
          <w:color w:val="000000" w:themeColor="text1"/>
        </w:rPr>
        <w:t xml:space="preserve"> </w:t>
      </w:r>
      <w:r w:rsidR="00F21E56" w:rsidRPr="0007490C">
        <w:rPr>
          <w:color w:val="000000" w:themeColor="text1"/>
        </w:rPr>
        <w:t>IIFL</w:t>
      </w:r>
      <w:r w:rsidRPr="0007490C">
        <w:rPr>
          <w:color w:val="000000" w:themeColor="text1"/>
        </w:rPr>
        <w:t xml:space="preserve"> stocks valued at Rs 4 and </w:t>
      </w:r>
      <w:r w:rsidR="00F21E56" w:rsidRPr="0007490C">
        <w:rPr>
          <w:color w:val="000000" w:themeColor="text1"/>
        </w:rPr>
        <w:t>IIFL</w:t>
      </w:r>
      <w:r w:rsidRPr="0007490C">
        <w:rPr>
          <w:color w:val="000000" w:themeColor="text1"/>
        </w:rPr>
        <w:t xml:space="preserve"> valued at Rs 37 , ensuring there is no loss actually happening when the merger happened.</w:t>
      </w:r>
    </w:p>
    <w:p w:rsidR="0028284F" w:rsidRPr="0007490C" w:rsidRDefault="006E669A" w:rsidP="00F12B93">
      <w:pPr>
        <w:spacing w:line="360" w:lineRule="auto"/>
        <w:jc w:val="both"/>
        <w:rPr>
          <w:b/>
          <w:color w:val="000000" w:themeColor="text1"/>
        </w:rPr>
      </w:pPr>
      <w:r w:rsidRPr="0007490C">
        <w:rPr>
          <w:b/>
          <w:color w:val="000000" w:themeColor="text1"/>
        </w:rPr>
        <w:t xml:space="preserve">Benefits </w:t>
      </w:r>
      <w:r w:rsidR="00825807" w:rsidRPr="0007490C">
        <w:rPr>
          <w:b/>
          <w:color w:val="000000" w:themeColor="text1"/>
        </w:rPr>
        <w:t>to Shareholders</w:t>
      </w:r>
      <w:r w:rsidR="006B00E0" w:rsidRPr="0007490C">
        <w:rPr>
          <w:b/>
          <w:color w:val="000000" w:themeColor="text1"/>
        </w:rPr>
        <w:t xml:space="preserve"> of</w:t>
      </w:r>
      <w:r w:rsidR="0028284F" w:rsidRPr="0007490C">
        <w:rPr>
          <w:b/>
          <w:color w:val="000000" w:themeColor="text1"/>
        </w:rPr>
        <w:t xml:space="preserve"> </w:t>
      </w:r>
      <w:r w:rsidR="00F21E56" w:rsidRPr="0007490C">
        <w:rPr>
          <w:b/>
          <w:color w:val="000000" w:themeColor="text1"/>
        </w:rPr>
        <w:t>IIFL</w:t>
      </w:r>
    </w:p>
    <w:p w:rsidR="0028284F" w:rsidRPr="0007490C" w:rsidRDefault="0028284F" w:rsidP="00F12B93">
      <w:pPr>
        <w:spacing w:line="360" w:lineRule="auto"/>
        <w:jc w:val="both"/>
        <w:rPr>
          <w:color w:val="000000" w:themeColor="text1"/>
        </w:rPr>
      </w:pPr>
      <w:r w:rsidRPr="0007490C">
        <w:rPr>
          <w:color w:val="000000" w:themeColor="text1"/>
        </w:rPr>
        <w:t xml:space="preserve">The share holders of </w:t>
      </w:r>
      <w:r w:rsidR="00F21E56" w:rsidRPr="0007490C">
        <w:rPr>
          <w:color w:val="000000" w:themeColor="text1"/>
        </w:rPr>
        <w:t>IIFL</w:t>
      </w:r>
      <w:r w:rsidRPr="0007490C">
        <w:rPr>
          <w:color w:val="000000" w:themeColor="text1"/>
        </w:rPr>
        <w:t xml:space="preserve"> are benefited as they were given bonus shares on September</w:t>
      </w:r>
    </w:p>
    <w:p w:rsidR="0028284F" w:rsidRPr="0007490C" w:rsidRDefault="005D43DD" w:rsidP="00F12B93">
      <w:pPr>
        <w:spacing w:line="360" w:lineRule="auto"/>
        <w:jc w:val="both"/>
        <w:rPr>
          <w:color w:val="000000" w:themeColor="text1"/>
        </w:rPr>
      </w:pPr>
      <w:r w:rsidRPr="0007490C">
        <w:rPr>
          <w:color w:val="000000" w:themeColor="text1"/>
        </w:rPr>
        <w:t>16</w:t>
      </w:r>
      <w:r w:rsidR="0028284F" w:rsidRPr="0007490C">
        <w:rPr>
          <w:color w:val="000000" w:themeColor="text1"/>
          <w:vertAlign w:val="superscript"/>
        </w:rPr>
        <w:t>th</w:t>
      </w:r>
      <w:r w:rsidR="0028284F" w:rsidRPr="0007490C">
        <w:rPr>
          <w:color w:val="000000" w:themeColor="text1"/>
        </w:rPr>
        <w:t xml:space="preserve"> 20</w:t>
      </w:r>
      <w:r w:rsidR="001301E9" w:rsidRPr="0007490C">
        <w:rPr>
          <w:color w:val="000000" w:themeColor="text1"/>
        </w:rPr>
        <w:t>21</w:t>
      </w:r>
      <w:r w:rsidR="0028284F" w:rsidRPr="0007490C">
        <w:rPr>
          <w:color w:val="000000" w:themeColor="text1"/>
        </w:rPr>
        <w:t xml:space="preserve"> i.e. 1</w:t>
      </w:r>
      <w:r w:rsidR="003263E5" w:rsidRPr="0007490C">
        <w:rPr>
          <w:color w:val="000000" w:themeColor="text1"/>
        </w:rPr>
        <w:t xml:space="preserve"> </w:t>
      </w:r>
      <w:r w:rsidR="0028284F" w:rsidRPr="0007490C">
        <w:rPr>
          <w:color w:val="000000" w:themeColor="text1"/>
        </w:rPr>
        <w:t>:</w:t>
      </w:r>
      <w:r w:rsidR="003263E5" w:rsidRPr="0007490C">
        <w:rPr>
          <w:color w:val="000000" w:themeColor="text1"/>
        </w:rPr>
        <w:t xml:space="preserve"> </w:t>
      </w:r>
      <w:r w:rsidR="0028284F" w:rsidRPr="0007490C">
        <w:rPr>
          <w:color w:val="000000" w:themeColor="text1"/>
        </w:rPr>
        <w:t>1.</w:t>
      </w:r>
    </w:p>
    <w:p w:rsidR="008901FB" w:rsidRPr="0007490C" w:rsidRDefault="0028284F" w:rsidP="00F12B93">
      <w:pPr>
        <w:spacing w:line="360" w:lineRule="auto"/>
        <w:jc w:val="both"/>
        <w:rPr>
          <w:color w:val="000000" w:themeColor="text1"/>
        </w:rPr>
      </w:pPr>
      <w:r w:rsidRPr="0007490C">
        <w:rPr>
          <w:color w:val="000000" w:themeColor="text1"/>
        </w:rPr>
        <w:t xml:space="preserve">The price of the </w:t>
      </w:r>
      <w:r w:rsidR="00F21E56" w:rsidRPr="0007490C">
        <w:rPr>
          <w:color w:val="000000" w:themeColor="text1"/>
        </w:rPr>
        <w:t>IIFL</w:t>
      </w:r>
      <w:r w:rsidRPr="0007490C">
        <w:rPr>
          <w:color w:val="000000" w:themeColor="text1"/>
        </w:rPr>
        <w:t xml:space="preserve"> shares on September </w:t>
      </w:r>
      <w:r w:rsidR="005D43DD" w:rsidRPr="0007490C">
        <w:rPr>
          <w:color w:val="000000" w:themeColor="text1"/>
        </w:rPr>
        <w:t>16</w:t>
      </w:r>
      <w:r w:rsidRPr="0007490C">
        <w:rPr>
          <w:color w:val="000000" w:themeColor="text1"/>
          <w:vertAlign w:val="superscript"/>
        </w:rPr>
        <w:t>th</w:t>
      </w:r>
      <w:r w:rsidRPr="0007490C">
        <w:rPr>
          <w:color w:val="000000" w:themeColor="text1"/>
        </w:rPr>
        <w:t xml:space="preserve"> is 230</w:t>
      </w:r>
      <w:r w:rsidR="00016DB3" w:rsidRPr="0007490C">
        <w:rPr>
          <w:color w:val="000000" w:themeColor="text1"/>
        </w:rPr>
        <w:t>, By</w:t>
      </w:r>
      <w:r w:rsidRPr="0007490C">
        <w:rPr>
          <w:color w:val="000000" w:themeColor="text1"/>
        </w:rPr>
        <w:t xml:space="preserve"> this we can know that the share holders are benefited.</w:t>
      </w:r>
    </w:p>
    <w:p w:rsidR="0028284F" w:rsidRPr="0007490C" w:rsidRDefault="0028284F" w:rsidP="00F12B93">
      <w:pPr>
        <w:spacing w:line="360" w:lineRule="auto"/>
        <w:jc w:val="both"/>
        <w:rPr>
          <w:b/>
          <w:color w:val="000000" w:themeColor="text1"/>
        </w:rPr>
      </w:pPr>
      <w:r w:rsidRPr="0007490C">
        <w:rPr>
          <w:b/>
          <w:color w:val="000000" w:themeColor="text1"/>
        </w:rPr>
        <w:t>Calculation of EPS:</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16"/>
      </w:tblGrid>
      <w:tr w:rsidR="000B7B7A" w:rsidRPr="0007490C" w:rsidTr="008901FB">
        <w:trPr>
          <w:trHeight w:val="281"/>
        </w:trPr>
        <w:tc>
          <w:tcPr>
            <w:tcW w:w="7116" w:type="dxa"/>
          </w:tcPr>
          <w:p w:rsidR="000B7B7A" w:rsidRPr="0007490C" w:rsidRDefault="008901FB" w:rsidP="00F12B93">
            <w:pPr>
              <w:spacing w:line="360" w:lineRule="auto"/>
              <w:ind w:left="28"/>
              <w:jc w:val="both"/>
              <w:rPr>
                <w:b/>
                <w:color w:val="000000" w:themeColor="text1"/>
              </w:rPr>
            </w:pPr>
            <w:r w:rsidRPr="0007490C">
              <w:rPr>
                <w:b/>
                <w:color w:val="000000" w:themeColor="text1"/>
              </w:rPr>
              <w:t xml:space="preserve">  </w:t>
            </w:r>
            <w:r w:rsidR="000B7B7A" w:rsidRPr="0007490C">
              <w:rPr>
                <w:b/>
                <w:color w:val="000000" w:themeColor="text1"/>
              </w:rPr>
              <w:t>EPS = (Earnings after tax</w:t>
            </w:r>
            <w:r w:rsidRPr="0007490C">
              <w:rPr>
                <w:b/>
                <w:color w:val="000000" w:themeColor="text1"/>
              </w:rPr>
              <w:t xml:space="preserve"> </w:t>
            </w:r>
            <w:r w:rsidR="000B7B7A" w:rsidRPr="0007490C">
              <w:rPr>
                <w:b/>
                <w:color w:val="000000" w:themeColor="text1"/>
              </w:rPr>
              <w:t>/</w:t>
            </w:r>
            <w:r w:rsidRPr="0007490C">
              <w:rPr>
                <w:b/>
                <w:color w:val="000000" w:themeColor="text1"/>
              </w:rPr>
              <w:t xml:space="preserve"> </w:t>
            </w:r>
            <w:r w:rsidR="000B7B7A" w:rsidRPr="0007490C">
              <w:rPr>
                <w:b/>
                <w:color w:val="000000" w:themeColor="text1"/>
              </w:rPr>
              <w:t>Equity shares outstanding)</w:t>
            </w:r>
          </w:p>
        </w:tc>
      </w:tr>
    </w:tbl>
    <w:p w:rsidR="000B7B7A" w:rsidRPr="0007490C" w:rsidRDefault="000B7B7A" w:rsidP="00F12B93">
      <w:pPr>
        <w:spacing w:line="360" w:lineRule="auto"/>
        <w:jc w:val="both"/>
        <w:rPr>
          <w:b/>
          <w:color w:val="000000" w:themeColor="text1"/>
        </w:rPr>
      </w:pPr>
    </w:p>
    <w:p w:rsidR="0028284F" w:rsidRPr="0007490C" w:rsidRDefault="000B7B7A" w:rsidP="00F12B93">
      <w:pPr>
        <w:spacing w:line="360" w:lineRule="auto"/>
        <w:jc w:val="both"/>
        <w:rPr>
          <w:color w:val="000000" w:themeColor="text1"/>
        </w:rPr>
      </w:pPr>
      <w:r w:rsidRPr="0007490C">
        <w:rPr>
          <w:color w:val="000000" w:themeColor="text1"/>
        </w:rPr>
        <w:t xml:space="preserve">On </w:t>
      </w:r>
      <w:r w:rsidR="0028284F" w:rsidRPr="0007490C">
        <w:rPr>
          <w:color w:val="000000" w:themeColor="text1"/>
        </w:rPr>
        <w:t>31</w:t>
      </w:r>
      <w:r w:rsidR="0028284F" w:rsidRPr="0007490C">
        <w:rPr>
          <w:color w:val="000000" w:themeColor="text1"/>
          <w:vertAlign w:val="superscript"/>
        </w:rPr>
        <w:t>st</w:t>
      </w:r>
      <w:r w:rsidR="0028284F" w:rsidRPr="0007490C">
        <w:rPr>
          <w:color w:val="000000" w:themeColor="text1"/>
        </w:rPr>
        <w:t xml:space="preserve"> mar 20</w:t>
      </w:r>
      <w:r w:rsidR="00604815" w:rsidRPr="0007490C">
        <w:rPr>
          <w:color w:val="000000" w:themeColor="text1"/>
        </w:rPr>
        <w:t>22</w:t>
      </w:r>
    </w:p>
    <w:p w:rsidR="0028284F" w:rsidRPr="0007490C" w:rsidRDefault="0028284F" w:rsidP="00F12B93">
      <w:pPr>
        <w:spacing w:line="360" w:lineRule="auto"/>
        <w:jc w:val="both"/>
        <w:rPr>
          <w:color w:val="000000" w:themeColor="text1"/>
        </w:rPr>
      </w:pPr>
      <w:r w:rsidRPr="0007490C">
        <w:rPr>
          <w:color w:val="000000" w:themeColor="text1"/>
        </w:rPr>
        <w:t>EPS=2949.55/</w:t>
      </w:r>
      <w:r w:rsidR="005D43DD" w:rsidRPr="0007490C">
        <w:rPr>
          <w:color w:val="000000" w:themeColor="text1"/>
        </w:rPr>
        <w:t>17</w:t>
      </w:r>
      <w:r w:rsidRPr="0007490C">
        <w:rPr>
          <w:color w:val="000000" w:themeColor="text1"/>
        </w:rPr>
        <w:t>5.83</w:t>
      </w:r>
    </w:p>
    <w:p w:rsidR="0028284F" w:rsidRPr="0007490C" w:rsidRDefault="0028284F" w:rsidP="00F12B93">
      <w:pPr>
        <w:spacing w:line="360" w:lineRule="auto"/>
        <w:jc w:val="both"/>
        <w:rPr>
          <w:color w:val="000000" w:themeColor="text1"/>
        </w:rPr>
      </w:pPr>
      <w:r w:rsidRPr="0007490C">
        <w:rPr>
          <w:color w:val="000000" w:themeColor="text1"/>
        </w:rPr>
        <w:t>EPS=23.44</w:t>
      </w:r>
    </w:p>
    <w:p w:rsidR="0028284F" w:rsidRPr="0007490C" w:rsidRDefault="000B7B7A" w:rsidP="00F12B93">
      <w:pPr>
        <w:spacing w:line="360" w:lineRule="auto"/>
        <w:jc w:val="both"/>
        <w:rPr>
          <w:color w:val="000000" w:themeColor="text1"/>
        </w:rPr>
      </w:pPr>
      <w:r w:rsidRPr="0007490C">
        <w:rPr>
          <w:color w:val="000000" w:themeColor="text1"/>
        </w:rPr>
        <w:t xml:space="preserve">On </w:t>
      </w:r>
      <w:r w:rsidR="0028284F" w:rsidRPr="0007490C">
        <w:rPr>
          <w:color w:val="000000" w:themeColor="text1"/>
        </w:rPr>
        <w:t>31</w:t>
      </w:r>
      <w:r w:rsidR="0028284F" w:rsidRPr="0007490C">
        <w:rPr>
          <w:color w:val="000000" w:themeColor="text1"/>
          <w:vertAlign w:val="superscript"/>
        </w:rPr>
        <w:t>st</w:t>
      </w:r>
      <w:r w:rsidR="0028284F" w:rsidRPr="0007490C">
        <w:rPr>
          <w:color w:val="000000" w:themeColor="text1"/>
        </w:rPr>
        <w:t xml:space="preserve"> mar 20</w:t>
      </w:r>
      <w:r w:rsidR="00604815" w:rsidRPr="0007490C">
        <w:rPr>
          <w:color w:val="000000" w:themeColor="text1"/>
        </w:rPr>
        <w:t>23</w:t>
      </w:r>
    </w:p>
    <w:p w:rsidR="0028284F" w:rsidRPr="0007490C" w:rsidRDefault="0028284F" w:rsidP="00F12B93">
      <w:pPr>
        <w:spacing w:line="360" w:lineRule="auto"/>
        <w:jc w:val="both"/>
        <w:rPr>
          <w:color w:val="000000" w:themeColor="text1"/>
        </w:rPr>
      </w:pPr>
      <w:r w:rsidRPr="0007490C">
        <w:rPr>
          <w:color w:val="000000" w:themeColor="text1"/>
        </w:rPr>
        <w:t>EPS =</w:t>
      </w:r>
      <w:r w:rsidR="005D43DD" w:rsidRPr="0007490C">
        <w:rPr>
          <w:color w:val="000000" w:themeColor="text1"/>
        </w:rPr>
        <w:t>20</w:t>
      </w:r>
      <w:r w:rsidRPr="0007490C">
        <w:rPr>
          <w:color w:val="000000" w:themeColor="text1"/>
        </w:rPr>
        <w:t>220.55/255.51</w:t>
      </w:r>
    </w:p>
    <w:p w:rsidR="0028284F" w:rsidRPr="0007490C" w:rsidRDefault="0028284F" w:rsidP="00F12B93">
      <w:pPr>
        <w:spacing w:line="360" w:lineRule="auto"/>
        <w:jc w:val="both"/>
        <w:rPr>
          <w:color w:val="000000" w:themeColor="text1"/>
        </w:rPr>
      </w:pPr>
      <w:r w:rsidRPr="0007490C">
        <w:rPr>
          <w:color w:val="000000" w:themeColor="text1"/>
        </w:rPr>
        <w:t>EPS=40</w:t>
      </w:r>
    </w:p>
    <w:p w:rsidR="0028284F" w:rsidRPr="0007490C" w:rsidRDefault="0028284F" w:rsidP="00F12B93">
      <w:pPr>
        <w:spacing w:line="360" w:lineRule="auto"/>
        <w:jc w:val="both"/>
        <w:rPr>
          <w:b/>
          <w:color w:val="000000" w:themeColor="text1"/>
        </w:rPr>
      </w:pPr>
      <w:r w:rsidRPr="0007490C">
        <w:rPr>
          <w:b/>
          <w:color w:val="000000" w:themeColor="text1"/>
        </w:rPr>
        <w:t>Calculation of EPS in percentage:</w:t>
      </w:r>
    </w:p>
    <w:p w:rsidR="00050C5F" w:rsidRPr="0007490C" w:rsidRDefault="00050C5F" w:rsidP="00050C5F">
      <w:pPr>
        <w:spacing w:line="360" w:lineRule="auto"/>
        <w:jc w:val="both"/>
        <w:rPr>
          <w:b/>
          <w:color w:val="000000" w:themeColor="text1"/>
        </w:rPr>
      </w:pPr>
      <w:r w:rsidRPr="0007490C">
        <w:rPr>
          <w:b/>
          <w:color w:val="000000" w:themeColor="text1"/>
        </w:rPr>
        <w:t>GRAPH NO 4.1</w:t>
      </w:r>
    </w:p>
    <w:p w:rsidR="0028284F" w:rsidRPr="0007490C" w:rsidRDefault="0028284F" w:rsidP="00F12B93">
      <w:pPr>
        <w:spacing w:line="360" w:lineRule="auto"/>
        <w:jc w:val="both"/>
        <w:rPr>
          <w:color w:val="000000" w:themeColor="text1"/>
        </w:rPr>
      </w:pPr>
      <w:r w:rsidRPr="0007490C">
        <w:rPr>
          <w:color w:val="000000" w:themeColor="text1"/>
        </w:rPr>
        <w:t xml:space="preserve">= Base year-current year / Base year* </w:t>
      </w:r>
      <w:r w:rsidR="005D43DD" w:rsidRPr="0007490C">
        <w:rPr>
          <w:color w:val="000000" w:themeColor="text1"/>
        </w:rPr>
        <w:t>20</w:t>
      </w:r>
      <w:r w:rsidRPr="0007490C">
        <w:rPr>
          <w:color w:val="000000" w:themeColor="text1"/>
        </w:rPr>
        <w:t>0</w:t>
      </w:r>
    </w:p>
    <w:p w:rsidR="0028284F" w:rsidRPr="0007490C" w:rsidRDefault="004B315D" w:rsidP="00F12B93">
      <w:pPr>
        <w:spacing w:line="360" w:lineRule="auto"/>
        <w:jc w:val="both"/>
        <w:rPr>
          <w:color w:val="000000" w:themeColor="text1"/>
        </w:rPr>
      </w:pPr>
      <w:r w:rsidRPr="0007490C">
        <w:rPr>
          <w:noProof/>
          <w:color w:val="000000" w:themeColor="text1"/>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5632450" cy="2552700"/>
            <wp:effectExtent l="19050" t="0" r="2540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8284F" w:rsidRPr="0007490C">
        <w:rPr>
          <w:color w:val="000000" w:themeColor="text1"/>
        </w:rPr>
        <w:t xml:space="preserve">= 23.44 - 40.00 / 23.44 * </w:t>
      </w:r>
      <w:r w:rsidR="005D43DD" w:rsidRPr="0007490C">
        <w:rPr>
          <w:color w:val="000000" w:themeColor="text1"/>
        </w:rPr>
        <w:t>20</w:t>
      </w:r>
      <w:r w:rsidR="0028284F" w:rsidRPr="0007490C">
        <w:rPr>
          <w:color w:val="000000" w:themeColor="text1"/>
        </w:rPr>
        <w:t>0</w:t>
      </w:r>
      <w:r w:rsidR="009F7E66" w:rsidRPr="0007490C">
        <w:rPr>
          <w:color w:val="000000" w:themeColor="text1"/>
        </w:rPr>
        <w:t xml:space="preserve"> =71%</w:t>
      </w:r>
    </w:p>
    <w:p w:rsidR="0028284F" w:rsidRPr="0007490C" w:rsidRDefault="006B00E0" w:rsidP="00604815">
      <w:pPr>
        <w:tabs>
          <w:tab w:val="center" w:pos="4153"/>
        </w:tabs>
        <w:spacing w:line="360" w:lineRule="auto"/>
        <w:jc w:val="both"/>
        <w:rPr>
          <w:b/>
          <w:color w:val="000000" w:themeColor="text1"/>
        </w:rPr>
      </w:pPr>
      <w:r w:rsidRPr="0007490C">
        <w:rPr>
          <w:b/>
          <w:color w:val="000000" w:themeColor="text1"/>
        </w:rPr>
        <w:t>Interpretation :</w:t>
      </w:r>
      <w:r w:rsidR="00604815" w:rsidRPr="0007490C">
        <w:rPr>
          <w:b/>
          <w:color w:val="000000" w:themeColor="text1"/>
        </w:rPr>
        <w:tab/>
      </w:r>
    </w:p>
    <w:p w:rsidR="0028284F" w:rsidRPr="0007490C" w:rsidRDefault="0028284F" w:rsidP="00F12B93">
      <w:pPr>
        <w:spacing w:line="360" w:lineRule="auto"/>
        <w:jc w:val="both"/>
        <w:rPr>
          <w:color w:val="000000" w:themeColor="text1"/>
        </w:rPr>
      </w:pPr>
      <w:r w:rsidRPr="0007490C">
        <w:rPr>
          <w:color w:val="000000" w:themeColor="text1"/>
        </w:rPr>
        <w:t xml:space="preserve">The EPS increased from 23.44 to 40 i.e 71 % rise in the value of EPS. </w:t>
      </w:r>
      <w:r w:rsidR="00287B2A" w:rsidRPr="0007490C">
        <w:rPr>
          <w:color w:val="000000" w:themeColor="text1"/>
        </w:rPr>
        <w:t xml:space="preserve">Which is the biggest driving factor to the Merger as the Earnings per share which is an important </w:t>
      </w:r>
      <w:r w:rsidR="00287B2A" w:rsidRPr="0007490C">
        <w:rPr>
          <w:color w:val="000000" w:themeColor="text1"/>
        </w:rPr>
        <w:lastRenderedPageBreak/>
        <w:t>aspect to be looked upon while considering a Merger?</w:t>
      </w:r>
      <w:r w:rsidR="0081111D" w:rsidRPr="0007490C">
        <w:rPr>
          <w:color w:val="000000" w:themeColor="text1"/>
        </w:rPr>
        <w:t xml:space="preserve"> The</w:t>
      </w:r>
      <w:r w:rsidRPr="0007490C">
        <w:rPr>
          <w:color w:val="000000" w:themeColor="text1"/>
        </w:rPr>
        <w:t xml:space="preserve"> rise of 71 % in EPS indicates the positive aspects of the merger of how the Earnings of current shareholders of both the companies increased at a ra</w:t>
      </w:r>
      <w:r w:rsidR="00B517C6" w:rsidRPr="0007490C">
        <w:rPr>
          <w:color w:val="000000" w:themeColor="text1"/>
        </w:rPr>
        <w:t>te of 71%.</w:t>
      </w:r>
    </w:p>
    <w:p w:rsidR="0028284F" w:rsidRPr="0007490C" w:rsidRDefault="0028284F" w:rsidP="00F12B93">
      <w:pPr>
        <w:spacing w:line="360" w:lineRule="auto"/>
        <w:jc w:val="both"/>
        <w:rPr>
          <w:color w:val="000000" w:themeColor="text1"/>
        </w:rPr>
      </w:pPr>
      <w:r w:rsidRPr="0007490C">
        <w:rPr>
          <w:b/>
          <w:color w:val="000000" w:themeColor="text1"/>
        </w:rPr>
        <w:t>Calculations of Sales Turn over</w:t>
      </w:r>
      <w:r w:rsidRPr="0007490C">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08"/>
        <w:gridCol w:w="1820"/>
      </w:tblGrid>
      <w:tr w:rsidR="0028284F" w:rsidRPr="0007490C" w:rsidTr="004B315D">
        <w:tc>
          <w:tcPr>
            <w:tcW w:w="4408"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31</w:t>
            </w:r>
            <w:r w:rsidRPr="0007490C">
              <w:rPr>
                <w:color w:val="000000" w:themeColor="text1"/>
                <w:vertAlign w:val="superscript"/>
              </w:rPr>
              <w:t>st</w:t>
            </w:r>
            <w:r w:rsidRPr="0007490C">
              <w:rPr>
                <w:color w:val="000000" w:themeColor="text1"/>
              </w:rPr>
              <w:t xml:space="preserve"> March 20</w:t>
            </w:r>
            <w:r w:rsidR="001301E9" w:rsidRPr="0007490C">
              <w:rPr>
                <w:color w:val="000000" w:themeColor="text1"/>
              </w:rPr>
              <w:t>2</w:t>
            </w:r>
            <w:r w:rsidR="00AB25EB" w:rsidRPr="0007490C">
              <w:rPr>
                <w:color w:val="000000" w:themeColor="text1"/>
              </w:rPr>
              <w:t>2</w:t>
            </w:r>
          </w:p>
        </w:tc>
        <w:tc>
          <w:tcPr>
            <w:tcW w:w="1820"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270346.01</w:t>
            </w:r>
          </w:p>
        </w:tc>
      </w:tr>
      <w:tr w:rsidR="0028284F" w:rsidRPr="0007490C" w:rsidTr="004B315D">
        <w:tc>
          <w:tcPr>
            <w:tcW w:w="4408"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31</w:t>
            </w:r>
            <w:r w:rsidRPr="0007490C">
              <w:rPr>
                <w:color w:val="000000" w:themeColor="text1"/>
                <w:vertAlign w:val="superscript"/>
              </w:rPr>
              <w:t>st</w:t>
            </w:r>
            <w:r w:rsidRPr="0007490C">
              <w:rPr>
                <w:color w:val="000000" w:themeColor="text1"/>
              </w:rPr>
              <w:t xml:space="preserve"> March 20</w:t>
            </w:r>
            <w:r w:rsidR="005D43DD" w:rsidRPr="0007490C">
              <w:rPr>
                <w:color w:val="000000" w:themeColor="text1"/>
              </w:rPr>
              <w:t>2</w:t>
            </w:r>
            <w:r w:rsidR="00AB25EB" w:rsidRPr="0007490C">
              <w:rPr>
                <w:color w:val="000000" w:themeColor="text1"/>
              </w:rPr>
              <w:t>3</w:t>
            </w:r>
          </w:p>
        </w:tc>
        <w:tc>
          <w:tcPr>
            <w:tcW w:w="1820"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29</w:t>
            </w:r>
            <w:r w:rsidR="005D43DD" w:rsidRPr="0007490C">
              <w:rPr>
                <w:color w:val="000000" w:themeColor="text1"/>
              </w:rPr>
              <w:t>17</w:t>
            </w:r>
            <w:r w:rsidRPr="0007490C">
              <w:rPr>
                <w:color w:val="000000" w:themeColor="text1"/>
              </w:rPr>
              <w:t>01.</w:t>
            </w:r>
            <w:r w:rsidR="005D43DD" w:rsidRPr="0007490C">
              <w:rPr>
                <w:color w:val="000000" w:themeColor="text1"/>
              </w:rPr>
              <w:t>20</w:t>
            </w:r>
          </w:p>
        </w:tc>
      </w:tr>
    </w:tbl>
    <w:p w:rsidR="0028284F" w:rsidRPr="0007490C" w:rsidRDefault="0028284F" w:rsidP="00F12B93">
      <w:pPr>
        <w:spacing w:line="360" w:lineRule="auto"/>
        <w:jc w:val="both"/>
        <w:rPr>
          <w:color w:val="000000" w:themeColor="text1"/>
        </w:rPr>
      </w:pPr>
    </w:p>
    <w:p w:rsidR="0028284F" w:rsidRPr="0007490C" w:rsidRDefault="0028284F" w:rsidP="00F12B93">
      <w:pPr>
        <w:spacing w:line="360" w:lineRule="auto"/>
        <w:jc w:val="both"/>
        <w:rPr>
          <w:color w:val="000000" w:themeColor="text1"/>
        </w:rPr>
      </w:pPr>
      <w:r w:rsidRPr="0007490C">
        <w:rPr>
          <w:color w:val="000000" w:themeColor="text1"/>
        </w:rPr>
        <w:t>Difference in sales turn over = Post merger sales – Pre merger sales</w:t>
      </w:r>
    </w:p>
    <w:p w:rsidR="0028284F" w:rsidRPr="0007490C" w:rsidRDefault="0028284F" w:rsidP="00F12B93">
      <w:pPr>
        <w:spacing w:line="360" w:lineRule="auto"/>
        <w:ind w:left="2160" w:firstLine="720"/>
        <w:jc w:val="both"/>
        <w:rPr>
          <w:color w:val="000000" w:themeColor="text1"/>
        </w:rPr>
      </w:pPr>
      <w:r w:rsidRPr="0007490C">
        <w:rPr>
          <w:color w:val="000000" w:themeColor="text1"/>
        </w:rPr>
        <w:t>= 29</w:t>
      </w:r>
      <w:r w:rsidR="005D43DD" w:rsidRPr="0007490C">
        <w:rPr>
          <w:color w:val="000000" w:themeColor="text1"/>
        </w:rPr>
        <w:t>17</w:t>
      </w:r>
      <w:r w:rsidRPr="0007490C">
        <w:rPr>
          <w:color w:val="000000" w:themeColor="text1"/>
        </w:rPr>
        <w:t>01.</w:t>
      </w:r>
      <w:r w:rsidR="005D43DD" w:rsidRPr="0007490C">
        <w:rPr>
          <w:color w:val="000000" w:themeColor="text1"/>
        </w:rPr>
        <w:t>20</w:t>
      </w:r>
      <w:r w:rsidRPr="0007490C">
        <w:rPr>
          <w:color w:val="000000" w:themeColor="text1"/>
        </w:rPr>
        <w:t xml:space="preserve"> – 270346.0</w:t>
      </w:r>
    </w:p>
    <w:p w:rsidR="00271E9D" w:rsidRPr="0007490C" w:rsidRDefault="0028284F" w:rsidP="009F7E66">
      <w:pPr>
        <w:spacing w:line="360" w:lineRule="auto"/>
        <w:ind w:left="2160" w:firstLine="720"/>
        <w:jc w:val="both"/>
        <w:rPr>
          <w:color w:val="000000" w:themeColor="text1"/>
        </w:rPr>
      </w:pPr>
      <w:r w:rsidRPr="0007490C">
        <w:rPr>
          <w:color w:val="000000" w:themeColor="text1"/>
        </w:rPr>
        <w:t>= 2</w:t>
      </w:r>
      <w:r w:rsidR="005D43DD" w:rsidRPr="0007490C">
        <w:rPr>
          <w:color w:val="000000" w:themeColor="text1"/>
        </w:rPr>
        <w:t>18</w:t>
      </w:r>
      <w:r w:rsidRPr="0007490C">
        <w:rPr>
          <w:color w:val="000000" w:themeColor="text1"/>
        </w:rPr>
        <w:t>55.</w:t>
      </w:r>
    </w:p>
    <w:p w:rsidR="0028284F" w:rsidRPr="0007490C" w:rsidRDefault="0028284F" w:rsidP="00F12B93">
      <w:pPr>
        <w:spacing w:line="360" w:lineRule="auto"/>
        <w:jc w:val="both"/>
        <w:rPr>
          <w:color w:val="000000" w:themeColor="text1"/>
        </w:rPr>
      </w:pPr>
      <w:r w:rsidRPr="0007490C">
        <w:rPr>
          <w:b/>
          <w:color w:val="000000" w:themeColor="text1"/>
        </w:rPr>
        <w:t>Calculation of Sales Turnover in percentage</w:t>
      </w:r>
      <w:r w:rsidRPr="0007490C">
        <w:rPr>
          <w:color w:val="000000" w:themeColor="text1"/>
        </w:rPr>
        <w:t>:</w:t>
      </w:r>
    </w:p>
    <w:p w:rsidR="0028284F" w:rsidRPr="0007490C" w:rsidRDefault="003F1303" w:rsidP="00F12B93">
      <w:pPr>
        <w:spacing w:line="360" w:lineRule="auto"/>
        <w:jc w:val="both"/>
        <w:rPr>
          <w:color w:val="000000" w:themeColor="text1"/>
        </w:rPr>
      </w:pPr>
      <w:r w:rsidRPr="0007490C">
        <w:rPr>
          <w:color w:val="000000" w:themeColor="text1"/>
        </w:rPr>
        <w:t>= (</w:t>
      </w:r>
      <w:r w:rsidR="0028284F" w:rsidRPr="0007490C">
        <w:rPr>
          <w:color w:val="000000" w:themeColor="text1"/>
        </w:rPr>
        <w:t>Base year – current year</w:t>
      </w:r>
      <w:r w:rsidRPr="0007490C">
        <w:rPr>
          <w:color w:val="000000" w:themeColor="text1"/>
        </w:rPr>
        <w:t>)</w:t>
      </w:r>
      <w:r w:rsidR="0028284F" w:rsidRPr="0007490C">
        <w:rPr>
          <w:color w:val="000000" w:themeColor="text1"/>
        </w:rPr>
        <w:t xml:space="preserve"> / Base year * </w:t>
      </w:r>
      <w:r w:rsidR="005D43DD" w:rsidRPr="0007490C">
        <w:rPr>
          <w:color w:val="000000" w:themeColor="text1"/>
        </w:rPr>
        <w:t>20</w:t>
      </w:r>
      <w:r w:rsidR="0028284F" w:rsidRPr="0007490C">
        <w:rPr>
          <w:color w:val="000000" w:themeColor="text1"/>
        </w:rPr>
        <w:t>0</w:t>
      </w:r>
    </w:p>
    <w:p w:rsidR="0028284F" w:rsidRPr="0007490C" w:rsidRDefault="003F1303" w:rsidP="00F12B93">
      <w:pPr>
        <w:spacing w:line="360" w:lineRule="auto"/>
        <w:jc w:val="both"/>
        <w:rPr>
          <w:color w:val="000000" w:themeColor="text1"/>
        </w:rPr>
      </w:pPr>
      <w:r w:rsidRPr="0007490C">
        <w:rPr>
          <w:color w:val="000000" w:themeColor="text1"/>
        </w:rPr>
        <w:t>= 270346.01</w:t>
      </w:r>
      <w:r w:rsidR="0028284F" w:rsidRPr="0007490C">
        <w:rPr>
          <w:color w:val="000000" w:themeColor="text1"/>
        </w:rPr>
        <w:t xml:space="preserve"> – 29</w:t>
      </w:r>
      <w:r w:rsidR="005D43DD" w:rsidRPr="0007490C">
        <w:rPr>
          <w:color w:val="000000" w:themeColor="text1"/>
        </w:rPr>
        <w:t>17</w:t>
      </w:r>
      <w:r w:rsidR="0028284F" w:rsidRPr="0007490C">
        <w:rPr>
          <w:color w:val="000000" w:themeColor="text1"/>
        </w:rPr>
        <w:t>01.</w:t>
      </w:r>
      <w:r w:rsidR="005D43DD" w:rsidRPr="0007490C">
        <w:rPr>
          <w:color w:val="000000" w:themeColor="text1"/>
        </w:rPr>
        <w:t>20</w:t>
      </w:r>
      <w:r w:rsidR="0028284F" w:rsidRPr="0007490C">
        <w:rPr>
          <w:color w:val="000000" w:themeColor="text1"/>
        </w:rPr>
        <w:t xml:space="preserve"> / 270346.01 * </w:t>
      </w:r>
      <w:r w:rsidR="005D43DD" w:rsidRPr="0007490C">
        <w:rPr>
          <w:color w:val="000000" w:themeColor="text1"/>
        </w:rPr>
        <w:t>20</w:t>
      </w:r>
      <w:r w:rsidR="0028284F" w:rsidRPr="0007490C">
        <w:rPr>
          <w:color w:val="000000" w:themeColor="text1"/>
        </w:rPr>
        <w:t>0</w:t>
      </w:r>
    </w:p>
    <w:p w:rsidR="0028284F" w:rsidRPr="0007490C" w:rsidRDefault="00552A82" w:rsidP="00F12B93">
      <w:pPr>
        <w:spacing w:line="360" w:lineRule="auto"/>
        <w:jc w:val="both"/>
        <w:rPr>
          <w:color w:val="000000" w:themeColor="text1"/>
        </w:rPr>
      </w:pPr>
      <w:r w:rsidRPr="0007490C">
        <w:rPr>
          <w:color w:val="000000" w:themeColor="text1"/>
        </w:rPr>
        <w:t>=</w:t>
      </w:r>
      <w:r w:rsidR="00E87B57" w:rsidRPr="0007490C">
        <w:rPr>
          <w:color w:val="000000" w:themeColor="text1"/>
        </w:rPr>
        <w:t xml:space="preserve"> </w:t>
      </w:r>
      <w:r w:rsidRPr="0007490C">
        <w:rPr>
          <w:color w:val="000000" w:themeColor="text1"/>
        </w:rPr>
        <w:t>8</w:t>
      </w:r>
      <w:r w:rsidR="0028284F" w:rsidRPr="0007490C">
        <w:rPr>
          <w:color w:val="000000" w:themeColor="text1"/>
        </w:rPr>
        <w:t xml:space="preserve"> %</w:t>
      </w:r>
    </w:p>
    <w:p w:rsidR="00A12E5A" w:rsidRPr="0007490C" w:rsidRDefault="0028284F" w:rsidP="00F12B93">
      <w:pPr>
        <w:spacing w:line="360" w:lineRule="auto"/>
        <w:jc w:val="both"/>
        <w:rPr>
          <w:color w:val="000000" w:themeColor="text1"/>
        </w:rPr>
      </w:pPr>
      <w:r w:rsidRPr="0007490C">
        <w:rPr>
          <w:color w:val="000000" w:themeColor="text1"/>
        </w:rPr>
        <w:t>Comparatively to Sales Turn Over increasing post the Me</w:t>
      </w:r>
      <w:r w:rsidR="00691C77">
        <w:rPr>
          <w:color w:val="000000" w:themeColor="text1"/>
        </w:rPr>
        <w:t>rger in the next financial year</w:t>
      </w:r>
      <w:r w:rsidRPr="0007490C">
        <w:rPr>
          <w:color w:val="000000" w:themeColor="text1"/>
        </w:rPr>
        <w:t>, there was an increase of 8 % in terms of percentage increase in the Sales Turnover across the two years indicating a strong reason for the Merger to be a successful one</w:t>
      </w:r>
    </w:p>
    <w:p w:rsidR="00050C5F" w:rsidRPr="0007490C" w:rsidRDefault="0028284F" w:rsidP="00050C5F">
      <w:pPr>
        <w:spacing w:line="360" w:lineRule="auto"/>
        <w:jc w:val="both"/>
        <w:rPr>
          <w:b/>
          <w:color w:val="000000" w:themeColor="text1"/>
        </w:rPr>
      </w:pPr>
      <w:r w:rsidRPr="0007490C">
        <w:rPr>
          <w:color w:val="000000" w:themeColor="text1"/>
        </w:rPr>
        <w:t>.</w:t>
      </w:r>
      <w:r w:rsidR="00050C5F" w:rsidRPr="0007490C">
        <w:rPr>
          <w:b/>
          <w:color w:val="000000" w:themeColor="text1"/>
        </w:rPr>
        <w:t xml:space="preserve"> GRAPH NO 4.2</w:t>
      </w:r>
    </w:p>
    <w:p w:rsidR="002564DC" w:rsidRPr="0007490C" w:rsidRDefault="00D0248D" w:rsidP="00F12B93">
      <w:pPr>
        <w:spacing w:line="360" w:lineRule="auto"/>
        <w:jc w:val="both"/>
        <w:rPr>
          <w:color w:val="000000" w:themeColor="text1"/>
        </w:rPr>
      </w:pPr>
      <w:r w:rsidRPr="0007490C">
        <w:rPr>
          <w:noProof/>
          <w:color w:val="000000" w:themeColor="text1"/>
        </w:rPr>
        <w:drawing>
          <wp:inline distT="0" distB="0" distL="0" distR="0">
            <wp:extent cx="5680916" cy="2398815"/>
            <wp:effectExtent l="19050" t="0" r="15034" b="14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8284F" w:rsidRPr="0007490C" w:rsidRDefault="006B00E0" w:rsidP="00F12B93">
      <w:pPr>
        <w:spacing w:line="360" w:lineRule="auto"/>
        <w:jc w:val="both"/>
        <w:rPr>
          <w:b/>
          <w:color w:val="000000" w:themeColor="text1"/>
        </w:rPr>
      </w:pPr>
      <w:r w:rsidRPr="0007490C">
        <w:rPr>
          <w:b/>
          <w:color w:val="000000" w:themeColor="text1"/>
        </w:rPr>
        <w:t>Interpretation:</w:t>
      </w:r>
    </w:p>
    <w:p w:rsidR="0028284F" w:rsidRPr="0007490C" w:rsidRDefault="0028284F" w:rsidP="00F12B93">
      <w:pPr>
        <w:spacing w:line="360" w:lineRule="auto"/>
        <w:jc w:val="both"/>
        <w:rPr>
          <w:color w:val="000000" w:themeColor="text1"/>
        </w:rPr>
      </w:pPr>
      <w:r w:rsidRPr="0007490C">
        <w:rPr>
          <w:color w:val="000000" w:themeColor="text1"/>
        </w:rPr>
        <w:t xml:space="preserve">The sales </w:t>
      </w:r>
      <w:r w:rsidR="003C6A02" w:rsidRPr="0007490C">
        <w:rPr>
          <w:color w:val="000000" w:themeColor="text1"/>
        </w:rPr>
        <w:t>turnover</w:t>
      </w:r>
      <w:r w:rsidRPr="0007490C">
        <w:rPr>
          <w:color w:val="000000" w:themeColor="text1"/>
        </w:rPr>
        <w:t xml:space="preserve"> increased after the merger to 2</w:t>
      </w:r>
      <w:r w:rsidR="005D43DD" w:rsidRPr="0007490C">
        <w:rPr>
          <w:color w:val="000000" w:themeColor="text1"/>
        </w:rPr>
        <w:t>18</w:t>
      </w:r>
      <w:r w:rsidRPr="0007490C">
        <w:rPr>
          <w:color w:val="000000" w:themeColor="text1"/>
        </w:rPr>
        <w:t>55.</w:t>
      </w:r>
      <w:r w:rsidR="005D43DD" w:rsidRPr="0007490C">
        <w:rPr>
          <w:color w:val="000000" w:themeColor="text1"/>
        </w:rPr>
        <w:t>19</w:t>
      </w:r>
      <w:r w:rsidRPr="0007490C">
        <w:rPr>
          <w:color w:val="000000" w:themeColor="text1"/>
        </w:rPr>
        <w:t xml:space="preserve"> i.e, </w:t>
      </w:r>
      <w:r w:rsidR="005D43DD" w:rsidRPr="0007490C">
        <w:rPr>
          <w:color w:val="000000" w:themeColor="text1"/>
        </w:rPr>
        <w:t>18</w:t>
      </w:r>
      <w:r w:rsidRPr="0007490C">
        <w:rPr>
          <w:color w:val="000000" w:themeColor="text1"/>
        </w:rPr>
        <w:t xml:space="preserve"> % rise in the value of sales turn over. Which indicates a positive performance indicator when analyzing the post factor effects of the Merger</w:t>
      </w:r>
      <w:r w:rsidR="00691C77">
        <w:rPr>
          <w:color w:val="000000" w:themeColor="text1"/>
        </w:rPr>
        <w:t>[10]</w:t>
      </w:r>
      <w:r w:rsidRPr="0007490C">
        <w:rPr>
          <w:color w:val="000000" w:themeColor="text1"/>
        </w:rPr>
        <w:t xml:space="preserve">, it clearly shows the Sales Turn </w:t>
      </w:r>
      <w:r w:rsidR="003263E5" w:rsidRPr="0007490C">
        <w:rPr>
          <w:color w:val="000000" w:themeColor="text1"/>
        </w:rPr>
        <w:t>over increased from</w:t>
      </w:r>
      <w:r w:rsidRPr="0007490C">
        <w:rPr>
          <w:color w:val="000000" w:themeColor="text1"/>
        </w:rPr>
        <w:t xml:space="preserve"> 20</w:t>
      </w:r>
      <w:r w:rsidR="0032300C" w:rsidRPr="0007490C">
        <w:rPr>
          <w:color w:val="000000" w:themeColor="text1"/>
        </w:rPr>
        <w:t>22</w:t>
      </w:r>
      <w:r w:rsidRPr="0007490C">
        <w:rPr>
          <w:color w:val="000000" w:themeColor="text1"/>
        </w:rPr>
        <w:t xml:space="preserve"> to </w:t>
      </w:r>
      <w:r w:rsidR="003263E5" w:rsidRPr="0007490C">
        <w:rPr>
          <w:color w:val="000000" w:themeColor="text1"/>
        </w:rPr>
        <w:t>20</w:t>
      </w:r>
      <w:r w:rsidR="0032300C" w:rsidRPr="0007490C">
        <w:rPr>
          <w:color w:val="000000" w:themeColor="text1"/>
        </w:rPr>
        <w:t>23</w:t>
      </w:r>
      <w:r w:rsidR="003263E5" w:rsidRPr="0007490C">
        <w:rPr>
          <w:color w:val="000000" w:themeColor="text1"/>
        </w:rPr>
        <w:t xml:space="preserve"> during</w:t>
      </w:r>
      <w:r w:rsidRPr="0007490C">
        <w:rPr>
          <w:color w:val="000000" w:themeColor="text1"/>
        </w:rPr>
        <w:t xml:space="preserve"> the financial year calculation</w:t>
      </w:r>
      <w:r w:rsidR="003263E5" w:rsidRPr="0007490C">
        <w:rPr>
          <w:color w:val="000000" w:themeColor="text1"/>
        </w:rPr>
        <w:t>.</w:t>
      </w:r>
    </w:p>
    <w:p w:rsidR="0028284F" w:rsidRPr="0007490C" w:rsidRDefault="0028284F" w:rsidP="00F12B93">
      <w:pPr>
        <w:spacing w:line="360" w:lineRule="auto"/>
        <w:jc w:val="both"/>
        <w:rPr>
          <w:b/>
          <w:color w:val="000000" w:themeColor="text1"/>
        </w:rPr>
      </w:pPr>
      <w:r w:rsidRPr="0007490C">
        <w:rPr>
          <w:b/>
          <w:color w:val="000000" w:themeColor="text1"/>
        </w:rPr>
        <w:lastRenderedPageBreak/>
        <w:t>Calculation of MPS: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18"/>
        <w:gridCol w:w="2340"/>
      </w:tblGrid>
      <w:tr w:rsidR="0028284F" w:rsidRPr="0007490C" w:rsidTr="004B315D">
        <w:tc>
          <w:tcPr>
            <w:tcW w:w="3618"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31</w:t>
            </w:r>
            <w:r w:rsidRPr="0007490C">
              <w:rPr>
                <w:color w:val="000000" w:themeColor="text1"/>
                <w:vertAlign w:val="superscript"/>
              </w:rPr>
              <w:t>st</w:t>
            </w:r>
            <w:r w:rsidRPr="0007490C">
              <w:rPr>
                <w:color w:val="000000" w:themeColor="text1"/>
              </w:rPr>
              <w:t xml:space="preserve"> march 20</w:t>
            </w:r>
            <w:r w:rsidR="001301E9" w:rsidRPr="0007490C">
              <w:rPr>
                <w:color w:val="000000" w:themeColor="text1"/>
              </w:rPr>
              <w:t>2</w:t>
            </w:r>
            <w:r w:rsidR="004F0AA1" w:rsidRPr="0007490C">
              <w:rPr>
                <w:color w:val="000000" w:themeColor="text1"/>
              </w:rPr>
              <w:t>2</w:t>
            </w:r>
          </w:p>
        </w:tc>
        <w:tc>
          <w:tcPr>
            <w:tcW w:w="2340"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MPS=Rs 387.80</w:t>
            </w:r>
          </w:p>
        </w:tc>
      </w:tr>
      <w:tr w:rsidR="0028284F" w:rsidRPr="0007490C" w:rsidTr="004B315D">
        <w:tc>
          <w:tcPr>
            <w:tcW w:w="3618"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31</w:t>
            </w:r>
            <w:r w:rsidRPr="0007490C">
              <w:rPr>
                <w:color w:val="000000" w:themeColor="text1"/>
                <w:vertAlign w:val="superscript"/>
              </w:rPr>
              <w:t>st</w:t>
            </w:r>
            <w:r w:rsidRPr="0007490C">
              <w:rPr>
                <w:color w:val="000000" w:themeColor="text1"/>
              </w:rPr>
              <w:t xml:space="preserve"> march 20</w:t>
            </w:r>
            <w:r w:rsidR="005D43DD" w:rsidRPr="0007490C">
              <w:rPr>
                <w:color w:val="000000" w:themeColor="text1"/>
              </w:rPr>
              <w:t>2</w:t>
            </w:r>
            <w:r w:rsidR="004F0AA1" w:rsidRPr="0007490C">
              <w:rPr>
                <w:color w:val="000000" w:themeColor="text1"/>
              </w:rPr>
              <w:t>3</w:t>
            </w:r>
          </w:p>
        </w:tc>
        <w:tc>
          <w:tcPr>
            <w:tcW w:w="2340" w:type="dxa"/>
            <w:shd w:val="clear" w:color="auto" w:fill="auto"/>
          </w:tcPr>
          <w:p w:rsidR="0028284F" w:rsidRPr="0007490C" w:rsidRDefault="0028284F" w:rsidP="00F12B93">
            <w:pPr>
              <w:spacing w:line="360" w:lineRule="auto"/>
              <w:jc w:val="both"/>
              <w:rPr>
                <w:color w:val="000000" w:themeColor="text1"/>
              </w:rPr>
            </w:pPr>
            <w:r w:rsidRPr="0007490C">
              <w:rPr>
                <w:color w:val="000000" w:themeColor="text1"/>
              </w:rPr>
              <w:t>MPS=Rs 295.75</w:t>
            </w:r>
          </w:p>
        </w:tc>
      </w:tr>
    </w:tbl>
    <w:p w:rsidR="0028284F" w:rsidRPr="0007490C" w:rsidRDefault="0028284F" w:rsidP="00F12B93">
      <w:pPr>
        <w:spacing w:line="360" w:lineRule="auto"/>
        <w:jc w:val="both"/>
        <w:rPr>
          <w:color w:val="000000" w:themeColor="text1"/>
        </w:rPr>
      </w:pPr>
      <w:r w:rsidRPr="0007490C">
        <w:rPr>
          <w:color w:val="000000" w:themeColor="text1"/>
        </w:rPr>
        <w:t>However when compared to Sales Turn over , MPS post-Merger had a significant fall of about Rs 92 when compared to pre-merger and post-merger analysis. This attributes to the fact that all macro-economic</w:t>
      </w:r>
      <w:r w:rsidR="00A00863" w:rsidRPr="0007490C">
        <w:rPr>
          <w:color w:val="000000" w:themeColor="text1"/>
        </w:rPr>
        <w:t xml:space="preserve"> </w:t>
      </w:r>
      <w:r w:rsidRPr="0007490C">
        <w:rPr>
          <w:color w:val="000000" w:themeColor="text1"/>
        </w:rPr>
        <w:t>(global recession) indicators of a Merger cannot sustain the same levels of performance</w:t>
      </w:r>
      <w:r w:rsidR="002B7E9D" w:rsidRPr="0007490C">
        <w:rPr>
          <w:color w:val="000000" w:themeColor="text1"/>
        </w:rPr>
        <w:t>.</w:t>
      </w:r>
    </w:p>
    <w:p w:rsidR="0028284F" w:rsidRPr="0007490C" w:rsidRDefault="0028284F" w:rsidP="00F12B93">
      <w:pPr>
        <w:spacing w:line="360" w:lineRule="auto"/>
        <w:jc w:val="both"/>
        <w:rPr>
          <w:color w:val="000000" w:themeColor="text1"/>
        </w:rPr>
      </w:pPr>
      <w:r w:rsidRPr="0007490C">
        <w:rPr>
          <w:b/>
          <w:color w:val="000000" w:themeColor="text1"/>
        </w:rPr>
        <w:t>Calculation of MPS Percentage</w:t>
      </w:r>
      <w:r w:rsidRPr="0007490C">
        <w:rPr>
          <w:color w:val="000000" w:themeColor="text1"/>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79"/>
      </w:tblGrid>
      <w:tr w:rsidR="000B7B7A" w:rsidRPr="0007490C" w:rsidTr="000B7B7A">
        <w:trPr>
          <w:trHeight w:val="447"/>
        </w:trPr>
        <w:tc>
          <w:tcPr>
            <w:tcW w:w="5779" w:type="dxa"/>
          </w:tcPr>
          <w:p w:rsidR="000B7B7A" w:rsidRPr="0007490C" w:rsidRDefault="000B7B7A" w:rsidP="00F12B93">
            <w:pPr>
              <w:spacing w:line="360" w:lineRule="auto"/>
              <w:ind w:left="28"/>
              <w:jc w:val="both"/>
              <w:rPr>
                <w:b/>
                <w:color w:val="000000" w:themeColor="text1"/>
              </w:rPr>
            </w:pPr>
            <w:r w:rsidRPr="0007490C">
              <w:rPr>
                <w:b/>
                <w:color w:val="000000" w:themeColor="text1"/>
              </w:rPr>
              <w:t>MPS =</w:t>
            </w:r>
            <w:r w:rsidR="00B517C6" w:rsidRPr="0007490C">
              <w:rPr>
                <w:b/>
                <w:color w:val="000000" w:themeColor="text1"/>
              </w:rPr>
              <w:t xml:space="preserve"> </w:t>
            </w:r>
            <w:r w:rsidRPr="0007490C">
              <w:rPr>
                <w:b/>
                <w:color w:val="000000" w:themeColor="text1"/>
              </w:rPr>
              <w:t xml:space="preserve">( Base year – current year) / Base year * </w:t>
            </w:r>
            <w:r w:rsidR="005D43DD" w:rsidRPr="0007490C">
              <w:rPr>
                <w:b/>
                <w:color w:val="000000" w:themeColor="text1"/>
              </w:rPr>
              <w:t>20</w:t>
            </w:r>
            <w:r w:rsidRPr="0007490C">
              <w:rPr>
                <w:b/>
                <w:color w:val="000000" w:themeColor="text1"/>
              </w:rPr>
              <w:t>0</w:t>
            </w:r>
          </w:p>
        </w:tc>
      </w:tr>
    </w:tbl>
    <w:p w:rsidR="0028284F" w:rsidRPr="0007490C" w:rsidRDefault="0028284F" w:rsidP="00F12B93">
      <w:pPr>
        <w:spacing w:line="360" w:lineRule="auto"/>
        <w:jc w:val="both"/>
        <w:rPr>
          <w:color w:val="000000" w:themeColor="text1"/>
        </w:rPr>
      </w:pPr>
      <w:r w:rsidRPr="0007490C">
        <w:rPr>
          <w:color w:val="000000" w:themeColor="text1"/>
        </w:rPr>
        <w:t xml:space="preserve">= 387.80 – 295.75 / 387.80 * </w:t>
      </w:r>
      <w:r w:rsidR="005D43DD" w:rsidRPr="0007490C">
        <w:rPr>
          <w:color w:val="000000" w:themeColor="text1"/>
        </w:rPr>
        <w:t>20</w:t>
      </w:r>
      <w:r w:rsidRPr="0007490C">
        <w:rPr>
          <w:color w:val="000000" w:themeColor="text1"/>
        </w:rPr>
        <w:t>0</w:t>
      </w:r>
    </w:p>
    <w:p w:rsidR="0028284F" w:rsidRPr="0007490C" w:rsidRDefault="0028284F" w:rsidP="00F12B93">
      <w:pPr>
        <w:spacing w:line="360" w:lineRule="auto"/>
        <w:jc w:val="both"/>
        <w:rPr>
          <w:color w:val="000000" w:themeColor="text1"/>
        </w:rPr>
      </w:pPr>
      <w:r w:rsidRPr="0007490C">
        <w:rPr>
          <w:color w:val="000000" w:themeColor="text1"/>
        </w:rPr>
        <w:t>= 24 %</w:t>
      </w:r>
    </w:p>
    <w:p w:rsidR="00050C5F" w:rsidRPr="0007490C" w:rsidRDefault="00050C5F" w:rsidP="00050C5F">
      <w:pPr>
        <w:spacing w:line="360" w:lineRule="auto"/>
        <w:jc w:val="both"/>
        <w:rPr>
          <w:b/>
          <w:color w:val="000000" w:themeColor="text1"/>
        </w:rPr>
      </w:pPr>
      <w:r w:rsidRPr="0007490C">
        <w:rPr>
          <w:b/>
          <w:color w:val="000000" w:themeColor="text1"/>
        </w:rPr>
        <w:t>GRAPH NO 4.3</w:t>
      </w:r>
    </w:p>
    <w:p w:rsidR="0028284F" w:rsidRPr="0007490C" w:rsidRDefault="005506B8" w:rsidP="00F12B93">
      <w:pPr>
        <w:spacing w:line="360" w:lineRule="auto"/>
        <w:jc w:val="both"/>
        <w:rPr>
          <w:color w:val="000000" w:themeColor="text1"/>
        </w:rPr>
      </w:pPr>
      <w:r w:rsidRPr="0007490C">
        <w:rPr>
          <w:noProof/>
          <w:color w:val="000000" w:themeColor="text1"/>
        </w:rPr>
        <w:drawing>
          <wp:inline distT="0" distB="0" distL="0" distR="0">
            <wp:extent cx="5826405" cy="2624447"/>
            <wp:effectExtent l="19050" t="0" r="21945" b="4453"/>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8284F" w:rsidRPr="0007490C" w:rsidRDefault="00FA33CD" w:rsidP="00F12B93">
      <w:pPr>
        <w:spacing w:line="360" w:lineRule="auto"/>
        <w:jc w:val="both"/>
        <w:rPr>
          <w:b/>
          <w:color w:val="000000" w:themeColor="text1"/>
        </w:rPr>
      </w:pPr>
      <w:r w:rsidRPr="0007490C">
        <w:rPr>
          <w:b/>
          <w:color w:val="000000" w:themeColor="text1"/>
        </w:rPr>
        <w:t>Interpretation</w:t>
      </w:r>
      <w:r w:rsidR="0028284F" w:rsidRPr="0007490C">
        <w:rPr>
          <w:b/>
          <w:color w:val="000000" w:themeColor="text1"/>
        </w:rPr>
        <w:t>:</w:t>
      </w:r>
    </w:p>
    <w:p w:rsidR="0028284F" w:rsidRPr="0007490C" w:rsidRDefault="0028284F" w:rsidP="00F12B93">
      <w:pPr>
        <w:spacing w:line="360" w:lineRule="auto"/>
        <w:jc w:val="both"/>
        <w:rPr>
          <w:color w:val="000000" w:themeColor="text1"/>
        </w:rPr>
      </w:pPr>
      <w:r w:rsidRPr="0007490C">
        <w:rPr>
          <w:color w:val="000000" w:themeColor="text1"/>
        </w:rPr>
        <w:t>The MPS changed from 387.80 to 295.75 after merger. This decrease is because of the bonus issue which led to a 24 % fall in the value of MPS.</w:t>
      </w:r>
    </w:p>
    <w:p w:rsidR="0028284F" w:rsidRPr="0007490C" w:rsidRDefault="0028284F" w:rsidP="00F12B93">
      <w:pPr>
        <w:spacing w:line="360" w:lineRule="auto"/>
        <w:jc w:val="both"/>
        <w:rPr>
          <w:color w:val="000000" w:themeColor="text1"/>
        </w:rPr>
      </w:pPr>
      <w:r w:rsidRPr="0007490C">
        <w:rPr>
          <w:color w:val="000000" w:themeColor="text1"/>
        </w:rPr>
        <w:t>The MPS percentage had gone down by 24 % while comparing to the gross MPS numbers which came down below by Rs 92.  This is also a significant factor which enables us to give a clear picture of the Merger</w:t>
      </w:r>
      <w:r w:rsidR="00CB5787" w:rsidRPr="0007490C">
        <w:rPr>
          <w:color w:val="000000" w:themeColor="text1"/>
        </w:rPr>
        <w:t>.</w:t>
      </w:r>
    </w:p>
    <w:p w:rsidR="0028284F" w:rsidRPr="0007490C" w:rsidRDefault="0028284F" w:rsidP="00F12B93">
      <w:pPr>
        <w:spacing w:line="360" w:lineRule="auto"/>
        <w:jc w:val="both"/>
        <w:rPr>
          <w:color w:val="000000" w:themeColor="text1"/>
        </w:rPr>
      </w:pPr>
      <w:r w:rsidRPr="0007490C">
        <w:rPr>
          <w:b/>
          <w:color w:val="000000" w:themeColor="text1"/>
        </w:rPr>
        <w:t>Calculation P/E ratio</w:t>
      </w:r>
      <w:r w:rsidRPr="0007490C">
        <w:rPr>
          <w:color w:val="000000" w:themeColor="text1"/>
        </w:rPr>
        <w:t>:</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62"/>
      </w:tblGrid>
      <w:tr w:rsidR="000B7B7A" w:rsidRPr="0007490C" w:rsidTr="00AD2BD9">
        <w:trPr>
          <w:trHeight w:val="411"/>
        </w:trPr>
        <w:tc>
          <w:tcPr>
            <w:tcW w:w="2862" w:type="dxa"/>
          </w:tcPr>
          <w:p w:rsidR="000B7B7A" w:rsidRPr="0007490C" w:rsidRDefault="000B7B7A" w:rsidP="00F12B93">
            <w:pPr>
              <w:spacing w:line="360" w:lineRule="auto"/>
              <w:ind w:left="65"/>
              <w:jc w:val="both"/>
              <w:rPr>
                <w:b/>
                <w:color w:val="000000" w:themeColor="text1"/>
              </w:rPr>
            </w:pPr>
            <w:r w:rsidRPr="0007490C">
              <w:rPr>
                <w:b/>
                <w:color w:val="000000" w:themeColor="text1"/>
              </w:rPr>
              <w:t>P/E ratio =</w:t>
            </w:r>
            <w:r w:rsidR="005B1CD9" w:rsidRPr="0007490C">
              <w:rPr>
                <w:b/>
                <w:color w:val="000000" w:themeColor="text1"/>
              </w:rPr>
              <w:t xml:space="preserve"> (</w:t>
            </w:r>
            <w:r w:rsidRPr="0007490C">
              <w:rPr>
                <w:b/>
                <w:color w:val="000000" w:themeColor="text1"/>
              </w:rPr>
              <w:t xml:space="preserve"> MPS/EPS</w:t>
            </w:r>
            <w:r w:rsidR="005B1CD9" w:rsidRPr="0007490C">
              <w:rPr>
                <w:b/>
                <w:color w:val="000000" w:themeColor="text1"/>
              </w:rPr>
              <w:t>)</w:t>
            </w:r>
          </w:p>
        </w:tc>
      </w:tr>
    </w:tbl>
    <w:p w:rsidR="005B1CD9" w:rsidRPr="0007490C" w:rsidRDefault="005B1CD9" w:rsidP="00F12B93">
      <w:pPr>
        <w:spacing w:line="360" w:lineRule="auto"/>
        <w:jc w:val="both"/>
        <w:rPr>
          <w:color w:val="000000" w:themeColor="text1"/>
        </w:rPr>
      </w:pPr>
    </w:p>
    <w:p w:rsidR="000B7B7A" w:rsidRPr="0007490C" w:rsidRDefault="000B7B7A" w:rsidP="00F12B93">
      <w:pPr>
        <w:spacing w:line="360" w:lineRule="auto"/>
        <w:jc w:val="both"/>
        <w:rPr>
          <w:color w:val="000000" w:themeColor="text1"/>
        </w:rPr>
      </w:pPr>
      <w:r w:rsidRPr="0007490C">
        <w:rPr>
          <w:color w:val="000000" w:themeColor="text1"/>
        </w:rPr>
        <w:t>On 31</w:t>
      </w:r>
      <w:r w:rsidRPr="0007490C">
        <w:rPr>
          <w:color w:val="000000" w:themeColor="text1"/>
          <w:vertAlign w:val="superscript"/>
        </w:rPr>
        <w:t>st</w:t>
      </w:r>
      <w:r w:rsidRPr="0007490C">
        <w:rPr>
          <w:color w:val="000000" w:themeColor="text1"/>
        </w:rPr>
        <w:t>,March 20</w:t>
      </w:r>
      <w:r w:rsidR="00FF553F" w:rsidRPr="0007490C">
        <w:rPr>
          <w:color w:val="000000" w:themeColor="text1"/>
        </w:rPr>
        <w:t>22</w:t>
      </w:r>
    </w:p>
    <w:p w:rsidR="0028284F" w:rsidRPr="0007490C" w:rsidRDefault="000B7B7A" w:rsidP="00F12B93">
      <w:pPr>
        <w:spacing w:line="360" w:lineRule="auto"/>
        <w:jc w:val="both"/>
        <w:rPr>
          <w:color w:val="000000" w:themeColor="text1"/>
        </w:rPr>
      </w:pPr>
      <w:r w:rsidRPr="0007490C">
        <w:rPr>
          <w:color w:val="000000" w:themeColor="text1"/>
        </w:rPr>
        <w:t>=</w:t>
      </w:r>
      <w:r w:rsidR="00AD2BD9" w:rsidRPr="0007490C">
        <w:rPr>
          <w:color w:val="000000" w:themeColor="text1"/>
        </w:rPr>
        <w:t xml:space="preserve"> </w:t>
      </w:r>
      <w:r w:rsidR="0028284F" w:rsidRPr="0007490C">
        <w:rPr>
          <w:color w:val="000000" w:themeColor="text1"/>
        </w:rPr>
        <w:t>(387.80 / 23.44)</w:t>
      </w:r>
    </w:p>
    <w:p w:rsidR="005B1CD9" w:rsidRPr="0007490C" w:rsidRDefault="0028284F" w:rsidP="00F12B93">
      <w:pPr>
        <w:spacing w:line="360" w:lineRule="auto"/>
        <w:jc w:val="both"/>
        <w:rPr>
          <w:color w:val="000000" w:themeColor="text1"/>
        </w:rPr>
      </w:pPr>
      <w:r w:rsidRPr="0007490C">
        <w:rPr>
          <w:color w:val="000000" w:themeColor="text1"/>
        </w:rPr>
        <w:lastRenderedPageBreak/>
        <w:t xml:space="preserve">= </w:t>
      </w:r>
      <w:r w:rsidR="005D43DD" w:rsidRPr="0007490C">
        <w:rPr>
          <w:color w:val="000000" w:themeColor="text1"/>
        </w:rPr>
        <w:t>19</w:t>
      </w:r>
      <w:r w:rsidRPr="0007490C">
        <w:rPr>
          <w:color w:val="000000" w:themeColor="text1"/>
        </w:rPr>
        <w:t xml:space="preserve"> times</w:t>
      </w:r>
    </w:p>
    <w:p w:rsidR="0028284F" w:rsidRPr="0007490C" w:rsidRDefault="007A138B" w:rsidP="00F12B93">
      <w:pPr>
        <w:spacing w:line="360" w:lineRule="auto"/>
        <w:jc w:val="both"/>
        <w:rPr>
          <w:color w:val="000000" w:themeColor="text1"/>
        </w:rPr>
      </w:pPr>
      <w:r w:rsidRPr="0007490C">
        <w:rPr>
          <w:color w:val="000000" w:themeColor="text1"/>
        </w:rPr>
        <w:t xml:space="preserve">On </w:t>
      </w:r>
      <w:r w:rsidR="0028284F" w:rsidRPr="0007490C">
        <w:rPr>
          <w:color w:val="000000" w:themeColor="text1"/>
        </w:rPr>
        <w:t>31</w:t>
      </w:r>
      <w:r w:rsidR="0028284F" w:rsidRPr="0007490C">
        <w:rPr>
          <w:color w:val="000000" w:themeColor="text1"/>
          <w:vertAlign w:val="superscript"/>
        </w:rPr>
        <w:t>st</w:t>
      </w:r>
      <w:r w:rsidR="0028284F" w:rsidRPr="0007490C">
        <w:rPr>
          <w:color w:val="000000" w:themeColor="text1"/>
        </w:rPr>
        <w:t xml:space="preserve"> mar 20</w:t>
      </w:r>
      <w:r w:rsidR="00FF553F" w:rsidRPr="0007490C">
        <w:rPr>
          <w:color w:val="000000" w:themeColor="text1"/>
        </w:rPr>
        <w:t>23</w:t>
      </w:r>
    </w:p>
    <w:p w:rsidR="0028284F" w:rsidRPr="0007490C" w:rsidRDefault="0028284F" w:rsidP="00F12B93">
      <w:pPr>
        <w:spacing w:line="360" w:lineRule="auto"/>
        <w:jc w:val="both"/>
        <w:rPr>
          <w:color w:val="000000" w:themeColor="text1"/>
        </w:rPr>
      </w:pPr>
      <w:r w:rsidRPr="0007490C">
        <w:rPr>
          <w:color w:val="000000" w:themeColor="text1"/>
        </w:rPr>
        <w:t>= (295.75 / 40)</w:t>
      </w:r>
    </w:p>
    <w:p w:rsidR="0028284F" w:rsidRPr="0007490C" w:rsidRDefault="0028284F" w:rsidP="00F12B93">
      <w:pPr>
        <w:spacing w:line="360" w:lineRule="auto"/>
        <w:jc w:val="both"/>
        <w:rPr>
          <w:color w:val="000000" w:themeColor="text1"/>
        </w:rPr>
      </w:pPr>
      <w:r w:rsidRPr="0007490C">
        <w:rPr>
          <w:color w:val="000000" w:themeColor="text1"/>
        </w:rPr>
        <w:t>= 7 times</w:t>
      </w:r>
    </w:p>
    <w:p w:rsidR="004B315D" w:rsidRPr="0007490C" w:rsidRDefault="0028284F" w:rsidP="00F12B93">
      <w:pPr>
        <w:spacing w:line="360" w:lineRule="auto"/>
        <w:jc w:val="both"/>
        <w:rPr>
          <w:color w:val="000000" w:themeColor="text1"/>
          <w:shd w:val="clear" w:color="auto" w:fill="FFFFFF"/>
        </w:rPr>
      </w:pPr>
      <w:r w:rsidRPr="0007490C">
        <w:rPr>
          <w:color w:val="000000" w:themeColor="text1"/>
        </w:rPr>
        <w:t>P/E Ratio means Price to Earnings</w:t>
      </w:r>
      <w:r w:rsidRPr="0007490C">
        <w:rPr>
          <w:color w:val="000000" w:themeColor="text1"/>
          <w:shd w:val="clear" w:color="auto" w:fill="FFFFFF"/>
        </w:rPr>
        <w:t xml:space="preserve"> ratio of a company is a major focus for many managers. They are usually paid in company stock or options on their company's stock (a form of payment that is supposed to align the interests of management with the interests of other stock holders). </w:t>
      </w:r>
    </w:p>
    <w:p w:rsidR="0055158D" w:rsidRPr="0007490C" w:rsidRDefault="0055158D" w:rsidP="00F12B93">
      <w:pPr>
        <w:spacing w:line="360" w:lineRule="auto"/>
        <w:jc w:val="both"/>
        <w:rPr>
          <w:color w:val="000000" w:themeColor="text1"/>
        </w:rPr>
      </w:pPr>
      <w:r w:rsidRPr="0007490C">
        <w:rPr>
          <w:noProof/>
          <w:color w:val="000000" w:themeColor="text1"/>
        </w:rPr>
        <w:drawing>
          <wp:inline distT="0" distB="0" distL="0" distR="0">
            <wp:extent cx="5960844" cy="2493818"/>
            <wp:effectExtent l="19050" t="0" r="20856" b="1732"/>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0C5F" w:rsidRPr="0007490C" w:rsidRDefault="00050C5F" w:rsidP="00050C5F">
      <w:pPr>
        <w:spacing w:line="360" w:lineRule="auto"/>
        <w:jc w:val="both"/>
        <w:rPr>
          <w:b/>
          <w:color w:val="000000" w:themeColor="text1"/>
        </w:rPr>
      </w:pPr>
      <w:r w:rsidRPr="0007490C">
        <w:rPr>
          <w:b/>
          <w:color w:val="000000" w:themeColor="text1"/>
        </w:rPr>
        <w:t>GRAPH NO 4.4</w:t>
      </w:r>
    </w:p>
    <w:p w:rsidR="007A138B" w:rsidRPr="0007490C" w:rsidRDefault="007A138B" w:rsidP="00F12B93">
      <w:pPr>
        <w:spacing w:line="360" w:lineRule="auto"/>
        <w:jc w:val="both"/>
        <w:rPr>
          <w:b/>
          <w:color w:val="000000" w:themeColor="text1"/>
        </w:rPr>
      </w:pPr>
      <w:r w:rsidRPr="0007490C">
        <w:rPr>
          <w:b/>
          <w:color w:val="000000" w:themeColor="text1"/>
        </w:rPr>
        <w:t>Interpretation:</w:t>
      </w:r>
    </w:p>
    <w:p w:rsidR="0028284F" w:rsidRPr="0007490C" w:rsidRDefault="0028284F" w:rsidP="00F12B93">
      <w:pPr>
        <w:spacing w:line="360" w:lineRule="auto"/>
        <w:jc w:val="both"/>
        <w:rPr>
          <w:color w:val="000000" w:themeColor="text1"/>
        </w:rPr>
      </w:pPr>
      <w:r w:rsidRPr="0007490C">
        <w:rPr>
          <w:color w:val="000000" w:themeColor="text1"/>
        </w:rPr>
        <w:t xml:space="preserve">The P/E ratio has been decreased as the MPS is decreased. When we look at the below table of Ideally companies that have been historically measure to arrive at this juncture. The P/E ratio pre merger was </w:t>
      </w:r>
      <w:r w:rsidR="005D43DD" w:rsidRPr="0007490C">
        <w:rPr>
          <w:color w:val="000000" w:themeColor="text1"/>
        </w:rPr>
        <w:t>19</w:t>
      </w:r>
      <w:r w:rsidRPr="0007490C">
        <w:rPr>
          <w:color w:val="000000" w:themeColor="text1"/>
        </w:rPr>
        <w:t xml:space="preserve"> times which came down to 7 times post Merger in this regard. The below mention table has a detailed anlaysis of Price to Earnings Ratio is looked upon by industries as a measure of growth of </w:t>
      </w:r>
      <w:r w:rsidR="004B315D" w:rsidRPr="0007490C">
        <w:rPr>
          <w:color w:val="000000" w:themeColor="text1"/>
        </w:rPr>
        <w:t>companies.</w:t>
      </w:r>
    </w:p>
    <w:p w:rsidR="0028284F" w:rsidRPr="0007490C" w:rsidRDefault="0028284F" w:rsidP="00F12B93">
      <w:pPr>
        <w:spacing w:line="360" w:lineRule="auto"/>
        <w:jc w:val="both"/>
        <w:rPr>
          <w:color w:val="000000" w:themeColor="text1"/>
        </w:rPr>
      </w:pPr>
      <w:r w:rsidRPr="0007490C">
        <w:rPr>
          <w:b/>
          <w:color w:val="000000" w:themeColor="text1"/>
        </w:rPr>
        <w:t>Calculation of value of the firm</w:t>
      </w:r>
      <w:r w:rsidRPr="0007490C">
        <w:rPr>
          <w:color w:val="000000" w:themeColor="text1"/>
        </w:rPr>
        <w:t>:</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94"/>
      </w:tblGrid>
      <w:tr w:rsidR="005B1CD9" w:rsidRPr="0007490C" w:rsidTr="005B1CD9">
        <w:trPr>
          <w:trHeight w:val="449"/>
        </w:trPr>
        <w:tc>
          <w:tcPr>
            <w:tcW w:w="7294" w:type="dxa"/>
          </w:tcPr>
          <w:p w:rsidR="005B1CD9" w:rsidRPr="0007490C" w:rsidRDefault="005B1CD9" w:rsidP="00F12B93">
            <w:pPr>
              <w:spacing w:line="360" w:lineRule="auto"/>
              <w:ind w:left="28"/>
              <w:jc w:val="both"/>
              <w:rPr>
                <w:b/>
                <w:color w:val="000000" w:themeColor="text1"/>
              </w:rPr>
            </w:pPr>
            <w:r w:rsidRPr="0007490C">
              <w:rPr>
                <w:b/>
                <w:color w:val="000000" w:themeColor="text1"/>
              </w:rPr>
              <w:t xml:space="preserve">Value of the firm = </w:t>
            </w:r>
            <w:r w:rsidR="00C15FAC" w:rsidRPr="0007490C">
              <w:rPr>
                <w:b/>
                <w:color w:val="000000" w:themeColor="text1"/>
              </w:rPr>
              <w:t>(</w:t>
            </w:r>
            <w:r w:rsidRPr="0007490C">
              <w:rPr>
                <w:b/>
                <w:color w:val="000000" w:themeColor="text1"/>
              </w:rPr>
              <w:t>MPS of the pre merger – MPS of post merger</w:t>
            </w:r>
            <w:r w:rsidR="00C15FAC" w:rsidRPr="0007490C">
              <w:rPr>
                <w:b/>
                <w:color w:val="000000" w:themeColor="text1"/>
              </w:rPr>
              <w:t>)</w:t>
            </w:r>
          </w:p>
        </w:tc>
      </w:tr>
    </w:tbl>
    <w:p w:rsidR="0028284F" w:rsidRPr="0007490C" w:rsidRDefault="0028284F" w:rsidP="00F12B93">
      <w:pPr>
        <w:spacing w:line="360" w:lineRule="auto"/>
        <w:jc w:val="both"/>
        <w:rPr>
          <w:color w:val="000000" w:themeColor="text1"/>
        </w:rPr>
      </w:pPr>
      <w:r w:rsidRPr="0007490C">
        <w:rPr>
          <w:color w:val="000000" w:themeColor="text1"/>
        </w:rPr>
        <w:t>= 387.80 – 295.75</w:t>
      </w:r>
    </w:p>
    <w:p w:rsidR="002564DC" w:rsidRPr="0007490C" w:rsidRDefault="0028284F" w:rsidP="00F12B93">
      <w:pPr>
        <w:spacing w:line="360" w:lineRule="auto"/>
        <w:jc w:val="both"/>
        <w:rPr>
          <w:color w:val="000000" w:themeColor="text1"/>
        </w:rPr>
      </w:pPr>
      <w:r w:rsidRPr="0007490C">
        <w:rPr>
          <w:color w:val="000000" w:themeColor="text1"/>
        </w:rPr>
        <w:t>= 92.05.</w:t>
      </w:r>
    </w:p>
    <w:p w:rsidR="00EF59CE" w:rsidRPr="0007490C" w:rsidRDefault="00EF59CE" w:rsidP="00F12B93">
      <w:pPr>
        <w:spacing w:line="360" w:lineRule="auto"/>
        <w:jc w:val="both"/>
        <w:rPr>
          <w:b/>
          <w:color w:val="000000" w:themeColor="text1"/>
        </w:rPr>
      </w:pPr>
      <w:r w:rsidRPr="0007490C">
        <w:rPr>
          <w:b/>
          <w:color w:val="000000" w:themeColor="text1"/>
        </w:rPr>
        <w:t>Interpretation:</w:t>
      </w:r>
    </w:p>
    <w:p w:rsidR="0028284F" w:rsidRDefault="0028284F" w:rsidP="00F12B93">
      <w:pPr>
        <w:spacing w:line="360" w:lineRule="auto"/>
        <w:jc w:val="both"/>
        <w:rPr>
          <w:color w:val="000000" w:themeColor="text1"/>
        </w:rPr>
      </w:pPr>
      <w:r w:rsidRPr="0007490C">
        <w:rPr>
          <w:color w:val="000000" w:themeColor="text1"/>
        </w:rPr>
        <w:t xml:space="preserve">The value of the firm decreased because the MPS decreased by the issue of the bonus shares. There were Bonus shares given to </w:t>
      </w:r>
      <w:r w:rsidR="00F21E56" w:rsidRPr="0007490C">
        <w:rPr>
          <w:color w:val="000000" w:themeColor="text1"/>
        </w:rPr>
        <w:t>IIFL</w:t>
      </w:r>
      <w:r w:rsidRPr="0007490C">
        <w:rPr>
          <w:color w:val="000000" w:themeColor="text1"/>
        </w:rPr>
        <w:t xml:space="preserve"> company in lieu of the Merger , that resulted in the value of the firm decreasing as the Share prices of both the firms were not of equal range .</w:t>
      </w:r>
    </w:p>
    <w:p w:rsidR="001058F5" w:rsidRDefault="001058F5" w:rsidP="00F12B93">
      <w:pPr>
        <w:spacing w:line="360" w:lineRule="auto"/>
        <w:jc w:val="both"/>
        <w:rPr>
          <w:color w:val="000000" w:themeColor="text1"/>
        </w:rPr>
      </w:pPr>
    </w:p>
    <w:p w:rsidR="001058F5" w:rsidRDefault="001058F5" w:rsidP="00F12B93">
      <w:pPr>
        <w:spacing w:line="360" w:lineRule="auto"/>
        <w:jc w:val="both"/>
        <w:rPr>
          <w:color w:val="000000" w:themeColor="text1"/>
        </w:rPr>
      </w:pPr>
    </w:p>
    <w:p w:rsidR="001058F5" w:rsidRPr="0007490C" w:rsidRDefault="001058F5" w:rsidP="00F12B93">
      <w:pPr>
        <w:spacing w:line="360" w:lineRule="auto"/>
        <w:jc w:val="both"/>
        <w:rPr>
          <w:color w:val="000000" w:themeColor="text1"/>
        </w:rPr>
      </w:pPr>
    </w:p>
    <w:p w:rsidR="0028284F" w:rsidRPr="0007490C" w:rsidRDefault="0028284F" w:rsidP="00F12B93">
      <w:pPr>
        <w:spacing w:line="360" w:lineRule="auto"/>
        <w:jc w:val="both"/>
        <w:rPr>
          <w:color w:val="000000" w:themeColor="text1"/>
        </w:rPr>
      </w:pPr>
      <w:r w:rsidRPr="0007490C">
        <w:rPr>
          <w:b/>
          <w:color w:val="000000" w:themeColor="text1"/>
        </w:rPr>
        <w:t>Calculation of pre and post merger</w:t>
      </w:r>
      <w:r w:rsidR="008D58F3" w:rsidRPr="0007490C">
        <w:rPr>
          <w:b/>
          <w:color w:val="000000" w:themeColor="text1"/>
        </w:rPr>
        <w:t xml:space="preserve"> </w:t>
      </w:r>
      <w:r w:rsidR="00FB4F69" w:rsidRPr="0007490C">
        <w:rPr>
          <w:b/>
          <w:color w:val="000000" w:themeColor="text1"/>
        </w:rPr>
        <w:t>cost</w:t>
      </w:r>
      <w:r w:rsidR="00FB4F69" w:rsidRPr="0007490C">
        <w:rPr>
          <w:color w:val="000000" w:themeColor="text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11"/>
        <w:gridCol w:w="2806"/>
        <w:gridCol w:w="2806"/>
      </w:tblGrid>
      <w:tr w:rsidR="0028284F" w:rsidRPr="0007490C" w:rsidTr="004D0E5D">
        <w:tc>
          <w:tcPr>
            <w:tcW w:w="3312" w:type="dxa"/>
          </w:tcPr>
          <w:p w:rsidR="0028284F" w:rsidRPr="0007490C" w:rsidRDefault="0028284F" w:rsidP="00F12B93">
            <w:pPr>
              <w:spacing w:line="360" w:lineRule="auto"/>
              <w:jc w:val="both"/>
              <w:rPr>
                <w:b/>
                <w:color w:val="000000" w:themeColor="text1"/>
              </w:rPr>
            </w:pPr>
            <w:r w:rsidRPr="0007490C">
              <w:rPr>
                <w:b/>
                <w:color w:val="000000" w:themeColor="text1"/>
              </w:rPr>
              <w:t>Particulars</w:t>
            </w:r>
          </w:p>
        </w:tc>
        <w:tc>
          <w:tcPr>
            <w:tcW w:w="3312" w:type="dxa"/>
          </w:tcPr>
          <w:p w:rsidR="0028284F" w:rsidRPr="0007490C" w:rsidRDefault="0028284F" w:rsidP="00905B78">
            <w:pPr>
              <w:spacing w:line="360" w:lineRule="auto"/>
              <w:jc w:val="both"/>
              <w:rPr>
                <w:b/>
                <w:color w:val="000000" w:themeColor="text1"/>
              </w:rPr>
            </w:pPr>
            <w:r w:rsidRPr="0007490C">
              <w:rPr>
                <w:b/>
                <w:color w:val="000000" w:themeColor="text1"/>
              </w:rPr>
              <w:t>Mar- 20</w:t>
            </w:r>
            <w:r w:rsidR="00905B78" w:rsidRPr="0007490C">
              <w:rPr>
                <w:b/>
                <w:color w:val="000000" w:themeColor="text1"/>
              </w:rPr>
              <w:t>22</w:t>
            </w:r>
            <w:r w:rsidRPr="0007490C">
              <w:rPr>
                <w:b/>
                <w:color w:val="000000" w:themeColor="text1"/>
              </w:rPr>
              <w:t>2</w:t>
            </w:r>
            <w:r w:rsidR="00905B78" w:rsidRPr="0007490C">
              <w:rPr>
                <w:b/>
                <w:color w:val="000000" w:themeColor="text1"/>
              </w:rPr>
              <w:t>-23</w:t>
            </w:r>
            <w:r w:rsidR="008D58F3" w:rsidRPr="0007490C">
              <w:rPr>
                <w:b/>
                <w:color w:val="000000" w:themeColor="text1"/>
              </w:rPr>
              <w:t xml:space="preserve"> (Rs. in Cr.)</w:t>
            </w:r>
          </w:p>
        </w:tc>
        <w:tc>
          <w:tcPr>
            <w:tcW w:w="3312" w:type="dxa"/>
          </w:tcPr>
          <w:p w:rsidR="0028284F" w:rsidRPr="0007490C" w:rsidRDefault="0028284F" w:rsidP="00905B78">
            <w:pPr>
              <w:spacing w:line="360" w:lineRule="auto"/>
              <w:jc w:val="both"/>
              <w:rPr>
                <w:b/>
                <w:color w:val="000000" w:themeColor="text1"/>
              </w:rPr>
            </w:pPr>
            <w:r w:rsidRPr="0007490C">
              <w:rPr>
                <w:b/>
                <w:color w:val="000000" w:themeColor="text1"/>
              </w:rPr>
              <w:t>Mar-20</w:t>
            </w:r>
            <w:r w:rsidR="00905B78" w:rsidRPr="0007490C">
              <w:rPr>
                <w:b/>
                <w:color w:val="000000" w:themeColor="text1"/>
              </w:rPr>
              <w:t>20-</w:t>
            </w:r>
            <w:r w:rsidRPr="0007490C">
              <w:rPr>
                <w:b/>
                <w:color w:val="000000" w:themeColor="text1"/>
              </w:rPr>
              <w:t>20</w:t>
            </w:r>
            <w:r w:rsidR="00905B78" w:rsidRPr="0007490C">
              <w:rPr>
                <w:b/>
                <w:color w:val="000000" w:themeColor="text1"/>
              </w:rPr>
              <w:t>22</w:t>
            </w:r>
            <w:r w:rsidR="008D58F3" w:rsidRPr="0007490C">
              <w:rPr>
                <w:b/>
                <w:color w:val="000000" w:themeColor="text1"/>
              </w:rPr>
              <w:t xml:space="preserve"> (Rs. in Cr.)</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Raw material</w:t>
            </w:r>
          </w:p>
        </w:tc>
        <w:tc>
          <w:tcPr>
            <w:tcW w:w="3312" w:type="dxa"/>
          </w:tcPr>
          <w:p w:rsidR="0028284F" w:rsidRPr="0007490C" w:rsidRDefault="0028284F" w:rsidP="00F12B93">
            <w:pPr>
              <w:spacing w:line="360" w:lineRule="auto"/>
              <w:jc w:val="both"/>
              <w:rPr>
                <w:bCs/>
                <w:color w:val="000000" w:themeColor="text1"/>
              </w:rPr>
            </w:pPr>
            <w:r w:rsidRPr="0007490C">
              <w:rPr>
                <w:bCs/>
                <w:color w:val="000000" w:themeColor="text1"/>
              </w:rPr>
              <w:t>239629.93</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222405.78</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Excise duty</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21834.76</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23582.49</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Power &amp; Fuel Cost</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525.</w:t>
            </w:r>
            <w:r w:rsidR="005D43DD" w:rsidRPr="0007490C">
              <w:rPr>
                <w:color w:val="000000" w:themeColor="text1"/>
              </w:rPr>
              <w:t>20</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498.76</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Other manufacturing Expenses</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9323.77</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75</w:t>
            </w:r>
            <w:r w:rsidR="005D43DD" w:rsidRPr="0007490C">
              <w:rPr>
                <w:color w:val="000000" w:themeColor="text1"/>
              </w:rPr>
              <w:t>16</w:t>
            </w:r>
            <w:r w:rsidRPr="0007490C">
              <w:rPr>
                <w:color w:val="000000" w:themeColor="text1"/>
              </w:rPr>
              <w:t>.67</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Employee Cost</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5736.</w:t>
            </w:r>
            <w:r w:rsidR="005D43DD" w:rsidRPr="0007490C">
              <w:rPr>
                <w:color w:val="000000" w:themeColor="text1"/>
              </w:rPr>
              <w:t>17</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29</w:t>
            </w:r>
            <w:r w:rsidR="005D43DD" w:rsidRPr="0007490C">
              <w:rPr>
                <w:color w:val="000000" w:themeColor="text1"/>
              </w:rPr>
              <w:t>17</w:t>
            </w:r>
            <w:r w:rsidRPr="0007490C">
              <w:rPr>
                <w:color w:val="000000" w:themeColor="text1"/>
              </w:rPr>
              <w:t>.57</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Selling and Administration Expenses</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5039.19</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3920.31</w:t>
            </w:r>
          </w:p>
        </w:tc>
      </w:tr>
      <w:tr w:rsidR="0028284F" w:rsidRPr="0007490C" w:rsidTr="004D0E5D">
        <w:tc>
          <w:tcPr>
            <w:tcW w:w="3312" w:type="dxa"/>
          </w:tcPr>
          <w:p w:rsidR="0028284F" w:rsidRPr="0007490C" w:rsidRDefault="0028284F" w:rsidP="00F12B93">
            <w:pPr>
              <w:spacing w:line="360" w:lineRule="auto"/>
              <w:jc w:val="both"/>
              <w:rPr>
                <w:color w:val="000000" w:themeColor="text1"/>
              </w:rPr>
            </w:pPr>
            <w:r w:rsidRPr="0007490C">
              <w:rPr>
                <w:color w:val="000000" w:themeColor="text1"/>
              </w:rPr>
              <w:t>Miscellaneous Expenses</w:t>
            </w:r>
          </w:p>
        </w:tc>
        <w:tc>
          <w:tcPr>
            <w:tcW w:w="3312" w:type="dxa"/>
          </w:tcPr>
          <w:p w:rsidR="0028284F" w:rsidRPr="0007490C" w:rsidRDefault="0028284F" w:rsidP="00F12B93">
            <w:pPr>
              <w:spacing w:line="360" w:lineRule="auto"/>
              <w:jc w:val="both"/>
              <w:rPr>
                <w:color w:val="000000" w:themeColor="text1"/>
              </w:rPr>
            </w:pPr>
            <w:r w:rsidRPr="0007490C">
              <w:rPr>
                <w:color w:val="000000" w:themeColor="text1"/>
              </w:rPr>
              <w:t>1874.52</w:t>
            </w:r>
          </w:p>
        </w:tc>
        <w:tc>
          <w:tcPr>
            <w:tcW w:w="3312" w:type="dxa"/>
          </w:tcPr>
          <w:p w:rsidR="0028284F" w:rsidRPr="0007490C" w:rsidRDefault="005D43DD" w:rsidP="00F12B93">
            <w:pPr>
              <w:spacing w:line="360" w:lineRule="auto"/>
              <w:jc w:val="both"/>
              <w:rPr>
                <w:color w:val="000000" w:themeColor="text1"/>
              </w:rPr>
            </w:pPr>
            <w:r w:rsidRPr="0007490C">
              <w:rPr>
                <w:color w:val="000000" w:themeColor="text1"/>
              </w:rPr>
              <w:t>19</w:t>
            </w:r>
            <w:r w:rsidR="0028284F" w:rsidRPr="0007490C">
              <w:rPr>
                <w:color w:val="000000" w:themeColor="text1"/>
              </w:rPr>
              <w:t>96.37</w:t>
            </w:r>
          </w:p>
        </w:tc>
      </w:tr>
      <w:tr w:rsidR="0028284F" w:rsidRPr="0007490C" w:rsidTr="004D0E5D">
        <w:tc>
          <w:tcPr>
            <w:tcW w:w="3312" w:type="dxa"/>
          </w:tcPr>
          <w:p w:rsidR="0028284F" w:rsidRPr="0007490C" w:rsidRDefault="0028284F" w:rsidP="00F12B93">
            <w:pPr>
              <w:spacing w:line="360" w:lineRule="auto"/>
              <w:jc w:val="both"/>
              <w:rPr>
                <w:b/>
                <w:color w:val="000000" w:themeColor="text1"/>
              </w:rPr>
            </w:pPr>
            <w:r w:rsidRPr="0007490C">
              <w:rPr>
                <w:b/>
                <w:color w:val="000000" w:themeColor="text1"/>
              </w:rPr>
              <w:t>Total</w:t>
            </w:r>
          </w:p>
        </w:tc>
        <w:tc>
          <w:tcPr>
            <w:tcW w:w="3312" w:type="dxa"/>
          </w:tcPr>
          <w:p w:rsidR="0028284F" w:rsidRPr="0007490C" w:rsidRDefault="0028284F" w:rsidP="00F12B93">
            <w:pPr>
              <w:spacing w:line="360" w:lineRule="auto"/>
              <w:jc w:val="both"/>
              <w:rPr>
                <w:b/>
                <w:color w:val="000000" w:themeColor="text1"/>
              </w:rPr>
            </w:pPr>
            <w:r w:rsidRPr="0007490C">
              <w:rPr>
                <w:b/>
                <w:color w:val="000000" w:themeColor="text1"/>
              </w:rPr>
              <w:t>283963.44</w:t>
            </w:r>
          </w:p>
        </w:tc>
        <w:tc>
          <w:tcPr>
            <w:tcW w:w="3312" w:type="dxa"/>
          </w:tcPr>
          <w:p w:rsidR="0028284F" w:rsidRPr="0007490C" w:rsidRDefault="0028284F" w:rsidP="00F12B93">
            <w:pPr>
              <w:spacing w:line="360" w:lineRule="auto"/>
              <w:jc w:val="both"/>
              <w:rPr>
                <w:b/>
                <w:color w:val="000000" w:themeColor="text1"/>
              </w:rPr>
            </w:pPr>
            <w:r w:rsidRPr="0007490C">
              <w:rPr>
                <w:b/>
                <w:color w:val="000000" w:themeColor="text1"/>
              </w:rPr>
              <w:t>262527.96</w:t>
            </w:r>
          </w:p>
        </w:tc>
      </w:tr>
    </w:tbl>
    <w:p w:rsidR="0028284F" w:rsidRPr="0007490C" w:rsidRDefault="0028284F" w:rsidP="00F12B93">
      <w:pPr>
        <w:spacing w:line="360" w:lineRule="auto"/>
        <w:jc w:val="both"/>
        <w:rPr>
          <w:b/>
          <w:color w:val="000000" w:themeColor="text1"/>
        </w:rPr>
      </w:pPr>
      <w:r w:rsidRPr="0007490C">
        <w:rPr>
          <w:b/>
          <w:color w:val="000000" w:themeColor="text1"/>
        </w:rPr>
        <w:t>Calculation of Cost in Percentage:</w:t>
      </w:r>
    </w:p>
    <w:p w:rsidR="0028284F" w:rsidRPr="0007490C" w:rsidRDefault="0028284F" w:rsidP="00F12B93">
      <w:pPr>
        <w:spacing w:line="360" w:lineRule="auto"/>
        <w:jc w:val="both"/>
        <w:rPr>
          <w:color w:val="000000" w:themeColor="text1"/>
        </w:rPr>
      </w:pPr>
      <w:r w:rsidRPr="0007490C">
        <w:rPr>
          <w:color w:val="000000" w:themeColor="text1"/>
        </w:rPr>
        <w:t xml:space="preserve">= </w:t>
      </w:r>
      <w:r w:rsidR="00FB4F69" w:rsidRPr="0007490C">
        <w:rPr>
          <w:color w:val="000000" w:themeColor="text1"/>
        </w:rPr>
        <w:t>[</w:t>
      </w:r>
      <w:r w:rsidR="004F6917" w:rsidRPr="0007490C">
        <w:rPr>
          <w:color w:val="000000" w:themeColor="text1"/>
        </w:rPr>
        <w:t>C</w:t>
      </w:r>
      <w:r w:rsidRPr="0007490C">
        <w:rPr>
          <w:color w:val="000000" w:themeColor="text1"/>
        </w:rPr>
        <w:t>urrent year</w:t>
      </w:r>
      <w:r w:rsidR="004F6917" w:rsidRPr="0007490C">
        <w:rPr>
          <w:color w:val="000000" w:themeColor="text1"/>
        </w:rPr>
        <w:t>-Base year</w:t>
      </w:r>
      <w:r w:rsidRPr="0007490C">
        <w:rPr>
          <w:color w:val="000000" w:themeColor="text1"/>
        </w:rPr>
        <w:t xml:space="preserve"> </w:t>
      </w:r>
      <w:r w:rsidR="00FB4F69" w:rsidRPr="0007490C">
        <w:rPr>
          <w:color w:val="000000" w:themeColor="text1"/>
        </w:rPr>
        <w:t xml:space="preserve">] </w:t>
      </w:r>
      <w:r w:rsidRPr="0007490C">
        <w:rPr>
          <w:b/>
          <w:color w:val="000000" w:themeColor="text1"/>
        </w:rPr>
        <w:t xml:space="preserve">/ </w:t>
      </w:r>
      <w:r w:rsidRPr="0007490C">
        <w:rPr>
          <w:color w:val="000000" w:themeColor="text1"/>
        </w:rPr>
        <w:t xml:space="preserve">Base year * </w:t>
      </w:r>
      <w:r w:rsidR="005D43DD" w:rsidRPr="0007490C">
        <w:rPr>
          <w:color w:val="000000" w:themeColor="text1"/>
        </w:rPr>
        <w:t>20</w:t>
      </w:r>
      <w:r w:rsidRPr="0007490C">
        <w:rPr>
          <w:color w:val="000000" w:themeColor="text1"/>
        </w:rPr>
        <w:t>0</w:t>
      </w:r>
    </w:p>
    <w:p w:rsidR="0028284F" w:rsidRPr="0007490C" w:rsidRDefault="0028284F" w:rsidP="00F12B93">
      <w:pPr>
        <w:spacing w:line="360" w:lineRule="auto"/>
        <w:jc w:val="both"/>
        <w:rPr>
          <w:color w:val="000000" w:themeColor="text1"/>
        </w:rPr>
      </w:pPr>
      <w:r w:rsidRPr="0007490C">
        <w:rPr>
          <w:color w:val="000000" w:themeColor="text1"/>
        </w:rPr>
        <w:t>=</w:t>
      </w:r>
      <w:r w:rsidR="00FB4F69" w:rsidRPr="0007490C">
        <w:rPr>
          <w:color w:val="000000" w:themeColor="text1"/>
        </w:rPr>
        <w:t xml:space="preserve"> [</w:t>
      </w:r>
      <w:r w:rsidR="004F6917" w:rsidRPr="0007490C">
        <w:rPr>
          <w:color w:val="000000" w:themeColor="text1"/>
        </w:rPr>
        <w:t>283963.44– 262527.96</w:t>
      </w:r>
      <w:r w:rsidR="00FB4F69" w:rsidRPr="0007490C">
        <w:rPr>
          <w:color w:val="000000" w:themeColor="text1"/>
        </w:rPr>
        <w:t>]</w:t>
      </w:r>
      <w:r w:rsidRPr="0007490C">
        <w:rPr>
          <w:color w:val="000000" w:themeColor="text1"/>
        </w:rPr>
        <w:t xml:space="preserve"> / 262527.96 * </w:t>
      </w:r>
      <w:r w:rsidR="005D43DD" w:rsidRPr="0007490C">
        <w:rPr>
          <w:color w:val="000000" w:themeColor="text1"/>
        </w:rPr>
        <w:t>20</w:t>
      </w:r>
      <w:r w:rsidRPr="0007490C">
        <w:rPr>
          <w:color w:val="000000" w:themeColor="text1"/>
        </w:rPr>
        <w:t>0</w:t>
      </w:r>
    </w:p>
    <w:p w:rsidR="00A00863" w:rsidRPr="0007490C" w:rsidRDefault="004F6917" w:rsidP="00F12B93">
      <w:pPr>
        <w:spacing w:line="360" w:lineRule="auto"/>
        <w:jc w:val="both"/>
        <w:rPr>
          <w:color w:val="000000" w:themeColor="text1"/>
        </w:rPr>
      </w:pPr>
      <w:r w:rsidRPr="0007490C">
        <w:rPr>
          <w:color w:val="000000" w:themeColor="text1"/>
        </w:rPr>
        <w:t>= 8</w:t>
      </w:r>
      <w:r w:rsidR="0028284F" w:rsidRPr="0007490C">
        <w:rPr>
          <w:color w:val="000000" w:themeColor="text1"/>
        </w:rPr>
        <w:t>%.</w:t>
      </w:r>
    </w:p>
    <w:p w:rsidR="0028284F" w:rsidRPr="0007490C" w:rsidRDefault="001C3F05" w:rsidP="00F12B93">
      <w:pPr>
        <w:spacing w:line="360" w:lineRule="auto"/>
        <w:jc w:val="both"/>
        <w:rPr>
          <w:b/>
          <w:color w:val="000000" w:themeColor="text1"/>
        </w:rPr>
      </w:pPr>
      <w:r w:rsidRPr="0007490C">
        <w:rPr>
          <w:noProof/>
          <w:color w:val="000000" w:themeColor="text1"/>
        </w:rPr>
        <w:drawing>
          <wp:inline distT="0" distB="0" distL="0" distR="0">
            <wp:extent cx="5385463" cy="2804453"/>
            <wp:effectExtent l="19050" t="0" r="24737"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0C5F" w:rsidRPr="0007490C" w:rsidRDefault="00050C5F" w:rsidP="00050C5F">
      <w:pPr>
        <w:spacing w:line="360" w:lineRule="auto"/>
        <w:jc w:val="both"/>
        <w:rPr>
          <w:b/>
          <w:color w:val="000000" w:themeColor="text1"/>
        </w:rPr>
      </w:pPr>
      <w:r w:rsidRPr="0007490C">
        <w:rPr>
          <w:b/>
          <w:color w:val="000000" w:themeColor="text1"/>
        </w:rPr>
        <w:t>GRAPH NO 4.5</w:t>
      </w:r>
    </w:p>
    <w:p w:rsidR="00FB4F69" w:rsidRPr="0007490C" w:rsidRDefault="00FB4F69" w:rsidP="00F12B93">
      <w:pPr>
        <w:spacing w:line="360" w:lineRule="auto"/>
        <w:jc w:val="both"/>
        <w:rPr>
          <w:b/>
          <w:color w:val="000000" w:themeColor="text1"/>
        </w:rPr>
      </w:pPr>
      <w:r w:rsidRPr="0007490C">
        <w:rPr>
          <w:b/>
          <w:color w:val="000000" w:themeColor="text1"/>
        </w:rPr>
        <w:t>Interpretation:</w:t>
      </w:r>
    </w:p>
    <w:p w:rsidR="0028284F" w:rsidRPr="0007490C" w:rsidRDefault="0028284F" w:rsidP="00F12B93">
      <w:pPr>
        <w:spacing w:line="360" w:lineRule="auto"/>
        <w:jc w:val="both"/>
        <w:rPr>
          <w:color w:val="000000" w:themeColor="text1"/>
        </w:rPr>
      </w:pPr>
      <w:r w:rsidRPr="0007490C">
        <w:rPr>
          <w:color w:val="000000" w:themeColor="text1"/>
        </w:rPr>
        <w:lastRenderedPageBreak/>
        <w:t xml:space="preserve">The cost increased after the merger to 283963.44 – 262527.96 i.e. </w:t>
      </w:r>
      <w:r w:rsidR="005D43DD" w:rsidRPr="0007490C">
        <w:rPr>
          <w:color w:val="000000" w:themeColor="text1"/>
        </w:rPr>
        <w:t>18</w:t>
      </w:r>
      <w:r w:rsidRPr="0007490C">
        <w:rPr>
          <w:color w:val="000000" w:themeColor="text1"/>
        </w:rPr>
        <w:t xml:space="preserve"> % rise in the value of the cost. For any effective Merger to happen, it is empirical to study the Cost aspect of the Merger that involves both the companies. In this regard there was a increase in the cost of the Merger as the two companies had to be valued as per the base year and the calculating year taking into consideration all the other factors like Sales Turnover and MPS.</w:t>
      </w:r>
    </w:p>
    <w:p w:rsidR="0028284F" w:rsidRPr="0007490C" w:rsidRDefault="001058F5" w:rsidP="00714D36">
      <w:pPr>
        <w:tabs>
          <w:tab w:val="left" w:pos="2340"/>
          <w:tab w:val="left" w:pos="2933"/>
          <w:tab w:val="center" w:pos="4153"/>
        </w:tabs>
        <w:spacing w:line="360" w:lineRule="auto"/>
        <w:rPr>
          <w:b/>
          <w:color w:val="000000" w:themeColor="text1"/>
        </w:rPr>
      </w:pPr>
      <w:r>
        <w:rPr>
          <w:b/>
          <w:color w:val="000000" w:themeColor="text1"/>
        </w:rPr>
        <w:t xml:space="preserve">7. </w:t>
      </w:r>
      <w:r w:rsidR="004B315D" w:rsidRPr="0007490C">
        <w:rPr>
          <w:b/>
          <w:color w:val="000000" w:themeColor="text1"/>
        </w:rPr>
        <w:t>CONCLUSION</w:t>
      </w:r>
      <w:r>
        <w:rPr>
          <w:b/>
          <w:color w:val="000000" w:themeColor="text1"/>
        </w:rPr>
        <w:t>:</w:t>
      </w:r>
    </w:p>
    <w:p w:rsidR="0028284F" w:rsidRPr="0007490C" w:rsidRDefault="0028284F" w:rsidP="00F12B93">
      <w:pPr>
        <w:spacing w:line="360" w:lineRule="auto"/>
        <w:jc w:val="both"/>
        <w:rPr>
          <w:color w:val="000000" w:themeColor="text1"/>
        </w:rPr>
      </w:pPr>
      <w:r w:rsidRPr="0007490C">
        <w:rPr>
          <w:color w:val="000000" w:themeColor="text1"/>
        </w:rPr>
        <w:t xml:space="preserve">The financial performance of the firm is good after the merger. Steep fall in market price of the merged company due to the </w:t>
      </w:r>
      <w:r w:rsidR="00B04C50" w:rsidRPr="0007490C">
        <w:rPr>
          <w:color w:val="000000" w:themeColor="text1"/>
        </w:rPr>
        <w:t>macro</w:t>
      </w:r>
      <w:r w:rsidR="00694DF8" w:rsidRPr="0007490C">
        <w:rPr>
          <w:color w:val="000000" w:themeColor="text1"/>
        </w:rPr>
        <w:t xml:space="preserve"> </w:t>
      </w:r>
      <w:r w:rsidR="00B04C50" w:rsidRPr="0007490C">
        <w:rPr>
          <w:color w:val="000000" w:themeColor="text1"/>
        </w:rPr>
        <w:t>economic</w:t>
      </w:r>
      <w:r w:rsidRPr="0007490C">
        <w:rPr>
          <w:color w:val="000000" w:themeColor="text1"/>
        </w:rPr>
        <w:t xml:space="preserve"> factor such as global recession. Synergy gain in </w:t>
      </w:r>
      <w:r w:rsidR="007E3505" w:rsidRPr="0007490C">
        <w:rPr>
          <w:color w:val="000000" w:themeColor="text1"/>
        </w:rPr>
        <w:t>achieved</w:t>
      </w:r>
      <w:r w:rsidRPr="0007490C">
        <w:rPr>
          <w:color w:val="000000" w:themeColor="text1"/>
        </w:rPr>
        <w:t xml:space="preserve"> in terms of earnings and therefore we can </w:t>
      </w:r>
      <w:r w:rsidR="00694DF8" w:rsidRPr="0007490C">
        <w:rPr>
          <w:color w:val="000000" w:themeColor="text1"/>
        </w:rPr>
        <w:t xml:space="preserve">conclude </w:t>
      </w:r>
      <w:r w:rsidRPr="0007490C">
        <w:rPr>
          <w:color w:val="000000" w:themeColor="text1"/>
        </w:rPr>
        <w:t>that</w:t>
      </w:r>
      <w:r w:rsidR="002B1BE6" w:rsidRPr="0007490C">
        <w:rPr>
          <w:color w:val="000000" w:themeColor="text1"/>
        </w:rPr>
        <w:t>, the</w:t>
      </w:r>
      <w:r w:rsidRPr="0007490C">
        <w:rPr>
          <w:color w:val="000000" w:themeColor="text1"/>
        </w:rPr>
        <w:t xml:space="preserve"> performance of the firm is good.</w:t>
      </w:r>
    </w:p>
    <w:p w:rsidR="00422E28" w:rsidRPr="0007490C" w:rsidRDefault="0028284F" w:rsidP="00422E28">
      <w:pPr>
        <w:spacing w:line="360" w:lineRule="auto"/>
        <w:jc w:val="both"/>
        <w:rPr>
          <w:color w:val="000000" w:themeColor="text1"/>
        </w:rPr>
      </w:pPr>
      <w:r w:rsidRPr="0007490C">
        <w:rPr>
          <w:color w:val="000000" w:themeColor="text1"/>
        </w:rPr>
        <w:t xml:space="preserve">The companies, in their petitions, further </w:t>
      </w:r>
      <w:r w:rsidR="00694DF8" w:rsidRPr="0007490C">
        <w:rPr>
          <w:color w:val="000000" w:themeColor="text1"/>
        </w:rPr>
        <w:t xml:space="preserve">said that the amalgamation has </w:t>
      </w:r>
      <w:r w:rsidRPr="0007490C">
        <w:rPr>
          <w:color w:val="000000" w:themeColor="text1"/>
        </w:rPr>
        <w:t>enabled  pooling of financial, managerial and technical resources, personnel capabilities, skills, expertise, technologies, etc., resulting in logistic advantages and cost reduction.</w:t>
      </w:r>
      <w:bookmarkStart w:id="0" w:name="_Toc446993166"/>
    </w:p>
    <w:p w:rsidR="00422E28" w:rsidRPr="0007490C" w:rsidRDefault="00422E28" w:rsidP="00422E28">
      <w:pPr>
        <w:spacing w:after="200" w:line="360" w:lineRule="auto"/>
        <w:rPr>
          <w:color w:val="000000" w:themeColor="text1"/>
        </w:rPr>
      </w:pPr>
      <w:r w:rsidRPr="0007490C">
        <w:rPr>
          <w:color w:val="000000" w:themeColor="text1"/>
        </w:rPr>
        <w:t>To end up, the word “</w:t>
      </w:r>
      <w:r w:rsidRPr="0007490C">
        <w:rPr>
          <w:b/>
          <w:color w:val="000000" w:themeColor="text1"/>
        </w:rPr>
        <w:t>Merger</w:t>
      </w:r>
      <w:r w:rsidRPr="0007490C">
        <w:rPr>
          <w:color w:val="000000" w:themeColor="text1"/>
        </w:rPr>
        <w:t>” may be taken as an abbreviation which means:</w:t>
      </w:r>
    </w:p>
    <w:p w:rsidR="00422E28" w:rsidRPr="0007490C" w:rsidRDefault="00422E28" w:rsidP="00422E28">
      <w:pPr>
        <w:spacing w:line="360" w:lineRule="auto"/>
        <w:jc w:val="both"/>
        <w:rPr>
          <w:b/>
          <w:color w:val="000000" w:themeColor="text1"/>
        </w:rPr>
      </w:pPr>
      <w:r w:rsidRPr="0007490C">
        <w:rPr>
          <w:b/>
          <w:color w:val="000000" w:themeColor="text1"/>
        </w:rPr>
        <w:t>M---Mixing</w:t>
      </w:r>
    </w:p>
    <w:p w:rsidR="00422E28" w:rsidRPr="0007490C" w:rsidRDefault="00422E28" w:rsidP="00422E28">
      <w:pPr>
        <w:spacing w:line="360" w:lineRule="auto"/>
        <w:jc w:val="both"/>
        <w:rPr>
          <w:b/>
          <w:color w:val="000000" w:themeColor="text1"/>
        </w:rPr>
      </w:pPr>
      <w:r w:rsidRPr="0007490C">
        <w:rPr>
          <w:b/>
          <w:color w:val="000000" w:themeColor="text1"/>
        </w:rPr>
        <w:t>E---Entities</w:t>
      </w:r>
    </w:p>
    <w:p w:rsidR="00422E28" w:rsidRPr="0007490C" w:rsidRDefault="00422E28" w:rsidP="00422E28">
      <w:pPr>
        <w:spacing w:line="360" w:lineRule="auto"/>
        <w:jc w:val="both"/>
        <w:rPr>
          <w:b/>
          <w:color w:val="000000" w:themeColor="text1"/>
        </w:rPr>
      </w:pPr>
      <w:r w:rsidRPr="0007490C">
        <w:rPr>
          <w:b/>
          <w:color w:val="000000" w:themeColor="text1"/>
        </w:rPr>
        <w:t>R---Resources for</w:t>
      </w:r>
    </w:p>
    <w:p w:rsidR="00422E28" w:rsidRPr="0007490C" w:rsidRDefault="00422E28" w:rsidP="00422E28">
      <w:pPr>
        <w:spacing w:line="360" w:lineRule="auto"/>
        <w:jc w:val="both"/>
        <w:rPr>
          <w:b/>
          <w:color w:val="000000" w:themeColor="text1"/>
        </w:rPr>
      </w:pPr>
      <w:r w:rsidRPr="0007490C">
        <w:rPr>
          <w:b/>
          <w:color w:val="000000" w:themeColor="text1"/>
        </w:rPr>
        <w:t>G---Growth</w:t>
      </w:r>
    </w:p>
    <w:p w:rsidR="00422E28" w:rsidRPr="0007490C" w:rsidRDefault="00422E28" w:rsidP="00422E28">
      <w:pPr>
        <w:spacing w:line="360" w:lineRule="auto"/>
        <w:jc w:val="both"/>
        <w:rPr>
          <w:b/>
          <w:color w:val="000000" w:themeColor="text1"/>
        </w:rPr>
      </w:pPr>
      <w:r w:rsidRPr="0007490C">
        <w:rPr>
          <w:b/>
          <w:color w:val="000000" w:themeColor="text1"/>
        </w:rPr>
        <w:t>E---Enrichment</w:t>
      </w:r>
    </w:p>
    <w:p w:rsidR="00422E28" w:rsidRPr="0007490C" w:rsidRDefault="00422E28" w:rsidP="00422E28">
      <w:pPr>
        <w:spacing w:line="360" w:lineRule="auto"/>
        <w:jc w:val="both"/>
        <w:rPr>
          <w:color w:val="000000" w:themeColor="text1"/>
        </w:rPr>
      </w:pPr>
      <w:r w:rsidRPr="0007490C">
        <w:rPr>
          <w:b/>
          <w:color w:val="000000" w:themeColor="text1"/>
        </w:rPr>
        <w:t>R---Renovation</w:t>
      </w:r>
    </w:p>
    <w:bookmarkEnd w:id="0"/>
    <w:p w:rsidR="0028284F" w:rsidRPr="0007490C" w:rsidRDefault="001058F5" w:rsidP="00F12B93">
      <w:pPr>
        <w:spacing w:line="360" w:lineRule="auto"/>
        <w:jc w:val="both"/>
        <w:rPr>
          <w:color w:val="000000" w:themeColor="text1"/>
        </w:rPr>
      </w:pPr>
      <w:r>
        <w:rPr>
          <w:rFonts w:eastAsiaTheme="majorEastAsia"/>
          <w:b/>
          <w:bCs/>
          <w:color w:val="000000" w:themeColor="text1"/>
        </w:rPr>
        <w:t>8.</w:t>
      </w:r>
      <w:r w:rsidR="000E044B">
        <w:rPr>
          <w:rFonts w:eastAsiaTheme="majorEastAsia"/>
          <w:b/>
          <w:bCs/>
          <w:color w:val="000000" w:themeColor="text1"/>
        </w:rPr>
        <w:t>References:</w:t>
      </w:r>
    </w:p>
    <w:p w:rsidR="0028284F" w:rsidRPr="0007490C" w:rsidRDefault="00A00863" w:rsidP="00E34EBD">
      <w:pPr>
        <w:numPr>
          <w:ilvl w:val="0"/>
          <w:numId w:val="18"/>
        </w:numPr>
        <w:spacing w:line="360" w:lineRule="auto"/>
        <w:jc w:val="both"/>
        <w:rPr>
          <w:color w:val="000000" w:themeColor="text1"/>
        </w:rPr>
      </w:pPr>
      <w:r w:rsidRPr="0007490C">
        <w:rPr>
          <w:color w:val="000000" w:themeColor="text1"/>
        </w:rPr>
        <w:t>Agar</w:t>
      </w:r>
      <w:r w:rsidR="0028284F" w:rsidRPr="0007490C">
        <w:rPr>
          <w:color w:val="000000" w:themeColor="text1"/>
        </w:rPr>
        <w:t>wal, A., Jaffe, J.F., Mandelker, G.N. (1992), "The post-merger performance of acquiring firms: a re-examination of an anomaly", Journal of Finance, Vol. 47 pp.</w:t>
      </w:r>
      <w:r w:rsidR="005D43DD" w:rsidRPr="0007490C">
        <w:rPr>
          <w:color w:val="000000" w:themeColor="text1"/>
        </w:rPr>
        <w:t>19</w:t>
      </w:r>
      <w:r w:rsidR="0028284F" w:rsidRPr="0007490C">
        <w:rPr>
          <w:color w:val="000000" w:themeColor="text1"/>
        </w:rPr>
        <w:t>05-21</w:t>
      </w:r>
    </w:p>
    <w:p w:rsidR="0028284F" w:rsidRPr="0007490C" w:rsidRDefault="0028284F" w:rsidP="00E34EBD">
      <w:pPr>
        <w:numPr>
          <w:ilvl w:val="0"/>
          <w:numId w:val="18"/>
        </w:numPr>
        <w:spacing w:line="360" w:lineRule="auto"/>
        <w:jc w:val="both"/>
        <w:rPr>
          <w:color w:val="000000" w:themeColor="text1"/>
        </w:rPr>
      </w:pPr>
      <w:r w:rsidRPr="0007490C">
        <w:rPr>
          <w:color w:val="000000" w:themeColor="text1"/>
        </w:rPr>
        <w:t>Prasanna Chandra  Financial Management and Theory and Practice, 7</w:t>
      </w:r>
      <w:r w:rsidRPr="0007490C">
        <w:rPr>
          <w:color w:val="000000" w:themeColor="text1"/>
          <w:vertAlign w:val="superscript"/>
        </w:rPr>
        <w:t>th</w:t>
      </w:r>
      <w:r w:rsidRPr="0007490C">
        <w:rPr>
          <w:color w:val="000000" w:themeColor="text1"/>
        </w:rPr>
        <w:t xml:space="preserve"> edition, Tata McGraw Hill</w:t>
      </w:r>
    </w:p>
    <w:p w:rsidR="0028284F" w:rsidRPr="0007490C" w:rsidRDefault="0028284F" w:rsidP="00E34EBD">
      <w:pPr>
        <w:numPr>
          <w:ilvl w:val="0"/>
          <w:numId w:val="18"/>
        </w:numPr>
        <w:spacing w:line="360" w:lineRule="auto"/>
        <w:jc w:val="both"/>
        <w:rPr>
          <w:color w:val="000000" w:themeColor="text1"/>
        </w:rPr>
      </w:pPr>
      <w:r w:rsidRPr="0007490C">
        <w:rPr>
          <w:color w:val="000000" w:themeColor="text1"/>
        </w:rPr>
        <w:t>I M Pandey(20</w:t>
      </w:r>
      <w:r w:rsidR="005D43DD" w:rsidRPr="0007490C">
        <w:rPr>
          <w:color w:val="000000" w:themeColor="text1"/>
        </w:rPr>
        <w:t>20</w:t>
      </w:r>
      <w:r w:rsidRPr="0007490C">
        <w:rPr>
          <w:color w:val="000000" w:themeColor="text1"/>
        </w:rPr>
        <w:t xml:space="preserve">) “ Financial Management “ , </w:t>
      </w:r>
      <w:r w:rsidR="005D43DD" w:rsidRPr="0007490C">
        <w:rPr>
          <w:color w:val="000000" w:themeColor="text1"/>
        </w:rPr>
        <w:t>20</w:t>
      </w:r>
      <w:r w:rsidRPr="0007490C">
        <w:rPr>
          <w:color w:val="000000" w:themeColor="text1"/>
          <w:vertAlign w:val="superscript"/>
        </w:rPr>
        <w:t>th</w:t>
      </w:r>
      <w:r w:rsidRPr="0007490C">
        <w:rPr>
          <w:color w:val="000000" w:themeColor="text1"/>
        </w:rPr>
        <w:t xml:space="preserve"> edition , Vikas Publishing house.</w:t>
      </w:r>
    </w:p>
    <w:p w:rsidR="0028284F" w:rsidRDefault="0028284F" w:rsidP="00E34EBD">
      <w:pPr>
        <w:numPr>
          <w:ilvl w:val="0"/>
          <w:numId w:val="18"/>
        </w:numPr>
        <w:spacing w:line="360" w:lineRule="auto"/>
        <w:jc w:val="both"/>
        <w:rPr>
          <w:color w:val="000000" w:themeColor="text1"/>
        </w:rPr>
      </w:pPr>
      <w:r w:rsidRPr="0007490C">
        <w:rPr>
          <w:color w:val="000000" w:themeColor="text1"/>
        </w:rPr>
        <w:t>J.Fred Weston.,kwang,(1990),”Merger, Restructure,and corporate control,vol.6</w:t>
      </w:r>
      <w:r w:rsidRPr="0007490C">
        <w:rPr>
          <w:color w:val="000000" w:themeColor="text1"/>
          <w:vertAlign w:val="superscript"/>
        </w:rPr>
        <w:t>th</w:t>
      </w:r>
      <w:r w:rsidR="00B96D51" w:rsidRPr="0007490C">
        <w:rPr>
          <w:color w:val="000000" w:themeColor="text1"/>
        </w:rPr>
        <w:t xml:space="preserve"> </w:t>
      </w:r>
      <w:r w:rsidRPr="0007490C">
        <w:rPr>
          <w:color w:val="000000" w:themeColor="text1"/>
        </w:rPr>
        <w:t>Ashok K.Ghosh</w:t>
      </w:r>
    </w:p>
    <w:p w:rsidR="00B36030" w:rsidRPr="00B36030" w:rsidRDefault="00B36030" w:rsidP="00E34EBD">
      <w:pPr>
        <w:numPr>
          <w:ilvl w:val="0"/>
          <w:numId w:val="18"/>
        </w:numPr>
        <w:spacing w:line="360" w:lineRule="auto"/>
        <w:jc w:val="both"/>
        <w:rPr>
          <w:color w:val="000000" w:themeColor="text1"/>
        </w:rPr>
      </w:pPr>
      <w:r>
        <w:lastRenderedPageBreak/>
        <w:t xml:space="preserve">Mergers and acquisitions. BCG Global. (n.d.). https://www.bcg.com/capabilities/mergers-acquisitions-transactions-pmi/m-and-a Stafford, D., &amp; Miles, L. (2020, January 27). </w:t>
      </w:r>
    </w:p>
    <w:p w:rsidR="00B36030" w:rsidRPr="00B36030" w:rsidRDefault="00B36030" w:rsidP="00E34EBD">
      <w:pPr>
        <w:numPr>
          <w:ilvl w:val="0"/>
          <w:numId w:val="18"/>
        </w:numPr>
        <w:spacing w:line="360" w:lineRule="auto"/>
        <w:jc w:val="both"/>
        <w:rPr>
          <w:color w:val="000000" w:themeColor="text1"/>
        </w:rPr>
      </w:pPr>
      <w:r>
        <w:t xml:space="preserve">Integrating cultures after a merger. Bain. https://www.bain.com/insights/integrating-cultures-after-a-merger/ Step 1: Define M&amp;A integration strategy and Guiding Principles. Merger Integration. (n.d.). https://www.mergerintegration.com/m-and-a-integrationstrategy-guiding-principles#guiding-principles Anh Vũ, D., Shi, Y., &amp; Hanby, T. (2009). </w:t>
      </w:r>
    </w:p>
    <w:p w:rsidR="00B36030" w:rsidRPr="00B36030" w:rsidRDefault="00B36030" w:rsidP="00E34EBD">
      <w:pPr>
        <w:numPr>
          <w:ilvl w:val="0"/>
          <w:numId w:val="18"/>
        </w:numPr>
        <w:spacing w:line="360" w:lineRule="auto"/>
        <w:jc w:val="both"/>
        <w:rPr>
          <w:color w:val="000000" w:themeColor="text1"/>
        </w:rPr>
      </w:pPr>
      <w:r>
        <w:t xml:space="preserve">Strategic framework for brand integration in horizontal mergers and acquisitions. Journal of Technology Management in China, 4(1), 26–52. </w:t>
      </w:r>
      <w:hyperlink r:id="rId13" w:history="1">
        <w:r w:rsidRPr="00547E12">
          <w:rPr>
            <w:rStyle w:val="Hyperlink"/>
          </w:rPr>
          <w:t>https://doi.org/10.1108/17468770910942825</w:t>
        </w:r>
      </w:hyperlink>
      <w:r>
        <w:t xml:space="preserve"> </w:t>
      </w:r>
    </w:p>
    <w:p w:rsidR="00B36030" w:rsidRPr="00B36030" w:rsidRDefault="00B36030" w:rsidP="00E34EBD">
      <w:pPr>
        <w:numPr>
          <w:ilvl w:val="0"/>
          <w:numId w:val="18"/>
        </w:numPr>
        <w:spacing w:line="360" w:lineRule="auto"/>
        <w:jc w:val="both"/>
        <w:rPr>
          <w:color w:val="000000" w:themeColor="text1"/>
        </w:rPr>
      </w:pPr>
      <w:r>
        <w:t xml:space="preserve">Rao, V. R., Yu, Y., &amp; Umashankar, N. (2016). Anticipated vs. Actual synergy in merger partner selection and post-merger innovation. Marketing Science, 35(6), 934–952. </w:t>
      </w:r>
      <w:hyperlink r:id="rId14" w:history="1">
        <w:r w:rsidRPr="00547E12">
          <w:rPr>
            <w:rStyle w:val="Hyperlink"/>
          </w:rPr>
          <w:t>https://doi.org/10.1287/mksc.2016.0978</w:t>
        </w:r>
      </w:hyperlink>
      <w:r>
        <w:t xml:space="preserve"> </w:t>
      </w:r>
    </w:p>
    <w:p w:rsidR="00B36030" w:rsidRPr="00B36030" w:rsidRDefault="00B36030" w:rsidP="00E34EBD">
      <w:pPr>
        <w:numPr>
          <w:ilvl w:val="0"/>
          <w:numId w:val="18"/>
        </w:numPr>
        <w:spacing w:line="360" w:lineRule="auto"/>
        <w:jc w:val="both"/>
        <w:rPr>
          <w:color w:val="000000" w:themeColor="text1"/>
        </w:rPr>
      </w:pPr>
      <w:r>
        <w:t xml:space="preserve">Osarenkhoe, A., &amp; Hyder, A. (2015). Marriage for better or for worse? Towards an analytical framework to manage post-merger integration process. Business Process Management Journal, 21(4), 857–887. </w:t>
      </w:r>
      <w:hyperlink r:id="rId15" w:history="1">
        <w:r w:rsidRPr="00547E12">
          <w:rPr>
            <w:rStyle w:val="Hyperlink"/>
          </w:rPr>
          <w:t>https://doi.org/10.1108/BPMJ-07-2014-0070</w:t>
        </w:r>
      </w:hyperlink>
      <w:r>
        <w:t xml:space="preserve"> </w:t>
      </w:r>
    </w:p>
    <w:p w:rsidR="00B36030" w:rsidRPr="0007490C" w:rsidRDefault="00B36030" w:rsidP="00E34EBD">
      <w:pPr>
        <w:numPr>
          <w:ilvl w:val="0"/>
          <w:numId w:val="18"/>
        </w:numPr>
        <w:spacing w:line="360" w:lineRule="auto"/>
        <w:jc w:val="both"/>
        <w:rPr>
          <w:color w:val="000000" w:themeColor="text1"/>
        </w:rPr>
      </w:pPr>
      <w:r>
        <w:t>Dipali Krishnakumar, M., &amp; Sethi, M. (n.d.). Methodologies Used to Determine Mergers and Acquisitions’ Performance. http://ssrn.com/abstract=1803922 CULTURAL DUE DILIGENCE IN MERGERS AND ACQUISITIONS. July 2016. Research gate, Emerald Group Publishing Limited, https://denisonconsulting.com/wp-content/uploads/2020/01/culturalduediligence-denisonko.pdf.</w:t>
      </w:r>
    </w:p>
    <w:sectPr w:rsidR="00B36030" w:rsidRPr="0007490C" w:rsidSect="00676E6C">
      <w:footerReference w:type="default" r:id="rId16"/>
      <w:pgSz w:w="11907" w:h="16839" w:code="9"/>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1C53" w:rsidRDefault="000A1C53" w:rsidP="00001112">
      <w:r>
        <w:separator/>
      </w:r>
    </w:p>
  </w:endnote>
  <w:endnote w:type="continuationSeparator" w:id="1">
    <w:p w:rsidR="000A1C53" w:rsidRDefault="000A1C53" w:rsidP="00001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597" w:rsidRPr="00A628B7" w:rsidRDefault="009B0597" w:rsidP="00A62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1C53" w:rsidRDefault="000A1C53" w:rsidP="00001112">
      <w:r>
        <w:separator/>
      </w:r>
    </w:p>
  </w:footnote>
  <w:footnote w:type="continuationSeparator" w:id="1">
    <w:p w:rsidR="000A1C53" w:rsidRDefault="000A1C53" w:rsidP="000011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52AA5"/>
    <w:multiLevelType w:val="hybridMultilevel"/>
    <w:tmpl w:val="84CE3B3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066CBF"/>
    <w:multiLevelType w:val="hybridMultilevel"/>
    <w:tmpl w:val="607605A8"/>
    <w:lvl w:ilvl="0" w:tplc="40D6A19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0E616C"/>
    <w:multiLevelType w:val="hybridMultilevel"/>
    <w:tmpl w:val="5384684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E516E38"/>
    <w:multiLevelType w:val="hybridMultilevel"/>
    <w:tmpl w:val="6010AEF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nsid w:val="14204D62"/>
    <w:multiLevelType w:val="hybridMultilevel"/>
    <w:tmpl w:val="003404D0"/>
    <w:lvl w:ilvl="0" w:tplc="0409000F">
      <w:start w:val="1"/>
      <w:numFmt w:val="decimal"/>
      <w:lvlText w:val="%1."/>
      <w:lvlJc w:val="left"/>
      <w:pPr>
        <w:ind w:left="540" w:hanging="360"/>
      </w:pPr>
      <w:rPr>
        <w:rFonts w:hint="default"/>
      </w:rPr>
    </w:lvl>
    <w:lvl w:ilvl="1" w:tplc="6B6450CC" w:tentative="1">
      <w:start w:val="1"/>
      <w:numFmt w:val="bullet"/>
      <w:lvlText w:val="o"/>
      <w:lvlJc w:val="left"/>
      <w:pPr>
        <w:ind w:left="1260" w:hanging="360"/>
      </w:pPr>
      <w:rPr>
        <w:rFonts w:ascii="Courier New" w:hAnsi="Courier New" w:cs="Courier New" w:hint="default"/>
      </w:rPr>
    </w:lvl>
    <w:lvl w:ilvl="2" w:tplc="F9C8F50A" w:tentative="1">
      <w:start w:val="1"/>
      <w:numFmt w:val="bullet"/>
      <w:lvlText w:val=""/>
      <w:lvlJc w:val="left"/>
      <w:pPr>
        <w:ind w:left="1980" w:hanging="360"/>
      </w:pPr>
      <w:rPr>
        <w:rFonts w:ascii="Wingdings" w:hAnsi="Wingdings" w:hint="default"/>
      </w:rPr>
    </w:lvl>
    <w:lvl w:ilvl="3" w:tplc="2E365D7C" w:tentative="1">
      <w:start w:val="1"/>
      <w:numFmt w:val="bullet"/>
      <w:lvlText w:val=""/>
      <w:lvlJc w:val="left"/>
      <w:pPr>
        <w:ind w:left="2700" w:hanging="360"/>
      </w:pPr>
      <w:rPr>
        <w:rFonts w:ascii="Symbol" w:hAnsi="Symbol" w:hint="default"/>
      </w:rPr>
    </w:lvl>
    <w:lvl w:ilvl="4" w:tplc="DCD223DA" w:tentative="1">
      <w:start w:val="1"/>
      <w:numFmt w:val="bullet"/>
      <w:lvlText w:val="o"/>
      <w:lvlJc w:val="left"/>
      <w:pPr>
        <w:ind w:left="3420" w:hanging="360"/>
      </w:pPr>
      <w:rPr>
        <w:rFonts w:ascii="Courier New" w:hAnsi="Courier New" w:cs="Courier New" w:hint="default"/>
      </w:rPr>
    </w:lvl>
    <w:lvl w:ilvl="5" w:tplc="B9D48DCC" w:tentative="1">
      <w:start w:val="1"/>
      <w:numFmt w:val="bullet"/>
      <w:lvlText w:val=""/>
      <w:lvlJc w:val="left"/>
      <w:pPr>
        <w:ind w:left="4140" w:hanging="360"/>
      </w:pPr>
      <w:rPr>
        <w:rFonts w:ascii="Wingdings" w:hAnsi="Wingdings" w:hint="default"/>
      </w:rPr>
    </w:lvl>
    <w:lvl w:ilvl="6" w:tplc="63AC5C26" w:tentative="1">
      <w:start w:val="1"/>
      <w:numFmt w:val="bullet"/>
      <w:lvlText w:val=""/>
      <w:lvlJc w:val="left"/>
      <w:pPr>
        <w:ind w:left="4860" w:hanging="360"/>
      </w:pPr>
      <w:rPr>
        <w:rFonts w:ascii="Symbol" w:hAnsi="Symbol" w:hint="default"/>
      </w:rPr>
    </w:lvl>
    <w:lvl w:ilvl="7" w:tplc="A3D0F62C" w:tentative="1">
      <w:start w:val="1"/>
      <w:numFmt w:val="bullet"/>
      <w:lvlText w:val="o"/>
      <w:lvlJc w:val="left"/>
      <w:pPr>
        <w:ind w:left="5580" w:hanging="360"/>
      </w:pPr>
      <w:rPr>
        <w:rFonts w:ascii="Courier New" w:hAnsi="Courier New" w:cs="Courier New" w:hint="default"/>
      </w:rPr>
    </w:lvl>
    <w:lvl w:ilvl="8" w:tplc="8E387110" w:tentative="1">
      <w:start w:val="1"/>
      <w:numFmt w:val="bullet"/>
      <w:lvlText w:val=""/>
      <w:lvlJc w:val="left"/>
      <w:pPr>
        <w:ind w:left="6300" w:hanging="360"/>
      </w:pPr>
      <w:rPr>
        <w:rFonts w:ascii="Wingdings" w:hAnsi="Wingdings" w:hint="default"/>
      </w:rPr>
    </w:lvl>
  </w:abstractNum>
  <w:abstractNum w:abstractNumId="5">
    <w:nsid w:val="22DE4D19"/>
    <w:multiLevelType w:val="hybridMultilevel"/>
    <w:tmpl w:val="F21A5B04"/>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22E73579"/>
    <w:multiLevelType w:val="hybridMultilevel"/>
    <w:tmpl w:val="52A4E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12074"/>
    <w:multiLevelType w:val="hybridMultilevel"/>
    <w:tmpl w:val="6FAEFB8A"/>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939252C"/>
    <w:multiLevelType w:val="hybridMultilevel"/>
    <w:tmpl w:val="91BAF492"/>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nsid w:val="30C83036"/>
    <w:multiLevelType w:val="hybridMultilevel"/>
    <w:tmpl w:val="978A1F0C"/>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bullet"/>
      <w:lvlText w:val="•"/>
      <w:lvlJc w:val="left"/>
      <w:pPr>
        <w:tabs>
          <w:tab w:val="num" w:pos="1260"/>
        </w:tabs>
        <w:ind w:left="1260" w:hanging="360"/>
      </w:pPr>
      <w:rPr>
        <w:rFonts w:ascii="Times New Roman" w:hAnsi="Times New Roman" w:hint="default"/>
      </w:rPr>
    </w:lvl>
    <w:lvl w:ilvl="2" w:tplc="0409001B" w:tentative="1">
      <w:start w:val="1"/>
      <w:numFmt w:val="bullet"/>
      <w:lvlText w:val="•"/>
      <w:lvlJc w:val="left"/>
      <w:pPr>
        <w:tabs>
          <w:tab w:val="num" w:pos="1980"/>
        </w:tabs>
        <w:ind w:left="1980" w:hanging="360"/>
      </w:pPr>
      <w:rPr>
        <w:rFonts w:ascii="Times New Roman" w:hAnsi="Times New Roman" w:hint="default"/>
      </w:rPr>
    </w:lvl>
    <w:lvl w:ilvl="3" w:tplc="0409000F" w:tentative="1">
      <w:start w:val="1"/>
      <w:numFmt w:val="bullet"/>
      <w:lvlText w:val="•"/>
      <w:lvlJc w:val="left"/>
      <w:pPr>
        <w:tabs>
          <w:tab w:val="num" w:pos="2700"/>
        </w:tabs>
        <w:ind w:left="2700" w:hanging="360"/>
      </w:pPr>
      <w:rPr>
        <w:rFonts w:ascii="Times New Roman" w:hAnsi="Times New Roman" w:hint="default"/>
      </w:rPr>
    </w:lvl>
    <w:lvl w:ilvl="4" w:tplc="04090019" w:tentative="1">
      <w:start w:val="1"/>
      <w:numFmt w:val="bullet"/>
      <w:lvlText w:val="•"/>
      <w:lvlJc w:val="left"/>
      <w:pPr>
        <w:tabs>
          <w:tab w:val="num" w:pos="3420"/>
        </w:tabs>
        <w:ind w:left="3420" w:hanging="360"/>
      </w:pPr>
      <w:rPr>
        <w:rFonts w:ascii="Times New Roman" w:hAnsi="Times New Roman" w:hint="default"/>
      </w:rPr>
    </w:lvl>
    <w:lvl w:ilvl="5" w:tplc="0409001B" w:tentative="1">
      <w:start w:val="1"/>
      <w:numFmt w:val="bullet"/>
      <w:lvlText w:val="•"/>
      <w:lvlJc w:val="left"/>
      <w:pPr>
        <w:tabs>
          <w:tab w:val="num" w:pos="4140"/>
        </w:tabs>
        <w:ind w:left="4140" w:hanging="360"/>
      </w:pPr>
      <w:rPr>
        <w:rFonts w:ascii="Times New Roman" w:hAnsi="Times New Roman" w:hint="default"/>
      </w:rPr>
    </w:lvl>
    <w:lvl w:ilvl="6" w:tplc="0409000F" w:tentative="1">
      <w:start w:val="1"/>
      <w:numFmt w:val="bullet"/>
      <w:lvlText w:val="•"/>
      <w:lvlJc w:val="left"/>
      <w:pPr>
        <w:tabs>
          <w:tab w:val="num" w:pos="4860"/>
        </w:tabs>
        <w:ind w:left="4860" w:hanging="360"/>
      </w:pPr>
      <w:rPr>
        <w:rFonts w:ascii="Times New Roman" w:hAnsi="Times New Roman" w:hint="default"/>
      </w:rPr>
    </w:lvl>
    <w:lvl w:ilvl="7" w:tplc="04090019" w:tentative="1">
      <w:start w:val="1"/>
      <w:numFmt w:val="bullet"/>
      <w:lvlText w:val="•"/>
      <w:lvlJc w:val="left"/>
      <w:pPr>
        <w:tabs>
          <w:tab w:val="num" w:pos="5580"/>
        </w:tabs>
        <w:ind w:left="5580" w:hanging="360"/>
      </w:pPr>
      <w:rPr>
        <w:rFonts w:ascii="Times New Roman" w:hAnsi="Times New Roman" w:hint="default"/>
      </w:rPr>
    </w:lvl>
    <w:lvl w:ilvl="8" w:tplc="0409001B" w:tentative="1">
      <w:start w:val="1"/>
      <w:numFmt w:val="bullet"/>
      <w:lvlText w:val="•"/>
      <w:lvlJc w:val="left"/>
      <w:pPr>
        <w:tabs>
          <w:tab w:val="num" w:pos="6300"/>
        </w:tabs>
        <w:ind w:left="6300" w:hanging="360"/>
      </w:pPr>
      <w:rPr>
        <w:rFonts w:ascii="Times New Roman" w:hAnsi="Times New Roman" w:hint="default"/>
      </w:rPr>
    </w:lvl>
  </w:abstractNum>
  <w:abstractNum w:abstractNumId="10">
    <w:nsid w:val="326E6F07"/>
    <w:multiLevelType w:val="hybridMultilevel"/>
    <w:tmpl w:val="60505E34"/>
    <w:lvl w:ilvl="0" w:tplc="0409000F">
      <w:start w:val="1"/>
      <w:numFmt w:val="decimal"/>
      <w:lvlText w:val="%1."/>
      <w:lvlJc w:val="left"/>
      <w:pPr>
        <w:tabs>
          <w:tab w:val="num" w:pos="720"/>
        </w:tabs>
        <w:ind w:left="720" w:hanging="360"/>
      </w:pPr>
      <w:rPr>
        <w:rFonts w:hint="default"/>
      </w:rPr>
    </w:lvl>
    <w:lvl w:ilvl="1" w:tplc="61382FAE">
      <w:start w:val="1"/>
      <w:numFmt w:val="bullet"/>
      <w:lvlText w:val="o"/>
      <w:lvlJc w:val="left"/>
      <w:pPr>
        <w:tabs>
          <w:tab w:val="num" w:pos="1440"/>
        </w:tabs>
        <w:ind w:left="1440" w:hanging="360"/>
      </w:pPr>
      <w:rPr>
        <w:rFonts w:ascii="Courier New" w:hAnsi="Courier New" w:hint="default"/>
      </w:rPr>
    </w:lvl>
    <w:lvl w:ilvl="2" w:tplc="A7A85350">
      <w:start w:val="1"/>
      <w:numFmt w:val="bullet"/>
      <w:lvlText w:val=""/>
      <w:lvlJc w:val="left"/>
      <w:pPr>
        <w:tabs>
          <w:tab w:val="num" w:pos="2160"/>
        </w:tabs>
        <w:ind w:left="2160" w:hanging="360"/>
      </w:pPr>
      <w:rPr>
        <w:rFonts w:ascii="Wingdings" w:hAnsi="Wingdings" w:hint="default"/>
      </w:rPr>
    </w:lvl>
    <w:lvl w:ilvl="3" w:tplc="AB4E6356">
      <w:start w:val="1"/>
      <w:numFmt w:val="bullet"/>
      <w:lvlText w:val=""/>
      <w:lvlJc w:val="left"/>
      <w:pPr>
        <w:tabs>
          <w:tab w:val="num" w:pos="2880"/>
        </w:tabs>
        <w:ind w:left="2880" w:hanging="360"/>
      </w:pPr>
      <w:rPr>
        <w:rFonts w:ascii="Symbol" w:hAnsi="Symbol" w:hint="default"/>
      </w:rPr>
    </w:lvl>
    <w:lvl w:ilvl="4" w:tplc="3B8CDBA8">
      <w:start w:val="1"/>
      <w:numFmt w:val="bullet"/>
      <w:lvlText w:val="o"/>
      <w:lvlJc w:val="left"/>
      <w:pPr>
        <w:tabs>
          <w:tab w:val="num" w:pos="3600"/>
        </w:tabs>
        <w:ind w:left="3600" w:hanging="360"/>
      </w:pPr>
      <w:rPr>
        <w:rFonts w:ascii="Courier New" w:hAnsi="Courier New" w:hint="default"/>
      </w:rPr>
    </w:lvl>
    <w:lvl w:ilvl="5" w:tplc="666A89B4">
      <w:start w:val="1"/>
      <w:numFmt w:val="bullet"/>
      <w:lvlText w:val=""/>
      <w:lvlJc w:val="left"/>
      <w:pPr>
        <w:tabs>
          <w:tab w:val="num" w:pos="4320"/>
        </w:tabs>
        <w:ind w:left="4320" w:hanging="360"/>
      </w:pPr>
      <w:rPr>
        <w:rFonts w:ascii="Wingdings" w:hAnsi="Wingdings" w:hint="default"/>
      </w:rPr>
    </w:lvl>
    <w:lvl w:ilvl="6" w:tplc="6166004E">
      <w:start w:val="1"/>
      <w:numFmt w:val="bullet"/>
      <w:lvlText w:val=""/>
      <w:lvlJc w:val="left"/>
      <w:pPr>
        <w:tabs>
          <w:tab w:val="num" w:pos="5040"/>
        </w:tabs>
        <w:ind w:left="5040" w:hanging="360"/>
      </w:pPr>
      <w:rPr>
        <w:rFonts w:ascii="Symbol" w:hAnsi="Symbol" w:hint="default"/>
      </w:rPr>
    </w:lvl>
    <w:lvl w:ilvl="7" w:tplc="12F0F12C">
      <w:start w:val="1"/>
      <w:numFmt w:val="bullet"/>
      <w:lvlText w:val="o"/>
      <w:lvlJc w:val="left"/>
      <w:pPr>
        <w:tabs>
          <w:tab w:val="num" w:pos="5760"/>
        </w:tabs>
        <w:ind w:left="5760" w:hanging="360"/>
      </w:pPr>
      <w:rPr>
        <w:rFonts w:ascii="Courier New" w:hAnsi="Courier New" w:hint="default"/>
      </w:rPr>
    </w:lvl>
    <w:lvl w:ilvl="8" w:tplc="DAEAF73C">
      <w:start w:val="1"/>
      <w:numFmt w:val="bullet"/>
      <w:lvlText w:val=""/>
      <w:lvlJc w:val="left"/>
      <w:pPr>
        <w:tabs>
          <w:tab w:val="num" w:pos="6480"/>
        </w:tabs>
        <w:ind w:left="6480" w:hanging="360"/>
      </w:pPr>
      <w:rPr>
        <w:rFonts w:ascii="Wingdings" w:hAnsi="Wingdings" w:hint="default"/>
      </w:rPr>
    </w:lvl>
  </w:abstractNum>
  <w:abstractNum w:abstractNumId="11">
    <w:nsid w:val="366742CF"/>
    <w:multiLevelType w:val="hybridMultilevel"/>
    <w:tmpl w:val="6E94A0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8E2681D"/>
    <w:multiLevelType w:val="hybridMultilevel"/>
    <w:tmpl w:val="00783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30C49"/>
    <w:multiLevelType w:val="hybridMultilevel"/>
    <w:tmpl w:val="7B087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C0B42AA"/>
    <w:multiLevelType w:val="hybridMultilevel"/>
    <w:tmpl w:val="51B86A0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5A79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250B58"/>
    <w:multiLevelType w:val="hybridMultilevel"/>
    <w:tmpl w:val="9E2A3BF6"/>
    <w:lvl w:ilvl="0" w:tplc="0409000F">
      <w:start w:val="1"/>
      <w:numFmt w:val="decimal"/>
      <w:lvlText w:val="%1."/>
      <w:lvlJc w:val="left"/>
      <w:pPr>
        <w:ind w:left="540" w:hanging="360"/>
      </w:pPr>
      <w:rPr>
        <w:rFonts w:hint="default"/>
        <w:color w:val="auto"/>
        <w:sz w:val="22"/>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3C4730E3"/>
    <w:multiLevelType w:val="hybridMultilevel"/>
    <w:tmpl w:val="7C4E55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AF18A3"/>
    <w:multiLevelType w:val="hybridMultilevel"/>
    <w:tmpl w:val="8A488AD0"/>
    <w:lvl w:ilvl="0" w:tplc="7E808294">
      <w:start w:val="1"/>
      <w:numFmt w:val="decimal"/>
      <w:lvlText w:val="%1."/>
      <w:lvlJc w:val="left"/>
      <w:pPr>
        <w:tabs>
          <w:tab w:val="num" w:pos="720"/>
        </w:tabs>
        <w:ind w:left="720" w:hanging="360"/>
      </w:pPr>
      <w:rPr>
        <w:rFonts w:hint="default"/>
      </w:rPr>
    </w:lvl>
    <w:lvl w:ilvl="1" w:tplc="EF46E256">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F170A3C"/>
    <w:multiLevelType w:val="hybridMultilevel"/>
    <w:tmpl w:val="2CCC003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0A7084A"/>
    <w:multiLevelType w:val="hybridMultilevel"/>
    <w:tmpl w:val="71FEB2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422FF6"/>
    <w:multiLevelType w:val="multilevel"/>
    <w:tmpl w:val="78CA4F56"/>
    <w:lvl w:ilvl="0">
      <w:start w:val="1"/>
      <w:numFmt w:val="bullet"/>
      <w:lvlText w:val=""/>
      <w:lvlJc w:val="left"/>
      <w:pPr>
        <w:tabs>
          <w:tab w:val="num" w:pos="540"/>
        </w:tabs>
        <w:ind w:left="540" w:hanging="360"/>
      </w:pPr>
      <w:rPr>
        <w:rFonts w:ascii="Symbol" w:hAnsi="Symbol" w:hint="default"/>
        <w:sz w:val="20"/>
      </w:rPr>
    </w:lvl>
    <w:lvl w:ilvl="1">
      <w:start w:val="3"/>
      <w:numFmt w:val="decimal"/>
      <w:lvlText w:val="%2."/>
      <w:lvlJc w:val="left"/>
      <w:pPr>
        <w:ind w:left="1260" w:hanging="360"/>
      </w:pPr>
      <w:rPr>
        <w:rFonts w:hint="default"/>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21">
    <w:nsid w:val="415B7459"/>
    <w:multiLevelType w:val="hybridMultilevel"/>
    <w:tmpl w:val="AC385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4B63787"/>
    <w:multiLevelType w:val="hybridMultilevel"/>
    <w:tmpl w:val="0BEA50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45BF6EBE"/>
    <w:multiLevelType w:val="hybridMultilevel"/>
    <w:tmpl w:val="652E2B4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146BFB"/>
    <w:multiLevelType w:val="hybridMultilevel"/>
    <w:tmpl w:val="934C740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5961990"/>
    <w:multiLevelType w:val="hybridMultilevel"/>
    <w:tmpl w:val="CC486C6E"/>
    <w:lvl w:ilvl="0" w:tplc="0409000F">
      <w:start w:val="1"/>
      <w:numFmt w:val="decimal"/>
      <w:lvlText w:val="%1."/>
      <w:lvlJc w:val="left"/>
      <w:pPr>
        <w:tabs>
          <w:tab w:val="num" w:pos="540"/>
        </w:tabs>
        <w:ind w:left="540" w:hanging="360"/>
      </w:pPr>
      <w:rPr>
        <w:rFonts w:hint="default"/>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6">
    <w:nsid w:val="57732C17"/>
    <w:multiLevelType w:val="hybridMultilevel"/>
    <w:tmpl w:val="2272F628"/>
    <w:lvl w:ilvl="0" w:tplc="11949D0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2402F1"/>
    <w:multiLevelType w:val="hybridMultilevel"/>
    <w:tmpl w:val="FCD03E2A"/>
    <w:lvl w:ilvl="0" w:tplc="549AE884">
      <w:start w:val="1"/>
      <w:numFmt w:val="decimal"/>
      <w:lvlText w:val="%1."/>
      <w:lvlJc w:val="left"/>
      <w:pPr>
        <w:ind w:left="502" w:hanging="360"/>
      </w:pPr>
      <w:rPr>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nsid w:val="6025244F"/>
    <w:multiLevelType w:val="hybridMultilevel"/>
    <w:tmpl w:val="4BC062C2"/>
    <w:lvl w:ilvl="0" w:tplc="0409000F">
      <w:start w:val="1"/>
      <w:numFmt w:val="decimal"/>
      <w:lvlText w:val="%1."/>
      <w:lvlJc w:val="left"/>
      <w:pPr>
        <w:tabs>
          <w:tab w:val="num" w:pos="540"/>
        </w:tabs>
        <w:ind w:left="540" w:hanging="360"/>
      </w:pPr>
      <w:rPr>
        <w:rFonts w:hint="default"/>
      </w:rPr>
    </w:lvl>
    <w:lvl w:ilvl="1" w:tplc="04090003">
      <w:start w:val="1"/>
      <w:numFmt w:val="bullet"/>
      <w:lvlText w:val="•"/>
      <w:lvlJc w:val="left"/>
      <w:pPr>
        <w:tabs>
          <w:tab w:val="num" w:pos="1260"/>
        </w:tabs>
        <w:ind w:left="1260" w:hanging="360"/>
      </w:pPr>
      <w:rPr>
        <w:rFonts w:ascii="Times New Roman" w:hAnsi="Times New Roman" w:hint="default"/>
      </w:rPr>
    </w:lvl>
    <w:lvl w:ilvl="2" w:tplc="04090005" w:tentative="1">
      <w:start w:val="1"/>
      <w:numFmt w:val="bullet"/>
      <w:lvlText w:val="•"/>
      <w:lvlJc w:val="left"/>
      <w:pPr>
        <w:tabs>
          <w:tab w:val="num" w:pos="1980"/>
        </w:tabs>
        <w:ind w:left="1980" w:hanging="360"/>
      </w:pPr>
      <w:rPr>
        <w:rFonts w:ascii="Times New Roman" w:hAnsi="Times New Roman" w:hint="default"/>
      </w:rPr>
    </w:lvl>
    <w:lvl w:ilvl="3" w:tplc="04090001" w:tentative="1">
      <w:start w:val="1"/>
      <w:numFmt w:val="bullet"/>
      <w:lvlText w:val="•"/>
      <w:lvlJc w:val="left"/>
      <w:pPr>
        <w:tabs>
          <w:tab w:val="num" w:pos="2700"/>
        </w:tabs>
        <w:ind w:left="2700" w:hanging="360"/>
      </w:pPr>
      <w:rPr>
        <w:rFonts w:ascii="Times New Roman" w:hAnsi="Times New Roman" w:hint="default"/>
      </w:rPr>
    </w:lvl>
    <w:lvl w:ilvl="4" w:tplc="04090003" w:tentative="1">
      <w:start w:val="1"/>
      <w:numFmt w:val="bullet"/>
      <w:lvlText w:val="•"/>
      <w:lvlJc w:val="left"/>
      <w:pPr>
        <w:tabs>
          <w:tab w:val="num" w:pos="3420"/>
        </w:tabs>
        <w:ind w:left="3420" w:hanging="360"/>
      </w:pPr>
      <w:rPr>
        <w:rFonts w:ascii="Times New Roman" w:hAnsi="Times New Roman" w:hint="default"/>
      </w:rPr>
    </w:lvl>
    <w:lvl w:ilvl="5" w:tplc="04090005" w:tentative="1">
      <w:start w:val="1"/>
      <w:numFmt w:val="bullet"/>
      <w:lvlText w:val="•"/>
      <w:lvlJc w:val="left"/>
      <w:pPr>
        <w:tabs>
          <w:tab w:val="num" w:pos="4140"/>
        </w:tabs>
        <w:ind w:left="4140" w:hanging="360"/>
      </w:pPr>
      <w:rPr>
        <w:rFonts w:ascii="Times New Roman" w:hAnsi="Times New Roman" w:hint="default"/>
      </w:rPr>
    </w:lvl>
    <w:lvl w:ilvl="6" w:tplc="04090001" w:tentative="1">
      <w:start w:val="1"/>
      <w:numFmt w:val="bullet"/>
      <w:lvlText w:val="•"/>
      <w:lvlJc w:val="left"/>
      <w:pPr>
        <w:tabs>
          <w:tab w:val="num" w:pos="4860"/>
        </w:tabs>
        <w:ind w:left="4860" w:hanging="360"/>
      </w:pPr>
      <w:rPr>
        <w:rFonts w:ascii="Times New Roman" w:hAnsi="Times New Roman" w:hint="default"/>
      </w:rPr>
    </w:lvl>
    <w:lvl w:ilvl="7" w:tplc="04090003" w:tentative="1">
      <w:start w:val="1"/>
      <w:numFmt w:val="bullet"/>
      <w:lvlText w:val="•"/>
      <w:lvlJc w:val="left"/>
      <w:pPr>
        <w:tabs>
          <w:tab w:val="num" w:pos="5580"/>
        </w:tabs>
        <w:ind w:left="5580" w:hanging="360"/>
      </w:pPr>
      <w:rPr>
        <w:rFonts w:ascii="Times New Roman" w:hAnsi="Times New Roman" w:hint="default"/>
      </w:rPr>
    </w:lvl>
    <w:lvl w:ilvl="8" w:tplc="04090005" w:tentative="1">
      <w:start w:val="1"/>
      <w:numFmt w:val="bullet"/>
      <w:lvlText w:val="•"/>
      <w:lvlJc w:val="left"/>
      <w:pPr>
        <w:tabs>
          <w:tab w:val="num" w:pos="6300"/>
        </w:tabs>
        <w:ind w:left="6300" w:hanging="360"/>
      </w:pPr>
      <w:rPr>
        <w:rFonts w:ascii="Times New Roman" w:hAnsi="Times New Roman" w:hint="default"/>
      </w:rPr>
    </w:lvl>
  </w:abstractNum>
  <w:abstractNum w:abstractNumId="29">
    <w:nsid w:val="60346434"/>
    <w:multiLevelType w:val="multilevel"/>
    <w:tmpl w:val="BC721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280225F"/>
    <w:multiLevelType w:val="hybridMultilevel"/>
    <w:tmpl w:val="8750A51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517598"/>
    <w:multiLevelType w:val="hybridMultilevel"/>
    <w:tmpl w:val="1304CC0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5A79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6DF46B7"/>
    <w:multiLevelType w:val="hybridMultilevel"/>
    <w:tmpl w:val="8F3679E2"/>
    <w:lvl w:ilvl="0" w:tplc="04090001">
      <w:start w:val="1"/>
      <w:numFmt w:val="bullet"/>
      <w:lvlText w:val=""/>
      <w:lvlJc w:val="left"/>
      <w:pPr>
        <w:ind w:left="1487" w:hanging="360"/>
      </w:pPr>
      <w:rPr>
        <w:rFonts w:ascii="Symbol" w:hAnsi="Symbol"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33">
    <w:nsid w:val="6A0350A5"/>
    <w:multiLevelType w:val="hybridMultilevel"/>
    <w:tmpl w:val="1A04942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D8A1E18"/>
    <w:multiLevelType w:val="multilevel"/>
    <w:tmpl w:val="69C04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3600B74"/>
    <w:multiLevelType w:val="hybridMultilevel"/>
    <w:tmpl w:val="0F3A8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A37B27"/>
    <w:multiLevelType w:val="hybridMultilevel"/>
    <w:tmpl w:val="A176C89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335A7986">
      <w:start w:val="1"/>
      <w:numFmt w:val="lowerLetter"/>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7955740"/>
    <w:multiLevelType w:val="hybridMultilevel"/>
    <w:tmpl w:val="432092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6A5E37"/>
    <w:multiLevelType w:val="hybridMultilevel"/>
    <w:tmpl w:val="6A98C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9145041"/>
    <w:multiLevelType w:val="hybridMultilevel"/>
    <w:tmpl w:val="09CA05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51AC6"/>
    <w:multiLevelType w:val="hybridMultilevel"/>
    <w:tmpl w:val="C43A88C6"/>
    <w:lvl w:ilvl="0" w:tplc="04090001">
      <w:start w:val="1"/>
      <w:numFmt w:val="bullet"/>
      <w:lvlText w:val=""/>
      <w:lvlJc w:val="left"/>
      <w:pPr>
        <w:ind w:left="540" w:hanging="360"/>
      </w:pPr>
      <w:rPr>
        <w:rFonts w:ascii="Symbol" w:hAnsi="Symbol" w:hint="default"/>
        <w:color w:val="auto"/>
        <w:sz w:val="22"/>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1">
    <w:nsid w:val="7AF60187"/>
    <w:multiLevelType w:val="hybridMultilevel"/>
    <w:tmpl w:val="2EA83E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7FEB31EB"/>
    <w:multiLevelType w:val="hybridMultilevel"/>
    <w:tmpl w:val="65C232FA"/>
    <w:lvl w:ilvl="0" w:tplc="04090001">
      <w:start w:val="1"/>
      <w:numFmt w:val="bullet"/>
      <w:lvlText w:val=""/>
      <w:lvlJc w:val="left"/>
      <w:pPr>
        <w:tabs>
          <w:tab w:val="num" w:pos="720"/>
        </w:tabs>
        <w:ind w:left="720" w:hanging="360"/>
      </w:pPr>
      <w:rPr>
        <w:rFonts w:ascii="Symbol" w:hAnsi="Symbol" w:hint="default"/>
      </w:rPr>
    </w:lvl>
    <w:lvl w:ilvl="1" w:tplc="D636853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FF95AFA"/>
    <w:multiLevelType w:val="hybridMultilevel"/>
    <w:tmpl w:val="DC7E59F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0"/>
  </w:num>
  <w:num w:numId="3">
    <w:abstractNumId w:val="1"/>
  </w:num>
  <w:num w:numId="4">
    <w:abstractNumId w:val="18"/>
  </w:num>
  <w:num w:numId="5">
    <w:abstractNumId w:val="6"/>
  </w:num>
  <w:num w:numId="6">
    <w:abstractNumId w:val="39"/>
  </w:num>
  <w:num w:numId="7">
    <w:abstractNumId w:val="41"/>
  </w:num>
  <w:num w:numId="8">
    <w:abstractNumId w:val="22"/>
  </w:num>
  <w:num w:numId="9">
    <w:abstractNumId w:val="15"/>
  </w:num>
  <w:num w:numId="10">
    <w:abstractNumId w:val="5"/>
  </w:num>
  <w:num w:numId="11">
    <w:abstractNumId w:val="8"/>
  </w:num>
  <w:num w:numId="12">
    <w:abstractNumId w:val="40"/>
  </w:num>
  <w:num w:numId="13">
    <w:abstractNumId w:val="28"/>
  </w:num>
  <w:num w:numId="14">
    <w:abstractNumId w:val="7"/>
  </w:num>
  <w:num w:numId="15">
    <w:abstractNumId w:val="25"/>
  </w:num>
  <w:num w:numId="16">
    <w:abstractNumId w:val="27"/>
  </w:num>
  <w:num w:numId="17">
    <w:abstractNumId w:val="26"/>
  </w:num>
  <w:num w:numId="18">
    <w:abstractNumId w:val="4"/>
  </w:num>
  <w:num w:numId="19">
    <w:abstractNumId w:val="12"/>
  </w:num>
  <w:num w:numId="20">
    <w:abstractNumId w:val="9"/>
  </w:num>
  <w:num w:numId="21">
    <w:abstractNumId w:val="3"/>
  </w:num>
  <w:num w:numId="22">
    <w:abstractNumId w:val="20"/>
  </w:num>
  <w:num w:numId="23">
    <w:abstractNumId w:val="13"/>
  </w:num>
  <w:num w:numId="24">
    <w:abstractNumId w:val="32"/>
  </w:num>
  <w:num w:numId="25">
    <w:abstractNumId w:val="17"/>
  </w:num>
  <w:num w:numId="26">
    <w:abstractNumId w:val="34"/>
  </w:num>
  <w:num w:numId="27">
    <w:abstractNumId w:val="30"/>
  </w:num>
  <w:num w:numId="28">
    <w:abstractNumId w:val="21"/>
  </w:num>
  <w:num w:numId="29">
    <w:abstractNumId w:val="43"/>
  </w:num>
  <w:num w:numId="30">
    <w:abstractNumId w:val="19"/>
  </w:num>
  <w:num w:numId="31">
    <w:abstractNumId w:val="36"/>
  </w:num>
  <w:num w:numId="32">
    <w:abstractNumId w:val="14"/>
  </w:num>
  <w:num w:numId="33">
    <w:abstractNumId w:val="23"/>
  </w:num>
  <w:num w:numId="34">
    <w:abstractNumId w:val="24"/>
  </w:num>
  <w:num w:numId="35">
    <w:abstractNumId w:val="42"/>
  </w:num>
  <w:num w:numId="36">
    <w:abstractNumId w:val="31"/>
  </w:num>
  <w:num w:numId="37">
    <w:abstractNumId w:val="37"/>
  </w:num>
  <w:num w:numId="38">
    <w:abstractNumId w:val="2"/>
  </w:num>
  <w:num w:numId="39">
    <w:abstractNumId w:val="38"/>
  </w:num>
  <w:num w:numId="40">
    <w:abstractNumId w:val="0"/>
  </w:num>
  <w:num w:numId="41">
    <w:abstractNumId w:val="33"/>
  </w:num>
  <w:num w:numId="42">
    <w:abstractNumId w:val="16"/>
  </w:num>
  <w:num w:numId="43">
    <w:abstractNumId w:val="35"/>
  </w:num>
  <w:num w:numId="44">
    <w:abstractNumId w:val="29"/>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20"/>
  <w:displayHorizontalDrawingGridEvery w:val="2"/>
  <w:characterSpacingControl w:val="doNotCompress"/>
  <w:hdrShapeDefaults>
    <o:shapedefaults v:ext="edit" spidmax="145410"/>
  </w:hdrShapeDefaults>
  <w:footnotePr>
    <w:footnote w:id="0"/>
    <w:footnote w:id="1"/>
  </w:footnotePr>
  <w:endnotePr>
    <w:endnote w:id="0"/>
    <w:endnote w:id="1"/>
  </w:endnotePr>
  <w:compat/>
  <w:rsids>
    <w:rsidRoot w:val="00E6445C"/>
    <w:rsid w:val="00001112"/>
    <w:rsid w:val="0000236A"/>
    <w:rsid w:val="00010F21"/>
    <w:rsid w:val="00016811"/>
    <w:rsid w:val="00016DB3"/>
    <w:rsid w:val="00017A41"/>
    <w:rsid w:val="000267DE"/>
    <w:rsid w:val="00030A97"/>
    <w:rsid w:val="00030FE0"/>
    <w:rsid w:val="00031AC6"/>
    <w:rsid w:val="00031CF8"/>
    <w:rsid w:val="00040878"/>
    <w:rsid w:val="00043199"/>
    <w:rsid w:val="000463B4"/>
    <w:rsid w:val="00050B30"/>
    <w:rsid w:val="00050C5F"/>
    <w:rsid w:val="000512F6"/>
    <w:rsid w:val="000604AE"/>
    <w:rsid w:val="0006418E"/>
    <w:rsid w:val="000679B4"/>
    <w:rsid w:val="00072A36"/>
    <w:rsid w:val="0007490C"/>
    <w:rsid w:val="0007794A"/>
    <w:rsid w:val="00087BD8"/>
    <w:rsid w:val="00094B91"/>
    <w:rsid w:val="00097DF7"/>
    <w:rsid w:val="000A1C53"/>
    <w:rsid w:val="000A1D57"/>
    <w:rsid w:val="000B3745"/>
    <w:rsid w:val="000B7B7A"/>
    <w:rsid w:val="000C3444"/>
    <w:rsid w:val="000C5BF9"/>
    <w:rsid w:val="000C756A"/>
    <w:rsid w:val="000D630C"/>
    <w:rsid w:val="000E044B"/>
    <w:rsid w:val="000E04C4"/>
    <w:rsid w:val="000E0EEF"/>
    <w:rsid w:val="000F6CA2"/>
    <w:rsid w:val="001026BE"/>
    <w:rsid w:val="001030C7"/>
    <w:rsid w:val="00104F48"/>
    <w:rsid w:val="001058F5"/>
    <w:rsid w:val="00113CAC"/>
    <w:rsid w:val="00114FA8"/>
    <w:rsid w:val="001205A2"/>
    <w:rsid w:val="0012426D"/>
    <w:rsid w:val="001301E9"/>
    <w:rsid w:val="00133924"/>
    <w:rsid w:val="00135564"/>
    <w:rsid w:val="001437A5"/>
    <w:rsid w:val="001533D2"/>
    <w:rsid w:val="0015792A"/>
    <w:rsid w:val="00157B1F"/>
    <w:rsid w:val="00164BC6"/>
    <w:rsid w:val="001652E0"/>
    <w:rsid w:val="00166746"/>
    <w:rsid w:val="0016774C"/>
    <w:rsid w:val="00173A9D"/>
    <w:rsid w:val="00181FDD"/>
    <w:rsid w:val="00185E61"/>
    <w:rsid w:val="00190FF9"/>
    <w:rsid w:val="0019273C"/>
    <w:rsid w:val="00193091"/>
    <w:rsid w:val="001A29E5"/>
    <w:rsid w:val="001A369F"/>
    <w:rsid w:val="001A38FC"/>
    <w:rsid w:val="001A55F9"/>
    <w:rsid w:val="001A6D67"/>
    <w:rsid w:val="001A6DA1"/>
    <w:rsid w:val="001B376B"/>
    <w:rsid w:val="001B5636"/>
    <w:rsid w:val="001B6653"/>
    <w:rsid w:val="001B6CFD"/>
    <w:rsid w:val="001C2FA3"/>
    <w:rsid w:val="001C3F05"/>
    <w:rsid w:val="001C7B64"/>
    <w:rsid w:val="001D1B9C"/>
    <w:rsid w:val="001E2CE8"/>
    <w:rsid w:val="001E71EE"/>
    <w:rsid w:val="001F1AED"/>
    <w:rsid w:val="001F347D"/>
    <w:rsid w:val="002005B8"/>
    <w:rsid w:val="00201DD2"/>
    <w:rsid w:val="00207318"/>
    <w:rsid w:val="002110DA"/>
    <w:rsid w:val="00216372"/>
    <w:rsid w:val="0022248C"/>
    <w:rsid w:val="00225BA1"/>
    <w:rsid w:val="002341D8"/>
    <w:rsid w:val="00236E07"/>
    <w:rsid w:val="002407DC"/>
    <w:rsid w:val="002479A1"/>
    <w:rsid w:val="00252AE4"/>
    <w:rsid w:val="002564DC"/>
    <w:rsid w:val="00256D78"/>
    <w:rsid w:val="0026109E"/>
    <w:rsid w:val="00263964"/>
    <w:rsid w:val="00271E9D"/>
    <w:rsid w:val="002729D6"/>
    <w:rsid w:val="00275D63"/>
    <w:rsid w:val="00277A4A"/>
    <w:rsid w:val="002805E0"/>
    <w:rsid w:val="002813D3"/>
    <w:rsid w:val="0028284F"/>
    <w:rsid w:val="00287B2A"/>
    <w:rsid w:val="00296637"/>
    <w:rsid w:val="00296721"/>
    <w:rsid w:val="002A3472"/>
    <w:rsid w:val="002A3664"/>
    <w:rsid w:val="002A4516"/>
    <w:rsid w:val="002A4C7D"/>
    <w:rsid w:val="002B1BE6"/>
    <w:rsid w:val="002B2B44"/>
    <w:rsid w:val="002B6296"/>
    <w:rsid w:val="002B7E9D"/>
    <w:rsid w:val="002C22B1"/>
    <w:rsid w:val="002C6724"/>
    <w:rsid w:val="002D0D8B"/>
    <w:rsid w:val="002D18BE"/>
    <w:rsid w:val="002D256D"/>
    <w:rsid w:val="002D3AEB"/>
    <w:rsid w:val="002D4CCD"/>
    <w:rsid w:val="002D4D86"/>
    <w:rsid w:val="002D790A"/>
    <w:rsid w:val="002E3685"/>
    <w:rsid w:val="002E4378"/>
    <w:rsid w:val="002E5680"/>
    <w:rsid w:val="002F0908"/>
    <w:rsid w:val="002F20E8"/>
    <w:rsid w:val="002F39FF"/>
    <w:rsid w:val="003016E5"/>
    <w:rsid w:val="003050C5"/>
    <w:rsid w:val="00307062"/>
    <w:rsid w:val="00310656"/>
    <w:rsid w:val="00312833"/>
    <w:rsid w:val="00315F63"/>
    <w:rsid w:val="0031671F"/>
    <w:rsid w:val="0032048C"/>
    <w:rsid w:val="0032300C"/>
    <w:rsid w:val="00325F9A"/>
    <w:rsid w:val="003263E5"/>
    <w:rsid w:val="00331F95"/>
    <w:rsid w:val="00331F9A"/>
    <w:rsid w:val="0033213E"/>
    <w:rsid w:val="00336B39"/>
    <w:rsid w:val="00340A17"/>
    <w:rsid w:val="003430D8"/>
    <w:rsid w:val="003449EB"/>
    <w:rsid w:val="0034585B"/>
    <w:rsid w:val="00352033"/>
    <w:rsid w:val="00356846"/>
    <w:rsid w:val="00361E7D"/>
    <w:rsid w:val="00370B32"/>
    <w:rsid w:val="00374F15"/>
    <w:rsid w:val="00377691"/>
    <w:rsid w:val="00385B29"/>
    <w:rsid w:val="003861F3"/>
    <w:rsid w:val="003926B1"/>
    <w:rsid w:val="003948E4"/>
    <w:rsid w:val="003B270C"/>
    <w:rsid w:val="003B27AA"/>
    <w:rsid w:val="003B4FB1"/>
    <w:rsid w:val="003C3FD4"/>
    <w:rsid w:val="003C67F3"/>
    <w:rsid w:val="003C6A02"/>
    <w:rsid w:val="003D065C"/>
    <w:rsid w:val="003D691F"/>
    <w:rsid w:val="003D69F8"/>
    <w:rsid w:val="003E02C2"/>
    <w:rsid w:val="003E37EF"/>
    <w:rsid w:val="003F1303"/>
    <w:rsid w:val="003F17C9"/>
    <w:rsid w:val="003F26F5"/>
    <w:rsid w:val="00407059"/>
    <w:rsid w:val="00422E28"/>
    <w:rsid w:val="00422F8D"/>
    <w:rsid w:val="00435E91"/>
    <w:rsid w:val="00435FBA"/>
    <w:rsid w:val="00436F2B"/>
    <w:rsid w:val="00437794"/>
    <w:rsid w:val="00441756"/>
    <w:rsid w:val="0046039D"/>
    <w:rsid w:val="00460D95"/>
    <w:rsid w:val="00466722"/>
    <w:rsid w:val="00466E11"/>
    <w:rsid w:val="00467159"/>
    <w:rsid w:val="004672D2"/>
    <w:rsid w:val="004738F4"/>
    <w:rsid w:val="00476C24"/>
    <w:rsid w:val="00483B87"/>
    <w:rsid w:val="00486264"/>
    <w:rsid w:val="00491308"/>
    <w:rsid w:val="004A370B"/>
    <w:rsid w:val="004A4A3A"/>
    <w:rsid w:val="004B315D"/>
    <w:rsid w:val="004B5E0E"/>
    <w:rsid w:val="004B7906"/>
    <w:rsid w:val="004C6A5F"/>
    <w:rsid w:val="004D0095"/>
    <w:rsid w:val="004D0E5D"/>
    <w:rsid w:val="004D693B"/>
    <w:rsid w:val="004E0636"/>
    <w:rsid w:val="004E2E0B"/>
    <w:rsid w:val="004E7D2B"/>
    <w:rsid w:val="004F0AA1"/>
    <w:rsid w:val="004F100A"/>
    <w:rsid w:val="004F6917"/>
    <w:rsid w:val="004F7290"/>
    <w:rsid w:val="005018E7"/>
    <w:rsid w:val="00501BB0"/>
    <w:rsid w:val="00502493"/>
    <w:rsid w:val="00503913"/>
    <w:rsid w:val="00506918"/>
    <w:rsid w:val="00510F80"/>
    <w:rsid w:val="00511BDD"/>
    <w:rsid w:val="00511F03"/>
    <w:rsid w:val="00514A4E"/>
    <w:rsid w:val="00524ED0"/>
    <w:rsid w:val="005318ED"/>
    <w:rsid w:val="0054112F"/>
    <w:rsid w:val="00541FF2"/>
    <w:rsid w:val="00542880"/>
    <w:rsid w:val="005506B8"/>
    <w:rsid w:val="0055158D"/>
    <w:rsid w:val="00552A82"/>
    <w:rsid w:val="0055497D"/>
    <w:rsid w:val="00555278"/>
    <w:rsid w:val="00564330"/>
    <w:rsid w:val="005647A6"/>
    <w:rsid w:val="00565525"/>
    <w:rsid w:val="00567AD6"/>
    <w:rsid w:val="0057701F"/>
    <w:rsid w:val="005809F3"/>
    <w:rsid w:val="00585BE9"/>
    <w:rsid w:val="005A17EF"/>
    <w:rsid w:val="005A5140"/>
    <w:rsid w:val="005B1CD9"/>
    <w:rsid w:val="005B1EFC"/>
    <w:rsid w:val="005C2C8F"/>
    <w:rsid w:val="005C3553"/>
    <w:rsid w:val="005C7964"/>
    <w:rsid w:val="005C7E1D"/>
    <w:rsid w:val="005D43DD"/>
    <w:rsid w:val="005D5F95"/>
    <w:rsid w:val="005E06AB"/>
    <w:rsid w:val="005E5D26"/>
    <w:rsid w:val="005E7AB8"/>
    <w:rsid w:val="005F02DE"/>
    <w:rsid w:val="005F0341"/>
    <w:rsid w:val="005F3115"/>
    <w:rsid w:val="00601BCE"/>
    <w:rsid w:val="006036CB"/>
    <w:rsid w:val="00604815"/>
    <w:rsid w:val="00613F65"/>
    <w:rsid w:val="006179AA"/>
    <w:rsid w:val="00622F37"/>
    <w:rsid w:val="00633676"/>
    <w:rsid w:val="00634066"/>
    <w:rsid w:val="00634A22"/>
    <w:rsid w:val="00635A24"/>
    <w:rsid w:val="006377BA"/>
    <w:rsid w:val="00641404"/>
    <w:rsid w:val="00643E03"/>
    <w:rsid w:val="00646E97"/>
    <w:rsid w:val="00654B92"/>
    <w:rsid w:val="006641B8"/>
    <w:rsid w:val="0066605B"/>
    <w:rsid w:val="00667B96"/>
    <w:rsid w:val="00670096"/>
    <w:rsid w:val="00674041"/>
    <w:rsid w:val="0067477F"/>
    <w:rsid w:val="0067645F"/>
    <w:rsid w:val="00676E6C"/>
    <w:rsid w:val="006770D8"/>
    <w:rsid w:val="00691C77"/>
    <w:rsid w:val="00694DF8"/>
    <w:rsid w:val="00695BF1"/>
    <w:rsid w:val="006A1019"/>
    <w:rsid w:val="006A13F4"/>
    <w:rsid w:val="006A1ECC"/>
    <w:rsid w:val="006A38CF"/>
    <w:rsid w:val="006B007F"/>
    <w:rsid w:val="006B00E0"/>
    <w:rsid w:val="006B3187"/>
    <w:rsid w:val="006C6FA7"/>
    <w:rsid w:val="006E2291"/>
    <w:rsid w:val="006E669A"/>
    <w:rsid w:val="006F1A29"/>
    <w:rsid w:val="006F2F88"/>
    <w:rsid w:val="006F39BE"/>
    <w:rsid w:val="006F4D33"/>
    <w:rsid w:val="007019BF"/>
    <w:rsid w:val="00702EB1"/>
    <w:rsid w:val="007040E4"/>
    <w:rsid w:val="00711314"/>
    <w:rsid w:val="007140C3"/>
    <w:rsid w:val="00714A30"/>
    <w:rsid w:val="00714D36"/>
    <w:rsid w:val="00715E45"/>
    <w:rsid w:val="00721354"/>
    <w:rsid w:val="00723930"/>
    <w:rsid w:val="00731B72"/>
    <w:rsid w:val="00733D9C"/>
    <w:rsid w:val="00736AE5"/>
    <w:rsid w:val="00742467"/>
    <w:rsid w:val="00751D85"/>
    <w:rsid w:val="0075323F"/>
    <w:rsid w:val="007545E4"/>
    <w:rsid w:val="007564BC"/>
    <w:rsid w:val="007573AC"/>
    <w:rsid w:val="00763386"/>
    <w:rsid w:val="00763AE3"/>
    <w:rsid w:val="00773E7F"/>
    <w:rsid w:val="00773FBF"/>
    <w:rsid w:val="00774105"/>
    <w:rsid w:val="0077470C"/>
    <w:rsid w:val="00784849"/>
    <w:rsid w:val="00792D80"/>
    <w:rsid w:val="007A138B"/>
    <w:rsid w:val="007A1EAE"/>
    <w:rsid w:val="007A2018"/>
    <w:rsid w:val="007B67E8"/>
    <w:rsid w:val="007C00A0"/>
    <w:rsid w:val="007C4695"/>
    <w:rsid w:val="007C6ADF"/>
    <w:rsid w:val="007D3585"/>
    <w:rsid w:val="007D76A1"/>
    <w:rsid w:val="007E3505"/>
    <w:rsid w:val="007E41CA"/>
    <w:rsid w:val="007E5410"/>
    <w:rsid w:val="007E7E03"/>
    <w:rsid w:val="007F0CF2"/>
    <w:rsid w:val="0081111D"/>
    <w:rsid w:val="00812244"/>
    <w:rsid w:val="0081600F"/>
    <w:rsid w:val="00817AAD"/>
    <w:rsid w:val="0082465E"/>
    <w:rsid w:val="008246BA"/>
    <w:rsid w:val="00825807"/>
    <w:rsid w:val="00827C3E"/>
    <w:rsid w:val="00830924"/>
    <w:rsid w:val="008313C1"/>
    <w:rsid w:val="0083180C"/>
    <w:rsid w:val="00832B18"/>
    <w:rsid w:val="00832DA1"/>
    <w:rsid w:val="00841205"/>
    <w:rsid w:val="00845D99"/>
    <w:rsid w:val="0085246B"/>
    <w:rsid w:val="00856A55"/>
    <w:rsid w:val="00861956"/>
    <w:rsid w:val="00862BD6"/>
    <w:rsid w:val="00862EF8"/>
    <w:rsid w:val="00864D83"/>
    <w:rsid w:val="00865381"/>
    <w:rsid w:val="00873D74"/>
    <w:rsid w:val="0087729E"/>
    <w:rsid w:val="00883D59"/>
    <w:rsid w:val="008901FB"/>
    <w:rsid w:val="00890DFE"/>
    <w:rsid w:val="008A0FC8"/>
    <w:rsid w:val="008A1301"/>
    <w:rsid w:val="008A216D"/>
    <w:rsid w:val="008A335A"/>
    <w:rsid w:val="008A4480"/>
    <w:rsid w:val="008A4C31"/>
    <w:rsid w:val="008B5495"/>
    <w:rsid w:val="008B6E50"/>
    <w:rsid w:val="008B6F95"/>
    <w:rsid w:val="008C2F43"/>
    <w:rsid w:val="008C3533"/>
    <w:rsid w:val="008C4841"/>
    <w:rsid w:val="008C565B"/>
    <w:rsid w:val="008C56CF"/>
    <w:rsid w:val="008C588E"/>
    <w:rsid w:val="008C6586"/>
    <w:rsid w:val="008C6BE8"/>
    <w:rsid w:val="008D006E"/>
    <w:rsid w:val="008D3CC3"/>
    <w:rsid w:val="008D4BE6"/>
    <w:rsid w:val="008D58F3"/>
    <w:rsid w:val="008E2B53"/>
    <w:rsid w:val="008E3849"/>
    <w:rsid w:val="008E577B"/>
    <w:rsid w:val="008E643A"/>
    <w:rsid w:val="008F3C79"/>
    <w:rsid w:val="008F6A97"/>
    <w:rsid w:val="00900522"/>
    <w:rsid w:val="00905B78"/>
    <w:rsid w:val="00907E47"/>
    <w:rsid w:val="00913ADF"/>
    <w:rsid w:val="0092493E"/>
    <w:rsid w:val="00927F20"/>
    <w:rsid w:val="0093187C"/>
    <w:rsid w:val="0093258C"/>
    <w:rsid w:val="00940F3C"/>
    <w:rsid w:val="00946E93"/>
    <w:rsid w:val="00957EED"/>
    <w:rsid w:val="00960F7D"/>
    <w:rsid w:val="009647C2"/>
    <w:rsid w:val="00966409"/>
    <w:rsid w:val="009674C6"/>
    <w:rsid w:val="00970233"/>
    <w:rsid w:val="009722D1"/>
    <w:rsid w:val="00981819"/>
    <w:rsid w:val="00983921"/>
    <w:rsid w:val="00985AC5"/>
    <w:rsid w:val="00991BA3"/>
    <w:rsid w:val="00995A32"/>
    <w:rsid w:val="00995FF7"/>
    <w:rsid w:val="009A2A29"/>
    <w:rsid w:val="009A2E96"/>
    <w:rsid w:val="009A7E51"/>
    <w:rsid w:val="009B0597"/>
    <w:rsid w:val="009C70E1"/>
    <w:rsid w:val="009C7AD7"/>
    <w:rsid w:val="009C7E5E"/>
    <w:rsid w:val="009D6C02"/>
    <w:rsid w:val="009D7177"/>
    <w:rsid w:val="009D7720"/>
    <w:rsid w:val="009E17BE"/>
    <w:rsid w:val="009E2158"/>
    <w:rsid w:val="009E7621"/>
    <w:rsid w:val="009F5A6D"/>
    <w:rsid w:val="009F64A6"/>
    <w:rsid w:val="009F6CB8"/>
    <w:rsid w:val="009F75D8"/>
    <w:rsid w:val="009F77EA"/>
    <w:rsid w:val="009F7E66"/>
    <w:rsid w:val="00A00863"/>
    <w:rsid w:val="00A008FD"/>
    <w:rsid w:val="00A0194A"/>
    <w:rsid w:val="00A053C9"/>
    <w:rsid w:val="00A0615B"/>
    <w:rsid w:val="00A12E5A"/>
    <w:rsid w:val="00A14FF1"/>
    <w:rsid w:val="00A1768A"/>
    <w:rsid w:val="00A2236A"/>
    <w:rsid w:val="00A23038"/>
    <w:rsid w:val="00A354D3"/>
    <w:rsid w:val="00A40695"/>
    <w:rsid w:val="00A42200"/>
    <w:rsid w:val="00A50637"/>
    <w:rsid w:val="00A52B66"/>
    <w:rsid w:val="00A545BA"/>
    <w:rsid w:val="00A54D11"/>
    <w:rsid w:val="00A572E4"/>
    <w:rsid w:val="00A573BC"/>
    <w:rsid w:val="00A628B7"/>
    <w:rsid w:val="00A75436"/>
    <w:rsid w:val="00A75732"/>
    <w:rsid w:val="00A779AD"/>
    <w:rsid w:val="00A854D8"/>
    <w:rsid w:val="00A94515"/>
    <w:rsid w:val="00A96FDE"/>
    <w:rsid w:val="00AA1C84"/>
    <w:rsid w:val="00AA4F27"/>
    <w:rsid w:val="00AA5DAC"/>
    <w:rsid w:val="00AA7DA1"/>
    <w:rsid w:val="00AB16AD"/>
    <w:rsid w:val="00AB25EB"/>
    <w:rsid w:val="00AB5A3A"/>
    <w:rsid w:val="00AB69FC"/>
    <w:rsid w:val="00AB7AAF"/>
    <w:rsid w:val="00AB7FF6"/>
    <w:rsid w:val="00AC3925"/>
    <w:rsid w:val="00AD0E97"/>
    <w:rsid w:val="00AD2BD9"/>
    <w:rsid w:val="00AE6543"/>
    <w:rsid w:val="00AF1BF6"/>
    <w:rsid w:val="00AF3E89"/>
    <w:rsid w:val="00B00339"/>
    <w:rsid w:val="00B00B71"/>
    <w:rsid w:val="00B01B03"/>
    <w:rsid w:val="00B04775"/>
    <w:rsid w:val="00B04C50"/>
    <w:rsid w:val="00B0675A"/>
    <w:rsid w:val="00B11C04"/>
    <w:rsid w:val="00B1437A"/>
    <w:rsid w:val="00B208AC"/>
    <w:rsid w:val="00B210B9"/>
    <w:rsid w:val="00B25E15"/>
    <w:rsid w:val="00B25EEA"/>
    <w:rsid w:val="00B36030"/>
    <w:rsid w:val="00B41CDA"/>
    <w:rsid w:val="00B452C5"/>
    <w:rsid w:val="00B517C6"/>
    <w:rsid w:val="00B5221A"/>
    <w:rsid w:val="00B52CA3"/>
    <w:rsid w:val="00B55FC5"/>
    <w:rsid w:val="00B64F50"/>
    <w:rsid w:val="00B82BD0"/>
    <w:rsid w:val="00B84F98"/>
    <w:rsid w:val="00B9424F"/>
    <w:rsid w:val="00B967E0"/>
    <w:rsid w:val="00B96D51"/>
    <w:rsid w:val="00BA2231"/>
    <w:rsid w:val="00BA6C80"/>
    <w:rsid w:val="00BC6149"/>
    <w:rsid w:val="00BD05AF"/>
    <w:rsid w:val="00BD7809"/>
    <w:rsid w:val="00BF3F00"/>
    <w:rsid w:val="00BF6B1F"/>
    <w:rsid w:val="00C040FB"/>
    <w:rsid w:val="00C10E33"/>
    <w:rsid w:val="00C14EED"/>
    <w:rsid w:val="00C151C5"/>
    <w:rsid w:val="00C15FAC"/>
    <w:rsid w:val="00C268AA"/>
    <w:rsid w:val="00C26A5F"/>
    <w:rsid w:val="00C358AA"/>
    <w:rsid w:val="00C41C02"/>
    <w:rsid w:val="00C44B5A"/>
    <w:rsid w:val="00C516F1"/>
    <w:rsid w:val="00C51FDD"/>
    <w:rsid w:val="00C548E5"/>
    <w:rsid w:val="00C552B9"/>
    <w:rsid w:val="00C71A8E"/>
    <w:rsid w:val="00C7540A"/>
    <w:rsid w:val="00C803AC"/>
    <w:rsid w:val="00C81B74"/>
    <w:rsid w:val="00C86785"/>
    <w:rsid w:val="00C87291"/>
    <w:rsid w:val="00C907CB"/>
    <w:rsid w:val="00C92628"/>
    <w:rsid w:val="00C93B7F"/>
    <w:rsid w:val="00C96372"/>
    <w:rsid w:val="00CA0669"/>
    <w:rsid w:val="00CA12C6"/>
    <w:rsid w:val="00CA31FA"/>
    <w:rsid w:val="00CA6B0E"/>
    <w:rsid w:val="00CB1279"/>
    <w:rsid w:val="00CB5787"/>
    <w:rsid w:val="00CC0649"/>
    <w:rsid w:val="00CC121E"/>
    <w:rsid w:val="00CC449F"/>
    <w:rsid w:val="00CD1D48"/>
    <w:rsid w:val="00CD5548"/>
    <w:rsid w:val="00CD5FE3"/>
    <w:rsid w:val="00CE022A"/>
    <w:rsid w:val="00CE566B"/>
    <w:rsid w:val="00CF0ACE"/>
    <w:rsid w:val="00CF1311"/>
    <w:rsid w:val="00CF64F8"/>
    <w:rsid w:val="00D00ED2"/>
    <w:rsid w:val="00D0248D"/>
    <w:rsid w:val="00D032BD"/>
    <w:rsid w:val="00D0586F"/>
    <w:rsid w:val="00D07E3E"/>
    <w:rsid w:val="00D141BA"/>
    <w:rsid w:val="00D14280"/>
    <w:rsid w:val="00D20399"/>
    <w:rsid w:val="00D22676"/>
    <w:rsid w:val="00D24436"/>
    <w:rsid w:val="00D3503C"/>
    <w:rsid w:val="00D3523E"/>
    <w:rsid w:val="00D40C94"/>
    <w:rsid w:val="00D42E2B"/>
    <w:rsid w:val="00D57DAC"/>
    <w:rsid w:val="00D67B2B"/>
    <w:rsid w:val="00D73756"/>
    <w:rsid w:val="00D767FD"/>
    <w:rsid w:val="00D80A9A"/>
    <w:rsid w:val="00D908A0"/>
    <w:rsid w:val="00D90C45"/>
    <w:rsid w:val="00D924B6"/>
    <w:rsid w:val="00D92713"/>
    <w:rsid w:val="00D946A5"/>
    <w:rsid w:val="00DB14B8"/>
    <w:rsid w:val="00DB2B41"/>
    <w:rsid w:val="00DB3D67"/>
    <w:rsid w:val="00DC10D2"/>
    <w:rsid w:val="00DC14F1"/>
    <w:rsid w:val="00DC565C"/>
    <w:rsid w:val="00DD441F"/>
    <w:rsid w:val="00DE0216"/>
    <w:rsid w:val="00DE163D"/>
    <w:rsid w:val="00DF0AF0"/>
    <w:rsid w:val="00E002AF"/>
    <w:rsid w:val="00E01D4D"/>
    <w:rsid w:val="00E04032"/>
    <w:rsid w:val="00E05011"/>
    <w:rsid w:val="00E068DC"/>
    <w:rsid w:val="00E150A6"/>
    <w:rsid w:val="00E203D0"/>
    <w:rsid w:val="00E24E43"/>
    <w:rsid w:val="00E25154"/>
    <w:rsid w:val="00E25DD1"/>
    <w:rsid w:val="00E34699"/>
    <w:rsid w:val="00E34EBD"/>
    <w:rsid w:val="00E3607F"/>
    <w:rsid w:val="00E368E0"/>
    <w:rsid w:val="00E40467"/>
    <w:rsid w:val="00E42406"/>
    <w:rsid w:val="00E448D3"/>
    <w:rsid w:val="00E52ADC"/>
    <w:rsid w:val="00E55080"/>
    <w:rsid w:val="00E577B8"/>
    <w:rsid w:val="00E57C3B"/>
    <w:rsid w:val="00E6445C"/>
    <w:rsid w:val="00E6564F"/>
    <w:rsid w:val="00E720BF"/>
    <w:rsid w:val="00E72141"/>
    <w:rsid w:val="00E73169"/>
    <w:rsid w:val="00E7732E"/>
    <w:rsid w:val="00E83E71"/>
    <w:rsid w:val="00E87972"/>
    <w:rsid w:val="00E879B3"/>
    <w:rsid w:val="00E87B57"/>
    <w:rsid w:val="00E96D09"/>
    <w:rsid w:val="00EA4F42"/>
    <w:rsid w:val="00EB0321"/>
    <w:rsid w:val="00EB69F7"/>
    <w:rsid w:val="00EC13F6"/>
    <w:rsid w:val="00EC4762"/>
    <w:rsid w:val="00ED64B9"/>
    <w:rsid w:val="00ED6892"/>
    <w:rsid w:val="00ED6D0C"/>
    <w:rsid w:val="00EE0B2E"/>
    <w:rsid w:val="00EE10B8"/>
    <w:rsid w:val="00EE3CFA"/>
    <w:rsid w:val="00EE4AA0"/>
    <w:rsid w:val="00EF052F"/>
    <w:rsid w:val="00EF3989"/>
    <w:rsid w:val="00EF59CE"/>
    <w:rsid w:val="00EF77F4"/>
    <w:rsid w:val="00F0371B"/>
    <w:rsid w:val="00F12379"/>
    <w:rsid w:val="00F12B93"/>
    <w:rsid w:val="00F153A6"/>
    <w:rsid w:val="00F20D7E"/>
    <w:rsid w:val="00F21E56"/>
    <w:rsid w:val="00F24F55"/>
    <w:rsid w:val="00F2570E"/>
    <w:rsid w:val="00F325F4"/>
    <w:rsid w:val="00F40C41"/>
    <w:rsid w:val="00F449C1"/>
    <w:rsid w:val="00F45C53"/>
    <w:rsid w:val="00F523D6"/>
    <w:rsid w:val="00F56692"/>
    <w:rsid w:val="00F64F30"/>
    <w:rsid w:val="00F665B0"/>
    <w:rsid w:val="00F70BC1"/>
    <w:rsid w:val="00F73D97"/>
    <w:rsid w:val="00F7637D"/>
    <w:rsid w:val="00F84128"/>
    <w:rsid w:val="00F84DAE"/>
    <w:rsid w:val="00F8599B"/>
    <w:rsid w:val="00F869A6"/>
    <w:rsid w:val="00F91F31"/>
    <w:rsid w:val="00F94889"/>
    <w:rsid w:val="00FA33CD"/>
    <w:rsid w:val="00FA45F8"/>
    <w:rsid w:val="00FA6931"/>
    <w:rsid w:val="00FA746E"/>
    <w:rsid w:val="00FB02A0"/>
    <w:rsid w:val="00FB05FA"/>
    <w:rsid w:val="00FB345D"/>
    <w:rsid w:val="00FB4F69"/>
    <w:rsid w:val="00FB628B"/>
    <w:rsid w:val="00FB65B0"/>
    <w:rsid w:val="00FB73D4"/>
    <w:rsid w:val="00FC123C"/>
    <w:rsid w:val="00FC2995"/>
    <w:rsid w:val="00FD2EE9"/>
    <w:rsid w:val="00FD2FAB"/>
    <w:rsid w:val="00FD65BD"/>
    <w:rsid w:val="00FF553F"/>
    <w:rsid w:val="00FF586B"/>
    <w:rsid w:val="00FF6F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45C"/>
    <w:pPr>
      <w:spacing w:after="0" w:line="240" w:lineRule="auto"/>
    </w:pPr>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D42E2B"/>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D42E2B"/>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42E2B"/>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42E2B"/>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42E2B"/>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42E2B"/>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42E2B"/>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42E2B"/>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42E2B"/>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2E2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D42E2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42E2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42E2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42E2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42E2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42E2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42E2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42E2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42E2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42E2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42E2B"/>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D42E2B"/>
    <w:rPr>
      <w:rFonts w:asciiTheme="majorHAnsi" w:eastAsiaTheme="majorEastAsia" w:hAnsiTheme="majorHAnsi" w:cstheme="majorBidi"/>
      <w:i/>
      <w:iCs/>
      <w:spacing w:val="13"/>
      <w:sz w:val="24"/>
      <w:szCs w:val="24"/>
    </w:rPr>
  </w:style>
  <w:style w:type="character" w:styleId="Strong">
    <w:name w:val="Strong"/>
    <w:uiPriority w:val="22"/>
    <w:qFormat/>
    <w:rsid w:val="00D42E2B"/>
    <w:rPr>
      <w:b/>
      <w:bCs/>
    </w:rPr>
  </w:style>
  <w:style w:type="character" w:styleId="Emphasis">
    <w:name w:val="Emphasis"/>
    <w:uiPriority w:val="20"/>
    <w:qFormat/>
    <w:rsid w:val="00D42E2B"/>
    <w:rPr>
      <w:b/>
      <w:bCs/>
      <w:i/>
      <w:iCs/>
      <w:spacing w:val="10"/>
      <w:bdr w:val="none" w:sz="0" w:space="0" w:color="auto"/>
      <w:shd w:val="clear" w:color="auto" w:fill="auto"/>
    </w:rPr>
  </w:style>
  <w:style w:type="paragraph" w:styleId="NoSpacing">
    <w:name w:val="No Spacing"/>
    <w:basedOn w:val="Normal"/>
    <w:uiPriority w:val="1"/>
    <w:qFormat/>
    <w:rsid w:val="00D42E2B"/>
  </w:style>
  <w:style w:type="paragraph" w:styleId="ListParagraph">
    <w:name w:val="List Paragraph"/>
    <w:basedOn w:val="Normal"/>
    <w:qFormat/>
    <w:rsid w:val="00D42E2B"/>
    <w:pPr>
      <w:ind w:left="720"/>
      <w:contextualSpacing/>
    </w:pPr>
  </w:style>
  <w:style w:type="paragraph" w:styleId="Quote">
    <w:name w:val="Quote"/>
    <w:basedOn w:val="Normal"/>
    <w:next w:val="Normal"/>
    <w:link w:val="QuoteChar"/>
    <w:uiPriority w:val="29"/>
    <w:qFormat/>
    <w:rsid w:val="00D42E2B"/>
    <w:pPr>
      <w:spacing w:before="200"/>
      <w:ind w:left="360" w:right="360"/>
    </w:pPr>
    <w:rPr>
      <w:i/>
      <w:iCs/>
    </w:rPr>
  </w:style>
  <w:style w:type="character" w:customStyle="1" w:styleId="QuoteChar">
    <w:name w:val="Quote Char"/>
    <w:basedOn w:val="DefaultParagraphFont"/>
    <w:link w:val="Quote"/>
    <w:uiPriority w:val="29"/>
    <w:rsid w:val="00D42E2B"/>
    <w:rPr>
      <w:i/>
      <w:iCs/>
    </w:rPr>
  </w:style>
  <w:style w:type="paragraph" w:styleId="IntenseQuote">
    <w:name w:val="Intense Quote"/>
    <w:basedOn w:val="Normal"/>
    <w:next w:val="Normal"/>
    <w:link w:val="IntenseQuoteChar"/>
    <w:uiPriority w:val="30"/>
    <w:qFormat/>
    <w:rsid w:val="00D42E2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42E2B"/>
    <w:rPr>
      <w:b/>
      <w:bCs/>
      <w:i/>
      <w:iCs/>
    </w:rPr>
  </w:style>
  <w:style w:type="character" w:styleId="SubtleEmphasis">
    <w:name w:val="Subtle Emphasis"/>
    <w:uiPriority w:val="19"/>
    <w:qFormat/>
    <w:rsid w:val="00D42E2B"/>
    <w:rPr>
      <w:i/>
      <w:iCs/>
    </w:rPr>
  </w:style>
  <w:style w:type="character" w:styleId="IntenseEmphasis">
    <w:name w:val="Intense Emphasis"/>
    <w:uiPriority w:val="21"/>
    <w:qFormat/>
    <w:rsid w:val="00D42E2B"/>
    <w:rPr>
      <w:b/>
      <w:bCs/>
    </w:rPr>
  </w:style>
  <w:style w:type="character" w:styleId="SubtleReference">
    <w:name w:val="Subtle Reference"/>
    <w:uiPriority w:val="31"/>
    <w:qFormat/>
    <w:rsid w:val="00D42E2B"/>
    <w:rPr>
      <w:smallCaps/>
    </w:rPr>
  </w:style>
  <w:style w:type="character" w:styleId="IntenseReference">
    <w:name w:val="Intense Reference"/>
    <w:uiPriority w:val="32"/>
    <w:qFormat/>
    <w:rsid w:val="00D42E2B"/>
    <w:rPr>
      <w:smallCaps/>
      <w:spacing w:val="5"/>
      <w:u w:val="single"/>
    </w:rPr>
  </w:style>
  <w:style w:type="character" w:styleId="BookTitle">
    <w:name w:val="Book Title"/>
    <w:uiPriority w:val="33"/>
    <w:qFormat/>
    <w:rsid w:val="00D42E2B"/>
    <w:rPr>
      <w:i/>
      <w:iCs/>
      <w:smallCaps/>
      <w:spacing w:val="5"/>
    </w:rPr>
  </w:style>
  <w:style w:type="paragraph" w:styleId="TOCHeading">
    <w:name w:val="TOC Heading"/>
    <w:basedOn w:val="Heading1"/>
    <w:next w:val="Normal"/>
    <w:uiPriority w:val="39"/>
    <w:semiHidden/>
    <w:unhideWhenUsed/>
    <w:qFormat/>
    <w:rsid w:val="00D42E2B"/>
    <w:pPr>
      <w:outlineLvl w:val="9"/>
    </w:pPr>
  </w:style>
  <w:style w:type="paragraph" w:styleId="BodyText">
    <w:name w:val="Body Text"/>
    <w:aliases w:val="Char Char Char Char"/>
    <w:basedOn w:val="Normal"/>
    <w:link w:val="BodyTextChar"/>
    <w:rsid w:val="00E6445C"/>
    <w:pPr>
      <w:spacing w:line="360" w:lineRule="auto"/>
      <w:jc w:val="both"/>
    </w:pPr>
  </w:style>
  <w:style w:type="character" w:customStyle="1" w:styleId="BodyTextChar">
    <w:name w:val="Body Text Char"/>
    <w:aliases w:val="Char Char Char Char Char"/>
    <w:basedOn w:val="DefaultParagraphFont"/>
    <w:link w:val="BodyText"/>
    <w:rsid w:val="00E6445C"/>
    <w:rPr>
      <w:rFonts w:ascii="Times New Roman" w:eastAsia="Times New Roman" w:hAnsi="Times New Roman" w:cs="Times New Roman"/>
      <w:sz w:val="24"/>
      <w:szCs w:val="24"/>
      <w:lang w:bidi="ar-SA"/>
    </w:rPr>
  </w:style>
  <w:style w:type="paragraph" w:customStyle="1" w:styleId="Normal14pt">
    <w:name w:val="Normal+14pt"/>
    <w:basedOn w:val="Heading2"/>
    <w:uiPriority w:val="99"/>
    <w:rsid w:val="0028284F"/>
    <w:pPr>
      <w:spacing w:before="240" w:after="80" w:line="360" w:lineRule="auto"/>
      <w:ind w:right="65"/>
      <w:jc w:val="both"/>
    </w:pPr>
    <w:rPr>
      <w:rFonts w:ascii="Times New Roman" w:eastAsia="Times New Roman" w:hAnsi="Times New Roman" w:cs="Times New Roman"/>
      <w:b w:val="0"/>
      <w:bCs w:val="0"/>
      <w:i/>
      <w:iCs/>
      <w:smallCaps/>
      <w:spacing w:val="5"/>
      <w:sz w:val="28"/>
      <w:szCs w:val="28"/>
    </w:rPr>
  </w:style>
  <w:style w:type="paragraph" w:styleId="NormalWeb">
    <w:name w:val="Normal (Web)"/>
    <w:basedOn w:val="Normal"/>
    <w:uiPriority w:val="99"/>
    <w:rsid w:val="0028284F"/>
    <w:pPr>
      <w:spacing w:before="100" w:beforeAutospacing="1" w:after="100" w:afterAutospacing="1"/>
    </w:pPr>
  </w:style>
  <w:style w:type="paragraph" w:styleId="BodyText2">
    <w:name w:val="Body Text 2"/>
    <w:basedOn w:val="Normal"/>
    <w:link w:val="BodyText2Char"/>
    <w:rsid w:val="0028284F"/>
    <w:pPr>
      <w:spacing w:after="120" w:line="480" w:lineRule="auto"/>
    </w:pPr>
  </w:style>
  <w:style w:type="character" w:customStyle="1" w:styleId="BodyText2Char">
    <w:name w:val="Body Text 2 Char"/>
    <w:basedOn w:val="DefaultParagraphFont"/>
    <w:link w:val="BodyText2"/>
    <w:rsid w:val="0028284F"/>
    <w:rPr>
      <w:rFonts w:ascii="Times New Roman" w:eastAsia="Times New Roman" w:hAnsi="Times New Roman" w:cs="Times New Roman"/>
      <w:sz w:val="24"/>
      <w:szCs w:val="24"/>
      <w:lang w:bidi="ar-SA"/>
    </w:rPr>
  </w:style>
  <w:style w:type="character" w:styleId="Hyperlink">
    <w:name w:val="Hyperlink"/>
    <w:uiPriority w:val="99"/>
    <w:rsid w:val="0028284F"/>
    <w:rPr>
      <w:color w:val="0000FF"/>
      <w:u w:val="single"/>
    </w:rPr>
  </w:style>
  <w:style w:type="character" w:customStyle="1" w:styleId="apple-converted-space">
    <w:name w:val="apple-converted-space"/>
    <w:rsid w:val="0028284F"/>
  </w:style>
  <w:style w:type="paragraph" w:styleId="BalloonText">
    <w:name w:val="Balloon Text"/>
    <w:basedOn w:val="Normal"/>
    <w:link w:val="BalloonTextChar"/>
    <w:uiPriority w:val="99"/>
    <w:semiHidden/>
    <w:unhideWhenUsed/>
    <w:rsid w:val="0028284F"/>
    <w:rPr>
      <w:rFonts w:ascii="Tahoma" w:hAnsi="Tahoma" w:cs="Tahoma"/>
      <w:sz w:val="16"/>
      <w:szCs w:val="16"/>
    </w:rPr>
  </w:style>
  <w:style w:type="character" w:customStyle="1" w:styleId="BalloonTextChar">
    <w:name w:val="Balloon Text Char"/>
    <w:basedOn w:val="DefaultParagraphFont"/>
    <w:link w:val="BalloonText"/>
    <w:uiPriority w:val="99"/>
    <w:semiHidden/>
    <w:rsid w:val="0028284F"/>
    <w:rPr>
      <w:rFonts w:ascii="Tahoma" w:eastAsia="Times New Roman" w:hAnsi="Tahoma" w:cs="Tahoma"/>
      <w:sz w:val="16"/>
      <w:szCs w:val="16"/>
      <w:lang w:bidi="ar-SA"/>
    </w:rPr>
  </w:style>
  <w:style w:type="paragraph" w:styleId="ListBullet">
    <w:name w:val="List Bullet"/>
    <w:basedOn w:val="Normal"/>
    <w:uiPriority w:val="99"/>
    <w:unhideWhenUsed/>
    <w:rsid w:val="008A0FC8"/>
    <w:pPr>
      <w:contextualSpacing/>
    </w:pPr>
  </w:style>
  <w:style w:type="paragraph" w:styleId="Header">
    <w:name w:val="header"/>
    <w:basedOn w:val="Normal"/>
    <w:link w:val="HeaderChar"/>
    <w:uiPriority w:val="99"/>
    <w:semiHidden/>
    <w:unhideWhenUsed/>
    <w:rsid w:val="00001112"/>
    <w:pPr>
      <w:tabs>
        <w:tab w:val="center" w:pos="4680"/>
        <w:tab w:val="right" w:pos="9360"/>
      </w:tabs>
    </w:pPr>
  </w:style>
  <w:style w:type="character" w:customStyle="1" w:styleId="HeaderChar">
    <w:name w:val="Header Char"/>
    <w:basedOn w:val="DefaultParagraphFont"/>
    <w:link w:val="Header"/>
    <w:uiPriority w:val="99"/>
    <w:semiHidden/>
    <w:rsid w:val="00001112"/>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001112"/>
    <w:pPr>
      <w:tabs>
        <w:tab w:val="center" w:pos="4680"/>
        <w:tab w:val="right" w:pos="9360"/>
      </w:tabs>
    </w:pPr>
  </w:style>
  <w:style w:type="character" w:customStyle="1" w:styleId="FooterChar">
    <w:name w:val="Footer Char"/>
    <w:basedOn w:val="DefaultParagraphFont"/>
    <w:link w:val="Footer"/>
    <w:uiPriority w:val="99"/>
    <w:rsid w:val="00001112"/>
    <w:rPr>
      <w:rFonts w:ascii="Times New Roman" w:eastAsia="Times New Roman" w:hAnsi="Times New Roman" w:cs="Times New Roman"/>
      <w:sz w:val="24"/>
      <w:szCs w:val="24"/>
      <w:lang w:bidi="ar-SA"/>
    </w:rPr>
  </w:style>
  <w:style w:type="table" w:styleId="TableGrid">
    <w:name w:val="Table Grid"/>
    <w:basedOn w:val="TableNormal"/>
    <w:uiPriority w:val="59"/>
    <w:rsid w:val="007A138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ld">
    <w:name w:val="bold"/>
    <w:basedOn w:val="DefaultParagraphFont"/>
    <w:rsid w:val="008B5495"/>
  </w:style>
  <w:style w:type="character" w:styleId="PageNumber">
    <w:name w:val="page number"/>
    <w:basedOn w:val="DefaultParagraphFont"/>
    <w:rsid w:val="00A75732"/>
  </w:style>
  <w:style w:type="character" w:customStyle="1" w:styleId="apple-style-span">
    <w:name w:val="apple-style-span"/>
    <w:basedOn w:val="DefaultParagraphFont"/>
    <w:rsid w:val="004A370B"/>
  </w:style>
  <w:style w:type="character" w:customStyle="1" w:styleId="ilad1">
    <w:name w:val="il_ad1"/>
    <w:basedOn w:val="DefaultParagraphFont"/>
    <w:rsid w:val="00721354"/>
  </w:style>
  <w:style w:type="paragraph" w:customStyle="1" w:styleId="quote0">
    <w:name w:val="quote"/>
    <w:basedOn w:val="Normal"/>
    <w:rsid w:val="006B007F"/>
    <w:pPr>
      <w:spacing w:before="100" w:after="100"/>
    </w:pPr>
    <w:rPr>
      <w:rFonts w:ascii="Arial Unicode MS" w:hAnsi="Arial Unicode MS" w:cs="Arial Unicode MS"/>
    </w:rPr>
  </w:style>
  <w:style w:type="paragraph" w:styleId="BodyTextIndent">
    <w:name w:val="Body Text Indent"/>
    <w:basedOn w:val="Normal"/>
    <w:link w:val="BodyTextIndentChar"/>
    <w:rsid w:val="00635A24"/>
    <w:pPr>
      <w:spacing w:after="120"/>
      <w:ind w:left="360"/>
    </w:pPr>
  </w:style>
  <w:style w:type="character" w:customStyle="1" w:styleId="BodyTextIndentChar">
    <w:name w:val="Body Text Indent Char"/>
    <w:basedOn w:val="DefaultParagraphFont"/>
    <w:link w:val="BodyTextIndent"/>
    <w:rsid w:val="00635A24"/>
    <w:rPr>
      <w:rFonts w:ascii="Times New Roman" w:eastAsia="Times New Roman" w:hAnsi="Times New Roman" w:cs="Times New Roman"/>
      <w:sz w:val="24"/>
      <w:szCs w:val="24"/>
      <w:lang w:bidi="ar-SA"/>
    </w:rPr>
  </w:style>
  <w:style w:type="paragraph" w:styleId="BodyTextIndent2">
    <w:name w:val="Body Text Indent 2"/>
    <w:basedOn w:val="Normal"/>
    <w:link w:val="BodyTextIndent2Char"/>
    <w:rsid w:val="00635A24"/>
    <w:pPr>
      <w:spacing w:after="120" w:line="480" w:lineRule="auto"/>
      <w:ind w:left="360"/>
    </w:pPr>
  </w:style>
  <w:style w:type="character" w:customStyle="1" w:styleId="BodyTextIndent2Char">
    <w:name w:val="Body Text Indent 2 Char"/>
    <w:basedOn w:val="DefaultParagraphFont"/>
    <w:link w:val="BodyTextIndent2"/>
    <w:rsid w:val="00635A24"/>
    <w:rPr>
      <w:rFonts w:ascii="Times New Roman" w:eastAsia="Times New Roman" w:hAnsi="Times New Roman" w:cs="Times New Roman"/>
      <w:sz w:val="24"/>
      <w:szCs w:val="24"/>
      <w:lang w:bidi="ar-SA"/>
    </w:rPr>
  </w:style>
  <w:style w:type="paragraph" w:styleId="BodyTextIndent3">
    <w:name w:val="Body Text Indent 3"/>
    <w:basedOn w:val="Normal"/>
    <w:link w:val="BodyTextIndent3Char"/>
    <w:rsid w:val="00635A24"/>
    <w:pPr>
      <w:spacing w:after="120"/>
      <w:ind w:left="360"/>
    </w:pPr>
    <w:rPr>
      <w:sz w:val="16"/>
      <w:szCs w:val="16"/>
    </w:rPr>
  </w:style>
  <w:style w:type="character" w:customStyle="1" w:styleId="BodyTextIndent3Char">
    <w:name w:val="Body Text Indent 3 Char"/>
    <w:basedOn w:val="DefaultParagraphFont"/>
    <w:link w:val="BodyTextIndent3"/>
    <w:rsid w:val="00635A24"/>
    <w:rPr>
      <w:rFonts w:ascii="Times New Roman" w:eastAsia="Times New Roman" w:hAnsi="Times New Roman" w:cs="Times New Roman"/>
      <w:sz w:val="16"/>
      <w:szCs w:val="16"/>
      <w:lang w:bidi="ar-SA"/>
    </w:rPr>
  </w:style>
  <w:style w:type="character" w:customStyle="1" w:styleId="textcolor1">
    <w:name w:val="textcolor1"/>
    <w:basedOn w:val="DefaultParagraphFont"/>
    <w:rsid w:val="00635A24"/>
  </w:style>
</w:styles>
</file>

<file path=word/webSettings.xml><?xml version="1.0" encoding="utf-8"?>
<w:webSettings xmlns:r="http://schemas.openxmlformats.org/officeDocument/2006/relationships" xmlns:w="http://schemas.openxmlformats.org/wordprocessingml/2006/main">
  <w:divs>
    <w:div w:id="90593257">
      <w:bodyDiv w:val="1"/>
      <w:marLeft w:val="0"/>
      <w:marRight w:val="0"/>
      <w:marTop w:val="0"/>
      <w:marBottom w:val="0"/>
      <w:divBdr>
        <w:top w:val="none" w:sz="0" w:space="0" w:color="auto"/>
        <w:left w:val="none" w:sz="0" w:space="0" w:color="auto"/>
        <w:bottom w:val="none" w:sz="0" w:space="0" w:color="auto"/>
        <w:right w:val="none" w:sz="0" w:space="0" w:color="auto"/>
      </w:divBdr>
    </w:div>
    <w:div w:id="201138399">
      <w:bodyDiv w:val="1"/>
      <w:marLeft w:val="0"/>
      <w:marRight w:val="0"/>
      <w:marTop w:val="0"/>
      <w:marBottom w:val="0"/>
      <w:divBdr>
        <w:top w:val="none" w:sz="0" w:space="0" w:color="auto"/>
        <w:left w:val="none" w:sz="0" w:space="0" w:color="auto"/>
        <w:bottom w:val="none" w:sz="0" w:space="0" w:color="auto"/>
        <w:right w:val="none" w:sz="0" w:space="0" w:color="auto"/>
      </w:divBdr>
    </w:div>
    <w:div w:id="253250907">
      <w:bodyDiv w:val="1"/>
      <w:marLeft w:val="0"/>
      <w:marRight w:val="0"/>
      <w:marTop w:val="0"/>
      <w:marBottom w:val="0"/>
      <w:divBdr>
        <w:top w:val="none" w:sz="0" w:space="0" w:color="auto"/>
        <w:left w:val="none" w:sz="0" w:space="0" w:color="auto"/>
        <w:bottom w:val="none" w:sz="0" w:space="0" w:color="auto"/>
        <w:right w:val="none" w:sz="0" w:space="0" w:color="auto"/>
      </w:divBdr>
    </w:div>
    <w:div w:id="267274219">
      <w:bodyDiv w:val="1"/>
      <w:marLeft w:val="0"/>
      <w:marRight w:val="0"/>
      <w:marTop w:val="0"/>
      <w:marBottom w:val="0"/>
      <w:divBdr>
        <w:top w:val="none" w:sz="0" w:space="0" w:color="auto"/>
        <w:left w:val="none" w:sz="0" w:space="0" w:color="auto"/>
        <w:bottom w:val="none" w:sz="0" w:space="0" w:color="auto"/>
        <w:right w:val="none" w:sz="0" w:space="0" w:color="auto"/>
      </w:divBdr>
    </w:div>
    <w:div w:id="477496197">
      <w:bodyDiv w:val="1"/>
      <w:marLeft w:val="0"/>
      <w:marRight w:val="0"/>
      <w:marTop w:val="0"/>
      <w:marBottom w:val="0"/>
      <w:divBdr>
        <w:top w:val="none" w:sz="0" w:space="0" w:color="auto"/>
        <w:left w:val="none" w:sz="0" w:space="0" w:color="auto"/>
        <w:bottom w:val="none" w:sz="0" w:space="0" w:color="auto"/>
        <w:right w:val="none" w:sz="0" w:space="0" w:color="auto"/>
      </w:divBdr>
      <w:divsChild>
        <w:div w:id="1902474714">
          <w:marLeft w:val="0"/>
          <w:marRight w:val="215"/>
          <w:marTop w:val="0"/>
          <w:marBottom w:val="0"/>
          <w:divBdr>
            <w:top w:val="none" w:sz="0" w:space="0" w:color="auto"/>
            <w:left w:val="none" w:sz="0" w:space="0" w:color="auto"/>
            <w:bottom w:val="none" w:sz="0" w:space="0" w:color="auto"/>
            <w:right w:val="none" w:sz="0" w:space="0" w:color="auto"/>
          </w:divBdr>
          <w:divsChild>
            <w:div w:id="1910724881">
              <w:marLeft w:val="0"/>
              <w:marRight w:val="0"/>
              <w:marTop w:val="0"/>
              <w:marBottom w:val="0"/>
              <w:divBdr>
                <w:top w:val="none" w:sz="0" w:space="0" w:color="auto"/>
                <w:left w:val="none" w:sz="0" w:space="0" w:color="auto"/>
                <w:bottom w:val="none" w:sz="0" w:space="0" w:color="auto"/>
                <w:right w:val="none" w:sz="0" w:space="0" w:color="auto"/>
              </w:divBdr>
              <w:divsChild>
                <w:div w:id="254241994">
                  <w:marLeft w:val="0"/>
                  <w:marRight w:val="0"/>
                  <w:marTop w:val="0"/>
                  <w:marBottom w:val="322"/>
                  <w:divBdr>
                    <w:top w:val="none" w:sz="0" w:space="0" w:color="auto"/>
                    <w:left w:val="none" w:sz="0" w:space="0" w:color="auto"/>
                    <w:bottom w:val="none" w:sz="0" w:space="0" w:color="auto"/>
                    <w:right w:val="none" w:sz="0" w:space="0" w:color="auto"/>
                  </w:divBdr>
                </w:div>
                <w:div w:id="4204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88662">
          <w:marLeft w:val="0"/>
          <w:marRight w:val="0"/>
          <w:marTop w:val="0"/>
          <w:marBottom w:val="0"/>
          <w:divBdr>
            <w:top w:val="none" w:sz="0" w:space="0" w:color="auto"/>
            <w:left w:val="none" w:sz="0" w:space="0" w:color="auto"/>
            <w:bottom w:val="none" w:sz="0" w:space="0" w:color="auto"/>
            <w:right w:val="none" w:sz="0" w:space="0" w:color="auto"/>
          </w:divBdr>
          <w:divsChild>
            <w:div w:id="451554204">
              <w:marLeft w:val="0"/>
              <w:marRight w:val="0"/>
              <w:marTop w:val="0"/>
              <w:marBottom w:val="0"/>
              <w:divBdr>
                <w:top w:val="none" w:sz="0" w:space="0" w:color="auto"/>
                <w:left w:val="none" w:sz="0" w:space="0" w:color="auto"/>
                <w:bottom w:val="none" w:sz="0" w:space="0" w:color="auto"/>
                <w:right w:val="none" w:sz="0" w:space="0" w:color="auto"/>
              </w:divBdr>
              <w:divsChild>
                <w:div w:id="1425879218">
                  <w:marLeft w:val="0"/>
                  <w:marRight w:val="0"/>
                  <w:marTop w:val="0"/>
                  <w:marBottom w:val="322"/>
                  <w:divBdr>
                    <w:top w:val="none" w:sz="0" w:space="0" w:color="auto"/>
                    <w:left w:val="none" w:sz="0" w:space="0" w:color="auto"/>
                    <w:bottom w:val="none" w:sz="0" w:space="0" w:color="auto"/>
                    <w:right w:val="none" w:sz="0" w:space="0" w:color="auto"/>
                  </w:divBdr>
                </w:div>
                <w:div w:id="78927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362361">
          <w:marLeft w:val="0"/>
          <w:marRight w:val="0"/>
          <w:marTop w:val="0"/>
          <w:marBottom w:val="0"/>
          <w:divBdr>
            <w:top w:val="none" w:sz="0" w:space="0" w:color="auto"/>
            <w:left w:val="none" w:sz="0" w:space="0" w:color="auto"/>
            <w:bottom w:val="none" w:sz="0" w:space="0" w:color="auto"/>
            <w:right w:val="none" w:sz="0" w:space="0" w:color="auto"/>
          </w:divBdr>
        </w:div>
      </w:divsChild>
    </w:div>
    <w:div w:id="571238402">
      <w:bodyDiv w:val="1"/>
      <w:marLeft w:val="0"/>
      <w:marRight w:val="0"/>
      <w:marTop w:val="0"/>
      <w:marBottom w:val="0"/>
      <w:divBdr>
        <w:top w:val="none" w:sz="0" w:space="0" w:color="auto"/>
        <w:left w:val="none" w:sz="0" w:space="0" w:color="auto"/>
        <w:bottom w:val="none" w:sz="0" w:space="0" w:color="auto"/>
        <w:right w:val="none" w:sz="0" w:space="0" w:color="auto"/>
      </w:divBdr>
    </w:div>
    <w:div w:id="846335776">
      <w:bodyDiv w:val="1"/>
      <w:marLeft w:val="0"/>
      <w:marRight w:val="0"/>
      <w:marTop w:val="0"/>
      <w:marBottom w:val="0"/>
      <w:divBdr>
        <w:top w:val="none" w:sz="0" w:space="0" w:color="auto"/>
        <w:left w:val="none" w:sz="0" w:space="0" w:color="auto"/>
        <w:bottom w:val="none" w:sz="0" w:space="0" w:color="auto"/>
        <w:right w:val="none" w:sz="0" w:space="0" w:color="auto"/>
      </w:divBdr>
    </w:div>
    <w:div w:id="1233587329">
      <w:bodyDiv w:val="1"/>
      <w:marLeft w:val="0"/>
      <w:marRight w:val="0"/>
      <w:marTop w:val="0"/>
      <w:marBottom w:val="0"/>
      <w:divBdr>
        <w:top w:val="none" w:sz="0" w:space="0" w:color="auto"/>
        <w:left w:val="none" w:sz="0" w:space="0" w:color="auto"/>
        <w:bottom w:val="none" w:sz="0" w:space="0" w:color="auto"/>
        <w:right w:val="none" w:sz="0" w:space="0" w:color="auto"/>
      </w:divBdr>
    </w:div>
    <w:div w:id="1607495267">
      <w:bodyDiv w:val="1"/>
      <w:marLeft w:val="0"/>
      <w:marRight w:val="0"/>
      <w:marTop w:val="0"/>
      <w:marBottom w:val="0"/>
      <w:divBdr>
        <w:top w:val="none" w:sz="0" w:space="0" w:color="auto"/>
        <w:left w:val="none" w:sz="0" w:space="0" w:color="auto"/>
        <w:bottom w:val="none" w:sz="0" w:space="0" w:color="auto"/>
        <w:right w:val="none" w:sz="0" w:space="0" w:color="auto"/>
      </w:divBdr>
    </w:div>
    <w:div w:id="1619944601">
      <w:bodyDiv w:val="1"/>
      <w:marLeft w:val="0"/>
      <w:marRight w:val="0"/>
      <w:marTop w:val="0"/>
      <w:marBottom w:val="0"/>
      <w:divBdr>
        <w:top w:val="none" w:sz="0" w:space="0" w:color="auto"/>
        <w:left w:val="none" w:sz="0" w:space="0" w:color="auto"/>
        <w:bottom w:val="none" w:sz="0" w:space="0" w:color="auto"/>
        <w:right w:val="none" w:sz="0" w:space="0" w:color="auto"/>
      </w:divBdr>
    </w:div>
    <w:div w:id="198600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08/1746877091094282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doi.org/10.1108/BPMJ-07-2014-0070" TargetMode="Externa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287/mksc.2016.097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Bar chart showing EPS for the year 2009-10</c:v>
                </c:pt>
              </c:strCache>
            </c:strRef>
          </c:tx>
          <c:dLbls>
            <c:showVal val="1"/>
          </c:dLbls>
          <c:cat>
            <c:numRef>
              <c:f>Sheet1!$A$2:$A$3</c:f>
              <c:numCache>
                <c:formatCode>General</c:formatCode>
                <c:ptCount val="2"/>
                <c:pt idx="0">
                  <c:v>2022</c:v>
                </c:pt>
                <c:pt idx="1">
                  <c:v>2023</c:v>
                </c:pt>
              </c:numCache>
            </c:numRef>
          </c:cat>
          <c:val>
            <c:numRef>
              <c:f>Sheet1!$B$2:$B$3</c:f>
              <c:numCache>
                <c:formatCode>General</c:formatCode>
                <c:ptCount val="2"/>
                <c:pt idx="0">
                  <c:v>23.439999999999987</c:v>
                </c:pt>
                <c:pt idx="1">
                  <c:v>40</c:v>
                </c:pt>
              </c:numCache>
            </c:numRef>
          </c:val>
        </c:ser>
        <c:gapWidth val="55"/>
        <c:overlap val="100"/>
        <c:axId val="120065408"/>
        <c:axId val="120083968"/>
      </c:barChart>
      <c:catAx>
        <c:axId val="120065408"/>
        <c:scaling>
          <c:orientation val="minMax"/>
        </c:scaling>
        <c:axPos val="b"/>
        <c:title>
          <c:tx>
            <c:rich>
              <a:bodyPr/>
              <a:lstStyle/>
              <a:p>
                <a:pPr>
                  <a:defRPr lang="en-IN"/>
                </a:pPr>
                <a:r>
                  <a:rPr lang="en-IN"/>
                  <a:t>YEARS</a:t>
                </a:r>
              </a:p>
            </c:rich>
          </c:tx>
        </c:title>
        <c:numFmt formatCode="General" sourceLinked="1"/>
        <c:majorTickMark val="none"/>
        <c:tickLblPos val="nextTo"/>
        <c:txPr>
          <a:bodyPr/>
          <a:lstStyle/>
          <a:p>
            <a:pPr>
              <a:defRPr lang="en-IN"/>
            </a:pPr>
            <a:endParaRPr lang="en-US"/>
          </a:p>
        </c:txPr>
        <c:crossAx val="120083968"/>
        <c:crosses val="autoZero"/>
        <c:auto val="1"/>
        <c:lblAlgn val="ctr"/>
        <c:lblOffset val="100"/>
      </c:catAx>
      <c:valAx>
        <c:axId val="120083968"/>
        <c:scaling>
          <c:orientation val="minMax"/>
        </c:scaling>
        <c:axPos val="l"/>
        <c:title>
          <c:tx>
            <c:rich>
              <a:bodyPr/>
              <a:lstStyle/>
              <a:p>
                <a:pPr>
                  <a:defRPr lang="en-IN"/>
                </a:pPr>
                <a:r>
                  <a:rPr lang="en-IN"/>
                  <a:t>EPS</a:t>
                </a:r>
              </a:p>
            </c:rich>
          </c:tx>
        </c:title>
        <c:numFmt formatCode="General" sourceLinked="1"/>
        <c:majorTickMark val="none"/>
        <c:tickLblPos val="nextTo"/>
        <c:txPr>
          <a:bodyPr/>
          <a:lstStyle/>
          <a:p>
            <a:pPr>
              <a:defRPr lang="en-IN"/>
            </a:pPr>
            <a:endParaRPr lang="en-US"/>
          </a:p>
        </c:txPr>
        <c:crossAx val="120065408"/>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5909325535951321"/>
          <c:y val="0.25131802785358581"/>
          <c:w val="0.81857130857060001"/>
          <c:h val="0.59262813327018393"/>
        </c:manualLayout>
      </c:layout>
      <c:barChart>
        <c:barDir val="col"/>
        <c:grouping val="stacked"/>
        <c:ser>
          <c:idx val="0"/>
          <c:order val="0"/>
          <c:tx>
            <c:strRef>
              <c:f>Sheet1!$B$1</c:f>
              <c:strCache>
                <c:ptCount val="1"/>
                <c:pt idx="0">
                  <c:v>Bar chart showing sales Turn over for the year 2009-10</c:v>
                </c:pt>
              </c:strCache>
            </c:strRef>
          </c:tx>
          <c:cat>
            <c:numRef>
              <c:f>Sheet1!$A$2:$A$3</c:f>
              <c:numCache>
                <c:formatCode>General</c:formatCode>
                <c:ptCount val="2"/>
                <c:pt idx="0">
                  <c:v>2022</c:v>
                </c:pt>
                <c:pt idx="1">
                  <c:v>2023</c:v>
                </c:pt>
              </c:numCache>
            </c:numRef>
          </c:cat>
          <c:val>
            <c:numRef>
              <c:f>Sheet1!$B$2:$B$3</c:f>
              <c:numCache>
                <c:formatCode>General</c:formatCode>
                <c:ptCount val="2"/>
                <c:pt idx="0">
                  <c:v>270346</c:v>
                </c:pt>
                <c:pt idx="1">
                  <c:v>291201</c:v>
                </c:pt>
              </c:numCache>
            </c:numRef>
          </c:val>
        </c:ser>
        <c:gapWidth val="55"/>
        <c:overlap val="100"/>
        <c:axId val="100156160"/>
        <c:axId val="100158080"/>
      </c:barChart>
      <c:catAx>
        <c:axId val="100156160"/>
        <c:scaling>
          <c:orientation val="minMax"/>
        </c:scaling>
        <c:axPos val="b"/>
        <c:title>
          <c:tx>
            <c:rich>
              <a:bodyPr/>
              <a:lstStyle/>
              <a:p>
                <a:pPr>
                  <a:defRPr lang="en-IN"/>
                </a:pPr>
                <a:r>
                  <a:rPr lang="en-IN"/>
                  <a:t>YEARS</a:t>
                </a:r>
              </a:p>
            </c:rich>
          </c:tx>
        </c:title>
        <c:numFmt formatCode="General" sourceLinked="1"/>
        <c:majorTickMark val="none"/>
        <c:tickLblPos val="nextTo"/>
        <c:txPr>
          <a:bodyPr/>
          <a:lstStyle/>
          <a:p>
            <a:pPr>
              <a:defRPr lang="en-IN"/>
            </a:pPr>
            <a:endParaRPr lang="en-US"/>
          </a:p>
        </c:txPr>
        <c:crossAx val="100158080"/>
        <c:crosses val="autoZero"/>
        <c:auto val="1"/>
        <c:lblAlgn val="ctr"/>
        <c:lblOffset val="100"/>
      </c:catAx>
      <c:valAx>
        <c:axId val="100158080"/>
        <c:scaling>
          <c:orientation val="minMax"/>
        </c:scaling>
        <c:axPos val="l"/>
        <c:majorGridlines/>
        <c:title>
          <c:tx>
            <c:rich>
              <a:bodyPr/>
              <a:lstStyle/>
              <a:p>
                <a:pPr>
                  <a:defRPr lang="en-IN"/>
                </a:pPr>
                <a:r>
                  <a:rPr lang="en-IN"/>
                  <a:t>SALES TURNOVER</a:t>
                </a:r>
              </a:p>
            </c:rich>
          </c:tx>
          <c:layout>
            <c:manualLayout>
              <c:xMode val="edge"/>
              <c:yMode val="edge"/>
              <c:x val="1.6203703703703703E-2"/>
              <c:y val="0.32942632170979469"/>
            </c:manualLayout>
          </c:layout>
        </c:title>
        <c:numFmt formatCode="General" sourceLinked="1"/>
        <c:majorTickMark val="none"/>
        <c:tickLblPos val="nextTo"/>
        <c:txPr>
          <a:bodyPr/>
          <a:lstStyle/>
          <a:p>
            <a:pPr>
              <a:defRPr lang="en-IN"/>
            </a:pPr>
            <a:endParaRPr lang="en-US"/>
          </a:p>
        </c:txPr>
        <c:crossAx val="10015616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Bar chart showing MPS for the year 2009-10</c:v>
                </c:pt>
              </c:strCache>
            </c:strRef>
          </c:tx>
          <c:cat>
            <c:numRef>
              <c:f>Sheet1!$A$2:$A$3</c:f>
              <c:numCache>
                <c:formatCode>General</c:formatCode>
                <c:ptCount val="2"/>
                <c:pt idx="0">
                  <c:v>2022</c:v>
                </c:pt>
                <c:pt idx="1">
                  <c:v>2023</c:v>
                </c:pt>
              </c:numCache>
            </c:numRef>
          </c:cat>
          <c:val>
            <c:numRef>
              <c:f>Sheet1!$B$2:$B$3</c:f>
              <c:numCache>
                <c:formatCode>General</c:formatCode>
                <c:ptCount val="2"/>
                <c:pt idx="0">
                  <c:v>387.8</c:v>
                </c:pt>
                <c:pt idx="1">
                  <c:v>295.75</c:v>
                </c:pt>
              </c:numCache>
            </c:numRef>
          </c:val>
        </c:ser>
        <c:gapWidth val="55"/>
        <c:overlap val="100"/>
        <c:axId val="110290816"/>
        <c:axId val="110292992"/>
      </c:barChart>
      <c:catAx>
        <c:axId val="110290816"/>
        <c:scaling>
          <c:orientation val="minMax"/>
        </c:scaling>
        <c:axPos val="b"/>
        <c:title>
          <c:tx>
            <c:rich>
              <a:bodyPr/>
              <a:lstStyle/>
              <a:p>
                <a:pPr>
                  <a:defRPr lang="en-IN"/>
                </a:pPr>
                <a:r>
                  <a:rPr lang="en-IN"/>
                  <a:t>YEARS</a:t>
                </a:r>
              </a:p>
            </c:rich>
          </c:tx>
        </c:title>
        <c:numFmt formatCode="General" sourceLinked="1"/>
        <c:majorTickMark val="none"/>
        <c:tickLblPos val="nextTo"/>
        <c:txPr>
          <a:bodyPr/>
          <a:lstStyle/>
          <a:p>
            <a:pPr>
              <a:defRPr lang="en-IN"/>
            </a:pPr>
            <a:endParaRPr lang="en-US"/>
          </a:p>
        </c:txPr>
        <c:crossAx val="110292992"/>
        <c:crosses val="autoZero"/>
        <c:auto val="1"/>
        <c:lblAlgn val="ctr"/>
        <c:lblOffset val="100"/>
      </c:catAx>
      <c:valAx>
        <c:axId val="110292992"/>
        <c:scaling>
          <c:orientation val="minMax"/>
        </c:scaling>
        <c:axPos val="l"/>
        <c:majorGridlines/>
        <c:title>
          <c:tx>
            <c:rich>
              <a:bodyPr/>
              <a:lstStyle/>
              <a:p>
                <a:pPr>
                  <a:defRPr lang="en-IN"/>
                </a:pPr>
                <a:r>
                  <a:rPr lang="en-IN"/>
                  <a:t>MPS</a:t>
                </a:r>
              </a:p>
            </c:rich>
          </c:tx>
          <c:layout>
            <c:manualLayout>
              <c:xMode val="edge"/>
              <c:yMode val="edge"/>
              <c:x val="1.0906545163745901E-2"/>
              <c:y val="0.44443357900373376"/>
            </c:manualLayout>
          </c:layout>
        </c:title>
        <c:numFmt formatCode="General" sourceLinked="1"/>
        <c:majorTickMark val="none"/>
        <c:tickLblPos val="nextTo"/>
        <c:txPr>
          <a:bodyPr/>
          <a:lstStyle/>
          <a:p>
            <a:pPr>
              <a:defRPr lang="en-IN"/>
            </a:pPr>
            <a:endParaRPr lang="en-US"/>
          </a:p>
        </c:txPr>
        <c:crossAx val="110290816"/>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barChart>
        <c:barDir val="col"/>
        <c:grouping val="stacked"/>
        <c:ser>
          <c:idx val="0"/>
          <c:order val="0"/>
          <c:tx>
            <c:strRef>
              <c:f>Sheet1!$B$1</c:f>
              <c:strCache>
                <c:ptCount val="1"/>
                <c:pt idx="0">
                  <c:v>Series 1</c:v>
                </c:pt>
              </c:strCache>
            </c:strRef>
          </c:tx>
          <c:cat>
            <c:numRef>
              <c:f>Sheet1!$A$2:$A$3</c:f>
              <c:numCache>
                <c:formatCode>General</c:formatCode>
                <c:ptCount val="2"/>
                <c:pt idx="0">
                  <c:v>2022</c:v>
                </c:pt>
                <c:pt idx="1">
                  <c:v>2023</c:v>
                </c:pt>
              </c:numCache>
            </c:numRef>
          </c:cat>
          <c:val>
            <c:numRef>
              <c:f>Sheet1!$B$2:$B$3</c:f>
              <c:numCache>
                <c:formatCode>General</c:formatCode>
                <c:ptCount val="2"/>
                <c:pt idx="0">
                  <c:v>16</c:v>
                </c:pt>
                <c:pt idx="1">
                  <c:v>7</c:v>
                </c:pt>
              </c:numCache>
            </c:numRef>
          </c:val>
        </c:ser>
        <c:gapWidth val="55"/>
        <c:overlap val="100"/>
        <c:axId val="121404416"/>
        <c:axId val="121410688"/>
      </c:barChart>
      <c:catAx>
        <c:axId val="121404416"/>
        <c:scaling>
          <c:orientation val="minMax"/>
        </c:scaling>
        <c:axPos val="b"/>
        <c:title>
          <c:tx>
            <c:rich>
              <a:bodyPr/>
              <a:lstStyle/>
              <a:p>
                <a:pPr>
                  <a:defRPr lang="en-IN"/>
                </a:pPr>
                <a:r>
                  <a:rPr lang="en-IN"/>
                  <a:t>YEARS</a:t>
                </a:r>
              </a:p>
              <a:p>
                <a:pPr>
                  <a:defRPr lang="en-IN"/>
                </a:pPr>
                <a:endParaRPr lang="en-IN"/>
              </a:p>
            </c:rich>
          </c:tx>
        </c:title>
        <c:numFmt formatCode="General" sourceLinked="1"/>
        <c:majorTickMark val="none"/>
        <c:tickLblPos val="nextTo"/>
        <c:txPr>
          <a:bodyPr/>
          <a:lstStyle/>
          <a:p>
            <a:pPr>
              <a:defRPr lang="en-IN"/>
            </a:pPr>
            <a:endParaRPr lang="en-US"/>
          </a:p>
        </c:txPr>
        <c:crossAx val="121410688"/>
        <c:crosses val="autoZero"/>
        <c:auto val="1"/>
        <c:lblAlgn val="ctr"/>
        <c:lblOffset val="100"/>
      </c:catAx>
      <c:valAx>
        <c:axId val="121410688"/>
        <c:scaling>
          <c:orientation val="minMax"/>
        </c:scaling>
        <c:axPos val="l"/>
        <c:majorGridlines/>
        <c:title>
          <c:tx>
            <c:rich>
              <a:bodyPr/>
              <a:lstStyle/>
              <a:p>
                <a:pPr>
                  <a:defRPr lang="en-IN"/>
                </a:pPr>
                <a:r>
                  <a:rPr lang="en-IN"/>
                  <a:t>P/E  Ratio</a:t>
                </a:r>
              </a:p>
            </c:rich>
          </c:tx>
        </c:title>
        <c:numFmt formatCode="General" sourceLinked="1"/>
        <c:majorTickMark val="none"/>
        <c:tickLblPos val="nextTo"/>
        <c:txPr>
          <a:bodyPr/>
          <a:lstStyle/>
          <a:p>
            <a:pPr>
              <a:defRPr lang="en-IN"/>
            </a:pPr>
            <a:endParaRPr lang="en-US"/>
          </a:p>
        </c:txPr>
        <c:crossAx val="121404416"/>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IN"/>
            </a:pPr>
            <a:r>
              <a:rPr lang="en-US" sz="1400"/>
              <a:t>Bar Chart showing</a:t>
            </a:r>
            <a:r>
              <a:rPr lang="en-US" sz="1400" baseline="0"/>
              <a:t> cost for the year 2019-20</a:t>
            </a:r>
            <a:endParaRPr lang="en-US" sz="1400"/>
          </a:p>
        </c:rich>
      </c:tx>
    </c:title>
    <c:plotArea>
      <c:layout/>
      <c:barChart>
        <c:barDir val="col"/>
        <c:grouping val="stacked"/>
        <c:ser>
          <c:idx val="0"/>
          <c:order val="0"/>
          <c:tx>
            <c:strRef>
              <c:f>Sheet1!$B$1</c:f>
              <c:strCache>
                <c:ptCount val="1"/>
                <c:pt idx="0">
                  <c:v>Column1</c:v>
                </c:pt>
              </c:strCache>
            </c:strRef>
          </c:tx>
          <c:dLbls>
            <c:showVal val="1"/>
          </c:dLbls>
          <c:cat>
            <c:numRef>
              <c:f>Sheet1!$A$2:$A$3</c:f>
              <c:numCache>
                <c:formatCode>General</c:formatCode>
                <c:ptCount val="2"/>
                <c:pt idx="0">
                  <c:v>2022</c:v>
                </c:pt>
                <c:pt idx="1">
                  <c:v>2020</c:v>
                </c:pt>
              </c:numCache>
            </c:numRef>
          </c:cat>
          <c:val>
            <c:numRef>
              <c:f>Sheet1!$B$2:$B$3</c:f>
              <c:numCache>
                <c:formatCode>General</c:formatCode>
                <c:ptCount val="2"/>
                <c:pt idx="0">
                  <c:v>262527.96000000002</c:v>
                </c:pt>
                <c:pt idx="1">
                  <c:v>283963.44</c:v>
                </c:pt>
              </c:numCache>
            </c:numRef>
          </c:val>
        </c:ser>
        <c:gapWidth val="55"/>
        <c:overlap val="100"/>
        <c:axId val="120091392"/>
        <c:axId val="120093312"/>
      </c:barChart>
      <c:catAx>
        <c:axId val="120091392"/>
        <c:scaling>
          <c:orientation val="minMax"/>
        </c:scaling>
        <c:axPos val="b"/>
        <c:title>
          <c:tx>
            <c:rich>
              <a:bodyPr/>
              <a:lstStyle/>
              <a:p>
                <a:pPr>
                  <a:defRPr lang="en-IN"/>
                </a:pPr>
                <a:r>
                  <a:rPr lang="en-IN"/>
                  <a:t>Years</a:t>
                </a:r>
              </a:p>
            </c:rich>
          </c:tx>
        </c:title>
        <c:numFmt formatCode="General" sourceLinked="1"/>
        <c:majorTickMark val="none"/>
        <c:tickLblPos val="nextTo"/>
        <c:txPr>
          <a:bodyPr/>
          <a:lstStyle/>
          <a:p>
            <a:pPr>
              <a:defRPr lang="en-IN"/>
            </a:pPr>
            <a:endParaRPr lang="en-US"/>
          </a:p>
        </c:txPr>
        <c:crossAx val="120093312"/>
        <c:crosses val="autoZero"/>
        <c:auto val="1"/>
        <c:lblAlgn val="ctr"/>
        <c:lblOffset val="100"/>
      </c:catAx>
      <c:valAx>
        <c:axId val="120093312"/>
        <c:scaling>
          <c:orientation val="minMax"/>
        </c:scaling>
        <c:axPos val="l"/>
        <c:majorGridlines/>
        <c:title>
          <c:tx>
            <c:rich>
              <a:bodyPr/>
              <a:lstStyle/>
              <a:p>
                <a:pPr>
                  <a:defRPr lang="en-IN"/>
                </a:pPr>
                <a:r>
                  <a:rPr lang="en-IN" sz="1000" b="0"/>
                  <a:t>Cost</a:t>
                </a:r>
              </a:p>
            </c:rich>
          </c:tx>
          <c:layout>
            <c:manualLayout>
              <c:xMode val="edge"/>
              <c:yMode val="edge"/>
              <c:x val="1.1574074074074073E-2"/>
              <c:y val="0.42848393950756652"/>
            </c:manualLayout>
          </c:layout>
        </c:title>
        <c:numFmt formatCode="General" sourceLinked="1"/>
        <c:majorTickMark val="none"/>
        <c:tickLblPos val="nextTo"/>
        <c:txPr>
          <a:bodyPr/>
          <a:lstStyle/>
          <a:p>
            <a:pPr>
              <a:defRPr lang="en-IN"/>
            </a:pPr>
            <a:endParaRPr lang="en-US"/>
          </a:p>
        </c:txPr>
        <c:crossAx val="1200913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AAE819-1704-44CE-AC39-E0CE8EB8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15</Pages>
  <Words>3370</Words>
  <Characters>19212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22537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koushik</dc:creator>
  <cp:lastModifiedBy>SSA</cp:lastModifiedBy>
  <cp:revision>164</cp:revision>
  <cp:lastPrinted>2015-02-20T06:31:00Z</cp:lastPrinted>
  <dcterms:created xsi:type="dcterms:W3CDTF">2016-03-05T07:37:00Z</dcterms:created>
  <dcterms:modified xsi:type="dcterms:W3CDTF">2024-06-08T12:44:00Z</dcterms:modified>
</cp:coreProperties>
</file>