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40A7A" w14:textId="77777777" w:rsidR="00B51941" w:rsidRPr="00165359" w:rsidRDefault="00B51941" w:rsidP="000240D7">
      <w:pPr>
        <w:spacing w:after="0" w:line="240" w:lineRule="auto"/>
        <w:jc w:val="center"/>
        <w:rPr>
          <w:rFonts w:ascii="Times New Roman" w:hAnsi="Times New Roman" w:cs="Times New Roman"/>
          <w:b/>
          <w:sz w:val="32"/>
          <w:szCs w:val="32"/>
        </w:rPr>
      </w:pPr>
      <w:r w:rsidRPr="00165359">
        <w:rPr>
          <w:rFonts w:ascii="Times New Roman" w:hAnsi="Times New Roman" w:cs="Times New Roman"/>
          <w:b/>
          <w:sz w:val="32"/>
          <w:szCs w:val="32"/>
        </w:rPr>
        <w:t>Capital Markets</w:t>
      </w:r>
    </w:p>
    <w:p w14:paraId="2A22CD61" w14:textId="77777777" w:rsidR="00B51941" w:rsidRPr="00165359" w:rsidRDefault="00B51941" w:rsidP="000240D7">
      <w:pPr>
        <w:spacing w:after="0" w:line="240" w:lineRule="auto"/>
        <w:jc w:val="center"/>
        <w:rPr>
          <w:rFonts w:ascii="Times New Roman" w:hAnsi="Times New Roman" w:cs="Times New Roman"/>
          <w:b/>
          <w:bCs/>
          <w:sz w:val="20"/>
          <w:szCs w:val="20"/>
        </w:rPr>
      </w:pPr>
    </w:p>
    <w:p w14:paraId="142DBAAA" w14:textId="77777777" w:rsidR="00B51941" w:rsidRPr="00165359" w:rsidRDefault="00B51941"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Ohntep Sravya</w:t>
      </w:r>
    </w:p>
    <w:p w14:paraId="395EB69E" w14:textId="7777777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B51941" w:rsidRPr="00165359">
        <w:rPr>
          <w:rFonts w:ascii="Times New Roman" w:hAnsi="Times New Roman" w:cs="Times New Roman"/>
          <w:sz w:val="24"/>
          <w:szCs w:val="24"/>
        </w:rPr>
        <w:t>: 212122672121</w:t>
      </w:r>
      <w:r w:rsidR="000240D7" w:rsidRPr="00165359">
        <w:rPr>
          <w:rFonts w:ascii="Times New Roman" w:hAnsi="Times New Roman" w:cs="Times New Roman"/>
          <w:sz w:val="24"/>
          <w:szCs w:val="24"/>
        </w:rPr>
        <w:t>, Department of Management Studies</w:t>
      </w:r>
    </w:p>
    <w:p w14:paraId="0190A158" w14:textId="77777777"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w:t>
      </w:r>
      <w:r w:rsidR="00B13A29" w:rsidRPr="00165359">
        <w:rPr>
          <w:rFonts w:ascii="Times New Roman" w:hAnsi="Times New Roman" w:cs="Times New Roman"/>
          <w:sz w:val="24"/>
          <w:szCs w:val="24"/>
        </w:rPr>
        <w:t>Chilkur, Moinabad, Ranga Reddy District, Telangana</w:t>
      </w:r>
      <w:r w:rsidR="000240D7" w:rsidRPr="00165359">
        <w:rPr>
          <w:rFonts w:ascii="Times New Roman" w:hAnsi="Times New Roman" w:cs="Times New Roman"/>
          <w:sz w:val="24"/>
          <w:szCs w:val="24"/>
        </w:rPr>
        <w:t>.</w:t>
      </w:r>
    </w:p>
    <w:p w14:paraId="248A6D8F" w14:textId="77777777" w:rsidR="000240D7" w:rsidRPr="00165359" w:rsidRDefault="000240D7" w:rsidP="000240D7">
      <w:pPr>
        <w:spacing w:after="0" w:line="240" w:lineRule="auto"/>
        <w:jc w:val="center"/>
        <w:rPr>
          <w:rFonts w:ascii="Times New Roman" w:hAnsi="Times New Roman" w:cs="Times New Roman"/>
          <w:sz w:val="12"/>
          <w:szCs w:val="12"/>
        </w:rPr>
      </w:pPr>
    </w:p>
    <w:p w14:paraId="6D99D074" w14:textId="77777777" w:rsidR="006B1838" w:rsidRPr="00165359" w:rsidRDefault="00782407"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Ms. G. Swetha</w:t>
      </w:r>
    </w:p>
    <w:p w14:paraId="40DEDEC0"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41143D7F"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0D6B909D" w14:textId="77777777" w:rsidR="00754C17" w:rsidRDefault="00754C17" w:rsidP="00754C17">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3F13FF3E" w14:textId="77777777" w:rsidR="006E13AB" w:rsidRPr="00165359" w:rsidRDefault="006E13AB" w:rsidP="006D613A">
      <w:pPr>
        <w:spacing w:after="0" w:line="360" w:lineRule="auto"/>
        <w:jc w:val="both"/>
        <w:rPr>
          <w:rFonts w:ascii="Times New Roman" w:hAnsi="Times New Roman" w:cs="Times New Roman"/>
          <w:sz w:val="2"/>
          <w:szCs w:val="2"/>
        </w:rPr>
      </w:pPr>
    </w:p>
    <w:p w14:paraId="7D33B9A6" w14:textId="77777777" w:rsidR="006E13AB" w:rsidRPr="00165359" w:rsidRDefault="006E13AB" w:rsidP="006D613A">
      <w:pPr>
        <w:spacing w:after="0" w:line="360" w:lineRule="auto"/>
        <w:jc w:val="both"/>
        <w:rPr>
          <w:rFonts w:ascii="Times New Roman" w:hAnsi="Times New Roman" w:cs="Times New Roman"/>
          <w:sz w:val="6"/>
          <w:szCs w:val="6"/>
        </w:rPr>
      </w:pPr>
    </w:p>
    <w:p w14:paraId="44660420"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18B90BFB" w14:textId="77777777" w:rsidR="002C74E1" w:rsidRPr="00165359" w:rsidRDefault="006A3FF9" w:rsidP="00963299">
      <w:pPr>
        <w:spacing w:before="120" w:after="120" w:line="360" w:lineRule="auto"/>
        <w:jc w:val="both"/>
        <w:rPr>
          <w:rFonts w:ascii="Times New Roman" w:hAnsi="Times New Roman" w:cs="Times New Roman"/>
          <w:i/>
          <w:iCs/>
          <w:sz w:val="8"/>
          <w:szCs w:val="8"/>
        </w:rPr>
      </w:pPr>
      <w:r w:rsidRPr="00165359">
        <w:rPr>
          <w:rFonts w:ascii="Times New Roman" w:hAnsi="Times New Roman" w:cs="Times New Roman"/>
          <w:sz w:val="24"/>
          <w:szCs w:val="24"/>
        </w:rPr>
        <w:t>A capital market is a market for securities (debt or equity), where business enterprises (companies) and governments can raise long-term funds. It is defined as a market in which money is provided for periods longer than a year, as the raising of short-term funds takes place on other markets (e.g., the money market). The capital market includes the stock market (equity securities) and the bond market (debt). Financial regulators, such as the UK's Financial Services Authority (FSA) or the U.S. Securities and Exchange Commission (SEC), oversee the capital markets in their designated jurisdictions to ensure that investors are protected against fraud, among other duties.</w:t>
      </w:r>
      <w:r w:rsidRPr="00165359">
        <w:rPr>
          <w:rFonts w:ascii="Times New Roman" w:hAnsi="Times New Roman" w:cs="Times New Roman"/>
        </w:rPr>
        <w:t xml:space="preserve"> </w:t>
      </w:r>
      <w:r w:rsidRPr="00165359">
        <w:rPr>
          <w:rFonts w:ascii="Times New Roman" w:hAnsi="Times New Roman" w:cs="Times New Roman"/>
          <w:sz w:val="24"/>
          <w:szCs w:val="24"/>
        </w:rPr>
        <w:t>In mainstream economics, the concept of a market is any structure that allows buyers and sellers to exchange any type of goods, services and information. The exchange of goods or services for money is a transaction. Market participants consist of all the buyers and sellers of a good who influence its price. This influence is a major study of economics and has given rise to several theories and models concerning the basic market forces of supply and demand.</w:t>
      </w:r>
    </w:p>
    <w:p w14:paraId="0E0D532F" w14:textId="77777777" w:rsidR="00B27D9E" w:rsidRPr="00165359" w:rsidRDefault="00A86DE0" w:rsidP="00E50D0A">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E50D0A" w:rsidRPr="00165359">
        <w:rPr>
          <w:rFonts w:ascii="Times New Roman" w:hAnsi="Times New Roman" w:cs="Times New Roman"/>
          <w:sz w:val="24"/>
          <w:szCs w:val="24"/>
        </w:rPr>
        <w:t>capital market</w:t>
      </w:r>
      <w:r w:rsidR="00A6248E" w:rsidRPr="00165359">
        <w:rPr>
          <w:rFonts w:ascii="Times New Roman" w:hAnsi="Times New Roman" w:cs="Times New Roman"/>
          <w:sz w:val="24"/>
          <w:szCs w:val="24"/>
        </w:rPr>
        <w:t xml:space="preserve">, </w:t>
      </w:r>
      <w:r w:rsidR="00E50D0A" w:rsidRPr="00165359">
        <w:rPr>
          <w:rFonts w:ascii="Times New Roman" w:hAnsi="Times New Roman" w:cs="Times New Roman"/>
          <w:sz w:val="24"/>
          <w:szCs w:val="24"/>
        </w:rPr>
        <w:t>Securities and Exchange Commission</w:t>
      </w:r>
      <w:r w:rsidR="002C74E1" w:rsidRPr="00165359">
        <w:rPr>
          <w:rFonts w:ascii="Times New Roman" w:eastAsia="Calibri" w:hAnsi="Times New Roman" w:cs="Times New Roman"/>
          <w:sz w:val="24"/>
          <w:szCs w:val="24"/>
        </w:rPr>
        <w:t xml:space="preserve">, </w:t>
      </w:r>
      <w:r w:rsidR="00E50D0A" w:rsidRPr="00165359">
        <w:rPr>
          <w:rFonts w:ascii="Times New Roman" w:hAnsi="Times New Roman" w:cs="Times New Roman"/>
          <w:sz w:val="24"/>
          <w:szCs w:val="24"/>
        </w:rPr>
        <w:t>supply and demand</w:t>
      </w:r>
    </w:p>
    <w:p w14:paraId="303CF1FD" w14:textId="77777777" w:rsidR="00B27D9E" w:rsidRPr="00165359" w:rsidRDefault="00B27D9E" w:rsidP="00272B9B">
      <w:pPr>
        <w:spacing w:after="200" w:line="360" w:lineRule="auto"/>
        <w:rPr>
          <w:rFonts w:ascii="Times New Roman" w:hAnsi="Times New Roman" w:cs="Times New Roman"/>
          <w:b/>
          <w:sz w:val="24"/>
          <w:szCs w:val="24"/>
        </w:rPr>
      </w:pPr>
    </w:p>
    <w:p w14:paraId="2D1C4E6E" w14:textId="77777777" w:rsidR="00B27D9E" w:rsidRPr="00165359" w:rsidRDefault="00B27D9E" w:rsidP="00272B9B">
      <w:pPr>
        <w:spacing w:after="200" w:line="360" w:lineRule="auto"/>
        <w:rPr>
          <w:rFonts w:ascii="Times New Roman" w:hAnsi="Times New Roman" w:cs="Times New Roman"/>
          <w:b/>
          <w:sz w:val="24"/>
          <w:szCs w:val="24"/>
        </w:rPr>
      </w:pPr>
    </w:p>
    <w:p w14:paraId="31F98B6F" w14:textId="77777777" w:rsidR="00E1507B" w:rsidRPr="00165359" w:rsidRDefault="00E1507B" w:rsidP="00272B9B">
      <w:pPr>
        <w:spacing w:after="200" w:line="360" w:lineRule="auto"/>
        <w:rPr>
          <w:rFonts w:ascii="Times New Roman" w:hAnsi="Times New Roman" w:cs="Times New Roman"/>
          <w:b/>
          <w:sz w:val="24"/>
          <w:szCs w:val="24"/>
        </w:rPr>
      </w:pPr>
    </w:p>
    <w:p w14:paraId="4D66E103" w14:textId="77777777" w:rsidR="00E50D0A" w:rsidRPr="00165359" w:rsidRDefault="00E50D0A" w:rsidP="00272B9B">
      <w:pPr>
        <w:spacing w:after="200" w:line="360" w:lineRule="auto"/>
        <w:rPr>
          <w:rFonts w:ascii="Times New Roman" w:hAnsi="Times New Roman" w:cs="Times New Roman"/>
          <w:b/>
          <w:sz w:val="24"/>
          <w:szCs w:val="24"/>
        </w:rPr>
      </w:pPr>
    </w:p>
    <w:p w14:paraId="7ED31910" w14:textId="77777777" w:rsidR="00E1507B" w:rsidRPr="00165359" w:rsidRDefault="00E1507B" w:rsidP="00272B9B">
      <w:pPr>
        <w:spacing w:after="200" w:line="360" w:lineRule="auto"/>
        <w:rPr>
          <w:rFonts w:ascii="Times New Roman" w:hAnsi="Times New Roman" w:cs="Times New Roman"/>
          <w:b/>
          <w:sz w:val="24"/>
          <w:szCs w:val="24"/>
        </w:rPr>
      </w:pPr>
    </w:p>
    <w:p w14:paraId="03756703" w14:textId="77777777" w:rsidR="00E1507B" w:rsidRPr="00165359" w:rsidRDefault="00E1507B" w:rsidP="00272B9B">
      <w:pPr>
        <w:spacing w:after="200" w:line="360" w:lineRule="auto"/>
        <w:rPr>
          <w:rFonts w:ascii="Times New Roman" w:hAnsi="Times New Roman" w:cs="Times New Roman"/>
          <w:b/>
          <w:sz w:val="24"/>
          <w:szCs w:val="24"/>
        </w:rPr>
      </w:pPr>
    </w:p>
    <w:p w14:paraId="49FD9CA8" w14:textId="77777777" w:rsidR="00E1507B" w:rsidRPr="00165359" w:rsidRDefault="00E1507B" w:rsidP="00272B9B">
      <w:pPr>
        <w:spacing w:after="200" w:line="360" w:lineRule="auto"/>
        <w:rPr>
          <w:rFonts w:ascii="Times New Roman" w:hAnsi="Times New Roman" w:cs="Times New Roman"/>
          <w:b/>
          <w:sz w:val="24"/>
          <w:szCs w:val="24"/>
        </w:rPr>
      </w:pPr>
    </w:p>
    <w:p w14:paraId="216FA636" w14:textId="77777777" w:rsidR="00E1507B" w:rsidRPr="00165359" w:rsidRDefault="00E1507B" w:rsidP="00272B9B">
      <w:pPr>
        <w:spacing w:after="200" w:line="360" w:lineRule="auto"/>
        <w:rPr>
          <w:rFonts w:ascii="Times New Roman" w:hAnsi="Times New Roman" w:cs="Times New Roman"/>
          <w:b/>
          <w:sz w:val="24"/>
          <w:szCs w:val="24"/>
        </w:rPr>
      </w:pPr>
    </w:p>
    <w:p w14:paraId="53481C8A" w14:textId="77777777" w:rsidR="00AD09B8" w:rsidRPr="00165359"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107BB972" w14:textId="77777777" w:rsidR="004A1C87" w:rsidRPr="00165359" w:rsidRDefault="004A1C87" w:rsidP="004A1C87">
      <w:pPr>
        <w:autoSpaceDE w:val="0"/>
        <w:autoSpaceDN w:val="0"/>
        <w:adjustRightInd w:val="0"/>
        <w:spacing w:line="360" w:lineRule="auto"/>
        <w:jc w:val="both"/>
        <w:rPr>
          <w:rFonts w:ascii="Times New Roman" w:hAnsi="Times New Roman" w:cs="Times New Roman"/>
          <w:color w:val="000000"/>
        </w:rPr>
      </w:pPr>
      <w:r w:rsidRPr="00165359">
        <w:rPr>
          <w:rFonts w:ascii="Times New Roman" w:hAnsi="Times New Roman" w:cs="Times New Roman"/>
          <w:color w:val="000000"/>
        </w:rPr>
        <w:t xml:space="preserve">          Capital markets may be classified as </w:t>
      </w:r>
      <w:hyperlink r:id="rId9" w:history="1">
        <w:r w:rsidRPr="00165359">
          <w:rPr>
            <w:rFonts w:ascii="Times New Roman" w:hAnsi="Times New Roman" w:cs="Times New Roman"/>
            <w:color w:val="000000"/>
          </w:rPr>
          <w:t>primary markets</w:t>
        </w:r>
      </w:hyperlink>
      <w:r w:rsidRPr="00165359">
        <w:rPr>
          <w:rFonts w:ascii="Times New Roman" w:hAnsi="Times New Roman" w:cs="Times New Roman"/>
          <w:color w:val="000000"/>
        </w:rPr>
        <w:t xml:space="preserve"> and </w:t>
      </w:r>
      <w:hyperlink r:id="rId10" w:history="1">
        <w:r w:rsidRPr="00165359">
          <w:rPr>
            <w:rFonts w:ascii="Times New Roman" w:hAnsi="Times New Roman" w:cs="Times New Roman"/>
            <w:color w:val="000000"/>
          </w:rPr>
          <w:t>secondary markets</w:t>
        </w:r>
      </w:hyperlink>
      <w:r w:rsidRPr="00165359">
        <w:rPr>
          <w:rFonts w:ascii="Times New Roman" w:hAnsi="Times New Roman" w:cs="Times New Roman"/>
          <w:color w:val="000000"/>
        </w:rPr>
        <w:t xml:space="preserve">. In primary markets, new stock or bond issues are sold to investors via a mechanism known as </w:t>
      </w:r>
      <w:hyperlink r:id="rId11" w:history="1">
        <w:r w:rsidRPr="00165359">
          <w:rPr>
            <w:rFonts w:ascii="Times New Roman" w:hAnsi="Times New Roman" w:cs="Times New Roman"/>
            <w:color w:val="000000"/>
          </w:rPr>
          <w:t>underwriting</w:t>
        </w:r>
      </w:hyperlink>
      <w:r w:rsidRPr="00165359">
        <w:rPr>
          <w:rFonts w:ascii="Times New Roman" w:hAnsi="Times New Roman" w:cs="Times New Roman"/>
          <w:color w:val="000000"/>
        </w:rPr>
        <w:t xml:space="preserve">. In the secondary markets, existing securities are sold and bought among investors or traders, usually on a </w:t>
      </w:r>
      <w:hyperlink r:id="rId12" w:history="1">
        <w:r w:rsidRPr="00165359">
          <w:rPr>
            <w:rFonts w:ascii="Times New Roman" w:hAnsi="Times New Roman" w:cs="Times New Roman"/>
            <w:color w:val="000000"/>
          </w:rPr>
          <w:t>securities exchange</w:t>
        </w:r>
      </w:hyperlink>
      <w:r w:rsidRPr="00165359">
        <w:rPr>
          <w:rFonts w:ascii="Times New Roman" w:hAnsi="Times New Roman" w:cs="Times New Roman"/>
          <w:color w:val="000000"/>
        </w:rPr>
        <w:t xml:space="preserve">, </w:t>
      </w:r>
      <w:hyperlink r:id="rId13" w:history="1">
        <w:r w:rsidRPr="00165359">
          <w:rPr>
            <w:rFonts w:ascii="Times New Roman" w:hAnsi="Times New Roman" w:cs="Times New Roman"/>
            <w:color w:val="000000"/>
          </w:rPr>
          <w:t>over-the-counter</w:t>
        </w:r>
      </w:hyperlink>
      <w:r w:rsidRPr="00165359">
        <w:rPr>
          <w:rFonts w:ascii="Times New Roman" w:hAnsi="Times New Roman" w:cs="Times New Roman"/>
          <w:color w:val="000000"/>
        </w:rPr>
        <w:t>, or elsewhere.</w:t>
      </w:r>
    </w:p>
    <w:p w14:paraId="7585FFAF" w14:textId="77777777" w:rsidR="004A1C87" w:rsidRPr="00165359" w:rsidRDefault="004A1C87" w:rsidP="004A1C87">
      <w:pPr>
        <w:autoSpaceDE w:val="0"/>
        <w:autoSpaceDN w:val="0"/>
        <w:adjustRightInd w:val="0"/>
        <w:spacing w:line="360" w:lineRule="auto"/>
        <w:jc w:val="both"/>
        <w:rPr>
          <w:rFonts w:ascii="Times New Roman" w:hAnsi="Times New Roman" w:cs="Times New Roman"/>
          <w:b/>
          <w:bCs/>
          <w:color w:val="000000"/>
        </w:rPr>
      </w:pPr>
      <w:r w:rsidRPr="00165359">
        <w:rPr>
          <w:rFonts w:ascii="Times New Roman" w:hAnsi="Times New Roman" w:cs="Times New Roman"/>
          <w:color w:val="000000"/>
        </w:rPr>
        <w:t xml:space="preserve">The </w:t>
      </w:r>
      <w:r w:rsidRPr="00165359">
        <w:rPr>
          <w:rFonts w:ascii="Times New Roman" w:hAnsi="Times New Roman" w:cs="Times New Roman"/>
          <w:b/>
          <w:bCs/>
          <w:color w:val="000000"/>
        </w:rPr>
        <w:t xml:space="preserve">Indian Capital Market </w:t>
      </w:r>
      <w:r w:rsidRPr="00165359">
        <w:rPr>
          <w:rFonts w:ascii="Times New Roman" w:hAnsi="Times New Roman" w:cs="Times New Roman"/>
          <w:color w:val="000000"/>
        </w:rPr>
        <w:t xml:space="preserve">is one of the oldest capital markets in Asia which evolved around 230 years ago. </w:t>
      </w:r>
    </w:p>
    <w:p w14:paraId="30AEE266" w14:textId="77777777" w:rsidR="004A1C87" w:rsidRPr="00165359" w:rsidRDefault="004A1C87" w:rsidP="004A1C87">
      <w:pPr>
        <w:autoSpaceDE w:val="0"/>
        <w:autoSpaceDN w:val="0"/>
        <w:adjustRightInd w:val="0"/>
        <w:spacing w:line="360" w:lineRule="auto"/>
        <w:jc w:val="both"/>
        <w:rPr>
          <w:rFonts w:ascii="Times New Roman" w:hAnsi="Times New Roman" w:cs="Times New Roman"/>
          <w:color w:val="000000"/>
        </w:rPr>
      </w:pPr>
      <w:r w:rsidRPr="00165359">
        <w:rPr>
          <w:rFonts w:ascii="Times New Roman" w:hAnsi="Times New Roman" w:cs="Times New Roman"/>
          <w:b/>
          <w:bCs/>
          <w:color w:val="000000"/>
        </w:rPr>
        <w:t>Chronology of the Indian capital markets:</w:t>
      </w:r>
    </w:p>
    <w:p w14:paraId="4030266A" w14:textId="77777777" w:rsidR="004A1C87" w:rsidRPr="00165359" w:rsidRDefault="004A1C87" w:rsidP="004A1C87">
      <w:pPr>
        <w:autoSpaceDE w:val="0"/>
        <w:autoSpaceDN w:val="0"/>
        <w:adjustRightInd w:val="0"/>
        <w:spacing w:line="360" w:lineRule="auto"/>
        <w:jc w:val="both"/>
        <w:rPr>
          <w:rFonts w:ascii="Times New Roman" w:hAnsi="Times New Roman" w:cs="Times New Roman"/>
        </w:rPr>
      </w:pPr>
      <w:r w:rsidRPr="00165359">
        <w:rPr>
          <w:rFonts w:ascii="Times New Roman" w:hAnsi="Times New Roman" w:cs="Times New Roman"/>
          <w:b/>
          <w:bCs/>
          <w:color w:val="000000"/>
        </w:rPr>
        <w:t>1830s:</w:t>
      </w:r>
      <w:r w:rsidRPr="00165359">
        <w:rPr>
          <w:rFonts w:ascii="Times New Roman" w:hAnsi="Times New Roman" w:cs="Times New Roman"/>
          <w:color w:val="000000"/>
        </w:rPr>
        <w:t xml:space="preserve"> Trading of corporate shares and stocks in Bank and cotton Presses in Bombay. </w:t>
      </w:r>
      <w:r w:rsidRPr="00165359">
        <w:rPr>
          <w:rFonts w:ascii="Times New Roman" w:hAnsi="Times New Roman" w:cs="Times New Roman"/>
        </w:rPr>
        <w:t>Though the trading list was broader in 1839, there were only half a dozen brokers recognized by banks and merchants during 1840 and 1850.</w:t>
      </w:r>
    </w:p>
    <w:p w14:paraId="123E95AA" w14:textId="77777777" w:rsidR="004A1C87" w:rsidRPr="00165359" w:rsidRDefault="004A1C87" w:rsidP="004A1C87">
      <w:pPr>
        <w:tabs>
          <w:tab w:val="left" w:pos="3825"/>
        </w:tabs>
        <w:autoSpaceDE w:val="0"/>
        <w:autoSpaceDN w:val="0"/>
        <w:adjustRightInd w:val="0"/>
        <w:spacing w:line="360" w:lineRule="auto"/>
        <w:jc w:val="both"/>
        <w:rPr>
          <w:rFonts w:ascii="Times New Roman" w:hAnsi="Times New Roman" w:cs="Times New Roman"/>
          <w:sz w:val="28"/>
          <w:szCs w:val="28"/>
        </w:rPr>
      </w:pPr>
      <w:r w:rsidRPr="00165359">
        <w:rPr>
          <w:rFonts w:ascii="Times New Roman" w:hAnsi="Times New Roman" w:cs="Times New Roman"/>
          <w:b/>
          <w:bCs/>
          <w:sz w:val="28"/>
          <w:szCs w:val="28"/>
        </w:rPr>
        <w:t>CAPITAL MARKET INSTRUMENTS</w:t>
      </w:r>
    </w:p>
    <w:p w14:paraId="0600567B" w14:textId="77777777" w:rsidR="004A1C87" w:rsidRPr="00165359" w:rsidRDefault="004A1C87" w:rsidP="004A1C87">
      <w:pPr>
        <w:tabs>
          <w:tab w:val="left" w:pos="3825"/>
        </w:tabs>
        <w:autoSpaceDE w:val="0"/>
        <w:autoSpaceDN w:val="0"/>
        <w:adjustRightInd w:val="0"/>
        <w:spacing w:line="360" w:lineRule="auto"/>
        <w:jc w:val="both"/>
        <w:rPr>
          <w:rFonts w:ascii="Times New Roman" w:hAnsi="Times New Roman" w:cs="Times New Roman"/>
        </w:rPr>
      </w:pPr>
      <w:r w:rsidRPr="00165359">
        <w:rPr>
          <w:rFonts w:ascii="Times New Roman" w:hAnsi="Times New Roman" w:cs="Times New Roman"/>
        </w:rPr>
        <w:t xml:space="preserve"> The capital markets are relatively for long term (greater than one year maturity) financial instruments e.g bonds and stocks). It is the largest source of funds with long and indefinite maturity for companies are there by enhances the capital formation in the country. It offers a investment avenues to investors. The capital market instruments are the vehicles between the companies and the investors. The financial instruments that have short- or medium-term maturity periods are dealt in the money market whereas the financial instruments that have long maturity periods are dealt in the capital market. The different types of financial instruments that are traded in the capital markets are equity instruments, credit market instruments, insurance instruments, foreign exchange instruments, hybrid instruments and derivative instrument Stock market is the capital and SEBI is the driver. </w:t>
      </w:r>
    </w:p>
    <w:p w14:paraId="5602573E"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These instruments are of two types </w:t>
      </w:r>
    </w:p>
    <w:p w14:paraId="32D9C5F5"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Primary market</w:t>
      </w:r>
    </w:p>
    <w:p w14:paraId="678C1913"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 • Secondary market </w:t>
      </w:r>
    </w:p>
    <w:p w14:paraId="04AADC47"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A part from derivative instruments, the following is the major mediums of approaching capital markets: </w:t>
      </w:r>
    </w:p>
    <w:p w14:paraId="29D13243"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 Equity shares </w:t>
      </w:r>
    </w:p>
    <w:p w14:paraId="5981FD18"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 Preference shares </w:t>
      </w:r>
    </w:p>
    <w:p w14:paraId="6AD769DE"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Debentures/ bonds</w:t>
      </w:r>
    </w:p>
    <w:p w14:paraId="650555EB"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 • American Depository Receipts (ADR) </w:t>
      </w:r>
    </w:p>
    <w:p w14:paraId="18BE0458" w14:textId="77777777" w:rsidR="004A1C87" w:rsidRPr="00165359" w:rsidRDefault="004A1C87" w:rsidP="004A1C87">
      <w:pPr>
        <w:tabs>
          <w:tab w:val="left" w:pos="3825"/>
        </w:tabs>
        <w:autoSpaceDE w:val="0"/>
        <w:autoSpaceDN w:val="0"/>
        <w:adjustRightInd w:val="0"/>
        <w:spacing w:after="0" w:line="360" w:lineRule="auto"/>
        <w:jc w:val="both"/>
        <w:rPr>
          <w:rFonts w:ascii="Times New Roman" w:hAnsi="Times New Roman" w:cs="Times New Roman"/>
        </w:rPr>
      </w:pPr>
      <w:r w:rsidRPr="00165359">
        <w:rPr>
          <w:rFonts w:ascii="Times New Roman" w:hAnsi="Times New Roman" w:cs="Times New Roman"/>
        </w:rPr>
        <w:t xml:space="preserve">• Global Depository Receipts (GDR) </w:t>
      </w:r>
    </w:p>
    <w:p w14:paraId="4CB973FE" w14:textId="77777777" w:rsidR="004A1C87" w:rsidRPr="00165359" w:rsidRDefault="004A1C87" w:rsidP="004A1C87">
      <w:pPr>
        <w:tabs>
          <w:tab w:val="left" w:pos="3825"/>
        </w:tabs>
        <w:autoSpaceDE w:val="0"/>
        <w:autoSpaceDN w:val="0"/>
        <w:adjustRightInd w:val="0"/>
        <w:spacing w:line="360" w:lineRule="auto"/>
        <w:jc w:val="both"/>
        <w:rPr>
          <w:rFonts w:ascii="Times New Roman" w:hAnsi="Times New Roman" w:cs="Times New Roman"/>
        </w:rPr>
      </w:pPr>
      <w:r w:rsidRPr="00165359">
        <w:rPr>
          <w:rFonts w:ascii="Times New Roman" w:hAnsi="Times New Roman" w:cs="Times New Roman"/>
        </w:rPr>
        <w:t>• Derivatives</w:t>
      </w:r>
    </w:p>
    <w:p w14:paraId="01A3B0D1" w14:textId="77777777" w:rsidR="004A1C87" w:rsidRPr="00165359" w:rsidRDefault="004A1C87" w:rsidP="004A1C87">
      <w:pPr>
        <w:tabs>
          <w:tab w:val="left" w:pos="3825"/>
        </w:tabs>
        <w:autoSpaceDE w:val="0"/>
        <w:autoSpaceDN w:val="0"/>
        <w:adjustRightInd w:val="0"/>
        <w:spacing w:line="360" w:lineRule="auto"/>
        <w:jc w:val="both"/>
        <w:rPr>
          <w:rFonts w:ascii="Times New Roman" w:hAnsi="Times New Roman" w:cs="Times New Roman"/>
        </w:rPr>
      </w:pPr>
      <w:r w:rsidRPr="00165359">
        <w:rPr>
          <w:rFonts w:ascii="Times New Roman" w:hAnsi="Times New Roman" w:cs="Times New Roman"/>
        </w:rPr>
        <w:t xml:space="preserve"> • Employee stock option </w:t>
      </w:r>
    </w:p>
    <w:p w14:paraId="7FC2F7B9" w14:textId="77777777" w:rsidR="00A85F4F" w:rsidRPr="00165359" w:rsidRDefault="00DB5FA1" w:rsidP="00174A80">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lastRenderedPageBreak/>
        <w:t>REVIEW OF LITERATURE</w:t>
      </w:r>
      <w:r w:rsidR="00177D27" w:rsidRPr="00165359">
        <w:rPr>
          <w:rFonts w:ascii="Times New Roman" w:hAnsi="Times New Roman" w:cs="Times New Roman"/>
          <w:b/>
          <w:sz w:val="24"/>
          <w:szCs w:val="24"/>
          <w:u w:val="single"/>
        </w:rPr>
        <w:t>:</w:t>
      </w:r>
    </w:p>
    <w:p w14:paraId="75A65E14" w14:textId="77777777" w:rsidR="00EB3F6B" w:rsidRPr="00165359" w:rsidRDefault="00EB3F6B" w:rsidP="00EB3F6B">
      <w:pPr>
        <w:spacing w:line="360" w:lineRule="auto"/>
        <w:jc w:val="both"/>
        <w:rPr>
          <w:rFonts w:ascii="Times New Roman" w:eastAsia="Calibri" w:hAnsi="Times New Roman" w:cs="Times New Roman"/>
          <w:sz w:val="24"/>
          <w:szCs w:val="24"/>
        </w:rPr>
      </w:pPr>
      <w:r w:rsidRPr="00165359">
        <w:rPr>
          <w:rFonts w:ascii="Times New Roman" w:eastAsia="Calibri" w:hAnsi="Times New Roman" w:cs="Times New Roman"/>
          <w:b/>
          <w:sz w:val="24"/>
          <w:szCs w:val="24"/>
        </w:rPr>
        <w:t>Bing Zhu (2012),</w:t>
      </w:r>
      <w:r w:rsidRPr="00165359">
        <w:rPr>
          <w:rFonts w:ascii="Times New Roman" w:eastAsia="Calibri" w:hAnsi="Times New Roman" w:cs="Times New Roman"/>
          <w:sz w:val="24"/>
          <w:szCs w:val="24"/>
        </w:rPr>
        <w:t xml:space="preserve"> The Effects Of Macroeconomic Factors On Stock Return Of Energy Sector In Shanghai Stock Market, International Journal of Scientific and Research Publications (Vol. 2, Issue-11), ISSN 2250-3153: The study aims at understanding the performance of arbitrage pricing theory (APT) in the Shanghai Stock Exchange. In finance, arbitrage pricing theory (APT) is a general theory of asset pricing that holds that the expected return of a financial asset. The research points out the fact that factors such as foreign reserve, exports, exchange rates, and unemployment rate have an impact on the returns of energy sector. As the foreign reserve increases by 1 point, the stock return of energy sector increases by 2.142004. This shows that foreign reserves have a positive direct impact on the returns of energy sector.</w:t>
      </w:r>
    </w:p>
    <w:p w14:paraId="0A7423F9" w14:textId="77777777" w:rsidR="00EB3F6B" w:rsidRPr="00165359" w:rsidRDefault="00EB3F6B" w:rsidP="00EB3F6B">
      <w:pPr>
        <w:spacing w:line="360" w:lineRule="auto"/>
        <w:jc w:val="both"/>
        <w:rPr>
          <w:rFonts w:ascii="Times New Roman" w:eastAsia="Calibri" w:hAnsi="Times New Roman" w:cs="Times New Roman"/>
          <w:sz w:val="24"/>
          <w:szCs w:val="24"/>
        </w:rPr>
      </w:pPr>
      <w:r w:rsidRPr="00165359">
        <w:rPr>
          <w:rFonts w:ascii="Times New Roman" w:eastAsia="Calibri" w:hAnsi="Times New Roman" w:cs="Times New Roman"/>
          <w:b/>
          <w:sz w:val="24"/>
          <w:szCs w:val="24"/>
        </w:rPr>
        <w:t>Domenico Celenza and Fabrizio Rossi</w:t>
      </w:r>
      <w:r w:rsidRPr="00165359">
        <w:rPr>
          <w:rFonts w:ascii="Times New Roman" w:eastAsia="Calibri" w:hAnsi="Times New Roman" w:cs="Times New Roman"/>
          <w:sz w:val="24"/>
          <w:szCs w:val="24"/>
        </w:rPr>
        <w:t xml:space="preserve"> (2012), The Relationship Between Intellectual Capital And Stock Market Performance: Emprical Evidence From Italy, Journal of Modern Accounting and Auditing (Vol. 8, Issue-11), ISSN 1548-6583:.This study aims at providing a relation between the intellectual capital (IC) and returns of a company. It also aims at  The accounting records are still incomplete inspite of the regulatory accounting standard.</w:t>
      </w:r>
      <w:r w:rsidRPr="00165359">
        <w:rPr>
          <w:rFonts w:ascii="Times New Roman" w:eastAsia="Calibri" w:hAnsi="Times New Roman" w:cs="Times New Roman"/>
          <w:sz w:val="24"/>
          <w:szCs w:val="24"/>
        </w:rPr>
        <w:sym w:font="Symbol" w:char="F0B7"/>
      </w:r>
      <w:r w:rsidRPr="00165359">
        <w:rPr>
          <w:rFonts w:ascii="Times New Roman" w:eastAsia="Calibri" w:hAnsi="Times New Roman" w:cs="Times New Roman"/>
          <w:sz w:val="24"/>
          <w:szCs w:val="24"/>
        </w:rPr>
        <w:t>evaluating the value of IC.  It is limited in transmitting information that is slowly reflected in the prices of securities  As the information arrives into the market, it becomes old. Compared to the degree of</w:t>
      </w:r>
      <w:r w:rsidRPr="00165359">
        <w:rPr>
          <w:rFonts w:ascii="Times New Roman" w:eastAsia="Calibri" w:hAnsi="Times New Roman" w:cs="Times New Roman"/>
          <w:sz w:val="24"/>
          <w:szCs w:val="24"/>
        </w:rPr>
        <w:sym w:font="Symbol" w:char="F0B7"/>
      </w:r>
      <w:r w:rsidRPr="00165359">
        <w:rPr>
          <w:rFonts w:ascii="Times New Roman" w:eastAsia="Calibri" w:hAnsi="Times New Roman" w:cs="Times New Roman"/>
          <w:sz w:val="24"/>
          <w:szCs w:val="24"/>
        </w:rPr>
        <w:t>of listed companies to the stock market.   The beta factor does not explain the market value of firms and changes in stock prices.</w:t>
      </w:r>
      <w:r w:rsidRPr="00165359">
        <w:rPr>
          <w:rFonts w:ascii="Times New Roman" w:eastAsia="Calibri" w:hAnsi="Times New Roman" w:cs="Times New Roman"/>
          <w:sz w:val="24"/>
          <w:szCs w:val="24"/>
        </w:rPr>
        <w:sym w:font="Symbol" w:char="F0B7"/>
      </w:r>
      <w:r w:rsidRPr="00165359">
        <w:rPr>
          <w:rFonts w:ascii="Times New Roman" w:eastAsia="Calibri" w:hAnsi="Times New Roman" w:cs="Times New Roman"/>
          <w:sz w:val="24"/>
          <w:szCs w:val="24"/>
        </w:rPr>
        <w:t>circulation of information in the market, the financial indicators appear to be static.  The conclusions stand true as, the financial statements, made at the end of the year; fail to inform the value of the firm. The speculation in the market also affects the investor’s sentiment. The beta index indicates the systematic risks associated with the stocks and fails to elaborate the reason for changes in stock prices and market value of firms.</w:t>
      </w:r>
    </w:p>
    <w:p w14:paraId="2494C0EE" w14:textId="77777777" w:rsidR="00EB3F6B" w:rsidRPr="00165359" w:rsidRDefault="00EB3F6B" w:rsidP="00EB3F6B">
      <w:pPr>
        <w:spacing w:after="0" w:line="360" w:lineRule="auto"/>
        <w:jc w:val="both"/>
        <w:rPr>
          <w:rFonts w:ascii="Times New Roman" w:hAnsi="Times New Roman" w:cs="Times New Roman"/>
          <w:sz w:val="24"/>
          <w:szCs w:val="24"/>
        </w:rPr>
      </w:pPr>
      <w:r w:rsidRPr="00165359">
        <w:rPr>
          <w:rFonts w:ascii="Times New Roman" w:eastAsia="Calibri" w:hAnsi="Times New Roman" w:cs="Times New Roman"/>
          <w:b/>
          <w:sz w:val="24"/>
          <w:szCs w:val="24"/>
        </w:rPr>
        <w:t>Kaushal A. Bhatt (2013</w:t>
      </w:r>
      <w:r w:rsidRPr="00165359">
        <w:rPr>
          <w:rFonts w:ascii="Times New Roman" w:eastAsia="Calibri" w:hAnsi="Times New Roman" w:cs="Times New Roman"/>
          <w:sz w:val="24"/>
          <w:szCs w:val="24"/>
        </w:rPr>
        <w:t xml:space="preserve">), Investment and Trading Pattern of Individuals Dealing in Stock Market, The SIJ Transactions on Industrial, Financial &amp; Business Management (IFBM) (Vol.1, Issue-02), ISSN: 2321 – 242X: The paper aims at studying the literacy and awarenss of capital markets among investors regarding various investment avenues. To find and identify segments preferred more by the people and the influencing force behind the decision making, while investing in currently available options including stock markets. It concludes that investors are moving to new investment avenues such as equity market, mutual funds, bonds, and others like gold, land etc. This is due to the decreasing trend of bank rates. This also increases the scope of business for the investment companies. The investors are also risk </w:t>
      </w:r>
      <w:r w:rsidRPr="00165359">
        <w:rPr>
          <w:rFonts w:ascii="Times New Roman" w:eastAsia="Calibri" w:hAnsi="Times New Roman" w:cs="Times New Roman"/>
          <w:sz w:val="24"/>
          <w:szCs w:val="24"/>
        </w:rPr>
        <w:lastRenderedPageBreak/>
        <w:t>sensitive. They want more safety and security. The stock markets have become very popular due to high rate of return but due to uncertainty and risk many people do not invest in equity markets</w:t>
      </w:r>
    </w:p>
    <w:p w14:paraId="79BA2A26" w14:textId="77777777" w:rsidR="00353320" w:rsidRPr="00165359" w:rsidRDefault="00EB3F6B" w:rsidP="00EB3F6B">
      <w:pPr>
        <w:spacing w:after="0" w:line="360" w:lineRule="auto"/>
        <w:rPr>
          <w:rFonts w:ascii="Times New Roman" w:hAnsi="Times New Roman" w:cs="Times New Roman"/>
          <w:b/>
          <w:sz w:val="24"/>
          <w:szCs w:val="24"/>
          <w:u w:val="single"/>
        </w:rPr>
      </w:pPr>
      <w:r w:rsidRPr="00165359">
        <w:rPr>
          <w:rFonts w:ascii="Times New Roman" w:eastAsia="Calibri" w:hAnsi="Times New Roman" w:cs="Times New Roman"/>
        </w:rPr>
        <w:t>.</w:t>
      </w:r>
      <w:r w:rsidR="00DB5FA1"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75EFDCC7" w14:textId="77777777" w:rsidR="00EB3F6B" w:rsidRPr="00165359" w:rsidRDefault="00EB3F6B" w:rsidP="00C57999">
      <w:pPr>
        <w:spacing w:after="0" w:line="360" w:lineRule="auto"/>
        <w:rPr>
          <w:rFonts w:ascii="Times New Roman" w:eastAsia="Calibri" w:hAnsi="Times New Roman" w:cs="Times New Roman"/>
          <w:sz w:val="24"/>
          <w:szCs w:val="24"/>
        </w:rPr>
      </w:pPr>
      <w:r w:rsidRPr="00165359">
        <w:rPr>
          <w:rFonts w:ascii="Times New Roman" w:eastAsia="Calibri" w:hAnsi="Times New Roman" w:cs="Times New Roman"/>
          <w:sz w:val="24"/>
          <w:szCs w:val="24"/>
        </w:rPr>
        <w:t>This study focuses on the This difference goes to the broker as his/her profit for selling you the particular stock. Specialists are in charge of the coordination between bids and ask, so that the amount of the spread is kept at a minimum.</w:t>
      </w:r>
    </w:p>
    <w:p w14:paraId="0DF5AA91" w14:textId="77777777" w:rsidR="00770DC5" w:rsidRPr="00165359"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OBJECTIVES</w:t>
      </w:r>
      <w:r w:rsidR="004A0102" w:rsidRPr="00165359">
        <w:rPr>
          <w:rFonts w:ascii="Times New Roman" w:hAnsi="Times New Roman" w:cs="Times New Roman"/>
          <w:b/>
          <w:sz w:val="24"/>
          <w:szCs w:val="24"/>
          <w:u w:val="single"/>
        </w:rPr>
        <w:t>:</w:t>
      </w:r>
    </w:p>
    <w:p w14:paraId="249D4249" w14:textId="77777777" w:rsidR="00EB3F6B" w:rsidRPr="00165359" w:rsidRDefault="00EB3F6B" w:rsidP="00EB3F6B">
      <w:pPr>
        <w:numPr>
          <w:ilvl w:val="0"/>
          <w:numId w:val="11"/>
        </w:numPr>
        <w:spacing w:after="0" w:line="360" w:lineRule="auto"/>
        <w:ind w:left="360" w:firstLine="0"/>
        <w:jc w:val="both"/>
        <w:rPr>
          <w:rFonts w:ascii="Times New Roman" w:eastAsia="Calibri" w:hAnsi="Times New Roman" w:cs="Times New Roman"/>
          <w:color w:val="000000"/>
          <w:sz w:val="24"/>
          <w:szCs w:val="24"/>
        </w:rPr>
      </w:pPr>
      <w:r w:rsidRPr="00165359">
        <w:rPr>
          <w:rFonts w:ascii="Times New Roman" w:eastAsia="Calibri" w:hAnsi="Times New Roman" w:cs="Times New Roman"/>
          <w:color w:val="000000"/>
          <w:sz w:val="24"/>
          <w:szCs w:val="24"/>
        </w:rPr>
        <w:t>To study about the Capital Market Instruments.</w:t>
      </w:r>
    </w:p>
    <w:p w14:paraId="4004BA8B" w14:textId="77777777" w:rsidR="00EB3F6B" w:rsidRPr="00165359" w:rsidRDefault="00EB3F6B" w:rsidP="00EB3F6B">
      <w:pPr>
        <w:numPr>
          <w:ilvl w:val="0"/>
          <w:numId w:val="11"/>
        </w:numPr>
        <w:spacing w:after="0" w:line="360" w:lineRule="auto"/>
        <w:ind w:left="360" w:firstLine="0"/>
        <w:jc w:val="both"/>
        <w:rPr>
          <w:rFonts w:ascii="Times New Roman" w:eastAsia="Calibri" w:hAnsi="Times New Roman" w:cs="Times New Roman"/>
          <w:color w:val="000000"/>
          <w:sz w:val="24"/>
          <w:szCs w:val="24"/>
        </w:rPr>
      </w:pPr>
      <w:r w:rsidRPr="00165359">
        <w:rPr>
          <w:rFonts w:ascii="Times New Roman" w:eastAsia="Calibri" w:hAnsi="Times New Roman" w:cs="Times New Roman"/>
          <w:color w:val="000000"/>
          <w:sz w:val="24"/>
          <w:szCs w:val="24"/>
        </w:rPr>
        <w:t>To study about Dematerialization or Demit in the stock exchange</w:t>
      </w:r>
      <w:r w:rsidRPr="00165359">
        <w:rPr>
          <w:rFonts w:ascii="Times New Roman" w:eastAsia="Calibri" w:hAnsi="Times New Roman" w:cs="Times New Roman"/>
          <w:color w:val="000000"/>
          <w:sz w:val="24"/>
          <w:szCs w:val="24"/>
        </w:rPr>
        <w:br/>
        <w:t xml:space="preserve">       for easy transfer and error prone system.</w:t>
      </w:r>
    </w:p>
    <w:p w14:paraId="1075400A" w14:textId="77777777" w:rsidR="00EB3F6B" w:rsidRPr="00165359" w:rsidRDefault="00EB3F6B" w:rsidP="00EB3F6B">
      <w:pPr>
        <w:numPr>
          <w:ilvl w:val="0"/>
          <w:numId w:val="11"/>
        </w:numPr>
        <w:spacing w:after="0" w:line="360" w:lineRule="auto"/>
        <w:ind w:left="360" w:firstLine="0"/>
        <w:jc w:val="both"/>
        <w:rPr>
          <w:rFonts w:ascii="Times New Roman" w:eastAsia="Calibri" w:hAnsi="Times New Roman" w:cs="Times New Roman"/>
          <w:color w:val="000000"/>
          <w:sz w:val="24"/>
          <w:szCs w:val="24"/>
        </w:rPr>
      </w:pPr>
      <w:r w:rsidRPr="00165359">
        <w:rPr>
          <w:rFonts w:ascii="Times New Roman" w:eastAsia="Calibri" w:hAnsi="Times New Roman" w:cs="Times New Roman"/>
          <w:color w:val="000000"/>
          <w:sz w:val="24"/>
          <w:szCs w:val="24"/>
        </w:rPr>
        <w:t>To study about the latest and future developments is the stock exchange system.</w:t>
      </w:r>
    </w:p>
    <w:p w14:paraId="7D26756E" w14:textId="77777777" w:rsidR="00EB3F6B" w:rsidRPr="00165359" w:rsidRDefault="00EB3F6B" w:rsidP="00EB3F6B">
      <w:pPr>
        <w:numPr>
          <w:ilvl w:val="0"/>
          <w:numId w:val="11"/>
        </w:numPr>
        <w:spacing w:after="0" w:line="360" w:lineRule="auto"/>
        <w:ind w:left="360" w:firstLine="0"/>
        <w:jc w:val="both"/>
        <w:rPr>
          <w:rFonts w:ascii="Times New Roman" w:eastAsia="Calibri" w:hAnsi="Times New Roman" w:cs="Times New Roman"/>
          <w:color w:val="000000"/>
          <w:sz w:val="24"/>
          <w:szCs w:val="24"/>
        </w:rPr>
      </w:pPr>
      <w:r w:rsidRPr="00165359">
        <w:rPr>
          <w:rFonts w:ascii="Times New Roman" w:eastAsia="Calibri" w:hAnsi="Times New Roman" w:cs="Times New Roman"/>
          <w:color w:val="000000"/>
          <w:sz w:val="24"/>
          <w:szCs w:val="24"/>
        </w:rPr>
        <w:t>To study about recent development in derivatives market.</w:t>
      </w:r>
    </w:p>
    <w:p w14:paraId="4773E6D6" w14:textId="77777777" w:rsidR="00EB3F6B" w:rsidRPr="00165359" w:rsidRDefault="00EB3F6B" w:rsidP="00EB3F6B">
      <w:pPr>
        <w:numPr>
          <w:ilvl w:val="0"/>
          <w:numId w:val="11"/>
        </w:numPr>
        <w:spacing w:after="0" w:line="360" w:lineRule="auto"/>
        <w:ind w:left="360" w:firstLine="0"/>
        <w:jc w:val="both"/>
        <w:rPr>
          <w:rFonts w:ascii="Times New Roman" w:eastAsia="Calibri" w:hAnsi="Times New Roman" w:cs="Times New Roman"/>
          <w:color w:val="000000"/>
          <w:sz w:val="24"/>
          <w:szCs w:val="24"/>
        </w:rPr>
      </w:pPr>
      <w:r w:rsidRPr="00165359">
        <w:rPr>
          <w:rFonts w:ascii="Times New Roman" w:eastAsia="Calibri" w:hAnsi="Times New Roman" w:cs="Times New Roman"/>
          <w:sz w:val="24"/>
          <w:szCs w:val="24"/>
        </w:rPr>
        <w:t xml:space="preserve">To know why the companies, go to new issue market. </w:t>
      </w:r>
    </w:p>
    <w:p w14:paraId="446B6C8B" w14:textId="77777777" w:rsidR="00596666" w:rsidRPr="00165359" w:rsidRDefault="00596666" w:rsidP="00596666">
      <w:pPr>
        <w:spacing w:after="0" w:line="360" w:lineRule="auto"/>
        <w:jc w:val="both"/>
        <w:rPr>
          <w:rFonts w:ascii="Times New Roman" w:hAnsi="Times New Roman" w:cs="Times New Roman"/>
          <w:b/>
          <w:sz w:val="2"/>
          <w:szCs w:val="2"/>
          <w:u w:val="single"/>
        </w:rPr>
      </w:pPr>
    </w:p>
    <w:p w14:paraId="682FF14D" w14:textId="77777777" w:rsidR="00596666" w:rsidRPr="00165359" w:rsidRDefault="00596666" w:rsidP="00596666">
      <w:pPr>
        <w:spacing w:after="0" w:line="360" w:lineRule="auto"/>
        <w:jc w:val="both"/>
        <w:rPr>
          <w:rFonts w:ascii="Times New Roman" w:hAnsi="Times New Roman" w:cs="Times New Roman"/>
          <w:b/>
          <w:sz w:val="2"/>
          <w:szCs w:val="2"/>
          <w:u w:val="single"/>
        </w:rPr>
      </w:pPr>
    </w:p>
    <w:p w14:paraId="12490AE4" w14:textId="77777777" w:rsidR="00596666" w:rsidRPr="00165359" w:rsidRDefault="00596666" w:rsidP="00596666">
      <w:pPr>
        <w:spacing w:after="0" w:line="360" w:lineRule="auto"/>
        <w:jc w:val="both"/>
        <w:rPr>
          <w:rFonts w:ascii="Times New Roman" w:hAnsi="Times New Roman" w:cs="Times New Roman"/>
          <w:b/>
          <w:sz w:val="2"/>
          <w:szCs w:val="2"/>
          <w:u w:val="single"/>
        </w:rPr>
      </w:pPr>
    </w:p>
    <w:p w14:paraId="1733803B" w14:textId="77777777" w:rsidR="00596666" w:rsidRPr="00165359" w:rsidRDefault="00596666" w:rsidP="00596666">
      <w:pPr>
        <w:spacing w:after="0" w:line="360" w:lineRule="auto"/>
        <w:jc w:val="both"/>
        <w:rPr>
          <w:rFonts w:ascii="Times New Roman" w:hAnsi="Times New Roman" w:cs="Times New Roman"/>
          <w:b/>
          <w:sz w:val="2"/>
          <w:szCs w:val="2"/>
          <w:u w:val="single"/>
        </w:rPr>
      </w:pPr>
    </w:p>
    <w:p w14:paraId="2DCB2223" w14:textId="77777777" w:rsidR="00EC0954" w:rsidRPr="00165359" w:rsidRDefault="00DB5FA1" w:rsidP="001F6F4B">
      <w:pPr>
        <w:spacing w:after="0" w:line="360" w:lineRule="auto"/>
        <w:jc w:val="both"/>
        <w:rPr>
          <w:rFonts w:ascii="Times New Roman" w:hAnsi="Times New Roman" w:cs="Times New Roman"/>
          <w:b/>
          <w:sz w:val="24"/>
          <w:szCs w:val="24"/>
          <w:u w:val="single"/>
        </w:rPr>
      </w:pPr>
      <w:r w:rsidRPr="00165359">
        <w:rPr>
          <w:rFonts w:ascii="Times New Roman" w:hAnsi="Times New Roman" w:cs="Times New Roman"/>
          <w:b/>
          <w:sz w:val="24"/>
          <w:szCs w:val="24"/>
          <w:u w:val="single"/>
        </w:rPr>
        <w:t>RESEARCH METHODOLOGY</w:t>
      </w:r>
      <w:r w:rsidR="00EC0954" w:rsidRPr="00165359">
        <w:rPr>
          <w:rFonts w:ascii="Times New Roman" w:hAnsi="Times New Roman" w:cs="Times New Roman"/>
          <w:b/>
          <w:sz w:val="24"/>
          <w:szCs w:val="24"/>
          <w:u w:val="single"/>
        </w:rPr>
        <w:t>:</w:t>
      </w:r>
    </w:p>
    <w:p w14:paraId="64E97639" w14:textId="77777777" w:rsidR="0070213D" w:rsidRPr="00165359" w:rsidRDefault="0070213D" w:rsidP="0070213D">
      <w:pPr>
        <w:spacing w:after="0" w:line="360" w:lineRule="auto"/>
        <w:jc w:val="both"/>
        <w:rPr>
          <w:rFonts w:ascii="Times New Roman" w:hAnsi="Times New Roman" w:cs="Times New Roman"/>
          <w:b/>
          <w:sz w:val="24"/>
          <w:szCs w:val="24"/>
          <w:u w:val="single"/>
        </w:rPr>
      </w:pPr>
      <w:r w:rsidRPr="00165359">
        <w:rPr>
          <w:rFonts w:ascii="Times New Roman" w:hAnsi="Times New Roman" w:cs="Times New Roman"/>
          <w:b/>
          <w:sz w:val="24"/>
          <w:szCs w:val="24"/>
          <w:u w:val="single"/>
        </w:rPr>
        <w:t>Need For The Study</w:t>
      </w:r>
    </w:p>
    <w:p w14:paraId="6B695CEB" w14:textId="77777777" w:rsidR="00EB3F6B" w:rsidRPr="00165359" w:rsidRDefault="00EB3F6B" w:rsidP="00EB3F6B">
      <w:pPr>
        <w:spacing w:line="360" w:lineRule="auto"/>
        <w:jc w:val="both"/>
        <w:rPr>
          <w:rFonts w:ascii="Times New Roman" w:eastAsia="Calibri" w:hAnsi="Times New Roman" w:cs="Times New Roman"/>
          <w:color w:val="000000"/>
          <w:sz w:val="24"/>
          <w:szCs w:val="24"/>
        </w:rPr>
      </w:pPr>
      <w:r w:rsidRPr="00165359">
        <w:rPr>
          <w:rFonts w:ascii="Times New Roman" w:eastAsia="Calibri" w:hAnsi="Times New Roman" w:cs="Times New Roman"/>
          <w:color w:val="000000"/>
          <w:sz w:val="24"/>
          <w:szCs w:val="24"/>
        </w:rPr>
        <w:t>Capital market deals with long term funds. These funds are subject to uncertainty and risk. It supplies long term funds and medium-term funds to the corporate sector. It provides the mechanism for facilitating capital fund transactions. It deals with ordinary shares, debentures and stocks and securities of the governments. In this market the funds flow will come from savers. It converts financial assets in to productive physical assets. It provides incentives to savers in the form of interest or dividend to the investors.</w:t>
      </w:r>
    </w:p>
    <w:p w14:paraId="441E9902" w14:textId="77777777" w:rsidR="00C93D79" w:rsidRPr="00165359" w:rsidRDefault="001D12F9" w:rsidP="008C5988">
      <w:pPr>
        <w:spacing w:after="0" w:line="360" w:lineRule="auto"/>
        <w:jc w:val="both"/>
        <w:rPr>
          <w:rFonts w:ascii="Times New Roman" w:hAnsi="Times New Roman" w:cs="Times New Roman"/>
          <w:b/>
          <w:color w:val="000000" w:themeColor="text1"/>
          <w:sz w:val="24"/>
          <w:szCs w:val="24"/>
          <w:u w:val="single"/>
        </w:rPr>
      </w:pPr>
      <w:r w:rsidRPr="00165359">
        <w:rPr>
          <w:rFonts w:ascii="Times New Roman" w:hAnsi="Times New Roman" w:cs="Times New Roman"/>
          <w:b/>
          <w:color w:val="000000" w:themeColor="text1"/>
          <w:sz w:val="24"/>
          <w:szCs w:val="24"/>
          <w:u w:val="single"/>
        </w:rPr>
        <w:t>Scope Of The Study</w:t>
      </w:r>
      <w:r w:rsidR="00FF10B6" w:rsidRPr="00165359">
        <w:rPr>
          <w:rFonts w:ascii="Times New Roman" w:hAnsi="Times New Roman" w:cs="Times New Roman"/>
          <w:b/>
          <w:color w:val="000000" w:themeColor="text1"/>
          <w:sz w:val="24"/>
          <w:szCs w:val="24"/>
          <w:u w:val="single"/>
        </w:rPr>
        <w:t>:</w:t>
      </w:r>
    </w:p>
    <w:p w14:paraId="64E0C275" w14:textId="77777777" w:rsidR="00EB3F6B" w:rsidRPr="00165359" w:rsidRDefault="00EB3F6B" w:rsidP="00EB3F6B">
      <w:pPr>
        <w:pStyle w:val="ListParagraph"/>
        <w:spacing w:line="360" w:lineRule="auto"/>
        <w:ind w:left="0"/>
        <w:jc w:val="both"/>
        <w:rPr>
          <w:rFonts w:ascii="Times New Roman" w:eastAsia="Calibri" w:hAnsi="Times New Roman" w:cs="Times New Roman"/>
          <w:sz w:val="24"/>
          <w:szCs w:val="24"/>
        </w:rPr>
      </w:pPr>
      <w:r w:rsidRPr="00165359">
        <w:rPr>
          <w:rFonts w:ascii="Times New Roman" w:eastAsia="Calibri" w:hAnsi="Times New Roman" w:cs="Times New Roman"/>
          <w:color w:val="000000"/>
          <w:sz w:val="24"/>
          <w:szCs w:val="24"/>
        </w:rPr>
        <w:t xml:space="preserve">The current study involves a variety of work in economics, accounting and finance </w:t>
      </w:r>
      <w:r w:rsidRPr="00165359">
        <w:rPr>
          <w:rFonts w:ascii="Times New Roman" w:eastAsia="Calibri" w:hAnsi="Times New Roman" w:cs="Times New Roman"/>
          <w:sz w:val="24"/>
          <w:szCs w:val="24"/>
        </w:rPr>
        <w:t>would have some linkages with capital markets.Works in corporate finance have strong linkages with security markets.</w:t>
      </w:r>
    </w:p>
    <w:p w14:paraId="1D90EF74" w14:textId="77777777" w:rsidR="00EB3F6B" w:rsidRPr="00165359" w:rsidRDefault="00EB3F6B" w:rsidP="00EB3F6B">
      <w:pPr>
        <w:pStyle w:val="ListParagraph"/>
        <w:spacing w:line="360" w:lineRule="auto"/>
        <w:ind w:left="0"/>
        <w:jc w:val="both"/>
        <w:rPr>
          <w:rFonts w:ascii="Times New Roman" w:eastAsia="Calibri" w:hAnsi="Times New Roman" w:cs="Times New Roman"/>
          <w:color w:val="000000"/>
          <w:sz w:val="24"/>
          <w:szCs w:val="24"/>
        </w:rPr>
      </w:pPr>
      <w:r w:rsidRPr="00165359">
        <w:rPr>
          <w:rFonts w:ascii="Times New Roman" w:eastAsia="Calibri" w:hAnsi="Times New Roman" w:cs="Times New Roman"/>
          <w:sz w:val="24"/>
          <w:szCs w:val="24"/>
        </w:rPr>
        <w:t xml:space="preserve"> For our purpose therefore, we considered works falling into any of the following categories as those belonging to the field of capital markets: </w:t>
      </w:r>
      <w:r w:rsidRPr="00165359">
        <w:rPr>
          <w:rFonts w:ascii="Times New Roman" w:eastAsia="Calibri" w:hAnsi="Times New Roman" w:cs="Times New Roman"/>
          <w:color w:val="000000"/>
          <w:sz w:val="24"/>
          <w:szCs w:val="24"/>
        </w:rPr>
        <w:t xml:space="preserve">Valuation of stocks and functions of the stock markets, valuation of bonds convertible debentures and market for debt, new issue market and merchant banking, market efficiency, dividends, bonus and right issues and rates of return and performance regulations of mutual funds. </w:t>
      </w:r>
    </w:p>
    <w:p w14:paraId="5C3EECA9" w14:textId="77777777" w:rsidR="00EB3F6B" w:rsidRPr="00165359" w:rsidRDefault="00EB3F6B" w:rsidP="008C5988">
      <w:pPr>
        <w:pStyle w:val="BodyText"/>
        <w:spacing w:after="0" w:line="360" w:lineRule="auto"/>
        <w:jc w:val="both"/>
        <w:rPr>
          <w:rFonts w:ascii="Times New Roman" w:hAnsi="Times New Roman" w:cs="Times New Roman"/>
          <w:b/>
          <w:bCs/>
          <w:color w:val="000000" w:themeColor="text1"/>
          <w:sz w:val="24"/>
          <w:szCs w:val="24"/>
          <w:u w:val="single"/>
        </w:rPr>
      </w:pPr>
    </w:p>
    <w:p w14:paraId="750A0015" w14:textId="77777777" w:rsidR="00FC3439" w:rsidRPr="0016535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165359">
        <w:rPr>
          <w:rFonts w:ascii="Times New Roman" w:hAnsi="Times New Roman" w:cs="Times New Roman"/>
          <w:b/>
          <w:bCs/>
          <w:color w:val="000000" w:themeColor="text1"/>
          <w:sz w:val="24"/>
          <w:szCs w:val="24"/>
          <w:u w:val="single"/>
        </w:rPr>
        <w:lastRenderedPageBreak/>
        <w:t>Methodology</w:t>
      </w:r>
    </w:p>
    <w:p w14:paraId="1BB22D07" w14:textId="77777777" w:rsidR="00EB3F6B" w:rsidRPr="00165359" w:rsidRDefault="00EB3F6B" w:rsidP="00EB3F6B">
      <w:pPr>
        <w:spacing w:after="200" w:line="276" w:lineRule="auto"/>
        <w:rPr>
          <w:rFonts w:ascii="Times New Roman" w:eastAsia="Calibri" w:hAnsi="Times New Roman" w:cs="Times New Roman"/>
          <w:color w:val="000000"/>
        </w:rPr>
      </w:pPr>
      <w:r w:rsidRPr="00165359">
        <w:rPr>
          <w:rFonts w:ascii="Times New Roman" w:eastAsia="Calibri" w:hAnsi="Times New Roman" w:cs="Times New Roman"/>
          <w:color w:val="000000"/>
        </w:rPr>
        <w:t xml:space="preserve">The data collection methods include both the Primary and Secondary Collection methods.  </w:t>
      </w:r>
    </w:p>
    <w:p w14:paraId="1D7621B6" w14:textId="77777777" w:rsidR="00EB3F6B" w:rsidRPr="00165359" w:rsidRDefault="00EB3F6B" w:rsidP="00EB3F6B">
      <w:pPr>
        <w:spacing w:line="360" w:lineRule="auto"/>
        <w:jc w:val="both"/>
        <w:rPr>
          <w:rFonts w:ascii="Times New Roman" w:eastAsia="Calibri" w:hAnsi="Times New Roman" w:cs="Times New Roman"/>
          <w:color w:val="000000"/>
          <w:sz w:val="28"/>
          <w:szCs w:val="28"/>
        </w:rPr>
      </w:pPr>
      <w:r w:rsidRPr="00165359">
        <w:rPr>
          <w:rFonts w:ascii="Times New Roman" w:eastAsia="Calibri" w:hAnsi="Times New Roman" w:cs="Times New Roman"/>
          <w:b/>
          <w:color w:val="000000"/>
          <w:sz w:val="28"/>
          <w:szCs w:val="28"/>
        </w:rPr>
        <w:t>Primary Collection Methods</w:t>
      </w:r>
      <w:r w:rsidRPr="00165359">
        <w:rPr>
          <w:rFonts w:ascii="Times New Roman" w:eastAsia="Calibri" w:hAnsi="Times New Roman" w:cs="Times New Roman"/>
          <w:color w:val="000000"/>
          <w:sz w:val="28"/>
          <w:szCs w:val="28"/>
        </w:rPr>
        <w:t>:</w:t>
      </w:r>
    </w:p>
    <w:p w14:paraId="57F8177C" w14:textId="77777777" w:rsidR="00EB3F6B" w:rsidRPr="00165359" w:rsidRDefault="00EB3F6B" w:rsidP="00EB3F6B">
      <w:pPr>
        <w:spacing w:line="360" w:lineRule="auto"/>
        <w:jc w:val="both"/>
        <w:rPr>
          <w:rFonts w:ascii="Times New Roman" w:eastAsia="Calibri" w:hAnsi="Times New Roman" w:cs="Times New Roman"/>
          <w:color w:val="000000"/>
        </w:rPr>
      </w:pPr>
      <w:r w:rsidRPr="00165359">
        <w:rPr>
          <w:rFonts w:ascii="Times New Roman" w:eastAsia="Calibri" w:hAnsi="Times New Roman" w:cs="Times New Roman"/>
          <w:color w:val="000000"/>
        </w:rPr>
        <w:t xml:space="preserve"> This method includes the data collected from the personal discussions with the authorized clerks and members of the Exchange.</w:t>
      </w:r>
    </w:p>
    <w:p w14:paraId="63A9DE1D" w14:textId="77777777" w:rsidR="00EB3F6B" w:rsidRPr="00165359" w:rsidRDefault="00EB3F6B" w:rsidP="00EB3F6B">
      <w:pPr>
        <w:tabs>
          <w:tab w:val="left" w:pos="3780"/>
        </w:tabs>
        <w:spacing w:line="360" w:lineRule="auto"/>
        <w:jc w:val="both"/>
        <w:rPr>
          <w:rFonts w:ascii="Times New Roman" w:eastAsia="Calibri" w:hAnsi="Times New Roman" w:cs="Times New Roman"/>
          <w:b/>
          <w:bCs/>
          <w:sz w:val="28"/>
          <w:szCs w:val="28"/>
        </w:rPr>
      </w:pPr>
      <w:r w:rsidRPr="00165359">
        <w:rPr>
          <w:rFonts w:ascii="Times New Roman" w:eastAsia="Calibri" w:hAnsi="Times New Roman" w:cs="Times New Roman"/>
          <w:b/>
          <w:bCs/>
          <w:sz w:val="28"/>
          <w:szCs w:val="28"/>
          <w:u w:color="000000"/>
        </w:rPr>
        <w:t>Secondary method</w:t>
      </w:r>
      <w:r w:rsidRPr="00165359">
        <w:rPr>
          <w:rFonts w:ascii="Times New Roman" w:eastAsia="Calibri" w:hAnsi="Times New Roman" w:cs="Times New Roman"/>
          <w:b/>
          <w:bCs/>
          <w:sz w:val="28"/>
          <w:szCs w:val="28"/>
        </w:rPr>
        <w:t xml:space="preserve">: </w:t>
      </w:r>
    </w:p>
    <w:p w14:paraId="06BAF839" w14:textId="77777777" w:rsidR="00EB3F6B" w:rsidRPr="00165359" w:rsidRDefault="00EB3F6B" w:rsidP="00EB3F6B">
      <w:pPr>
        <w:tabs>
          <w:tab w:val="left" w:pos="3780"/>
        </w:tabs>
        <w:spacing w:line="360" w:lineRule="auto"/>
        <w:jc w:val="both"/>
        <w:rPr>
          <w:rFonts w:ascii="Times New Roman" w:eastAsia="Calibri" w:hAnsi="Times New Roman" w:cs="Times New Roman"/>
        </w:rPr>
      </w:pPr>
      <w:r w:rsidRPr="00165359">
        <w:rPr>
          <w:rFonts w:ascii="Times New Roman" w:eastAsia="Calibri" w:hAnsi="Times New Roman" w:cs="Times New Roman"/>
        </w:rPr>
        <w:t>The secondary data collection method includes:</w:t>
      </w:r>
    </w:p>
    <w:p w14:paraId="4DD15595" w14:textId="77777777" w:rsidR="00EB3F6B" w:rsidRPr="00165359" w:rsidRDefault="00EB3F6B" w:rsidP="00EB3F6B">
      <w:pPr>
        <w:pStyle w:val="ListParagraph"/>
        <w:numPr>
          <w:ilvl w:val="0"/>
          <w:numId w:val="12"/>
        </w:numPr>
        <w:spacing w:after="0" w:line="360" w:lineRule="auto"/>
        <w:jc w:val="both"/>
        <w:rPr>
          <w:rFonts w:ascii="Times New Roman" w:eastAsia="Arial Unicode MS" w:hAnsi="Times New Roman" w:cs="Times New Roman"/>
          <w:b/>
        </w:rPr>
      </w:pPr>
      <w:r w:rsidRPr="00165359">
        <w:rPr>
          <w:rFonts w:ascii="Times New Roman" w:eastAsia="Arial Unicode MS" w:hAnsi="Times New Roman" w:cs="Times New Roman"/>
          <w:b/>
        </w:rPr>
        <w:t>Websites</w:t>
      </w:r>
    </w:p>
    <w:p w14:paraId="72CD1BC7" w14:textId="77777777" w:rsidR="00EB3F6B" w:rsidRPr="00165359" w:rsidRDefault="00EB3F6B" w:rsidP="00EB3F6B">
      <w:pPr>
        <w:pStyle w:val="ListParagraph"/>
        <w:numPr>
          <w:ilvl w:val="0"/>
          <w:numId w:val="12"/>
        </w:numPr>
        <w:spacing w:after="0" w:line="360" w:lineRule="auto"/>
        <w:jc w:val="both"/>
        <w:rPr>
          <w:rFonts w:ascii="Times New Roman" w:eastAsia="Arial Unicode MS" w:hAnsi="Times New Roman" w:cs="Times New Roman"/>
        </w:rPr>
      </w:pPr>
      <w:r w:rsidRPr="00165359">
        <w:rPr>
          <w:rFonts w:ascii="Times New Roman" w:eastAsia="Arial Unicode MS" w:hAnsi="Times New Roman" w:cs="Times New Roman"/>
          <w:b/>
        </w:rPr>
        <w:t>Journals</w:t>
      </w:r>
    </w:p>
    <w:p w14:paraId="41AF9BA7" w14:textId="77777777" w:rsidR="00EB3F6B" w:rsidRPr="00165359" w:rsidRDefault="00EB3F6B" w:rsidP="00EB3F6B">
      <w:pPr>
        <w:pStyle w:val="ListParagraph"/>
        <w:numPr>
          <w:ilvl w:val="0"/>
          <w:numId w:val="12"/>
        </w:numPr>
        <w:spacing w:after="0" w:line="360" w:lineRule="auto"/>
        <w:jc w:val="both"/>
        <w:rPr>
          <w:rFonts w:ascii="Times New Roman" w:eastAsia="Arial Unicode MS" w:hAnsi="Times New Roman" w:cs="Times New Roman"/>
        </w:rPr>
      </w:pPr>
      <w:r w:rsidRPr="00165359">
        <w:rPr>
          <w:rFonts w:ascii="Times New Roman" w:eastAsia="Arial Unicode MS" w:hAnsi="Times New Roman" w:cs="Times New Roman"/>
          <w:b/>
        </w:rPr>
        <w:t>Text books</w:t>
      </w:r>
    </w:p>
    <w:p w14:paraId="08F320F9" w14:textId="77777777" w:rsidR="00EB3F6B" w:rsidRPr="00165359" w:rsidRDefault="00EB3F6B" w:rsidP="00EB3F6B">
      <w:pPr>
        <w:spacing w:line="360" w:lineRule="auto"/>
        <w:ind w:left="360"/>
        <w:rPr>
          <w:rFonts w:ascii="Times New Roman" w:eastAsia="Calibri" w:hAnsi="Times New Roman" w:cs="Times New Roman"/>
          <w:color w:val="000000"/>
        </w:rPr>
      </w:pPr>
      <w:r w:rsidRPr="00165359">
        <w:rPr>
          <w:rFonts w:ascii="Times New Roman" w:eastAsia="Calibri" w:hAnsi="Times New Roman" w:cs="Times New Roman"/>
          <w:color w:val="000000"/>
        </w:rPr>
        <w:t>The data also collected from the News, Magazines of the NSE, HSE and different books issues of this study.</w:t>
      </w:r>
    </w:p>
    <w:p w14:paraId="7244B8FC" w14:textId="77777777" w:rsidR="00EB3F6B" w:rsidRPr="00165359" w:rsidRDefault="00EB3F6B" w:rsidP="00EB3F6B">
      <w:pPr>
        <w:spacing w:line="360" w:lineRule="auto"/>
        <w:jc w:val="both"/>
        <w:rPr>
          <w:rFonts w:ascii="Times New Roman" w:eastAsia="Arial Unicode MS" w:hAnsi="Times New Roman" w:cs="Times New Roman"/>
          <w:b/>
          <w:sz w:val="28"/>
          <w:szCs w:val="28"/>
        </w:rPr>
      </w:pPr>
      <w:r w:rsidRPr="00165359">
        <w:rPr>
          <w:rFonts w:ascii="Times New Roman" w:eastAsia="Arial Unicode MS" w:hAnsi="Times New Roman" w:cs="Times New Roman"/>
          <w:b/>
          <w:sz w:val="28"/>
          <w:szCs w:val="28"/>
        </w:rPr>
        <w:t>Method Used For Analysis of Study</w:t>
      </w:r>
    </w:p>
    <w:p w14:paraId="51799528" w14:textId="77777777" w:rsidR="00EB3F6B" w:rsidRPr="00165359" w:rsidRDefault="00EB3F6B" w:rsidP="00EB3F6B">
      <w:pPr>
        <w:spacing w:line="360" w:lineRule="auto"/>
        <w:jc w:val="both"/>
        <w:rPr>
          <w:rFonts w:ascii="Times New Roman" w:eastAsia="Arial Unicode MS" w:hAnsi="Times New Roman" w:cs="Times New Roman"/>
        </w:rPr>
      </w:pPr>
      <w:r w:rsidRPr="00165359">
        <w:rPr>
          <w:rFonts w:ascii="Times New Roman" w:eastAsia="Arial Unicode MS" w:hAnsi="Times New Roman" w:cs="Times New Roman"/>
        </w:rPr>
        <w:t xml:space="preserve"> The methodology used for this purpose is Survey and Questionnaire Method. It is a time consuming and expensive method and requires more administrative planning and supervision. It is also subjective to interviewer bias or distortion.</w:t>
      </w:r>
    </w:p>
    <w:p w14:paraId="405BF1E1" w14:textId="77777777" w:rsidR="00EB3F6B" w:rsidRPr="00165359" w:rsidRDefault="00EB3F6B" w:rsidP="00EB3F6B">
      <w:pPr>
        <w:pStyle w:val="NoSpacing"/>
        <w:spacing w:line="360" w:lineRule="auto"/>
        <w:jc w:val="both"/>
        <w:rPr>
          <w:rFonts w:ascii="Times New Roman" w:eastAsia="Calibri" w:hAnsi="Times New Roman" w:cs="Times New Roman"/>
        </w:rPr>
      </w:pPr>
      <w:r w:rsidRPr="00165359">
        <w:rPr>
          <w:rFonts w:ascii="Times New Roman" w:eastAsia="Calibri" w:hAnsi="Times New Roman" w:cs="Times New Roman"/>
          <w:b/>
          <w:sz w:val="28"/>
          <w:szCs w:val="28"/>
        </w:rPr>
        <w:t>Sample Size:</w:t>
      </w:r>
      <w:r w:rsidRPr="00165359">
        <w:rPr>
          <w:rFonts w:ascii="Times New Roman" w:eastAsia="Calibri" w:hAnsi="Times New Roman" w:cs="Times New Roman"/>
        </w:rPr>
        <w:t>100 respondents</w:t>
      </w:r>
    </w:p>
    <w:p w14:paraId="225B101E" w14:textId="77777777" w:rsidR="00EB3F6B" w:rsidRPr="00165359" w:rsidRDefault="00EB3F6B" w:rsidP="00EB3F6B">
      <w:pPr>
        <w:spacing w:line="360" w:lineRule="auto"/>
        <w:jc w:val="both"/>
        <w:rPr>
          <w:rFonts w:ascii="Times New Roman" w:eastAsia="Arial Unicode MS" w:hAnsi="Times New Roman" w:cs="Times New Roman"/>
          <w:b/>
        </w:rPr>
      </w:pPr>
      <w:r w:rsidRPr="00165359">
        <w:rPr>
          <w:rFonts w:ascii="Times New Roman" w:eastAsia="Calibri" w:hAnsi="Times New Roman" w:cs="Times New Roman"/>
        </w:rPr>
        <w:t>Sampling Unit: Businessmen, Government Servant, Retired Individuals</w:t>
      </w:r>
    </w:p>
    <w:p w14:paraId="1A861E66" w14:textId="77777777" w:rsidR="00EB3F6B" w:rsidRPr="00165359" w:rsidRDefault="00EB3F6B" w:rsidP="00EB3F6B">
      <w:pPr>
        <w:spacing w:line="360" w:lineRule="auto"/>
        <w:jc w:val="both"/>
        <w:rPr>
          <w:rFonts w:ascii="Times New Roman" w:eastAsia="Arial Unicode MS" w:hAnsi="Times New Roman" w:cs="Times New Roman"/>
          <w:b/>
          <w:sz w:val="28"/>
          <w:szCs w:val="28"/>
        </w:rPr>
      </w:pPr>
      <w:r w:rsidRPr="00165359">
        <w:rPr>
          <w:rFonts w:ascii="Times New Roman" w:eastAsia="Arial Unicode MS" w:hAnsi="Times New Roman" w:cs="Times New Roman"/>
          <w:b/>
          <w:sz w:val="28"/>
          <w:szCs w:val="28"/>
        </w:rPr>
        <w:t xml:space="preserve">Tools and techniques: </w:t>
      </w:r>
    </w:p>
    <w:p w14:paraId="2648FE2E" w14:textId="77777777" w:rsidR="00EB3F6B" w:rsidRPr="00165359" w:rsidRDefault="00EB3F6B" w:rsidP="00EB3F6B">
      <w:pPr>
        <w:pStyle w:val="pb12-p"/>
        <w:shd w:val="clear" w:color="auto" w:fill="FFFFFF"/>
        <w:spacing w:before="0" w:beforeAutospacing="0" w:after="0" w:afterAutospacing="0" w:line="360" w:lineRule="auto"/>
        <w:jc w:val="both"/>
        <w:rPr>
          <w:color w:val="000000"/>
          <w:sz w:val="20"/>
          <w:szCs w:val="20"/>
        </w:rPr>
      </w:pPr>
      <w:r w:rsidRPr="00165359">
        <w:rPr>
          <w:rStyle w:val="pb12-h"/>
          <w:color w:val="000000"/>
        </w:rPr>
        <w:t>The SPV (Special Purpose Vehicle) also known as a SPC (Special Purpose Corporation) or a SPE(Special Purpose Entity), is not owned by the issuing insurance company; it is an off-balance sheet entity specifically created to act as a no admitted reinsurer providing reinsurance to the issuer. All SPVs are located offshore for this reason. However, a number of onshore captive domiciles have legislation permitting the establishment of what are called Special Purpose Financial Captives (SPFC). A SPFC can fulfill the role of the offshore SPV. Vermont and South Carolina allow SPFCs.</w:t>
      </w:r>
    </w:p>
    <w:p w14:paraId="594BFD5B" w14:textId="77777777" w:rsidR="00B316B6" w:rsidRPr="00165359" w:rsidRDefault="00B316B6" w:rsidP="00A36CCA">
      <w:pPr>
        <w:pStyle w:val="BodyText"/>
        <w:spacing w:after="0" w:line="360" w:lineRule="auto"/>
        <w:rPr>
          <w:rFonts w:ascii="Times New Roman" w:eastAsia="Calibri" w:hAnsi="Times New Roman" w:cs="Times New Roman"/>
          <w:spacing w:val="-2"/>
          <w:sz w:val="24"/>
          <w:szCs w:val="24"/>
          <w:lang w:val="en-US"/>
        </w:rPr>
      </w:pPr>
    </w:p>
    <w:p w14:paraId="5343734F" w14:textId="77777777" w:rsidR="00EB3F6B" w:rsidRPr="00165359" w:rsidRDefault="00EB3F6B" w:rsidP="00A36CCA">
      <w:pPr>
        <w:pStyle w:val="BodyText"/>
        <w:spacing w:after="0" w:line="360" w:lineRule="auto"/>
        <w:rPr>
          <w:rFonts w:ascii="Times New Roman" w:eastAsia="Calibri" w:hAnsi="Times New Roman" w:cs="Times New Roman"/>
          <w:spacing w:val="-2"/>
          <w:sz w:val="24"/>
          <w:szCs w:val="24"/>
          <w:lang w:val="en-US"/>
        </w:rPr>
      </w:pPr>
    </w:p>
    <w:p w14:paraId="5DAB8313" w14:textId="77777777" w:rsidR="00EB3F6B" w:rsidRPr="00165359" w:rsidRDefault="00EB3F6B" w:rsidP="00A36CCA">
      <w:pPr>
        <w:pStyle w:val="BodyText"/>
        <w:spacing w:after="0" w:line="360" w:lineRule="auto"/>
        <w:rPr>
          <w:rFonts w:ascii="Times New Roman" w:eastAsia="Calibri" w:hAnsi="Times New Roman" w:cs="Times New Roman"/>
          <w:spacing w:val="-2"/>
          <w:sz w:val="24"/>
          <w:szCs w:val="24"/>
          <w:lang w:val="en-US"/>
        </w:rPr>
      </w:pPr>
    </w:p>
    <w:p w14:paraId="17D066E4" w14:textId="77777777" w:rsidR="00EB3F6B" w:rsidRPr="00165359" w:rsidRDefault="00EB3F6B" w:rsidP="00A36CCA">
      <w:pPr>
        <w:pStyle w:val="BodyText"/>
        <w:spacing w:after="0" w:line="360" w:lineRule="auto"/>
        <w:rPr>
          <w:rFonts w:ascii="Times New Roman" w:eastAsia="Calibri" w:hAnsi="Times New Roman" w:cs="Times New Roman"/>
          <w:spacing w:val="-2"/>
          <w:sz w:val="24"/>
          <w:szCs w:val="24"/>
          <w:lang w:val="en-US"/>
        </w:rPr>
      </w:pPr>
    </w:p>
    <w:p w14:paraId="3107FD64" w14:textId="77777777" w:rsidR="00650419" w:rsidRPr="00165359" w:rsidRDefault="001B030B" w:rsidP="004563EF">
      <w:pPr>
        <w:spacing w:after="0" w:line="360" w:lineRule="auto"/>
        <w:jc w:val="both"/>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DATA ANALYSIS &amp; INTERPRETATION:</w:t>
      </w:r>
    </w:p>
    <w:p w14:paraId="1A90A08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b/>
          <w:bCs/>
          <w:color w:val="000000"/>
        </w:rPr>
      </w:pPr>
      <w:r w:rsidRPr="00165359">
        <w:rPr>
          <w:rFonts w:ascii="Times New Roman" w:hAnsi="Times New Roman" w:cs="Times New Roman"/>
          <w:b/>
          <w:bCs/>
          <w:color w:val="000000"/>
          <w:sz w:val="28"/>
          <w:szCs w:val="28"/>
        </w:rPr>
        <w:t>STOCKMARKET</w:t>
      </w:r>
    </w:p>
    <w:p w14:paraId="396AFB3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b/>
          <w:bCs/>
          <w:color w:val="000000"/>
          <w:sz w:val="28"/>
          <w:szCs w:val="28"/>
        </w:rPr>
      </w:pPr>
      <w:r w:rsidRPr="00165359">
        <w:rPr>
          <w:rFonts w:ascii="Times New Roman" w:hAnsi="Times New Roman" w:cs="Times New Roman"/>
          <w:b/>
          <w:bCs/>
          <w:color w:val="000000"/>
          <w:sz w:val="28"/>
          <w:szCs w:val="28"/>
        </w:rPr>
        <w:t xml:space="preserve">Stock Prices </w:t>
      </w:r>
    </w:p>
    <w:p w14:paraId="5833375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b/>
          <w:bCs/>
          <w:color w:val="000000"/>
          <w:sz w:val="28"/>
          <w:szCs w:val="28"/>
        </w:rPr>
      </w:pPr>
      <w:r w:rsidRPr="00165359">
        <w:rPr>
          <w:rFonts w:ascii="Times New Roman" w:hAnsi="Times New Roman" w:cs="Times New Roman"/>
          <w:b/>
          <w:bCs/>
          <w:color w:val="000000"/>
          <w:sz w:val="28"/>
          <w:szCs w:val="28"/>
        </w:rPr>
        <w:t>Company : </w:t>
      </w:r>
      <w:r w:rsidRPr="00165359">
        <w:rPr>
          <w:rFonts w:ascii="Times New Roman" w:hAnsi="Times New Roman" w:cs="Times New Roman"/>
          <w:b/>
          <w:bCs/>
          <w:sz w:val="28"/>
          <w:szCs w:val="28"/>
        </w:rPr>
        <w:t>HDFC BANK LTD</w:t>
      </w:r>
      <w:r w:rsidRPr="00165359">
        <w:rPr>
          <w:rFonts w:ascii="Times New Roman" w:hAnsi="Times New Roman" w:cs="Times New Roman"/>
          <w:b/>
          <w:bCs/>
          <w:color w:val="000000"/>
          <w:sz w:val="28"/>
          <w:szCs w:val="28"/>
        </w:rPr>
        <w:t xml:space="preserve">( 532106 )    </w:t>
      </w:r>
    </w:p>
    <w:tbl>
      <w:tblPr>
        <w:tblW w:w="9356" w:type="dxa"/>
        <w:tblLayout w:type="fixed"/>
        <w:tblCellMar>
          <w:left w:w="0" w:type="dxa"/>
          <w:right w:w="0" w:type="dxa"/>
        </w:tblCellMar>
        <w:tblLook w:val="0000" w:firstRow="0" w:lastRow="0" w:firstColumn="0" w:lastColumn="0" w:noHBand="0" w:noVBand="0"/>
      </w:tblPr>
      <w:tblGrid>
        <w:gridCol w:w="1134"/>
        <w:gridCol w:w="851"/>
        <w:gridCol w:w="709"/>
        <w:gridCol w:w="850"/>
        <w:gridCol w:w="777"/>
        <w:gridCol w:w="215"/>
        <w:gridCol w:w="993"/>
        <w:gridCol w:w="955"/>
        <w:gridCol w:w="320"/>
        <w:gridCol w:w="993"/>
        <w:gridCol w:w="1559"/>
      </w:tblGrid>
      <w:tr w:rsidR="00165359" w:rsidRPr="00165359" w14:paraId="70999F14" w14:textId="77777777" w:rsidTr="00F97974">
        <w:trPr>
          <w:gridAfter w:val="3"/>
          <w:wAfter w:w="2872" w:type="dxa"/>
          <w:trHeight w:val="284"/>
        </w:trPr>
        <w:tc>
          <w:tcPr>
            <w:tcW w:w="4321" w:type="dxa"/>
            <w:gridSpan w:val="5"/>
            <w:tcBorders>
              <w:top w:val="nil"/>
              <w:left w:val="nil"/>
              <w:bottom w:val="nil"/>
              <w:right w:val="nil"/>
            </w:tcBorders>
            <w:shd w:val="clear" w:color="000000" w:fill="FFFFFF"/>
            <w:vAlign w:val="center"/>
          </w:tcPr>
          <w:p w14:paraId="3FDF6C8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Period(01-Jan-</w:t>
            </w:r>
            <w:r>
              <w:rPr>
                <w:rFonts w:ascii="Times New Roman" w:hAnsi="Times New Roman" w:cs="Times New Roman"/>
                <w:color w:val="000000"/>
              </w:rPr>
              <w:t>20</w:t>
            </w:r>
            <w:r w:rsidRPr="00165359">
              <w:rPr>
                <w:rFonts w:ascii="Times New Roman" w:hAnsi="Times New Roman" w:cs="Times New Roman"/>
                <w:color w:val="000000"/>
              </w:rPr>
              <w:t>23 to 31-Jan-</w:t>
            </w:r>
            <w:r>
              <w:rPr>
                <w:rFonts w:ascii="Times New Roman" w:hAnsi="Times New Roman" w:cs="Times New Roman"/>
                <w:color w:val="000000"/>
              </w:rPr>
              <w:t>20</w:t>
            </w:r>
            <w:r w:rsidRPr="00165359">
              <w:rPr>
                <w:rFonts w:ascii="Times New Roman" w:hAnsi="Times New Roman" w:cs="Times New Roman"/>
                <w:color w:val="000000"/>
              </w:rPr>
              <w:t xml:space="preserve">23) </w:t>
            </w:r>
          </w:p>
        </w:tc>
        <w:tc>
          <w:tcPr>
            <w:tcW w:w="2163" w:type="dxa"/>
            <w:gridSpan w:val="3"/>
            <w:tcBorders>
              <w:top w:val="nil"/>
              <w:left w:val="nil"/>
              <w:bottom w:val="nil"/>
              <w:right w:val="nil"/>
            </w:tcBorders>
            <w:shd w:val="clear" w:color="000000" w:fill="FFFFFF"/>
            <w:vAlign w:val="center"/>
          </w:tcPr>
          <w:p w14:paraId="795297E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r>
      <w:tr w:rsidR="00165359" w:rsidRPr="00165359" w14:paraId="2B509ADC" w14:textId="77777777" w:rsidTr="00F97974">
        <w:tblPrEx>
          <w:tblCellMar>
            <w:left w:w="14" w:type="dxa"/>
            <w:right w:w="14" w:type="dxa"/>
          </w:tblCellMar>
        </w:tblPrEx>
        <w:trPr>
          <w:trHeight w:val="563"/>
        </w:trPr>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078A45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Date</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F45BB5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Open </w:t>
            </w:r>
            <w:r w:rsidRPr="00165359">
              <w:rPr>
                <w:rFonts w:ascii="Times New Roman" w:hAnsi="Times New Roman" w:cs="Times New Roman"/>
                <w:b/>
                <w:bCs/>
                <w:color w:val="000000"/>
              </w:rPr>
              <w:br/>
              <w:t>Price</w:t>
            </w:r>
          </w:p>
        </w:tc>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1306CE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High </w:t>
            </w:r>
            <w:r w:rsidRPr="00165359">
              <w:rPr>
                <w:rFonts w:ascii="Times New Roman" w:hAnsi="Times New Roman" w:cs="Times New Roman"/>
                <w:b/>
                <w:bCs/>
                <w:color w:val="000000"/>
              </w:rPr>
              <w:br/>
              <w:t>Price</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9CF405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Low </w:t>
            </w:r>
            <w:r w:rsidRPr="00165359">
              <w:rPr>
                <w:rFonts w:ascii="Times New Roman" w:hAnsi="Times New Roman" w:cs="Times New Roman"/>
                <w:b/>
                <w:bCs/>
                <w:color w:val="000000"/>
              </w:rPr>
              <w:br/>
              <w:t>Price</w:t>
            </w:r>
          </w:p>
        </w:tc>
        <w:tc>
          <w:tcPr>
            <w:tcW w:w="992"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E3789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Close </w:t>
            </w:r>
            <w:r w:rsidRPr="00165359">
              <w:rPr>
                <w:rFonts w:ascii="Times New Roman" w:hAnsi="Times New Roman" w:cs="Times New Roman"/>
                <w:b/>
                <w:bCs/>
                <w:color w:val="000000"/>
              </w:rPr>
              <w:br/>
              <w:t>Price</w:t>
            </w:r>
          </w:p>
        </w:tc>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796C4F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WAP</w:t>
            </w:r>
          </w:p>
        </w:tc>
        <w:tc>
          <w:tcPr>
            <w:tcW w:w="127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E0E74A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Shares</w:t>
            </w:r>
          </w:p>
        </w:tc>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B9EAE8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Trades</w:t>
            </w:r>
          </w:p>
        </w:tc>
        <w:tc>
          <w:tcPr>
            <w:tcW w:w="155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199FB7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Total Turnover</w:t>
            </w:r>
            <w:r w:rsidRPr="00165359">
              <w:rPr>
                <w:rFonts w:ascii="Times New Roman" w:hAnsi="Times New Roman" w:cs="Times New Roman"/>
                <w:b/>
                <w:bCs/>
                <w:color w:val="000000"/>
              </w:rPr>
              <w:br/>
              <w:t>(Rs.)</w:t>
            </w:r>
          </w:p>
        </w:tc>
      </w:tr>
      <w:tr w:rsidR="00165359" w:rsidRPr="00165359" w14:paraId="415E97C9" w14:textId="77777777" w:rsidTr="00F97974">
        <w:tblPrEx>
          <w:tblCellMar>
            <w:left w:w="14" w:type="dxa"/>
            <w:right w:w="14" w:type="dxa"/>
          </w:tblCellMar>
        </w:tblPrEx>
        <w:trPr>
          <w:trHeight w:val="563"/>
        </w:trPr>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E51BE3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0FB2B1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70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B09C1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860376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992"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E3A549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ECC0D7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1275"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52D0AD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C066D1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D93FD0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p>
        </w:tc>
      </w:tr>
      <w:tr w:rsidR="00165359" w:rsidRPr="00165359" w14:paraId="5BF653A0"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4F1D43B"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67CFF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A1621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BCFE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42.85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0A3FE2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59F63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C47398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1,82,106</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75DE9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1,046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E85AF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78,76,672</w:t>
            </w:r>
          </w:p>
        </w:tc>
      </w:tr>
      <w:tr w:rsidR="00165359" w:rsidRPr="00165359" w14:paraId="3E91EF02"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F30D2D"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D27F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03773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023BB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43.23</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9B9020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8F31F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43.84</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57B9FF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1,87,107</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B500D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1,464</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EE8C8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82,03,362</w:t>
            </w:r>
          </w:p>
        </w:tc>
      </w:tr>
      <w:tr w:rsidR="00165359" w:rsidRPr="00165359" w14:paraId="6D88FAA8"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F8B0301"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FF310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09AAF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EFDCF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44.35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0FD659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E6A7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45.23</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3B6CAD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3,88,564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918D1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2,278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DF674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1,75,71,610</w:t>
            </w:r>
          </w:p>
        </w:tc>
      </w:tr>
      <w:tr w:rsidR="00165359" w:rsidRPr="00165359" w14:paraId="5876BF06"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B04FB43"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28197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45.10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66128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45.15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E150C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43.90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EE5DC8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4A243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E5D72B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1,27,734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0754D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1,230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4F6F8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56,90,923</w:t>
            </w:r>
          </w:p>
        </w:tc>
      </w:tr>
      <w:tr w:rsidR="00165359" w:rsidRPr="00165359" w14:paraId="5C44C6AC"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E8B245E"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FF062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9C2ED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44.95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BD765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44.10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720D6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44.35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79C0F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8EC068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92,155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C2C06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5D2AE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41,05,238</w:t>
            </w:r>
          </w:p>
        </w:tc>
      </w:tr>
      <w:tr w:rsidR="00165359" w:rsidRPr="00165359" w14:paraId="09CC7474"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586A8FF"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0E29C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65D41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46.50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87636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44.45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9FD64D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46.05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11B68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45.67</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794955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3,86,437</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31EFD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2,565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CADEA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1,76,47,452</w:t>
            </w:r>
          </w:p>
        </w:tc>
      </w:tr>
      <w:tr w:rsidR="00165359" w:rsidRPr="00165359" w14:paraId="6FADE90B"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39C3A12"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6C734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8FEB4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1ACE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45.50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892F6E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47.45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16E5C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46.82</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E7A697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7,65,524</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2D20C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3,796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5003C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3,58,45,260</w:t>
            </w:r>
          </w:p>
        </w:tc>
      </w:tr>
      <w:tr w:rsidR="00165359" w:rsidRPr="00165359" w14:paraId="12800B2F"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DD23F95"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DE294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E121F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DFDC0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47.40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093C0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50D50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48.61</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9082F8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12,59,808</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40F4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5,915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C053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6,12,41,940</w:t>
            </w:r>
          </w:p>
        </w:tc>
      </w:tr>
      <w:tr w:rsidR="00165359" w:rsidRPr="00165359" w14:paraId="37E3AECE"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539D081"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00DB2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49.90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E51FE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065AA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46.70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CD0A22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EA1BD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48.81</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23C021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10,53,496</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29228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4,830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1E0CF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5,14,25,510</w:t>
            </w:r>
          </w:p>
        </w:tc>
      </w:tr>
      <w:tr w:rsidR="00165359" w:rsidRPr="00165359" w14:paraId="611CAD59"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4B5D739"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0E7D0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47.23</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DE33E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7AFD8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46.05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55C727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9F297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46.56</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305F6C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2,10,233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D9B7A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1,451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67E08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97,40,861</w:t>
            </w:r>
          </w:p>
        </w:tc>
      </w:tr>
      <w:tr w:rsidR="00165359" w:rsidRPr="00165359" w14:paraId="54B7E240"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4330C2C"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15-01-23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66A97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46.40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80C80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46.40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7519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44.00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B51266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44.85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3A370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45.46</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5CB3B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4,49,893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6786F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1,684</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B0910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2,04,49,899</w:t>
            </w:r>
          </w:p>
        </w:tc>
      </w:tr>
      <w:tr w:rsidR="00165359" w:rsidRPr="00165359" w14:paraId="6243E503"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D6F9A00"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73C94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44.30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FE0D2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4C436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43.65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6C287E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44.95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E49FA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45.03</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0CEAC3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5,00,232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B21AF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2,340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C247A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2,25,24,008</w:t>
            </w:r>
          </w:p>
        </w:tc>
      </w:tr>
      <w:tr w:rsidR="00165359" w:rsidRPr="00165359" w14:paraId="11EA5884"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1B598A4"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ADA6F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45.00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EC28D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E71C9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44.55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940A2F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44.90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B812C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44.98</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3B62A1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3,59,231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79E30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1,805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06D37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1,61,58,233</w:t>
            </w:r>
          </w:p>
        </w:tc>
      </w:tr>
      <w:tr w:rsidR="00165359" w:rsidRPr="00165359" w14:paraId="62CC216F"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65277D9"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CCAD0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15CBC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37E8B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1E7704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43.95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CB055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44.42</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597F71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3,65,123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EF71E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1,387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F122A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1,62,23,480</w:t>
            </w:r>
          </w:p>
        </w:tc>
      </w:tr>
      <w:tr w:rsidR="00165359" w:rsidRPr="00165359" w14:paraId="69318D5C"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C2B9051"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4C49F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BE811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6A381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43.50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7F6150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90BAF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46.10</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961ED2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9,55,648</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D3ACF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4,612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9F314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4,40,53,990</w:t>
            </w:r>
          </w:p>
        </w:tc>
      </w:tr>
      <w:tr w:rsidR="00165359" w:rsidRPr="00165359" w14:paraId="10A36FC5"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D090134"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7FE84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FDE09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9D54E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46.15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ACDD75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48.85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9EBE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48.56</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E6C06F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23,38,623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52EEFE"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8,107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A75CE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9,90,02,539</w:t>
            </w:r>
          </w:p>
        </w:tc>
      </w:tr>
      <w:tr w:rsidR="00165359" w:rsidRPr="00165359" w14:paraId="1FBEA5E7"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903A358"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9E4B7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C1448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6DFEE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47.60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5D7B46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48.50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31F71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48.75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AE1155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8,25,921</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FD226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1D4A7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4,02,66,363</w:t>
            </w:r>
          </w:p>
        </w:tc>
      </w:tr>
      <w:tr w:rsidR="00165359" w:rsidRPr="00165359" w14:paraId="11499FBE"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FEF4D41"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73BB9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48.60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F1396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48.90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33BCD8"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47.23</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CE08C8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7CCE2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48.14</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7FD41E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3,49,523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D4FF8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2,239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5B86A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1,68,26,351</w:t>
            </w:r>
          </w:p>
        </w:tc>
      </w:tr>
      <w:tr w:rsidR="00165359" w:rsidRPr="00165359" w14:paraId="0968FB72"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0820527"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0C8DCC"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47.95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A8A2C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50.50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973B4"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47.05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D5877D6"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A3677"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49.32</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B08586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6,93,983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3389B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3,303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35CF9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3,42,26,632</w:t>
            </w:r>
          </w:p>
        </w:tc>
      </w:tr>
      <w:tr w:rsidR="00165359" w:rsidRPr="00165359" w14:paraId="2500349B"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82EB01"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7E4DBF"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50.25</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795DB1"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0C502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48.80</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26CB86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49.15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E9EF40"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50.05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C8C42D2"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6,63,300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EC1A3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3,810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B6F5CB"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3,32,01,023</w:t>
            </w:r>
          </w:p>
        </w:tc>
      </w:tr>
      <w:tr w:rsidR="00165359" w:rsidRPr="00165359" w14:paraId="6E23EB0F" w14:textId="77777777" w:rsidTr="00F97974">
        <w:tblPrEx>
          <w:tblCellMar>
            <w:left w:w="14" w:type="dxa"/>
            <w:right w:w="14" w:type="dxa"/>
          </w:tblCellMar>
        </w:tblPrEx>
        <w:trPr>
          <w:trHeight w:val="1"/>
        </w:trPr>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3EED935" w14:textId="77777777" w:rsidR="00165359" w:rsidRPr="00165359" w:rsidRDefault="00165359" w:rsidP="00165359">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31-01-23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0F70E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49.50</w:t>
            </w:r>
          </w:p>
        </w:tc>
        <w:tc>
          <w:tcPr>
            <w:tcW w:w="70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6A9BDD"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49.65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EA609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48.05</w:t>
            </w:r>
          </w:p>
        </w:tc>
        <w:tc>
          <w:tcPr>
            <w:tcW w:w="992"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0288BC5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48.65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ADA7D3"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48.95</w:t>
            </w:r>
          </w:p>
        </w:tc>
        <w:tc>
          <w:tcPr>
            <w:tcW w:w="127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B0C242A"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2,45,452</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D46049"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1,348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7EA245" w14:textId="77777777" w:rsidR="00165359" w:rsidRPr="00165359" w:rsidRDefault="00165359" w:rsidP="00165359">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1,23,14,941</w:t>
            </w:r>
          </w:p>
        </w:tc>
      </w:tr>
    </w:tbl>
    <w:p w14:paraId="72FD8EEA" w14:textId="77777777" w:rsidR="00165359" w:rsidRPr="00165359" w:rsidRDefault="00165359" w:rsidP="00165359">
      <w:pPr>
        <w:autoSpaceDE w:val="0"/>
        <w:autoSpaceDN w:val="0"/>
        <w:adjustRightInd w:val="0"/>
        <w:spacing w:after="0" w:line="360" w:lineRule="auto"/>
        <w:jc w:val="both"/>
        <w:rPr>
          <w:rFonts w:ascii="Times New Roman" w:hAnsi="Times New Roman" w:cs="Times New Roman"/>
          <w:color w:val="000000"/>
        </w:rPr>
      </w:pPr>
    </w:p>
    <w:p w14:paraId="04609994" w14:textId="77777777" w:rsidR="00165359" w:rsidRPr="00165359" w:rsidRDefault="00165359" w:rsidP="00165359">
      <w:pPr>
        <w:autoSpaceDE w:val="0"/>
        <w:autoSpaceDN w:val="0"/>
        <w:adjustRightInd w:val="0"/>
        <w:spacing w:line="360" w:lineRule="auto"/>
        <w:ind w:left="360"/>
        <w:jc w:val="both"/>
        <w:rPr>
          <w:rFonts w:ascii="Times New Roman" w:hAnsi="Times New Roman" w:cs="Times New Roman"/>
          <w:b/>
          <w:noProof/>
          <w:color w:val="000000"/>
        </w:rPr>
      </w:pPr>
      <w:r w:rsidRPr="00165359">
        <w:rPr>
          <w:rFonts w:ascii="Times New Roman" w:hAnsi="Times New Roman" w:cs="Times New Roman"/>
          <w:b/>
          <w:noProof/>
          <w:color w:val="000000"/>
        </w:rPr>
        <w:drawing>
          <wp:inline distT="0" distB="0" distL="0" distR="0" wp14:anchorId="0BF65227" wp14:editId="03BA4E74">
            <wp:extent cx="3932514" cy="1876302"/>
            <wp:effectExtent l="19050" t="0" r="10836" b="0"/>
            <wp:docPr id="36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F06BE8" w14:textId="77777777" w:rsidR="00165359" w:rsidRPr="00165359" w:rsidRDefault="00520819" w:rsidP="00520819">
      <w:pPr>
        <w:autoSpaceDE w:val="0"/>
        <w:autoSpaceDN w:val="0"/>
        <w:adjustRightInd w:val="0"/>
        <w:spacing w:after="0" w:line="240" w:lineRule="auto"/>
        <w:jc w:val="both"/>
        <w:rPr>
          <w:rFonts w:ascii="Times New Roman" w:hAnsi="Times New Roman" w:cs="Times New Roman"/>
          <w:b/>
          <w:bCs/>
          <w:color w:val="000000"/>
        </w:rPr>
      </w:pPr>
      <w:r w:rsidRPr="00165359">
        <w:rPr>
          <w:rFonts w:ascii="Times New Roman" w:hAnsi="Times New Roman" w:cs="Times New Roman"/>
          <w:b/>
          <w:bCs/>
          <w:color w:val="000000"/>
          <w:sz w:val="28"/>
          <w:szCs w:val="28"/>
        </w:rPr>
        <w:t>Interpretation</w:t>
      </w:r>
      <w:r w:rsidRPr="00165359">
        <w:rPr>
          <w:rFonts w:ascii="Times New Roman" w:hAnsi="Times New Roman" w:cs="Times New Roman"/>
          <w:b/>
          <w:bCs/>
          <w:color w:val="000000"/>
        </w:rPr>
        <w:t>:</w:t>
      </w:r>
    </w:p>
    <w:p w14:paraId="0A684C0C" w14:textId="77777777" w:rsidR="00165359" w:rsidRPr="00165359" w:rsidRDefault="00165359" w:rsidP="00520819">
      <w:pPr>
        <w:autoSpaceDE w:val="0"/>
        <w:autoSpaceDN w:val="0"/>
        <w:adjustRightInd w:val="0"/>
        <w:spacing w:after="0" w:line="360" w:lineRule="auto"/>
        <w:jc w:val="both"/>
        <w:rPr>
          <w:rFonts w:ascii="Times New Roman" w:hAnsi="Times New Roman" w:cs="Times New Roman"/>
          <w:color w:val="000000"/>
        </w:rPr>
      </w:pPr>
      <w:r w:rsidRPr="00165359">
        <w:rPr>
          <w:rFonts w:ascii="Times New Roman" w:hAnsi="Times New Roman" w:cs="Times New Roman"/>
          <w:color w:val="000000"/>
        </w:rPr>
        <w:t>On 1</w:t>
      </w:r>
      <w:r w:rsidRPr="00165359">
        <w:rPr>
          <w:rFonts w:ascii="Times New Roman" w:hAnsi="Times New Roman" w:cs="Times New Roman"/>
          <w:color w:val="000000"/>
          <w:vertAlign w:val="superscript"/>
        </w:rPr>
        <w:t>st</w:t>
      </w:r>
      <w:r w:rsidRPr="00165359">
        <w:rPr>
          <w:rFonts w:ascii="Times New Roman" w:hAnsi="Times New Roman" w:cs="Times New Roman"/>
          <w:color w:val="000000"/>
        </w:rPr>
        <w:t xml:space="preserve"> Jan open value has decreased to 43.10 than compared to lower value of EPS 41.25. Then coming to higher price to 49.29 wholly the conclusion is 43.67.Then coming to the volume on the same dates or days volume are increased. Because totally this month HDFC BANK LTD. EPS value is decreased i.e. percentage 03.52%.</w:t>
      </w:r>
    </w:p>
    <w:p w14:paraId="5E3A14A4" w14:textId="77777777" w:rsidR="00165359" w:rsidRPr="00165359" w:rsidRDefault="00165359" w:rsidP="0091338C">
      <w:pPr>
        <w:autoSpaceDE w:val="0"/>
        <w:autoSpaceDN w:val="0"/>
        <w:adjustRightInd w:val="0"/>
        <w:spacing w:line="240" w:lineRule="auto"/>
        <w:jc w:val="both"/>
        <w:rPr>
          <w:rFonts w:ascii="Times New Roman" w:hAnsi="Times New Roman" w:cs="Times New Roman"/>
          <w:b/>
          <w:color w:val="000000"/>
          <w:sz w:val="28"/>
          <w:szCs w:val="28"/>
        </w:rPr>
      </w:pPr>
      <w:r w:rsidRPr="00165359">
        <w:rPr>
          <w:rFonts w:ascii="Times New Roman" w:hAnsi="Times New Roman" w:cs="Times New Roman"/>
          <w:b/>
          <w:color w:val="000000"/>
          <w:sz w:val="28"/>
          <w:szCs w:val="28"/>
        </w:rPr>
        <w:lastRenderedPageBreak/>
        <w:t xml:space="preserve">Stock Prices </w:t>
      </w:r>
    </w:p>
    <w:p w14:paraId="7536BED4" w14:textId="77777777" w:rsidR="00165359" w:rsidRPr="00165359" w:rsidRDefault="00165359" w:rsidP="0091338C">
      <w:pPr>
        <w:autoSpaceDE w:val="0"/>
        <w:autoSpaceDN w:val="0"/>
        <w:adjustRightInd w:val="0"/>
        <w:spacing w:line="240" w:lineRule="auto"/>
        <w:jc w:val="both"/>
        <w:rPr>
          <w:rFonts w:ascii="Times New Roman" w:hAnsi="Times New Roman" w:cs="Times New Roman"/>
          <w:color w:val="000000"/>
          <w:sz w:val="28"/>
          <w:szCs w:val="28"/>
        </w:rPr>
      </w:pPr>
      <w:r w:rsidRPr="00165359">
        <w:rPr>
          <w:rFonts w:ascii="Times New Roman" w:hAnsi="Times New Roman" w:cs="Times New Roman"/>
          <w:b/>
          <w:color w:val="000000"/>
          <w:sz w:val="28"/>
          <w:szCs w:val="28"/>
        </w:rPr>
        <w:t>Company: </w:t>
      </w:r>
      <w:hyperlink r:id="rId15" w:history="1">
        <w:r w:rsidRPr="00165359">
          <w:rPr>
            <w:rFonts w:ascii="Times New Roman" w:hAnsi="Times New Roman" w:cs="Times New Roman"/>
            <w:b/>
            <w:color w:val="000000"/>
            <w:sz w:val="28"/>
            <w:szCs w:val="28"/>
          </w:rPr>
          <w:t>FEDBANK</w:t>
        </w:r>
      </w:hyperlink>
      <w:r w:rsidRPr="00165359">
        <w:rPr>
          <w:rFonts w:ascii="Times New Roman" w:hAnsi="Times New Roman" w:cs="Times New Roman"/>
          <w:b/>
          <w:color w:val="000000"/>
          <w:sz w:val="28"/>
          <w:szCs w:val="28"/>
        </w:rPr>
        <w:t xml:space="preserve"> ( 500469</w:t>
      </w:r>
      <w:r w:rsidRPr="00165359">
        <w:rPr>
          <w:rFonts w:ascii="Times New Roman" w:hAnsi="Times New Roman" w:cs="Times New Roman"/>
          <w:color w:val="000000"/>
          <w:sz w:val="28"/>
          <w:szCs w:val="28"/>
        </w:rPr>
        <w:t xml:space="preserve"> )    </w:t>
      </w:r>
    </w:p>
    <w:tbl>
      <w:tblPr>
        <w:tblW w:w="14151" w:type="dxa"/>
        <w:tblLayout w:type="fixed"/>
        <w:tblCellMar>
          <w:left w:w="0" w:type="dxa"/>
          <w:right w:w="0" w:type="dxa"/>
        </w:tblCellMar>
        <w:tblLook w:val="0000" w:firstRow="0" w:lastRow="0" w:firstColumn="0" w:lastColumn="0" w:noHBand="0" w:noVBand="0"/>
      </w:tblPr>
      <w:tblGrid>
        <w:gridCol w:w="993"/>
        <w:gridCol w:w="850"/>
        <w:gridCol w:w="992"/>
        <w:gridCol w:w="851"/>
        <w:gridCol w:w="992"/>
        <w:gridCol w:w="851"/>
        <w:gridCol w:w="1134"/>
        <w:gridCol w:w="992"/>
        <w:gridCol w:w="1559"/>
        <w:gridCol w:w="257"/>
        <w:gridCol w:w="4680"/>
      </w:tblGrid>
      <w:tr w:rsidR="00165359" w:rsidRPr="00165359" w14:paraId="686A3EDB" w14:textId="77777777" w:rsidTr="00F97974">
        <w:trPr>
          <w:trHeight w:val="1"/>
        </w:trPr>
        <w:tc>
          <w:tcPr>
            <w:tcW w:w="9471" w:type="dxa"/>
            <w:gridSpan w:val="10"/>
            <w:tcBorders>
              <w:top w:val="nil"/>
              <w:left w:val="nil"/>
              <w:bottom w:val="nil"/>
              <w:right w:val="nil"/>
            </w:tcBorders>
            <w:shd w:val="clear" w:color="000000" w:fill="FFFFFF"/>
            <w:vAlign w:val="center"/>
          </w:tcPr>
          <w:p w14:paraId="5043B06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Period   ( 01-Jan-</w:t>
            </w:r>
            <w:r w:rsidR="0091338C">
              <w:rPr>
                <w:rFonts w:ascii="Times New Roman" w:hAnsi="Times New Roman" w:cs="Times New Roman"/>
                <w:color w:val="000000"/>
              </w:rPr>
              <w:t>20</w:t>
            </w:r>
            <w:r w:rsidRPr="00165359">
              <w:rPr>
                <w:rFonts w:ascii="Times New Roman" w:hAnsi="Times New Roman" w:cs="Times New Roman"/>
                <w:color w:val="000000"/>
              </w:rPr>
              <w:t>23  to  31-Jan-</w:t>
            </w:r>
            <w:r w:rsidR="0091338C">
              <w:rPr>
                <w:rFonts w:ascii="Times New Roman" w:hAnsi="Times New Roman" w:cs="Times New Roman"/>
                <w:color w:val="000000"/>
              </w:rPr>
              <w:t>20</w:t>
            </w:r>
            <w:r w:rsidRPr="00165359">
              <w:rPr>
                <w:rFonts w:ascii="Times New Roman" w:hAnsi="Times New Roman" w:cs="Times New Roman"/>
                <w:color w:val="000000"/>
              </w:rPr>
              <w:t xml:space="preserve">23 ) </w:t>
            </w:r>
          </w:p>
        </w:tc>
        <w:tc>
          <w:tcPr>
            <w:tcW w:w="4680" w:type="dxa"/>
            <w:tcBorders>
              <w:top w:val="nil"/>
              <w:left w:val="nil"/>
              <w:bottom w:val="nil"/>
              <w:right w:val="nil"/>
            </w:tcBorders>
            <w:shd w:val="clear" w:color="000000" w:fill="FFFFFF"/>
            <w:vAlign w:val="center"/>
          </w:tcPr>
          <w:p w14:paraId="4FD2E36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r>
      <w:tr w:rsidR="00165359" w:rsidRPr="00165359" w14:paraId="65166AA8" w14:textId="77777777" w:rsidTr="00F97974">
        <w:tblPrEx>
          <w:tblCellMar>
            <w:left w:w="14" w:type="dxa"/>
            <w:right w:w="14" w:type="dxa"/>
          </w:tblCellMar>
        </w:tblPrEx>
        <w:trPr>
          <w:gridAfter w:val="2"/>
          <w:wAfter w:w="4937" w:type="dxa"/>
          <w:trHeight w:val="563"/>
        </w:trPr>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FA34F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Date</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FCFE18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Open </w:t>
            </w:r>
            <w:r w:rsidRPr="00165359">
              <w:rPr>
                <w:rFonts w:ascii="Times New Roman" w:hAnsi="Times New Roman" w:cs="Times New Roman"/>
                <w:b/>
                <w:bCs/>
                <w:color w:val="000000"/>
              </w:rPr>
              <w:br/>
              <w:t>Price</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50B7EB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High </w:t>
            </w:r>
            <w:r w:rsidRPr="00165359">
              <w:rPr>
                <w:rFonts w:ascii="Times New Roman" w:hAnsi="Times New Roman" w:cs="Times New Roman"/>
                <w:b/>
                <w:bCs/>
                <w:color w:val="000000"/>
              </w:rPr>
              <w:br/>
              <w:t>Price</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508EC6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Low </w:t>
            </w:r>
            <w:r w:rsidRPr="00165359">
              <w:rPr>
                <w:rFonts w:ascii="Times New Roman" w:hAnsi="Times New Roman" w:cs="Times New Roman"/>
                <w:b/>
                <w:bCs/>
                <w:color w:val="000000"/>
              </w:rPr>
              <w:br/>
              <w:t>Price</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261EE8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Close </w:t>
            </w:r>
            <w:r w:rsidRPr="00165359">
              <w:rPr>
                <w:rFonts w:ascii="Times New Roman" w:hAnsi="Times New Roman" w:cs="Times New Roman"/>
                <w:b/>
                <w:bCs/>
                <w:color w:val="000000"/>
              </w:rPr>
              <w:br/>
              <w:t>Price</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2098DD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WAP</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39312E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Shares</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C48D85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Trades</w:t>
            </w:r>
          </w:p>
        </w:tc>
        <w:tc>
          <w:tcPr>
            <w:tcW w:w="155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19FA8A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Total Turnover</w:t>
            </w:r>
            <w:r w:rsidRPr="00165359">
              <w:rPr>
                <w:rFonts w:ascii="Times New Roman" w:hAnsi="Times New Roman" w:cs="Times New Roman"/>
                <w:b/>
                <w:bCs/>
                <w:color w:val="000000"/>
              </w:rPr>
              <w:br/>
              <w:t>(Rs.)</w:t>
            </w:r>
          </w:p>
        </w:tc>
      </w:tr>
      <w:tr w:rsidR="00165359" w:rsidRPr="00165359" w14:paraId="246F50E5" w14:textId="77777777" w:rsidTr="00F97974">
        <w:tblPrEx>
          <w:tblCellMar>
            <w:left w:w="14" w:type="dxa"/>
            <w:right w:w="14" w:type="dxa"/>
          </w:tblCellMar>
        </w:tblPrEx>
        <w:trPr>
          <w:gridAfter w:val="2"/>
          <w:wAfter w:w="4937" w:type="dxa"/>
          <w:trHeight w:val="563"/>
        </w:trPr>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806944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F729C7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AEA529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A6E080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A3794D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156E0B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CF6AA3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DEBBCA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c>
          <w:tcPr>
            <w:tcW w:w="155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7B0CB2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p>
        </w:tc>
      </w:tr>
      <w:tr w:rsidR="00165359" w:rsidRPr="00165359" w14:paraId="42F917BF"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D7F28F9"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53B2B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235.35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FD1E8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8821E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235.35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8F84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242.45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AA7F1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240.68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DB268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45,995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62866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9C9EF9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1,10,70,123</w:t>
            </w:r>
          </w:p>
        </w:tc>
      </w:tr>
      <w:tr w:rsidR="00165359" w:rsidRPr="00165359" w14:paraId="18E9CA93"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910D473"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B3265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D33E1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01A15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976E2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69CF6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246.87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47226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1,06,279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FE82E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1,296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F1DE4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2,62,37,525</w:t>
            </w:r>
          </w:p>
        </w:tc>
      </w:tr>
      <w:tr w:rsidR="00165359" w:rsidRPr="00165359" w14:paraId="682EC229"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C0D2F62"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DFB57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41818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252.50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12F61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77410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06B74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B31EA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64,766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ABB50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D792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1,61,01,503</w:t>
            </w:r>
          </w:p>
        </w:tc>
      </w:tr>
      <w:tr w:rsidR="00165359" w:rsidRPr="00165359" w14:paraId="467BF00C"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4DB80AD"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E4484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4FCE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247.50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56ACC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2EB17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242.65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5A3EF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2DD6A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23,523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8FBCF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527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51782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45,26,643</w:t>
            </w:r>
          </w:p>
        </w:tc>
      </w:tr>
      <w:tr w:rsidR="00165359" w:rsidRPr="00165359" w14:paraId="124137A3"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BB4E1E4"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AA00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244.85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E9E8D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97223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08F0E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242.30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0E7B9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243.61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A97B5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ECDCA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467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DA6AD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56,05,125</w:t>
            </w:r>
          </w:p>
        </w:tc>
      </w:tr>
      <w:tr w:rsidR="00165359" w:rsidRPr="00165359" w14:paraId="7C9B3E00"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B001BFD"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3EA67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849F8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249.00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EA0EB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42325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91A9C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2B8C1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36,680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AA22C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545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05E12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89,94,523</w:t>
            </w:r>
          </w:p>
        </w:tc>
      </w:tr>
      <w:tr w:rsidR="00165359" w:rsidRPr="00165359" w14:paraId="68444D2F"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AA685FA"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6EB8E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B7B9F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251.50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6679A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568AC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248.75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16150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248.68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32BF7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74,775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E7D1A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1,288</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61FD6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1,85,94,943</w:t>
            </w:r>
          </w:p>
        </w:tc>
      </w:tr>
      <w:tr w:rsidR="00165359" w:rsidRPr="00165359" w14:paraId="237B44F8"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F51F751"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899FD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251.00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C5C48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251.00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1195E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B0D2D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248.65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94D7E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248.55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2C487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42,812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E4948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23122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1,06,40,995</w:t>
            </w:r>
          </w:p>
        </w:tc>
      </w:tr>
      <w:tr w:rsidR="00165359" w:rsidRPr="00165359" w14:paraId="456A7A8D"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B11B4EF"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5722A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D9DEE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252.00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F49032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0B068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07894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246.86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9F66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42,870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DFB60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597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57CD4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1,05,82,682</w:t>
            </w:r>
          </w:p>
        </w:tc>
      </w:tr>
      <w:tr w:rsidR="00165359" w:rsidRPr="00165359" w14:paraId="07A6771D"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0EC4CB0"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46D12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D1CCF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248.00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B1ABE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244.05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1C73E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97BE4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246.32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6BCE0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51,843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CC0F1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491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6C3E7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1,27,70,058</w:t>
            </w:r>
          </w:p>
        </w:tc>
      </w:tr>
      <w:tr w:rsidR="00165359" w:rsidRPr="00165359" w14:paraId="40A05183"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834595F"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15-01-23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55501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EDDC7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246.40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2EB85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629A8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236.05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D005E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239.98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80A5A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93,850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5EB21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697</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E2A9F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2,25,23,232</w:t>
            </w:r>
          </w:p>
        </w:tc>
      </w:tr>
      <w:tr w:rsidR="00165359" w:rsidRPr="00165359" w14:paraId="241F64EE"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163D911"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8B502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8E75A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447C2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233.10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5CDBD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46B570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234.79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F63B5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5,39,359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EB73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661</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D6BD0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12,66,36,232</w:t>
            </w:r>
          </w:p>
        </w:tc>
      </w:tr>
      <w:tr w:rsidR="00165359" w:rsidRPr="00165359" w14:paraId="4C39E5B7"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36FC3B1"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B3573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257A6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0D5755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03861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3BE10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3458C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29,893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F28F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506</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13F8B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71,50,961</w:t>
            </w:r>
          </w:p>
        </w:tc>
      </w:tr>
      <w:tr w:rsidR="00165359" w:rsidRPr="00165359" w14:paraId="59B938B8"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42E77C4"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B595A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3C419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AD816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74AC2D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24C5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238.75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8487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43,269</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614F1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4901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1,03,30,482</w:t>
            </w:r>
          </w:p>
        </w:tc>
      </w:tr>
      <w:tr w:rsidR="00165359" w:rsidRPr="00165359" w14:paraId="3E64DF54"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1C1CDAD"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FC2FB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BFD02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241.95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A1636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238.00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701EB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5755A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239.57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7ED01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38,505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0136E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379</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A4192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92,24,706</w:t>
            </w:r>
          </w:p>
        </w:tc>
      </w:tr>
      <w:tr w:rsidR="00165359" w:rsidRPr="00165359" w14:paraId="53259625"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ED87959"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B4316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D7659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60A49A"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97668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3447CC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240.98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73487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25,454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B0C2B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AE87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61,33,910</w:t>
            </w:r>
          </w:p>
        </w:tc>
      </w:tr>
      <w:tr w:rsidR="00165359" w:rsidRPr="00165359" w14:paraId="7DD2671D"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3FDE3A7"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13722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243.50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1039D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244.80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887D0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241.15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31096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426D1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242.99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EE4F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21,337</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81BB2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F4C91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51,84,704</w:t>
            </w:r>
          </w:p>
        </w:tc>
      </w:tr>
      <w:tr w:rsidR="00165359" w:rsidRPr="00165359" w14:paraId="4DA78344"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BCAD0DA"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BB04D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B5E7E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8D5DB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239.05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50C0B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EFE3620"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241.79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6F3707"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32,042</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9ED35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435</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1FB676"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77,47,452</w:t>
            </w:r>
          </w:p>
        </w:tc>
      </w:tr>
      <w:tr w:rsidR="00165359" w:rsidRPr="00165359" w14:paraId="4A3D062B"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E639C99"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7B6BB4"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DFB53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245.90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384DE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F1297D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238.35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5756D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241.36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AC34A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50,514</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6BBDE3"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582</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60662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1,21,92,235</w:t>
            </w:r>
          </w:p>
        </w:tc>
      </w:tr>
      <w:tr w:rsidR="00165359" w:rsidRPr="00165359" w14:paraId="05B36565"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2228B72"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4C568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239.30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9F4E4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240.70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8AFB92"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E1DA99"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237.45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8BC8C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A2E9D8"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1,75,678</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F1ABA1"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1,023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52271D"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4,23,93,769</w:t>
            </w:r>
          </w:p>
        </w:tc>
      </w:tr>
      <w:tr w:rsidR="00165359" w:rsidRPr="00165359" w14:paraId="684CEADE" w14:textId="77777777" w:rsidTr="00F97974">
        <w:tblPrEx>
          <w:tblCellMar>
            <w:left w:w="14" w:type="dxa"/>
            <w:right w:w="14" w:type="dxa"/>
          </w:tblCellMar>
        </w:tblPrEx>
        <w:trPr>
          <w:gridAfter w:val="2"/>
          <w:wAfter w:w="4937" w:type="dxa"/>
          <w:trHeight w:val="1"/>
        </w:trPr>
        <w:tc>
          <w:tcPr>
            <w:tcW w:w="993"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4E458FB5" w14:textId="77777777" w:rsidR="00165359" w:rsidRPr="00165359" w:rsidRDefault="00165359" w:rsidP="0091338C">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31-01-23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A6FF8C"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6942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243.00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8F2E8F"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233.70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F9DDD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235.75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C17725"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239.37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04BD0E"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98,236</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D58A2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723</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22636B" w14:textId="77777777" w:rsidR="00165359" w:rsidRPr="00165359" w:rsidRDefault="00165359" w:rsidP="0091338C">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2,35,05,523</w:t>
            </w:r>
          </w:p>
        </w:tc>
      </w:tr>
    </w:tbl>
    <w:p w14:paraId="69DB2F2C" w14:textId="77777777" w:rsidR="00165359" w:rsidRPr="00165359" w:rsidRDefault="00165359" w:rsidP="00165359">
      <w:pPr>
        <w:autoSpaceDE w:val="0"/>
        <w:autoSpaceDN w:val="0"/>
        <w:adjustRightInd w:val="0"/>
        <w:spacing w:line="360" w:lineRule="auto"/>
        <w:jc w:val="both"/>
        <w:rPr>
          <w:rFonts w:ascii="Times New Roman" w:hAnsi="Times New Roman" w:cs="Times New Roman"/>
          <w:noProof/>
          <w:color w:val="000000"/>
        </w:rPr>
      </w:pPr>
      <w:r w:rsidRPr="00165359">
        <w:rPr>
          <w:rFonts w:ascii="Times New Roman" w:hAnsi="Times New Roman" w:cs="Times New Roman"/>
          <w:noProof/>
          <w:color w:val="000000"/>
        </w:rPr>
        <w:drawing>
          <wp:inline distT="0" distB="0" distL="0" distR="0" wp14:anchorId="1D607908" wp14:editId="190FE6EC">
            <wp:extent cx="4561906" cy="2553195"/>
            <wp:effectExtent l="19050" t="0" r="10094" b="0"/>
            <wp:docPr id="36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8AD93BD" w14:textId="77777777" w:rsidR="00165359" w:rsidRPr="0091338C" w:rsidRDefault="0091338C" w:rsidP="0091338C">
      <w:pPr>
        <w:autoSpaceDE w:val="0"/>
        <w:autoSpaceDN w:val="0"/>
        <w:adjustRightInd w:val="0"/>
        <w:spacing w:line="360" w:lineRule="auto"/>
        <w:jc w:val="both"/>
        <w:rPr>
          <w:rFonts w:ascii="Times New Roman" w:hAnsi="Times New Roman" w:cs="Times New Roman"/>
          <w:b/>
          <w:bCs/>
          <w:color w:val="000000"/>
          <w:sz w:val="28"/>
          <w:szCs w:val="28"/>
        </w:rPr>
      </w:pPr>
      <w:r w:rsidRPr="00165359">
        <w:rPr>
          <w:rFonts w:ascii="Times New Roman" w:hAnsi="Times New Roman" w:cs="Times New Roman"/>
          <w:b/>
          <w:bCs/>
          <w:color w:val="000000"/>
          <w:sz w:val="28"/>
          <w:szCs w:val="28"/>
        </w:rPr>
        <w:t>Interpretation:</w:t>
      </w:r>
      <w:r w:rsidRPr="00165359">
        <w:rPr>
          <w:rFonts w:ascii="Times New Roman" w:hAnsi="Times New Roman" w:cs="Times New Roman"/>
          <w:color w:val="000000"/>
        </w:rPr>
        <w:t xml:space="preserve"> On</w:t>
      </w:r>
      <w:r w:rsidR="00165359" w:rsidRPr="00165359">
        <w:rPr>
          <w:rFonts w:ascii="Times New Roman" w:hAnsi="Times New Roman" w:cs="Times New Roman"/>
          <w:color w:val="000000"/>
        </w:rPr>
        <w:t xml:space="preserve"> 1</w:t>
      </w:r>
      <w:r w:rsidR="00165359" w:rsidRPr="00165359">
        <w:rPr>
          <w:rFonts w:ascii="Times New Roman" w:hAnsi="Times New Roman" w:cs="Times New Roman"/>
          <w:color w:val="000000"/>
          <w:vertAlign w:val="superscript"/>
        </w:rPr>
        <w:t>st</w:t>
      </w:r>
      <w:r w:rsidR="00165359" w:rsidRPr="00165359">
        <w:rPr>
          <w:rFonts w:ascii="Times New Roman" w:hAnsi="Times New Roman" w:cs="Times New Roman"/>
          <w:color w:val="000000"/>
        </w:rPr>
        <w:t xml:space="preserve"> Jan open value has increased to 242.45 than compared to higher value of EPS 285.63. Then coming to higher price to 296.32 wholly the conclusion is 245.23.Then coming to the volume on the same dates or days volume are increased. Because totally this month FEDBANK OF INDIA. EPS value is increased i.e. percentage 10.37%.</w:t>
      </w:r>
    </w:p>
    <w:p w14:paraId="56096A9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sz w:val="28"/>
          <w:szCs w:val="28"/>
        </w:rPr>
      </w:pPr>
      <w:r w:rsidRPr="00165359">
        <w:rPr>
          <w:rFonts w:ascii="Times New Roman" w:hAnsi="Times New Roman" w:cs="Times New Roman"/>
          <w:b/>
          <w:color w:val="000000"/>
          <w:sz w:val="28"/>
          <w:szCs w:val="28"/>
        </w:rPr>
        <w:lastRenderedPageBreak/>
        <w:t xml:space="preserve">Stock Prices </w:t>
      </w:r>
    </w:p>
    <w:p w14:paraId="424AEDC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sz w:val="28"/>
          <w:szCs w:val="28"/>
        </w:rPr>
      </w:pPr>
      <w:r w:rsidRPr="00165359">
        <w:rPr>
          <w:rFonts w:ascii="Times New Roman" w:hAnsi="Times New Roman" w:cs="Times New Roman"/>
          <w:b/>
          <w:color w:val="000000"/>
          <w:sz w:val="28"/>
          <w:szCs w:val="28"/>
        </w:rPr>
        <w:t>Company: </w:t>
      </w:r>
      <w:hyperlink r:id="rId17" w:history="1">
        <w:r w:rsidRPr="00165359">
          <w:rPr>
            <w:rFonts w:ascii="Times New Roman" w:hAnsi="Times New Roman" w:cs="Times New Roman"/>
            <w:b/>
            <w:color w:val="000000"/>
            <w:sz w:val="28"/>
            <w:szCs w:val="28"/>
          </w:rPr>
          <w:t>ADANIENTE</w:t>
        </w:r>
      </w:hyperlink>
      <w:r w:rsidRPr="00165359">
        <w:rPr>
          <w:rFonts w:ascii="Times New Roman" w:hAnsi="Times New Roman" w:cs="Times New Roman"/>
          <w:b/>
          <w:color w:val="000000"/>
          <w:sz w:val="28"/>
          <w:szCs w:val="28"/>
        </w:rPr>
        <w:t xml:space="preserve"> ( 512599 )    </w:t>
      </w:r>
    </w:p>
    <w:tbl>
      <w:tblPr>
        <w:tblW w:w="14116" w:type="dxa"/>
        <w:tblInd w:w="-90" w:type="dxa"/>
        <w:tblLayout w:type="fixed"/>
        <w:tblCellMar>
          <w:left w:w="0" w:type="dxa"/>
          <w:right w:w="0" w:type="dxa"/>
        </w:tblCellMar>
        <w:tblLook w:val="0000" w:firstRow="0" w:lastRow="0" w:firstColumn="0" w:lastColumn="0" w:noHBand="0" w:noVBand="0"/>
      </w:tblPr>
      <w:tblGrid>
        <w:gridCol w:w="974"/>
        <w:gridCol w:w="959"/>
        <w:gridCol w:w="992"/>
        <w:gridCol w:w="1134"/>
        <w:gridCol w:w="993"/>
        <w:gridCol w:w="850"/>
        <w:gridCol w:w="851"/>
        <w:gridCol w:w="1134"/>
        <w:gridCol w:w="1549"/>
        <w:gridCol w:w="152"/>
        <w:gridCol w:w="4528"/>
      </w:tblGrid>
      <w:tr w:rsidR="00165359" w:rsidRPr="00165359" w14:paraId="4572E2BA" w14:textId="77777777" w:rsidTr="00F97974">
        <w:trPr>
          <w:trHeight w:val="1"/>
        </w:trPr>
        <w:tc>
          <w:tcPr>
            <w:tcW w:w="9436" w:type="dxa"/>
            <w:gridSpan w:val="9"/>
            <w:tcBorders>
              <w:top w:val="nil"/>
              <w:left w:val="nil"/>
              <w:bottom w:val="nil"/>
              <w:right w:val="nil"/>
            </w:tcBorders>
            <w:shd w:val="clear" w:color="000000" w:fill="FFFFFF"/>
            <w:vAlign w:val="center"/>
          </w:tcPr>
          <w:p w14:paraId="4F91041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Period   ( 01-Jan-</w:t>
            </w:r>
            <w:r w:rsidR="000439FA">
              <w:rPr>
                <w:rFonts w:ascii="Times New Roman" w:hAnsi="Times New Roman" w:cs="Times New Roman"/>
                <w:color w:val="000000"/>
              </w:rPr>
              <w:t>20</w:t>
            </w:r>
            <w:r w:rsidRPr="00165359">
              <w:rPr>
                <w:rFonts w:ascii="Times New Roman" w:hAnsi="Times New Roman" w:cs="Times New Roman"/>
                <w:color w:val="000000"/>
              </w:rPr>
              <w:t>23  to  31-Jan-</w:t>
            </w:r>
            <w:r w:rsidR="000439FA">
              <w:rPr>
                <w:rFonts w:ascii="Times New Roman" w:hAnsi="Times New Roman" w:cs="Times New Roman"/>
                <w:color w:val="000000"/>
              </w:rPr>
              <w:t>20</w:t>
            </w:r>
            <w:r w:rsidRPr="00165359">
              <w:rPr>
                <w:rFonts w:ascii="Times New Roman" w:hAnsi="Times New Roman" w:cs="Times New Roman"/>
                <w:color w:val="000000"/>
              </w:rPr>
              <w:t xml:space="preserve">23 ) </w:t>
            </w:r>
          </w:p>
        </w:tc>
        <w:tc>
          <w:tcPr>
            <w:tcW w:w="4680" w:type="dxa"/>
            <w:gridSpan w:val="2"/>
            <w:tcBorders>
              <w:top w:val="nil"/>
              <w:left w:val="nil"/>
              <w:bottom w:val="nil"/>
              <w:right w:val="nil"/>
            </w:tcBorders>
            <w:shd w:val="clear" w:color="000000" w:fill="FFFFFF"/>
            <w:vAlign w:val="center"/>
          </w:tcPr>
          <w:p w14:paraId="09560E6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p>
        </w:tc>
      </w:tr>
      <w:tr w:rsidR="00165359" w:rsidRPr="00165359" w14:paraId="1DA059C0" w14:textId="77777777" w:rsidTr="00F97974">
        <w:tblPrEx>
          <w:tblCellMar>
            <w:left w:w="14" w:type="dxa"/>
            <w:right w:w="14" w:type="dxa"/>
          </w:tblCellMar>
        </w:tblPrEx>
        <w:trPr>
          <w:gridAfter w:val="1"/>
          <w:wAfter w:w="4528" w:type="dxa"/>
          <w:trHeight w:val="563"/>
        </w:trPr>
        <w:tc>
          <w:tcPr>
            <w:tcW w:w="97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370CF9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Date</w:t>
            </w:r>
          </w:p>
        </w:tc>
        <w:tc>
          <w:tcPr>
            <w:tcW w:w="959"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79D89B69"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Open </w:t>
            </w:r>
            <w:r w:rsidRPr="00165359">
              <w:rPr>
                <w:rFonts w:ascii="Times New Roman" w:hAnsi="Times New Roman" w:cs="Times New Roman"/>
                <w:b/>
                <w:bCs/>
                <w:color w:val="000000"/>
              </w:rPr>
              <w:br/>
              <w:t>Price</w:t>
            </w:r>
          </w:p>
        </w:tc>
        <w:tc>
          <w:tcPr>
            <w:tcW w:w="992"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CEF6E5"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High </w:t>
            </w:r>
            <w:r w:rsidRPr="00165359">
              <w:rPr>
                <w:rFonts w:ascii="Times New Roman" w:hAnsi="Times New Roman" w:cs="Times New Roman"/>
                <w:b/>
                <w:bCs/>
                <w:color w:val="000000"/>
              </w:rPr>
              <w:br/>
              <w:t>Price</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FE26A75"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Low </w:t>
            </w:r>
            <w:r w:rsidRPr="00165359">
              <w:rPr>
                <w:rFonts w:ascii="Times New Roman" w:hAnsi="Times New Roman" w:cs="Times New Roman"/>
                <w:b/>
                <w:bCs/>
                <w:color w:val="000000"/>
              </w:rPr>
              <w:br/>
              <w:t>Price</w:t>
            </w:r>
          </w:p>
        </w:tc>
        <w:tc>
          <w:tcPr>
            <w:tcW w:w="993"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C1AFE57"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Close </w:t>
            </w:r>
            <w:r w:rsidRPr="00165359">
              <w:rPr>
                <w:rFonts w:ascii="Times New Roman" w:hAnsi="Times New Roman" w:cs="Times New Roman"/>
                <w:b/>
                <w:bCs/>
                <w:color w:val="000000"/>
              </w:rPr>
              <w:br/>
              <w:t>Price</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29C48EB"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WAP</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0A615C6"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Shares</w:t>
            </w:r>
          </w:p>
        </w:tc>
        <w:tc>
          <w:tcPr>
            <w:tcW w:w="113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4E9DFB76"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Trades</w:t>
            </w:r>
          </w:p>
        </w:tc>
        <w:tc>
          <w:tcPr>
            <w:tcW w:w="1701"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DC4AFFE"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Total Turnover</w:t>
            </w:r>
            <w:r w:rsidRPr="00165359">
              <w:rPr>
                <w:rFonts w:ascii="Times New Roman" w:hAnsi="Times New Roman" w:cs="Times New Roman"/>
                <w:b/>
                <w:bCs/>
                <w:color w:val="000000"/>
              </w:rPr>
              <w:br/>
              <w:t>(Rs.)</w:t>
            </w:r>
          </w:p>
        </w:tc>
      </w:tr>
      <w:tr w:rsidR="00165359" w:rsidRPr="00165359" w14:paraId="17C507D6" w14:textId="77777777" w:rsidTr="00F97974">
        <w:tblPrEx>
          <w:tblCellMar>
            <w:left w:w="14" w:type="dxa"/>
            <w:right w:w="14" w:type="dxa"/>
          </w:tblCellMar>
        </w:tblPrEx>
        <w:trPr>
          <w:gridAfter w:val="1"/>
          <w:wAfter w:w="4528" w:type="dxa"/>
          <w:trHeight w:val="653"/>
        </w:trPr>
        <w:tc>
          <w:tcPr>
            <w:tcW w:w="97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B9FD040"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959"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D04F540"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992"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32417576"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4440836"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993"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0FBB904"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3F5872D"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D4F9015"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13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0573B17"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701"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D82A370"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r>
      <w:tr w:rsidR="00165359" w:rsidRPr="00165359" w14:paraId="60E912A2"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CCA51DD"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B3832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834.23</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BBFA7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834.23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83713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9BB66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821.10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CB182A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823.72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EF315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21,149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43BDA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845</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8D07A1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1,73,99,664</w:t>
            </w:r>
          </w:p>
        </w:tc>
      </w:tr>
      <w:tr w:rsidR="00165359" w:rsidRPr="00165359" w14:paraId="0B97EEE4"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87CACDD"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00763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C43DA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830.00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7EEEF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815.15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A145E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823.50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038B2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823.30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FE480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23,502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1D63B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748</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D867DE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1,60,36,556</w:t>
            </w:r>
          </w:p>
        </w:tc>
      </w:tr>
      <w:tr w:rsidR="00165359" w:rsidRPr="00165359" w14:paraId="14B5A0CA"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EB4659C"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AB082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821.10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163E0D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825.50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B62FF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823.05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5ADA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81A89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823.12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2E07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26,791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E712E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661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FCD5EA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2,23,71,937</w:t>
            </w:r>
          </w:p>
        </w:tc>
      </w:tr>
      <w:tr w:rsidR="00165359" w:rsidRPr="00165359" w14:paraId="4BDE132C"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6E6109F"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184FD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BAFDA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848.00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1219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69293B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830.70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9C90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834.23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E284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64,938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0637C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2,239</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D97993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5,41,68,683</w:t>
            </w:r>
          </w:p>
        </w:tc>
      </w:tr>
      <w:tr w:rsidR="00165359" w:rsidRPr="00165359" w14:paraId="4F93C190"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192554E"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DF4E6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755.00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CFA0A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868.00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54163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755.00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E42D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840.30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B6DBB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840.39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18DDA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35,233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FCB43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1,478</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999E2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2,95,50,751</w:t>
            </w:r>
          </w:p>
        </w:tc>
      </w:tr>
      <w:tr w:rsidR="00165359" w:rsidRPr="00165359" w14:paraId="40370440"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2758275"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1AB7D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842.45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0B9E5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C5D39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952D7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842.10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22BB7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848.55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7DCBC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93,793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FE353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2,445</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04CDFE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7,95,87,862</w:t>
            </w:r>
          </w:p>
        </w:tc>
      </w:tr>
      <w:tr w:rsidR="00165359" w:rsidRPr="00165359" w14:paraId="77C0C8AC"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9AAE8D7"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B32E9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840.00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10E157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858.00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5A573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831.00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CFA7E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844.85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6A009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845.94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69F3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78,128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36D77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2,381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3F421C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6,60,91,496</w:t>
            </w:r>
          </w:p>
        </w:tc>
      </w:tr>
      <w:tr w:rsidR="00165359" w:rsidRPr="00165359" w14:paraId="2532352B"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9DF7894"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2196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397.00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9BDE8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432.70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B3A9B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397.00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81D94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429.00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7A04F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427.94</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D1D2EB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84,570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967BD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1,607</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F1A0B5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3,61,91,037</w:t>
            </w:r>
          </w:p>
        </w:tc>
      </w:tr>
      <w:tr w:rsidR="00165359" w:rsidRPr="00165359" w14:paraId="1B0704DA"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22E7263"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E7098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66019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437.00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57235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424.70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F3B0A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CBB2C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430.76</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5976A0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39,960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CB0BD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1,157</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49248F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1,72,23,330</w:t>
            </w:r>
          </w:p>
        </w:tc>
      </w:tr>
      <w:tr w:rsidR="00165359" w:rsidRPr="00165359" w14:paraId="11138D04"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751EB18"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B4F80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430.10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9ACA4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433.00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4EDB0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36C36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424.55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F381C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426.69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DC7ED4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24,724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E6285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734</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DA654E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1,05,49,479</w:t>
            </w:r>
          </w:p>
        </w:tc>
      </w:tr>
      <w:tr w:rsidR="00165359" w:rsidRPr="00165359" w14:paraId="22B454CA"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615924B"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15-01-23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49A17C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428.00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8FAAB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429.00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0947AD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415.10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39F7A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9DDADA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5CF66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21,599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64BEF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582</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0FF718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90,80,121</w:t>
            </w:r>
          </w:p>
        </w:tc>
      </w:tr>
      <w:tr w:rsidR="00165359" w:rsidRPr="00165359" w14:paraId="492A3CC4"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B259B0D"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A417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6EB39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1EDAD8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415.45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2815C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423.70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D82A1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423.45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D29F8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25,043</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3FA1B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652</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C2CAE5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1,05,79,386</w:t>
            </w:r>
          </w:p>
        </w:tc>
      </w:tr>
      <w:tr w:rsidR="00165359" w:rsidRPr="00165359" w14:paraId="223D6566"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746A0544"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58E84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D3DF4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427.90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628BD4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F2C9A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424.80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2FCD1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425.37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DC8E2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23,562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4645F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443</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2F7A9E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57,68,806</w:t>
            </w:r>
          </w:p>
        </w:tc>
      </w:tr>
      <w:tr w:rsidR="00165359" w:rsidRPr="00165359" w14:paraId="3AF1BA93"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2867BE51"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FCEF1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86DDC2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429.85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A40CA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423.95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87256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B206F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425.71</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4C19D2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23,750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B5B05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446</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F3AB9A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1,01,10,614</w:t>
            </w:r>
          </w:p>
        </w:tc>
      </w:tr>
      <w:tr w:rsidR="00165359" w:rsidRPr="00165359" w14:paraId="3956E402"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668F7124"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7F466D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424.25</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1939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425.75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C4262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423.23</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F7C7F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423.85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BFDC1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423.89</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6B84D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42,108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D4438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512</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32FBC4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1,78,02,848</w:t>
            </w:r>
          </w:p>
        </w:tc>
      </w:tr>
      <w:tr w:rsidR="00165359" w:rsidRPr="00165359" w14:paraId="2F6B2698"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575F000"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85109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424.00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3DA032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425.80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B73BD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7F970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ED28F6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421.30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D57AA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47,142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CE3C2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541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8E6201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1,98,60,828</w:t>
            </w:r>
          </w:p>
        </w:tc>
      </w:tr>
      <w:tr w:rsidR="00165359" w:rsidRPr="00165359" w14:paraId="0146D440"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3CB46D43"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D0673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14E54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427.00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AC9A1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A0B1F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426.15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D7EE0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423.28</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D35D4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42,925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AE6BB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575</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4677D8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1,81,69,379</w:t>
            </w:r>
          </w:p>
        </w:tc>
      </w:tr>
      <w:tr w:rsidR="00165359" w:rsidRPr="00165359" w14:paraId="61E41C3F"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15493D92"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CBC4D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426.80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4C017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431.25</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FE092E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423.60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70D15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430.05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1B77C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427.42</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CCFF01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38,796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3A0BB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658</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DE0BDF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1,65,82,347</w:t>
            </w:r>
          </w:p>
        </w:tc>
      </w:tr>
      <w:tr w:rsidR="00165359" w:rsidRPr="00165359" w14:paraId="587337E6"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071C783A"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A3D0CA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437.90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1B5CB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437.90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C1214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428.00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26E5E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429.35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4FB15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52C38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23,978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22D33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531</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F0D333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1,03,60,971</w:t>
            </w:r>
          </w:p>
        </w:tc>
      </w:tr>
      <w:tr w:rsidR="00165359" w:rsidRPr="00165359" w14:paraId="31DF1485"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73447BF"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B1586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431.00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9873F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444.40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A5350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427.25</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EF274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434.25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C2A65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435.93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73048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7,81,232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81BB7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2,923</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A01607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34,05,33,964</w:t>
            </w:r>
          </w:p>
        </w:tc>
      </w:tr>
      <w:tr w:rsidR="00165359" w:rsidRPr="00165359" w14:paraId="223CE7A4" w14:textId="77777777" w:rsidTr="00F97974">
        <w:tblPrEx>
          <w:tblCellMar>
            <w:left w:w="14" w:type="dxa"/>
            <w:right w:w="14" w:type="dxa"/>
          </w:tblCellMar>
        </w:tblPrEx>
        <w:trPr>
          <w:gridAfter w:val="1"/>
          <w:wAfter w:w="4528" w:type="dxa"/>
          <w:trHeight w:val="1"/>
        </w:trPr>
        <w:tc>
          <w:tcPr>
            <w:tcW w:w="974" w:type="dxa"/>
            <w:tcBorders>
              <w:top w:val="single" w:sz="3" w:space="0" w:color="000000"/>
              <w:left w:val="single" w:sz="3" w:space="0" w:color="000000"/>
              <w:bottom w:val="single" w:sz="3" w:space="0" w:color="000000"/>
              <w:right w:val="single" w:sz="3" w:space="0" w:color="000000"/>
            </w:tcBorders>
            <w:shd w:val="clear" w:color="000000" w:fill="FFFFFF"/>
            <w:vAlign w:val="bottom"/>
          </w:tcPr>
          <w:p w14:paraId="5622F0E1" w14:textId="77777777" w:rsidR="00165359" w:rsidRPr="00165359" w:rsidRDefault="00165359" w:rsidP="000439FA">
            <w:pPr>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31-01-23</w:t>
            </w:r>
          </w:p>
        </w:tc>
        <w:tc>
          <w:tcPr>
            <w:tcW w:w="959"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7FDB4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437.40</w:t>
            </w:r>
          </w:p>
        </w:tc>
        <w:tc>
          <w:tcPr>
            <w:tcW w:w="99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0C101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441.80</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D1AE9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432.00</w:t>
            </w:r>
          </w:p>
        </w:tc>
        <w:tc>
          <w:tcPr>
            <w:tcW w:w="993"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23190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436.15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84741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438.57</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66801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3,38,999</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4C646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964</w:t>
            </w:r>
          </w:p>
        </w:tc>
        <w:tc>
          <w:tcPr>
            <w:tcW w:w="1701"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76B53EF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14,86,74,349</w:t>
            </w:r>
          </w:p>
        </w:tc>
      </w:tr>
    </w:tbl>
    <w:p w14:paraId="158F3FB2" w14:textId="77777777" w:rsidR="00165359" w:rsidRPr="00165359" w:rsidRDefault="00165359" w:rsidP="000439FA">
      <w:pPr>
        <w:autoSpaceDE w:val="0"/>
        <w:autoSpaceDN w:val="0"/>
        <w:adjustRightInd w:val="0"/>
        <w:spacing w:after="0" w:line="360" w:lineRule="auto"/>
        <w:jc w:val="both"/>
        <w:rPr>
          <w:rFonts w:ascii="Times New Roman" w:hAnsi="Times New Roman" w:cs="Times New Roman"/>
          <w:color w:val="000000"/>
        </w:rPr>
      </w:pPr>
    </w:p>
    <w:p w14:paraId="338B3D39" w14:textId="77777777" w:rsidR="00165359" w:rsidRPr="00165359" w:rsidRDefault="00165359" w:rsidP="00165359">
      <w:pPr>
        <w:autoSpaceDE w:val="0"/>
        <w:autoSpaceDN w:val="0"/>
        <w:adjustRightInd w:val="0"/>
        <w:spacing w:line="360" w:lineRule="auto"/>
        <w:jc w:val="both"/>
        <w:rPr>
          <w:rFonts w:ascii="Times New Roman" w:hAnsi="Times New Roman" w:cs="Times New Roman"/>
          <w:noProof/>
          <w:color w:val="000000"/>
        </w:rPr>
      </w:pPr>
      <w:r w:rsidRPr="00165359">
        <w:rPr>
          <w:rFonts w:ascii="Times New Roman" w:hAnsi="Times New Roman" w:cs="Times New Roman"/>
          <w:noProof/>
          <w:color w:val="000000"/>
        </w:rPr>
        <w:drawing>
          <wp:inline distT="0" distB="0" distL="0" distR="0" wp14:anchorId="121ABC5C" wp14:editId="26B8D9FC">
            <wp:extent cx="4558921" cy="2161309"/>
            <wp:effectExtent l="19050" t="0" r="13079" b="0"/>
            <wp:docPr id="368"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FB877F7" w14:textId="77777777" w:rsidR="00165359" w:rsidRPr="000439FA" w:rsidRDefault="000439FA" w:rsidP="000439FA">
      <w:pPr>
        <w:autoSpaceDE w:val="0"/>
        <w:autoSpaceDN w:val="0"/>
        <w:adjustRightInd w:val="0"/>
        <w:spacing w:line="360" w:lineRule="auto"/>
        <w:jc w:val="both"/>
        <w:rPr>
          <w:rFonts w:ascii="Times New Roman" w:hAnsi="Times New Roman" w:cs="Times New Roman"/>
          <w:b/>
          <w:bCs/>
          <w:color w:val="000000"/>
          <w:sz w:val="28"/>
          <w:szCs w:val="28"/>
        </w:rPr>
      </w:pPr>
      <w:r w:rsidRPr="00165359">
        <w:rPr>
          <w:rFonts w:ascii="Times New Roman" w:hAnsi="Times New Roman" w:cs="Times New Roman"/>
          <w:b/>
          <w:bCs/>
          <w:color w:val="000000"/>
          <w:sz w:val="28"/>
          <w:szCs w:val="28"/>
        </w:rPr>
        <w:t>Interpretation:</w:t>
      </w:r>
      <w:r w:rsidRPr="00165359">
        <w:rPr>
          <w:rFonts w:ascii="Times New Roman" w:hAnsi="Times New Roman" w:cs="Times New Roman"/>
          <w:color w:val="000000"/>
        </w:rPr>
        <w:t xml:space="preserve"> On</w:t>
      </w:r>
      <w:r w:rsidR="00165359" w:rsidRPr="00165359">
        <w:rPr>
          <w:rFonts w:ascii="Times New Roman" w:hAnsi="Times New Roman" w:cs="Times New Roman"/>
          <w:color w:val="000000"/>
        </w:rPr>
        <w:t xml:space="preserve"> 1</w:t>
      </w:r>
      <w:r w:rsidR="00165359" w:rsidRPr="00165359">
        <w:rPr>
          <w:rFonts w:ascii="Times New Roman" w:hAnsi="Times New Roman" w:cs="Times New Roman"/>
          <w:color w:val="000000"/>
          <w:vertAlign w:val="superscript"/>
        </w:rPr>
        <w:t>st</w:t>
      </w:r>
      <w:r w:rsidR="00165359" w:rsidRPr="00165359">
        <w:rPr>
          <w:rFonts w:ascii="Times New Roman" w:hAnsi="Times New Roman" w:cs="Times New Roman"/>
          <w:color w:val="000000"/>
        </w:rPr>
        <w:t xml:space="preserve"> Jan open value has decreased to 821.10 than compared to higher value of EPS 868.00. Then coming to higher price to 865.21 wholly the conclusion is 863.58.Then coming to the volume on the same dates or days volume are decreased. Because totally this month ADANIENTE. EPS value is decreased i.e. percentage 06.38%.</w:t>
      </w:r>
    </w:p>
    <w:p w14:paraId="62DF2AC6" w14:textId="77777777" w:rsidR="00165359" w:rsidRPr="00165359" w:rsidRDefault="00165359" w:rsidP="00165359">
      <w:pPr>
        <w:autoSpaceDE w:val="0"/>
        <w:autoSpaceDN w:val="0"/>
        <w:adjustRightInd w:val="0"/>
        <w:spacing w:line="360" w:lineRule="auto"/>
        <w:ind w:left="360"/>
        <w:jc w:val="both"/>
        <w:rPr>
          <w:rFonts w:ascii="Times New Roman" w:hAnsi="Times New Roman" w:cs="Times New Roman"/>
          <w:color w:val="000000"/>
        </w:rPr>
      </w:pPr>
    </w:p>
    <w:p w14:paraId="2678EB7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sz w:val="28"/>
          <w:szCs w:val="28"/>
        </w:rPr>
      </w:pPr>
      <w:r w:rsidRPr="00165359">
        <w:rPr>
          <w:rFonts w:ascii="Times New Roman" w:hAnsi="Times New Roman" w:cs="Times New Roman"/>
          <w:b/>
          <w:color w:val="000000"/>
          <w:sz w:val="28"/>
          <w:szCs w:val="28"/>
        </w:rPr>
        <w:lastRenderedPageBreak/>
        <w:t xml:space="preserve">Stock Prices </w:t>
      </w:r>
    </w:p>
    <w:p w14:paraId="07ECE4A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sz w:val="28"/>
          <w:szCs w:val="28"/>
        </w:rPr>
      </w:pPr>
      <w:r w:rsidRPr="00165359">
        <w:rPr>
          <w:rFonts w:ascii="Times New Roman" w:hAnsi="Times New Roman" w:cs="Times New Roman"/>
          <w:b/>
          <w:color w:val="000000"/>
          <w:sz w:val="28"/>
          <w:szCs w:val="28"/>
        </w:rPr>
        <w:t>Company: </w:t>
      </w:r>
      <w:hyperlink r:id="rId19" w:history="1">
        <w:r w:rsidRPr="00165359">
          <w:rPr>
            <w:rFonts w:ascii="Times New Roman" w:hAnsi="Times New Roman" w:cs="Times New Roman"/>
            <w:b/>
            <w:color w:val="000000"/>
            <w:sz w:val="28"/>
            <w:szCs w:val="28"/>
          </w:rPr>
          <w:t>UNITECH</w:t>
        </w:r>
      </w:hyperlink>
      <w:r w:rsidRPr="00165359">
        <w:rPr>
          <w:rFonts w:ascii="Times New Roman" w:hAnsi="Times New Roman" w:cs="Times New Roman"/>
          <w:b/>
          <w:color w:val="000000"/>
          <w:sz w:val="28"/>
          <w:szCs w:val="28"/>
        </w:rPr>
        <w:t xml:space="preserve"> ( 507878 )    </w:t>
      </w:r>
    </w:p>
    <w:tbl>
      <w:tblPr>
        <w:tblW w:w="14026" w:type="dxa"/>
        <w:tblLayout w:type="fixed"/>
        <w:tblCellMar>
          <w:left w:w="0" w:type="dxa"/>
          <w:right w:w="0" w:type="dxa"/>
        </w:tblCellMar>
        <w:tblLook w:val="0000" w:firstRow="0" w:lastRow="0" w:firstColumn="0" w:lastColumn="0" w:noHBand="0" w:noVBand="0"/>
      </w:tblPr>
      <w:tblGrid>
        <w:gridCol w:w="884"/>
        <w:gridCol w:w="676"/>
        <w:gridCol w:w="708"/>
        <w:gridCol w:w="851"/>
        <w:gridCol w:w="850"/>
        <w:gridCol w:w="851"/>
        <w:gridCol w:w="1417"/>
        <w:gridCol w:w="1276"/>
        <w:gridCol w:w="1833"/>
        <w:gridCol w:w="152"/>
        <w:gridCol w:w="4528"/>
      </w:tblGrid>
      <w:tr w:rsidR="00165359" w:rsidRPr="00165359" w14:paraId="47801D2C" w14:textId="77777777" w:rsidTr="00F97974">
        <w:trPr>
          <w:trHeight w:val="451"/>
        </w:trPr>
        <w:tc>
          <w:tcPr>
            <w:tcW w:w="9346" w:type="dxa"/>
            <w:gridSpan w:val="9"/>
            <w:tcBorders>
              <w:top w:val="nil"/>
              <w:left w:val="nil"/>
              <w:bottom w:val="nil"/>
              <w:right w:val="nil"/>
            </w:tcBorders>
            <w:shd w:val="clear" w:color="000000" w:fill="FFFFFF"/>
            <w:vAlign w:val="center"/>
          </w:tcPr>
          <w:p w14:paraId="260DBB8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rPr>
            </w:pPr>
            <w:r w:rsidRPr="00165359">
              <w:rPr>
                <w:rFonts w:ascii="Times New Roman" w:hAnsi="Times New Roman" w:cs="Times New Roman"/>
                <w:b/>
                <w:color w:val="000000"/>
              </w:rPr>
              <w:t>Period (01-Jan-</w:t>
            </w:r>
            <w:r w:rsidR="000439FA">
              <w:rPr>
                <w:rFonts w:ascii="Times New Roman" w:hAnsi="Times New Roman" w:cs="Times New Roman"/>
                <w:b/>
                <w:color w:val="000000"/>
              </w:rPr>
              <w:t>20</w:t>
            </w:r>
            <w:r w:rsidRPr="00165359">
              <w:rPr>
                <w:rFonts w:ascii="Times New Roman" w:hAnsi="Times New Roman" w:cs="Times New Roman"/>
                <w:b/>
                <w:color w:val="000000"/>
              </w:rPr>
              <w:t>23 to 31-Jan-</w:t>
            </w:r>
            <w:r w:rsidR="000439FA">
              <w:rPr>
                <w:rFonts w:ascii="Times New Roman" w:hAnsi="Times New Roman" w:cs="Times New Roman"/>
                <w:b/>
                <w:color w:val="000000"/>
              </w:rPr>
              <w:t>20</w:t>
            </w:r>
            <w:r w:rsidRPr="00165359">
              <w:rPr>
                <w:rFonts w:ascii="Times New Roman" w:hAnsi="Times New Roman" w:cs="Times New Roman"/>
                <w:b/>
                <w:color w:val="000000"/>
              </w:rPr>
              <w:t xml:space="preserve">23) </w:t>
            </w:r>
          </w:p>
        </w:tc>
        <w:tc>
          <w:tcPr>
            <w:tcW w:w="4680" w:type="dxa"/>
            <w:gridSpan w:val="2"/>
            <w:tcBorders>
              <w:top w:val="nil"/>
              <w:left w:val="nil"/>
              <w:bottom w:val="nil"/>
              <w:right w:val="nil"/>
            </w:tcBorders>
            <w:shd w:val="clear" w:color="000000" w:fill="FFFFFF"/>
            <w:vAlign w:val="center"/>
          </w:tcPr>
          <w:p w14:paraId="77DF2AF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b/>
                <w:color w:val="000000"/>
              </w:rPr>
            </w:pPr>
          </w:p>
        </w:tc>
      </w:tr>
      <w:tr w:rsidR="00165359" w:rsidRPr="00165359" w14:paraId="28488000" w14:textId="77777777" w:rsidTr="00F97974">
        <w:tblPrEx>
          <w:tblCellMar>
            <w:left w:w="14" w:type="dxa"/>
            <w:right w:w="14" w:type="dxa"/>
          </w:tblCellMar>
        </w:tblPrEx>
        <w:trPr>
          <w:gridAfter w:val="1"/>
          <w:wAfter w:w="4528" w:type="dxa"/>
          <w:trHeight w:val="563"/>
        </w:trPr>
        <w:tc>
          <w:tcPr>
            <w:tcW w:w="884"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18EBF9E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b/>
                <w:bCs/>
                <w:color w:val="000000"/>
              </w:rPr>
              <w:t>Date</w:t>
            </w:r>
          </w:p>
        </w:tc>
        <w:tc>
          <w:tcPr>
            <w:tcW w:w="6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FDFC3E1"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Open </w:t>
            </w:r>
            <w:r w:rsidRPr="00165359">
              <w:rPr>
                <w:rFonts w:ascii="Times New Roman" w:hAnsi="Times New Roman" w:cs="Times New Roman"/>
                <w:b/>
                <w:bCs/>
                <w:color w:val="000000"/>
              </w:rPr>
              <w:br/>
              <w:t>Price</w:t>
            </w:r>
          </w:p>
        </w:tc>
        <w:tc>
          <w:tcPr>
            <w:tcW w:w="708"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366A4CDB"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High </w:t>
            </w:r>
            <w:r w:rsidRPr="00165359">
              <w:rPr>
                <w:rFonts w:ascii="Times New Roman" w:hAnsi="Times New Roman" w:cs="Times New Roman"/>
                <w:b/>
                <w:bCs/>
                <w:color w:val="000000"/>
              </w:rPr>
              <w:br/>
              <w:t>Price</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13374A"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Low </w:t>
            </w:r>
            <w:r w:rsidRPr="00165359">
              <w:rPr>
                <w:rFonts w:ascii="Times New Roman" w:hAnsi="Times New Roman" w:cs="Times New Roman"/>
                <w:b/>
                <w:bCs/>
                <w:color w:val="000000"/>
              </w:rPr>
              <w:br/>
              <w:t>Price</w:t>
            </w:r>
          </w:p>
        </w:tc>
        <w:tc>
          <w:tcPr>
            <w:tcW w:w="850"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273CE189"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Close </w:t>
            </w:r>
            <w:r w:rsidRPr="00165359">
              <w:rPr>
                <w:rFonts w:ascii="Times New Roman" w:hAnsi="Times New Roman" w:cs="Times New Roman"/>
                <w:b/>
                <w:bCs/>
                <w:color w:val="000000"/>
              </w:rPr>
              <w:br/>
              <w:t>Price</w:t>
            </w:r>
          </w:p>
        </w:tc>
        <w:tc>
          <w:tcPr>
            <w:tcW w:w="851"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5A4FB77"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WAP</w:t>
            </w:r>
          </w:p>
        </w:tc>
        <w:tc>
          <w:tcPr>
            <w:tcW w:w="1417"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054FF500"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Shares</w:t>
            </w:r>
          </w:p>
        </w:tc>
        <w:tc>
          <w:tcPr>
            <w:tcW w:w="1276" w:type="dxa"/>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6776C2A3"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 xml:space="preserve">No. of </w:t>
            </w:r>
            <w:r w:rsidRPr="00165359">
              <w:rPr>
                <w:rFonts w:ascii="Times New Roman" w:hAnsi="Times New Roman" w:cs="Times New Roman"/>
                <w:b/>
                <w:bCs/>
                <w:color w:val="000000"/>
              </w:rPr>
              <w:br/>
              <w:t>Trades</w:t>
            </w:r>
          </w:p>
        </w:tc>
        <w:tc>
          <w:tcPr>
            <w:tcW w:w="1985" w:type="dxa"/>
            <w:gridSpan w:val="2"/>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14:paraId="5215C58C"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r w:rsidRPr="00165359">
              <w:rPr>
                <w:rFonts w:ascii="Times New Roman" w:hAnsi="Times New Roman" w:cs="Times New Roman"/>
                <w:b/>
                <w:bCs/>
                <w:color w:val="000000"/>
              </w:rPr>
              <w:t>Total Turnover</w:t>
            </w:r>
            <w:r w:rsidRPr="00165359">
              <w:rPr>
                <w:rFonts w:ascii="Times New Roman" w:hAnsi="Times New Roman" w:cs="Times New Roman"/>
                <w:b/>
                <w:bCs/>
                <w:color w:val="000000"/>
              </w:rPr>
              <w:br/>
              <w:t>(Rs.)</w:t>
            </w:r>
          </w:p>
        </w:tc>
      </w:tr>
      <w:tr w:rsidR="00165359" w:rsidRPr="00165359" w14:paraId="44981420" w14:textId="77777777" w:rsidTr="00F97974">
        <w:tblPrEx>
          <w:tblCellMar>
            <w:left w:w="14" w:type="dxa"/>
            <w:right w:w="14" w:type="dxa"/>
          </w:tblCellMar>
        </w:tblPrEx>
        <w:trPr>
          <w:gridAfter w:val="1"/>
          <w:wAfter w:w="4528" w:type="dxa"/>
          <w:trHeight w:val="563"/>
        </w:trPr>
        <w:tc>
          <w:tcPr>
            <w:tcW w:w="884"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0063484F"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6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7BD9BD09"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708"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6B360744"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2C1B3D1"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850"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2C1C12FF"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851"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C1191B5"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417"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590FBB1F"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276"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4B8A8374"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c>
          <w:tcPr>
            <w:tcW w:w="1985" w:type="dxa"/>
            <w:gridSpan w:val="2"/>
            <w:vMerge/>
            <w:tcBorders>
              <w:top w:val="single" w:sz="3" w:space="0" w:color="000000"/>
              <w:left w:val="single" w:sz="3" w:space="0" w:color="000000"/>
              <w:bottom w:val="single" w:sz="3" w:space="0" w:color="000000"/>
              <w:right w:val="single" w:sz="3" w:space="0" w:color="000000"/>
            </w:tcBorders>
            <w:shd w:val="clear" w:color="000000" w:fill="FFFFFF"/>
            <w:vAlign w:val="center"/>
          </w:tcPr>
          <w:p w14:paraId="1BE1E843" w14:textId="77777777" w:rsidR="00165359" w:rsidRPr="00165359" w:rsidRDefault="00165359" w:rsidP="000439FA">
            <w:pPr>
              <w:autoSpaceDE w:val="0"/>
              <w:autoSpaceDN w:val="0"/>
              <w:adjustRightInd w:val="0"/>
              <w:spacing w:line="240" w:lineRule="auto"/>
              <w:jc w:val="both"/>
              <w:rPr>
                <w:rFonts w:ascii="Times New Roman" w:hAnsi="Times New Roman" w:cs="Times New Roman"/>
                <w:color w:val="000000"/>
              </w:rPr>
            </w:pPr>
          </w:p>
        </w:tc>
      </w:tr>
      <w:tr w:rsidR="00165359" w:rsidRPr="00165359" w14:paraId="7E57D5E9"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48FBE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F46C1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E3776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89.60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68D4C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79.60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BB8BEC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88.75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7B86F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85.51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F5DE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3,30,51,471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66428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99,763</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713D17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2,82,61,23,251</w:t>
            </w:r>
          </w:p>
        </w:tc>
      </w:tr>
      <w:tr w:rsidR="00165359" w:rsidRPr="00165359" w14:paraId="47F9988E"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B64C6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CB4C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90.35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CEF43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92.00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7C440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88.25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C4B0DD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88.85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65F0BF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90.01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75B875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1,79,23,758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6397F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63,156</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0CA325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1,61,24,12,787</w:t>
            </w:r>
          </w:p>
        </w:tc>
      </w:tr>
      <w:tr w:rsidR="00165359" w:rsidRPr="00165359" w14:paraId="1E25E5EC"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5E69D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0EFFF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89.75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7DD28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201BF2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E699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F4E74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90.73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5A1F9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1,30,55,731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7B64B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45,750</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9D3671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1,23,46,10,423</w:t>
            </w:r>
          </w:p>
        </w:tc>
      </w:tr>
      <w:tr w:rsidR="00165359" w:rsidRPr="00165359" w14:paraId="4EE89202"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F2540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8F048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6ACD94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1746E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808509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2091CB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88.25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2A0044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1,12,24,608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D1098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35,607</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1679C6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98,23,68,236</w:t>
            </w:r>
          </w:p>
        </w:tc>
      </w:tr>
      <w:tr w:rsidR="00165359" w:rsidRPr="00165359" w14:paraId="00E9CFC0"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36281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AD2AF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88.05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55FE1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89.65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010F8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BD3B6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89BDED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87.98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BFDBF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75,40,276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1660C4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25,835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62F2350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66,34,06,523</w:t>
            </w:r>
          </w:p>
        </w:tc>
      </w:tr>
      <w:tr w:rsidR="00165359" w:rsidRPr="00165359" w14:paraId="02DB8AE4"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D3A9A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721432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86.80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1993A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91.80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A417E0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86.05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8C93A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097EF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89.23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858383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1,23,56,295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70C30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39,010</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FF7073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1,01,32,29,410</w:t>
            </w:r>
          </w:p>
        </w:tc>
      </w:tr>
      <w:tr w:rsidR="00165359" w:rsidRPr="00165359" w14:paraId="3771B0C9"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B6C071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A5A163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141B2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91.80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6327D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1FD7B6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737C0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90.21</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69E41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1,57,27,989</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5F63F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50,638</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08B34B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1,41,88,55,277</w:t>
            </w:r>
          </w:p>
        </w:tc>
      </w:tr>
      <w:tr w:rsidR="00165359" w:rsidRPr="00165359" w14:paraId="2703A6C9"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97EF3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2C1669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089F65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90.23</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BB492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88.23</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F170B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7F2FA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89.05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549C9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97,14,125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09500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33,159</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24F4B2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86,50,55,972</w:t>
            </w:r>
          </w:p>
        </w:tc>
      </w:tr>
      <w:tr w:rsidR="00165359" w:rsidRPr="00165359" w14:paraId="2B66838F"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2231A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4D7BC3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89.23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35B8C8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90.30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A2BD4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8496E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86.65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9D282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87.95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B1A480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92,71,850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49B83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32,275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92CEBF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81,54,66,236</w:t>
            </w:r>
          </w:p>
        </w:tc>
      </w:tr>
      <w:tr w:rsidR="00165359" w:rsidRPr="00165359" w14:paraId="55A8FF85"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6D1CA5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94C005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87.50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B6AF5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88.25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70DE3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08CBE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86.45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F82348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87.06</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26FFC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73,50,436</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03061F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26,695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B2B42A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63,99,23,604</w:t>
            </w:r>
          </w:p>
        </w:tc>
      </w:tr>
      <w:tr w:rsidR="00165359" w:rsidRPr="00165359" w14:paraId="5EFA5419"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5F7F0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15/01/23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D986CE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86.55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B97D44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87.90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B8991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84.30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6D6D33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85.60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A71AB1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86.67</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5BE51F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1,04,53,061</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5BA0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30,230</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329A06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90,59,27,927</w:t>
            </w:r>
          </w:p>
        </w:tc>
      </w:tr>
      <w:tr w:rsidR="00165359" w:rsidRPr="00165359" w14:paraId="4F81737E"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79248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7B1E5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85.23</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46EA0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85.70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78C2DC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83.55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C64B5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D46480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84.65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45866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77,23,497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241620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27,376</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159724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65,34,31,576</w:t>
            </w:r>
          </w:p>
        </w:tc>
      </w:tr>
      <w:tr w:rsidR="00165359" w:rsidRPr="00165359" w14:paraId="03A4EDFB"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4388BF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5EE28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84.40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25B77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0FC9A2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81.45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5B304D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82.55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FCC8B5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82.78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09372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1,44,32,912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96C59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41,045</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C27F31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1,23,48,24,023</w:t>
            </w:r>
          </w:p>
        </w:tc>
      </w:tr>
      <w:tr w:rsidR="00165359" w:rsidRPr="00165359" w14:paraId="04AF7DCE"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94A73F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850F83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82.40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54F5C7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9B8FE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79.55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EBA99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80.05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DD5F38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80.92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ED3F1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1,34,03,534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9936A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45,899</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3D2AFC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1,08,46,04,898</w:t>
            </w:r>
          </w:p>
        </w:tc>
      </w:tr>
      <w:tr w:rsidR="00165359" w:rsidRPr="00165359" w14:paraId="7BC6E7B4"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7A070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21/01/23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36B698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80.00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BD75A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80.95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5683D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0DC88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ED26D3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79.63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B5653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1,05,40,888</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FA028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33,644</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84074A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83,94,01,276</w:t>
            </w:r>
          </w:p>
        </w:tc>
      </w:tr>
      <w:tr w:rsidR="00165359" w:rsidRPr="00165359" w14:paraId="2B6937D1"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B3CC7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4B7D69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78.90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B0EF4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80.35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DD8FB2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78.50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828822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79.60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516E53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79.60</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A646C5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68,59,464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9CF4A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23,724</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562D3E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54,60,14,064</w:t>
            </w:r>
          </w:p>
        </w:tc>
      </w:tr>
      <w:tr w:rsidR="00165359" w:rsidRPr="00165359" w14:paraId="5F76D450"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8F050B"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FC1791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80.10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4E8DF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82.40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A9222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80.00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913CA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81.90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D12CA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81.32</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AA2BD3"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85,56,695</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6029DA"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32,473</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233265C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69,58,15,750</w:t>
            </w:r>
          </w:p>
        </w:tc>
      </w:tr>
      <w:tr w:rsidR="00165359" w:rsidRPr="00165359" w14:paraId="161353A6"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CBBDF2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24/01/23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6D7A37"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82.50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8F68B1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83.50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42B59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81.35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B3E341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82.00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C60E09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82.48</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B96092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91,69,702</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EB064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32,472</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145B853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75,63,31,547</w:t>
            </w:r>
          </w:p>
        </w:tc>
      </w:tr>
      <w:tr w:rsidR="00165359" w:rsidRPr="00165359" w14:paraId="700AED23"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E7CBCA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29/01/23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25E391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81.45</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3C1333F"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82.85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5D7D67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81.45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44AB61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81.95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138990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82.23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353610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44,73,304</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0BD5DC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23,569</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BC42D4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36,78,23,331</w:t>
            </w:r>
          </w:p>
        </w:tc>
      </w:tr>
      <w:tr w:rsidR="00165359" w:rsidRPr="00165359" w14:paraId="4B7E8C50"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E3855D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30/01/23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4127BE"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82.60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9E5E65"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83.70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E980F4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81.45</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A8EE55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82.65</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7003C0D"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82.85</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F0CA0A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72,52,440</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7C1004"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27,832</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4C7F5221"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60,08,34,458</w:t>
            </w:r>
          </w:p>
        </w:tc>
      </w:tr>
      <w:tr w:rsidR="00165359" w:rsidRPr="00165359" w14:paraId="151AFA96" w14:textId="77777777" w:rsidTr="00F97974">
        <w:tblPrEx>
          <w:tblCellMar>
            <w:left w:w="14" w:type="dxa"/>
            <w:right w:w="14" w:type="dxa"/>
          </w:tblCellMar>
        </w:tblPrEx>
        <w:trPr>
          <w:gridAfter w:val="1"/>
          <w:wAfter w:w="4528" w:type="dxa"/>
          <w:trHeight w:val="1"/>
        </w:trPr>
        <w:tc>
          <w:tcPr>
            <w:tcW w:w="884"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0D9A81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31/01/23</w:t>
            </w:r>
          </w:p>
        </w:tc>
        <w:tc>
          <w:tcPr>
            <w:tcW w:w="6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9132C3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82.90</w:t>
            </w:r>
          </w:p>
        </w:tc>
        <w:tc>
          <w:tcPr>
            <w:tcW w:w="708"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F93FEFC"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84.10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BAA14E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82.10</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6F12926"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82.30</w:t>
            </w:r>
          </w:p>
        </w:tc>
        <w:tc>
          <w:tcPr>
            <w:tcW w:w="851"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CC49669"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83.03</w:t>
            </w:r>
          </w:p>
        </w:tc>
        <w:tc>
          <w:tcPr>
            <w:tcW w:w="1417"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CCAFA82"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45,81,377</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F92830"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23,610</w:t>
            </w:r>
          </w:p>
        </w:tc>
        <w:tc>
          <w:tcPr>
            <w:tcW w:w="1985"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5E87A6E8" w14:textId="77777777" w:rsidR="00165359" w:rsidRPr="00165359" w:rsidRDefault="00165359" w:rsidP="000439FA">
            <w:pPr>
              <w:autoSpaceDE w:val="0"/>
              <w:autoSpaceDN w:val="0"/>
              <w:adjustRightInd w:val="0"/>
              <w:spacing w:after="0" w:line="240" w:lineRule="auto"/>
              <w:jc w:val="both"/>
              <w:rPr>
                <w:rFonts w:ascii="Times New Roman" w:hAnsi="Times New Roman" w:cs="Times New Roman"/>
                <w:color w:val="000000"/>
              </w:rPr>
            </w:pPr>
            <w:r w:rsidRPr="00165359">
              <w:rPr>
                <w:rFonts w:ascii="Times New Roman" w:hAnsi="Times New Roman" w:cs="Times New Roman"/>
                <w:color w:val="000000"/>
              </w:rPr>
              <w:t>38,03,74,123</w:t>
            </w:r>
          </w:p>
        </w:tc>
      </w:tr>
    </w:tbl>
    <w:p w14:paraId="470BF9F9" w14:textId="77777777" w:rsidR="00165359" w:rsidRPr="00165359" w:rsidRDefault="00165359" w:rsidP="000439FA">
      <w:pPr>
        <w:autoSpaceDE w:val="0"/>
        <w:autoSpaceDN w:val="0"/>
        <w:adjustRightInd w:val="0"/>
        <w:spacing w:line="360" w:lineRule="auto"/>
        <w:jc w:val="center"/>
        <w:rPr>
          <w:rFonts w:ascii="Times New Roman" w:hAnsi="Times New Roman" w:cs="Times New Roman"/>
          <w:color w:val="000000"/>
        </w:rPr>
      </w:pPr>
      <w:r w:rsidRPr="00165359">
        <w:rPr>
          <w:rFonts w:ascii="Times New Roman" w:hAnsi="Times New Roman" w:cs="Times New Roman"/>
          <w:noProof/>
          <w:color w:val="000000"/>
        </w:rPr>
        <w:drawing>
          <wp:inline distT="0" distB="0" distL="0" distR="0" wp14:anchorId="1C8F53BE" wp14:editId="418C6688">
            <wp:extent cx="4554220" cy="2428726"/>
            <wp:effectExtent l="19050" t="0" r="17780" b="0"/>
            <wp:docPr id="36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181A91D" w14:textId="77777777" w:rsidR="00165359" w:rsidRPr="000439FA" w:rsidRDefault="000439FA" w:rsidP="00165359">
      <w:pPr>
        <w:autoSpaceDE w:val="0"/>
        <w:autoSpaceDN w:val="0"/>
        <w:adjustRightInd w:val="0"/>
        <w:spacing w:line="360" w:lineRule="auto"/>
        <w:jc w:val="both"/>
        <w:rPr>
          <w:rFonts w:ascii="Times New Roman" w:hAnsi="Times New Roman" w:cs="Times New Roman"/>
          <w:color w:val="000000"/>
        </w:rPr>
      </w:pPr>
      <w:r w:rsidRPr="00165359">
        <w:rPr>
          <w:rFonts w:ascii="Times New Roman" w:hAnsi="Times New Roman" w:cs="Times New Roman"/>
          <w:b/>
          <w:bCs/>
          <w:color w:val="000000"/>
          <w:sz w:val="28"/>
          <w:szCs w:val="28"/>
        </w:rPr>
        <w:t>Interpretation:</w:t>
      </w:r>
      <w:r>
        <w:rPr>
          <w:rFonts w:ascii="Times New Roman" w:hAnsi="Times New Roman" w:cs="Times New Roman"/>
          <w:color w:val="000000"/>
        </w:rPr>
        <w:t xml:space="preserve"> </w:t>
      </w:r>
      <w:r w:rsidR="00165359" w:rsidRPr="00165359">
        <w:rPr>
          <w:rFonts w:ascii="Times New Roman" w:hAnsi="Times New Roman" w:cs="Times New Roman"/>
          <w:color w:val="000000"/>
        </w:rPr>
        <w:t>On 1</w:t>
      </w:r>
      <w:r w:rsidR="00165359" w:rsidRPr="00165359">
        <w:rPr>
          <w:rFonts w:ascii="Times New Roman" w:hAnsi="Times New Roman" w:cs="Times New Roman"/>
          <w:color w:val="000000"/>
          <w:vertAlign w:val="superscript"/>
        </w:rPr>
        <w:t>st</w:t>
      </w:r>
      <w:r w:rsidR="00165359" w:rsidRPr="00165359">
        <w:rPr>
          <w:rFonts w:ascii="Times New Roman" w:hAnsi="Times New Roman" w:cs="Times New Roman"/>
          <w:color w:val="000000"/>
        </w:rPr>
        <w:t xml:space="preserve"> Jan open value has increased to 88.75 than compared to higher value of EPS 91.80 Then coming to higher price to 89.36 wholly the conclusion is 86.58.</w:t>
      </w:r>
      <w:r>
        <w:rPr>
          <w:rFonts w:ascii="Times New Roman" w:hAnsi="Times New Roman" w:cs="Times New Roman"/>
          <w:color w:val="000000"/>
        </w:rPr>
        <w:t xml:space="preserve"> </w:t>
      </w:r>
      <w:r w:rsidR="00165359" w:rsidRPr="00165359">
        <w:rPr>
          <w:rFonts w:ascii="Times New Roman" w:hAnsi="Times New Roman" w:cs="Times New Roman"/>
          <w:color w:val="000000"/>
        </w:rPr>
        <w:t>Then coming to the volume on the same dates or days volume are increased. Because totally this month UNITECH. EPS value is increased i.e. percentage 23.32%.</w:t>
      </w:r>
    </w:p>
    <w:p w14:paraId="56418757" w14:textId="77777777" w:rsidR="00165359" w:rsidRPr="00165359" w:rsidRDefault="00165359" w:rsidP="00165359">
      <w:pPr>
        <w:autoSpaceDE w:val="0"/>
        <w:autoSpaceDN w:val="0"/>
        <w:adjustRightInd w:val="0"/>
        <w:spacing w:line="360" w:lineRule="auto"/>
        <w:jc w:val="both"/>
        <w:rPr>
          <w:rFonts w:ascii="Times New Roman" w:hAnsi="Times New Roman" w:cs="Times New Roman"/>
          <w:b/>
          <w:color w:val="000000"/>
        </w:rPr>
      </w:pPr>
    </w:p>
    <w:p w14:paraId="2AF1EB39" w14:textId="77777777" w:rsidR="00676801" w:rsidRPr="00165359" w:rsidRDefault="00676801" w:rsidP="00676801">
      <w:pPr>
        <w:spacing w:line="360" w:lineRule="auto"/>
        <w:rPr>
          <w:rFonts w:ascii="Times New Roman" w:hAnsi="Times New Roman" w:cs="Times New Roman"/>
          <w:b/>
          <w:sz w:val="28"/>
          <w:szCs w:val="28"/>
        </w:rPr>
      </w:pPr>
      <w:r w:rsidRPr="00165359">
        <w:rPr>
          <w:rFonts w:ascii="Times New Roman" w:hAnsi="Times New Roman" w:cs="Times New Roman"/>
          <w:b/>
          <w:sz w:val="28"/>
          <w:szCs w:val="28"/>
        </w:rPr>
        <w:lastRenderedPageBreak/>
        <w:t>CONCLUSION</w:t>
      </w:r>
    </w:p>
    <w:p w14:paraId="1DD9C2A6" w14:textId="77777777" w:rsidR="003056C4" w:rsidRPr="00F9069C" w:rsidRDefault="003056C4" w:rsidP="003056C4">
      <w:pPr>
        <w:pStyle w:val="ListParagraph"/>
        <w:numPr>
          <w:ilvl w:val="0"/>
          <w:numId w:val="36"/>
        </w:numPr>
        <w:autoSpaceDE w:val="0"/>
        <w:autoSpaceDN w:val="0"/>
        <w:adjustRightInd w:val="0"/>
        <w:spacing w:after="200" w:line="360" w:lineRule="auto"/>
        <w:jc w:val="both"/>
        <w:rPr>
          <w:rFonts w:ascii="Times New Roman" w:hAnsi="Times New Roman" w:cs="Times New Roman"/>
          <w:b/>
          <w:bCs/>
          <w:color w:val="000000"/>
          <w:sz w:val="24"/>
          <w:szCs w:val="24"/>
        </w:rPr>
      </w:pPr>
      <w:r w:rsidRPr="00F9069C">
        <w:rPr>
          <w:rFonts w:ascii="Times New Roman" w:hAnsi="Times New Roman" w:cs="Times New Roman"/>
          <w:color w:val="000000"/>
          <w:sz w:val="24"/>
          <w:szCs w:val="24"/>
        </w:rPr>
        <w:t>Then coming to the volume on the same dates or days volume are increased. Because totally this month HDFC BANK LTD. EPS value is decreased i.e. percentage 03.52%.</w:t>
      </w:r>
    </w:p>
    <w:p w14:paraId="460D2515" w14:textId="77777777" w:rsidR="003056C4" w:rsidRPr="00F9069C" w:rsidRDefault="003056C4" w:rsidP="003056C4">
      <w:pPr>
        <w:pStyle w:val="ListParagraph"/>
        <w:numPr>
          <w:ilvl w:val="0"/>
          <w:numId w:val="36"/>
        </w:numPr>
        <w:autoSpaceDE w:val="0"/>
        <w:autoSpaceDN w:val="0"/>
        <w:adjustRightInd w:val="0"/>
        <w:spacing w:after="200" w:line="360" w:lineRule="auto"/>
        <w:jc w:val="both"/>
        <w:rPr>
          <w:rFonts w:ascii="Times New Roman" w:hAnsi="Times New Roman" w:cs="Times New Roman"/>
          <w:b/>
          <w:bCs/>
          <w:color w:val="000000"/>
          <w:sz w:val="24"/>
          <w:szCs w:val="24"/>
        </w:rPr>
      </w:pPr>
      <w:r w:rsidRPr="00F9069C">
        <w:rPr>
          <w:rFonts w:ascii="Times New Roman" w:hAnsi="Times New Roman" w:cs="Times New Roman"/>
          <w:color w:val="000000"/>
          <w:sz w:val="24"/>
          <w:szCs w:val="24"/>
        </w:rPr>
        <w:t>Then coming to the volume on the same dates or days volume are increased. Because totally this month FEDBANK OF INDIA. EPS value is increased i.e. percentage 10.37%.</w:t>
      </w:r>
    </w:p>
    <w:p w14:paraId="01547B1D" w14:textId="77777777" w:rsidR="003056C4" w:rsidRPr="00F9069C" w:rsidRDefault="003056C4" w:rsidP="003056C4">
      <w:pPr>
        <w:pStyle w:val="ListParagraph"/>
        <w:numPr>
          <w:ilvl w:val="0"/>
          <w:numId w:val="36"/>
        </w:numPr>
        <w:autoSpaceDE w:val="0"/>
        <w:autoSpaceDN w:val="0"/>
        <w:adjustRightInd w:val="0"/>
        <w:spacing w:after="200" w:line="360" w:lineRule="auto"/>
        <w:jc w:val="both"/>
        <w:rPr>
          <w:rFonts w:ascii="Times New Roman" w:hAnsi="Times New Roman" w:cs="Times New Roman"/>
          <w:color w:val="000000"/>
          <w:sz w:val="24"/>
          <w:szCs w:val="24"/>
        </w:rPr>
      </w:pPr>
      <w:r w:rsidRPr="00F9069C">
        <w:rPr>
          <w:rFonts w:ascii="Times New Roman" w:hAnsi="Times New Roman" w:cs="Times New Roman"/>
          <w:color w:val="000000"/>
          <w:sz w:val="24"/>
          <w:szCs w:val="24"/>
        </w:rPr>
        <w:t>Then coming to the volume on the same dates or days volume are decreased. Because totally this month ADANIENTE. EPS value is decreased i.e. percentage 06.38%.</w:t>
      </w:r>
    </w:p>
    <w:p w14:paraId="2103AAE7" w14:textId="77777777" w:rsidR="003056C4" w:rsidRPr="00F9069C" w:rsidRDefault="003056C4" w:rsidP="003056C4">
      <w:pPr>
        <w:pStyle w:val="ListParagraph"/>
        <w:rPr>
          <w:rFonts w:ascii="Times New Roman" w:hAnsi="Times New Roman" w:cs="Times New Roman"/>
          <w:color w:val="000000"/>
          <w:sz w:val="24"/>
          <w:szCs w:val="24"/>
        </w:rPr>
      </w:pPr>
    </w:p>
    <w:p w14:paraId="24C02F92" w14:textId="77777777" w:rsidR="003056C4" w:rsidRPr="00F9069C" w:rsidRDefault="003056C4" w:rsidP="003056C4">
      <w:pPr>
        <w:pStyle w:val="ListParagraph"/>
        <w:numPr>
          <w:ilvl w:val="0"/>
          <w:numId w:val="36"/>
        </w:numPr>
        <w:autoSpaceDE w:val="0"/>
        <w:autoSpaceDN w:val="0"/>
        <w:adjustRightInd w:val="0"/>
        <w:spacing w:after="200" w:line="360" w:lineRule="auto"/>
        <w:jc w:val="both"/>
        <w:rPr>
          <w:rFonts w:ascii="Times New Roman" w:hAnsi="Times New Roman" w:cs="Times New Roman"/>
          <w:b/>
          <w:bCs/>
          <w:color w:val="000000"/>
          <w:sz w:val="24"/>
          <w:szCs w:val="24"/>
        </w:rPr>
      </w:pPr>
      <w:r w:rsidRPr="00F9069C">
        <w:rPr>
          <w:rFonts w:ascii="Times New Roman" w:hAnsi="Times New Roman" w:cs="Times New Roman"/>
          <w:color w:val="000000"/>
          <w:sz w:val="24"/>
          <w:szCs w:val="24"/>
        </w:rPr>
        <w:t xml:space="preserve">Then coming to the volume on the same dates or days volume are increased. Because totally this month UNITECH. EPS value is increased i.e. percentage </w:t>
      </w:r>
      <w:r>
        <w:rPr>
          <w:rFonts w:ascii="Times New Roman" w:hAnsi="Times New Roman" w:cs="Times New Roman"/>
          <w:color w:val="000000"/>
          <w:sz w:val="24"/>
          <w:szCs w:val="24"/>
        </w:rPr>
        <w:t>23</w:t>
      </w:r>
      <w:r w:rsidRPr="00F9069C">
        <w:rPr>
          <w:rFonts w:ascii="Times New Roman" w:hAnsi="Times New Roman" w:cs="Times New Roman"/>
          <w:color w:val="000000"/>
          <w:sz w:val="24"/>
          <w:szCs w:val="24"/>
        </w:rPr>
        <w:t>.32%.</w:t>
      </w:r>
    </w:p>
    <w:p w14:paraId="7BEDB63C" w14:textId="77777777" w:rsidR="00676801" w:rsidRPr="00165359" w:rsidRDefault="00676801" w:rsidP="00676801">
      <w:pPr>
        <w:pStyle w:val="Heading6"/>
        <w:spacing w:before="258" w:line="360" w:lineRule="auto"/>
        <w:rPr>
          <w:rFonts w:ascii="Times New Roman" w:hAnsi="Times New Roman"/>
        </w:rPr>
      </w:pPr>
      <w:r w:rsidRPr="00165359">
        <w:rPr>
          <w:rFonts w:ascii="Times New Roman" w:hAnsi="Times New Roman"/>
        </w:rPr>
        <w:t>REFERENCES</w:t>
      </w:r>
    </w:p>
    <w:p w14:paraId="69751B36" w14:textId="77777777" w:rsidR="003056C4" w:rsidRPr="003056C4" w:rsidRDefault="003056C4" w:rsidP="003056C4">
      <w:pPr>
        <w:pStyle w:val="ListParagraph"/>
        <w:numPr>
          <w:ilvl w:val="0"/>
          <w:numId w:val="37"/>
        </w:numPr>
        <w:autoSpaceDE w:val="0"/>
        <w:autoSpaceDN w:val="0"/>
        <w:adjustRightInd w:val="0"/>
        <w:spacing w:line="360" w:lineRule="auto"/>
        <w:jc w:val="both"/>
        <w:rPr>
          <w:rFonts w:ascii="Times New Roman" w:hAnsi="Times New Roman" w:cs="Times New Roman"/>
          <w:color w:val="000000"/>
          <w:sz w:val="24"/>
          <w:szCs w:val="24"/>
        </w:rPr>
      </w:pPr>
      <w:r w:rsidRPr="003056C4">
        <w:rPr>
          <w:rFonts w:ascii="Times New Roman" w:hAnsi="Times New Roman" w:cs="Times New Roman"/>
          <w:color w:val="000000"/>
          <w:sz w:val="24"/>
          <w:szCs w:val="24"/>
        </w:rPr>
        <w:t xml:space="preserve">V.K. Balla “Financial Investment” </w:t>
      </w:r>
    </w:p>
    <w:p w14:paraId="4CA1CF24" w14:textId="77777777" w:rsidR="003056C4" w:rsidRPr="003056C4" w:rsidRDefault="003056C4" w:rsidP="003056C4">
      <w:pPr>
        <w:pStyle w:val="ListParagraph"/>
        <w:numPr>
          <w:ilvl w:val="0"/>
          <w:numId w:val="37"/>
        </w:numPr>
        <w:autoSpaceDE w:val="0"/>
        <w:autoSpaceDN w:val="0"/>
        <w:adjustRightInd w:val="0"/>
        <w:spacing w:line="360" w:lineRule="auto"/>
        <w:jc w:val="both"/>
        <w:rPr>
          <w:rFonts w:ascii="Times New Roman" w:hAnsi="Times New Roman" w:cs="Times New Roman"/>
          <w:color w:val="000000"/>
          <w:sz w:val="24"/>
          <w:szCs w:val="24"/>
        </w:rPr>
      </w:pPr>
      <w:r w:rsidRPr="003056C4">
        <w:rPr>
          <w:rFonts w:ascii="Times New Roman" w:hAnsi="Times New Roman" w:cs="Times New Roman"/>
          <w:color w:val="000000"/>
          <w:sz w:val="24"/>
          <w:szCs w:val="24"/>
        </w:rPr>
        <w:t>Gordon &amp; Natarajan “Financial Markets and Services”</w:t>
      </w:r>
    </w:p>
    <w:p w14:paraId="769480D3" w14:textId="77777777" w:rsidR="003056C4" w:rsidRPr="003056C4" w:rsidRDefault="00000000" w:rsidP="003056C4">
      <w:pPr>
        <w:pStyle w:val="ListParagraph"/>
        <w:numPr>
          <w:ilvl w:val="0"/>
          <w:numId w:val="37"/>
        </w:numPr>
        <w:autoSpaceDE w:val="0"/>
        <w:autoSpaceDN w:val="0"/>
        <w:adjustRightInd w:val="0"/>
        <w:spacing w:line="360" w:lineRule="auto"/>
        <w:jc w:val="both"/>
        <w:rPr>
          <w:rStyle w:val="Hyperlink"/>
          <w:rFonts w:ascii="Times New Roman" w:hAnsi="Times New Roman" w:cs="Times New Roman"/>
          <w:b/>
          <w:bCs/>
          <w:color w:val="000000" w:themeColor="text1"/>
          <w:sz w:val="24"/>
          <w:szCs w:val="24"/>
          <w:u w:val="none"/>
        </w:rPr>
      </w:pPr>
      <w:hyperlink r:id="rId21" w:history="1">
        <w:r w:rsidR="003056C4" w:rsidRPr="003056C4">
          <w:rPr>
            <w:rStyle w:val="Hyperlink"/>
            <w:rFonts w:ascii="Times New Roman" w:hAnsi="Times New Roman" w:cs="Times New Roman"/>
            <w:bCs/>
            <w:color w:val="000000" w:themeColor="text1"/>
            <w:sz w:val="24"/>
            <w:szCs w:val="24"/>
            <w:u w:val="none"/>
          </w:rPr>
          <w:t>www.sharekhan.com</w:t>
        </w:r>
      </w:hyperlink>
    </w:p>
    <w:p w14:paraId="3A1F1C4F" w14:textId="77777777" w:rsidR="003056C4" w:rsidRPr="003056C4" w:rsidRDefault="00000000" w:rsidP="003056C4">
      <w:pPr>
        <w:pStyle w:val="ListParagraph"/>
        <w:numPr>
          <w:ilvl w:val="0"/>
          <w:numId w:val="37"/>
        </w:numPr>
        <w:autoSpaceDE w:val="0"/>
        <w:autoSpaceDN w:val="0"/>
        <w:adjustRightInd w:val="0"/>
        <w:spacing w:line="360" w:lineRule="auto"/>
        <w:jc w:val="both"/>
        <w:rPr>
          <w:rStyle w:val="Hyperlink"/>
          <w:rFonts w:ascii="Times New Roman" w:hAnsi="Times New Roman" w:cs="Times New Roman"/>
          <w:b/>
          <w:bCs/>
          <w:color w:val="000000" w:themeColor="text1"/>
          <w:sz w:val="24"/>
          <w:szCs w:val="24"/>
          <w:u w:val="none"/>
        </w:rPr>
      </w:pPr>
      <w:hyperlink r:id="rId22" w:history="1">
        <w:r w:rsidR="003056C4" w:rsidRPr="003056C4">
          <w:rPr>
            <w:rStyle w:val="Hyperlink"/>
            <w:rFonts w:ascii="Times New Roman" w:hAnsi="Times New Roman" w:cs="Times New Roman"/>
            <w:bCs/>
            <w:color w:val="000000" w:themeColor="text1"/>
            <w:sz w:val="24"/>
            <w:szCs w:val="24"/>
            <w:u w:val="none"/>
          </w:rPr>
          <w:t>www.indiainfolie.com</w:t>
        </w:r>
      </w:hyperlink>
    </w:p>
    <w:p w14:paraId="568DCDB4" w14:textId="77777777" w:rsidR="003056C4" w:rsidRPr="003056C4" w:rsidRDefault="003056C4" w:rsidP="003056C4">
      <w:pPr>
        <w:pStyle w:val="ListParagraph"/>
        <w:numPr>
          <w:ilvl w:val="0"/>
          <w:numId w:val="37"/>
        </w:numPr>
        <w:autoSpaceDE w:val="0"/>
        <w:autoSpaceDN w:val="0"/>
        <w:adjustRightInd w:val="0"/>
        <w:spacing w:line="360" w:lineRule="auto"/>
        <w:jc w:val="both"/>
        <w:rPr>
          <w:rFonts w:ascii="Times New Roman" w:hAnsi="Times New Roman" w:cs="Times New Roman"/>
          <w:b/>
          <w:bCs/>
          <w:color w:val="000000" w:themeColor="text1"/>
          <w:sz w:val="24"/>
          <w:szCs w:val="24"/>
        </w:rPr>
      </w:pPr>
      <w:r w:rsidRPr="003056C4">
        <w:rPr>
          <w:rStyle w:val="Hyperlink"/>
          <w:rFonts w:ascii="Times New Roman" w:hAnsi="Times New Roman" w:cs="Times New Roman"/>
          <w:bCs/>
          <w:color w:val="000000" w:themeColor="text1"/>
          <w:sz w:val="24"/>
          <w:szCs w:val="24"/>
          <w:u w:val="none"/>
        </w:rPr>
        <w:t>www.moneycontrol.com</w:t>
      </w:r>
    </w:p>
    <w:p w14:paraId="1919456A" w14:textId="77777777" w:rsidR="003056C4" w:rsidRPr="003056C4" w:rsidRDefault="003056C4" w:rsidP="003056C4">
      <w:pPr>
        <w:autoSpaceDE w:val="0"/>
        <w:autoSpaceDN w:val="0"/>
        <w:adjustRightInd w:val="0"/>
        <w:spacing w:line="360" w:lineRule="auto"/>
        <w:jc w:val="both"/>
        <w:rPr>
          <w:rFonts w:ascii="Times New Roman" w:hAnsi="Times New Roman" w:cs="Times New Roman"/>
          <w:b/>
          <w:bCs/>
          <w:color w:val="000000"/>
          <w:sz w:val="24"/>
          <w:szCs w:val="24"/>
        </w:rPr>
      </w:pPr>
    </w:p>
    <w:p w14:paraId="7988B0DF" w14:textId="77777777" w:rsidR="00CC781F" w:rsidRPr="00165359" w:rsidRDefault="00CC781F" w:rsidP="004563EF">
      <w:pPr>
        <w:spacing w:after="0" w:line="360" w:lineRule="auto"/>
        <w:jc w:val="both"/>
        <w:rPr>
          <w:rFonts w:ascii="Times New Roman" w:hAnsi="Times New Roman" w:cs="Times New Roman"/>
          <w:b/>
          <w:sz w:val="28"/>
          <w:szCs w:val="28"/>
          <w:u w:val="single"/>
        </w:rPr>
      </w:pPr>
    </w:p>
    <w:sectPr w:rsidR="00CC781F" w:rsidRPr="00165359" w:rsidSect="00DE4BA9">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8A500" w14:textId="77777777" w:rsidR="00377667" w:rsidRDefault="00377667" w:rsidP="00741D4D">
      <w:pPr>
        <w:spacing w:after="0" w:line="240" w:lineRule="auto"/>
      </w:pPr>
      <w:r>
        <w:separator/>
      </w:r>
    </w:p>
  </w:endnote>
  <w:endnote w:type="continuationSeparator" w:id="0">
    <w:p w14:paraId="560E4CA0" w14:textId="77777777" w:rsidR="00377667" w:rsidRDefault="00377667"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659E5" w14:textId="77777777" w:rsidR="0003313C" w:rsidRDefault="00000000">
    <w:pPr>
      <w:pStyle w:val="BodyText"/>
      <w:spacing w:line="14" w:lineRule="auto"/>
      <w:rPr>
        <w:sz w:val="20"/>
      </w:rPr>
    </w:pPr>
    <w:r>
      <w:rPr>
        <w:sz w:val="24"/>
      </w:rPr>
      <w:pict w14:anchorId="3E64DC94">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3E6EF40E"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6EF4C" w14:textId="77777777" w:rsidR="00377667" w:rsidRDefault="00377667" w:rsidP="00741D4D">
      <w:pPr>
        <w:spacing w:after="0" w:line="240" w:lineRule="auto"/>
      </w:pPr>
      <w:r>
        <w:separator/>
      </w:r>
    </w:p>
  </w:footnote>
  <w:footnote w:type="continuationSeparator" w:id="0">
    <w:p w14:paraId="47DD3266" w14:textId="77777777" w:rsidR="00377667" w:rsidRDefault="00377667"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52F460"/>
    <w:lvl w:ilvl="0">
      <w:numFmt w:val="bullet"/>
      <w:lvlText w:val="*"/>
      <w:lvlJc w:val="left"/>
    </w:lvl>
  </w:abstractNum>
  <w:abstractNum w:abstractNumId="1" w15:restartNumberingAfterBreak="0">
    <w:nsid w:val="051221A9"/>
    <w:multiLevelType w:val="hybridMultilevel"/>
    <w:tmpl w:val="14E29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365C9A"/>
    <w:multiLevelType w:val="hybridMultilevel"/>
    <w:tmpl w:val="986605F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D267EB"/>
    <w:multiLevelType w:val="multilevel"/>
    <w:tmpl w:val="D9D8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796"/>
    <w:multiLevelType w:val="hybridMultilevel"/>
    <w:tmpl w:val="EFC63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0202F"/>
    <w:multiLevelType w:val="hybridMultilevel"/>
    <w:tmpl w:val="054EBDAA"/>
    <w:lvl w:ilvl="0" w:tplc="7496168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1DA20427"/>
    <w:multiLevelType w:val="multilevel"/>
    <w:tmpl w:val="1DA204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5EAF"/>
    <w:multiLevelType w:val="multilevel"/>
    <w:tmpl w:val="21A55EA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12"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3C10"/>
    <w:multiLevelType w:val="multilevel"/>
    <w:tmpl w:val="33CB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C54C4"/>
    <w:multiLevelType w:val="hybridMultilevel"/>
    <w:tmpl w:val="7994AEFA"/>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D279FF"/>
    <w:multiLevelType w:val="multilevel"/>
    <w:tmpl w:val="1848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314824"/>
    <w:multiLevelType w:val="hybridMultilevel"/>
    <w:tmpl w:val="A62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F1800"/>
    <w:multiLevelType w:val="hybridMultilevel"/>
    <w:tmpl w:val="B2004EF2"/>
    <w:lvl w:ilvl="0" w:tplc="7728AB56">
      <w:start w:val="1"/>
      <w:numFmt w:val="decimal"/>
      <w:lvlText w:val="%1."/>
      <w:lvlJc w:val="left"/>
      <w:pPr>
        <w:ind w:left="1140" w:hanging="3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8" w15:restartNumberingAfterBreak="0">
    <w:nsid w:val="45823F46"/>
    <w:multiLevelType w:val="multilevel"/>
    <w:tmpl w:val="4582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E66B55"/>
    <w:multiLevelType w:val="multilevel"/>
    <w:tmpl w:val="4FE66B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21" w15:restartNumberingAfterBreak="0">
    <w:nsid w:val="5B337D52"/>
    <w:multiLevelType w:val="multilevel"/>
    <w:tmpl w:val="E85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C0F35"/>
    <w:multiLevelType w:val="multilevel"/>
    <w:tmpl w:val="5BFC0F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F21D97"/>
    <w:multiLevelType w:val="hybridMultilevel"/>
    <w:tmpl w:val="B14E8A44"/>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0EE5F9F"/>
    <w:multiLevelType w:val="multilevel"/>
    <w:tmpl w:val="60EE5F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7A346D"/>
    <w:multiLevelType w:val="hybridMultilevel"/>
    <w:tmpl w:val="053ACC4A"/>
    <w:lvl w:ilvl="0" w:tplc="36BE832E">
      <w:start w:val="1"/>
      <w:numFmt w:val="decimal"/>
      <w:lvlText w:val="%1."/>
      <w:lvlJc w:val="left"/>
      <w:pPr>
        <w:ind w:left="720" w:hanging="360"/>
      </w:pPr>
      <w:rPr>
        <w:rFonts w:ascii="Times New Roman" w:hAnsi="Times New Roman" w:cs="Times New Roman" w:hint="default"/>
        <w:b/>
        <w:i w:val="0"/>
        <w:sz w:val="24"/>
      </w:rPr>
    </w:lvl>
    <w:lvl w:ilvl="1" w:tplc="9970E4E8">
      <w:start w:val="1"/>
      <w:numFmt w:val="decimal"/>
      <w:lvlText w:val="%2)"/>
      <w:lvlJc w:val="left"/>
      <w:pPr>
        <w:ind w:left="1440" w:hanging="360"/>
      </w:pPr>
    </w:lvl>
    <w:lvl w:ilvl="2" w:tplc="0427000B">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E0637AB"/>
    <w:multiLevelType w:val="hybridMultilevel"/>
    <w:tmpl w:val="C448A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E4A683F"/>
    <w:multiLevelType w:val="multilevel"/>
    <w:tmpl w:val="1A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D27414"/>
    <w:multiLevelType w:val="hybridMultilevel"/>
    <w:tmpl w:val="DEF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F93D96"/>
    <w:multiLevelType w:val="hybridMultilevel"/>
    <w:tmpl w:val="CF6CDE56"/>
    <w:lvl w:ilvl="0" w:tplc="0427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A0027FD"/>
    <w:multiLevelType w:val="hybridMultilevel"/>
    <w:tmpl w:val="C65E82D0"/>
    <w:lvl w:ilvl="0" w:tplc="C47ECA70">
      <w:start w:val="2"/>
      <w:numFmt w:val="decimal"/>
      <w:lvlText w:val="%1"/>
      <w:lvlJc w:val="left"/>
      <w:pPr>
        <w:ind w:left="577" w:hanging="424"/>
      </w:pPr>
      <w:rPr>
        <w:rFonts w:hint="default"/>
        <w:lang w:val="en-US" w:eastAsia="en-US" w:bidi="en-US"/>
      </w:rPr>
    </w:lvl>
    <w:lvl w:ilvl="1" w:tplc="C786DCF0">
      <w:numFmt w:val="none"/>
      <w:lvlText w:val=""/>
      <w:lvlJc w:val="left"/>
      <w:pPr>
        <w:tabs>
          <w:tab w:val="num" w:pos="360"/>
        </w:tabs>
      </w:pPr>
    </w:lvl>
    <w:lvl w:ilvl="2" w:tplc="90187148">
      <w:numFmt w:val="bullet"/>
      <w:lvlText w:val="•"/>
      <w:lvlJc w:val="left"/>
      <w:pPr>
        <w:ind w:left="2224" w:hanging="424"/>
      </w:pPr>
      <w:rPr>
        <w:rFonts w:hint="default"/>
        <w:lang w:val="en-US" w:eastAsia="en-US" w:bidi="en-US"/>
      </w:rPr>
    </w:lvl>
    <w:lvl w:ilvl="3" w:tplc="40DC99DC">
      <w:numFmt w:val="bullet"/>
      <w:lvlText w:val="•"/>
      <w:lvlJc w:val="left"/>
      <w:pPr>
        <w:ind w:left="3046" w:hanging="424"/>
      </w:pPr>
      <w:rPr>
        <w:rFonts w:hint="default"/>
        <w:lang w:val="en-US" w:eastAsia="en-US" w:bidi="en-US"/>
      </w:rPr>
    </w:lvl>
    <w:lvl w:ilvl="4" w:tplc="13C614B8">
      <w:numFmt w:val="bullet"/>
      <w:lvlText w:val="•"/>
      <w:lvlJc w:val="left"/>
      <w:pPr>
        <w:ind w:left="3868" w:hanging="424"/>
      </w:pPr>
      <w:rPr>
        <w:rFonts w:hint="default"/>
        <w:lang w:val="en-US" w:eastAsia="en-US" w:bidi="en-US"/>
      </w:rPr>
    </w:lvl>
    <w:lvl w:ilvl="5" w:tplc="2B723602">
      <w:numFmt w:val="bullet"/>
      <w:lvlText w:val="•"/>
      <w:lvlJc w:val="left"/>
      <w:pPr>
        <w:ind w:left="4690" w:hanging="424"/>
      </w:pPr>
      <w:rPr>
        <w:rFonts w:hint="default"/>
        <w:lang w:val="en-US" w:eastAsia="en-US" w:bidi="en-US"/>
      </w:rPr>
    </w:lvl>
    <w:lvl w:ilvl="6" w:tplc="5AA87680">
      <w:numFmt w:val="bullet"/>
      <w:lvlText w:val="•"/>
      <w:lvlJc w:val="left"/>
      <w:pPr>
        <w:ind w:left="5512" w:hanging="424"/>
      </w:pPr>
      <w:rPr>
        <w:rFonts w:hint="default"/>
        <w:lang w:val="en-US" w:eastAsia="en-US" w:bidi="en-US"/>
      </w:rPr>
    </w:lvl>
    <w:lvl w:ilvl="7" w:tplc="67709FD6">
      <w:numFmt w:val="bullet"/>
      <w:lvlText w:val="•"/>
      <w:lvlJc w:val="left"/>
      <w:pPr>
        <w:ind w:left="6334" w:hanging="424"/>
      </w:pPr>
      <w:rPr>
        <w:rFonts w:hint="default"/>
        <w:lang w:val="en-US" w:eastAsia="en-US" w:bidi="en-US"/>
      </w:rPr>
    </w:lvl>
    <w:lvl w:ilvl="8" w:tplc="54084F44">
      <w:numFmt w:val="bullet"/>
      <w:lvlText w:val="•"/>
      <w:lvlJc w:val="left"/>
      <w:pPr>
        <w:ind w:left="7156" w:hanging="424"/>
      </w:pPr>
      <w:rPr>
        <w:rFonts w:hint="default"/>
        <w:lang w:val="en-US" w:eastAsia="en-US" w:bidi="en-US"/>
      </w:rPr>
    </w:lvl>
  </w:abstractNum>
  <w:abstractNum w:abstractNumId="34" w15:restartNumberingAfterBreak="0">
    <w:nsid w:val="7E2B0ADE"/>
    <w:multiLevelType w:val="hybridMultilevel"/>
    <w:tmpl w:val="34260356"/>
    <w:lvl w:ilvl="0" w:tplc="0409000F">
      <w:start w:val="1"/>
      <w:numFmt w:val="decimal"/>
      <w:lvlText w:val="%1."/>
      <w:lvlJc w:val="left"/>
      <w:pPr>
        <w:ind w:left="3539" w:hanging="360"/>
      </w:pPr>
    </w:lvl>
    <w:lvl w:ilvl="1" w:tplc="40090019">
      <w:start w:val="1"/>
      <w:numFmt w:val="lowerLetter"/>
      <w:lvlText w:val="%2."/>
      <w:lvlJc w:val="left"/>
      <w:pPr>
        <w:ind w:left="2819" w:hanging="360"/>
      </w:pPr>
    </w:lvl>
    <w:lvl w:ilvl="2" w:tplc="4009001B" w:tentative="1">
      <w:start w:val="1"/>
      <w:numFmt w:val="lowerRoman"/>
      <w:lvlText w:val="%3."/>
      <w:lvlJc w:val="right"/>
      <w:pPr>
        <w:ind w:left="3539" w:hanging="180"/>
      </w:pPr>
    </w:lvl>
    <w:lvl w:ilvl="3" w:tplc="4009000F" w:tentative="1">
      <w:start w:val="1"/>
      <w:numFmt w:val="decimal"/>
      <w:lvlText w:val="%4."/>
      <w:lvlJc w:val="left"/>
      <w:pPr>
        <w:ind w:left="4259" w:hanging="360"/>
      </w:pPr>
    </w:lvl>
    <w:lvl w:ilvl="4" w:tplc="40090019" w:tentative="1">
      <w:start w:val="1"/>
      <w:numFmt w:val="lowerLetter"/>
      <w:lvlText w:val="%5."/>
      <w:lvlJc w:val="left"/>
      <w:pPr>
        <w:ind w:left="4979" w:hanging="360"/>
      </w:pPr>
    </w:lvl>
    <w:lvl w:ilvl="5" w:tplc="4009001B" w:tentative="1">
      <w:start w:val="1"/>
      <w:numFmt w:val="lowerRoman"/>
      <w:lvlText w:val="%6."/>
      <w:lvlJc w:val="right"/>
      <w:pPr>
        <w:ind w:left="5699" w:hanging="180"/>
      </w:pPr>
    </w:lvl>
    <w:lvl w:ilvl="6" w:tplc="4009000F" w:tentative="1">
      <w:start w:val="1"/>
      <w:numFmt w:val="decimal"/>
      <w:lvlText w:val="%7."/>
      <w:lvlJc w:val="left"/>
      <w:pPr>
        <w:ind w:left="6419" w:hanging="360"/>
      </w:pPr>
    </w:lvl>
    <w:lvl w:ilvl="7" w:tplc="40090019" w:tentative="1">
      <w:start w:val="1"/>
      <w:numFmt w:val="lowerLetter"/>
      <w:lvlText w:val="%8."/>
      <w:lvlJc w:val="left"/>
      <w:pPr>
        <w:ind w:left="7139" w:hanging="360"/>
      </w:pPr>
    </w:lvl>
    <w:lvl w:ilvl="8" w:tplc="4009001B" w:tentative="1">
      <w:start w:val="1"/>
      <w:numFmt w:val="lowerRoman"/>
      <w:lvlText w:val="%9."/>
      <w:lvlJc w:val="right"/>
      <w:pPr>
        <w:ind w:left="7859" w:hanging="180"/>
      </w:pPr>
    </w:lvl>
  </w:abstractNum>
  <w:abstractNum w:abstractNumId="35"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54954342">
    <w:abstractNumId w:val="26"/>
  </w:num>
  <w:num w:numId="2" w16cid:durableId="553395288">
    <w:abstractNumId w:val="35"/>
  </w:num>
  <w:num w:numId="3" w16cid:durableId="1882090526">
    <w:abstractNumId w:val="31"/>
  </w:num>
  <w:num w:numId="4" w16cid:durableId="1113745141">
    <w:abstractNumId w:val="12"/>
  </w:num>
  <w:num w:numId="5" w16cid:durableId="183322156">
    <w:abstractNumId w:val="6"/>
  </w:num>
  <w:num w:numId="6" w16cid:durableId="1176993573">
    <w:abstractNumId w:val="10"/>
  </w:num>
  <w:num w:numId="7" w16cid:durableId="2089113078">
    <w:abstractNumId w:val="23"/>
  </w:num>
  <w:num w:numId="8" w16cid:durableId="1093086397">
    <w:abstractNumId w:val="5"/>
  </w:num>
  <w:num w:numId="9" w16cid:durableId="1159618710">
    <w:abstractNumId w:val="20"/>
  </w:num>
  <w:num w:numId="10" w16cid:durableId="1882593054">
    <w:abstractNumId w:val="11"/>
  </w:num>
  <w:num w:numId="11" w16cid:durableId="1355035601">
    <w:abstractNumId w:val="28"/>
  </w:num>
  <w:num w:numId="12" w16cid:durableId="129908098">
    <w:abstractNumId w:val="16"/>
  </w:num>
  <w:num w:numId="13" w16cid:durableId="1909460013">
    <w:abstractNumId w:val="0"/>
    <w:lvlOverride w:ilvl="0">
      <w:lvl w:ilvl="0">
        <w:numFmt w:val="bullet"/>
        <w:lvlText w:val=""/>
        <w:legacy w:legacy="1" w:legacySpace="0" w:legacyIndent="360"/>
        <w:lvlJc w:val="left"/>
        <w:rPr>
          <w:rFonts w:ascii="Symbol" w:hAnsi="Symbol" w:hint="default"/>
        </w:rPr>
      </w:lvl>
    </w:lvlOverride>
  </w:num>
  <w:num w:numId="14" w16cid:durableId="623001891">
    <w:abstractNumId w:val="33"/>
  </w:num>
  <w:num w:numId="15" w16cid:durableId="1640376173">
    <w:abstractNumId w:val="13"/>
  </w:num>
  <w:num w:numId="16" w16cid:durableId="539249763">
    <w:abstractNumId w:val="19"/>
  </w:num>
  <w:num w:numId="17" w16cid:durableId="1570925895">
    <w:abstractNumId w:val="8"/>
  </w:num>
  <w:num w:numId="18" w16cid:durableId="1192768352">
    <w:abstractNumId w:val="18"/>
  </w:num>
  <w:num w:numId="19" w16cid:durableId="1374646715">
    <w:abstractNumId w:val="25"/>
  </w:num>
  <w:num w:numId="20" w16cid:durableId="798650989">
    <w:abstractNumId w:val="22"/>
  </w:num>
  <w:num w:numId="21" w16cid:durableId="678316696">
    <w:abstractNumId w:val="9"/>
  </w:num>
  <w:num w:numId="22" w16cid:durableId="801073579">
    <w:abstractNumId w:val="3"/>
  </w:num>
  <w:num w:numId="23" w16cid:durableId="575362593">
    <w:abstractNumId w:val="15"/>
  </w:num>
  <w:num w:numId="24" w16cid:durableId="66922958">
    <w:abstractNumId w:val="21"/>
  </w:num>
  <w:num w:numId="25" w16cid:durableId="245235937">
    <w:abstractNumId w:val="29"/>
  </w:num>
  <w:num w:numId="26" w16cid:durableId="5941713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4712279">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5259467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00120764">
    <w:abstractNumId w:val="2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4193099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300478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2402127">
    <w:abstractNumId w:val="7"/>
  </w:num>
  <w:num w:numId="33" w16cid:durableId="762654701">
    <w:abstractNumId w:val="17"/>
  </w:num>
  <w:num w:numId="34" w16cid:durableId="2013794264">
    <w:abstractNumId w:val="2"/>
  </w:num>
  <w:num w:numId="35" w16cid:durableId="535048789">
    <w:abstractNumId w:val="34"/>
  </w:num>
  <w:num w:numId="36" w16cid:durableId="1500123687">
    <w:abstractNumId w:val="1"/>
  </w:num>
  <w:num w:numId="37" w16cid:durableId="179412985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30EF2"/>
    <w:rsid w:val="003319F4"/>
    <w:rsid w:val="00332CAD"/>
    <w:rsid w:val="003353A5"/>
    <w:rsid w:val="0033658C"/>
    <w:rsid w:val="00336DFA"/>
    <w:rsid w:val="00341AE9"/>
    <w:rsid w:val="00341FE0"/>
    <w:rsid w:val="00342ED5"/>
    <w:rsid w:val="00344BCC"/>
    <w:rsid w:val="00347732"/>
    <w:rsid w:val="00353320"/>
    <w:rsid w:val="003560C1"/>
    <w:rsid w:val="00356417"/>
    <w:rsid w:val="00357F8F"/>
    <w:rsid w:val="0036079F"/>
    <w:rsid w:val="00367932"/>
    <w:rsid w:val="0037438B"/>
    <w:rsid w:val="00377667"/>
    <w:rsid w:val="00380A0A"/>
    <w:rsid w:val="00382B98"/>
    <w:rsid w:val="00384531"/>
    <w:rsid w:val="00391392"/>
    <w:rsid w:val="00393461"/>
    <w:rsid w:val="00394AD6"/>
    <w:rsid w:val="003964B8"/>
    <w:rsid w:val="003972E2"/>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73C1"/>
    <w:rsid w:val="004249C0"/>
    <w:rsid w:val="00427650"/>
    <w:rsid w:val="00435D80"/>
    <w:rsid w:val="004407DF"/>
    <w:rsid w:val="00440FFA"/>
    <w:rsid w:val="00441233"/>
    <w:rsid w:val="00441EB5"/>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B1F84"/>
    <w:rsid w:val="004B780A"/>
    <w:rsid w:val="004C1A42"/>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C17"/>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FB7"/>
    <w:rsid w:val="007E5E04"/>
    <w:rsid w:val="007E5F24"/>
    <w:rsid w:val="007E5F59"/>
    <w:rsid w:val="007F5FED"/>
    <w:rsid w:val="007F646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1719"/>
    <w:rsid w:val="008C23DE"/>
    <w:rsid w:val="008C3F90"/>
    <w:rsid w:val="008C5988"/>
    <w:rsid w:val="008D0882"/>
    <w:rsid w:val="008D4030"/>
    <w:rsid w:val="008E56F4"/>
    <w:rsid w:val="008F0D12"/>
    <w:rsid w:val="008F3187"/>
    <w:rsid w:val="008F5263"/>
    <w:rsid w:val="008F7B30"/>
    <w:rsid w:val="009012E5"/>
    <w:rsid w:val="00901C6E"/>
    <w:rsid w:val="00903F88"/>
    <w:rsid w:val="0091338C"/>
    <w:rsid w:val="00913BB6"/>
    <w:rsid w:val="00915BA4"/>
    <w:rsid w:val="009205BC"/>
    <w:rsid w:val="009211C6"/>
    <w:rsid w:val="00921EAE"/>
    <w:rsid w:val="009351C6"/>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6CCA"/>
    <w:rsid w:val="00A371BD"/>
    <w:rsid w:val="00A407BD"/>
    <w:rsid w:val="00A570F5"/>
    <w:rsid w:val="00A605AB"/>
    <w:rsid w:val="00A6248E"/>
    <w:rsid w:val="00A66E2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5B33"/>
    <w:rsid w:val="00CB7193"/>
    <w:rsid w:val="00CB7411"/>
    <w:rsid w:val="00CC243E"/>
    <w:rsid w:val="00CC4CAB"/>
    <w:rsid w:val="00CC4DF0"/>
    <w:rsid w:val="00CC781F"/>
    <w:rsid w:val="00CD12F5"/>
    <w:rsid w:val="00CD1E58"/>
    <w:rsid w:val="00CD5051"/>
    <w:rsid w:val="00CE158C"/>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119F"/>
    <w:rsid w:val="00F716CA"/>
    <w:rsid w:val="00F7341F"/>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D6C73"/>
  <w15:docId w15:val="{6CA4B76F-1098-4BFC-90FA-66169404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89956">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hyperlink" Target="http://en.wikipedia.org/wiki/Over-the-counter_%28finance%29" TargetMode="Externa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hyperlink" Target="http://www.karvy.com" TargetMode="External"/><Relationship Id="rId7" Type="http://schemas.openxmlformats.org/officeDocument/2006/relationships/endnotes" Target="endnotes.xml"/><Relationship Id="rId12" Type="http://schemas.openxmlformats.org/officeDocument/2006/relationships/hyperlink" Target="http://en.wikipedia.org/wiki/Securities_exchange" TargetMode="External"/><Relationship Id="rId17" Type="http://schemas.openxmlformats.org/officeDocument/2006/relationships/hyperlink" Target="http://www.bseindia.com/bseplus/StockReach/AdvanceStockReach.aspx?scripcd=5125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Underwrit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seindia.com/bseplus/StockReach/AdvanceStockReach.aspx?scripcd=500469" TargetMode="External"/><Relationship Id="rId23" Type="http://schemas.openxmlformats.org/officeDocument/2006/relationships/footer" Target="footer1.xml"/><Relationship Id="rId10" Type="http://schemas.openxmlformats.org/officeDocument/2006/relationships/hyperlink" Target="http://en.wikipedia.org/wiki/Secondary_market" TargetMode="External"/><Relationship Id="rId19" Type="http://schemas.openxmlformats.org/officeDocument/2006/relationships/hyperlink" Target="http://www.bseindia.com/bseplus/StockReach/AdvanceStockReach.aspx?scripcd=507878" TargetMode="External"/><Relationship Id="rId4" Type="http://schemas.openxmlformats.org/officeDocument/2006/relationships/settings" Target="settings.xml"/><Relationship Id="rId9" Type="http://schemas.openxmlformats.org/officeDocument/2006/relationships/hyperlink" Target="http://en.wikipedia.org/wiki/Primary_market" TargetMode="External"/><Relationship Id="rId14" Type="http://schemas.openxmlformats.org/officeDocument/2006/relationships/chart" Target="charts/chart1.xml"/><Relationship Id="rId22" Type="http://schemas.openxmlformats.org/officeDocument/2006/relationships/hyperlink" Target="http://www.indiainfolie.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OFFICE_P\Desktop\New%20Microsoft%20Office%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OFFICE_P\Desktop\New%20Microsoft%20Office%20Excel%20Workshe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OFFICE_P\Desktop\New%20Microsoft%20Office%20Excel%20Worksheet%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OFFICE_P\Desktop\New%20Microsoft%20Office%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Open</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Sheet1!$B$2:$B$12</c:f>
              <c:numCache>
                <c:formatCode>General</c:formatCode>
                <c:ptCount val="11"/>
                <c:pt idx="0">
                  <c:v>0</c:v>
                </c:pt>
                <c:pt idx="1">
                  <c:v>43.2</c:v>
                </c:pt>
                <c:pt idx="2">
                  <c:v>44.55</c:v>
                </c:pt>
                <c:pt idx="3">
                  <c:v>44.4</c:v>
                </c:pt>
                <c:pt idx="4">
                  <c:v>45.95</c:v>
                </c:pt>
                <c:pt idx="5">
                  <c:v>46.4</c:v>
                </c:pt>
                <c:pt idx="6">
                  <c:v>45</c:v>
                </c:pt>
                <c:pt idx="7">
                  <c:v>43.5</c:v>
                </c:pt>
                <c:pt idx="8">
                  <c:v>48.95</c:v>
                </c:pt>
                <c:pt idx="9">
                  <c:v>47.95</c:v>
                </c:pt>
                <c:pt idx="10">
                  <c:v>49.5</c:v>
                </c:pt>
              </c:numCache>
            </c:numRef>
          </c:val>
          <c:extLst>
            <c:ext xmlns:c16="http://schemas.microsoft.com/office/drawing/2014/chart" uri="{C3380CC4-5D6E-409C-BE32-E72D297353CC}">
              <c16:uniqueId val="{00000000-2144-4AF1-9121-350FECC9911E}"/>
            </c:ext>
          </c:extLst>
        </c:ser>
        <c:ser>
          <c:idx val="1"/>
          <c:order val="1"/>
          <c:tx>
            <c:strRef>
              <c:f>Sheet1!$C$1</c:f>
              <c:strCache>
                <c:ptCount val="1"/>
                <c:pt idx="0">
                  <c:v>High</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Sheet1!$C$2:$C$12</c:f>
              <c:numCache>
                <c:formatCode>General</c:formatCode>
                <c:ptCount val="11"/>
                <c:pt idx="0">
                  <c:v>0</c:v>
                </c:pt>
                <c:pt idx="1">
                  <c:v>43.6</c:v>
                </c:pt>
                <c:pt idx="2">
                  <c:v>45.85</c:v>
                </c:pt>
                <c:pt idx="3">
                  <c:v>44.95</c:v>
                </c:pt>
                <c:pt idx="4">
                  <c:v>47.85</c:v>
                </c:pt>
                <c:pt idx="5">
                  <c:v>46.4</c:v>
                </c:pt>
                <c:pt idx="6">
                  <c:v>45.6</c:v>
                </c:pt>
                <c:pt idx="7">
                  <c:v>47.2</c:v>
                </c:pt>
                <c:pt idx="8">
                  <c:v>49.8</c:v>
                </c:pt>
                <c:pt idx="9">
                  <c:v>50.5</c:v>
                </c:pt>
                <c:pt idx="10">
                  <c:v>49.65</c:v>
                </c:pt>
              </c:numCache>
            </c:numRef>
          </c:val>
          <c:extLst>
            <c:ext xmlns:c16="http://schemas.microsoft.com/office/drawing/2014/chart" uri="{C3380CC4-5D6E-409C-BE32-E72D297353CC}">
              <c16:uniqueId val="{00000001-2144-4AF1-9121-350FECC9911E}"/>
            </c:ext>
          </c:extLst>
        </c:ser>
        <c:ser>
          <c:idx val="2"/>
          <c:order val="2"/>
          <c:tx>
            <c:strRef>
              <c:f>Sheet1!$D$1</c:f>
              <c:strCache>
                <c:ptCount val="1"/>
                <c:pt idx="0">
                  <c:v>Low</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Sheet1!$D$2:$D$12</c:f>
              <c:numCache>
                <c:formatCode>General</c:formatCode>
                <c:ptCount val="11"/>
                <c:pt idx="0">
                  <c:v>0</c:v>
                </c:pt>
                <c:pt idx="1">
                  <c:v>42.85</c:v>
                </c:pt>
                <c:pt idx="2">
                  <c:v>44.35</c:v>
                </c:pt>
                <c:pt idx="3">
                  <c:v>44.1</c:v>
                </c:pt>
                <c:pt idx="4">
                  <c:v>45.5</c:v>
                </c:pt>
                <c:pt idx="5">
                  <c:v>44</c:v>
                </c:pt>
                <c:pt idx="6">
                  <c:v>44.55</c:v>
                </c:pt>
                <c:pt idx="7">
                  <c:v>43.5</c:v>
                </c:pt>
                <c:pt idx="8">
                  <c:v>47.6</c:v>
                </c:pt>
                <c:pt idx="9">
                  <c:v>47.05</c:v>
                </c:pt>
                <c:pt idx="10">
                  <c:v>48.05</c:v>
                </c:pt>
              </c:numCache>
            </c:numRef>
          </c:val>
          <c:extLst>
            <c:ext xmlns:c16="http://schemas.microsoft.com/office/drawing/2014/chart" uri="{C3380CC4-5D6E-409C-BE32-E72D297353CC}">
              <c16:uniqueId val="{00000002-2144-4AF1-9121-350FECC9911E}"/>
            </c:ext>
          </c:extLst>
        </c:ser>
        <c:ser>
          <c:idx val="3"/>
          <c:order val="3"/>
          <c:tx>
            <c:strRef>
              <c:f>Sheet1!$E$1</c:f>
              <c:strCache>
                <c:ptCount val="1"/>
                <c:pt idx="0">
                  <c:v>Close</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Sheet1!$E$2:$E$12</c:f>
              <c:numCache>
                <c:formatCode>General</c:formatCode>
                <c:ptCount val="11"/>
                <c:pt idx="0">
                  <c:v>0</c:v>
                </c:pt>
                <c:pt idx="1">
                  <c:v>43.1</c:v>
                </c:pt>
                <c:pt idx="2">
                  <c:v>45</c:v>
                </c:pt>
                <c:pt idx="3">
                  <c:v>44.35</c:v>
                </c:pt>
                <c:pt idx="4">
                  <c:v>47.45</c:v>
                </c:pt>
                <c:pt idx="5">
                  <c:v>44.85</c:v>
                </c:pt>
                <c:pt idx="6">
                  <c:v>44.9</c:v>
                </c:pt>
                <c:pt idx="7">
                  <c:v>46.1</c:v>
                </c:pt>
                <c:pt idx="8">
                  <c:v>48.5</c:v>
                </c:pt>
                <c:pt idx="9">
                  <c:v>50</c:v>
                </c:pt>
                <c:pt idx="10">
                  <c:v>48.65</c:v>
                </c:pt>
              </c:numCache>
            </c:numRef>
          </c:val>
          <c:extLst>
            <c:ext xmlns:c16="http://schemas.microsoft.com/office/drawing/2014/chart" uri="{C3380CC4-5D6E-409C-BE32-E72D297353CC}">
              <c16:uniqueId val="{00000003-2144-4AF1-9121-350FECC9911E}"/>
            </c:ext>
          </c:extLst>
        </c:ser>
        <c:ser>
          <c:idx val="4"/>
          <c:order val="4"/>
          <c:tx>
            <c:strRef>
              <c:f>Sheet1!$F$1</c:f>
              <c:strCache>
                <c:ptCount val="1"/>
                <c:pt idx="0">
                  <c:v>WAP</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Sheet1!$F$2:$F$12</c:f>
              <c:numCache>
                <c:formatCode>General</c:formatCode>
                <c:ptCount val="11"/>
                <c:pt idx="1">
                  <c:v>43.25</c:v>
                </c:pt>
                <c:pt idx="2">
                  <c:v>45.220000000000013</c:v>
                </c:pt>
                <c:pt idx="3">
                  <c:v>44.55</c:v>
                </c:pt>
                <c:pt idx="4">
                  <c:v>46.82</c:v>
                </c:pt>
                <c:pt idx="5">
                  <c:v>45.46</c:v>
                </c:pt>
                <c:pt idx="6">
                  <c:v>44.98</c:v>
                </c:pt>
                <c:pt idx="7">
                  <c:v>46.1</c:v>
                </c:pt>
                <c:pt idx="8">
                  <c:v>48.75</c:v>
                </c:pt>
                <c:pt idx="9">
                  <c:v>49.32</c:v>
                </c:pt>
                <c:pt idx="10">
                  <c:v>48.95</c:v>
                </c:pt>
              </c:numCache>
            </c:numRef>
          </c:val>
          <c:extLst>
            <c:ext xmlns:c16="http://schemas.microsoft.com/office/drawing/2014/chart" uri="{C3380CC4-5D6E-409C-BE32-E72D297353CC}">
              <c16:uniqueId val="{00000004-2144-4AF1-9121-350FECC9911E}"/>
            </c:ext>
          </c:extLst>
        </c:ser>
        <c:ser>
          <c:idx val="5"/>
          <c:order val="5"/>
          <c:tx>
            <c:strRef>
              <c:f>Sheet1!$H$2</c:f>
              <c:strCache>
                <c:ptCount val="1"/>
                <c:pt idx="0">
                  <c:v>Trades</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Sheet1!$H$3:$H$5</c:f>
              <c:numCache>
                <c:formatCode>#,##0</c:formatCode>
                <c:ptCount val="3"/>
                <c:pt idx="0">
                  <c:v>1046</c:v>
                </c:pt>
                <c:pt idx="1">
                  <c:v>2278</c:v>
                </c:pt>
                <c:pt idx="2" formatCode="General">
                  <c:v>912</c:v>
                </c:pt>
              </c:numCache>
            </c:numRef>
          </c:val>
          <c:extLst>
            <c:ext xmlns:c16="http://schemas.microsoft.com/office/drawing/2014/chart" uri="{C3380CC4-5D6E-409C-BE32-E72D297353CC}">
              <c16:uniqueId val="{00000005-2144-4AF1-9121-350FECC9911E}"/>
            </c:ext>
          </c:extLst>
        </c:ser>
        <c:ser>
          <c:idx val="6"/>
          <c:order val="6"/>
          <c:tx>
            <c:strRef>
              <c:f>Sheet1!$H$1</c:f>
              <c:strCache>
                <c:ptCount val="1"/>
                <c:pt idx="0">
                  <c:v>No. of</c:v>
                </c:pt>
              </c:strCache>
            </c:strRef>
          </c:tx>
          <c:invertIfNegative val="0"/>
          <c:cat>
            <c:strRef>
              <c:f>Sheet1!$A$2:$A$12</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Sheet1!$H$2:$H$12</c:f>
              <c:numCache>
                <c:formatCode>#,##0</c:formatCode>
                <c:ptCount val="11"/>
                <c:pt idx="0" formatCode="General">
                  <c:v>0</c:v>
                </c:pt>
                <c:pt idx="1">
                  <c:v>1046</c:v>
                </c:pt>
                <c:pt idx="2">
                  <c:v>2278</c:v>
                </c:pt>
                <c:pt idx="3" formatCode="General">
                  <c:v>912</c:v>
                </c:pt>
                <c:pt idx="4">
                  <c:v>3796</c:v>
                </c:pt>
                <c:pt idx="5">
                  <c:v>1684</c:v>
                </c:pt>
                <c:pt idx="6">
                  <c:v>1805</c:v>
                </c:pt>
                <c:pt idx="7">
                  <c:v>4612</c:v>
                </c:pt>
                <c:pt idx="8">
                  <c:v>4218</c:v>
                </c:pt>
                <c:pt idx="9">
                  <c:v>3303</c:v>
                </c:pt>
                <c:pt idx="10">
                  <c:v>1348</c:v>
                </c:pt>
              </c:numCache>
            </c:numRef>
          </c:val>
          <c:extLst>
            <c:ext xmlns:c16="http://schemas.microsoft.com/office/drawing/2014/chart" uri="{C3380CC4-5D6E-409C-BE32-E72D297353CC}">
              <c16:uniqueId val="{00000006-2144-4AF1-9121-350FECC9911E}"/>
            </c:ext>
          </c:extLst>
        </c:ser>
        <c:dLbls>
          <c:showLegendKey val="0"/>
          <c:showVal val="0"/>
          <c:showCatName val="0"/>
          <c:showSerName val="0"/>
          <c:showPercent val="0"/>
          <c:showBubbleSize val="0"/>
        </c:dLbls>
        <c:gapWidth val="150"/>
        <c:axId val="79570816"/>
        <c:axId val="79572352"/>
      </c:barChart>
      <c:catAx>
        <c:axId val="79570816"/>
        <c:scaling>
          <c:orientation val="minMax"/>
        </c:scaling>
        <c:delete val="0"/>
        <c:axPos val="b"/>
        <c:numFmt formatCode="General" sourceLinked="0"/>
        <c:majorTickMark val="out"/>
        <c:minorTickMark val="none"/>
        <c:tickLblPos val="nextTo"/>
        <c:crossAx val="79572352"/>
        <c:crosses val="autoZero"/>
        <c:auto val="1"/>
        <c:lblAlgn val="ctr"/>
        <c:lblOffset val="100"/>
        <c:noMultiLvlLbl val="0"/>
      </c:catAx>
      <c:valAx>
        <c:axId val="79572352"/>
        <c:scaling>
          <c:orientation val="minMax"/>
        </c:scaling>
        <c:delete val="0"/>
        <c:axPos val="l"/>
        <c:majorGridlines/>
        <c:numFmt formatCode="General" sourceLinked="1"/>
        <c:majorTickMark val="out"/>
        <c:minorTickMark val="none"/>
        <c:tickLblPos val="nextTo"/>
        <c:crossAx val="79570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FEDBANK</a:t>
            </a:r>
          </a:p>
        </c:rich>
      </c:tx>
      <c:overlay val="0"/>
    </c:title>
    <c:autoTitleDeleted val="0"/>
    <c:plotArea>
      <c:layout/>
      <c:barChart>
        <c:barDir val="col"/>
        <c:grouping val="clustered"/>
        <c:varyColors val="0"/>
        <c:ser>
          <c:idx val="0"/>
          <c:order val="0"/>
          <c:tx>
            <c:strRef>
              <c:f>Sheet1!$B$26</c:f>
              <c:strCache>
                <c:ptCount val="1"/>
                <c:pt idx="0">
                  <c:v>Open</c:v>
                </c:pt>
              </c:strCache>
            </c:strRef>
          </c:tx>
          <c:invertIfNegative val="0"/>
          <c:cat>
            <c:strRef>
              <c:f>Sheet1!$A$27:$A$37</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Sheet1!$B$27:$B$37</c:f>
              <c:numCache>
                <c:formatCode>General</c:formatCode>
                <c:ptCount val="11"/>
                <c:pt idx="0">
                  <c:v>0</c:v>
                </c:pt>
                <c:pt idx="1">
                  <c:v>235.35000000000107</c:v>
                </c:pt>
                <c:pt idx="2">
                  <c:v>250</c:v>
                </c:pt>
                <c:pt idx="3">
                  <c:v>244.85000000000107</c:v>
                </c:pt>
                <c:pt idx="4">
                  <c:v>250</c:v>
                </c:pt>
                <c:pt idx="5">
                  <c:v>245.5</c:v>
                </c:pt>
                <c:pt idx="6">
                  <c:v>239.5</c:v>
                </c:pt>
                <c:pt idx="7">
                  <c:v>239.9</c:v>
                </c:pt>
                <c:pt idx="8">
                  <c:v>243.5</c:v>
                </c:pt>
                <c:pt idx="9">
                  <c:v>245.9</c:v>
                </c:pt>
                <c:pt idx="10">
                  <c:v>239.25</c:v>
                </c:pt>
              </c:numCache>
            </c:numRef>
          </c:val>
          <c:extLst>
            <c:ext xmlns:c16="http://schemas.microsoft.com/office/drawing/2014/chart" uri="{C3380CC4-5D6E-409C-BE32-E72D297353CC}">
              <c16:uniqueId val="{00000000-22E5-4C8C-A464-644F3E3C651B}"/>
            </c:ext>
          </c:extLst>
        </c:ser>
        <c:ser>
          <c:idx val="1"/>
          <c:order val="1"/>
          <c:tx>
            <c:strRef>
              <c:f>Sheet1!$C$26</c:f>
              <c:strCache>
                <c:ptCount val="1"/>
                <c:pt idx="0">
                  <c:v>High</c:v>
                </c:pt>
              </c:strCache>
            </c:strRef>
          </c:tx>
          <c:invertIfNegative val="0"/>
          <c:cat>
            <c:strRef>
              <c:f>Sheet1!$A$27:$A$37</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Sheet1!$C$27:$C$37</c:f>
              <c:numCache>
                <c:formatCode>General</c:formatCode>
                <c:ptCount val="11"/>
                <c:pt idx="0">
                  <c:v>0</c:v>
                </c:pt>
                <c:pt idx="1">
                  <c:v>243.5</c:v>
                </c:pt>
                <c:pt idx="2">
                  <c:v>252.5</c:v>
                </c:pt>
                <c:pt idx="3">
                  <c:v>246.1</c:v>
                </c:pt>
                <c:pt idx="4">
                  <c:v>251.5</c:v>
                </c:pt>
                <c:pt idx="5">
                  <c:v>246.4</c:v>
                </c:pt>
                <c:pt idx="6">
                  <c:v>241.5</c:v>
                </c:pt>
                <c:pt idx="7">
                  <c:v>241.95000000000007</c:v>
                </c:pt>
                <c:pt idx="8">
                  <c:v>244.8</c:v>
                </c:pt>
                <c:pt idx="9">
                  <c:v>245.9</c:v>
                </c:pt>
                <c:pt idx="10">
                  <c:v>243</c:v>
                </c:pt>
              </c:numCache>
            </c:numRef>
          </c:val>
          <c:extLst>
            <c:ext xmlns:c16="http://schemas.microsoft.com/office/drawing/2014/chart" uri="{C3380CC4-5D6E-409C-BE32-E72D297353CC}">
              <c16:uniqueId val="{00000001-22E5-4C8C-A464-644F3E3C651B}"/>
            </c:ext>
          </c:extLst>
        </c:ser>
        <c:ser>
          <c:idx val="2"/>
          <c:order val="2"/>
          <c:tx>
            <c:strRef>
              <c:f>Sheet1!$D$26</c:f>
              <c:strCache>
                <c:ptCount val="1"/>
                <c:pt idx="0">
                  <c:v>Low</c:v>
                </c:pt>
              </c:strCache>
            </c:strRef>
          </c:tx>
          <c:invertIfNegative val="0"/>
          <c:cat>
            <c:strRef>
              <c:f>Sheet1!$A$27:$A$37</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Sheet1!$D$27:$D$37</c:f>
              <c:numCache>
                <c:formatCode>General</c:formatCode>
                <c:ptCount val="11"/>
                <c:pt idx="0">
                  <c:v>0</c:v>
                </c:pt>
                <c:pt idx="1">
                  <c:v>235.35000000000107</c:v>
                </c:pt>
                <c:pt idx="2">
                  <c:v>241.1</c:v>
                </c:pt>
                <c:pt idx="3">
                  <c:v>242</c:v>
                </c:pt>
                <c:pt idx="4">
                  <c:v>245</c:v>
                </c:pt>
                <c:pt idx="5">
                  <c:v>235</c:v>
                </c:pt>
                <c:pt idx="6">
                  <c:v>237.15</c:v>
                </c:pt>
                <c:pt idx="7">
                  <c:v>238</c:v>
                </c:pt>
                <c:pt idx="8">
                  <c:v>241.15</c:v>
                </c:pt>
                <c:pt idx="9">
                  <c:v>237.3</c:v>
                </c:pt>
                <c:pt idx="10">
                  <c:v>233.7</c:v>
                </c:pt>
              </c:numCache>
            </c:numRef>
          </c:val>
          <c:extLst>
            <c:ext xmlns:c16="http://schemas.microsoft.com/office/drawing/2014/chart" uri="{C3380CC4-5D6E-409C-BE32-E72D297353CC}">
              <c16:uniqueId val="{00000002-22E5-4C8C-A464-644F3E3C651B}"/>
            </c:ext>
          </c:extLst>
        </c:ser>
        <c:ser>
          <c:idx val="3"/>
          <c:order val="3"/>
          <c:tx>
            <c:strRef>
              <c:f>Sheet1!$E$26</c:f>
              <c:strCache>
                <c:ptCount val="1"/>
                <c:pt idx="0">
                  <c:v>Close</c:v>
                </c:pt>
              </c:strCache>
            </c:strRef>
          </c:tx>
          <c:invertIfNegative val="0"/>
          <c:cat>
            <c:strRef>
              <c:f>Sheet1!$A$27:$A$37</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Sheet1!$E$27:$E$37</c:f>
              <c:numCache>
                <c:formatCode>General</c:formatCode>
                <c:ptCount val="11"/>
                <c:pt idx="0">
                  <c:v>0</c:v>
                </c:pt>
                <c:pt idx="1">
                  <c:v>242.45000000000007</c:v>
                </c:pt>
                <c:pt idx="2">
                  <c:v>244.25</c:v>
                </c:pt>
                <c:pt idx="3">
                  <c:v>242.3</c:v>
                </c:pt>
                <c:pt idx="4">
                  <c:v>248.75</c:v>
                </c:pt>
                <c:pt idx="5">
                  <c:v>236.05</c:v>
                </c:pt>
                <c:pt idx="6">
                  <c:v>240.05</c:v>
                </c:pt>
                <c:pt idx="7">
                  <c:v>239.2</c:v>
                </c:pt>
                <c:pt idx="8">
                  <c:v>242.25</c:v>
                </c:pt>
                <c:pt idx="9">
                  <c:v>238.35000000000107</c:v>
                </c:pt>
                <c:pt idx="10">
                  <c:v>235.75</c:v>
                </c:pt>
              </c:numCache>
            </c:numRef>
          </c:val>
          <c:extLst>
            <c:ext xmlns:c16="http://schemas.microsoft.com/office/drawing/2014/chart" uri="{C3380CC4-5D6E-409C-BE32-E72D297353CC}">
              <c16:uniqueId val="{00000003-22E5-4C8C-A464-644F3E3C651B}"/>
            </c:ext>
          </c:extLst>
        </c:ser>
        <c:ser>
          <c:idx val="4"/>
          <c:order val="4"/>
          <c:tx>
            <c:strRef>
              <c:f>Sheet1!$F$26</c:f>
              <c:strCache>
                <c:ptCount val="1"/>
                <c:pt idx="0">
                  <c:v>WAP</c:v>
                </c:pt>
              </c:strCache>
            </c:strRef>
          </c:tx>
          <c:invertIfNegative val="0"/>
          <c:cat>
            <c:strRef>
              <c:f>Sheet1!$A$27:$A$37</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Sheet1!$F$27:$F$37</c:f>
              <c:numCache>
                <c:formatCode>General</c:formatCode>
                <c:ptCount val="11"/>
                <c:pt idx="1">
                  <c:v>240.68</c:v>
                </c:pt>
                <c:pt idx="2">
                  <c:v>248.60999999999999</c:v>
                </c:pt>
                <c:pt idx="3">
                  <c:v>243.60999999999999</c:v>
                </c:pt>
                <c:pt idx="4">
                  <c:v>248.68</c:v>
                </c:pt>
                <c:pt idx="5">
                  <c:v>239.98000000000027</c:v>
                </c:pt>
                <c:pt idx="6">
                  <c:v>239.22</c:v>
                </c:pt>
                <c:pt idx="7">
                  <c:v>239.57</c:v>
                </c:pt>
                <c:pt idx="8">
                  <c:v>242.99</c:v>
                </c:pt>
                <c:pt idx="9">
                  <c:v>241.36</c:v>
                </c:pt>
                <c:pt idx="10">
                  <c:v>239.37</c:v>
                </c:pt>
              </c:numCache>
            </c:numRef>
          </c:val>
          <c:extLst>
            <c:ext xmlns:c16="http://schemas.microsoft.com/office/drawing/2014/chart" uri="{C3380CC4-5D6E-409C-BE32-E72D297353CC}">
              <c16:uniqueId val="{00000004-22E5-4C8C-A464-644F3E3C651B}"/>
            </c:ext>
          </c:extLst>
        </c:ser>
        <c:dLbls>
          <c:showLegendKey val="0"/>
          <c:showVal val="0"/>
          <c:showCatName val="0"/>
          <c:showSerName val="0"/>
          <c:showPercent val="0"/>
          <c:showBubbleSize val="0"/>
        </c:dLbls>
        <c:gapWidth val="150"/>
        <c:axId val="85541248"/>
        <c:axId val="86331776"/>
      </c:barChart>
      <c:catAx>
        <c:axId val="85541248"/>
        <c:scaling>
          <c:orientation val="minMax"/>
        </c:scaling>
        <c:delete val="0"/>
        <c:axPos val="b"/>
        <c:numFmt formatCode="General" sourceLinked="0"/>
        <c:majorTickMark val="none"/>
        <c:minorTickMark val="none"/>
        <c:tickLblPos val="nextTo"/>
        <c:crossAx val="86331776"/>
        <c:crosses val="autoZero"/>
        <c:auto val="1"/>
        <c:lblAlgn val="ctr"/>
        <c:lblOffset val="100"/>
        <c:noMultiLvlLbl val="0"/>
      </c:catAx>
      <c:valAx>
        <c:axId val="86331776"/>
        <c:scaling>
          <c:orientation val="minMax"/>
        </c:scaling>
        <c:delete val="0"/>
        <c:axPos val="l"/>
        <c:majorGridlines/>
        <c:numFmt formatCode="General" sourceLinked="1"/>
        <c:majorTickMark val="none"/>
        <c:minorTickMark val="none"/>
        <c:tickLblPos val="nextTo"/>
        <c:crossAx val="855412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ADANIENTE</a:t>
            </a:r>
          </a:p>
        </c:rich>
      </c:tx>
      <c:layout>
        <c:manualLayout>
          <c:xMode val="edge"/>
          <c:yMode val="edge"/>
          <c:x val="0.38079155730533676"/>
          <c:y val="2.7777777777778557E-2"/>
        </c:manualLayout>
      </c:layout>
      <c:overlay val="0"/>
    </c:title>
    <c:autoTitleDeleted val="0"/>
    <c:plotArea>
      <c:layout/>
      <c:barChart>
        <c:barDir val="col"/>
        <c:grouping val="clustered"/>
        <c:varyColors val="0"/>
        <c:ser>
          <c:idx val="0"/>
          <c:order val="0"/>
          <c:tx>
            <c:strRef>
              <c:f>Sheet1!$B$43</c:f>
              <c:strCache>
                <c:ptCount val="1"/>
                <c:pt idx="0">
                  <c:v>Open</c:v>
                </c:pt>
              </c:strCache>
            </c:strRef>
          </c:tx>
          <c:invertIfNegative val="0"/>
          <c:cat>
            <c:strRef>
              <c:f>Sheet1!$A$44:$A$54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Sheet1!$B$44:$B$54</c:f>
              <c:numCache>
                <c:formatCode>General</c:formatCode>
                <c:ptCount val="11"/>
                <c:pt idx="0">
                  <c:v>0</c:v>
                </c:pt>
                <c:pt idx="1">
                  <c:v>834.2</c:v>
                </c:pt>
                <c:pt idx="2">
                  <c:v>821.1</c:v>
                </c:pt>
                <c:pt idx="3">
                  <c:v>755</c:v>
                </c:pt>
                <c:pt idx="4">
                  <c:v>840</c:v>
                </c:pt>
                <c:pt idx="5">
                  <c:v>428</c:v>
                </c:pt>
                <c:pt idx="6">
                  <c:v>420</c:v>
                </c:pt>
                <c:pt idx="7">
                  <c:v>424.25</c:v>
                </c:pt>
                <c:pt idx="8">
                  <c:v>419</c:v>
                </c:pt>
                <c:pt idx="9">
                  <c:v>437.9</c:v>
                </c:pt>
                <c:pt idx="10">
                  <c:v>437.4</c:v>
                </c:pt>
              </c:numCache>
            </c:numRef>
          </c:val>
          <c:extLst>
            <c:ext xmlns:c16="http://schemas.microsoft.com/office/drawing/2014/chart" uri="{C3380CC4-5D6E-409C-BE32-E72D297353CC}">
              <c16:uniqueId val="{00000000-8A7F-40CD-895F-A197F0E5C7E1}"/>
            </c:ext>
          </c:extLst>
        </c:ser>
        <c:ser>
          <c:idx val="1"/>
          <c:order val="1"/>
          <c:tx>
            <c:strRef>
              <c:f>Sheet1!$C$43</c:f>
              <c:strCache>
                <c:ptCount val="1"/>
                <c:pt idx="0">
                  <c:v>High</c:v>
                </c:pt>
              </c:strCache>
            </c:strRef>
          </c:tx>
          <c:invertIfNegative val="0"/>
          <c:cat>
            <c:strRef>
              <c:f>Sheet1!$A$44:$A$54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Sheet1!$C$44:$C$54</c:f>
              <c:numCache>
                <c:formatCode>General</c:formatCode>
                <c:ptCount val="11"/>
                <c:pt idx="0">
                  <c:v>0</c:v>
                </c:pt>
                <c:pt idx="1">
                  <c:v>834.2</c:v>
                </c:pt>
                <c:pt idx="2">
                  <c:v>825.5</c:v>
                </c:pt>
                <c:pt idx="3">
                  <c:v>868</c:v>
                </c:pt>
                <c:pt idx="4">
                  <c:v>858</c:v>
                </c:pt>
                <c:pt idx="5">
                  <c:v>429</c:v>
                </c:pt>
                <c:pt idx="6">
                  <c:v>427.9</c:v>
                </c:pt>
                <c:pt idx="7">
                  <c:v>425.75</c:v>
                </c:pt>
                <c:pt idx="8">
                  <c:v>427</c:v>
                </c:pt>
                <c:pt idx="9">
                  <c:v>437.9</c:v>
                </c:pt>
                <c:pt idx="10">
                  <c:v>441.8</c:v>
                </c:pt>
              </c:numCache>
            </c:numRef>
          </c:val>
          <c:extLst>
            <c:ext xmlns:c16="http://schemas.microsoft.com/office/drawing/2014/chart" uri="{C3380CC4-5D6E-409C-BE32-E72D297353CC}">
              <c16:uniqueId val="{00000001-8A7F-40CD-895F-A197F0E5C7E1}"/>
            </c:ext>
          </c:extLst>
        </c:ser>
        <c:ser>
          <c:idx val="2"/>
          <c:order val="2"/>
          <c:tx>
            <c:strRef>
              <c:f>Sheet1!$D$43</c:f>
              <c:strCache>
                <c:ptCount val="1"/>
                <c:pt idx="0">
                  <c:v>Low</c:v>
                </c:pt>
              </c:strCache>
            </c:strRef>
          </c:tx>
          <c:invertIfNegative val="0"/>
          <c:cat>
            <c:strRef>
              <c:f>Sheet1!$A$44:$A$54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Sheet1!$D$44:$D$54</c:f>
              <c:numCache>
                <c:formatCode>General</c:formatCode>
                <c:ptCount val="11"/>
                <c:pt idx="0">
                  <c:v>0</c:v>
                </c:pt>
                <c:pt idx="1">
                  <c:v>818</c:v>
                </c:pt>
                <c:pt idx="2">
                  <c:v>816.05</c:v>
                </c:pt>
                <c:pt idx="3">
                  <c:v>755</c:v>
                </c:pt>
                <c:pt idx="4">
                  <c:v>831</c:v>
                </c:pt>
                <c:pt idx="5">
                  <c:v>415.1</c:v>
                </c:pt>
                <c:pt idx="6">
                  <c:v>420</c:v>
                </c:pt>
                <c:pt idx="7">
                  <c:v>418.2</c:v>
                </c:pt>
                <c:pt idx="8">
                  <c:v>419</c:v>
                </c:pt>
                <c:pt idx="9">
                  <c:v>428</c:v>
                </c:pt>
                <c:pt idx="10">
                  <c:v>432</c:v>
                </c:pt>
              </c:numCache>
            </c:numRef>
          </c:val>
          <c:extLst>
            <c:ext xmlns:c16="http://schemas.microsoft.com/office/drawing/2014/chart" uri="{C3380CC4-5D6E-409C-BE32-E72D297353CC}">
              <c16:uniqueId val="{00000002-8A7F-40CD-895F-A197F0E5C7E1}"/>
            </c:ext>
          </c:extLst>
        </c:ser>
        <c:ser>
          <c:idx val="3"/>
          <c:order val="3"/>
          <c:tx>
            <c:strRef>
              <c:f>Sheet1!$E$43</c:f>
              <c:strCache>
                <c:ptCount val="1"/>
                <c:pt idx="0">
                  <c:v>Close</c:v>
                </c:pt>
              </c:strCache>
            </c:strRef>
          </c:tx>
          <c:invertIfNegative val="0"/>
          <c:cat>
            <c:strRef>
              <c:f>Sheet1!$A$44:$A$54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Sheet1!$E$44:$E$54</c:f>
              <c:numCache>
                <c:formatCode>General</c:formatCode>
                <c:ptCount val="11"/>
                <c:pt idx="0">
                  <c:v>0</c:v>
                </c:pt>
                <c:pt idx="1">
                  <c:v>821.1</c:v>
                </c:pt>
                <c:pt idx="2">
                  <c:v>819.25</c:v>
                </c:pt>
                <c:pt idx="3">
                  <c:v>840.3</c:v>
                </c:pt>
                <c:pt idx="4">
                  <c:v>844.84999999999798</c:v>
                </c:pt>
                <c:pt idx="5">
                  <c:v>418.25</c:v>
                </c:pt>
                <c:pt idx="6">
                  <c:v>424.8</c:v>
                </c:pt>
                <c:pt idx="7">
                  <c:v>422.85</c:v>
                </c:pt>
                <c:pt idx="8">
                  <c:v>426.15000000000032</c:v>
                </c:pt>
                <c:pt idx="9">
                  <c:v>429.35</c:v>
                </c:pt>
                <c:pt idx="10">
                  <c:v>436.15000000000032</c:v>
                </c:pt>
              </c:numCache>
            </c:numRef>
          </c:val>
          <c:extLst>
            <c:ext xmlns:c16="http://schemas.microsoft.com/office/drawing/2014/chart" uri="{C3380CC4-5D6E-409C-BE32-E72D297353CC}">
              <c16:uniqueId val="{00000003-8A7F-40CD-895F-A197F0E5C7E1}"/>
            </c:ext>
          </c:extLst>
        </c:ser>
        <c:ser>
          <c:idx val="4"/>
          <c:order val="4"/>
          <c:tx>
            <c:strRef>
              <c:f>Sheet1!$F$43</c:f>
              <c:strCache>
                <c:ptCount val="1"/>
                <c:pt idx="0">
                  <c:v>WAP</c:v>
                </c:pt>
              </c:strCache>
            </c:strRef>
          </c:tx>
          <c:invertIfNegative val="0"/>
          <c:cat>
            <c:strRef>
              <c:f>Sheet1!$A$44:$A$54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Sheet1!$F$44:$F$54</c:f>
              <c:numCache>
                <c:formatCode>General</c:formatCode>
                <c:ptCount val="11"/>
                <c:pt idx="1">
                  <c:v>822.72</c:v>
                </c:pt>
                <c:pt idx="2">
                  <c:v>820.12</c:v>
                </c:pt>
                <c:pt idx="3">
                  <c:v>840.39</c:v>
                </c:pt>
                <c:pt idx="4">
                  <c:v>845.93999999999949</c:v>
                </c:pt>
                <c:pt idx="5">
                  <c:v>420.4</c:v>
                </c:pt>
                <c:pt idx="6">
                  <c:v>425.37</c:v>
                </c:pt>
                <c:pt idx="7">
                  <c:v>422.89</c:v>
                </c:pt>
                <c:pt idx="8">
                  <c:v>423.28</c:v>
                </c:pt>
                <c:pt idx="9">
                  <c:v>432.1</c:v>
                </c:pt>
                <c:pt idx="10">
                  <c:v>438.57</c:v>
                </c:pt>
              </c:numCache>
            </c:numRef>
          </c:val>
          <c:extLst>
            <c:ext xmlns:c16="http://schemas.microsoft.com/office/drawing/2014/chart" uri="{C3380CC4-5D6E-409C-BE32-E72D297353CC}">
              <c16:uniqueId val="{00000004-8A7F-40CD-895F-A197F0E5C7E1}"/>
            </c:ext>
          </c:extLst>
        </c:ser>
        <c:dLbls>
          <c:showLegendKey val="0"/>
          <c:showVal val="0"/>
          <c:showCatName val="0"/>
          <c:showSerName val="0"/>
          <c:showPercent val="0"/>
          <c:showBubbleSize val="0"/>
        </c:dLbls>
        <c:gapWidth val="150"/>
        <c:axId val="88425984"/>
        <c:axId val="88427520"/>
      </c:barChart>
      <c:catAx>
        <c:axId val="88425984"/>
        <c:scaling>
          <c:orientation val="minMax"/>
        </c:scaling>
        <c:delete val="0"/>
        <c:axPos val="b"/>
        <c:numFmt formatCode="General" sourceLinked="0"/>
        <c:majorTickMark val="none"/>
        <c:minorTickMark val="none"/>
        <c:tickLblPos val="nextTo"/>
        <c:crossAx val="88427520"/>
        <c:crosses val="autoZero"/>
        <c:auto val="1"/>
        <c:lblAlgn val="ctr"/>
        <c:lblOffset val="100"/>
        <c:noMultiLvlLbl val="0"/>
      </c:catAx>
      <c:valAx>
        <c:axId val="88427520"/>
        <c:scaling>
          <c:orientation val="minMax"/>
        </c:scaling>
        <c:delete val="0"/>
        <c:axPos val="l"/>
        <c:majorGridlines/>
        <c:numFmt formatCode="General" sourceLinked="1"/>
        <c:majorTickMark val="none"/>
        <c:minorTickMark val="none"/>
        <c:tickLblPos val="nextTo"/>
        <c:crossAx val="884259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UNITECH</a:t>
            </a:r>
          </a:p>
        </c:rich>
      </c:tx>
      <c:overlay val="0"/>
    </c:title>
    <c:autoTitleDeleted val="0"/>
    <c:plotArea>
      <c:layout/>
      <c:barChart>
        <c:barDir val="col"/>
        <c:grouping val="clustered"/>
        <c:varyColors val="0"/>
        <c:ser>
          <c:idx val="0"/>
          <c:order val="0"/>
          <c:tx>
            <c:strRef>
              <c:f>Sheet1!$B$63</c:f>
              <c:strCache>
                <c:ptCount val="1"/>
                <c:pt idx="0">
                  <c:v>Open</c:v>
                </c:pt>
              </c:strCache>
            </c:strRef>
          </c:tx>
          <c:invertIfNegative val="0"/>
          <c:cat>
            <c:strRef>
              <c:f>Sheet1!$A$64:$A$74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Sheet1!$B$64:$B$74</c:f>
              <c:numCache>
                <c:formatCode>General</c:formatCode>
                <c:ptCount val="11"/>
                <c:pt idx="0">
                  <c:v>0</c:v>
                </c:pt>
                <c:pt idx="1">
                  <c:v>80</c:v>
                </c:pt>
                <c:pt idx="2">
                  <c:v>89.75</c:v>
                </c:pt>
                <c:pt idx="3">
                  <c:v>88.05</c:v>
                </c:pt>
                <c:pt idx="4">
                  <c:v>85</c:v>
                </c:pt>
                <c:pt idx="5">
                  <c:v>86.55</c:v>
                </c:pt>
                <c:pt idx="6">
                  <c:v>84.4</c:v>
                </c:pt>
                <c:pt idx="7">
                  <c:v>80</c:v>
                </c:pt>
                <c:pt idx="8">
                  <c:v>80.099999999999994</c:v>
                </c:pt>
                <c:pt idx="9">
                  <c:v>81.45</c:v>
                </c:pt>
                <c:pt idx="10">
                  <c:v>82.9</c:v>
                </c:pt>
              </c:numCache>
            </c:numRef>
          </c:val>
          <c:extLst>
            <c:ext xmlns:c16="http://schemas.microsoft.com/office/drawing/2014/chart" uri="{C3380CC4-5D6E-409C-BE32-E72D297353CC}">
              <c16:uniqueId val="{00000000-ADF5-4843-9E29-26489D4A8DE7}"/>
            </c:ext>
          </c:extLst>
        </c:ser>
        <c:ser>
          <c:idx val="1"/>
          <c:order val="1"/>
          <c:tx>
            <c:strRef>
              <c:f>Sheet1!$C$63</c:f>
              <c:strCache>
                <c:ptCount val="1"/>
                <c:pt idx="0">
                  <c:v>High</c:v>
                </c:pt>
              </c:strCache>
            </c:strRef>
          </c:tx>
          <c:invertIfNegative val="0"/>
          <c:cat>
            <c:strRef>
              <c:f>Sheet1!$A$64:$A$74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Sheet1!$C$64:$C$74</c:f>
              <c:numCache>
                <c:formatCode>General</c:formatCode>
                <c:ptCount val="11"/>
                <c:pt idx="0">
                  <c:v>0</c:v>
                </c:pt>
                <c:pt idx="1">
                  <c:v>89.6</c:v>
                </c:pt>
                <c:pt idx="2">
                  <c:v>91.9</c:v>
                </c:pt>
                <c:pt idx="3">
                  <c:v>89.649999999999991</c:v>
                </c:pt>
                <c:pt idx="4">
                  <c:v>91.8</c:v>
                </c:pt>
                <c:pt idx="5">
                  <c:v>87.9</c:v>
                </c:pt>
                <c:pt idx="6">
                  <c:v>85.05</c:v>
                </c:pt>
                <c:pt idx="7">
                  <c:v>80.95</c:v>
                </c:pt>
                <c:pt idx="8">
                  <c:v>82.4</c:v>
                </c:pt>
                <c:pt idx="9">
                  <c:v>82.85</c:v>
                </c:pt>
                <c:pt idx="10">
                  <c:v>84.1</c:v>
                </c:pt>
              </c:numCache>
            </c:numRef>
          </c:val>
          <c:extLst>
            <c:ext xmlns:c16="http://schemas.microsoft.com/office/drawing/2014/chart" uri="{C3380CC4-5D6E-409C-BE32-E72D297353CC}">
              <c16:uniqueId val="{00000001-ADF5-4843-9E29-26489D4A8DE7}"/>
            </c:ext>
          </c:extLst>
        </c:ser>
        <c:ser>
          <c:idx val="2"/>
          <c:order val="2"/>
          <c:tx>
            <c:strRef>
              <c:f>Sheet1!$D$63</c:f>
              <c:strCache>
                <c:ptCount val="1"/>
                <c:pt idx="0">
                  <c:v>Low</c:v>
                </c:pt>
              </c:strCache>
            </c:strRef>
          </c:tx>
          <c:invertIfNegative val="0"/>
          <c:cat>
            <c:strRef>
              <c:f>Sheet1!$A$64:$A$74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Sheet1!$D$64:$D$74</c:f>
              <c:numCache>
                <c:formatCode>General</c:formatCode>
                <c:ptCount val="11"/>
                <c:pt idx="0">
                  <c:v>0</c:v>
                </c:pt>
                <c:pt idx="1">
                  <c:v>79.599999999999994</c:v>
                </c:pt>
                <c:pt idx="2">
                  <c:v>89</c:v>
                </c:pt>
                <c:pt idx="3">
                  <c:v>86.3</c:v>
                </c:pt>
                <c:pt idx="4">
                  <c:v>85</c:v>
                </c:pt>
                <c:pt idx="5">
                  <c:v>84.3</c:v>
                </c:pt>
                <c:pt idx="6">
                  <c:v>81.45</c:v>
                </c:pt>
                <c:pt idx="7">
                  <c:v>78</c:v>
                </c:pt>
                <c:pt idx="8">
                  <c:v>80</c:v>
                </c:pt>
                <c:pt idx="9">
                  <c:v>81.45</c:v>
                </c:pt>
                <c:pt idx="10">
                  <c:v>82.1</c:v>
                </c:pt>
              </c:numCache>
            </c:numRef>
          </c:val>
          <c:extLst>
            <c:ext xmlns:c16="http://schemas.microsoft.com/office/drawing/2014/chart" uri="{C3380CC4-5D6E-409C-BE32-E72D297353CC}">
              <c16:uniqueId val="{00000002-ADF5-4843-9E29-26489D4A8DE7}"/>
            </c:ext>
          </c:extLst>
        </c:ser>
        <c:ser>
          <c:idx val="3"/>
          <c:order val="3"/>
          <c:tx>
            <c:strRef>
              <c:f>Sheet1!$E$63</c:f>
              <c:strCache>
                <c:ptCount val="1"/>
                <c:pt idx="0">
                  <c:v>Close</c:v>
                </c:pt>
              </c:strCache>
            </c:strRef>
          </c:tx>
          <c:invertIfNegative val="0"/>
          <c:cat>
            <c:strRef>
              <c:f>Sheet1!$A$64:$A$74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Sheet1!$E$64:$E$74</c:f>
              <c:numCache>
                <c:formatCode>General</c:formatCode>
                <c:ptCount val="11"/>
                <c:pt idx="0">
                  <c:v>0</c:v>
                </c:pt>
                <c:pt idx="1">
                  <c:v>88.75</c:v>
                </c:pt>
                <c:pt idx="2">
                  <c:v>90</c:v>
                </c:pt>
                <c:pt idx="3">
                  <c:v>86.9</c:v>
                </c:pt>
                <c:pt idx="4">
                  <c:v>89.55</c:v>
                </c:pt>
                <c:pt idx="5">
                  <c:v>85.6</c:v>
                </c:pt>
                <c:pt idx="6">
                  <c:v>82.55</c:v>
                </c:pt>
                <c:pt idx="7">
                  <c:v>78.349999999999994</c:v>
                </c:pt>
                <c:pt idx="8">
                  <c:v>81.900000000000006</c:v>
                </c:pt>
                <c:pt idx="9">
                  <c:v>81.95</c:v>
                </c:pt>
                <c:pt idx="10">
                  <c:v>82.3</c:v>
                </c:pt>
              </c:numCache>
            </c:numRef>
          </c:val>
          <c:extLst>
            <c:ext xmlns:c16="http://schemas.microsoft.com/office/drawing/2014/chart" uri="{C3380CC4-5D6E-409C-BE32-E72D297353CC}">
              <c16:uniqueId val="{00000003-ADF5-4843-9E29-26489D4A8DE7}"/>
            </c:ext>
          </c:extLst>
        </c:ser>
        <c:ser>
          <c:idx val="4"/>
          <c:order val="4"/>
          <c:tx>
            <c:strRef>
              <c:f>Sheet1!$F$63</c:f>
              <c:strCache>
                <c:ptCount val="1"/>
                <c:pt idx="0">
                  <c:v>WAP</c:v>
                </c:pt>
              </c:strCache>
            </c:strRef>
          </c:tx>
          <c:invertIfNegative val="0"/>
          <c:cat>
            <c:strRef>
              <c:f>Sheet1!$A$64:$A$74</c:f>
              <c:strCache>
                <c:ptCount val="11"/>
                <c:pt idx="1">
                  <c:v>1/1/2013</c:v>
                </c:pt>
                <c:pt idx="2">
                  <c:v>3/1/2013</c:v>
                </c:pt>
                <c:pt idx="3">
                  <c:v>7/1/2013</c:v>
                </c:pt>
                <c:pt idx="4">
                  <c:v>9/1/2013</c:v>
                </c:pt>
                <c:pt idx="5">
                  <c:v>15/01/13</c:v>
                </c:pt>
                <c:pt idx="6">
                  <c:v>17/01/13</c:v>
                </c:pt>
                <c:pt idx="7">
                  <c:v>21/01/13</c:v>
                </c:pt>
                <c:pt idx="8">
                  <c:v>23/01/13</c:v>
                </c:pt>
                <c:pt idx="9">
                  <c:v>29/01/13</c:v>
                </c:pt>
                <c:pt idx="10">
                  <c:v>31/01/13</c:v>
                </c:pt>
              </c:strCache>
            </c:strRef>
          </c:cat>
          <c:val>
            <c:numRef>
              <c:f>Sheet1!$F$64:$F$74</c:f>
              <c:numCache>
                <c:formatCode>General</c:formatCode>
                <c:ptCount val="11"/>
                <c:pt idx="1">
                  <c:v>85.51</c:v>
                </c:pt>
                <c:pt idx="2">
                  <c:v>90.73</c:v>
                </c:pt>
                <c:pt idx="3">
                  <c:v>87.98</c:v>
                </c:pt>
                <c:pt idx="4">
                  <c:v>90.210000000000022</c:v>
                </c:pt>
                <c:pt idx="5">
                  <c:v>86.669999999999987</c:v>
                </c:pt>
                <c:pt idx="6">
                  <c:v>82.78</c:v>
                </c:pt>
                <c:pt idx="7">
                  <c:v>79.63</c:v>
                </c:pt>
                <c:pt idx="8">
                  <c:v>81.319999999999993</c:v>
                </c:pt>
                <c:pt idx="9">
                  <c:v>82.23</c:v>
                </c:pt>
                <c:pt idx="10">
                  <c:v>83.03</c:v>
                </c:pt>
              </c:numCache>
            </c:numRef>
          </c:val>
          <c:extLst>
            <c:ext xmlns:c16="http://schemas.microsoft.com/office/drawing/2014/chart" uri="{C3380CC4-5D6E-409C-BE32-E72D297353CC}">
              <c16:uniqueId val="{00000004-ADF5-4843-9E29-26489D4A8DE7}"/>
            </c:ext>
          </c:extLst>
        </c:ser>
        <c:dLbls>
          <c:showLegendKey val="0"/>
          <c:showVal val="0"/>
          <c:showCatName val="0"/>
          <c:showSerName val="0"/>
          <c:showPercent val="0"/>
          <c:showBubbleSize val="0"/>
        </c:dLbls>
        <c:gapWidth val="150"/>
        <c:axId val="93340800"/>
        <c:axId val="93344896"/>
      </c:barChart>
      <c:catAx>
        <c:axId val="93340800"/>
        <c:scaling>
          <c:orientation val="minMax"/>
        </c:scaling>
        <c:delete val="0"/>
        <c:axPos val="b"/>
        <c:numFmt formatCode="General" sourceLinked="0"/>
        <c:majorTickMark val="none"/>
        <c:minorTickMark val="none"/>
        <c:tickLblPos val="nextTo"/>
        <c:crossAx val="93344896"/>
        <c:crosses val="autoZero"/>
        <c:auto val="1"/>
        <c:lblAlgn val="ctr"/>
        <c:lblOffset val="100"/>
        <c:noMultiLvlLbl val="0"/>
      </c:catAx>
      <c:valAx>
        <c:axId val="93344896"/>
        <c:scaling>
          <c:orientation val="minMax"/>
        </c:scaling>
        <c:delete val="0"/>
        <c:axPos val="l"/>
        <c:majorGridlines/>
        <c:numFmt formatCode="General" sourceLinked="1"/>
        <c:majorTickMark val="none"/>
        <c:minorTickMark val="none"/>
        <c:tickLblPos val="nextTo"/>
        <c:crossAx val="933408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10</Pages>
  <Words>2896</Words>
  <Characters>16511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101</cp:revision>
  <dcterms:created xsi:type="dcterms:W3CDTF">2024-05-24T12:49:00Z</dcterms:created>
  <dcterms:modified xsi:type="dcterms:W3CDTF">2024-06-07T16:38:00Z</dcterms:modified>
</cp:coreProperties>
</file>