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BD0B7" w14:textId="77777777" w:rsidR="00392A24" w:rsidRDefault="00A90E37" w:rsidP="000240D7">
      <w:pPr>
        <w:spacing w:after="0" w:line="240" w:lineRule="auto"/>
        <w:jc w:val="center"/>
        <w:rPr>
          <w:rFonts w:ascii="Times New Roman" w:hAnsi="Times New Roman" w:cs="Times New Roman"/>
          <w:b/>
          <w:color w:val="000000" w:themeColor="text1"/>
          <w:sz w:val="32"/>
          <w:szCs w:val="32"/>
        </w:rPr>
      </w:pPr>
      <w:r w:rsidRPr="00A90E37">
        <w:rPr>
          <w:rFonts w:ascii="Times New Roman" w:hAnsi="Times New Roman" w:cs="Times New Roman"/>
          <w:b/>
          <w:color w:val="000000" w:themeColor="text1"/>
          <w:sz w:val="32"/>
          <w:szCs w:val="32"/>
        </w:rPr>
        <w:t>A Study On Depository System Growth &amp; Role In Hdfc Bank</w:t>
      </w:r>
    </w:p>
    <w:p w14:paraId="1872F3B2" w14:textId="77777777" w:rsidR="00A90E37" w:rsidRDefault="00A90E37" w:rsidP="000240D7">
      <w:pPr>
        <w:spacing w:after="0" w:line="240" w:lineRule="auto"/>
        <w:jc w:val="center"/>
        <w:rPr>
          <w:rFonts w:ascii="Times New Roman" w:hAnsi="Times New Roman" w:cs="Times New Roman"/>
          <w:b/>
          <w:bCs/>
          <w:color w:val="000000" w:themeColor="text1"/>
          <w:sz w:val="24"/>
          <w:szCs w:val="24"/>
        </w:rPr>
      </w:pPr>
    </w:p>
    <w:p w14:paraId="0CFBA6C5" w14:textId="77777777" w:rsidR="00A90E37" w:rsidRDefault="00A90E37" w:rsidP="000240D7">
      <w:pPr>
        <w:spacing w:after="0" w:line="240" w:lineRule="auto"/>
        <w:jc w:val="center"/>
        <w:rPr>
          <w:rFonts w:ascii="Times New Roman" w:hAnsi="Times New Roman" w:cs="Times New Roman"/>
          <w:b/>
          <w:bCs/>
          <w:color w:val="000000" w:themeColor="text1"/>
          <w:sz w:val="24"/>
          <w:szCs w:val="24"/>
        </w:rPr>
      </w:pPr>
      <w:r w:rsidRPr="00A90E37">
        <w:rPr>
          <w:rFonts w:ascii="Times New Roman" w:hAnsi="Times New Roman" w:cs="Times New Roman"/>
          <w:b/>
          <w:bCs/>
          <w:color w:val="000000" w:themeColor="text1"/>
          <w:sz w:val="24"/>
          <w:szCs w:val="24"/>
        </w:rPr>
        <w:t>S Venu</w:t>
      </w:r>
    </w:p>
    <w:p w14:paraId="2D398266" w14:textId="77777777" w:rsidR="000240D7" w:rsidRPr="00F40057" w:rsidRDefault="003972E2" w:rsidP="000240D7">
      <w:pPr>
        <w:spacing w:after="0" w:line="240" w:lineRule="auto"/>
        <w:jc w:val="center"/>
        <w:rPr>
          <w:rFonts w:ascii="Times New Roman" w:hAnsi="Times New Roman" w:cs="Times New Roman"/>
          <w:color w:val="000000" w:themeColor="text1"/>
          <w:sz w:val="24"/>
          <w:szCs w:val="24"/>
        </w:rPr>
      </w:pPr>
      <w:r w:rsidRPr="00F40057">
        <w:rPr>
          <w:rFonts w:ascii="Times New Roman" w:hAnsi="Times New Roman" w:cs="Times New Roman"/>
          <w:color w:val="000000" w:themeColor="text1"/>
          <w:sz w:val="24"/>
          <w:szCs w:val="24"/>
        </w:rPr>
        <w:t>Roll No</w:t>
      </w:r>
      <w:r w:rsidR="003C689E" w:rsidRPr="00F40057">
        <w:rPr>
          <w:rFonts w:ascii="Times New Roman" w:hAnsi="Times New Roman" w:cs="Times New Roman"/>
          <w:color w:val="000000" w:themeColor="text1"/>
          <w:sz w:val="24"/>
          <w:szCs w:val="24"/>
        </w:rPr>
        <w:t>: 212122672</w:t>
      </w:r>
      <w:r w:rsidR="000B67B2">
        <w:rPr>
          <w:rFonts w:ascii="Times New Roman" w:hAnsi="Times New Roman" w:cs="Times New Roman"/>
          <w:color w:val="000000" w:themeColor="text1"/>
          <w:sz w:val="24"/>
          <w:szCs w:val="24"/>
        </w:rPr>
        <w:t>153</w:t>
      </w:r>
      <w:r w:rsidR="000240D7" w:rsidRPr="00F40057">
        <w:rPr>
          <w:rFonts w:ascii="Times New Roman" w:hAnsi="Times New Roman" w:cs="Times New Roman"/>
          <w:color w:val="000000" w:themeColor="text1"/>
          <w:sz w:val="24"/>
          <w:szCs w:val="24"/>
        </w:rPr>
        <w:t>, Department of Management Studies</w:t>
      </w:r>
    </w:p>
    <w:p w14:paraId="124C4AB0" w14:textId="77777777" w:rsidR="000240D7" w:rsidRPr="00F40057" w:rsidRDefault="00915BA4" w:rsidP="000240D7">
      <w:pPr>
        <w:spacing w:after="0" w:line="240" w:lineRule="auto"/>
        <w:jc w:val="center"/>
        <w:rPr>
          <w:rFonts w:ascii="Times New Roman" w:hAnsi="Times New Roman" w:cs="Times New Roman"/>
          <w:color w:val="000000" w:themeColor="text1"/>
          <w:sz w:val="24"/>
          <w:szCs w:val="24"/>
        </w:rPr>
      </w:pPr>
      <w:r w:rsidRPr="00F40057">
        <w:rPr>
          <w:rFonts w:ascii="Times New Roman" w:hAnsi="Times New Roman" w:cs="Times New Roman"/>
          <w:color w:val="000000" w:themeColor="text1"/>
          <w:sz w:val="24"/>
          <w:szCs w:val="24"/>
        </w:rPr>
        <w:t>Aristotle PG College,</w:t>
      </w:r>
      <w:r w:rsidR="00B13A29" w:rsidRPr="00F40057">
        <w:rPr>
          <w:rFonts w:ascii="Times New Roman" w:hAnsi="Times New Roman" w:cs="Times New Roman"/>
          <w:color w:val="000000" w:themeColor="text1"/>
          <w:sz w:val="24"/>
          <w:szCs w:val="24"/>
        </w:rPr>
        <w:t>Chilkur, Moinabad, Ranga Reddy District, Telangana</w:t>
      </w:r>
      <w:r w:rsidR="000240D7" w:rsidRPr="00F40057">
        <w:rPr>
          <w:rFonts w:ascii="Times New Roman" w:hAnsi="Times New Roman" w:cs="Times New Roman"/>
          <w:color w:val="000000" w:themeColor="text1"/>
          <w:sz w:val="24"/>
          <w:szCs w:val="24"/>
        </w:rPr>
        <w:t>.</w:t>
      </w:r>
    </w:p>
    <w:p w14:paraId="13DA0E4B" w14:textId="77777777" w:rsidR="000240D7" w:rsidRPr="00F40057" w:rsidRDefault="000240D7" w:rsidP="000240D7">
      <w:pPr>
        <w:spacing w:after="0" w:line="240" w:lineRule="auto"/>
        <w:jc w:val="center"/>
        <w:rPr>
          <w:rFonts w:ascii="Times New Roman" w:hAnsi="Times New Roman" w:cs="Times New Roman"/>
          <w:color w:val="000000" w:themeColor="text1"/>
          <w:sz w:val="12"/>
          <w:szCs w:val="12"/>
        </w:rPr>
      </w:pPr>
    </w:p>
    <w:p w14:paraId="2F630A3F" w14:textId="77777777" w:rsidR="008C719D" w:rsidRPr="00F40057" w:rsidRDefault="008C719D" w:rsidP="000240D7">
      <w:pPr>
        <w:spacing w:after="0" w:line="240" w:lineRule="auto"/>
        <w:jc w:val="center"/>
        <w:rPr>
          <w:rFonts w:ascii="Times New Roman" w:hAnsi="Times New Roman" w:cs="Times New Roman"/>
          <w:b/>
          <w:bCs/>
          <w:color w:val="000000" w:themeColor="text1"/>
          <w:sz w:val="24"/>
          <w:szCs w:val="24"/>
        </w:rPr>
      </w:pPr>
      <w:r w:rsidRPr="00F40057">
        <w:rPr>
          <w:rFonts w:ascii="Times New Roman" w:hAnsi="Times New Roman" w:cs="Times New Roman"/>
          <w:b/>
          <w:bCs/>
          <w:color w:val="000000" w:themeColor="text1"/>
          <w:sz w:val="24"/>
          <w:szCs w:val="24"/>
        </w:rPr>
        <w:t>Ms.C.Jyothika Sony</w:t>
      </w:r>
    </w:p>
    <w:p w14:paraId="058CD2CE" w14:textId="77777777" w:rsidR="004C1A42" w:rsidRPr="00F40057" w:rsidRDefault="008C719D" w:rsidP="000240D7">
      <w:pPr>
        <w:spacing w:after="0" w:line="240" w:lineRule="auto"/>
        <w:jc w:val="center"/>
        <w:rPr>
          <w:rFonts w:ascii="Times New Roman" w:hAnsi="Times New Roman" w:cs="Times New Roman"/>
          <w:color w:val="000000" w:themeColor="text1"/>
          <w:sz w:val="24"/>
          <w:szCs w:val="24"/>
        </w:rPr>
      </w:pPr>
      <w:r w:rsidRPr="00F40057">
        <w:rPr>
          <w:rFonts w:ascii="Times New Roman" w:hAnsi="Times New Roman" w:cs="Times New Roman"/>
          <w:color w:val="000000" w:themeColor="text1"/>
          <w:sz w:val="24"/>
          <w:szCs w:val="24"/>
        </w:rPr>
        <w:t>Assistant</w:t>
      </w:r>
      <w:r w:rsidR="00A20E35" w:rsidRPr="00F40057">
        <w:rPr>
          <w:rFonts w:ascii="Times New Roman" w:hAnsi="Times New Roman" w:cs="Times New Roman"/>
          <w:color w:val="000000" w:themeColor="text1"/>
          <w:sz w:val="24"/>
          <w:szCs w:val="24"/>
        </w:rPr>
        <w:t xml:space="preserve"> Professor</w:t>
      </w:r>
    </w:p>
    <w:p w14:paraId="067FD9FE" w14:textId="77777777" w:rsidR="000240D7" w:rsidRDefault="00E43504" w:rsidP="000240D7">
      <w:pPr>
        <w:spacing w:after="0" w:line="240" w:lineRule="auto"/>
        <w:jc w:val="center"/>
        <w:rPr>
          <w:rFonts w:ascii="Times New Roman" w:hAnsi="Times New Roman" w:cs="Times New Roman"/>
          <w:color w:val="000000" w:themeColor="text1"/>
          <w:sz w:val="24"/>
          <w:szCs w:val="24"/>
        </w:rPr>
      </w:pPr>
      <w:r w:rsidRPr="00F40057">
        <w:rPr>
          <w:rFonts w:ascii="Times New Roman" w:hAnsi="Times New Roman" w:cs="Times New Roman"/>
          <w:color w:val="000000" w:themeColor="text1"/>
          <w:sz w:val="24"/>
          <w:szCs w:val="24"/>
        </w:rPr>
        <w:t>Aristotle PG College, Chilkur, Moinabad, Ranga Reddy District, Telangana</w:t>
      </w:r>
      <w:r w:rsidR="000240D7" w:rsidRPr="00F40057">
        <w:rPr>
          <w:rFonts w:ascii="Times New Roman" w:hAnsi="Times New Roman" w:cs="Times New Roman"/>
          <w:color w:val="000000" w:themeColor="text1"/>
          <w:sz w:val="24"/>
          <w:szCs w:val="24"/>
        </w:rPr>
        <w:t>.</w:t>
      </w:r>
    </w:p>
    <w:p w14:paraId="53C01771" w14:textId="77777777" w:rsidR="00F03BCE" w:rsidRDefault="00F03BCE" w:rsidP="00F03BCE">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jyothika.chh@gmail.com</w:t>
        </w:r>
      </w:hyperlink>
    </w:p>
    <w:p w14:paraId="0B5026BE" w14:textId="77777777" w:rsidR="00F03BCE" w:rsidRDefault="00F03BCE" w:rsidP="00F03BCE">
      <w:pPr>
        <w:spacing w:after="0" w:line="240" w:lineRule="auto"/>
        <w:jc w:val="center"/>
        <w:rPr>
          <w:rFonts w:ascii="Times New Roman" w:hAnsi="Times New Roman" w:cs="Times New Roman"/>
          <w:sz w:val="24"/>
          <w:szCs w:val="24"/>
        </w:rPr>
      </w:pPr>
    </w:p>
    <w:p w14:paraId="6B08C513" w14:textId="77777777" w:rsidR="006E13AB" w:rsidRDefault="006E13AB" w:rsidP="006D613A">
      <w:pPr>
        <w:spacing w:after="0" w:line="360" w:lineRule="auto"/>
        <w:jc w:val="both"/>
        <w:rPr>
          <w:rFonts w:ascii="Times New Roman" w:hAnsi="Times New Roman" w:cs="Times New Roman"/>
          <w:color w:val="000000" w:themeColor="text1"/>
          <w:sz w:val="2"/>
          <w:szCs w:val="2"/>
        </w:rPr>
      </w:pPr>
    </w:p>
    <w:p w14:paraId="77B36AB9" w14:textId="77777777" w:rsidR="007B2DCE" w:rsidRPr="00F40057" w:rsidRDefault="007B2DCE" w:rsidP="006D613A">
      <w:pPr>
        <w:spacing w:after="0" w:line="360" w:lineRule="auto"/>
        <w:jc w:val="both"/>
        <w:rPr>
          <w:rFonts w:ascii="Times New Roman" w:hAnsi="Times New Roman" w:cs="Times New Roman"/>
          <w:color w:val="000000" w:themeColor="text1"/>
          <w:sz w:val="2"/>
          <w:szCs w:val="2"/>
        </w:rPr>
      </w:pPr>
    </w:p>
    <w:p w14:paraId="4A7D5307" w14:textId="77777777" w:rsidR="006E13AB" w:rsidRPr="00F40057" w:rsidRDefault="006E13AB" w:rsidP="006D613A">
      <w:pPr>
        <w:spacing w:after="0" w:line="360" w:lineRule="auto"/>
        <w:jc w:val="both"/>
        <w:rPr>
          <w:rFonts w:ascii="Times New Roman" w:hAnsi="Times New Roman" w:cs="Times New Roman"/>
          <w:color w:val="000000" w:themeColor="text1"/>
          <w:sz w:val="6"/>
          <w:szCs w:val="6"/>
        </w:rPr>
      </w:pPr>
    </w:p>
    <w:p w14:paraId="44E70763" w14:textId="77777777" w:rsidR="00341FE0" w:rsidRPr="00F40057" w:rsidRDefault="00983264" w:rsidP="006D613A">
      <w:pPr>
        <w:spacing w:after="0" w:line="360" w:lineRule="auto"/>
        <w:jc w:val="both"/>
        <w:rPr>
          <w:rFonts w:ascii="Times New Roman" w:hAnsi="Times New Roman" w:cs="Times New Roman"/>
          <w:b/>
          <w:bCs/>
          <w:color w:val="000000" w:themeColor="text1"/>
          <w:sz w:val="24"/>
          <w:szCs w:val="24"/>
        </w:rPr>
      </w:pPr>
      <w:r w:rsidRPr="00F40057">
        <w:rPr>
          <w:rFonts w:ascii="Times New Roman" w:hAnsi="Times New Roman" w:cs="Times New Roman"/>
          <w:b/>
          <w:bCs/>
          <w:color w:val="000000" w:themeColor="text1"/>
          <w:sz w:val="24"/>
          <w:szCs w:val="24"/>
        </w:rPr>
        <w:t>Abstract:</w:t>
      </w:r>
    </w:p>
    <w:p w14:paraId="6E13449E" w14:textId="77777777" w:rsidR="00C67B0D" w:rsidRPr="007C65F4" w:rsidRDefault="007C65F4" w:rsidP="00C67B0D">
      <w:pPr>
        <w:spacing w:after="0" w:line="360" w:lineRule="auto"/>
        <w:jc w:val="both"/>
        <w:rPr>
          <w:rFonts w:ascii="Times New Roman" w:hAnsi="Times New Roman" w:cs="Times New Roman"/>
          <w:color w:val="000000" w:themeColor="text1"/>
          <w:sz w:val="24"/>
          <w:szCs w:val="24"/>
          <w:shd w:val="clear" w:color="auto" w:fill="FFFFFF"/>
        </w:rPr>
      </w:pPr>
      <w:r w:rsidRPr="007C65F4">
        <w:rPr>
          <w:rFonts w:ascii="Times New Roman" w:hAnsi="Times New Roman" w:cs="Times New Roman"/>
          <w:sz w:val="24"/>
          <w:szCs w:val="24"/>
        </w:rPr>
        <w:t>In India, Depository system was started in June (1996). It was initiated by Stock Holding Corporation of India Limited (SHCIL) in July,1992. A depository is an organisation for financial services where the securities of shareholders are held in electronic form. A depository interfaces with its investors through their agents called depository participants (DPs). The main objective of depository is to reduce settlement risk by minimizing the huge paper work. At present there are two depositories NSDL &amp; CDSL are working in India. The present study is an attempt to know the role and growth of their depositories in Indian capital market for 22 years</w:t>
      </w:r>
      <w:r>
        <w:rPr>
          <w:rFonts w:ascii="Times New Roman" w:hAnsi="Times New Roman" w:cs="Times New Roman"/>
          <w:sz w:val="24"/>
          <w:szCs w:val="24"/>
        </w:rPr>
        <w:t>.</w:t>
      </w:r>
      <w:r w:rsidRPr="007C65F4">
        <w:rPr>
          <w:rFonts w:ascii="Times New Roman" w:hAnsi="Times New Roman" w:cs="Times New Roman"/>
          <w:sz w:val="24"/>
          <w:szCs w:val="24"/>
        </w:rPr>
        <w:t xml:space="preserve"> On the basis of results, it is concluded that number of beneficiary accounts, number of companies for Demat, number of depository participants, number of depository participants centres, quantity of Demat shares and value of Demat shares of depository organisations. This paper is divided into six sections namely, Introduction, Research Methodology, Role of Depositories, Growth and Comparison of NSDL &amp; CDSL, Findings, and Conclusion.</w:t>
      </w:r>
      <w:r w:rsidR="00C67B0D" w:rsidRPr="007C65F4">
        <w:rPr>
          <w:rFonts w:ascii="Times New Roman" w:hAnsi="Times New Roman" w:cs="Times New Roman"/>
          <w:color w:val="000000" w:themeColor="text1"/>
          <w:sz w:val="24"/>
          <w:szCs w:val="24"/>
          <w:shd w:val="clear" w:color="auto" w:fill="FFFFFF"/>
        </w:rPr>
        <w:t>.</w:t>
      </w:r>
    </w:p>
    <w:p w14:paraId="743C5190" w14:textId="77777777" w:rsidR="00C67B0D" w:rsidRDefault="00C67B0D" w:rsidP="004973E1">
      <w:pPr>
        <w:spacing w:after="0" w:line="276" w:lineRule="auto"/>
        <w:jc w:val="both"/>
        <w:rPr>
          <w:rFonts w:ascii="Times New Roman" w:hAnsi="Times New Roman" w:cs="Times New Roman"/>
          <w:color w:val="000000" w:themeColor="text1"/>
          <w:sz w:val="24"/>
          <w:szCs w:val="24"/>
          <w:shd w:val="clear" w:color="auto" w:fill="FFFFFF"/>
        </w:rPr>
      </w:pPr>
    </w:p>
    <w:p w14:paraId="4911FE5E" w14:textId="77777777" w:rsidR="001C15A9" w:rsidRPr="00F40057" w:rsidRDefault="00A86DE0" w:rsidP="004973E1">
      <w:pPr>
        <w:spacing w:after="0" w:line="276" w:lineRule="auto"/>
        <w:jc w:val="both"/>
        <w:rPr>
          <w:rFonts w:ascii="Times New Roman" w:hAnsi="Times New Roman" w:cs="Times New Roman"/>
          <w:bCs/>
          <w:iCs/>
          <w:color w:val="000000" w:themeColor="text1"/>
          <w:sz w:val="24"/>
          <w:szCs w:val="24"/>
        </w:rPr>
      </w:pPr>
      <w:r w:rsidRPr="00F40057">
        <w:rPr>
          <w:rFonts w:ascii="Times New Roman" w:hAnsi="Times New Roman" w:cs="Times New Roman"/>
          <w:b/>
          <w:iCs/>
          <w:color w:val="000000" w:themeColor="text1"/>
          <w:sz w:val="24"/>
          <w:szCs w:val="24"/>
        </w:rPr>
        <w:t xml:space="preserve">Keywords: </w:t>
      </w:r>
      <w:r w:rsidR="00C67B0D" w:rsidRPr="00C67B0D">
        <w:rPr>
          <w:rFonts w:ascii="Times New Roman" w:hAnsi="Times New Roman" w:cs="Times New Roman"/>
          <w:color w:val="000000" w:themeColor="text1"/>
          <w:sz w:val="24"/>
          <w:szCs w:val="24"/>
          <w:shd w:val="clear" w:color="auto" w:fill="FFFFFF"/>
        </w:rPr>
        <w:t>Currency futures</w:t>
      </w:r>
      <w:r w:rsidR="00DE7B47" w:rsidRPr="00F40057">
        <w:rPr>
          <w:rFonts w:ascii="Times New Roman" w:hAnsi="Times New Roman" w:cs="Times New Roman"/>
          <w:bCs/>
          <w:iCs/>
          <w:color w:val="000000" w:themeColor="text1"/>
          <w:sz w:val="24"/>
          <w:szCs w:val="24"/>
        </w:rPr>
        <w:t>,</w:t>
      </w:r>
      <w:r w:rsidR="00453A20" w:rsidRPr="00F40057">
        <w:rPr>
          <w:rFonts w:ascii="Times New Roman" w:hAnsi="Times New Roman" w:cs="Times New Roman"/>
          <w:bCs/>
          <w:iCs/>
          <w:color w:val="000000" w:themeColor="text1"/>
          <w:sz w:val="24"/>
          <w:szCs w:val="24"/>
        </w:rPr>
        <w:t xml:space="preserve"> </w:t>
      </w:r>
      <w:r w:rsidR="00C67B0D" w:rsidRPr="00C67B0D">
        <w:rPr>
          <w:rFonts w:ascii="Times New Roman" w:hAnsi="Times New Roman" w:cs="Times New Roman"/>
          <w:color w:val="000000" w:themeColor="text1"/>
          <w:sz w:val="24"/>
          <w:szCs w:val="24"/>
          <w:shd w:val="clear" w:color="auto" w:fill="FFFFFF"/>
        </w:rPr>
        <w:t>futures contract</w:t>
      </w:r>
      <w:r w:rsidR="00C67B0D">
        <w:rPr>
          <w:rFonts w:ascii="Times New Roman" w:hAnsi="Times New Roman" w:cs="Times New Roman"/>
          <w:color w:val="000000" w:themeColor="text1"/>
          <w:sz w:val="24"/>
          <w:szCs w:val="24"/>
          <w:shd w:val="clear" w:color="auto" w:fill="FFFFFF"/>
        </w:rPr>
        <w:t>,</w:t>
      </w:r>
      <w:r w:rsidR="00C67B0D" w:rsidRPr="00C67B0D">
        <w:rPr>
          <w:rFonts w:ascii="Times New Roman" w:hAnsi="Times New Roman" w:cs="Times New Roman"/>
          <w:color w:val="000000" w:themeColor="text1"/>
          <w:sz w:val="24"/>
          <w:szCs w:val="24"/>
          <w:shd w:val="clear" w:color="auto" w:fill="FFFFFF"/>
        </w:rPr>
        <w:t xml:space="preserve"> market movement</w:t>
      </w:r>
    </w:p>
    <w:p w14:paraId="52583C21" w14:textId="77777777" w:rsidR="00AD407A" w:rsidRPr="00F40057" w:rsidRDefault="00AD407A" w:rsidP="00272B9B">
      <w:pPr>
        <w:spacing w:after="200" w:line="360" w:lineRule="auto"/>
        <w:rPr>
          <w:rFonts w:ascii="Times New Roman" w:hAnsi="Times New Roman" w:cs="Times New Roman"/>
          <w:b/>
          <w:color w:val="000000" w:themeColor="text1"/>
          <w:sz w:val="24"/>
          <w:szCs w:val="24"/>
        </w:rPr>
      </w:pPr>
    </w:p>
    <w:p w14:paraId="1E07B1FB" w14:textId="77777777" w:rsidR="00AD407A" w:rsidRPr="00F40057" w:rsidRDefault="00AD407A" w:rsidP="00272B9B">
      <w:pPr>
        <w:spacing w:after="200" w:line="360" w:lineRule="auto"/>
        <w:rPr>
          <w:rFonts w:ascii="Times New Roman" w:hAnsi="Times New Roman" w:cs="Times New Roman"/>
          <w:b/>
          <w:color w:val="000000" w:themeColor="text1"/>
          <w:sz w:val="24"/>
          <w:szCs w:val="24"/>
        </w:rPr>
      </w:pPr>
    </w:p>
    <w:p w14:paraId="2843A48E" w14:textId="77777777" w:rsidR="00B27D9E" w:rsidRPr="00F40057" w:rsidRDefault="00B27D9E" w:rsidP="00272B9B">
      <w:pPr>
        <w:spacing w:after="200" w:line="360" w:lineRule="auto"/>
        <w:rPr>
          <w:rFonts w:ascii="Times New Roman" w:hAnsi="Times New Roman" w:cs="Times New Roman"/>
          <w:b/>
          <w:color w:val="000000" w:themeColor="text1"/>
          <w:sz w:val="24"/>
          <w:szCs w:val="24"/>
        </w:rPr>
      </w:pPr>
    </w:p>
    <w:p w14:paraId="460CA22B" w14:textId="77777777" w:rsidR="00B27D9E" w:rsidRPr="00F40057" w:rsidRDefault="00B27D9E" w:rsidP="00272B9B">
      <w:pPr>
        <w:spacing w:after="200" w:line="360" w:lineRule="auto"/>
        <w:rPr>
          <w:rFonts w:ascii="Times New Roman" w:hAnsi="Times New Roman" w:cs="Times New Roman"/>
          <w:b/>
          <w:color w:val="000000" w:themeColor="text1"/>
          <w:sz w:val="24"/>
          <w:szCs w:val="24"/>
        </w:rPr>
      </w:pPr>
    </w:p>
    <w:p w14:paraId="6DB62981" w14:textId="77777777" w:rsidR="00B27D9E" w:rsidRPr="00F40057" w:rsidRDefault="00B27D9E" w:rsidP="00272B9B">
      <w:pPr>
        <w:spacing w:after="200" w:line="360" w:lineRule="auto"/>
        <w:rPr>
          <w:rFonts w:ascii="Times New Roman" w:hAnsi="Times New Roman" w:cs="Times New Roman"/>
          <w:b/>
          <w:color w:val="000000" w:themeColor="text1"/>
          <w:sz w:val="24"/>
          <w:szCs w:val="24"/>
        </w:rPr>
      </w:pPr>
    </w:p>
    <w:p w14:paraId="00632A8F" w14:textId="77777777" w:rsidR="00E31CE3" w:rsidRDefault="00E31CE3" w:rsidP="00272B9B">
      <w:pPr>
        <w:spacing w:after="200" w:line="360" w:lineRule="auto"/>
        <w:rPr>
          <w:rFonts w:ascii="Times New Roman" w:hAnsi="Times New Roman" w:cs="Times New Roman"/>
          <w:b/>
          <w:color w:val="000000" w:themeColor="text1"/>
          <w:sz w:val="24"/>
          <w:szCs w:val="24"/>
        </w:rPr>
      </w:pPr>
    </w:p>
    <w:p w14:paraId="77646A9D" w14:textId="77777777" w:rsidR="00A90E37" w:rsidRPr="00F40057" w:rsidRDefault="00A90E37" w:rsidP="00272B9B">
      <w:pPr>
        <w:spacing w:after="200" w:line="360" w:lineRule="auto"/>
        <w:rPr>
          <w:rFonts w:ascii="Times New Roman" w:hAnsi="Times New Roman" w:cs="Times New Roman"/>
          <w:b/>
          <w:color w:val="000000" w:themeColor="text1"/>
          <w:sz w:val="24"/>
          <w:szCs w:val="24"/>
        </w:rPr>
      </w:pPr>
    </w:p>
    <w:p w14:paraId="5AC8DA58" w14:textId="77777777" w:rsidR="00AD09B8" w:rsidRPr="00F40057" w:rsidRDefault="00DB5FA1" w:rsidP="00427650">
      <w:pPr>
        <w:spacing w:after="0" w:line="360" w:lineRule="auto"/>
        <w:rPr>
          <w:rFonts w:ascii="Times New Roman" w:hAnsi="Times New Roman" w:cs="Times New Roman"/>
          <w:b/>
          <w:color w:val="000000" w:themeColor="text1"/>
          <w:sz w:val="24"/>
          <w:szCs w:val="24"/>
          <w:u w:val="single"/>
        </w:rPr>
      </w:pPr>
      <w:r w:rsidRPr="00F40057">
        <w:rPr>
          <w:rFonts w:ascii="Times New Roman" w:hAnsi="Times New Roman" w:cs="Times New Roman"/>
          <w:b/>
          <w:color w:val="000000" w:themeColor="text1"/>
          <w:sz w:val="24"/>
          <w:szCs w:val="24"/>
          <w:u w:val="single"/>
        </w:rPr>
        <w:lastRenderedPageBreak/>
        <w:t>INTRODUCTION</w:t>
      </w:r>
      <w:r w:rsidR="00AD09B8" w:rsidRPr="00F40057">
        <w:rPr>
          <w:rFonts w:ascii="Times New Roman" w:hAnsi="Times New Roman" w:cs="Times New Roman"/>
          <w:b/>
          <w:color w:val="000000" w:themeColor="text1"/>
          <w:sz w:val="24"/>
          <w:szCs w:val="24"/>
          <w:u w:val="single"/>
        </w:rPr>
        <w:t>:</w:t>
      </w:r>
    </w:p>
    <w:p w14:paraId="666D4F5D" w14:textId="77777777" w:rsidR="006C13C0" w:rsidRPr="006C13C0" w:rsidRDefault="006C13C0" w:rsidP="006C13C0">
      <w:pPr>
        <w:spacing w:before="240" w:after="100" w:afterAutospacing="1" w:line="360" w:lineRule="auto"/>
        <w:jc w:val="both"/>
        <w:outlineLvl w:val="0"/>
        <w:rPr>
          <w:rFonts w:ascii="Times New Roman" w:hAnsi="Times New Roman" w:cs="Times New Roman"/>
          <w:sz w:val="24"/>
          <w:szCs w:val="24"/>
        </w:rPr>
      </w:pPr>
      <w:r w:rsidRPr="006C13C0">
        <w:rPr>
          <w:rFonts w:ascii="Times New Roman" w:hAnsi="Times New Roman" w:cs="Times New Roman"/>
          <w:sz w:val="24"/>
          <w:szCs w:val="24"/>
        </w:rPr>
        <w:t>The major reform of the Indian stock markets has been the introduction of the depository system and script less trading mechanism, since 1996. The system of trading based on physical transfer/custody of securities militated against the efficient functioning of markets particularly in the context of the large scale entry of foreign institutional investors (FIIs). The main problems faced by the investors in general and FIIs in particular were:</w:t>
      </w:r>
    </w:p>
    <w:p w14:paraId="0A8A841F" w14:textId="77777777" w:rsidR="006C13C0" w:rsidRPr="006C13C0" w:rsidRDefault="006C13C0" w:rsidP="00105E46">
      <w:pPr>
        <w:numPr>
          <w:ilvl w:val="0"/>
          <w:numId w:val="17"/>
        </w:numPr>
        <w:tabs>
          <w:tab w:val="clear" w:pos="1560"/>
          <w:tab w:val="num" w:pos="360"/>
        </w:tabs>
        <w:spacing w:after="0" w:line="360" w:lineRule="auto"/>
        <w:ind w:left="360"/>
        <w:jc w:val="both"/>
        <w:outlineLvl w:val="0"/>
        <w:rPr>
          <w:rFonts w:ascii="Times New Roman" w:hAnsi="Times New Roman" w:cs="Times New Roman"/>
          <w:sz w:val="24"/>
          <w:szCs w:val="24"/>
        </w:rPr>
      </w:pPr>
      <w:r w:rsidRPr="006C13C0">
        <w:rPr>
          <w:rFonts w:ascii="Times New Roman" w:hAnsi="Times New Roman" w:cs="Times New Roman"/>
          <w:sz w:val="24"/>
          <w:szCs w:val="24"/>
        </w:rPr>
        <w:t>Inordinate delays in transfer of securities,</w:t>
      </w:r>
    </w:p>
    <w:p w14:paraId="7EFB4ADC" w14:textId="77777777" w:rsidR="006C13C0" w:rsidRPr="006C13C0" w:rsidRDefault="006C13C0" w:rsidP="00105E46">
      <w:pPr>
        <w:numPr>
          <w:ilvl w:val="0"/>
          <w:numId w:val="17"/>
        </w:numPr>
        <w:tabs>
          <w:tab w:val="clear" w:pos="1560"/>
          <w:tab w:val="num" w:pos="360"/>
        </w:tabs>
        <w:spacing w:after="0" w:line="360" w:lineRule="auto"/>
        <w:ind w:left="360"/>
        <w:jc w:val="both"/>
        <w:outlineLvl w:val="0"/>
        <w:rPr>
          <w:rFonts w:ascii="Times New Roman" w:hAnsi="Times New Roman" w:cs="Times New Roman"/>
          <w:sz w:val="24"/>
          <w:szCs w:val="24"/>
        </w:rPr>
      </w:pPr>
      <w:r w:rsidRPr="006C13C0">
        <w:rPr>
          <w:rFonts w:ascii="Times New Roman" w:hAnsi="Times New Roman" w:cs="Times New Roman"/>
          <w:sz w:val="24"/>
          <w:szCs w:val="24"/>
        </w:rPr>
        <w:t>Return of share certificates as bad deliveries on account of forged signature/mismatch of signature or fake certificate/forged transfer deed,</w:t>
      </w:r>
    </w:p>
    <w:p w14:paraId="0973E392" w14:textId="77777777" w:rsidR="006C13C0" w:rsidRPr="006C13C0" w:rsidRDefault="006C13C0" w:rsidP="00105E46">
      <w:pPr>
        <w:numPr>
          <w:ilvl w:val="0"/>
          <w:numId w:val="17"/>
        </w:numPr>
        <w:tabs>
          <w:tab w:val="clear" w:pos="1560"/>
          <w:tab w:val="num" w:pos="360"/>
        </w:tabs>
        <w:spacing w:after="0" w:line="360" w:lineRule="auto"/>
        <w:ind w:left="360"/>
        <w:jc w:val="both"/>
        <w:outlineLvl w:val="0"/>
        <w:rPr>
          <w:rFonts w:ascii="Times New Roman" w:hAnsi="Times New Roman" w:cs="Times New Roman"/>
          <w:sz w:val="24"/>
          <w:szCs w:val="24"/>
        </w:rPr>
      </w:pPr>
      <w:r w:rsidRPr="006C13C0">
        <w:rPr>
          <w:rFonts w:ascii="Times New Roman" w:hAnsi="Times New Roman" w:cs="Times New Roman"/>
          <w:sz w:val="24"/>
          <w:szCs w:val="24"/>
        </w:rPr>
        <w:t>Delay in the receipts/non-receipts of securities after allotment/refund orders to non-allot tees,</w:t>
      </w:r>
    </w:p>
    <w:p w14:paraId="3DEDFF14" w14:textId="77777777" w:rsidR="006C13C0" w:rsidRPr="006C13C0" w:rsidRDefault="006C13C0" w:rsidP="00105E46">
      <w:pPr>
        <w:numPr>
          <w:ilvl w:val="0"/>
          <w:numId w:val="17"/>
        </w:numPr>
        <w:tabs>
          <w:tab w:val="clear" w:pos="1560"/>
          <w:tab w:val="num" w:pos="360"/>
        </w:tabs>
        <w:spacing w:after="0" w:line="360" w:lineRule="auto"/>
        <w:ind w:left="360"/>
        <w:jc w:val="both"/>
        <w:outlineLvl w:val="0"/>
        <w:rPr>
          <w:rFonts w:ascii="Times New Roman" w:hAnsi="Times New Roman" w:cs="Times New Roman"/>
          <w:sz w:val="24"/>
          <w:szCs w:val="24"/>
        </w:rPr>
      </w:pPr>
      <w:r w:rsidRPr="006C13C0">
        <w:rPr>
          <w:rFonts w:ascii="Times New Roman" w:hAnsi="Times New Roman" w:cs="Times New Roman"/>
          <w:sz w:val="24"/>
          <w:szCs w:val="24"/>
        </w:rPr>
        <w:t xml:space="preserve">Delay in getting duplicate shares/debentures certificates, and </w:t>
      </w:r>
    </w:p>
    <w:p w14:paraId="6E5F6E17" w14:textId="77777777" w:rsidR="006C13C0" w:rsidRPr="006C13C0" w:rsidRDefault="006C13C0" w:rsidP="00105E46">
      <w:pPr>
        <w:numPr>
          <w:ilvl w:val="0"/>
          <w:numId w:val="17"/>
        </w:numPr>
        <w:tabs>
          <w:tab w:val="clear" w:pos="1560"/>
          <w:tab w:val="num" w:pos="360"/>
        </w:tabs>
        <w:spacing w:after="0" w:line="360" w:lineRule="auto"/>
        <w:ind w:left="360"/>
        <w:jc w:val="both"/>
        <w:outlineLvl w:val="0"/>
        <w:rPr>
          <w:rFonts w:ascii="Times New Roman" w:hAnsi="Times New Roman" w:cs="Times New Roman"/>
          <w:sz w:val="24"/>
          <w:szCs w:val="24"/>
        </w:rPr>
      </w:pPr>
      <w:r w:rsidRPr="006C13C0">
        <w:rPr>
          <w:rFonts w:ascii="Times New Roman" w:hAnsi="Times New Roman" w:cs="Times New Roman"/>
          <w:sz w:val="24"/>
          <w:szCs w:val="24"/>
        </w:rPr>
        <w:t>Inadequate infrastructure in banking and postal segments to large volume of application and storage of share certificates.</w:t>
      </w:r>
    </w:p>
    <w:p w14:paraId="5E0F61AA" w14:textId="77777777" w:rsidR="00A374D4" w:rsidRPr="00A374D4" w:rsidRDefault="00A374D4" w:rsidP="00105E46">
      <w:pPr>
        <w:spacing w:after="0"/>
        <w:rPr>
          <w:rStyle w:val="subheader1"/>
          <w:rFonts w:ascii="Times New Roman" w:hAnsi="Times New Roman" w:cs="Times New Roman"/>
          <w:color w:val="000000" w:themeColor="text1"/>
          <w:sz w:val="24"/>
          <w:szCs w:val="24"/>
        </w:rPr>
      </w:pPr>
      <w:r w:rsidRPr="00A374D4">
        <w:rPr>
          <w:rStyle w:val="subheader1"/>
          <w:rFonts w:ascii="Times New Roman" w:hAnsi="Times New Roman" w:cs="Times New Roman"/>
          <w:color w:val="000000" w:themeColor="text1"/>
          <w:sz w:val="24"/>
          <w:szCs w:val="24"/>
        </w:rPr>
        <w:t>Benefits of Depository System:</w:t>
      </w:r>
    </w:p>
    <w:p w14:paraId="0F229399" w14:textId="77777777" w:rsidR="00A374D4" w:rsidRPr="00A374D4" w:rsidRDefault="00A374D4" w:rsidP="00A374D4">
      <w:pPr>
        <w:spacing w:line="360" w:lineRule="auto"/>
        <w:jc w:val="both"/>
        <w:rPr>
          <w:rFonts w:ascii="Times New Roman" w:hAnsi="Times New Roman" w:cs="Times New Roman"/>
          <w:bCs/>
          <w:color w:val="000000" w:themeColor="text1"/>
          <w:sz w:val="24"/>
          <w:szCs w:val="24"/>
        </w:rPr>
      </w:pPr>
      <w:r w:rsidRPr="00A374D4">
        <w:rPr>
          <w:rFonts w:ascii="Times New Roman" w:hAnsi="Times New Roman" w:cs="Times New Roman"/>
          <w:bCs/>
          <w:color w:val="000000" w:themeColor="text1"/>
          <w:sz w:val="24"/>
          <w:szCs w:val="24"/>
        </w:rPr>
        <w:t xml:space="preserve">In the depository system, the ownership and transfer of securities takes place by means of electronic book entries. At the outset, this system rids the capital market of the dangers related to handling of paper. NSDL provides numerous direct and indirect benefits like: </w:t>
      </w:r>
    </w:p>
    <w:p w14:paraId="3C850A15" w14:textId="77777777" w:rsidR="00A374D4" w:rsidRPr="00A374D4" w:rsidRDefault="00A374D4" w:rsidP="00A374D4">
      <w:pPr>
        <w:numPr>
          <w:ilvl w:val="0"/>
          <w:numId w:val="19"/>
        </w:numPr>
        <w:spacing w:before="100" w:beforeAutospacing="1" w:after="100" w:afterAutospacing="1" w:line="360" w:lineRule="auto"/>
        <w:jc w:val="both"/>
        <w:rPr>
          <w:rFonts w:ascii="Times New Roman" w:hAnsi="Times New Roman" w:cs="Times New Roman"/>
          <w:bCs/>
          <w:color w:val="000000" w:themeColor="text1"/>
          <w:sz w:val="24"/>
          <w:szCs w:val="24"/>
        </w:rPr>
      </w:pPr>
      <w:r w:rsidRPr="00A374D4">
        <w:rPr>
          <w:rFonts w:ascii="Times New Roman" w:hAnsi="Times New Roman" w:cs="Times New Roman"/>
          <w:bCs/>
          <w:color w:val="000000" w:themeColor="text1"/>
          <w:sz w:val="24"/>
          <w:szCs w:val="24"/>
        </w:rPr>
        <w:t xml:space="preserve">Elimination of bad deliveries in the depository environment, once holdings of an investor are dematerialised, the question of bad delivery does not arise i.e. they cannot be held "under objection". In the physical environment, buyer was required to take the risk of transfer and face uncertainty of the quality of assets purchased. In a depository environment good money certainly begets good quality of assets. </w:t>
      </w:r>
    </w:p>
    <w:p w14:paraId="56E095A1" w14:textId="77777777" w:rsidR="00A374D4" w:rsidRPr="00A374D4" w:rsidRDefault="00A374D4" w:rsidP="00A374D4">
      <w:pPr>
        <w:numPr>
          <w:ilvl w:val="0"/>
          <w:numId w:val="18"/>
        </w:numPr>
        <w:spacing w:before="100" w:beforeAutospacing="1" w:after="100" w:afterAutospacing="1" w:line="360" w:lineRule="auto"/>
        <w:jc w:val="both"/>
        <w:rPr>
          <w:rFonts w:ascii="Times New Roman" w:hAnsi="Times New Roman" w:cs="Times New Roman"/>
          <w:bCs/>
          <w:color w:val="000000" w:themeColor="text1"/>
          <w:sz w:val="24"/>
          <w:szCs w:val="24"/>
        </w:rPr>
      </w:pPr>
      <w:r w:rsidRPr="00A374D4">
        <w:rPr>
          <w:rFonts w:ascii="Times New Roman" w:hAnsi="Times New Roman" w:cs="Times New Roman"/>
          <w:bCs/>
          <w:color w:val="000000" w:themeColor="text1"/>
          <w:sz w:val="24"/>
          <w:szCs w:val="24"/>
        </w:rPr>
        <w:t xml:space="preserve">Elimination of all risks associated with physical certificates- Dealing in physical securities have associated security risks of theft of stocks, mutilation of certificates, loss of certificates during movements through and from the registrars, thus exposing the investor to the cost of obtaining duplicate certificates etc. This problem does not arise in the depository environment. </w:t>
      </w:r>
    </w:p>
    <w:p w14:paraId="00D91EB4" w14:textId="77777777" w:rsidR="00A374D4" w:rsidRDefault="00A374D4" w:rsidP="00427650">
      <w:pPr>
        <w:spacing w:after="0" w:line="360" w:lineRule="auto"/>
        <w:rPr>
          <w:rFonts w:ascii="Times New Roman" w:hAnsi="Times New Roman" w:cs="Times New Roman"/>
          <w:b/>
          <w:color w:val="000000" w:themeColor="text1"/>
          <w:sz w:val="24"/>
          <w:szCs w:val="24"/>
          <w:u w:val="single"/>
        </w:rPr>
      </w:pPr>
    </w:p>
    <w:p w14:paraId="247B915F" w14:textId="77777777" w:rsidR="00263F14" w:rsidRDefault="00263F14" w:rsidP="00427650">
      <w:pPr>
        <w:spacing w:after="0" w:line="360" w:lineRule="auto"/>
        <w:rPr>
          <w:rFonts w:ascii="Times New Roman" w:hAnsi="Times New Roman" w:cs="Times New Roman"/>
          <w:b/>
          <w:color w:val="000000" w:themeColor="text1"/>
          <w:sz w:val="24"/>
          <w:szCs w:val="24"/>
          <w:u w:val="single"/>
        </w:rPr>
      </w:pPr>
    </w:p>
    <w:p w14:paraId="3384A2E9" w14:textId="77777777" w:rsidR="00A374D4" w:rsidRDefault="00A374D4" w:rsidP="00427650">
      <w:pPr>
        <w:spacing w:after="0" w:line="360" w:lineRule="auto"/>
        <w:rPr>
          <w:rFonts w:ascii="Times New Roman" w:hAnsi="Times New Roman" w:cs="Times New Roman"/>
          <w:b/>
          <w:color w:val="000000" w:themeColor="text1"/>
          <w:sz w:val="24"/>
          <w:szCs w:val="24"/>
          <w:u w:val="single"/>
        </w:rPr>
      </w:pPr>
    </w:p>
    <w:p w14:paraId="026A88DF" w14:textId="77777777" w:rsidR="00A85F4F" w:rsidRPr="00F40057" w:rsidRDefault="00DB5FA1" w:rsidP="00427650">
      <w:pPr>
        <w:spacing w:after="0" w:line="360" w:lineRule="auto"/>
        <w:rPr>
          <w:rFonts w:ascii="Times New Roman" w:hAnsi="Times New Roman" w:cs="Times New Roman"/>
          <w:b/>
          <w:color w:val="000000" w:themeColor="text1"/>
          <w:sz w:val="24"/>
          <w:szCs w:val="24"/>
          <w:u w:val="single"/>
        </w:rPr>
      </w:pPr>
      <w:r w:rsidRPr="00F40057">
        <w:rPr>
          <w:rFonts w:ascii="Times New Roman" w:hAnsi="Times New Roman" w:cs="Times New Roman"/>
          <w:b/>
          <w:color w:val="000000" w:themeColor="text1"/>
          <w:sz w:val="24"/>
          <w:szCs w:val="24"/>
          <w:u w:val="single"/>
        </w:rPr>
        <w:lastRenderedPageBreak/>
        <w:t>REVIEW OF LITERATURE</w:t>
      </w:r>
      <w:r w:rsidR="00177D27" w:rsidRPr="00F40057">
        <w:rPr>
          <w:rFonts w:ascii="Times New Roman" w:hAnsi="Times New Roman" w:cs="Times New Roman"/>
          <w:b/>
          <w:color w:val="000000" w:themeColor="text1"/>
          <w:sz w:val="24"/>
          <w:szCs w:val="24"/>
          <w:u w:val="single"/>
        </w:rPr>
        <w:t>:</w:t>
      </w:r>
    </w:p>
    <w:p w14:paraId="4C118207" w14:textId="77777777" w:rsidR="00263F14" w:rsidRPr="00263F14" w:rsidRDefault="00263F14" w:rsidP="00263F14">
      <w:pPr>
        <w:spacing w:line="360" w:lineRule="auto"/>
        <w:rPr>
          <w:rFonts w:ascii="Times New Roman" w:eastAsia="Calibri" w:hAnsi="Times New Roman" w:cs="Times New Roman"/>
          <w:b/>
          <w:sz w:val="24"/>
          <w:szCs w:val="24"/>
        </w:rPr>
      </w:pPr>
      <w:r w:rsidRPr="00263F14">
        <w:rPr>
          <w:rFonts w:ascii="Times New Roman" w:eastAsia="Calibri" w:hAnsi="Times New Roman" w:cs="Times New Roman"/>
          <w:b/>
          <w:sz w:val="24"/>
          <w:szCs w:val="24"/>
        </w:rPr>
        <w:t>ARTICLE: 1</w:t>
      </w:r>
    </w:p>
    <w:p w14:paraId="56B632C7" w14:textId="77777777" w:rsidR="00263F14" w:rsidRPr="00263F14" w:rsidRDefault="00263F14" w:rsidP="00263F14">
      <w:pPr>
        <w:spacing w:line="360" w:lineRule="auto"/>
        <w:jc w:val="both"/>
        <w:rPr>
          <w:rFonts w:ascii="Times New Roman" w:eastAsia="Calibri" w:hAnsi="Times New Roman" w:cs="Times New Roman"/>
          <w:b/>
          <w:sz w:val="24"/>
          <w:szCs w:val="24"/>
        </w:rPr>
      </w:pPr>
      <w:r w:rsidRPr="00263F14">
        <w:rPr>
          <w:rFonts w:ascii="Times New Roman" w:eastAsia="Calibri" w:hAnsi="Times New Roman" w:cs="Times New Roman"/>
          <w:b/>
          <w:sz w:val="24"/>
          <w:szCs w:val="24"/>
        </w:rPr>
        <w:t>TITLE</w:t>
      </w:r>
      <w:r w:rsidRPr="00263F14">
        <w:rPr>
          <w:rFonts w:ascii="Times New Roman" w:eastAsia="Calibri" w:hAnsi="Times New Roman" w:cs="Times New Roman"/>
          <w:sz w:val="24"/>
          <w:szCs w:val="24"/>
        </w:rPr>
        <w:t xml:space="preserve"> </w:t>
      </w:r>
      <w:r w:rsidRPr="00263F14">
        <w:rPr>
          <w:rFonts w:ascii="Times New Roman" w:eastAsia="Calibri" w:hAnsi="Times New Roman" w:cs="Times New Roman"/>
          <w:b/>
          <w:sz w:val="24"/>
          <w:szCs w:val="24"/>
        </w:rPr>
        <w:t>A STUDY ON INDIAN DEPOSITORY SYSTEM GROWTH &amp; ROLE IN INDIAN FINANCIAL MARKET</w:t>
      </w:r>
    </w:p>
    <w:p w14:paraId="26C6E87E" w14:textId="77777777" w:rsidR="00263F14" w:rsidRPr="00263F14" w:rsidRDefault="00263F14" w:rsidP="00263F14">
      <w:pPr>
        <w:spacing w:line="360" w:lineRule="auto"/>
        <w:jc w:val="both"/>
        <w:rPr>
          <w:rFonts w:ascii="Times New Roman" w:eastAsia="Calibri" w:hAnsi="Times New Roman" w:cs="Times New Roman"/>
          <w:sz w:val="24"/>
          <w:szCs w:val="24"/>
        </w:rPr>
      </w:pPr>
      <w:r w:rsidRPr="00263F14">
        <w:rPr>
          <w:rFonts w:ascii="Times New Roman" w:eastAsia="Calibri" w:hAnsi="Times New Roman" w:cs="Times New Roman"/>
          <w:b/>
          <w:sz w:val="24"/>
          <w:szCs w:val="24"/>
        </w:rPr>
        <w:t>Author:</w:t>
      </w:r>
      <w:r w:rsidRPr="00263F14">
        <w:rPr>
          <w:rFonts w:ascii="Times New Roman" w:eastAsia="Calibri" w:hAnsi="Times New Roman" w:cs="Times New Roman"/>
          <w:sz w:val="24"/>
          <w:szCs w:val="24"/>
        </w:rPr>
        <w:t xml:space="preserve"> Dr. Shree Bhagwat</w:t>
      </w:r>
    </w:p>
    <w:p w14:paraId="37D1E857" w14:textId="77777777" w:rsidR="00263F14" w:rsidRPr="00263F14" w:rsidRDefault="00263F14" w:rsidP="00263F14">
      <w:pPr>
        <w:spacing w:line="360" w:lineRule="auto"/>
        <w:jc w:val="both"/>
        <w:rPr>
          <w:rFonts w:ascii="Times New Roman" w:eastAsia="Calibri" w:hAnsi="Times New Roman" w:cs="Times New Roman"/>
          <w:sz w:val="24"/>
          <w:szCs w:val="24"/>
        </w:rPr>
      </w:pPr>
      <w:r w:rsidRPr="00263F14">
        <w:rPr>
          <w:rFonts w:ascii="Times New Roman" w:eastAsia="Calibri" w:hAnsi="Times New Roman" w:cs="Times New Roman"/>
          <w:b/>
          <w:sz w:val="24"/>
          <w:szCs w:val="24"/>
        </w:rPr>
        <w:t>Source:</w:t>
      </w:r>
      <w:r w:rsidRPr="00263F14">
        <w:rPr>
          <w:rFonts w:ascii="Times New Roman" w:eastAsia="Calibri" w:hAnsi="Times New Roman" w:cs="Times New Roman"/>
          <w:sz w:val="24"/>
          <w:szCs w:val="24"/>
        </w:rPr>
        <w:t xml:space="preserve"> Journal of Emerging Technologies and Innovative Research</w:t>
      </w:r>
    </w:p>
    <w:p w14:paraId="0ACB1EC9" w14:textId="77777777" w:rsidR="00263F14" w:rsidRPr="00263F14" w:rsidRDefault="00263F14" w:rsidP="00263F14">
      <w:pPr>
        <w:spacing w:line="360" w:lineRule="auto"/>
        <w:jc w:val="both"/>
        <w:rPr>
          <w:rFonts w:ascii="Times New Roman" w:eastAsia="Calibri" w:hAnsi="Times New Roman" w:cs="Times New Roman"/>
          <w:b/>
          <w:sz w:val="24"/>
          <w:szCs w:val="24"/>
        </w:rPr>
      </w:pPr>
      <w:r w:rsidRPr="00263F14">
        <w:rPr>
          <w:rFonts w:ascii="Times New Roman" w:eastAsia="Calibri" w:hAnsi="Times New Roman" w:cs="Times New Roman"/>
          <w:b/>
          <w:sz w:val="24"/>
          <w:szCs w:val="24"/>
        </w:rPr>
        <w:t xml:space="preserve">ABSTRACT </w:t>
      </w:r>
    </w:p>
    <w:p w14:paraId="2D68BBF2" w14:textId="77777777" w:rsidR="00263F14" w:rsidRPr="00263F14" w:rsidRDefault="00263F14" w:rsidP="00263F14">
      <w:pPr>
        <w:spacing w:line="360" w:lineRule="auto"/>
        <w:jc w:val="both"/>
        <w:rPr>
          <w:rFonts w:ascii="Times New Roman" w:eastAsia="Calibri" w:hAnsi="Times New Roman" w:cs="Times New Roman"/>
          <w:sz w:val="24"/>
          <w:szCs w:val="24"/>
        </w:rPr>
      </w:pPr>
      <w:r w:rsidRPr="00263F14">
        <w:rPr>
          <w:rFonts w:ascii="Times New Roman" w:eastAsia="Calibri" w:hAnsi="Times New Roman" w:cs="Times New Roman"/>
          <w:sz w:val="24"/>
          <w:szCs w:val="24"/>
        </w:rPr>
        <w:t>In India, Depository system was started in June (1996). It was initiated by Stock Holding Corporation of India Limited (SHCIL) in July,1992. A depository is an organisation for financial services where the securities of shareholders are held in electronic form. A depository interfaces with its investors through their agents called depository participants (DPs). The main objective of depository is to reduce settlement risk by minimizing the huge paper work. At present there are two depositories NSDL &amp; CDSL are working in India. The present study is an attempt to know the role and growth of their depositories in Indian capital market for 22 years (i.e. from March,1997 to June,2018). On the basis of results, it is concluded that number of beneficiary accounts, number of companies for Demat, number of depository participants, number of depository participants centres, quantity of Demat shares and value of Demat shares of depository organisations. This paper is divided into six sections namely, Introduction, Research Methodology, Role of Depositories, Growth and Comparison of NSDL &amp; CDSL, Findings, and Conclusion.</w:t>
      </w:r>
    </w:p>
    <w:p w14:paraId="25FEEBDD" w14:textId="77777777" w:rsidR="00263F14" w:rsidRPr="00263F14" w:rsidRDefault="00263F14" w:rsidP="00263F14">
      <w:pPr>
        <w:spacing w:line="360" w:lineRule="auto"/>
        <w:jc w:val="both"/>
        <w:rPr>
          <w:rFonts w:ascii="Times New Roman" w:eastAsia="Calibri" w:hAnsi="Times New Roman" w:cs="Times New Roman"/>
          <w:b/>
          <w:sz w:val="24"/>
          <w:szCs w:val="24"/>
        </w:rPr>
      </w:pPr>
      <w:r w:rsidRPr="00263F14">
        <w:rPr>
          <w:rFonts w:ascii="Times New Roman" w:eastAsia="Calibri" w:hAnsi="Times New Roman" w:cs="Times New Roman"/>
          <w:b/>
          <w:sz w:val="24"/>
          <w:szCs w:val="24"/>
        </w:rPr>
        <w:t>ARTICLE: 2</w:t>
      </w:r>
    </w:p>
    <w:p w14:paraId="3FAB328F" w14:textId="77777777" w:rsidR="00263F14" w:rsidRPr="00263F14" w:rsidRDefault="00263F14" w:rsidP="00263F14">
      <w:pPr>
        <w:spacing w:line="360" w:lineRule="auto"/>
        <w:jc w:val="both"/>
        <w:rPr>
          <w:rFonts w:ascii="Times New Roman" w:eastAsia="Calibri" w:hAnsi="Times New Roman" w:cs="Times New Roman"/>
          <w:sz w:val="24"/>
          <w:szCs w:val="24"/>
        </w:rPr>
      </w:pPr>
      <w:r w:rsidRPr="00263F14">
        <w:rPr>
          <w:rFonts w:ascii="Times New Roman" w:eastAsia="Calibri" w:hAnsi="Times New Roman" w:cs="Times New Roman"/>
          <w:b/>
          <w:sz w:val="24"/>
          <w:szCs w:val="24"/>
        </w:rPr>
        <w:t xml:space="preserve">TITLE: </w:t>
      </w:r>
      <w:r w:rsidRPr="00263F14">
        <w:rPr>
          <w:rFonts w:ascii="Times New Roman" w:eastAsia="Calibri" w:hAnsi="Times New Roman" w:cs="Times New Roman"/>
          <w:sz w:val="24"/>
          <w:szCs w:val="24"/>
        </w:rPr>
        <w:t>ROLE AND GROWTH OF DEPOSITORY SYSTEM: IN INDIAN FINANCIAL MARKET</w:t>
      </w:r>
    </w:p>
    <w:p w14:paraId="25BF7769" w14:textId="77777777" w:rsidR="00263F14" w:rsidRPr="00263F14" w:rsidRDefault="00263F14" w:rsidP="00263F14">
      <w:pPr>
        <w:spacing w:line="360" w:lineRule="auto"/>
        <w:jc w:val="both"/>
        <w:rPr>
          <w:rFonts w:ascii="Times New Roman" w:eastAsia="Calibri" w:hAnsi="Times New Roman" w:cs="Times New Roman"/>
          <w:sz w:val="24"/>
          <w:szCs w:val="24"/>
        </w:rPr>
      </w:pPr>
      <w:r w:rsidRPr="00263F14">
        <w:rPr>
          <w:rFonts w:ascii="Times New Roman" w:eastAsia="Calibri" w:hAnsi="Times New Roman" w:cs="Times New Roman"/>
          <w:b/>
          <w:sz w:val="24"/>
          <w:szCs w:val="24"/>
        </w:rPr>
        <w:t>Author:</w:t>
      </w:r>
      <w:r w:rsidRPr="00263F14">
        <w:rPr>
          <w:rFonts w:ascii="Times New Roman" w:eastAsia="Calibri" w:hAnsi="Times New Roman" w:cs="Times New Roman"/>
          <w:sz w:val="24"/>
          <w:szCs w:val="24"/>
        </w:rPr>
        <w:t xml:space="preserve"> Dr. RAJNIKANT KUMAR</w:t>
      </w:r>
    </w:p>
    <w:p w14:paraId="3D54BA5B" w14:textId="77777777" w:rsidR="00263F14" w:rsidRPr="00263F14" w:rsidRDefault="00263F14" w:rsidP="00263F14">
      <w:pPr>
        <w:spacing w:line="360" w:lineRule="auto"/>
        <w:jc w:val="both"/>
        <w:rPr>
          <w:rFonts w:ascii="Times New Roman" w:eastAsia="Calibri" w:hAnsi="Times New Roman" w:cs="Times New Roman"/>
          <w:sz w:val="24"/>
          <w:szCs w:val="24"/>
        </w:rPr>
      </w:pPr>
      <w:r w:rsidRPr="00263F14">
        <w:rPr>
          <w:rFonts w:ascii="Times New Roman" w:eastAsia="Calibri" w:hAnsi="Times New Roman" w:cs="Times New Roman"/>
          <w:b/>
          <w:sz w:val="24"/>
          <w:szCs w:val="24"/>
        </w:rPr>
        <w:t>Source:</w:t>
      </w:r>
      <w:r w:rsidRPr="00263F14">
        <w:rPr>
          <w:rFonts w:ascii="Times New Roman" w:eastAsia="Calibri" w:hAnsi="Times New Roman" w:cs="Times New Roman"/>
          <w:sz w:val="24"/>
          <w:szCs w:val="24"/>
        </w:rPr>
        <w:t xml:space="preserve"> INTERNATIONAL JOURNAL FOR INNOVATIVE RESEARCH IN MULTIDISCIPLINARY FIELD’</w:t>
      </w:r>
    </w:p>
    <w:p w14:paraId="767E0C46" w14:textId="77777777" w:rsidR="00263F14" w:rsidRPr="00263F14" w:rsidRDefault="00263F14" w:rsidP="00263F14">
      <w:pPr>
        <w:spacing w:line="360" w:lineRule="auto"/>
        <w:jc w:val="both"/>
        <w:rPr>
          <w:rFonts w:ascii="Times New Roman" w:eastAsia="Calibri" w:hAnsi="Times New Roman" w:cs="Times New Roman"/>
          <w:sz w:val="24"/>
          <w:szCs w:val="24"/>
        </w:rPr>
      </w:pPr>
      <w:r w:rsidRPr="00263F14">
        <w:rPr>
          <w:rFonts w:ascii="Times New Roman" w:eastAsia="Calibri" w:hAnsi="Times New Roman" w:cs="Times New Roman"/>
          <w:sz w:val="24"/>
          <w:szCs w:val="24"/>
        </w:rPr>
        <w:t xml:space="preserve">Depository system where a place to be deposit funds or securities of Investors for safekeeping in the form of electronic accounts in the same way as bank holds money in a saving account under the terms of depository Agreement. Depository system in India was initiated by Stock Holding Corporation of India Limited (SHCIL) in July 1992. A depository provides services </w:t>
      </w:r>
      <w:r w:rsidRPr="00263F14">
        <w:rPr>
          <w:rFonts w:ascii="Times New Roman" w:eastAsia="Calibri" w:hAnsi="Times New Roman" w:cs="Times New Roman"/>
          <w:sz w:val="24"/>
          <w:szCs w:val="24"/>
        </w:rPr>
        <w:lastRenderedPageBreak/>
        <w:t>related to transactions in securities. A depository interfaces with its investors through their agents called Depository Participants (DPs). The new face of emerging world economy has made it mandatory for each and every national economy to make it updated in terms of Financial Market. At present there are two depositories i.e. National Securities Depository Limited (NSDL) and Central Depository Services Limited (CDSL) are working in India. The present study covers the contribution of the depository mode in the promotion of scrip less trading in securities through dematerialisation of securities in India and the contribution the depository system has made in helping to remove the inherent weaknesses in the traditional system like loss/theft of certificates, forged/fake certificates, cumbersome and time consuming procedure for transfer of shares, etc. The study is an attempt to know the role and growth of depositories in Indian Financial Market for the period of 24 years from 1996-1997 to 2019- 2020. On the basis of results, it is concluded that Number of Beneficiary Accounts, Number of Companies available for Demat, Number of Depository Participants, Number of Depository Participants Service Centers, Quantity of Demat Shares and Value of Demat Shares of Depository. ‘</w:t>
      </w:r>
    </w:p>
    <w:p w14:paraId="5CA9C3C0" w14:textId="77777777" w:rsidR="00263F14" w:rsidRPr="00263F14" w:rsidRDefault="00263F14" w:rsidP="00263F14">
      <w:pPr>
        <w:spacing w:line="360" w:lineRule="auto"/>
        <w:rPr>
          <w:rFonts w:ascii="Times New Roman" w:eastAsia="Calibri" w:hAnsi="Times New Roman" w:cs="Times New Roman"/>
          <w:b/>
          <w:sz w:val="24"/>
          <w:szCs w:val="24"/>
        </w:rPr>
      </w:pPr>
      <w:r w:rsidRPr="00263F14">
        <w:rPr>
          <w:rFonts w:ascii="Times New Roman" w:eastAsia="Calibri" w:hAnsi="Times New Roman" w:cs="Times New Roman"/>
          <w:b/>
          <w:sz w:val="24"/>
          <w:szCs w:val="24"/>
        </w:rPr>
        <w:t>ARTICLE: 3</w:t>
      </w:r>
    </w:p>
    <w:p w14:paraId="77C7935C" w14:textId="77777777" w:rsidR="00263F14" w:rsidRPr="00263F14" w:rsidRDefault="00263F14" w:rsidP="00263F14">
      <w:pPr>
        <w:spacing w:line="360" w:lineRule="auto"/>
        <w:jc w:val="both"/>
        <w:rPr>
          <w:rFonts w:ascii="Times New Roman" w:eastAsia="Calibri" w:hAnsi="Times New Roman" w:cs="Times New Roman"/>
          <w:sz w:val="24"/>
          <w:szCs w:val="24"/>
        </w:rPr>
      </w:pPr>
      <w:r w:rsidRPr="00263F14">
        <w:rPr>
          <w:rFonts w:ascii="Times New Roman" w:eastAsia="Calibri" w:hAnsi="Times New Roman" w:cs="Times New Roman"/>
          <w:b/>
          <w:sz w:val="24"/>
          <w:szCs w:val="24"/>
        </w:rPr>
        <w:t xml:space="preserve">TITLE: </w:t>
      </w:r>
      <w:r w:rsidRPr="00263F14">
        <w:rPr>
          <w:rFonts w:ascii="Times New Roman" w:eastAsia="Calibri" w:hAnsi="Times New Roman" w:cs="Times New Roman"/>
          <w:sz w:val="24"/>
          <w:szCs w:val="24"/>
        </w:rPr>
        <w:t>A STUDY ON CENTRAL DEPOSITORY SERVICES (INDIA) LIMITED</w:t>
      </w:r>
    </w:p>
    <w:p w14:paraId="3E6D1EDE" w14:textId="77777777" w:rsidR="00263F14" w:rsidRPr="00263F14" w:rsidRDefault="00263F14" w:rsidP="00263F14">
      <w:pPr>
        <w:spacing w:line="360" w:lineRule="auto"/>
        <w:jc w:val="both"/>
        <w:rPr>
          <w:rFonts w:ascii="Times New Roman" w:eastAsia="Calibri" w:hAnsi="Times New Roman" w:cs="Times New Roman"/>
          <w:sz w:val="24"/>
          <w:szCs w:val="24"/>
        </w:rPr>
      </w:pPr>
      <w:r w:rsidRPr="00263F14">
        <w:rPr>
          <w:rFonts w:ascii="Times New Roman" w:eastAsia="Calibri" w:hAnsi="Times New Roman" w:cs="Times New Roman"/>
          <w:b/>
          <w:sz w:val="24"/>
          <w:szCs w:val="24"/>
        </w:rPr>
        <w:t>Author:</w:t>
      </w:r>
      <w:r w:rsidRPr="00263F14">
        <w:rPr>
          <w:rFonts w:ascii="Times New Roman" w:eastAsia="Calibri" w:hAnsi="Times New Roman" w:cs="Times New Roman"/>
          <w:sz w:val="24"/>
          <w:szCs w:val="24"/>
        </w:rPr>
        <w:t xml:space="preserve"> C. Nithya</w:t>
      </w:r>
    </w:p>
    <w:p w14:paraId="7B45FA98" w14:textId="77777777" w:rsidR="00263F14" w:rsidRPr="00263F14" w:rsidRDefault="00263F14" w:rsidP="00263F14">
      <w:pPr>
        <w:spacing w:line="360" w:lineRule="auto"/>
        <w:jc w:val="both"/>
        <w:rPr>
          <w:rFonts w:ascii="Times New Roman" w:eastAsia="Calibri" w:hAnsi="Times New Roman" w:cs="Times New Roman"/>
          <w:b/>
          <w:sz w:val="24"/>
          <w:szCs w:val="24"/>
        </w:rPr>
      </w:pPr>
      <w:r w:rsidRPr="00263F14">
        <w:rPr>
          <w:rFonts w:ascii="Times New Roman" w:eastAsia="Calibri" w:hAnsi="Times New Roman" w:cs="Times New Roman"/>
          <w:b/>
          <w:sz w:val="24"/>
          <w:szCs w:val="24"/>
        </w:rPr>
        <w:t>Source:</w:t>
      </w:r>
      <w:r w:rsidRPr="00263F14">
        <w:rPr>
          <w:rFonts w:ascii="Times New Roman" w:eastAsia="Calibri" w:hAnsi="Times New Roman" w:cs="Times New Roman"/>
          <w:sz w:val="24"/>
          <w:szCs w:val="24"/>
        </w:rPr>
        <w:t xml:space="preserve"> National Technical University Athens, School of Mechanical Engineering, Athens, Greece</w:t>
      </w:r>
    </w:p>
    <w:p w14:paraId="46AB9227" w14:textId="77777777" w:rsidR="00263F14" w:rsidRDefault="00263F14" w:rsidP="00263F14">
      <w:pPr>
        <w:spacing w:before="20" w:after="20" w:line="360" w:lineRule="auto"/>
        <w:jc w:val="both"/>
        <w:rPr>
          <w:rFonts w:ascii="Times New Roman" w:hAnsi="Times New Roman" w:cs="Times New Roman"/>
          <w:sz w:val="24"/>
          <w:szCs w:val="24"/>
        </w:rPr>
      </w:pPr>
      <w:r w:rsidRPr="00263F14">
        <w:rPr>
          <w:rFonts w:ascii="Times New Roman" w:eastAsia="Calibri" w:hAnsi="Times New Roman" w:cs="Times New Roman"/>
          <w:sz w:val="24"/>
          <w:szCs w:val="24"/>
        </w:rPr>
        <w:t>The Central Depository Services (India) Limited was started in February 1999 by the Bombay Stock Exchange Limited (BSE) to provide securities trading, in electronic form. CDSL is the first depository to be listed in India at National Stock Exchange (NSE) on June 30, 2017. It provides user friendly, consistent and secured depository services to all capital market participants to transact securities in electronic form. CDSL has eliminated the huge paper work and minimized the risk in securities transactions. CDSL maintains and services more than three croredemat accounts of investors as on March 31, 2021.Its performance has been analysed by using tools such as trend analysis, mean, standard deviation, coefficient of variationand compound annual growth rate.</w:t>
      </w:r>
    </w:p>
    <w:p w14:paraId="3F12C29A" w14:textId="77777777" w:rsidR="00263F14" w:rsidRDefault="00263F14" w:rsidP="00263F14">
      <w:pPr>
        <w:spacing w:before="20" w:after="20" w:line="360" w:lineRule="auto"/>
        <w:jc w:val="both"/>
        <w:rPr>
          <w:rFonts w:ascii="Times New Roman" w:hAnsi="Times New Roman" w:cs="Times New Roman"/>
          <w:sz w:val="24"/>
          <w:szCs w:val="24"/>
        </w:rPr>
      </w:pPr>
    </w:p>
    <w:p w14:paraId="4DC05F04" w14:textId="77777777" w:rsidR="00263F14" w:rsidRPr="00263F14" w:rsidRDefault="00263F14" w:rsidP="00263F14">
      <w:pPr>
        <w:spacing w:before="20" w:after="20" w:line="360" w:lineRule="auto"/>
        <w:jc w:val="both"/>
        <w:rPr>
          <w:rFonts w:ascii="Times New Roman" w:eastAsia="Calibri" w:hAnsi="Times New Roman" w:cs="Times New Roman"/>
          <w:sz w:val="24"/>
          <w:szCs w:val="24"/>
        </w:rPr>
      </w:pPr>
    </w:p>
    <w:p w14:paraId="680A0AD2" w14:textId="77777777" w:rsidR="00C44352" w:rsidRPr="00F40057" w:rsidRDefault="00C44352" w:rsidP="00427650">
      <w:pPr>
        <w:spacing w:after="0" w:line="360" w:lineRule="auto"/>
        <w:rPr>
          <w:rFonts w:ascii="Times New Roman" w:hAnsi="Times New Roman" w:cs="Times New Roman"/>
          <w:b/>
          <w:color w:val="000000" w:themeColor="text1"/>
          <w:sz w:val="2"/>
          <w:szCs w:val="2"/>
          <w:u w:val="single"/>
        </w:rPr>
      </w:pPr>
    </w:p>
    <w:p w14:paraId="644E097B" w14:textId="77777777" w:rsidR="00353320" w:rsidRPr="00F40057" w:rsidRDefault="00DB5FA1" w:rsidP="00DC4141">
      <w:pPr>
        <w:spacing w:after="0" w:line="360" w:lineRule="auto"/>
        <w:rPr>
          <w:rFonts w:ascii="Times New Roman" w:hAnsi="Times New Roman" w:cs="Times New Roman"/>
          <w:b/>
          <w:color w:val="000000" w:themeColor="text1"/>
          <w:sz w:val="24"/>
          <w:szCs w:val="24"/>
          <w:u w:val="single"/>
        </w:rPr>
      </w:pPr>
      <w:r w:rsidRPr="00F40057">
        <w:rPr>
          <w:rFonts w:ascii="Times New Roman" w:hAnsi="Times New Roman" w:cs="Times New Roman"/>
          <w:b/>
          <w:color w:val="000000" w:themeColor="text1"/>
          <w:sz w:val="24"/>
          <w:szCs w:val="24"/>
          <w:u w:val="single"/>
        </w:rPr>
        <w:lastRenderedPageBreak/>
        <w:t>RESEARCH GAP</w:t>
      </w:r>
      <w:r w:rsidR="00FB2664" w:rsidRPr="00F40057">
        <w:rPr>
          <w:rFonts w:ascii="Times New Roman" w:hAnsi="Times New Roman" w:cs="Times New Roman"/>
          <w:b/>
          <w:color w:val="000000" w:themeColor="text1"/>
          <w:sz w:val="24"/>
          <w:szCs w:val="24"/>
          <w:u w:val="single"/>
        </w:rPr>
        <w:t>:</w:t>
      </w:r>
    </w:p>
    <w:p w14:paraId="20CEA2CE" w14:textId="77777777" w:rsidR="00263F14" w:rsidRDefault="00263F14" w:rsidP="00C57999">
      <w:pPr>
        <w:spacing w:after="0" w:line="360" w:lineRule="auto"/>
        <w:rPr>
          <w:rFonts w:ascii="Times New Roman" w:eastAsia="Calibri" w:hAnsi="Times New Roman" w:cs="Times New Roman"/>
        </w:rPr>
      </w:pPr>
      <w:r w:rsidRPr="00263F14">
        <w:rPr>
          <w:rFonts w:ascii="Times New Roman" w:eastAsia="Calibri" w:hAnsi="Times New Roman" w:cs="Times New Roman"/>
        </w:rPr>
        <w:t>This project depositories, Growth and Comparison of NSDL &amp; CDSL, Findings, and Conclusion.</w:t>
      </w:r>
    </w:p>
    <w:p w14:paraId="32487AA0" w14:textId="77777777" w:rsidR="00770DC5" w:rsidRPr="00F40057" w:rsidRDefault="00127E22" w:rsidP="00C57999">
      <w:pPr>
        <w:spacing w:after="0" w:line="360" w:lineRule="auto"/>
        <w:rPr>
          <w:rFonts w:ascii="Times New Roman" w:hAnsi="Times New Roman" w:cs="Times New Roman"/>
          <w:b/>
          <w:color w:val="000000" w:themeColor="text1"/>
          <w:sz w:val="24"/>
          <w:szCs w:val="24"/>
          <w:u w:val="single"/>
        </w:rPr>
      </w:pPr>
      <w:r w:rsidRPr="00F40057">
        <w:rPr>
          <w:rFonts w:ascii="Times New Roman" w:hAnsi="Times New Roman" w:cs="Times New Roman"/>
          <w:b/>
          <w:color w:val="000000" w:themeColor="text1"/>
          <w:sz w:val="24"/>
          <w:szCs w:val="24"/>
          <w:u w:val="single"/>
        </w:rPr>
        <w:t>OBJECTIVES</w:t>
      </w:r>
      <w:r w:rsidR="004A0102" w:rsidRPr="00F40057">
        <w:rPr>
          <w:rFonts w:ascii="Times New Roman" w:hAnsi="Times New Roman" w:cs="Times New Roman"/>
          <w:b/>
          <w:color w:val="000000" w:themeColor="text1"/>
          <w:sz w:val="24"/>
          <w:szCs w:val="24"/>
          <w:u w:val="single"/>
        </w:rPr>
        <w:t>:</w:t>
      </w:r>
    </w:p>
    <w:p w14:paraId="21951209" w14:textId="77777777" w:rsidR="00263F14" w:rsidRPr="00263F14" w:rsidRDefault="00263F14" w:rsidP="00263F14">
      <w:pPr>
        <w:numPr>
          <w:ilvl w:val="0"/>
          <w:numId w:val="20"/>
        </w:numPr>
        <w:spacing w:after="0" w:line="360" w:lineRule="auto"/>
        <w:rPr>
          <w:rFonts w:ascii="Times New Roman" w:eastAsia="Calibri" w:hAnsi="Times New Roman" w:cs="Times New Roman"/>
          <w:sz w:val="24"/>
          <w:szCs w:val="24"/>
        </w:rPr>
      </w:pPr>
      <w:r w:rsidRPr="00263F14">
        <w:rPr>
          <w:rFonts w:ascii="Times New Roman" w:eastAsia="Calibri" w:hAnsi="Times New Roman" w:cs="Times New Roman"/>
          <w:sz w:val="24"/>
          <w:szCs w:val="24"/>
        </w:rPr>
        <w:t>To know how demat process is to be done,</w:t>
      </w:r>
    </w:p>
    <w:p w14:paraId="6EE1A8CD" w14:textId="77777777" w:rsidR="00263F14" w:rsidRPr="00263F14" w:rsidRDefault="00263F14" w:rsidP="00263F14">
      <w:pPr>
        <w:numPr>
          <w:ilvl w:val="0"/>
          <w:numId w:val="20"/>
        </w:numPr>
        <w:spacing w:after="0" w:line="360" w:lineRule="auto"/>
        <w:rPr>
          <w:rFonts w:ascii="Times New Roman" w:eastAsia="Calibri" w:hAnsi="Times New Roman" w:cs="Times New Roman"/>
          <w:sz w:val="24"/>
          <w:szCs w:val="24"/>
        </w:rPr>
      </w:pPr>
      <w:r w:rsidRPr="00263F14">
        <w:rPr>
          <w:rFonts w:ascii="Times New Roman" w:eastAsia="Calibri" w:hAnsi="Times New Roman" w:cs="Times New Roman"/>
          <w:sz w:val="24"/>
          <w:szCs w:val="24"/>
        </w:rPr>
        <w:t>To know what are benefits with demat.</w:t>
      </w:r>
    </w:p>
    <w:p w14:paraId="6215AFE4" w14:textId="77777777" w:rsidR="00263F14" w:rsidRPr="00263F14" w:rsidRDefault="00263F14" w:rsidP="00263F14">
      <w:pPr>
        <w:numPr>
          <w:ilvl w:val="0"/>
          <w:numId w:val="20"/>
        </w:numPr>
        <w:spacing w:after="0" w:line="360" w:lineRule="auto"/>
        <w:rPr>
          <w:rFonts w:ascii="Times New Roman" w:eastAsia="Calibri" w:hAnsi="Times New Roman" w:cs="Times New Roman"/>
          <w:sz w:val="24"/>
          <w:szCs w:val="24"/>
        </w:rPr>
      </w:pPr>
      <w:r w:rsidRPr="00263F14">
        <w:rPr>
          <w:rFonts w:ascii="Times New Roman" w:eastAsia="Calibri" w:hAnsi="Times New Roman" w:cs="Times New Roman"/>
          <w:sz w:val="24"/>
          <w:szCs w:val="24"/>
        </w:rPr>
        <w:t>To know about NSDL (National Securities Ltd )and CDSL</w:t>
      </w:r>
    </w:p>
    <w:p w14:paraId="75099B8F" w14:textId="77777777" w:rsidR="00263F14" w:rsidRPr="00263F14" w:rsidRDefault="00263F14" w:rsidP="00263F14">
      <w:pPr>
        <w:numPr>
          <w:ilvl w:val="2"/>
          <w:numId w:val="20"/>
        </w:numPr>
        <w:spacing w:after="0" w:line="360" w:lineRule="auto"/>
        <w:rPr>
          <w:rFonts w:ascii="Times New Roman" w:eastAsia="Calibri" w:hAnsi="Times New Roman" w:cs="Times New Roman"/>
          <w:sz w:val="24"/>
          <w:szCs w:val="24"/>
        </w:rPr>
      </w:pPr>
      <w:r w:rsidRPr="00263F14">
        <w:rPr>
          <w:rFonts w:ascii="Times New Roman" w:eastAsia="Calibri" w:hAnsi="Times New Roman" w:cs="Times New Roman"/>
          <w:sz w:val="24"/>
          <w:szCs w:val="24"/>
        </w:rPr>
        <w:t>(Central Depository Services Ltd.)</w:t>
      </w:r>
    </w:p>
    <w:p w14:paraId="0CA1C612" w14:textId="77777777" w:rsidR="00263F14" w:rsidRPr="00263F14" w:rsidRDefault="00263F14" w:rsidP="00263F14">
      <w:pPr>
        <w:numPr>
          <w:ilvl w:val="0"/>
          <w:numId w:val="20"/>
        </w:numPr>
        <w:spacing w:after="0" w:line="360" w:lineRule="auto"/>
        <w:rPr>
          <w:rFonts w:ascii="Times New Roman" w:eastAsia="Calibri" w:hAnsi="Times New Roman" w:cs="Times New Roman"/>
          <w:sz w:val="24"/>
          <w:szCs w:val="24"/>
        </w:rPr>
      </w:pPr>
      <w:r w:rsidRPr="00263F14">
        <w:rPr>
          <w:rFonts w:ascii="Times New Roman" w:eastAsia="Calibri" w:hAnsi="Times New Roman" w:cs="Times New Roman"/>
          <w:sz w:val="24"/>
          <w:szCs w:val="24"/>
        </w:rPr>
        <w:t>To know what are a rights and obligations of depository participant in depository system.</w:t>
      </w:r>
    </w:p>
    <w:p w14:paraId="3538639A" w14:textId="77777777" w:rsidR="00263F14" w:rsidRPr="00263F14" w:rsidRDefault="00263F14" w:rsidP="00263F14">
      <w:pPr>
        <w:numPr>
          <w:ilvl w:val="0"/>
          <w:numId w:val="20"/>
        </w:numPr>
        <w:spacing w:after="0" w:line="360" w:lineRule="auto"/>
        <w:rPr>
          <w:rFonts w:ascii="Times New Roman" w:eastAsia="Calibri" w:hAnsi="Times New Roman" w:cs="Times New Roman"/>
          <w:sz w:val="24"/>
          <w:szCs w:val="24"/>
        </w:rPr>
      </w:pPr>
      <w:r w:rsidRPr="00263F14">
        <w:rPr>
          <w:rFonts w:ascii="Times New Roman" w:eastAsia="Calibri" w:hAnsi="Times New Roman" w:cs="Times New Roman"/>
          <w:sz w:val="24"/>
          <w:szCs w:val="24"/>
        </w:rPr>
        <w:t>To know how trading activity is to be done with the depository system.</w:t>
      </w:r>
    </w:p>
    <w:p w14:paraId="4F51D439" w14:textId="77777777" w:rsidR="00263F14" w:rsidRPr="00263F14" w:rsidRDefault="00263F14" w:rsidP="00263F14">
      <w:pPr>
        <w:numPr>
          <w:ilvl w:val="0"/>
          <w:numId w:val="20"/>
        </w:numPr>
        <w:spacing w:after="0" w:line="360" w:lineRule="auto"/>
        <w:rPr>
          <w:rFonts w:ascii="Times New Roman" w:eastAsia="Calibri" w:hAnsi="Times New Roman" w:cs="Times New Roman"/>
          <w:sz w:val="24"/>
          <w:szCs w:val="24"/>
        </w:rPr>
      </w:pPr>
      <w:r w:rsidRPr="00263F14">
        <w:rPr>
          <w:rFonts w:ascii="Times New Roman" w:eastAsia="Calibri" w:hAnsi="Times New Roman" w:cs="Times New Roman"/>
          <w:sz w:val="24"/>
          <w:szCs w:val="24"/>
        </w:rPr>
        <w:t>To know the complete awareness on stock exchanges like NSE and BSE.</w:t>
      </w:r>
    </w:p>
    <w:p w14:paraId="11478147" w14:textId="77777777" w:rsidR="00263F14" w:rsidRPr="00263F14" w:rsidRDefault="00263F14" w:rsidP="00263F14">
      <w:pPr>
        <w:numPr>
          <w:ilvl w:val="0"/>
          <w:numId w:val="20"/>
        </w:numPr>
        <w:spacing w:after="0" w:line="360" w:lineRule="auto"/>
        <w:rPr>
          <w:rFonts w:ascii="Times New Roman" w:eastAsia="Calibri" w:hAnsi="Times New Roman" w:cs="Times New Roman"/>
          <w:sz w:val="24"/>
          <w:szCs w:val="24"/>
        </w:rPr>
      </w:pPr>
      <w:r w:rsidRPr="00263F14">
        <w:rPr>
          <w:rFonts w:ascii="Times New Roman" w:eastAsia="Calibri" w:hAnsi="Times New Roman" w:cs="Times New Roman"/>
          <w:sz w:val="24"/>
          <w:szCs w:val="24"/>
        </w:rPr>
        <w:t>To know how to open a demat account.</w:t>
      </w:r>
    </w:p>
    <w:p w14:paraId="7F3729DA" w14:textId="77777777" w:rsidR="005A6193" w:rsidRDefault="005A6193" w:rsidP="001F6F4B">
      <w:pPr>
        <w:spacing w:after="0" w:line="360" w:lineRule="auto"/>
        <w:jc w:val="both"/>
        <w:rPr>
          <w:rFonts w:ascii="Times New Roman" w:hAnsi="Times New Roman" w:cs="Times New Roman"/>
          <w:b/>
          <w:color w:val="000000" w:themeColor="text1"/>
          <w:sz w:val="24"/>
          <w:szCs w:val="24"/>
          <w:u w:val="single"/>
        </w:rPr>
      </w:pPr>
    </w:p>
    <w:p w14:paraId="024D7EB8" w14:textId="77777777" w:rsidR="00EC0954" w:rsidRPr="00F40057" w:rsidRDefault="00DB5FA1" w:rsidP="001F6F4B">
      <w:pPr>
        <w:spacing w:after="0" w:line="360" w:lineRule="auto"/>
        <w:jc w:val="both"/>
        <w:rPr>
          <w:rFonts w:ascii="Times New Roman" w:hAnsi="Times New Roman" w:cs="Times New Roman"/>
          <w:b/>
          <w:color w:val="000000" w:themeColor="text1"/>
          <w:sz w:val="24"/>
          <w:szCs w:val="24"/>
          <w:u w:val="single"/>
        </w:rPr>
      </w:pPr>
      <w:r w:rsidRPr="00F40057">
        <w:rPr>
          <w:rFonts w:ascii="Times New Roman" w:hAnsi="Times New Roman" w:cs="Times New Roman"/>
          <w:b/>
          <w:color w:val="000000" w:themeColor="text1"/>
          <w:sz w:val="24"/>
          <w:szCs w:val="24"/>
          <w:u w:val="single"/>
        </w:rPr>
        <w:t>RESEARCH METHODOLOGY</w:t>
      </w:r>
      <w:r w:rsidR="00EC0954" w:rsidRPr="00F40057">
        <w:rPr>
          <w:rFonts w:ascii="Times New Roman" w:hAnsi="Times New Roman" w:cs="Times New Roman"/>
          <w:b/>
          <w:color w:val="000000" w:themeColor="text1"/>
          <w:sz w:val="24"/>
          <w:szCs w:val="24"/>
          <w:u w:val="single"/>
        </w:rPr>
        <w:t>:</w:t>
      </w:r>
    </w:p>
    <w:p w14:paraId="72030952" w14:textId="77777777" w:rsidR="0070213D" w:rsidRPr="00F40057" w:rsidRDefault="0070213D" w:rsidP="0070213D">
      <w:pPr>
        <w:spacing w:after="0" w:line="360" w:lineRule="auto"/>
        <w:jc w:val="both"/>
        <w:rPr>
          <w:rFonts w:ascii="Times New Roman" w:hAnsi="Times New Roman" w:cs="Times New Roman"/>
          <w:b/>
          <w:color w:val="000000" w:themeColor="text1"/>
          <w:sz w:val="24"/>
          <w:szCs w:val="24"/>
          <w:u w:val="single"/>
        </w:rPr>
      </w:pPr>
      <w:r w:rsidRPr="00F40057">
        <w:rPr>
          <w:rFonts w:ascii="Times New Roman" w:hAnsi="Times New Roman" w:cs="Times New Roman"/>
          <w:b/>
          <w:color w:val="000000" w:themeColor="text1"/>
          <w:sz w:val="24"/>
          <w:szCs w:val="24"/>
          <w:u w:val="single"/>
        </w:rPr>
        <w:t>Need For The Study</w:t>
      </w:r>
    </w:p>
    <w:p w14:paraId="79897CA2" w14:textId="77777777" w:rsidR="00263F14" w:rsidRPr="00263F14" w:rsidRDefault="00263F14" w:rsidP="00263F14">
      <w:pPr>
        <w:spacing w:line="360" w:lineRule="auto"/>
        <w:jc w:val="both"/>
        <w:rPr>
          <w:rFonts w:ascii="Times New Roman" w:hAnsi="Times New Roman" w:cs="Times New Roman"/>
          <w:sz w:val="24"/>
          <w:szCs w:val="24"/>
        </w:rPr>
      </w:pPr>
      <w:r w:rsidRPr="00263F14">
        <w:rPr>
          <w:rFonts w:ascii="Times New Roman" w:hAnsi="Times New Roman" w:cs="Times New Roman"/>
          <w:sz w:val="24"/>
          <w:szCs w:val="24"/>
        </w:rPr>
        <w:t>The present study to review the online trading procedure a case study of Depository system at HDFC BANK LTD, as the exchange has changed its trading from it and there is need to assess the performance of the capital market.</w:t>
      </w:r>
    </w:p>
    <w:p w14:paraId="2A7F4EB6" w14:textId="77777777" w:rsidR="00C93D79" w:rsidRPr="00F40057" w:rsidRDefault="001D12F9" w:rsidP="004F66B6">
      <w:pPr>
        <w:spacing w:after="0" w:line="360" w:lineRule="auto"/>
        <w:jc w:val="both"/>
        <w:rPr>
          <w:rFonts w:ascii="Times New Roman" w:hAnsi="Times New Roman" w:cs="Times New Roman"/>
          <w:b/>
          <w:color w:val="000000" w:themeColor="text1"/>
          <w:sz w:val="24"/>
          <w:szCs w:val="24"/>
          <w:u w:val="single"/>
        </w:rPr>
      </w:pPr>
      <w:r w:rsidRPr="00F40057">
        <w:rPr>
          <w:rFonts w:ascii="Times New Roman" w:hAnsi="Times New Roman" w:cs="Times New Roman"/>
          <w:b/>
          <w:color w:val="000000" w:themeColor="text1"/>
          <w:sz w:val="24"/>
          <w:szCs w:val="24"/>
          <w:u w:val="single"/>
        </w:rPr>
        <w:t>Scope Of The Study</w:t>
      </w:r>
      <w:r w:rsidR="00FF10B6" w:rsidRPr="00F40057">
        <w:rPr>
          <w:rFonts w:ascii="Times New Roman" w:hAnsi="Times New Roman" w:cs="Times New Roman"/>
          <w:b/>
          <w:color w:val="000000" w:themeColor="text1"/>
          <w:sz w:val="24"/>
          <w:szCs w:val="24"/>
          <w:u w:val="single"/>
        </w:rPr>
        <w:t>:</w:t>
      </w:r>
    </w:p>
    <w:p w14:paraId="70FB5955" w14:textId="77777777" w:rsidR="00263F14" w:rsidRPr="00263F14" w:rsidRDefault="00263F14" w:rsidP="00263F14">
      <w:pPr>
        <w:numPr>
          <w:ilvl w:val="0"/>
          <w:numId w:val="21"/>
        </w:numPr>
        <w:spacing w:before="100" w:beforeAutospacing="1" w:after="240" w:line="360" w:lineRule="auto"/>
        <w:jc w:val="both"/>
        <w:rPr>
          <w:rFonts w:ascii="Times New Roman" w:eastAsia="Calibri" w:hAnsi="Times New Roman" w:cs="Times New Roman"/>
          <w:bCs/>
          <w:sz w:val="24"/>
          <w:szCs w:val="24"/>
        </w:rPr>
      </w:pPr>
      <w:r w:rsidRPr="00263F14">
        <w:rPr>
          <w:rFonts w:ascii="Times New Roman" w:eastAsia="Calibri" w:hAnsi="Times New Roman" w:cs="Times New Roman"/>
          <w:sz w:val="24"/>
          <w:szCs w:val="24"/>
        </w:rPr>
        <w:t xml:space="preserve">‘Investor can assess the company financial strength and factors that affect the company. Scope of the study is limited. We can say that 70% of the analysis is proved good for the investor, but the 30% depends upon market sentiment. </w:t>
      </w:r>
    </w:p>
    <w:p w14:paraId="759EFB13" w14:textId="77777777" w:rsidR="00263F14" w:rsidRPr="00263F14" w:rsidRDefault="00263F14" w:rsidP="00263F14">
      <w:pPr>
        <w:numPr>
          <w:ilvl w:val="0"/>
          <w:numId w:val="21"/>
        </w:numPr>
        <w:spacing w:before="100" w:beforeAutospacing="1" w:after="240" w:line="360" w:lineRule="auto"/>
        <w:jc w:val="both"/>
        <w:rPr>
          <w:rFonts w:ascii="Times New Roman" w:eastAsia="Calibri" w:hAnsi="Times New Roman" w:cs="Times New Roman"/>
          <w:sz w:val="24"/>
          <w:szCs w:val="24"/>
        </w:rPr>
      </w:pPr>
      <w:r w:rsidRPr="00263F14">
        <w:rPr>
          <w:rFonts w:ascii="Times New Roman" w:eastAsia="Calibri" w:hAnsi="Times New Roman" w:cs="Times New Roman"/>
          <w:sz w:val="24"/>
          <w:szCs w:val="24"/>
        </w:rPr>
        <w:t xml:space="preserve">The topic is selected to analyses the factors that affect the future </w:t>
      </w:r>
      <w:r w:rsidRPr="00263F14">
        <w:rPr>
          <w:rFonts w:ascii="Times New Roman" w:eastAsia="Calibri" w:hAnsi="Times New Roman" w:cs="Times New Roman"/>
          <w:b/>
          <w:sz w:val="24"/>
          <w:szCs w:val="24"/>
        </w:rPr>
        <w:t>Depository system</w:t>
      </w:r>
      <w:r w:rsidRPr="00263F14">
        <w:rPr>
          <w:rFonts w:ascii="Times New Roman" w:eastAsia="Calibri" w:hAnsi="Times New Roman" w:cs="Times New Roman"/>
          <w:sz w:val="24"/>
          <w:szCs w:val="24"/>
        </w:rPr>
        <w:t xml:space="preserve"> of a company based on fundamentals of the company. </w:t>
      </w:r>
    </w:p>
    <w:p w14:paraId="6F130900" w14:textId="77777777" w:rsidR="00FC3439" w:rsidRPr="00F40057" w:rsidRDefault="00D50798" w:rsidP="008B60D6">
      <w:pPr>
        <w:pStyle w:val="BodyText"/>
        <w:spacing w:after="0" w:line="360" w:lineRule="auto"/>
        <w:jc w:val="both"/>
        <w:rPr>
          <w:rFonts w:ascii="Times New Roman" w:hAnsi="Times New Roman" w:cs="Times New Roman"/>
          <w:b/>
          <w:bCs/>
          <w:color w:val="000000" w:themeColor="text1"/>
          <w:sz w:val="24"/>
          <w:szCs w:val="24"/>
          <w:u w:val="single"/>
        </w:rPr>
      </w:pPr>
      <w:r w:rsidRPr="00F40057">
        <w:rPr>
          <w:rFonts w:ascii="Times New Roman" w:hAnsi="Times New Roman" w:cs="Times New Roman"/>
          <w:b/>
          <w:bCs/>
          <w:color w:val="000000" w:themeColor="text1"/>
          <w:sz w:val="24"/>
          <w:szCs w:val="24"/>
          <w:u w:val="single"/>
        </w:rPr>
        <w:t>Methodology</w:t>
      </w:r>
    </w:p>
    <w:p w14:paraId="484D4401" w14:textId="77777777" w:rsidR="00263F14" w:rsidRPr="00263F14" w:rsidRDefault="00263F14" w:rsidP="00263F14">
      <w:pPr>
        <w:tabs>
          <w:tab w:val="left" w:pos="3780"/>
        </w:tabs>
        <w:spacing w:line="360" w:lineRule="auto"/>
        <w:jc w:val="both"/>
        <w:rPr>
          <w:rFonts w:ascii="Times New Roman" w:eastAsia="Calibri" w:hAnsi="Times New Roman" w:cs="Times New Roman"/>
          <w:sz w:val="24"/>
          <w:szCs w:val="24"/>
        </w:rPr>
      </w:pPr>
      <w:r w:rsidRPr="00263F14">
        <w:rPr>
          <w:rFonts w:ascii="Times New Roman" w:eastAsia="Calibri" w:hAnsi="Times New Roman" w:cs="Times New Roman"/>
          <w:sz w:val="24"/>
          <w:szCs w:val="24"/>
        </w:rPr>
        <w:t>The data collection methods include both primary and secondary Collection methods.</w:t>
      </w:r>
    </w:p>
    <w:p w14:paraId="5736AFB5" w14:textId="77777777" w:rsidR="00263F14" w:rsidRPr="00263F14" w:rsidRDefault="00263F14" w:rsidP="00263F14">
      <w:pPr>
        <w:tabs>
          <w:tab w:val="left" w:pos="3780"/>
        </w:tabs>
        <w:spacing w:line="360" w:lineRule="auto"/>
        <w:jc w:val="both"/>
        <w:rPr>
          <w:rFonts w:ascii="Times New Roman" w:eastAsia="Calibri" w:hAnsi="Times New Roman" w:cs="Times New Roman"/>
          <w:b/>
          <w:bCs/>
          <w:sz w:val="24"/>
          <w:szCs w:val="24"/>
        </w:rPr>
      </w:pPr>
      <w:r w:rsidRPr="00263F14">
        <w:rPr>
          <w:rFonts w:ascii="Times New Roman" w:eastAsia="Calibri" w:hAnsi="Times New Roman" w:cs="Times New Roman"/>
          <w:b/>
          <w:bCs/>
          <w:sz w:val="24"/>
          <w:szCs w:val="24"/>
        </w:rPr>
        <w:t xml:space="preserve">Primary method: </w:t>
      </w:r>
    </w:p>
    <w:p w14:paraId="67FF8852" w14:textId="77777777" w:rsidR="00263F14" w:rsidRDefault="00263F14" w:rsidP="00263F14">
      <w:pPr>
        <w:tabs>
          <w:tab w:val="left" w:pos="3780"/>
        </w:tabs>
        <w:spacing w:line="360" w:lineRule="auto"/>
        <w:jc w:val="both"/>
        <w:rPr>
          <w:rFonts w:ascii="Times New Roman" w:hAnsi="Times New Roman" w:cs="Times New Roman"/>
          <w:sz w:val="24"/>
          <w:szCs w:val="24"/>
        </w:rPr>
      </w:pPr>
      <w:r w:rsidRPr="00263F14">
        <w:rPr>
          <w:rFonts w:ascii="Times New Roman" w:eastAsia="Calibri" w:hAnsi="Times New Roman" w:cs="Times New Roman"/>
          <w:sz w:val="24"/>
          <w:szCs w:val="24"/>
        </w:rPr>
        <w:t xml:space="preserve">This method includes the data collected from the personal interaction with authorized members of </w:t>
      </w:r>
      <w:r w:rsidRPr="00263F14">
        <w:rPr>
          <w:rFonts w:ascii="Times New Roman" w:eastAsia="Calibri" w:hAnsi="Times New Roman" w:cs="Times New Roman"/>
          <w:b/>
          <w:sz w:val="24"/>
          <w:szCs w:val="24"/>
        </w:rPr>
        <w:t>HDFC BANK LTD and NSDL &amp; CDSL</w:t>
      </w:r>
      <w:r w:rsidRPr="00263F14">
        <w:rPr>
          <w:rFonts w:ascii="Times New Roman" w:eastAsia="Calibri" w:hAnsi="Times New Roman" w:cs="Times New Roman"/>
          <w:sz w:val="24"/>
          <w:szCs w:val="24"/>
        </w:rPr>
        <w:t>.</w:t>
      </w:r>
    </w:p>
    <w:p w14:paraId="511D9C43" w14:textId="77777777" w:rsidR="00263F14" w:rsidRPr="00263F14" w:rsidRDefault="00263F14" w:rsidP="00263F14">
      <w:pPr>
        <w:tabs>
          <w:tab w:val="left" w:pos="3780"/>
        </w:tabs>
        <w:spacing w:line="360" w:lineRule="auto"/>
        <w:jc w:val="both"/>
        <w:rPr>
          <w:rFonts w:ascii="Times New Roman" w:eastAsia="Calibri" w:hAnsi="Times New Roman" w:cs="Times New Roman"/>
          <w:b/>
          <w:bCs/>
          <w:sz w:val="24"/>
          <w:szCs w:val="24"/>
        </w:rPr>
      </w:pPr>
    </w:p>
    <w:p w14:paraId="78009472" w14:textId="77777777" w:rsidR="00263F14" w:rsidRPr="00263F14" w:rsidRDefault="00263F14" w:rsidP="00263F14">
      <w:pPr>
        <w:tabs>
          <w:tab w:val="left" w:pos="3780"/>
        </w:tabs>
        <w:spacing w:line="360" w:lineRule="auto"/>
        <w:jc w:val="both"/>
        <w:rPr>
          <w:rFonts w:ascii="Times New Roman" w:eastAsia="Calibri" w:hAnsi="Times New Roman" w:cs="Times New Roman"/>
          <w:b/>
          <w:bCs/>
          <w:sz w:val="24"/>
          <w:szCs w:val="24"/>
        </w:rPr>
      </w:pPr>
      <w:r w:rsidRPr="00263F14">
        <w:rPr>
          <w:rFonts w:ascii="Times New Roman" w:eastAsia="Calibri" w:hAnsi="Times New Roman" w:cs="Times New Roman"/>
          <w:b/>
          <w:bCs/>
          <w:sz w:val="24"/>
          <w:szCs w:val="24"/>
        </w:rPr>
        <w:lastRenderedPageBreak/>
        <w:t>Secondary method:</w:t>
      </w:r>
    </w:p>
    <w:p w14:paraId="494BDF03" w14:textId="77777777" w:rsidR="00263F14" w:rsidRPr="00263F14" w:rsidRDefault="00263F14" w:rsidP="00263F14">
      <w:pPr>
        <w:tabs>
          <w:tab w:val="left" w:pos="3780"/>
        </w:tabs>
        <w:spacing w:line="360" w:lineRule="auto"/>
        <w:jc w:val="both"/>
        <w:rPr>
          <w:rFonts w:ascii="Times New Roman" w:eastAsia="Calibri" w:hAnsi="Times New Roman" w:cs="Times New Roman"/>
          <w:sz w:val="24"/>
          <w:szCs w:val="24"/>
        </w:rPr>
      </w:pPr>
      <w:r w:rsidRPr="00263F14">
        <w:rPr>
          <w:rFonts w:ascii="Times New Roman" w:eastAsia="Calibri" w:hAnsi="Times New Roman" w:cs="Times New Roman"/>
          <w:b/>
          <w:bCs/>
          <w:sz w:val="24"/>
          <w:szCs w:val="24"/>
        </w:rPr>
        <w:t xml:space="preserve"> </w:t>
      </w:r>
      <w:r w:rsidRPr="00263F14">
        <w:rPr>
          <w:rFonts w:ascii="Times New Roman" w:eastAsia="Calibri" w:hAnsi="Times New Roman" w:cs="Times New Roman"/>
          <w:sz w:val="24"/>
          <w:szCs w:val="24"/>
        </w:rPr>
        <w:t>The secondary data collection method includes:</w:t>
      </w:r>
    </w:p>
    <w:p w14:paraId="7EB74AD5" w14:textId="77777777" w:rsidR="00263F14" w:rsidRPr="00263F14" w:rsidRDefault="00263F14" w:rsidP="00263F14">
      <w:pPr>
        <w:pStyle w:val="NoSpacing"/>
        <w:numPr>
          <w:ilvl w:val="0"/>
          <w:numId w:val="22"/>
        </w:numPr>
        <w:spacing w:line="360" w:lineRule="auto"/>
        <w:jc w:val="both"/>
        <w:rPr>
          <w:rFonts w:ascii="Times New Roman" w:eastAsia="Calibri" w:hAnsi="Times New Roman" w:cs="Times New Roman"/>
          <w:sz w:val="24"/>
          <w:szCs w:val="24"/>
        </w:rPr>
      </w:pPr>
      <w:r w:rsidRPr="00263F14">
        <w:rPr>
          <w:rFonts w:ascii="Times New Roman" w:eastAsia="Calibri" w:hAnsi="Times New Roman" w:cs="Times New Roman"/>
          <w:sz w:val="24"/>
          <w:szCs w:val="24"/>
        </w:rPr>
        <w:t>The lecturers delivered by the superintendents of respective departments.</w:t>
      </w:r>
    </w:p>
    <w:p w14:paraId="58BEB7ED" w14:textId="77777777" w:rsidR="00263F14" w:rsidRPr="00263F14" w:rsidRDefault="00263F14" w:rsidP="00263F14">
      <w:pPr>
        <w:pStyle w:val="NoSpacing"/>
        <w:numPr>
          <w:ilvl w:val="0"/>
          <w:numId w:val="22"/>
        </w:numPr>
        <w:spacing w:line="360" w:lineRule="auto"/>
        <w:jc w:val="both"/>
        <w:rPr>
          <w:rFonts w:ascii="Times New Roman" w:eastAsia="Calibri" w:hAnsi="Times New Roman" w:cs="Times New Roman"/>
          <w:sz w:val="24"/>
          <w:szCs w:val="24"/>
        </w:rPr>
      </w:pPr>
      <w:r w:rsidRPr="00263F14">
        <w:rPr>
          <w:rFonts w:ascii="Times New Roman" w:eastAsia="Calibri" w:hAnsi="Times New Roman" w:cs="Times New Roman"/>
          <w:sz w:val="24"/>
          <w:szCs w:val="24"/>
        </w:rPr>
        <w:t>The brochures and material provided by Securities limited.</w:t>
      </w:r>
    </w:p>
    <w:p w14:paraId="27A2E454" w14:textId="77777777" w:rsidR="00263F14" w:rsidRPr="00263F14" w:rsidRDefault="00263F14" w:rsidP="00263F14">
      <w:pPr>
        <w:pStyle w:val="NoSpacing"/>
        <w:numPr>
          <w:ilvl w:val="0"/>
          <w:numId w:val="22"/>
        </w:numPr>
        <w:spacing w:line="360" w:lineRule="auto"/>
        <w:jc w:val="both"/>
        <w:rPr>
          <w:rFonts w:ascii="Times New Roman" w:eastAsia="Calibri" w:hAnsi="Times New Roman" w:cs="Times New Roman"/>
          <w:sz w:val="24"/>
          <w:szCs w:val="24"/>
        </w:rPr>
      </w:pPr>
      <w:r w:rsidRPr="00263F14">
        <w:rPr>
          <w:rFonts w:ascii="Times New Roman" w:eastAsia="Calibri" w:hAnsi="Times New Roman" w:cs="Times New Roman"/>
          <w:sz w:val="24"/>
          <w:szCs w:val="24"/>
        </w:rPr>
        <w:t>The data collected from the magazines of the NSE, economic times, etc.</w:t>
      </w:r>
    </w:p>
    <w:p w14:paraId="2F1E2D34" w14:textId="77777777" w:rsidR="00263F14" w:rsidRPr="00263F14" w:rsidRDefault="00263F14" w:rsidP="00263F14">
      <w:pPr>
        <w:pStyle w:val="NoSpacing"/>
        <w:numPr>
          <w:ilvl w:val="0"/>
          <w:numId w:val="22"/>
        </w:numPr>
        <w:spacing w:line="360" w:lineRule="auto"/>
        <w:jc w:val="both"/>
        <w:rPr>
          <w:rFonts w:ascii="Times New Roman" w:eastAsia="Calibri" w:hAnsi="Times New Roman" w:cs="Times New Roman"/>
          <w:sz w:val="24"/>
          <w:szCs w:val="24"/>
        </w:rPr>
      </w:pPr>
      <w:r w:rsidRPr="00263F14">
        <w:rPr>
          <w:rFonts w:ascii="Times New Roman" w:eastAsia="Calibri" w:hAnsi="Times New Roman" w:cs="Times New Roman"/>
          <w:sz w:val="24"/>
          <w:szCs w:val="24"/>
        </w:rPr>
        <w:t>Various books relating to the investments, capital market and other related topics.</w:t>
      </w:r>
    </w:p>
    <w:p w14:paraId="33B8F0B1" w14:textId="77777777" w:rsidR="00F56979" w:rsidRPr="0055682D" w:rsidRDefault="0055682D" w:rsidP="00F56979">
      <w:pPr>
        <w:spacing w:line="360" w:lineRule="auto"/>
        <w:jc w:val="both"/>
        <w:rPr>
          <w:rFonts w:ascii="Times New Roman" w:eastAsia="Calibri" w:hAnsi="Times New Roman" w:cs="Times New Roman"/>
          <w:color w:val="000000" w:themeColor="text1"/>
          <w:spacing w:val="-6"/>
          <w:w w:val="116"/>
          <w:sz w:val="24"/>
          <w:szCs w:val="24"/>
          <w:u w:val="single"/>
        </w:rPr>
      </w:pPr>
      <w:r w:rsidRPr="0055682D">
        <w:rPr>
          <w:rFonts w:ascii="Times New Roman" w:eastAsia="Calibri" w:hAnsi="Times New Roman" w:cs="Times New Roman"/>
          <w:b/>
          <w:bCs/>
          <w:color w:val="000000" w:themeColor="text1"/>
          <w:sz w:val="24"/>
          <w:szCs w:val="24"/>
          <w:u w:val="single"/>
        </w:rPr>
        <w:t>Limitations Of The Study</w:t>
      </w:r>
    </w:p>
    <w:p w14:paraId="58F6971B" w14:textId="77777777" w:rsidR="00263F14" w:rsidRPr="00DB01B6" w:rsidRDefault="00263F14" w:rsidP="00650419">
      <w:pPr>
        <w:spacing w:after="0" w:line="360" w:lineRule="auto"/>
        <w:jc w:val="both"/>
        <w:rPr>
          <w:rFonts w:ascii="Times New Roman" w:eastAsia="Calibri" w:hAnsi="Times New Roman" w:cs="Times New Roman"/>
          <w:sz w:val="24"/>
          <w:szCs w:val="24"/>
        </w:rPr>
      </w:pPr>
      <w:r w:rsidRPr="00DB01B6">
        <w:rPr>
          <w:rFonts w:ascii="Times New Roman" w:eastAsia="Calibri" w:hAnsi="Times New Roman" w:cs="Times New Roman"/>
          <w:sz w:val="24"/>
          <w:szCs w:val="24"/>
        </w:rPr>
        <w:t>The study confines to the past data and present system of the trading procedure in and NSDL &amp; CDSL the study is confined to the coverage of all the related issues in brief. The data is collected from the primary and secondary sources and thus is subject to slight variation than what the study includes in reality. The study is confined to online trading procedure only. Problems of listing are not covered due to limited time and to keep the study in manageable limits.</w:t>
      </w:r>
    </w:p>
    <w:p w14:paraId="070FDABA" w14:textId="77777777" w:rsidR="00650419" w:rsidRDefault="001B030B" w:rsidP="00650419">
      <w:pPr>
        <w:spacing w:after="0" w:line="360" w:lineRule="auto"/>
        <w:jc w:val="both"/>
        <w:rPr>
          <w:rFonts w:ascii="Times New Roman" w:hAnsi="Times New Roman" w:cs="Times New Roman"/>
          <w:b/>
          <w:color w:val="000000" w:themeColor="text1"/>
          <w:sz w:val="24"/>
          <w:szCs w:val="24"/>
          <w:u w:val="single"/>
        </w:rPr>
      </w:pPr>
      <w:r w:rsidRPr="00F40057">
        <w:rPr>
          <w:rFonts w:ascii="Times New Roman" w:hAnsi="Times New Roman" w:cs="Times New Roman"/>
          <w:b/>
          <w:color w:val="000000" w:themeColor="text1"/>
          <w:sz w:val="24"/>
          <w:szCs w:val="24"/>
          <w:u w:val="single"/>
        </w:rPr>
        <w:t>DATA ANALYSIS &amp; INTERPRETATION:</w:t>
      </w:r>
    </w:p>
    <w:p w14:paraId="0646C4FA" w14:textId="77777777" w:rsidR="006C6A95" w:rsidRPr="006C6A95" w:rsidRDefault="006C6A95" w:rsidP="006C6A95">
      <w:pPr>
        <w:rPr>
          <w:rFonts w:ascii="Times New Roman" w:hAnsi="Times New Roman" w:cs="Times New Roman"/>
          <w:b/>
          <w:color w:val="000000" w:themeColor="text1"/>
          <w:szCs w:val="32"/>
        </w:rPr>
      </w:pPr>
      <w:r w:rsidRPr="006C6A95">
        <w:rPr>
          <w:rFonts w:ascii="Times New Roman" w:hAnsi="Times New Roman" w:cs="Times New Roman"/>
          <w:b/>
          <w:color w:val="000000" w:themeColor="text1"/>
          <w:sz w:val="28"/>
          <w:szCs w:val="28"/>
        </w:rPr>
        <w:t>DEPOSITORY REFORMS</w:t>
      </w:r>
      <w:r w:rsidRPr="006C6A95">
        <w:rPr>
          <w:rFonts w:ascii="Times New Roman" w:hAnsi="Times New Roman" w:cs="Times New Roman"/>
          <w:b/>
          <w:color w:val="000000" w:themeColor="text1"/>
          <w:szCs w:val="32"/>
        </w:rPr>
        <w:t>:</w:t>
      </w:r>
    </w:p>
    <w:p w14:paraId="63FF4F29" w14:textId="77777777" w:rsidR="006C6A95" w:rsidRPr="006C6A95" w:rsidRDefault="006C6A95" w:rsidP="006C6A95">
      <w:pPr>
        <w:tabs>
          <w:tab w:val="num" w:pos="720"/>
        </w:tabs>
        <w:spacing w:after="0" w:line="360" w:lineRule="auto"/>
        <w:ind w:left="720" w:hanging="180"/>
        <w:rPr>
          <w:rFonts w:ascii="Times New Roman" w:hAnsi="Times New Roman" w:cs="Times New Roman"/>
          <w:color w:val="000000" w:themeColor="text1"/>
          <w:szCs w:val="20"/>
        </w:rPr>
      </w:pPr>
      <w:r w:rsidRPr="006C6A95">
        <w:rPr>
          <w:rFonts w:ascii="Times New Roman" w:hAnsi="Times New Roman" w:cs="Times New Roman"/>
          <w:color w:val="000000" w:themeColor="text1"/>
          <w:szCs w:val="20"/>
        </w:rPr>
        <w:t>Introduction of  T + 2 rolling settlement cycle</w:t>
      </w:r>
    </w:p>
    <w:p w14:paraId="548CB567" w14:textId="77777777" w:rsidR="006C6A95" w:rsidRPr="006C6A95" w:rsidRDefault="006C6A95" w:rsidP="006C6A95">
      <w:pPr>
        <w:tabs>
          <w:tab w:val="num" w:pos="720"/>
        </w:tabs>
        <w:spacing w:after="0" w:line="360" w:lineRule="auto"/>
        <w:ind w:left="720" w:hanging="180"/>
        <w:rPr>
          <w:rFonts w:ascii="Times New Roman" w:hAnsi="Times New Roman" w:cs="Times New Roman"/>
          <w:color w:val="000000" w:themeColor="text1"/>
          <w:szCs w:val="20"/>
        </w:rPr>
      </w:pPr>
      <w:r w:rsidRPr="006C6A95">
        <w:rPr>
          <w:rFonts w:ascii="Times New Roman" w:hAnsi="Times New Roman" w:cs="Times New Roman"/>
          <w:color w:val="000000" w:themeColor="text1"/>
          <w:szCs w:val="20"/>
        </w:rPr>
        <w:t>Admission of debt instruments</w:t>
      </w:r>
    </w:p>
    <w:p w14:paraId="351824A2" w14:textId="77777777" w:rsidR="006C6A95" w:rsidRPr="006C6A95" w:rsidRDefault="006C6A95" w:rsidP="006C6A95">
      <w:pPr>
        <w:pStyle w:val="Heading4"/>
        <w:keepLines w:val="0"/>
        <w:tabs>
          <w:tab w:val="num" w:pos="720"/>
        </w:tabs>
        <w:spacing w:before="0" w:line="360" w:lineRule="auto"/>
        <w:ind w:left="720" w:hanging="180"/>
        <w:rPr>
          <w:rFonts w:ascii="Times New Roman" w:hAnsi="Times New Roman" w:cs="Times New Roman"/>
          <w:i w:val="0"/>
          <w:color w:val="000000" w:themeColor="text1"/>
          <w:sz w:val="24"/>
          <w:szCs w:val="20"/>
        </w:rPr>
      </w:pPr>
      <w:r w:rsidRPr="006C6A95">
        <w:rPr>
          <w:rFonts w:ascii="Times New Roman" w:hAnsi="Times New Roman" w:cs="Times New Roman"/>
          <w:i w:val="0"/>
          <w:color w:val="000000" w:themeColor="text1"/>
          <w:sz w:val="24"/>
          <w:szCs w:val="20"/>
        </w:rPr>
        <w:t>Abolition of account closure charges</w:t>
      </w:r>
    </w:p>
    <w:p w14:paraId="7A422A1F" w14:textId="77777777" w:rsidR="006C6A95" w:rsidRPr="006C6A95" w:rsidRDefault="006C6A95" w:rsidP="006C6A95">
      <w:pPr>
        <w:tabs>
          <w:tab w:val="num" w:pos="720"/>
        </w:tabs>
        <w:spacing w:after="0" w:line="360" w:lineRule="auto"/>
        <w:ind w:left="720" w:hanging="180"/>
        <w:rPr>
          <w:rFonts w:ascii="Times New Roman" w:hAnsi="Times New Roman" w:cs="Times New Roman"/>
          <w:color w:val="000000" w:themeColor="text1"/>
          <w:szCs w:val="20"/>
        </w:rPr>
      </w:pPr>
      <w:r w:rsidRPr="006C6A95">
        <w:rPr>
          <w:rFonts w:ascii="Times New Roman" w:hAnsi="Times New Roman" w:cs="Times New Roman"/>
          <w:color w:val="000000" w:themeColor="text1"/>
          <w:szCs w:val="20"/>
        </w:rPr>
        <w:t>SEBI directive to issuers/RTAs</w:t>
      </w:r>
    </w:p>
    <w:p w14:paraId="5756EE35" w14:textId="77777777" w:rsidR="006C6A95" w:rsidRPr="006C6A95" w:rsidRDefault="006C6A95" w:rsidP="006C6A95">
      <w:pPr>
        <w:tabs>
          <w:tab w:val="num" w:pos="720"/>
        </w:tabs>
        <w:spacing w:after="0" w:line="360" w:lineRule="auto"/>
        <w:ind w:left="720" w:hanging="180"/>
        <w:rPr>
          <w:rFonts w:ascii="Times New Roman" w:hAnsi="Times New Roman" w:cs="Times New Roman"/>
          <w:color w:val="000000" w:themeColor="text1"/>
          <w:szCs w:val="20"/>
        </w:rPr>
      </w:pPr>
      <w:r w:rsidRPr="006C6A95">
        <w:rPr>
          <w:rFonts w:ascii="Times New Roman" w:hAnsi="Times New Roman" w:cs="Times New Roman"/>
          <w:color w:val="000000" w:themeColor="text1"/>
          <w:szCs w:val="20"/>
        </w:rPr>
        <w:t>Common agency</w:t>
      </w:r>
    </w:p>
    <w:p w14:paraId="3CFD4657" w14:textId="77777777" w:rsidR="006C6A95" w:rsidRPr="006C6A95" w:rsidRDefault="006C6A95" w:rsidP="006C6A95">
      <w:pPr>
        <w:tabs>
          <w:tab w:val="num" w:pos="720"/>
        </w:tabs>
        <w:spacing w:after="0" w:line="360" w:lineRule="auto"/>
        <w:ind w:left="720" w:hanging="180"/>
        <w:rPr>
          <w:rFonts w:ascii="Times New Roman" w:hAnsi="Times New Roman" w:cs="Times New Roman"/>
          <w:color w:val="000000" w:themeColor="text1"/>
          <w:szCs w:val="20"/>
        </w:rPr>
      </w:pPr>
      <w:r w:rsidRPr="006C6A95">
        <w:rPr>
          <w:rFonts w:ascii="Times New Roman" w:hAnsi="Times New Roman" w:cs="Times New Roman"/>
          <w:color w:val="000000" w:themeColor="text1"/>
          <w:szCs w:val="20"/>
        </w:rPr>
        <w:t xml:space="preserve">Transfer-cum dematerialization. </w:t>
      </w:r>
    </w:p>
    <w:p w14:paraId="5B803E56" w14:textId="77777777" w:rsidR="006C6A95" w:rsidRPr="006C6A95" w:rsidRDefault="006C6A95" w:rsidP="006C6A95">
      <w:pPr>
        <w:autoSpaceDE w:val="0"/>
        <w:autoSpaceDN w:val="0"/>
        <w:adjustRightInd w:val="0"/>
        <w:spacing w:line="360" w:lineRule="auto"/>
        <w:rPr>
          <w:rFonts w:ascii="Times New Roman" w:hAnsi="Times New Roman" w:cs="Times New Roman"/>
          <w:color w:val="000000" w:themeColor="text1"/>
          <w:sz w:val="24"/>
          <w:szCs w:val="24"/>
          <w:lang w:val="en-GB" w:eastAsia="en-GB"/>
        </w:rPr>
      </w:pPr>
      <w:r w:rsidRPr="006C6A95">
        <w:rPr>
          <w:rFonts w:ascii="Times New Roman" w:hAnsi="Times New Roman" w:cs="Times New Roman"/>
          <w:color w:val="000000" w:themeColor="text1"/>
          <w:sz w:val="24"/>
          <w:szCs w:val="24"/>
          <w:lang w:val="en-GB" w:eastAsia="en-GB"/>
        </w:rPr>
        <w:t xml:space="preserve">Account Closing </w:t>
      </w:r>
      <w:r w:rsidRPr="006C6A95">
        <w:rPr>
          <w:rFonts w:ascii="Times New Roman" w:hAnsi="Times New Roman" w:cs="Times New Roman"/>
          <w:color w:val="000000" w:themeColor="text1"/>
          <w:sz w:val="24"/>
          <w:szCs w:val="24"/>
          <w:lang w:val="en-GB" w:eastAsia="en-GB"/>
        </w:rPr>
        <w:tab/>
      </w:r>
      <w:r w:rsidRPr="006C6A95">
        <w:rPr>
          <w:rFonts w:ascii="Times New Roman" w:hAnsi="Times New Roman" w:cs="Times New Roman"/>
          <w:color w:val="000000" w:themeColor="text1"/>
          <w:sz w:val="24"/>
          <w:szCs w:val="24"/>
          <w:lang w:val="en-GB" w:eastAsia="en-GB"/>
        </w:rPr>
        <w:tab/>
      </w:r>
      <w:r w:rsidRPr="006C6A95">
        <w:rPr>
          <w:rFonts w:ascii="Times New Roman" w:hAnsi="Times New Roman" w:cs="Times New Roman"/>
          <w:color w:val="000000" w:themeColor="text1"/>
          <w:sz w:val="24"/>
          <w:szCs w:val="24"/>
          <w:lang w:val="en-GB" w:eastAsia="en-GB"/>
        </w:rPr>
        <w:tab/>
      </w:r>
      <w:r w:rsidRPr="006C6A95">
        <w:rPr>
          <w:rFonts w:ascii="Times New Roman" w:hAnsi="Times New Roman" w:cs="Times New Roman"/>
          <w:color w:val="000000" w:themeColor="text1"/>
          <w:sz w:val="24"/>
          <w:szCs w:val="24"/>
          <w:lang w:val="en-GB" w:eastAsia="en-GB"/>
        </w:rPr>
        <w:tab/>
        <w:t>NIL:</w:t>
      </w:r>
    </w:p>
    <w:p w14:paraId="61E45510" w14:textId="77777777" w:rsidR="006C6A95" w:rsidRPr="006C6A95" w:rsidRDefault="006C6A95" w:rsidP="006C6A95">
      <w:pPr>
        <w:autoSpaceDE w:val="0"/>
        <w:autoSpaceDN w:val="0"/>
        <w:adjustRightInd w:val="0"/>
        <w:spacing w:line="360" w:lineRule="auto"/>
        <w:rPr>
          <w:rFonts w:ascii="Times New Roman" w:hAnsi="Times New Roman" w:cs="Times New Roman"/>
          <w:color w:val="000000" w:themeColor="text1"/>
          <w:sz w:val="24"/>
          <w:szCs w:val="24"/>
          <w:lang w:val="en-GB" w:eastAsia="en-GB"/>
        </w:rPr>
      </w:pPr>
      <w:r w:rsidRPr="006C6A95">
        <w:rPr>
          <w:rFonts w:ascii="Times New Roman" w:hAnsi="Times New Roman" w:cs="Times New Roman"/>
          <w:color w:val="000000" w:themeColor="text1"/>
          <w:sz w:val="24"/>
          <w:szCs w:val="24"/>
          <w:lang w:val="en-GB" w:eastAsia="en-GB"/>
        </w:rPr>
        <w:t xml:space="preserve">Remat </w:t>
      </w:r>
      <w:r w:rsidRPr="006C6A95">
        <w:rPr>
          <w:rFonts w:ascii="Times New Roman" w:hAnsi="Times New Roman" w:cs="Times New Roman"/>
          <w:color w:val="000000" w:themeColor="text1"/>
          <w:sz w:val="24"/>
          <w:szCs w:val="24"/>
          <w:lang w:val="en-GB" w:eastAsia="en-GB"/>
        </w:rPr>
        <w:tab/>
      </w:r>
      <w:r w:rsidRPr="006C6A95">
        <w:rPr>
          <w:rFonts w:ascii="Times New Roman" w:hAnsi="Times New Roman" w:cs="Times New Roman"/>
          <w:color w:val="000000" w:themeColor="text1"/>
          <w:sz w:val="24"/>
          <w:szCs w:val="24"/>
          <w:lang w:val="en-GB" w:eastAsia="en-GB"/>
        </w:rPr>
        <w:tab/>
      </w:r>
      <w:r w:rsidRPr="006C6A95">
        <w:rPr>
          <w:rFonts w:ascii="Times New Roman" w:hAnsi="Times New Roman" w:cs="Times New Roman"/>
          <w:color w:val="000000" w:themeColor="text1"/>
          <w:sz w:val="24"/>
          <w:szCs w:val="24"/>
          <w:lang w:val="en-GB" w:eastAsia="en-GB"/>
        </w:rPr>
        <w:tab/>
      </w:r>
      <w:r w:rsidRPr="006C6A95">
        <w:rPr>
          <w:rFonts w:ascii="Times New Roman" w:hAnsi="Times New Roman" w:cs="Times New Roman"/>
          <w:color w:val="000000" w:themeColor="text1"/>
          <w:sz w:val="24"/>
          <w:szCs w:val="24"/>
          <w:lang w:val="en-GB" w:eastAsia="en-GB"/>
        </w:rPr>
        <w:tab/>
        <w:t>:</w:t>
      </w:r>
      <w:r w:rsidRPr="006C6A95">
        <w:rPr>
          <w:rFonts w:ascii="Times New Roman" w:hAnsi="Times New Roman" w:cs="Times New Roman"/>
          <w:color w:val="000000" w:themeColor="text1"/>
          <w:sz w:val="24"/>
          <w:szCs w:val="24"/>
          <w:lang w:val="en-GB" w:eastAsia="en-GB"/>
        </w:rPr>
        <w:tab/>
        <w:t>Rs.20/- per cert. Plus NSDL charges</w:t>
      </w:r>
    </w:p>
    <w:p w14:paraId="0FA02F44" w14:textId="77777777" w:rsidR="006C6A95" w:rsidRPr="006C6A95" w:rsidRDefault="006C6A95" w:rsidP="006C6A95">
      <w:pPr>
        <w:autoSpaceDE w:val="0"/>
        <w:autoSpaceDN w:val="0"/>
        <w:adjustRightInd w:val="0"/>
        <w:spacing w:line="360" w:lineRule="auto"/>
        <w:rPr>
          <w:rFonts w:ascii="Times New Roman" w:hAnsi="Times New Roman" w:cs="Times New Roman"/>
          <w:color w:val="000000" w:themeColor="text1"/>
          <w:sz w:val="24"/>
          <w:szCs w:val="24"/>
          <w:lang w:val="en-GB" w:eastAsia="en-GB"/>
        </w:rPr>
      </w:pPr>
      <w:r w:rsidRPr="006C6A95">
        <w:rPr>
          <w:rFonts w:ascii="Times New Roman" w:hAnsi="Times New Roman" w:cs="Times New Roman"/>
          <w:color w:val="000000" w:themeColor="text1"/>
          <w:sz w:val="24"/>
          <w:szCs w:val="24"/>
          <w:lang w:val="en-GB" w:eastAsia="en-GB"/>
        </w:rPr>
        <w:t>Securities Lending/Borrowing      :</w:t>
      </w:r>
      <w:r w:rsidRPr="006C6A95">
        <w:rPr>
          <w:rFonts w:ascii="Times New Roman" w:hAnsi="Times New Roman" w:cs="Times New Roman"/>
          <w:color w:val="000000" w:themeColor="text1"/>
          <w:sz w:val="24"/>
          <w:szCs w:val="24"/>
          <w:lang w:val="en-GB" w:eastAsia="en-GB"/>
        </w:rPr>
        <w:tab/>
        <w:t>Lending: Rs.50/- per transaction. Borrowing:  Rs.25/- per transaction plus NSDL charges</w:t>
      </w:r>
    </w:p>
    <w:p w14:paraId="0F41FF20" w14:textId="77777777" w:rsidR="006C6A95" w:rsidRPr="006C6A95" w:rsidRDefault="006C6A95" w:rsidP="006C6A95">
      <w:pPr>
        <w:autoSpaceDE w:val="0"/>
        <w:autoSpaceDN w:val="0"/>
        <w:adjustRightInd w:val="0"/>
        <w:spacing w:line="360" w:lineRule="auto"/>
        <w:rPr>
          <w:rFonts w:ascii="Times New Roman" w:hAnsi="Times New Roman" w:cs="Times New Roman"/>
          <w:color w:val="000000" w:themeColor="text1"/>
          <w:sz w:val="24"/>
          <w:szCs w:val="24"/>
          <w:lang w:val="en-GB" w:eastAsia="en-GB"/>
        </w:rPr>
      </w:pPr>
      <w:r w:rsidRPr="006C6A95">
        <w:rPr>
          <w:rFonts w:ascii="Times New Roman" w:hAnsi="Times New Roman" w:cs="Times New Roman"/>
          <w:color w:val="000000" w:themeColor="text1"/>
          <w:sz w:val="24"/>
          <w:szCs w:val="24"/>
          <w:lang w:val="en-GB" w:eastAsia="en-GB"/>
        </w:rPr>
        <w:t xml:space="preserve">Failed Instruction Charges </w:t>
      </w:r>
      <w:r w:rsidRPr="006C6A95">
        <w:rPr>
          <w:rFonts w:ascii="Times New Roman" w:hAnsi="Times New Roman" w:cs="Times New Roman"/>
          <w:color w:val="000000" w:themeColor="text1"/>
          <w:sz w:val="24"/>
          <w:szCs w:val="24"/>
          <w:lang w:val="en-GB" w:eastAsia="en-GB"/>
        </w:rPr>
        <w:tab/>
        <w:t>:</w:t>
      </w:r>
      <w:r w:rsidRPr="006C6A95">
        <w:rPr>
          <w:rFonts w:ascii="Times New Roman" w:hAnsi="Times New Roman" w:cs="Times New Roman"/>
          <w:color w:val="000000" w:themeColor="text1"/>
          <w:sz w:val="24"/>
          <w:szCs w:val="24"/>
          <w:lang w:val="en-GB" w:eastAsia="en-GB"/>
        </w:rPr>
        <w:tab/>
        <w:t>NIL</w:t>
      </w:r>
    </w:p>
    <w:p w14:paraId="71E523AC" w14:textId="77777777" w:rsidR="006C6A95" w:rsidRPr="006C6A95" w:rsidRDefault="006C6A95" w:rsidP="006C6A95">
      <w:pPr>
        <w:autoSpaceDE w:val="0"/>
        <w:autoSpaceDN w:val="0"/>
        <w:adjustRightInd w:val="0"/>
        <w:spacing w:line="360" w:lineRule="auto"/>
        <w:rPr>
          <w:rFonts w:ascii="Times New Roman" w:hAnsi="Times New Roman" w:cs="Times New Roman"/>
          <w:color w:val="000000" w:themeColor="text1"/>
          <w:sz w:val="24"/>
          <w:szCs w:val="24"/>
          <w:lang w:val="en-GB" w:eastAsia="en-GB"/>
        </w:rPr>
      </w:pPr>
      <w:r w:rsidRPr="006C6A95">
        <w:rPr>
          <w:rFonts w:ascii="Times New Roman" w:hAnsi="Times New Roman" w:cs="Times New Roman"/>
          <w:color w:val="000000" w:themeColor="text1"/>
          <w:sz w:val="24"/>
          <w:szCs w:val="24"/>
          <w:lang w:val="en-GB" w:eastAsia="en-GB"/>
        </w:rPr>
        <w:t>Other Charges,if any                     :</w:t>
      </w:r>
      <w:r w:rsidRPr="006C6A95">
        <w:rPr>
          <w:rFonts w:ascii="Times New Roman" w:hAnsi="Times New Roman" w:cs="Times New Roman"/>
          <w:color w:val="000000" w:themeColor="text1"/>
          <w:sz w:val="24"/>
          <w:szCs w:val="24"/>
          <w:lang w:val="en-GB" w:eastAsia="en-GB"/>
        </w:rPr>
        <w:tab/>
        <w:t>addl statement Rs.2/- per page (min. of Rs.10/-), late transaction fee - Rs.100/- per transaction, service charges for non-payment of bills within due date- 18% p.a. with monthly rests.</w:t>
      </w:r>
    </w:p>
    <w:p w14:paraId="7E966E66" w14:textId="77777777" w:rsidR="006C6A95" w:rsidRDefault="006C6A95" w:rsidP="00B30DB4">
      <w:pPr>
        <w:autoSpaceDE w:val="0"/>
        <w:autoSpaceDN w:val="0"/>
        <w:adjustRightInd w:val="0"/>
        <w:spacing w:line="360" w:lineRule="auto"/>
        <w:rPr>
          <w:rFonts w:ascii="Times New Roman" w:hAnsi="Times New Roman" w:cs="Times New Roman"/>
          <w:b/>
          <w:color w:val="000000" w:themeColor="text1"/>
          <w:sz w:val="28"/>
          <w:szCs w:val="28"/>
          <w:lang w:val="en-GB" w:eastAsia="en-GB"/>
        </w:rPr>
      </w:pPr>
    </w:p>
    <w:p w14:paraId="6C163510" w14:textId="77777777" w:rsidR="006C6A95" w:rsidRDefault="00000000" w:rsidP="00B30DB4">
      <w:pPr>
        <w:autoSpaceDE w:val="0"/>
        <w:autoSpaceDN w:val="0"/>
        <w:adjustRightInd w:val="0"/>
        <w:spacing w:line="360" w:lineRule="auto"/>
        <w:rPr>
          <w:rFonts w:ascii="Times New Roman" w:hAnsi="Times New Roman" w:cs="Times New Roman"/>
          <w:b/>
          <w:color w:val="000000" w:themeColor="text1"/>
          <w:sz w:val="28"/>
          <w:szCs w:val="28"/>
          <w:lang w:val="en-GB" w:eastAsia="en-GB"/>
        </w:rPr>
      </w:pPr>
      <w:r>
        <w:rPr>
          <w:rFonts w:ascii="Times New Roman" w:hAnsi="Times New Roman" w:cs="Times New Roman"/>
          <w:b/>
          <w:noProof/>
          <w:color w:val="000000" w:themeColor="text1"/>
          <w:sz w:val="28"/>
          <w:szCs w:val="28"/>
          <w:lang w:val="en-GB" w:eastAsia="zh-TW"/>
        </w:rPr>
        <w:lastRenderedPageBreak/>
        <w:pict w14:anchorId="5E07F2A3">
          <v:shapetype id="_x0000_t202" coordsize="21600,21600" o:spt="202" path="m,l,21600r21600,l21600,xe">
            <v:stroke joinstyle="miter"/>
            <v:path gradientshapeok="t" o:connecttype="rect"/>
          </v:shapetype>
          <v:shape id="_x0000_s2329" type="#_x0000_t202" style="position:absolute;margin-left:118.05pt;margin-top:-29pt;width:291.05pt;height:206.65pt;z-index:251660288;mso-width-relative:margin;mso-height-relative:margin">
            <v:textbox>
              <w:txbxContent>
                <w:p w14:paraId="78C52D48" w14:textId="77777777" w:rsidR="006C6A95" w:rsidRDefault="006C6A95">
                  <w:r w:rsidRPr="006C6A95">
                    <w:rPr>
                      <w:noProof/>
                    </w:rPr>
                    <w:drawing>
                      <wp:inline distT="0" distB="0" distL="0" distR="0" wp14:anchorId="2FB9AB41" wp14:editId="00EBB51C">
                        <wp:extent cx="3396342" cy="2280063"/>
                        <wp:effectExtent l="0" t="0" r="0" b="0"/>
                        <wp:docPr id="2" name="Object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v:shape>
        </w:pict>
      </w:r>
    </w:p>
    <w:p w14:paraId="2AFEAA50" w14:textId="77777777" w:rsidR="006C6A95" w:rsidRDefault="006C6A95" w:rsidP="00B30DB4">
      <w:pPr>
        <w:autoSpaceDE w:val="0"/>
        <w:autoSpaceDN w:val="0"/>
        <w:adjustRightInd w:val="0"/>
        <w:spacing w:line="360" w:lineRule="auto"/>
        <w:rPr>
          <w:rFonts w:ascii="Times New Roman" w:hAnsi="Times New Roman" w:cs="Times New Roman"/>
          <w:b/>
          <w:color w:val="000000" w:themeColor="text1"/>
          <w:sz w:val="28"/>
          <w:szCs w:val="28"/>
          <w:lang w:val="en-GB" w:eastAsia="en-GB"/>
        </w:rPr>
      </w:pPr>
    </w:p>
    <w:p w14:paraId="06D89083" w14:textId="77777777" w:rsidR="006C6A95" w:rsidRDefault="006C6A95" w:rsidP="00B30DB4">
      <w:pPr>
        <w:autoSpaceDE w:val="0"/>
        <w:autoSpaceDN w:val="0"/>
        <w:adjustRightInd w:val="0"/>
        <w:spacing w:line="360" w:lineRule="auto"/>
        <w:rPr>
          <w:rFonts w:ascii="Times New Roman" w:hAnsi="Times New Roman" w:cs="Times New Roman"/>
          <w:b/>
          <w:color w:val="000000" w:themeColor="text1"/>
          <w:sz w:val="28"/>
          <w:szCs w:val="28"/>
          <w:lang w:val="en-GB" w:eastAsia="en-GB"/>
        </w:rPr>
      </w:pPr>
    </w:p>
    <w:p w14:paraId="3D2CB613" w14:textId="77777777" w:rsidR="006C6A95" w:rsidRDefault="006C6A95" w:rsidP="00B30DB4">
      <w:pPr>
        <w:autoSpaceDE w:val="0"/>
        <w:autoSpaceDN w:val="0"/>
        <w:adjustRightInd w:val="0"/>
        <w:spacing w:line="360" w:lineRule="auto"/>
        <w:rPr>
          <w:rFonts w:ascii="Times New Roman" w:hAnsi="Times New Roman" w:cs="Times New Roman"/>
          <w:b/>
          <w:color w:val="000000" w:themeColor="text1"/>
          <w:sz w:val="28"/>
          <w:szCs w:val="28"/>
          <w:lang w:val="en-GB" w:eastAsia="en-GB"/>
        </w:rPr>
      </w:pPr>
    </w:p>
    <w:p w14:paraId="7751D17D" w14:textId="77777777" w:rsidR="00136B4B" w:rsidRDefault="00136B4B" w:rsidP="00B30DB4">
      <w:pPr>
        <w:autoSpaceDE w:val="0"/>
        <w:autoSpaceDN w:val="0"/>
        <w:adjustRightInd w:val="0"/>
        <w:spacing w:line="360" w:lineRule="auto"/>
        <w:rPr>
          <w:rFonts w:ascii="Times New Roman" w:hAnsi="Times New Roman" w:cs="Times New Roman"/>
          <w:b/>
          <w:color w:val="000000" w:themeColor="text1"/>
          <w:sz w:val="28"/>
          <w:szCs w:val="28"/>
          <w:lang w:val="en-GB" w:eastAsia="en-GB"/>
        </w:rPr>
      </w:pPr>
    </w:p>
    <w:p w14:paraId="18DE9968" w14:textId="77777777" w:rsidR="00136B4B" w:rsidRDefault="00136B4B" w:rsidP="00B30DB4">
      <w:pPr>
        <w:autoSpaceDE w:val="0"/>
        <w:autoSpaceDN w:val="0"/>
        <w:adjustRightInd w:val="0"/>
        <w:spacing w:line="360" w:lineRule="auto"/>
        <w:rPr>
          <w:rFonts w:ascii="Times New Roman" w:hAnsi="Times New Roman" w:cs="Times New Roman"/>
          <w:b/>
          <w:color w:val="000000" w:themeColor="text1"/>
          <w:sz w:val="28"/>
          <w:szCs w:val="28"/>
          <w:lang w:val="en-GB" w:eastAsia="en-GB"/>
        </w:rPr>
      </w:pPr>
    </w:p>
    <w:p w14:paraId="2EAFDAF6" w14:textId="77777777" w:rsidR="00136B4B" w:rsidRDefault="00000000" w:rsidP="00FC534A">
      <w:pPr>
        <w:autoSpaceDE w:val="0"/>
        <w:autoSpaceDN w:val="0"/>
        <w:adjustRightInd w:val="0"/>
        <w:spacing w:line="360" w:lineRule="auto"/>
        <w:jc w:val="center"/>
        <w:rPr>
          <w:rFonts w:ascii="Times New Roman" w:hAnsi="Times New Roman" w:cs="Times New Roman"/>
          <w:b/>
          <w:color w:val="000000" w:themeColor="text1"/>
          <w:sz w:val="28"/>
          <w:szCs w:val="28"/>
          <w:lang w:val="en-GB" w:eastAsia="en-GB"/>
        </w:rPr>
      </w:pPr>
      <w:r>
        <w:rPr>
          <w:rFonts w:ascii="Times New Roman" w:hAnsi="Times New Roman" w:cs="Times New Roman"/>
          <w:b/>
          <w:noProof/>
          <w:color w:val="000000" w:themeColor="text1"/>
          <w:sz w:val="28"/>
          <w:szCs w:val="28"/>
          <w:lang w:val="en-GB" w:eastAsia="zh-TW"/>
        </w:rPr>
        <w:pict w14:anchorId="71F4497A">
          <v:shape id="_x0000_s2330" type="#_x0000_t202" style="position:absolute;left:0;text-align:left;margin-left:0;margin-top:0;width:282.1pt;height:168.2pt;z-index:251662336;mso-position-horizontal:center;mso-width-relative:margin;mso-height-relative:margin">
            <v:textbox>
              <w:txbxContent>
                <w:p w14:paraId="72263934" w14:textId="77777777" w:rsidR="00FC534A" w:rsidRDefault="00FC534A" w:rsidP="00FC534A">
                  <w:pPr>
                    <w:jc w:val="center"/>
                  </w:pPr>
                  <w:r w:rsidRPr="00FC534A">
                    <w:rPr>
                      <w:noProof/>
                    </w:rPr>
                    <w:drawing>
                      <wp:inline distT="0" distB="0" distL="0" distR="0" wp14:anchorId="6D8F9423" wp14:editId="3832FFEC">
                        <wp:extent cx="3289465" cy="2074606"/>
                        <wp:effectExtent l="0" t="0" r="0" b="0"/>
                        <wp:docPr id="8" name="Object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xbxContent>
            </v:textbox>
          </v:shape>
        </w:pict>
      </w:r>
    </w:p>
    <w:p w14:paraId="2B6FE157" w14:textId="77777777" w:rsidR="00FC534A" w:rsidRDefault="00FC534A" w:rsidP="00B30DB4">
      <w:pPr>
        <w:autoSpaceDE w:val="0"/>
        <w:autoSpaceDN w:val="0"/>
        <w:adjustRightInd w:val="0"/>
        <w:spacing w:line="360" w:lineRule="auto"/>
        <w:rPr>
          <w:rFonts w:ascii="Times New Roman" w:hAnsi="Times New Roman" w:cs="Times New Roman"/>
          <w:b/>
          <w:color w:val="000000" w:themeColor="text1"/>
          <w:sz w:val="28"/>
          <w:szCs w:val="28"/>
          <w:lang w:val="en-GB" w:eastAsia="en-GB"/>
        </w:rPr>
      </w:pPr>
    </w:p>
    <w:p w14:paraId="7E249580" w14:textId="77777777" w:rsidR="00FC534A" w:rsidRDefault="00FC534A" w:rsidP="00B30DB4">
      <w:pPr>
        <w:autoSpaceDE w:val="0"/>
        <w:autoSpaceDN w:val="0"/>
        <w:adjustRightInd w:val="0"/>
        <w:spacing w:line="360" w:lineRule="auto"/>
        <w:rPr>
          <w:rFonts w:ascii="Times New Roman" w:hAnsi="Times New Roman" w:cs="Times New Roman"/>
          <w:b/>
          <w:color w:val="000000" w:themeColor="text1"/>
          <w:sz w:val="28"/>
          <w:szCs w:val="28"/>
          <w:lang w:val="en-GB" w:eastAsia="en-GB"/>
        </w:rPr>
      </w:pPr>
    </w:p>
    <w:p w14:paraId="5C8859F7" w14:textId="77777777" w:rsidR="00FC534A" w:rsidRDefault="00FC534A" w:rsidP="00B30DB4">
      <w:pPr>
        <w:autoSpaceDE w:val="0"/>
        <w:autoSpaceDN w:val="0"/>
        <w:adjustRightInd w:val="0"/>
        <w:spacing w:line="360" w:lineRule="auto"/>
        <w:rPr>
          <w:rFonts w:ascii="Times New Roman" w:hAnsi="Times New Roman" w:cs="Times New Roman"/>
          <w:b/>
          <w:color w:val="000000" w:themeColor="text1"/>
          <w:sz w:val="28"/>
          <w:szCs w:val="28"/>
          <w:lang w:val="en-GB" w:eastAsia="en-GB"/>
        </w:rPr>
      </w:pPr>
    </w:p>
    <w:p w14:paraId="75F04C58" w14:textId="77777777" w:rsidR="00FC534A" w:rsidRDefault="00FC534A" w:rsidP="00B30DB4">
      <w:pPr>
        <w:autoSpaceDE w:val="0"/>
        <w:autoSpaceDN w:val="0"/>
        <w:adjustRightInd w:val="0"/>
        <w:spacing w:line="360" w:lineRule="auto"/>
        <w:rPr>
          <w:rFonts w:ascii="Times New Roman" w:hAnsi="Times New Roman" w:cs="Times New Roman"/>
          <w:b/>
          <w:color w:val="000000" w:themeColor="text1"/>
          <w:sz w:val="28"/>
          <w:szCs w:val="28"/>
          <w:lang w:val="en-GB" w:eastAsia="en-GB"/>
        </w:rPr>
      </w:pPr>
    </w:p>
    <w:p w14:paraId="1EADB03A" w14:textId="77777777" w:rsidR="00FC534A" w:rsidRDefault="00FC534A" w:rsidP="00B30DB4">
      <w:pPr>
        <w:autoSpaceDE w:val="0"/>
        <w:autoSpaceDN w:val="0"/>
        <w:adjustRightInd w:val="0"/>
        <w:spacing w:line="360" w:lineRule="auto"/>
        <w:rPr>
          <w:rFonts w:ascii="Times New Roman" w:hAnsi="Times New Roman" w:cs="Times New Roman"/>
          <w:b/>
          <w:color w:val="000000" w:themeColor="text1"/>
          <w:sz w:val="28"/>
          <w:szCs w:val="28"/>
          <w:lang w:val="en-GB" w:eastAsia="en-GB"/>
        </w:rPr>
      </w:pPr>
    </w:p>
    <w:p w14:paraId="084E560C" w14:textId="77777777" w:rsidR="00F06FD6" w:rsidRPr="00F06FD6" w:rsidRDefault="00F06FD6" w:rsidP="00F06FD6">
      <w:pPr>
        <w:spacing w:after="0" w:line="240" w:lineRule="auto"/>
        <w:rPr>
          <w:rFonts w:ascii="Times New Roman" w:hAnsi="Times New Roman" w:cs="Times New Roman"/>
          <w:sz w:val="24"/>
          <w:szCs w:val="24"/>
        </w:rPr>
      </w:pPr>
      <w:r w:rsidRPr="00F06FD6">
        <w:rPr>
          <w:rFonts w:ascii="Times New Roman" w:hAnsi="Times New Roman" w:cs="Times New Roman"/>
          <w:sz w:val="24"/>
          <w:szCs w:val="24"/>
        </w:rPr>
        <w:t>DP ID</w:t>
      </w:r>
      <w:r w:rsidRPr="00F06FD6">
        <w:rPr>
          <w:rFonts w:ascii="Times New Roman" w:hAnsi="Times New Roman" w:cs="Times New Roman"/>
          <w:sz w:val="24"/>
          <w:szCs w:val="24"/>
        </w:rPr>
        <w:tab/>
      </w:r>
      <w:r w:rsidRPr="00F06FD6">
        <w:rPr>
          <w:rFonts w:ascii="Times New Roman" w:hAnsi="Times New Roman" w:cs="Times New Roman"/>
          <w:sz w:val="24"/>
          <w:szCs w:val="24"/>
        </w:rPr>
        <w:tab/>
      </w:r>
      <w:r w:rsidRPr="00F06FD6">
        <w:rPr>
          <w:rFonts w:ascii="Times New Roman" w:hAnsi="Times New Roman" w:cs="Times New Roman"/>
          <w:sz w:val="24"/>
          <w:szCs w:val="24"/>
        </w:rPr>
        <w:tab/>
      </w:r>
      <w:r w:rsidRPr="00F06FD6">
        <w:rPr>
          <w:rFonts w:ascii="Times New Roman" w:hAnsi="Times New Roman" w:cs="Times New Roman"/>
          <w:sz w:val="24"/>
          <w:szCs w:val="24"/>
        </w:rPr>
        <w:tab/>
        <w:t>:</w:t>
      </w:r>
      <w:r w:rsidRPr="00F06FD6">
        <w:rPr>
          <w:rFonts w:ascii="Times New Roman" w:hAnsi="Times New Roman" w:cs="Times New Roman"/>
          <w:sz w:val="24"/>
          <w:szCs w:val="24"/>
        </w:rPr>
        <w:tab/>
        <w:t>10000</w:t>
      </w:r>
    </w:p>
    <w:p w14:paraId="4047CDF2" w14:textId="77777777" w:rsidR="00F06FD6" w:rsidRPr="00F06FD6" w:rsidRDefault="00F06FD6" w:rsidP="00F06FD6">
      <w:pPr>
        <w:spacing w:after="0" w:line="240" w:lineRule="auto"/>
        <w:ind w:left="3600" w:hanging="3600"/>
        <w:rPr>
          <w:rFonts w:ascii="Times New Roman" w:hAnsi="Times New Roman" w:cs="Times New Roman"/>
          <w:sz w:val="24"/>
          <w:szCs w:val="24"/>
        </w:rPr>
      </w:pPr>
      <w:r w:rsidRPr="00F06FD6">
        <w:rPr>
          <w:rFonts w:ascii="Times New Roman" w:hAnsi="Times New Roman" w:cs="Times New Roman"/>
          <w:sz w:val="24"/>
          <w:szCs w:val="24"/>
        </w:rPr>
        <w:t>DP Name                                :</w:t>
      </w:r>
      <w:r w:rsidRPr="00F06FD6">
        <w:rPr>
          <w:rFonts w:ascii="Times New Roman" w:hAnsi="Times New Roman" w:cs="Times New Roman"/>
          <w:sz w:val="24"/>
          <w:szCs w:val="24"/>
        </w:rPr>
        <w:tab/>
      </w:r>
      <w:r w:rsidRPr="00F06FD6">
        <w:rPr>
          <w:rFonts w:ascii="Times New Roman" w:hAnsi="Times New Roman" w:cs="Times New Roman"/>
          <w:bCs/>
          <w:sz w:val="24"/>
          <w:szCs w:val="24"/>
        </w:rPr>
        <w:t>STOCK HOLDING CORPORATION OF INDIA  LTD.</w:t>
      </w:r>
    </w:p>
    <w:p w14:paraId="1DB4909D" w14:textId="77777777" w:rsidR="00F06FD6" w:rsidRPr="00F06FD6" w:rsidRDefault="00F06FD6" w:rsidP="00F06FD6">
      <w:pPr>
        <w:spacing w:after="0" w:line="240" w:lineRule="auto"/>
        <w:rPr>
          <w:rFonts w:ascii="Times New Roman" w:hAnsi="Times New Roman" w:cs="Times New Roman"/>
          <w:sz w:val="24"/>
          <w:szCs w:val="24"/>
        </w:rPr>
      </w:pPr>
      <w:r w:rsidRPr="00F06FD6">
        <w:rPr>
          <w:rFonts w:ascii="Times New Roman" w:hAnsi="Times New Roman" w:cs="Times New Roman"/>
          <w:sz w:val="24"/>
          <w:szCs w:val="24"/>
        </w:rPr>
        <w:t>Advance</w:t>
      </w:r>
      <w:r w:rsidRPr="00F06FD6">
        <w:rPr>
          <w:rFonts w:ascii="Times New Roman" w:hAnsi="Times New Roman" w:cs="Times New Roman"/>
          <w:sz w:val="24"/>
          <w:szCs w:val="24"/>
        </w:rPr>
        <w:tab/>
      </w:r>
      <w:r w:rsidRPr="00F06FD6">
        <w:rPr>
          <w:rFonts w:ascii="Times New Roman" w:hAnsi="Times New Roman" w:cs="Times New Roman"/>
          <w:sz w:val="24"/>
          <w:szCs w:val="24"/>
        </w:rPr>
        <w:tab/>
      </w:r>
      <w:r w:rsidRPr="00F06FD6">
        <w:rPr>
          <w:rFonts w:ascii="Times New Roman" w:hAnsi="Times New Roman" w:cs="Times New Roman"/>
          <w:sz w:val="24"/>
          <w:szCs w:val="24"/>
        </w:rPr>
        <w:tab/>
        <w:t>:</w:t>
      </w:r>
      <w:r w:rsidRPr="00F06FD6">
        <w:rPr>
          <w:rFonts w:ascii="Times New Roman" w:hAnsi="Times New Roman" w:cs="Times New Roman"/>
          <w:sz w:val="24"/>
          <w:szCs w:val="24"/>
        </w:rPr>
        <w:tab/>
        <w:t>nill</w:t>
      </w:r>
    </w:p>
    <w:p w14:paraId="331C8664" w14:textId="77777777" w:rsidR="00F06FD6" w:rsidRPr="00F06FD6" w:rsidRDefault="00F06FD6" w:rsidP="00F06FD6">
      <w:pPr>
        <w:spacing w:after="0" w:line="240" w:lineRule="auto"/>
        <w:rPr>
          <w:rFonts w:ascii="Times New Roman" w:hAnsi="Times New Roman" w:cs="Times New Roman"/>
          <w:sz w:val="24"/>
          <w:szCs w:val="24"/>
        </w:rPr>
      </w:pPr>
    </w:p>
    <w:p w14:paraId="685C7C5F" w14:textId="77777777" w:rsidR="00F06FD6" w:rsidRPr="00F06FD6" w:rsidRDefault="00F06FD6" w:rsidP="00F06FD6">
      <w:pPr>
        <w:spacing w:after="0" w:line="240" w:lineRule="auto"/>
        <w:rPr>
          <w:rFonts w:ascii="Times New Roman" w:hAnsi="Times New Roman" w:cs="Times New Roman"/>
          <w:sz w:val="24"/>
          <w:szCs w:val="24"/>
        </w:rPr>
      </w:pPr>
      <w:r w:rsidRPr="00F06FD6">
        <w:rPr>
          <w:rFonts w:ascii="Times New Roman" w:hAnsi="Times New Roman" w:cs="Times New Roman"/>
          <w:sz w:val="24"/>
          <w:szCs w:val="24"/>
        </w:rPr>
        <w:t>Account opening/Joining fees</w:t>
      </w:r>
      <w:r w:rsidRPr="00F06FD6">
        <w:rPr>
          <w:rFonts w:ascii="Times New Roman" w:hAnsi="Times New Roman" w:cs="Times New Roman"/>
          <w:sz w:val="24"/>
          <w:szCs w:val="24"/>
        </w:rPr>
        <w:tab/>
        <w:t>:</w:t>
      </w:r>
      <w:r w:rsidRPr="00F06FD6">
        <w:rPr>
          <w:rFonts w:ascii="Times New Roman" w:hAnsi="Times New Roman" w:cs="Times New Roman"/>
          <w:sz w:val="24"/>
          <w:szCs w:val="24"/>
        </w:rPr>
        <w:tab/>
        <w:t>nill</w:t>
      </w:r>
    </w:p>
    <w:p w14:paraId="3F1C44BE" w14:textId="77777777" w:rsidR="00F06FD6" w:rsidRPr="00F06FD6" w:rsidRDefault="00F06FD6" w:rsidP="00F06FD6">
      <w:pPr>
        <w:spacing w:after="0" w:line="240" w:lineRule="auto"/>
        <w:rPr>
          <w:rFonts w:ascii="Times New Roman" w:hAnsi="Times New Roman" w:cs="Times New Roman"/>
          <w:sz w:val="24"/>
          <w:szCs w:val="24"/>
        </w:rPr>
      </w:pPr>
    </w:p>
    <w:p w14:paraId="3A860D02" w14:textId="77777777" w:rsidR="00F06FD6" w:rsidRPr="00F06FD6" w:rsidRDefault="00F06FD6" w:rsidP="00F06FD6">
      <w:pPr>
        <w:spacing w:after="0" w:line="240" w:lineRule="auto"/>
        <w:rPr>
          <w:rFonts w:ascii="Times New Roman" w:hAnsi="Times New Roman" w:cs="Times New Roman"/>
          <w:sz w:val="24"/>
          <w:szCs w:val="24"/>
        </w:rPr>
      </w:pPr>
      <w:r w:rsidRPr="00F06FD6">
        <w:rPr>
          <w:rFonts w:ascii="Times New Roman" w:hAnsi="Times New Roman" w:cs="Times New Roman"/>
          <w:sz w:val="24"/>
          <w:szCs w:val="24"/>
        </w:rPr>
        <w:t>Market –BUY</w:t>
      </w:r>
      <w:r w:rsidRPr="00F06FD6">
        <w:rPr>
          <w:rFonts w:ascii="Times New Roman" w:hAnsi="Times New Roman" w:cs="Times New Roman"/>
          <w:sz w:val="24"/>
          <w:szCs w:val="24"/>
        </w:rPr>
        <w:tab/>
      </w:r>
      <w:r w:rsidRPr="00F06FD6">
        <w:rPr>
          <w:rFonts w:ascii="Times New Roman" w:hAnsi="Times New Roman" w:cs="Times New Roman"/>
          <w:sz w:val="24"/>
          <w:szCs w:val="24"/>
        </w:rPr>
        <w:tab/>
      </w:r>
      <w:r w:rsidRPr="00F06FD6">
        <w:rPr>
          <w:rFonts w:ascii="Times New Roman" w:hAnsi="Times New Roman" w:cs="Times New Roman"/>
          <w:sz w:val="24"/>
          <w:szCs w:val="24"/>
        </w:rPr>
        <w:tab/>
        <w:t>:</w:t>
      </w:r>
      <w:r w:rsidRPr="00F06FD6">
        <w:rPr>
          <w:rFonts w:ascii="Times New Roman" w:hAnsi="Times New Roman" w:cs="Times New Roman"/>
          <w:sz w:val="24"/>
          <w:szCs w:val="24"/>
        </w:rPr>
        <w:tab/>
        <w:t>Rs. 19/-</w:t>
      </w:r>
      <w:r w:rsidRPr="00F06FD6">
        <w:rPr>
          <w:rFonts w:ascii="Times New Roman" w:hAnsi="Times New Roman" w:cs="Times New Roman"/>
          <w:sz w:val="24"/>
          <w:szCs w:val="24"/>
        </w:rPr>
        <w:tab/>
      </w:r>
    </w:p>
    <w:p w14:paraId="43ADD35A" w14:textId="77777777" w:rsidR="00F06FD6" w:rsidRPr="00F06FD6" w:rsidRDefault="00F06FD6" w:rsidP="00F06FD6">
      <w:pPr>
        <w:spacing w:after="0" w:line="240" w:lineRule="auto"/>
        <w:rPr>
          <w:rFonts w:ascii="Times New Roman" w:hAnsi="Times New Roman" w:cs="Times New Roman"/>
          <w:sz w:val="24"/>
          <w:szCs w:val="24"/>
        </w:rPr>
      </w:pPr>
    </w:p>
    <w:p w14:paraId="7E92046D" w14:textId="77777777" w:rsidR="00F06FD6" w:rsidRPr="00F06FD6" w:rsidRDefault="00F06FD6" w:rsidP="00F06FD6">
      <w:pPr>
        <w:spacing w:after="0" w:line="240" w:lineRule="auto"/>
        <w:rPr>
          <w:rFonts w:ascii="Times New Roman" w:hAnsi="Times New Roman" w:cs="Times New Roman"/>
          <w:sz w:val="24"/>
          <w:szCs w:val="24"/>
        </w:rPr>
      </w:pPr>
      <w:r w:rsidRPr="00F06FD6">
        <w:rPr>
          <w:rFonts w:ascii="Times New Roman" w:hAnsi="Times New Roman" w:cs="Times New Roman"/>
          <w:sz w:val="24"/>
          <w:szCs w:val="24"/>
        </w:rPr>
        <w:t>Market –SELL</w:t>
      </w:r>
      <w:r w:rsidRPr="00F06FD6">
        <w:rPr>
          <w:rFonts w:ascii="Times New Roman" w:hAnsi="Times New Roman" w:cs="Times New Roman"/>
          <w:sz w:val="24"/>
          <w:szCs w:val="24"/>
        </w:rPr>
        <w:tab/>
      </w:r>
      <w:r w:rsidRPr="00F06FD6">
        <w:rPr>
          <w:rFonts w:ascii="Times New Roman" w:hAnsi="Times New Roman" w:cs="Times New Roman"/>
          <w:sz w:val="24"/>
          <w:szCs w:val="24"/>
        </w:rPr>
        <w:tab/>
        <w:t>:</w:t>
      </w:r>
      <w:r w:rsidRPr="00F06FD6">
        <w:rPr>
          <w:rFonts w:ascii="Times New Roman" w:hAnsi="Times New Roman" w:cs="Times New Roman"/>
          <w:sz w:val="24"/>
          <w:szCs w:val="24"/>
        </w:rPr>
        <w:tab/>
        <w:t>0.05% (MIN. RS.19/-) + CDSL CHARGES</w:t>
      </w:r>
      <w:r w:rsidRPr="00F06FD6">
        <w:rPr>
          <w:rFonts w:ascii="Times New Roman" w:hAnsi="Times New Roman" w:cs="Times New Roman"/>
          <w:sz w:val="24"/>
          <w:szCs w:val="24"/>
        </w:rPr>
        <w:tab/>
      </w:r>
    </w:p>
    <w:p w14:paraId="42C0B68B" w14:textId="77777777" w:rsidR="00F06FD6" w:rsidRPr="00F06FD6" w:rsidRDefault="00F06FD6" w:rsidP="00F06FD6">
      <w:pPr>
        <w:spacing w:after="0" w:line="240" w:lineRule="auto"/>
        <w:rPr>
          <w:rFonts w:ascii="Times New Roman" w:hAnsi="Times New Roman" w:cs="Times New Roman"/>
          <w:sz w:val="24"/>
          <w:szCs w:val="24"/>
        </w:rPr>
      </w:pPr>
    </w:p>
    <w:p w14:paraId="7627D087" w14:textId="77777777" w:rsidR="00F06FD6" w:rsidRPr="00F06FD6" w:rsidRDefault="00F06FD6" w:rsidP="00F06FD6">
      <w:pPr>
        <w:spacing w:after="0" w:line="240" w:lineRule="auto"/>
        <w:rPr>
          <w:rFonts w:ascii="Times New Roman" w:hAnsi="Times New Roman" w:cs="Times New Roman"/>
          <w:sz w:val="24"/>
          <w:szCs w:val="24"/>
        </w:rPr>
      </w:pPr>
      <w:r w:rsidRPr="00F06FD6">
        <w:rPr>
          <w:rFonts w:ascii="Times New Roman" w:hAnsi="Times New Roman" w:cs="Times New Roman"/>
          <w:sz w:val="24"/>
          <w:szCs w:val="24"/>
        </w:rPr>
        <w:t>Off Market-BUY</w:t>
      </w:r>
      <w:r w:rsidRPr="00F06FD6">
        <w:rPr>
          <w:rFonts w:ascii="Times New Roman" w:hAnsi="Times New Roman" w:cs="Times New Roman"/>
          <w:sz w:val="24"/>
          <w:szCs w:val="24"/>
        </w:rPr>
        <w:tab/>
      </w:r>
      <w:r w:rsidRPr="00F06FD6">
        <w:rPr>
          <w:rFonts w:ascii="Times New Roman" w:hAnsi="Times New Roman" w:cs="Times New Roman"/>
          <w:sz w:val="24"/>
          <w:szCs w:val="24"/>
        </w:rPr>
        <w:tab/>
        <w:t>:</w:t>
      </w:r>
      <w:r w:rsidRPr="00F06FD6">
        <w:rPr>
          <w:rFonts w:ascii="Times New Roman" w:hAnsi="Times New Roman" w:cs="Times New Roman"/>
          <w:sz w:val="24"/>
          <w:szCs w:val="24"/>
        </w:rPr>
        <w:tab/>
        <w:t>Rs.19/-</w:t>
      </w:r>
    </w:p>
    <w:p w14:paraId="7077C9AB" w14:textId="77777777" w:rsidR="00F06FD6" w:rsidRPr="00F06FD6" w:rsidRDefault="00F06FD6" w:rsidP="00F06FD6">
      <w:pPr>
        <w:spacing w:after="0" w:line="240" w:lineRule="auto"/>
        <w:rPr>
          <w:rFonts w:ascii="Times New Roman" w:hAnsi="Times New Roman" w:cs="Times New Roman"/>
          <w:sz w:val="24"/>
          <w:szCs w:val="24"/>
        </w:rPr>
      </w:pPr>
    </w:p>
    <w:p w14:paraId="3E80A46D" w14:textId="77777777" w:rsidR="00F06FD6" w:rsidRPr="00F06FD6" w:rsidRDefault="00F06FD6" w:rsidP="00F06FD6">
      <w:pPr>
        <w:spacing w:after="0" w:line="240" w:lineRule="auto"/>
        <w:rPr>
          <w:rFonts w:ascii="Times New Roman" w:hAnsi="Times New Roman" w:cs="Times New Roman"/>
          <w:sz w:val="24"/>
          <w:szCs w:val="24"/>
        </w:rPr>
      </w:pPr>
      <w:r w:rsidRPr="00F06FD6">
        <w:rPr>
          <w:rFonts w:ascii="Times New Roman" w:hAnsi="Times New Roman" w:cs="Times New Roman"/>
          <w:sz w:val="24"/>
          <w:szCs w:val="24"/>
        </w:rPr>
        <w:t>Off Market-SELL</w:t>
      </w:r>
      <w:r w:rsidRPr="00F06FD6">
        <w:rPr>
          <w:rFonts w:ascii="Times New Roman" w:hAnsi="Times New Roman" w:cs="Times New Roman"/>
          <w:sz w:val="24"/>
          <w:szCs w:val="24"/>
        </w:rPr>
        <w:tab/>
      </w:r>
      <w:r w:rsidRPr="00F06FD6">
        <w:rPr>
          <w:rFonts w:ascii="Times New Roman" w:hAnsi="Times New Roman" w:cs="Times New Roman"/>
          <w:sz w:val="24"/>
          <w:szCs w:val="24"/>
        </w:rPr>
        <w:tab/>
        <w:t>:</w:t>
      </w:r>
      <w:r w:rsidRPr="00F06FD6">
        <w:rPr>
          <w:rFonts w:ascii="Times New Roman" w:hAnsi="Times New Roman" w:cs="Times New Roman"/>
          <w:sz w:val="24"/>
          <w:szCs w:val="24"/>
        </w:rPr>
        <w:tab/>
        <w:t>0.05% (MIN. RS.19/-) + CDSL CHARGES</w:t>
      </w:r>
    </w:p>
    <w:p w14:paraId="6830B473" w14:textId="77777777" w:rsidR="00F06FD6" w:rsidRPr="00F06FD6" w:rsidRDefault="00F06FD6" w:rsidP="00F06FD6">
      <w:pPr>
        <w:spacing w:after="0" w:line="240" w:lineRule="auto"/>
        <w:rPr>
          <w:rFonts w:ascii="Times New Roman" w:hAnsi="Times New Roman" w:cs="Times New Roman"/>
          <w:sz w:val="24"/>
          <w:szCs w:val="24"/>
        </w:rPr>
      </w:pPr>
      <w:r w:rsidRPr="00F06FD6">
        <w:rPr>
          <w:rFonts w:ascii="Times New Roman" w:hAnsi="Times New Roman" w:cs="Times New Roman"/>
          <w:sz w:val="24"/>
          <w:szCs w:val="24"/>
        </w:rPr>
        <w:t>Pledge Creation</w:t>
      </w:r>
      <w:r w:rsidRPr="00F06FD6">
        <w:rPr>
          <w:rFonts w:ascii="Times New Roman" w:hAnsi="Times New Roman" w:cs="Times New Roman"/>
          <w:sz w:val="24"/>
          <w:szCs w:val="24"/>
        </w:rPr>
        <w:tab/>
      </w:r>
      <w:r w:rsidRPr="00F06FD6">
        <w:rPr>
          <w:rFonts w:ascii="Times New Roman" w:hAnsi="Times New Roman" w:cs="Times New Roman"/>
          <w:sz w:val="24"/>
          <w:szCs w:val="24"/>
        </w:rPr>
        <w:tab/>
        <w:t>:</w:t>
      </w:r>
      <w:r w:rsidRPr="00F06FD6">
        <w:rPr>
          <w:rFonts w:ascii="Times New Roman" w:hAnsi="Times New Roman" w:cs="Times New Roman"/>
          <w:sz w:val="24"/>
          <w:szCs w:val="24"/>
        </w:rPr>
        <w:tab/>
        <w:t>0.02% + CDSL CHARGES</w:t>
      </w:r>
    </w:p>
    <w:p w14:paraId="2F878B3A" w14:textId="77777777" w:rsidR="00F06FD6" w:rsidRPr="00F06FD6" w:rsidRDefault="00F06FD6" w:rsidP="00F06FD6">
      <w:pPr>
        <w:spacing w:after="0" w:line="240" w:lineRule="auto"/>
        <w:rPr>
          <w:rFonts w:ascii="Times New Roman" w:hAnsi="Times New Roman" w:cs="Times New Roman"/>
          <w:sz w:val="24"/>
          <w:szCs w:val="24"/>
        </w:rPr>
      </w:pPr>
    </w:p>
    <w:p w14:paraId="7DF4F5AD" w14:textId="77777777" w:rsidR="00F06FD6" w:rsidRPr="00F06FD6" w:rsidRDefault="00F06FD6" w:rsidP="00F06FD6">
      <w:pPr>
        <w:spacing w:after="0" w:line="240" w:lineRule="auto"/>
        <w:rPr>
          <w:rFonts w:ascii="Times New Roman" w:hAnsi="Times New Roman" w:cs="Times New Roman"/>
          <w:sz w:val="24"/>
          <w:szCs w:val="24"/>
        </w:rPr>
      </w:pPr>
      <w:r w:rsidRPr="00F06FD6">
        <w:rPr>
          <w:rFonts w:ascii="Times New Roman" w:hAnsi="Times New Roman" w:cs="Times New Roman"/>
          <w:sz w:val="24"/>
          <w:szCs w:val="24"/>
        </w:rPr>
        <w:t>Pledge Closure</w:t>
      </w:r>
      <w:r w:rsidRPr="00F06FD6">
        <w:rPr>
          <w:rFonts w:ascii="Times New Roman" w:hAnsi="Times New Roman" w:cs="Times New Roman"/>
          <w:sz w:val="24"/>
          <w:szCs w:val="24"/>
        </w:rPr>
        <w:tab/>
      </w:r>
      <w:r w:rsidRPr="00F06FD6">
        <w:rPr>
          <w:rFonts w:ascii="Times New Roman" w:hAnsi="Times New Roman" w:cs="Times New Roman"/>
          <w:sz w:val="24"/>
          <w:szCs w:val="24"/>
        </w:rPr>
        <w:tab/>
        <w:t>:</w:t>
      </w:r>
      <w:r w:rsidRPr="00F06FD6">
        <w:rPr>
          <w:rFonts w:ascii="Times New Roman" w:hAnsi="Times New Roman" w:cs="Times New Roman"/>
          <w:sz w:val="24"/>
          <w:szCs w:val="24"/>
        </w:rPr>
        <w:tab/>
        <w:t>0.02% + CDSL CHARGES</w:t>
      </w:r>
    </w:p>
    <w:p w14:paraId="3981E43C" w14:textId="77777777" w:rsidR="00F06FD6" w:rsidRPr="00F06FD6" w:rsidRDefault="00F06FD6" w:rsidP="00F06FD6">
      <w:pPr>
        <w:spacing w:after="0" w:line="240" w:lineRule="auto"/>
        <w:rPr>
          <w:rFonts w:ascii="Times New Roman" w:hAnsi="Times New Roman" w:cs="Times New Roman"/>
          <w:sz w:val="24"/>
          <w:szCs w:val="24"/>
        </w:rPr>
      </w:pPr>
    </w:p>
    <w:p w14:paraId="471DAB56" w14:textId="77777777" w:rsidR="00F06FD6" w:rsidRPr="00F06FD6" w:rsidRDefault="00F06FD6" w:rsidP="00F06FD6">
      <w:pPr>
        <w:spacing w:after="0" w:line="240" w:lineRule="auto"/>
        <w:rPr>
          <w:rFonts w:ascii="Times New Roman" w:hAnsi="Times New Roman" w:cs="Times New Roman"/>
          <w:sz w:val="24"/>
          <w:szCs w:val="24"/>
        </w:rPr>
      </w:pPr>
      <w:r w:rsidRPr="00F06FD6">
        <w:rPr>
          <w:rFonts w:ascii="Times New Roman" w:hAnsi="Times New Roman" w:cs="Times New Roman"/>
          <w:sz w:val="24"/>
          <w:szCs w:val="24"/>
        </w:rPr>
        <w:t>Pledge Invocation</w:t>
      </w:r>
      <w:r w:rsidRPr="00F06FD6">
        <w:rPr>
          <w:rFonts w:ascii="Times New Roman" w:hAnsi="Times New Roman" w:cs="Times New Roman"/>
          <w:sz w:val="24"/>
          <w:szCs w:val="24"/>
        </w:rPr>
        <w:tab/>
      </w:r>
      <w:r w:rsidRPr="00F06FD6">
        <w:rPr>
          <w:rFonts w:ascii="Times New Roman" w:hAnsi="Times New Roman" w:cs="Times New Roman"/>
          <w:sz w:val="24"/>
          <w:szCs w:val="24"/>
        </w:rPr>
        <w:tab/>
        <w:t>:</w:t>
      </w:r>
      <w:r w:rsidRPr="00F06FD6">
        <w:rPr>
          <w:rFonts w:ascii="Times New Roman" w:hAnsi="Times New Roman" w:cs="Times New Roman"/>
          <w:sz w:val="24"/>
          <w:szCs w:val="24"/>
        </w:rPr>
        <w:tab/>
        <w:t>Rs. 50/-</w:t>
      </w:r>
    </w:p>
    <w:p w14:paraId="5842DE67" w14:textId="77777777" w:rsidR="00F06FD6" w:rsidRPr="00F06FD6" w:rsidRDefault="00F06FD6" w:rsidP="00F06FD6">
      <w:pPr>
        <w:spacing w:after="0" w:line="240" w:lineRule="auto"/>
        <w:rPr>
          <w:rFonts w:ascii="Times New Roman" w:hAnsi="Times New Roman" w:cs="Times New Roman"/>
          <w:sz w:val="24"/>
          <w:szCs w:val="24"/>
        </w:rPr>
      </w:pPr>
    </w:p>
    <w:p w14:paraId="185AFF4B" w14:textId="77777777" w:rsidR="00F06FD6" w:rsidRPr="00F06FD6" w:rsidRDefault="00F06FD6" w:rsidP="00F06FD6">
      <w:pPr>
        <w:spacing w:after="0" w:line="240" w:lineRule="auto"/>
        <w:rPr>
          <w:rFonts w:ascii="Times New Roman" w:hAnsi="Times New Roman" w:cs="Times New Roman"/>
          <w:sz w:val="24"/>
          <w:szCs w:val="24"/>
        </w:rPr>
      </w:pPr>
      <w:r w:rsidRPr="00F06FD6">
        <w:rPr>
          <w:rFonts w:ascii="Times New Roman" w:hAnsi="Times New Roman" w:cs="Times New Roman"/>
          <w:sz w:val="24"/>
          <w:szCs w:val="24"/>
        </w:rPr>
        <w:t>Annual Maintenance</w:t>
      </w:r>
      <w:r w:rsidRPr="00F06FD6">
        <w:rPr>
          <w:rFonts w:ascii="Times New Roman" w:hAnsi="Times New Roman" w:cs="Times New Roman"/>
          <w:sz w:val="24"/>
          <w:szCs w:val="24"/>
        </w:rPr>
        <w:tab/>
      </w:r>
      <w:r w:rsidRPr="00F06FD6">
        <w:rPr>
          <w:rFonts w:ascii="Times New Roman" w:hAnsi="Times New Roman" w:cs="Times New Roman"/>
          <w:sz w:val="24"/>
          <w:szCs w:val="24"/>
        </w:rPr>
        <w:tab/>
        <w:t>:</w:t>
      </w:r>
      <w:r w:rsidRPr="00F06FD6">
        <w:rPr>
          <w:rFonts w:ascii="Times New Roman" w:hAnsi="Times New Roman" w:cs="Times New Roman"/>
          <w:sz w:val="24"/>
          <w:szCs w:val="24"/>
        </w:rPr>
        <w:tab/>
        <w:t>RS.900/- (FOR 3 YEARS)</w:t>
      </w:r>
    </w:p>
    <w:p w14:paraId="7600ACF8" w14:textId="77777777" w:rsidR="00F06FD6" w:rsidRPr="00F06FD6" w:rsidRDefault="00F06FD6" w:rsidP="00F06FD6">
      <w:pPr>
        <w:spacing w:after="0" w:line="240" w:lineRule="auto"/>
        <w:ind w:left="3600" w:hanging="3600"/>
        <w:rPr>
          <w:rFonts w:ascii="Times New Roman" w:hAnsi="Times New Roman" w:cs="Times New Roman"/>
          <w:sz w:val="24"/>
          <w:szCs w:val="24"/>
        </w:rPr>
      </w:pPr>
    </w:p>
    <w:p w14:paraId="12F8A64D" w14:textId="77777777" w:rsidR="00F06FD6" w:rsidRPr="00F06FD6" w:rsidRDefault="00F06FD6" w:rsidP="00F06FD6">
      <w:pPr>
        <w:spacing w:after="0" w:line="240" w:lineRule="auto"/>
        <w:ind w:left="3600" w:hanging="3600"/>
        <w:rPr>
          <w:rFonts w:ascii="Times New Roman" w:hAnsi="Times New Roman" w:cs="Times New Roman"/>
          <w:sz w:val="24"/>
          <w:szCs w:val="24"/>
        </w:rPr>
      </w:pPr>
      <w:r w:rsidRPr="00F06FD6">
        <w:rPr>
          <w:rFonts w:ascii="Times New Roman" w:hAnsi="Times New Roman" w:cs="Times New Roman"/>
          <w:sz w:val="24"/>
          <w:szCs w:val="24"/>
        </w:rPr>
        <w:lastRenderedPageBreak/>
        <w:t>Demat                                     :</w:t>
      </w:r>
      <w:r w:rsidRPr="00F06FD6">
        <w:rPr>
          <w:rFonts w:ascii="Times New Roman" w:hAnsi="Times New Roman" w:cs="Times New Roman"/>
          <w:sz w:val="24"/>
          <w:szCs w:val="24"/>
        </w:rPr>
        <w:tab/>
        <w:t>RS.3/- PER CERTIFICATE + RS.25/- POSTAGE   PER REQUEST</w:t>
      </w:r>
    </w:p>
    <w:p w14:paraId="6810835B" w14:textId="77777777" w:rsidR="00F06FD6" w:rsidRPr="00F06FD6" w:rsidRDefault="00F06FD6" w:rsidP="00F06FD6">
      <w:pPr>
        <w:spacing w:after="0" w:line="240" w:lineRule="auto"/>
        <w:ind w:left="3600" w:hanging="3600"/>
        <w:rPr>
          <w:rFonts w:ascii="Times New Roman" w:hAnsi="Times New Roman" w:cs="Times New Roman"/>
          <w:sz w:val="24"/>
          <w:szCs w:val="24"/>
        </w:rPr>
      </w:pPr>
    </w:p>
    <w:p w14:paraId="5C8C1A6A" w14:textId="77777777" w:rsidR="00F06FD6" w:rsidRPr="00F06FD6" w:rsidRDefault="00F06FD6" w:rsidP="00F06FD6">
      <w:pPr>
        <w:spacing w:after="0" w:line="240" w:lineRule="auto"/>
        <w:ind w:left="3600" w:hanging="3600"/>
        <w:rPr>
          <w:rFonts w:ascii="Times New Roman" w:hAnsi="Times New Roman" w:cs="Times New Roman"/>
          <w:sz w:val="24"/>
          <w:szCs w:val="24"/>
        </w:rPr>
      </w:pPr>
      <w:r w:rsidRPr="00F06FD6">
        <w:rPr>
          <w:rFonts w:ascii="Times New Roman" w:hAnsi="Times New Roman" w:cs="Times New Roman"/>
          <w:sz w:val="24"/>
          <w:szCs w:val="24"/>
        </w:rPr>
        <w:t>Remat                                     :</w:t>
      </w:r>
      <w:r w:rsidRPr="00F06FD6">
        <w:rPr>
          <w:rFonts w:ascii="Times New Roman" w:hAnsi="Times New Roman" w:cs="Times New Roman"/>
          <w:sz w:val="24"/>
          <w:szCs w:val="24"/>
        </w:rPr>
        <w:tab/>
        <w:t>RS.25/- PER CERTIFICATE + RS.25/- POSTAGE PER REQUEST</w:t>
      </w:r>
    </w:p>
    <w:p w14:paraId="05DE44FB" w14:textId="77777777" w:rsidR="00F06FD6" w:rsidRPr="00F06FD6" w:rsidRDefault="00F06FD6" w:rsidP="00F06FD6">
      <w:pPr>
        <w:spacing w:after="0" w:line="240" w:lineRule="auto"/>
        <w:ind w:left="3600" w:hanging="3600"/>
        <w:rPr>
          <w:rFonts w:ascii="Times New Roman" w:hAnsi="Times New Roman" w:cs="Times New Roman"/>
          <w:sz w:val="24"/>
          <w:szCs w:val="24"/>
        </w:rPr>
      </w:pPr>
    </w:p>
    <w:p w14:paraId="3B08F6F3" w14:textId="77777777" w:rsidR="00F06FD6" w:rsidRPr="00F06FD6" w:rsidRDefault="00F06FD6" w:rsidP="00F06FD6">
      <w:pPr>
        <w:spacing w:after="0" w:line="240" w:lineRule="auto"/>
        <w:rPr>
          <w:rFonts w:ascii="Times New Roman" w:hAnsi="Times New Roman" w:cs="Times New Roman"/>
          <w:sz w:val="24"/>
          <w:szCs w:val="24"/>
        </w:rPr>
      </w:pPr>
      <w:r w:rsidRPr="00F06FD6">
        <w:rPr>
          <w:rFonts w:ascii="Times New Roman" w:hAnsi="Times New Roman" w:cs="Times New Roman"/>
          <w:sz w:val="24"/>
          <w:szCs w:val="24"/>
        </w:rPr>
        <w:t>Other Charges                        :</w:t>
      </w:r>
      <w:r w:rsidRPr="00F06FD6">
        <w:rPr>
          <w:rFonts w:ascii="Times New Roman" w:hAnsi="Times New Roman" w:cs="Times New Roman"/>
          <w:sz w:val="24"/>
          <w:szCs w:val="24"/>
        </w:rPr>
        <w:tab/>
        <w:t>DOCUMENTATION CHARGES RS.30/- + STATE STAMP DUTY ( MIN. RS.50/-)</w:t>
      </w:r>
    </w:p>
    <w:p w14:paraId="61F690BB" w14:textId="77777777" w:rsidR="00F06FD6" w:rsidRPr="00F06FD6" w:rsidRDefault="00F06FD6" w:rsidP="00F06FD6">
      <w:pPr>
        <w:autoSpaceDE w:val="0"/>
        <w:autoSpaceDN w:val="0"/>
        <w:adjustRightInd w:val="0"/>
        <w:spacing w:after="0" w:line="240" w:lineRule="auto"/>
        <w:rPr>
          <w:rFonts w:ascii="Times New Roman" w:hAnsi="Times New Roman" w:cs="Times New Roman"/>
          <w:b/>
          <w:color w:val="000000" w:themeColor="text1"/>
          <w:sz w:val="24"/>
          <w:szCs w:val="24"/>
          <w:lang w:val="en-GB" w:eastAsia="en-GB"/>
        </w:rPr>
      </w:pPr>
    </w:p>
    <w:p w14:paraId="4B1B4893" w14:textId="77777777" w:rsidR="00F06FD6" w:rsidRPr="00F06FD6" w:rsidRDefault="000632EC" w:rsidP="00F06FD6">
      <w:pPr>
        <w:autoSpaceDE w:val="0"/>
        <w:autoSpaceDN w:val="0"/>
        <w:adjustRightInd w:val="0"/>
        <w:spacing w:after="0" w:line="240" w:lineRule="auto"/>
        <w:rPr>
          <w:rFonts w:ascii="Times New Roman" w:hAnsi="Times New Roman" w:cs="Times New Roman"/>
          <w:b/>
          <w:color w:val="000000" w:themeColor="text1"/>
          <w:sz w:val="24"/>
          <w:szCs w:val="24"/>
          <w:lang w:val="en-GB" w:eastAsia="en-GB"/>
        </w:rPr>
      </w:pPr>
      <w:r w:rsidRPr="000632EC">
        <w:rPr>
          <w:rFonts w:ascii="Times New Roman" w:hAnsi="Times New Roman" w:cs="Times New Roman"/>
          <w:b/>
          <w:noProof/>
          <w:color w:val="000000" w:themeColor="text1"/>
          <w:sz w:val="24"/>
          <w:szCs w:val="24"/>
          <w:lang w:val="en-GB" w:eastAsia="en-GB"/>
        </w:rPr>
        <w:drawing>
          <wp:inline distT="0" distB="0" distL="0" distR="0" wp14:anchorId="43B3CD99" wp14:editId="63E33F38">
            <wp:extent cx="4327319" cy="2505694"/>
            <wp:effectExtent l="19050" t="0" r="0" b="0"/>
            <wp:docPr id="16" name="Object 1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0BC05CB" w14:textId="77777777" w:rsidR="00F06FD6" w:rsidRPr="00F06FD6" w:rsidRDefault="00F06FD6" w:rsidP="00F06FD6">
      <w:pPr>
        <w:autoSpaceDE w:val="0"/>
        <w:autoSpaceDN w:val="0"/>
        <w:adjustRightInd w:val="0"/>
        <w:spacing w:after="0" w:line="240" w:lineRule="auto"/>
        <w:rPr>
          <w:rFonts w:ascii="Times New Roman" w:hAnsi="Times New Roman" w:cs="Times New Roman"/>
          <w:b/>
          <w:color w:val="000000" w:themeColor="text1"/>
          <w:sz w:val="24"/>
          <w:szCs w:val="24"/>
          <w:lang w:val="en-GB" w:eastAsia="en-GB"/>
        </w:rPr>
      </w:pPr>
    </w:p>
    <w:p w14:paraId="78372724" w14:textId="77777777" w:rsidR="00F06FD6" w:rsidRPr="00F06FD6" w:rsidRDefault="00E14EFA" w:rsidP="00F06FD6">
      <w:pPr>
        <w:autoSpaceDE w:val="0"/>
        <w:autoSpaceDN w:val="0"/>
        <w:adjustRightInd w:val="0"/>
        <w:spacing w:after="0" w:line="240" w:lineRule="auto"/>
        <w:rPr>
          <w:rFonts w:ascii="Times New Roman" w:hAnsi="Times New Roman" w:cs="Times New Roman"/>
          <w:b/>
          <w:color w:val="000000" w:themeColor="text1"/>
          <w:sz w:val="24"/>
          <w:szCs w:val="24"/>
          <w:lang w:val="en-GB" w:eastAsia="en-GB"/>
        </w:rPr>
      </w:pPr>
      <w:r w:rsidRPr="00E14EFA">
        <w:rPr>
          <w:rFonts w:ascii="Times New Roman" w:hAnsi="Times New Roman" w:cs="Times New Roman"/>
          <w:b/>
          <w:noProof/>
          <w:color w:val="000000" w:themeColor="text1"/>
          <w:sz w:val="24"/>
          <w:szCs w:val="24"/>
          <w:lang w:val="en-GB" w:eastAsia="en-GB"/>
        </w:rPr>
        <w:drawing>
          <wp:inline distT="0" distB="0" distL="0" distR="0" wp14:anchorId="1FFD42FA" wp14:editId="51FF3F6B">
            <wp:extent cx="4512623" cy="2422566"/>
            <wp:effectExtent l="0" t="0" r="0" b="0"/>
            <wp:docPr id="17" name="Object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6E58D94" w14:textId="77777777" w:rsidR="00F06FD6" w:rsidRDefault="00F06FD6" w:rsidP="00F06FD6">
      <w:pPr>
        <w:autoSpaceDE w:val="0"/>
        <w:autoSpaceDN w:val="0"/>
        <w:adjustRightInd w:val="0"/>
        <w:spacing w:after="0" w:line="360" w:lineRule="auto"/>
        <w:rPr>
          <w:rFonts w:ascii="Times New Roman" w:hAnsi="Times New Roman" w:cs="Times New Roman"/>
          <w:b/>
          <w:color w:val="000000" w:themeColor="text1"/>
          <w:sz w:val="28"/>
          <w:szCs w:val="28"/>
          <w:lang w:val="en-GB" w:eastAsia="en-GB"/>
        </w:rPr>
      </w:pPr>
    </w:p>
    <w:p w14:paraId="5F75708F" w14:textId="77777777" w:rsidR="00B30DB4" w:rsidRPr="006C6A95" w:rsidRDefault="00B30DB4" w:rsidP="00B30DB4">
      <w:pPr>
        <w:autoSpaceDE w:val="0"/>
        <w:autoSpaceDN w:val="0"/>
        <w:adjustRightInd w:val="0"/>
        <w:spacing w:line="360" w:lineRule="auto"/>
        <w:rPr>
          <w:rFonts w:ascii="Times New Roman" w:hAnsi="Times New Roman" w:cs="Times New Roman"/>
          <w:b/>
          <w:color w:val="000000" w:themeColor="text1"/>
          <w:sz w:val="28"/>
          <w:szCs w:val="28"/>
          <w:lang w:val="en-GB" w:eastAsia="en-GB"/>
        </w:rPr>
      </w:pPr>
      <w:r w:rsidRPr="006C6A95">
        <w:rPr>
          <w:rFonts w:ascii="Times New Roman" w:hAnsi="Times New Roman" w:cs="Times New Roman"/>
          <w:b/>
          <w:color w:val="000000" w:themeColor="text1"/>
          <w:sz w:val="28"/>
          <w:szCs w:val="28"/>
          <w:lang w:val="en-GB" w:eastAsia="en-GB"/>
        </w:rPr>
        <w:t>CONCLUSION</w:t>
      </w:r>
    </w:p>
    <w:p w14:paraId="376BF94A" w14:textId="77777777" w:rsidR="00961B74" w:rsidRPr="00961B74" w:rsidRDefault="00961B74" w:rsidP="0088734C">
      <w:pPr>
        <w:spacing w:line="360" w:lineRule="auto"/>
        <w:rPr>
          <w:rFonts w:ascii="Times New Roman" w:hAnsi="Times New Roman" w:cs="Times New Roman"/>
          <w:sz w:val="24"/>
          <w:szCs w:val="24"/>
        </w:rPr>
      </w:pPr>
      <w:r w:rsidRPr="00961B74">
        <w:rPr>
          <w:rFonts w:ascii="Times New Roman" w:hAnsi="Times New Roman" w:cs="Times New Roman"/>
          <w:sz w:val="24"/>
          <w:szCs w:val="24"/>
        </w:rPr>
        <w:t>Client account holders enjoy the convenience of obtaining immediate electronic securities transfer. No risks in handling certificates such as bad delivery, fake securities.</w:t>
      </w:r>
    </w:p>
    <w:p w14:paraId="44474F78" w14:textId="77777777" w:rsidR="00961B74" w:rsidRPr="00961B74" w:rsidRDefault="00961B74" w:rsidP="0088734C">
      <w:pPr>
        <w:spacing w:line="360" w:lineRule="auto"/>
        <w:rPr>
          <w:rFonts w:ascii="Times New Roman" w:hAnsi="Times New Roman" w:cs="Times New Roman"/>
          <w:sz w:val="24"/>
          <w:szCs w:val="24"/>
        </w:rPr>
      </w:pPr>
      <w:r w:rsidRPr="00961B74">
        <w:rPr>
          <w:rFonts w:ascii="Times New Roman" w:hAnsi="Times New Roman" w:cs="Times New Roman"/>
          <w:sz w:val="24"/>
          <w:szCs w:val="24"/>
        </w:rPr>
        <w:t>Reduction of paper work for all concerned. Lower costs for investors and listed companies. Convert physical share certificates into electronic form (Dematerialization)</w:t>
      </w:r>
    </w:p>
    <w:p w14:paraId="7EC08249" w14:textId="77777777" w:rsidR="00961B74" w:rsidRPr="00961B74" w:rsidRDefault="00961B74" w:rsidP="0088734C">
      <w:pPr>
        <w:spacing w:line="360" w:lineRule="auto"/>
        <w:rPr>
          <w:rFonts w:ascii="Times New Roman" w:hAnsi="Times New Roman" w:cs="Times New Roman"/>
          <w:sz w:val="24"/>
          <w:szCs w:val="24"/>
        </w:rPr>
      </w:pPr>
      <w:r w:rsidRPr="00961B74">
        <w:rPr>
          <w:rFonts w:ascii="Times New Roman" w:hAnsi="Times New Roman" w:cs="Times New Roman"/>
          <w:sz w:val="24"/>
          <w:szCs w:val="24"/>
        </w:rPr>
        <w:t>Convert the securities held electronically into physical form (Rematerialisation)</w:t>
      </w:r>
    </w:p>
    <w:p w14:paraId="3A53269A" w14:textId="77777777" w:rsidR="00961B74" w:rsidRPr="00961B74" w:rsidRDefault="00961B74" w:rsidP="0088734C">
      <w:pPr>
        <w:spacing w:line="360" w:lineRule="auto"/>
        <w:rPr>
          <w:rFonts w:ascii="Times New Roman" w:hAnsi="Times New Roman" w:cs="Times New Roman"/>
          <w:sz w:val="24"/>
          <w:szCs w:val="24"/>
        </w:rPr>
      </w:pPr>
      <w:r w:rsidRPr="00961B74">
        <w:rPr>
          <w:rFonts w:ascii="Times New Roman" w:hAnsi="Times New Roman" w:cs="Times New Roman"/>
          <w:sz w:val="24"/>
          <w:szCs w:val="24"/>
        </w:rPr>
        <w:lastRenderedPageBreak/>
        <w:t>Facilitating the post trade settlement of all secondary market transactions conducted through the CSE.Direct credit to client accounts of shares arising out of new share issues, rights issues share splits, mergers and consolidation Account maintenance service for address changes , dividend disposal instructions etc Transmission and Nomination facility.</w:t>
      </w:r>
    </w:p>
    <w:p w14:paraId="22FCB3FE" w14:textId="77777777" w:rsidR="00B30DB4" w:rsidRPr="00B30DB4" w:rsidRDefault="00B30DB4" w:rsidP="00B30DB4">
      <w:pPr>
        <w:spacing w:line="360" w:lineRule="auto"/>
        <w:rPr>
          <w:rFonts w:ascii="Times New Roman" w:hAnsi="Times New Roman" w:cs="Times New Roman"/>
          <w:b/>
          <w:sz w:val="28"/>
          <w:szCs w:val="28"/>
        </w:rPr>
      </w:pPr>
      <w:r w:rsidRPr="00B30DB4">
        <w:rPr>
          <w:rFonts w:ascii="Times New Roman" w:hAnsi="Times New Roman" w:cs="Times New Roman"/>
          <w:b/>
          <w:sz w:val="28"/>
          <w:szCs w:val="28"/>
        </w:rPr>
        <w:t>REFERENCES</w:t>
      </w:r>
    </w:p>
    <w:p w14:paraId="5391ED24" w14:textId="77777777" w:rsidR="00330DBB" w:rsidRPr="0027408D" w:rsidRDefault="00330DBB" w:rsidP="00330DBB">
      <w:pPr>
        <w:pStyle w:val="ListParagraph"/>
        <w:numPr>
          <w:ilvl w:val="0"/>
          <w:numId w:val="23"/>
        </w:numPr>
        <w:spacing w:after="0" w:line="360" w:lineRule="auto"/>
        <w:rPr>
          <w:rFonts w:ascii="Times New Roman" w:hAnsi="Times New Roman" w:cs="Times New Roman"/>
          <w:sz w:val="24"/>
          <w:szCs w:val="24"/>
        </w:rPr>
      </w:pPr>
      <w:r w:rsidRPr="0027408D">
        <w:rPr>
          <w:rFonts w:ascii="Times New Roman" w:hAnsi="Times New Roman" w:cs="Times New Roman"/>
          <w:sz w:val="24"/>
          <w:szCs w:val="24"/>
        </w:rPr>
        <w:t>www.hdfc.com</w:t>
      </w:r>
    </w:p>
    <w:p w14:paraId="20435E10" w14:textId="77777777" w:rsidR="00330DBB" w:rsidRPr="0027408D" w:rsidRDefault="00330DBB" w:rsidP="00330DBB">
      <w:pPr>
        <w:pStyle w:val="ListParagraph"/>
        <w:numPr>
          <w:ilvl w:val="0"/>
          <w:numId w:val="23"/>
        </w:numPr>
        <w:spacing w:after="0" w:line="360" w:lineRule="auto"/>
        <w:rPr>
          <w:rFonts w:ascii="Times New Roman" w:hAnsi="Times New Roman" w:cs="Times New Roman"/>
          <w:sz w:val="24"/>
          <w:szCs w:val="24"/>
        </w:rPr>
      </w:pPr>
      <w:r w:rsidRPr="0027408D">
        <w:rPr>
          <w:rFonts w:ascii="Times New Roman" w:hAnsi="Times New Roman" w:cs="Times New Roman"/>
          <w:sz w:val="24"/>
          <w:szCs w:val="24"/>
        </w:rPr>
        <w:t>www.nseindia.org</w:t>
      </w:r>
    </w:p>
    <w:p w14:paraId="537C5970" w14:textId="77777777" w:rsidR="00330DBB" w:rsidRPr="0027408D" w:rsidRDefault="00330DBB" w:rsidP="00330DBB">
      <w:pPr>
        <w:pStyle w:val="ListParagraph"/>
        <w:numPr>
          <w:ilvl w:val="0"/>
          <w:numId w:val="23"/>
        </w:numPr>
        <w:spacing w:after="0" w:line="360" w:lineRule="auto"/>
        <w:rPr>
          <w:rFonts w:ascii="Times New Roman" w:hAnsi="Times New Roman" w:cs="Times New Roman"/>
          <w:sz w:val="24"/>
          <w:szCs w:val="24"/>
        </w:rPr>
      </w:pPr>
      <w:r w:rsidRPr="0027408D">
        <w:rPr>
          <w:rFonts w:ascii="Times New Roman" w:hAnsi="Times New Roman" w:cs="Times New Roman"/>
          <w:sz w:val="24"/>
          <w:szCs w:val="24"/>
        </w:rPr>
        <w:t>www.nsdl.com.in</w:t>
      </w:r>
    </w:p>
    <w:p w14:paraId="647FFE6B" w14:textId="77777777" w:rsidR="00330DBB" w:rsidRPr="0027408D" w:rsidRDefault="00330DBB" w:rsidP="00330DBB">
      <w:pPr>
        <w:pStyle w:val="ListParagraph"/>
        <w:numPr>
          <w:ilvl w:val="0"/>
          <w:numId w:val="23"/>
        </w:numPr>
        <w:spacing w:after="0" w:line="360" w:lineRule="auto"/>
        <w:rPr>
          <w:rFonts w:ascii="Times New Roman" w:hAnsi="Times New Roman" w:cs="Times New Roman"/>
          <w:sz w:val="24"/>
          <w:szCs w:val="24"/>
        </w:rPr>
      </w:pPr>
      <w:r w:rsidRPr="0027408D">
        <w:rPr>
          <w:rFonts w:ascii="Times New Roman" w:hAnsi="Times New Roman" w:cs="Times New Roman"/>
          <w:sz w:val="24"/>
          <w:szCs w:val="24"/>
        </w:rPr>
        <w:t>www.cdslindia.com</w:t>
      </w:r>
    </w:p>
    <w:p w14:paraId="1D503BD2" w14:textId="77777777" w:rsidR="00330DBB" w:rsidRPr="0027408D" w:rsidRDefault="00330DBB" w:rsidP="00330DBB">
      <w:pPr>
        <w:pStyle w:val="ListParagraph"/>
        <w:numPr>
          <w:ilvl w:val="0"/>
          <w:numId w:val="23"/>
        </w:numPr>
        <w:spacing w:after="0" w:line="360" w:lineRule="auto"/>
        <w:rPr>
          <w:rFonts w:ascii="Times New Roman" w:hAnsi="Times New Roman" w:cs="Times New Roman"/>
          <w:sz w:val="24"/>
          <w:szCs w:val="24"/>
        </w:rPr>
      </w:pPr>
      <w:r w:rsidRPr="0027408D">
        <w:rPr>
          <w:rFonts w:ascii="Times New Roman" w:hAnsi="Times New Roman" w:cs="Times New Roman"/>
          <w:sz w:val="24"/>
          <w:szCs w:val="24"/>
        </w:rPr>
        <w:t>www.sebi.gov.in</w:t>
      </w:r>
    </w:p>
    <w:p w14:paraId="2A139ED0" w14:textId="77777777" w:rsidR="00330DBB" w:rsidRPr="0027408D" w:rsidRDefault="00330DBB" w:rsidP="00330DBB">
      <w:pPr>
        <w:pStyle w:val="ListParagraph"/>
        <w:numPr>
          <w:ilvl w:val="0"/>
          <w:numId w:val="23"/>
        </w:numPr>
        <w:spacing w:after="0" w:line="360" w:lineRule="auto"/>
        <w:rPr>
          <w:rFonts w:ascii="Times New Roman" w:hAnsi="Times New Roman" w:cs="Times New Roman"/>
          <w:sz w:val="24"/>
          <w:szCs w:val="24"/>
        </w:rPr>
      </w:pPr>
      <w:r w:rsidRPr="0027408D">
        <w:rPr>
          <w:rFonts w:ascii="Times New Roman" w:hAnsi="Times New Roman" w:cs="Times New Roman"/>
          <w:sz w:val="24"/>
          <w:szCs w:val="24"/>
        </w:rPr>
        <w:t>www.bseindia.com</w:t>
      </w:r>
    </w:p>
    <w:p w14:paraId="4DC05BE4" w14:textId="77777777" w:rsidR="00330DBB" w:rsidRPr="0027408D" w:rsidRDefault="00330DBB" w:rsidP="00330DBB">
      <w:pPr>
        <w:pStyle w:val="ListParagraph"/>
        <w:numPr>
          <w:ilvl w:val="0"/>
          <w:numId w:val="23"/>
        </w:numPr>
        <w:spacing w:after="0" w:line="360" w:lineRule="auto"/>
        <w:rPr>
          <w:rFonts w:ascii="Times New Roman" w:hAnsi="Times New Roman" w:cs="Times New Roman"/>
          <w:sz w:val="24"/>
          <w:szCs w:val="24"/>
        </w:rPr>
      </w:pPr>
      <w:r w:rsidRPr="0027408D">
        <w:rPr>
          <w:rFonts w:ascii="Times New Roman" w:hAnsi="Times New Roman" w:cs="Times New Roman"/>
          <w:sz w:val="24"/>
          <w:szCs w:val="24"/>
        </w:rPr>
        <w:t>www.moneymonetary.com</w:t>
      </w:r>
    </w:p>
    <w:p w14:paraId="67921ADC" w14:textId="77777777" w:rsidR="00330DBB" w:rsidRPr="0027408D" w:rsidRDefault="00330DBB" w:rsidP="00330DBB">
      <w:pPr>
        <w:spacing w:after="0" w:line="360" w:lineRule="auto"/>
        <w:ind w:left="360"/>
        <w:rPr>
          <w:rFonts w:ascii="Times New Roman" w:hAnsi="Times New Roman" w:cs="Times New Roman"/>
          <w:sz w:val="24"/>
          <w:szCs w:val="24"/>
        </w:rPr>
      </w:pPr>
    </w:p>
    <w:p w14:paraId="6B1D4C60" w14:textId="77777777" w:rsidR="00B30DB4" w:rsidRPr="0027408D" w:rsidRDefault="00B30DB4" w:rsidP="00330DBB">
      <w:pPr>
        <w:spacing w:after="0" w:line="360" w:lineRule="auto"/>
        <w:ind w:left="360"/>
        <w:rPr>
          <w:sz w:val="24"/>
          <w:szCs w:val="24"/>
        </w:rPr>
      </w:pPr>
    </w:p>
    <w:sectPr w:rsidR="00B30DB4" w:rsidRPr="0027408D" w:rsidSect="00E31CE3">
      <w:footerReference w:type="default" r:id="rId1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386B5" w14:textId="77777777" w:rsidR="00BA093B" w:rsidRDefault="00BA093B" w:rsidP="00B10DEB">
      <w:pPr>
        <w:spacing w:after="0" w:line="240" w:lineRule="auto"/>
      </w:pPr>
      <w:r>
        <w:separator/>
      </w:r>
    </w:p>
  </w:endnote>
  <w:endnote w:type="continuationSeparator" w:id="0">
    <w:p w14:paraId="4DC76B35" w14:textId="77777777" w:rsidR="00BA093B" w:rsidRDefault="00BA093B" w:rsidP="00B1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BE853" w14:textId="77777777" w:rsidR="00A73886" w:rsidRDefault="00000000">
    <w:pPr>
      <w:pStyle w:val="BodyText"/>
      <w:spacing w:line="14" w:lineRule="auto"/>
      <w:rPr>
        <w:sz w:val="20"/>
      </w:rPr>
    </w:pPr>
    <w:r>
      <w:rPr>
        <w:sz w:val="24"/>
      </w:rPr>
      <w:pict w14:anchorId="097C1884">
        <v:shapetype id="_x0000_t202" coordsize="21600,21600" o:spt="202" path="m,l,21600r21600,l21600,xe">
          <v:stroke joinstyle="miter"/>
          <v:path gradientshapeok="t" o:connecttype="rect"/>
        </v:shapetype>
        <v:shape id="_x0000_s1025" type="#_x0000_t202" style="position:absolute;margin-left:296.05pt;margin-top:786.65pt;width:22.8pt;height:13pt;z-index:-251658752;mso-position-horizontal-relative:page;mso-position-vertical-relative:page" filled="f" stroked="f">
          <v:textbox style="mso-next-textbox:#_x0000_s1025" inset="0,0,0,0">
            <w:txbxContent>
              <w:p w14:paraId="1790D3D5" w14:textId="77777777" w:rsidR="00A73886" w:rsidRDefault="00241476">
                <w:pPr>
                  <w:spacing w:line="244" w:lineRule="exact"/>
                  <w:ind w:left="60"/>
                  <w:rPr>
                    <w:rFonts w:ascii="Calibri"/>
                  </w:rPr>
                </w:pPr>
                <w:r>
                  <w:fldChar w:fldCharType="begin"/>
                </w:r>
                <w:r w:rsidR="001F35D6">
                  <w:rPr>
                    <w:rFonts w:ascii="Calibri"/>
                  </w:rPr>
                  <w:instrText xml:space="preserve"> PAGE </w:instrText>
                </w:r>
                <w:r>
                  <w:fldChar w:fldCharType="separate"/>
                </w:r>
                <w:r w:rsidR="0027408D">
                  <w:rPr>
                    <w:rFonts w:ascii="Calibri"/>
                    <w:noProof/>
                  </w:rPr>
                  <w:t>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C1503" w14:textId="77777777" w:rsidR="00BA093B" w:rsidRDefault="00BA093B" w:rsidP="00B10DEB">
      <w:pPr>
        <w:spacing w:after="0" w:line="240" w:lineRule="auto"/>
      </w:pPr>
      <w:r>
        <w:separator/>
      </w:r>
    </w:p>
  </w:footnote>
  <w:footnote w:type="continuationSeparator" w:id="0">
    <w:p w14:paraId="3C151BDC" w14:textId="77777777" w:rsidR="00BA093B" w:rsidRDefault="00BA093B" w:rsidP="00B10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E7C43"/>
    <w:multiLevelType w:val="hybridMultilevel"/>
    <w:tmpl w:val="E01A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86512"/>
    <w:multiLevelType w:val="hybridMultilevel"/>
    <w:tmpl w:val="3626B96E"/>
    <w:lvl w:ilvl="0" w:tplc="D8BE812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E2BC4"/>
    <w:multiLevelType w:val="hybridMultilevel"/>
    <w:tmpl w:val="52F4DD58"/>
    <w:lvl w:ilvl="0" w:tplc="78BA03C6">
      <w:start w:val="1"/>
      <w:numFmt w:val="bullet"/>
      <w:lvlText w:val=""/>
      <w:lvlJc w:val="left"/>
      <w:pPr>
        <w:tabs>
          <w:tab w:val="num" w:pos="1560"/>
        </w:tabs>
        <w:ind w:left="15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36252F"/>
    <w:multiLevelType w:val="hybridMultilevel"/>
    <w:tmpl w:val="8D1836CE"/>
    <w:lvl w:ilvl="0" w:tplc="EA601618">
      <w:start w:val="1"/>
      <w:numFmt w:val="decimal"/>
      <w:lvlText w:val="%1."/>
      <w:lvlJc w:val="left"/>
      <w:pPr>
        <w:ind w:left="1060" w:hanging="240"/>
      </w:pPr>
      <w:rPr>
        <w:rFonts w:ascii="Times New Roman" w:eastAsia="Times New Roman" w:hAnsi="Times New Roman" w:cs="Times New Roman" w:hint="default"/>
        <w:w w:val="100"/>
        <w:sz w:val="24"/>
        <w:szCs w:val="24"/>
        <w:lang w:val="en-US" w:eastAsia="en-US" w:bidi="ar-SA"/>
      </w:rPr>
    </w:lvl>
    <w:lvl w:ilvl="1" w:tplc="0106A79A">
      <w:numFmt w:val="bullet"/>
      <w:lvlText w:val="•"/>
      <w:lvlJc w:val="left"/>
      <w:pPr>
        <w:ind w:left="1986" w:hanging="240"/>
      </w:pPr>
      <w:rPr>
        <w:rFonts w:hint="default"/>
        <w:lang w:val="en-US" w:eastAsia="en-US" w:bidi="ar-SA"/>
      </w:rPr>
    </w:lvl>
    <w:lvl w:ilvl="2" w:tplc="65D2C12C">
      <w:numFmt w:val="bullet"/>
      <w:lvlText w:val="•"/>
      <w:lvlJc w:val="left"/>
      <w:pPr>
        <w:ind w:left="2912" w:hanging="240"/>
      </w:pPr>
      <w:rPr>
        <w:rFonts w:hint="default"/>
        <w:lang w:val="en-US" w:eastAsia="en-US" w:bidi="ar-SA"/>
      </w:rPr>
    </w:lvl>
    <w:lvl w:ilvl="3" w:tplc="5B84489C">
      <w:numFmt w:val="bullet"/>
      <w:lvlText w:val="•"/>
      <w:lvlJc w:val="left"/>
      <w:pPr>
        <w:ind w:left="3838" w:hanging="240"/>
      </w:pPr>
      <w:rPr>
        <w:rFonts w:hint="default"/>
        <w:lang w:val="en-US" w:eastAsia="en-US" w:bidi="ar-SA"/>
      </w:rPr>
    </w:lvl>
    <w:lvl w:ilvl="4" w:tplc="D994BEEC">
      <w:numFmt w:val="bullet"/>
      <w:lvlText w:val="•"/>
      <w:lvlJc w:val="left"/>
      <w:pPr>
        <w:ind w:left="4764" w:hanging="240"/>
      </w:pPr>
      <w:rPr>
        <w:rFonts w:hint="default"/>
        <w:lang w:val="en-US" w:eastAsia="en-US" w:bidi="ar-SA"/>
      </w:rPr>
    </w:lvl>
    <w:lvl w:ilvl="5" w:tplc="000AEC3A">
      <w:numFmt w:val="bullet"/>
      <w:lvlText w:val="•"/>
      <w:lvlJc w:val="left"/>
      <w:pPr>
        <w:ind w:left="5690" w:hanging="240"/>
      </w:pPr>
      <w:rPr>
        <w:rFonts w:hint="default"/>
        <w:lang w:val="en-US" w:eastAsia="en-US" w:bidi="ar-SA"/>
      </w:rPr>
    </w:lvl>
    <w:lvl w:ilvl="6" w:tplc="FCA28824">
      <w:numFmt w:val="bullet"/>
      <w:lvlText w:val="•"/>
      <w:lvlJc w:val="left"/>
      <w:pPr>
        <w:ind w:left="6616" w:hanging="240"/>
      </w:pPr>
      <w:rPr>
        <w:rFonts w:hint="default"/>
        <w:lang w:val="en-US" w:eastAsia="en-US" w:bidi="ar-SA"/>
      </w:rPr>
    </w:lvl>
    <w:lvl w:ilvl="7" w:tplc="71241652">
      <w:numFmt w:val="bullet"/>
      <w:lvlText w:val="•"/>
      <w:lvlJc w:val="left"/>
      <w:pPr>
        <w:ind w:left="7542" w:hanging="240"/>
      </w:pPr>
      <w:rPr>
        <w:rFonts w:hint="default"/>
        <w:lang w:val="en-US" w:eastAsia="en-US" w:bidi="ar-SA"/>
      </w:rPr>
    </w:lvl>
    <w:lvl w:ilvl="8" w:tplc="B7826E48">
      <w:numFmt w:val="bullet"/>
      <w:lvlText w:val="•"/>
      <w:lvlJc w:val="left"/>
      <w:pPr>
        <w:ind w:left="8468" w:hanging="240"/>
      </w:pPr>
      <w:rPr>
        <w:rFonts w:hint="default"/>
        <w:lang w:val="en-US" w:eastAsia="en-US" w:bidi="ar-SA"/>
      </w:rPr>
    </w:lvl>
  </w:abstractNum>
  <w:abstractNum w:abstractNumId="4" w15:restartNumberingAfterBreak="0">
    <w:nsid w:val="17C8067B"/>
    <w:multiLevelType w:val="hybridMultilevel"/>
    <w:tmpl w:val="A4EEC17A"/>
    <w:lvl w:ilvl="0" w:tplc="10281CA4">
      <w:numFmt w:val="bullet"/>
      <w:lvlText w:val="⚫"/>
      <w:lvlJc w:val="left"/>
      <w:pPr>
        <w:ind w:left="1541" w:hanging="360"/>
      </w:pPr>
      <w:rPr>
        <w:rFonts w:ascii="Segoe UI Symbol" w:eastAsia="Segoe UI Symbol" w:hAnsi="Segoe UI Symbol" w:cs="Segoe UI Symbol" w:hint="default"/>
        <w:w w:val="55"/>
        <w:sz w:val="24"/>
        <w:szCs w:val="24"/>
        <w:lang w:val="en-US" w:eastAsia="en-US" w:bidi="ar-SA"/>
      </w:rPr>
    </w:lvl>
    <w:lvl w:ilvl="1" w:tplc="25AE0AD2">
      <w:numFmt w:val="bullet"/>
      <w:lvlText w:val="•"/>
      <w:lvlJc w:val="left"/>
      <w:pPr>
        <w:ind w:left="2418" w:hanging="360"/>
      </w:pPr>
      <w:rPr>
        <w:rFonts w:hint="default"/>
        <w:lang w:val="en-US" w:eastAsia="en-US" w:bidi="ar-SA"/>
      </w:rPr>
    </w:lvl>
    <w:lvl w:ilvl="2" w:tplc="6FF6A19A">
      <w:numFmt w:val="bullet"/>
      <w:lvlText w:val="•"/>
      <w:lvlJc w:val="left"/>
      <w:pPr>
        <w:ind w:left="3296" w:hanging="360"/>
      </w:pPr>
      <w:rPr>
        <w:rFonts w:hint="default"/>
        <w:lang w:val="en-US" w:eastAsia="en-US" w:bidi="ar-SA"/>
      </w:rPr>
    </w:lvl>
    <w:lvl w:ilvl="3" w:tplc="3340AA48">
      <w:numFmt w:val="bullet"/>
      <w:lvlText w:val="•"/>
      <w:lvlJc w:val="left"/>
      <w:pPr>
        <w:ind w:left="4174" w:hanging="360"/>
      </w:pPr>
      <w:rPr>
        <w:rFonts w:hint="default"/>
        <w:lang w:val="en-US" w:eastAsia="en-US" w:bidi="ar-SA"/>
      </w:rPr>
    </w:lvl>
    <w:lvl w:ilvl="4" w:tplc="23A862F4">
      <w:numFmt w:val="bullet"/>
      <w:lvlText w:val="•"/>
      <w:lvlJc w:val="left"/>
      <w:pPr>
        <w:ind w:left="5052" w:hanging="360"/>
      </w:pPr>
      <w:rPr>
        <w:rFonts w:hint="default"/>
        <w:lang w:val="en-US" w:eastAsia="en-US" w:bidi="ar-SA"/>
      </w:rPr>
    </w:lvl>
    <w:lvl w:ilvl="5" w:tplc="C9882300">
      <w:numFmt w:val="bullet"/>
      <w:lvlText w:val="•"/>
      <w:lvlJc w:val="left"/>
      <w:pPr>
        <w:ind w:left="5930" w:hanging="360"/>
      </w:pPr>
      <w:rPr>
        <w:rFonts w:hint="default"/>
        <w:lang w:val="en-US" w:eastAsia="en-US" w:bidi="ar-SA"/>
      </w:rPr>
    </w:lvl>
    <w:lvl w:ilvl="6" w:tplc="35008936">
      <w:numFmt w:val="bullet"/>
      <w:lvlText w:val="•"/>
      <w:lvlJc w:val="left"/>
      <w:pPr>
        <w:ind w:left="6808" w:hanging="360"/>
      </w:pPr>
      <w:rPr>
        <w:rFonts w:hint="default"/>
        <w:lang w:val="en-US" w:eastAsia="en-US" w:bidi="ar-SA"/>
      </w:rPr>
    </w:lvl>
    <w:lvl w:ilvl="7" w:tplc="4BEAAA16">
      <w:numFmt w:val="bullet"/>
      <w:lvlText w:val="•"/>
      <w:lvlJc w:val="left"/>
      <w:pPr>
        <w:ind w:left="7686" w:hanging="360"/>
      </w:pPr>
      <w:rPr>
        <w:rFonts w:hint="default"/>
        <w:lang w:val="en-US" w:eastAsia="en-US" w:bidi="ar-SA"/>
      </w:rPr>
    </w:lvl>
    <w:lvl w:ilvl="8" w:tplc="B0C8552E">
      <w:numFmt w:val="bullet"/>
      <w:lvlText w:val="•"/>
      <w:lvlJc w:val="left"/>
      <w:pPr>
        <w:ind w:left="8564" w:hanging="360"/>
      </w:pPr>
      <w:rPr>
        <w:rFonts w:hint="default"/>
        <w:lang w:val="en-US" w:eastAsia="en-US" w:bidi="ar-SA"/>
      </w:rPr>
    </w:lvl>
  </w:abstractNum>
  <w:abstractNum w:abstractNumId="5" w15:restartNumberingAfterBreak="0">
    <w:nsid w:val="17EC7308"/>
    <w:multiLevelType w:val="hybridMultilevel"/>
    <w:tmpl w:val="89EC9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660FD6"/>
    <w:multiLevelType w:val="hybridMultilevel"/>
    <w:tmpl w:val="4BDE07FC"/>
    <w:lvl w:ilvl="0" w:tplc="A830A4F2">
      <w:start w:val="1"/>
      <w:numFmt w:val="decimal"/>
      <w:lvlText w:val="%1."/>
      <w:lvlJc w:val="left"/>
      <w:pPr>
        <w:ind w:left="1060" w:hanging="240"/>
      </w:pPr>
      <w:rPr>
        <w:rFonts w:ascii="Times New Roman" w:eastAsia="Times New Roman" w:hAnsi="Times New Roman" w:cs="Times New Roman" w:hint="default"/>
        <w:b/>
        <w:bCs/>
        <w:w w:val="100"/>
        <w:sz w:val="24"/>
        <w:szCs w:val="24"/>
        <w:lang w:val="en-US" w:eastAsia="en-US" w:bidi="ar-SA"/>
      </w:rPr>
    </w:lvl>
    <w:lvl w:ilvl="1" w:tplc="7FD6AFC2">
      <w:numFmt w:val="bullet"/>
      <w:lvlText w:val=""/>
      <w:lvlJc w:val="left"/>
      <w:pPr>
        <w:ind w:left="1541" w:hanging="360"/>
      </w:pPr>
      <w:rPr>
        <w:rFonts w:ascii="Wingdings" w:eastAsia="Wingdings" w:hAnsi="Wingdings" w:cs="Wingdings" w:hint="default"/>
        <w:w w:val="100"/>
        <w:sz w:val="24"/>
        <w:szCs w:val="24"/>
        <w:lang w:val="en-US" w:eastAsia="en-US" w:bidi="ar-SA"/>
      </w:rPr>
    </w:lvl>
    <w:lvl w:ilvl="2" w:tplc="47E212BE">
      <w:numFmt w:val="bullet"/>
      <w:lvlText w:val="•"/>
      <w:lvlJc w:val="left"/>
      <w:pPr>
        <w:ind w:left="2515" w:hanging="360"/>
      </w:pPr>
      <w:rPr>
        <w:rFonts w:hint="default"/>
        <w:lang w:val="en-US" w:eastAsia="en-US" w:bidi="ar-SA"/>
      </w:rPr>
    </w:lvl>
    <w:lvl w:ilvl="3" w:tplc="413600F4">
      <w:numFmt w:val="bullet"/>
      <w:lvlText w:val="•"/>
      <w:lvlJc w:val="left"/>
      <w:pPr>
        <w:ind w:left="3491" w:hanging="360"/>
      </w:pPr>
      <w:rPr>
        <w:rFonts w:hint="default"/>
        <w:lang w:val="en-US" w:eastAsia="en-US" w:bidi="ar-SA"/>
      </w:rPr>
    </w:lvl>
    <w:lvl w:ilvl="4" w:tplc="F36C19A8">
      <w:numFmt w:val="bullet"/>
      <w:lvlText w:val="•"/>
      <w:lvlJc w:val="left"/>
      <w:pPr>
        <w:ind w:left="4466" w:hanging="360"/>
      </w:pPr>
      <w:rPr>
        <w:rFonts w:hint="default"/>
        <w:lang w:val="en-US" w:eastAsia="en-US" w:bidi="ar-SA"/>
      </w:rPr>
    </w:lvl>
    <w:lvl w:ilvl="5" w:tplc="B6600FA0">
      <w:numFmt w:val="bullet"/>
      <w:lvlText w:val="•"/>
      <w:lvlJc w:val="left"/>
      <w:pPr>
        <w:ind w:left="5442" w:hanging="360"/>
      </w:pPr>
      <w:rPr>
        <w:rFonts w:hint="default"/>
        <w:lang w:val="en-US" w:eastAsia="en-US" w:bidi="ar-SA"/>
      </w:rPr>
    </w:lvl>
    <w:lvl w:ilvl="6" w:tplc="D2522E5A">
      <w:numFmt w:val="bullet"/>
      <w:lvlText w:val="•"/>
      <w:lvlJc w:val="left"/>
      <w:pPr>
        <w:ind w:left="6417" w:hanging="360"/>
      </w:pPr>
      <w:rPr>
        <w:rFonts w:hint="default"/>
        <w:lang w:val="en-US" w:eastAsia="en-US" w:bidi="ar-SA"/>
      </w:rPr>
    </w:lvl>
    <w:lvl w:ilvl="7" w:tplc="A66868C0">
      <w:numFmt w:val="bullet"/>
      <w:lvlText w:val="•"/>
      <w:lvlJc w:val="left"/>
      <w:pPr>
        <w:ind w:left="7393" w:hanging="360"/>
      </w:pPr>
      <w:rPr>
        <w:rFonts w:hint="default"/>
        <w:lang w:val="en-US" w:eastAsia="en-US" w:bidi="ar-SA"/>
      </w:rPr>
    </w:lvl>
    <w:lvl w:ilvl="8" w:tplc="1B46C39E">
      <w:numFmt w:val="bullet"/>
      <w:lvlText w:val="•"/>
      <w:lvlJc w:val="left"/>
      <w:pPr>
        <w:ind w:left="8368" w:hanging="360"/>
      </w:pPr>
      <w:rPr>
        <w:rFonts w:hint="default"/>
        <w:lang w:val="en-US" w:eastAsia="en-US" w:bidi="ar-SA"/>
      </w:rPr>
    </w:lvl>
  </w:abstractNum>
  <w:abstractNum w:abstractNumId="7" w15:restartNumberingAfterBreak="0">
    <w:nsid w:val="197A12DE"/>
    <w:multiLevelType w:val="hybridMultilevel"/>
    <w:tmpl w:val="E0FCCD2C"/>
    <w:lvl w:ilvl="0" w:tplc="A79A69F4">
      <w:numFmt w:val="bullet"/>
      <w:lvlText w:val=""/>
      <w:lvlJc w:val="left"/>
      <w:pPr>
        <w:ind w:left="820" w:hanging="172"/>
      </w:pPr>
      <w:rPr>
        <w:rFonts w:ascii="Symbol" w:eastAsia="Symbol" w:hAnsi="Symbol" w:cs="Symbol" w:hint="default"/>
        <w:w w:val="100"/>
        <w:sz w:val="24"/>
        <w:szCs w:val="24"/>
        <w:lang w:val="en-US" w:eastAsia="en-US" w:bidi="ar-SA"/>
      </w:rPr>
    </w:lvl>
    <w:lvl w:ilvl="1" w:tplc="14EC25E6">
      <w:numFmt w:val="bullet"/>
      <w:lvlText w:val=""/>
      <w:lvlJc w:val="left"/>
      <w:pPr>
        <w:ind w:left="1541" w:hanging="360"/>
      </w:pPr>
      <w:rPr>
        <w:rFonts w:ascii="Wingdings" w:eastAsia="Wingdings" w:hAnsi="Wingdings" w:cs="Wingdings" w:hint="default"/>
        <w:w w:val="100"/>
        <w:sz w:val="24"/>
        <w:szCs w:val="24"/>
        <w:lang w:val="en-US" w:eastAsia="en-US" w:bidi="ar-SA"/>
      </w:rPr>
    </w:lvl>
    <w:lvl w:ilvl="2" w:tplc="3C3AE722">
      <w:numFmt w:val="bullet"/>
      <w:lvlText w:val="•"/>
      <w:lvlJc w:val="left"/>
      <w:pPr>
        <w:ind w:left="2515" w:hanging="360"/>
      </w:pPr>
      <w:rPr>
        <w:rFonts w:hint="default"/>
        <w:lang w:val="en-US" w:eastAsia="en-US" w:bidi="ar-SA"/>
      </w:rPr>
    </w:lvl>
    <w:lvl w:ilvl="3" w:tplc="B07C0534">
      <w:numFmt w:val="bullet"/>
      <w:lvlText w:val="•"/>
      <w:lvlJc w:val="left"/>
      <w:pPr>
        <w:ind w:left="3491" w:hanging="360"/>
      </w:pPr>
      <w:rPr>
        <w:rFonts w:hint="default"/>
        <w:lang w:val="en-US" w:eastAsia="en-US" w:bidi="ar-SA"/>
      </w:rPr>
    </w:lvl>
    <w:lvl w:ilvl="4" w:tplc="F32C8102">
      <w:numFmt w:val="bullet"/>
      <w:lvlText w:val="•"/>
      <w:lvlJc w:val="left"/>
      <w:pPr>
        <w:ind w:left="4466" w:hanging="360"/>
      </w:pPr>
      <w:rPr>
        <w:rFonts w:hint="default"/>
        <w:lang w:val="en-US" w:eastAsia="en-US" w:bidi="ar-SA"/>
      </w:rPr>
    </w:lvl>
    <w:lvl w:ilvl="5" w:tplc="99F867EC">
      <w:numFmt w:val="bullet"/>
      <w:lvlText w:val="•"/>
      <w:lvlJc w:val="left"/>
      <w:pPr>
        <w:ind w:left="5442" w:hanging="360"/>
      </w:pPr>
      <w:rPr>
        <w:rFonts w:hint="default"/>
        <w:lang w:val="en-US" w:eastAsia="en-US" w:bidi="ar-SA"/>
      </w:rPr>
    </w:lvl>
    <w:lvl w:ilvl="6" w:tplc="1F6E1C72">
      <w:numFmt w:val="bullet"/>
      <w:lvlText w:val="•"/>
      <w:lvlJc w:val="left"/>
      <w:pPr>
        <w:ind w:left="6417" w:hanging="360"/>
      </w:pPr>
      <w:rPr>
        <w:rFonts w:hint="default"/>
        <w:lang w:val="en-US" w:eastAsia="en-US" w:bidi="ar-SA"/>
      </w:rPr>
    </w:lvl>
    <w:lvl w:ilvl="7" w:tplc="BA98DAFE">
      <w:numFmt w:val="bullet"/>
      <w:lvlText w:val="•"/>
      <w:lvlJc w:val="left"/>
      <w:pPr>
        <w:ind w:left="7393" w:hanging="360"/>
      </w:pPr>
      <w:rPr>
        <w:rFonts w:hint="default"/>
        <w:lang w:val="en-US" w:eastAsia="en-US" w:bidi="ar-SA"/>
      </w:rPr>
    </w:lvl>
    <w:lvl w:ilvl="8" w:tplc="D96492A4">
      <w:numFmt w:val="bullet"/>
      <w:lvlText w:val="•"/>
      <w:lvlJc w:val="left"/>
      <w:pPr>
        <w:ind w:left="8368" w:hanging="360"/>
      </w:pPr>
      <w:rPr>
        <w:rFonts w:hint="default"/>
        <w:lang w:val="en-US" w:eastAsia="en-US" w:bidi="ar-SA"/>
      </w:rPr>
    </w:lvl>
  </w:abstractNum>
  <w:abstractNum w:abstractNumId="8" w15:restartNumberingAfterBreak="0">
    <w:nsid w:val="1F717AD4"/>
    <w:multiLevelType w:val="multilevel"/>
    <w:tmpl w:val="BF5E00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811284"/>
    <w:multiLevelType w:val="hybridMultilevel"/>
    <w:tmpl w:val="2EB42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D61AB"/>
    <w:multiLevelType w:val="hybridMultilevel"/>
    <w:tmpl w:val="6CD6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775CA2"/>
    <w:multiLevelType w:val="hybridMultilevel"/>
    <w:tmpl w:val="DB68D300"/>
    <w:lvl w:ilvl="0" w:tplc="08090001">
      <w:start w:val="1"/>
      <w:numFmt w:val="bullet"/>
      <w:lvlText w:val=""/>
      <w:lvlJc w:val="left"/>
      <w:pPr>
        <w:tabs>
          <w:tab w:val="num" w:pos="502"/>
        </w:tabs>
        <w:ind w:left="502" w:hanging="360"/>
      </w:pPr>
      <w:rPr>
        <w:rFonts w:ascii="Symbol" w:hAnsi="Symbol" w:hint="default"/>
      </w:rPr>
    </w:lvl>
    <w:lvl w:ilvl="1" w:tplc="3148F29A" w:tentative="1">
      <w:start w:val="1"/>
      <w:numFmt w:val="bullet"/>
      <w:lvlText w:val=""/>
      <w:lvlJc w:val="left"/>
      <w:pPr>
        <w:tabs>
          <w:tab w:val="num" w:pos="1222"/>
        </w:tabs>
        <w:ind w:left="1222" w:hanging="360"/>
      </w:pPr>
      <w:rPr>
        <w:rFonts w:ascii="Wingdings" w:hAnsi="Wingdings" w:hint="default"/>
      </w:rPr>
    </w:lvl>
    <w:lvl w:ilvl="2" w:tplc="8686457C" w:tentative="1">
      <w:start w:val="1"/>
      <w:numFmt w:val="bullet"/>
      <w:lvlText w:val=""/>
      <w:lvlJc w:val="left"/>
      <w:pPr>
        <w:tabs>
          <w:tab w:val="num" w:pos="1942"/>
        </w:tabs>
        <w:ind w:left="1942" w:hanging="360"/>
      </w:pPr>
      <w:rPr>
        <w:rFonts w:ascii="Wingdings" w:hAnsi="Wingdings" w:hint="default"/>
      </w:rPr>
    </w:lvl>
    <w:lvl w:ilvl="3" w:tplc="10586560" w:tentative="1">
      <w:start w:val="1"/>
      <w:numFmt w:val="bullet"/>
      <w:lvlText w:val=""/>
      <w:lvlJc w:val="left"/>
      <w:pPr>
        <w:tabs>
          <w:tab w:val="num" w:pos="2662"/>
        </w:tabs>
        <w:ind w:left="2662" w:hanging="360"/>
      </w:pPr>
      <w:rPr>
        <w:rFonts w:ascii="Wingdings" w:hAnsi="Wingdings" w:hint="default"/>
      </w:rPr>
    </w:lvl>
    <w:lvl w:ilvl="4" w:tplc="8744C4D6" w:tentative="1">
      <w:start w:val="1"/>
      <w:numFmt w:val="bullet"/>
      <w:lvlText w:val=""/>
      <w:lvlJc w:val="left"/>
      <w:pPr>
        <w:tabs>
          <w:tab w:val="num" w:pos="3382"/>
        </w:tabs>
        <w:ind w:left="3382" w:hanging="360"/>
      </w:pPr>
      <w:rPr>
        <w:rFonts w:ascii="Wingdings" w:hAnsi="Wingdings" w:hint="default"/>
      </w:rPr>
    </w:lvl>
    <w:lvl w:ilvl="5" w:tplc="FD3C8276" w:tentative="1">
      <w:start w:val="1"/>
      <w:numFmt w:val="bullet"/>
      <w:lvlText w:val=""/>
      <w:lvlJc w:val="left"/>
      <w:pPr>
        <w:tabs>
          <w:tab w:val="num" w:pos="4102"/>
        </w:tabs>
        <w:ind w:left="4102" w:hanging="360"/>
      </w:pPr>
      <w:rPr>
        <w:rFonts w:ascii="Wingdings" w:hAnsi="Wingdings" w:hint="default"/>
      </w:rPr>
    </w:lvl>
    <w:lvl w:ilvl="6" w:tplc="46C20584" w:tentative="1">
      <w:start w:val="1"/>
      <w:numFmt w:val="bullet"/>
      <w:lvlText w:val=""/>
      <w:lvlJc w:val="left"/>
      <w:pPr>
        <w:tabs>
          <w:tab w:val="num" w:pos="4822"/>
        </w:tabs>
        <w:ind w:left="4822" w:hanging="360"/>
      </w:pPr>
      <w:rPr>
        <w:rFonts w:ascii="Wingdings" w:hAnsi="Wingdings" w:hint="default"/>
      </w:rPr>
    </w:lvl>
    <w:lvl w:ilvl="7" w:tplc="D62E41FA" w:tentative="1">
      <w:start w:val="1"/>
      <w:numFmt w:val="bullet"/>
      <w:lvlText w:val=""/>
      <w:lvlJc w:val="left"/>
      <w:pPr>
        <w:tabs>
          <w:tab w:val="num" w:pos="5542"/>
        </w:tabs>
        <w:ind w:left="5542" w:hanging="360"/>
      </w:pPr>
      <w:rPr>
        <w:rFonts w:ascii="Wingdings" w:hAnsi="Wingdings" w:hint="default"/>
      </w:rPr>
    </w:lvl>
    <w:lvl w:ilvl="8" w:tplc="7AF806B6" w:tentative="1">
      <w:start w:val="1"/>
      <w:numFmt w:val="bullet"/>
      <w:lvlText w:val=""/>
      <w:lvlJc w:val="left"/>
      <w:pPr>
        <w:tabs>
          <w:tab w:val="num" w:pos="6262"/>
        </w:tabs>
        <w:ind w:left="6262" w:hanging="360"/>
      </w:pPr>
      <w:rPr>
        <w:rFonts w:ascii="Wingdings" w:hAnsi="Wingdings" w:hint="default"/>
      </w:rPr>
    </w:lvl>
  </w:abstractNum>
  <w:abstractNum w:abstractNumId="12" w15:restartNumberingAfterBreak="0">
    <w:nsid w:val="32260BB3"/>
    <w:multiLevelType w:val="hybridMultilevel"/>
    <w:tmpl w:val="A83A4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2A628A"/>
    <w:multiLevelType w:val="hybridMultilevel"/>
    <w:tmpl w:val="34C28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32A6024"/>
    <w:multiLevelType w:val="hybridMultilevel"/>
    <w:tmpl w:val="12E89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284EFB"/>
    <w:multiLevelType w:val="multilevel"/>
    <w:tmpl w:val="824630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C46652B"/>
    <w:multiLevelType w:val="hybridMultilevel"/>
    <w:tmpl w:val="FC529E16"/>
    <w:lvl w:ilvl="0" w:tplc="D8BE812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4741E7"/>
    <w:multiLevelType w:val="hybridMultilevel"/>
    <w:tmpl w:val="027A55EE"/>
    <w:lvl w:ilvl="0" w:tplc="D834CC8E">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58F1FB4"/>
    <w:multiLevelType w:val="hybridMultilevel"/>
    <w:tmpl w:val="E7F6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BD6816"/>
    <w:multiLevelType w:val="hybridMultilevel"/>
    <w:tmpl w:val="C410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895600"/>
    <w:multiLevelType w:val="hybridMultilevel"/>
    <w:tmpl w:val="CAC43DB2"/>
    <w:lvl w:ilvl="0" w:tplc="A9408AC2">
      <w:start w:val="1"/>
      <w:numFmt w:val="bullet"/>
      <w:lvlText w:val=""/>
      <w:lvlJc w:val="left"/>
      <w:pPr>
        <w:ind w:left="720" w:hanging="360"/>
      </w:pPr>
      <w:rPr>
        <w:rFonts w:ascii="Wingdings" w:hAnsi="Wingdings" w:hint="default"/>
      </w:rPr>
    </w:lvl>
    <w:lvl w:ilvl="1" w:tplc="04090019" w:tentative="1">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73084DED"/>
    <w:multiLevelType w:val="hybridMultilevel"/>
    <w:tmpl w:val="8802525C"/>
    <w:lvl w:ilvl="0" w:tplc="0409000B">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087F3D"/>
    <w:multiLevelType w:val="hybridMultilevel"/>
    <w:tmpl w:val="4D8A2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6323455">
    <w:abstractNumId w:val="10"/>
  </w:num>
  <w:num w:numId="2" w16cid:durableId="1108693941">
    <w:abstractNumId w:val="7"/>
  </w:num>
  <w:num w:numId="3" w16cid:durableId="2114084229">
    <w:abstractNumId w:val="19"/>
  </w:num>
  <w:num w:numId="4" w16cid:durableId="79570517">
    <w:abstractNumId w:val="17"/>
  </w:num>
  <w:num w:numId="5" w16cid:durableId="605507945">
    <w:abstractNumId w:val="6"/>
  </w:num>
  <w:num w:numId="6" w16cid:durableId="1671330778">
    <w:abstractNumId w:val="3"/>
  </w:num>
  <w:num w:numId="7" w16cid:durableId="229969712">
    <w:abstractNumId w:val="9"/>
  </w:num>
  <w:num w:numId="8" w16cid:durableId="1444307323">
    <w:abstractNumId w:val="4"/>
  </w:num>
  <w:num w:numId="9" w16cid:durableId="1932156041">
    <w:abstractNumId w:val="13"/>
  </w:num>
  <w:num w:numId="10" w16cid:durableId="29767620">
    <w:abstractNumId w:val="22"/>
  </w:num>
  <w:num w:numId="11" w16cid:durableId="934285471">
    <w:abstractNumId w:val="1"/>
  </w:num>
  <w:num w:numId="12" w16cid:durableId="1954094887">
    <w:abstractNumId w:val="0"/>
  </w:num>
  <w:num w:numId="13" w16cid:durableId="293803214">
    <w:abstractNumId w:val="18"/>
  </w:num>
  <w:num w:numId="14" w16cid:durableId="811481134">
    <w:abstractNumId w:val="16"/>
  </w:num>
  <w:num w:numId="15" w16cid:durableId="1389767505">
    <w:abstractNumId w:val="11"/>
  </w:num>
  <w:num w:numId="16" w16cid:durableId="1164199964">
    <w:abstractNumId w:val="21"/>
  </w:num>
  <w:num w:numId="17" w16cid:durableId="611745299">
    <w:abstractNumId w:val="2"/>
  </w:num>
  <w:num w:numId="18" w16cid:durableId="1727601855">
    <w:abstractNumId w:val="15"/>
  </w:num>
  <w:num w:numId="19" w16cid:durableId="538010132">
    <w:abstractNumId w:val="8"/>
  </w:num>
  <w:num w:numId="20" w16cid:durableId="1438481125">
    <w:abstractNumId w:val="14"/>
  </w:num>
  <w:num w:numId="21" w16cid:durableId="1165391655">
    <w:abstractNumId w:val="20"/>
  </w:num>
  <w:num w:numId="22" w16cid:durableId="1724018909">
    <w:abstractNumId w:val="12"/>
  </w:num>
  <w:num w:numId="23" w16cid:durableId="172683556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hdrShapeDefaults>
    <o:shapedefaults v:ext="edit" spidmax="233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1D94"/>
    <w:rsid w:val="000026B4"/>
    <w:rsid w:val="000026C5"/>
    <w:rsid w:val="00002E16"/>
    <w:rsid w:val="00016C4B"/>
    <w:rsid w:val="00020721"/>
    <w:rsid w:val="00022187"/>
    <w:rsid w:val="00022E9C"/>
    <w:rsid w:val="000240D7"/>
    <w:rsid w:val="00024FBD"/>
    <w:rsid w:val="00026C08"/>
    <w:rsid w:val="00033D18"/>
    <w:rsid w:val="000341F7"/>
    <w:rsid w:val="000372FB"/>
    <w:rsid w:val="00040174"/>
    <w:rsid w:val="00041112"/>
    <w:rsid w:val="00043DF1"/>
    <w:rsid w:val="00047D8F"/>
    <w:rsid w:val="0005567A"/>
    <w:rsid w:val="000632EC"/>
    <w:rsid w:val="0006449E"/>
    <w:rsid w:val="00064E03"/>
    <w:rsid w:val="0006575D"/>
    <w:rsid w:val="000659A9"/>
    <w:rsid w:val="00070269"/>
    <w:rsid w:val="00074B76"/>
    <w:rsid w:val="00074FC8"/>
    <w:rsid w:val="00075CF9"/>
    <w:rsid w:val="00077751"/>
    <w:rsid w:val="00080735"/>
    <w:rsid w:val="000809B5"/>
    <w:rsid w:val="00082663"/>
    <w:rsid w:val="000868A7"/>
    <w:rsid w:val="00091F21"/>
    <w:rsid w:val="0009421E"/>
    <w:rsid w:val="00096260"/>
    <w:rsid w:val="00097FDB"/>
    <w:rsid w:val="000A7F65"/>
    <w:rsid w:val="000A7FAA"/>
    <w:rsid w:val="000B00E5"/>
    <w:rsid w:val="000B0866"/>
    <w:rsid w:val="000B3D53"/>
    <w:rsid w:val="000B67B2"/>
    <w:rsid w:val="000B69A6"/>
    <w:rsid w:val="000C25B5"/>
    <w:rsid w:val="000C781C"/>
    <w:rsid w:val="000D06C3"/>
    <w:rsid w:val="000D0A74"/>
    <w:rsid w:val="000D2604"/>
    <w:rsid w:val="000D31F9"/>
    <w:rsid w:val="000E0D6F"/>
    <w:rsid w:val="000E14F2"/>
    <w:rsid w:val="000E1CD8"/>
    <w:rsid w:val="000E3794"/>
    <w:rsid w:val="000E47F5"/>
    <w:rsid w:val="000F216F"/>
    <w:rsid w:val="001020C9"/>
    <w:rsid w:val="00102FEE"/>
    <w:rsid w:val="001045A8"/>
    <w:rsid w:val="00104E6E"/>
    <w:rsid w:val="00105E46"/>
    <w:rsid w:val="00111304"/>
    <w:rsid w:val="00112070"/>
    <w:rsid w:val="00112A3A"/>
    <w:rsid w:val="001168CD"/>
    <w:rsid w:val="0012002C"/>
    <w:rsid w:val="00120B84"/>
    <w:rsid w:val="00123FE9"/>
    <w:rsid w:val="00127E22"/>
    <w:rsid w:val="00132624"/>
    <w:rsid w:val="00132A85"/>
    <w:rsid w:val="00134C88"/>
    <w:rsid w:val="00134D89"/>
    <w:rsid w:val="001361B3"/>
    <w:rsid w:val="00136B4B"/>
    <w:rsid w:val="001403A9"/>
    <w:rsid w:val="0014096F"/>
    <w:rsid w:val="00141310"/>
    <w:rsid w:val="00143C36"/>
    <w:rsid w:val="00153734"/>
    <w:rsid w:val="0016422F"/>
    <w:rsid w:val="00164FA4"/>
    <w:rsid w:val="00165F58"/>
    <w:rsid w:val="001729B6"/>
    <w:rsid w:val="001753C6"/>
    <w:rsid w:val="00177D27"/>
    <w:rsid w:val="00185981"/>
    <w:rsid w:val="00197447"/>
    <w:rsid w:val="001A24B1"/>
    <w:rsid w:val="001A6D99"/>
    <w:rsid w:val="001A77C6"/>
    <w:rsid w:val="001B030B"/>
    <w:rsid w:val="001B12C7"/>
    <w:rsid w:val="001B228C"/>
    <w:rsid w:val="001C0A61"/>
    <w:rsid w:val="001C15A9"/>
    <w:rsid w:val="001C1E1D"/>
    <w:rsid w:val="001C3B96"/>
    <w:rsid w:val="001C52C5"/>
    <w:rsid w:val="001C6AE5"/>
    <w:rsid w:val="001D12F9"/>
    <w:rsid w:val="001D1746"/>
    <w:rsid w:val="001D3A10"/>
    <w:rsid w:val="001D5552"/>
    <w:rsid w:val="001E1B50"/>
    <w:rsid w:val="001E537F"/>
    <w:rsid w:val="001E54DC"/>
    <w:rsid w:val="001E637C"/>
    <w:rsid w:val="001E69D4"/>
    <w:rsid w:val="001E6DC7"/>
    <w:rsid w:val="001E71CE"/>
    <w:rsid w:val="001E7A7B"/>
    <w:rsid w:val="001F35D6"/>
    <w:rsid w:val="001F416C"/>
    <w:rsid w:val="001F647D"/>
    <w:rsid w:val="001F6F4B"/>
    <w:rsid w:val="0020517F"/>
    <w:rsid w:val="002063D1"/>
    <w:rsid w:val="002070B9"/>
    <w:rsid w:val="00213824"/>
    <w:rsid w:val="00217CB3"/>
    <w:rsid w:val="002233AD"/>
    <w:rsid w:val="0022502B"/>
    <w:rsid w:val="00225268"/>
    <w:rsid w:val="00225E06"/>
    <w:rsid w:val="00231D27"/>
    <w:rsid w:val="002327B4"/>
    <w:rsid w:val="00233F56"/>
    <w:rsid w:val="00234E08"/>
    <w:rsid w:val="00237BCA"/>
    <w:rsid w:val="00240CFE"/>
    <w:rsid w:val="00241476"/>
    <w:rsid w:val="0025359B"/>
    <w:rsid w:val="00256B2B"/>
    <w:rsid w:val="00257169"/>
    <w:rsid w:val="0026139A"/>
    <w:rsid w:val="00262AF3"/>
    <w:rsid w:val="00263F14"/>
    <w:rsid w:val="002645D7"/>
    <w:rsid w:val="00264D00"/>
    <w:rsid w:val="002677D7"/>
    <w:rsid w:val="00271DFC"/>
    <w:rsid w:val="002729F7"/>
    <w:rsid w:val="00272B9B"/>
    <w:rsid w:val="0027408D"/>
    <w:rsid w:val="00277E4B"/>
    <w:rsid w:val="002807E4"/>
    <w:rsid w:val="00286227"/>
    <w:rsid w:val="00291C85"/>
    <w:rsid w:val="0029350D"/>
    <w:rsid w:val="002937BF"/>
    <w:rsid w:val="00294E04"/>
    <w:rsid w:val="0029676C"/>
    <w:rsid w:val="00297605"/>
    <w:rsid w:val="00297F7A"/>
    <w:rsid w:val="002A063F"/>
    <w:rsid w:val="002A1E97"/>
    <w:rsid w:val="002A6AE6"/>
    <w:rsid w:val="002B3F2E"/>
    <w:rsid w:val="002B698F"/>
    <w:rsid w:val="002C5762"/>
    <w:rsid w:val="002C6210"/>
    <w:rsid w:val="002D1E24"/>
    <w:rsid w:val="002D2DDA"/>
    <w:rsid w:val="002D424E"/>
    <w:rsid w:val="002E28A5"/>
    <w:rsid w:val="002E509F"/>
    <w:rsid w:val="002E5843"/>
    <w:rsid w:val="002E58E3"/>
    <w:rsid w:val="002E64E4"/>
    <w:rsid w:val="002E7E49"/>
    <w:rsid w:val="002F1487"/>
    <w:rsid w:val="002F1F01"/>
    <w:rsid w:val="002F7960"/>
    <w:rsid w:val="002F7B66"/>
    <w:rsid w:val="003050EC"/>
    <w:rsid w:val="00305D70"/>
    <w:rsid w:val="00307B1F"/>
    <w:rsid w:val="0031337D"/>
    <w:rsid w:val="00317F72"/>
    <w:rsid w:val="00327053"/>
    <w:rsid w:val="00330DBB"/>
    <w:rsid w:val="00330EF2"/>
    <w:rsid w:val="003319F4"/>
    <w:rsid w:val="00336DFA"/>
    <w:rsid w:val="00341AE9"/>
    <w:rsid w:val="00341FE0"/>
    <w:rsid w:val="00342ED5"/>
    <w:rsid w:val="00344BCC"/>
    <w:rsid w:val="00347732"/>
    <w:rsid w:val="00353320"/>
    <w:rsid w:val="003560C1"/>
    <w:rsid w:val="00356417"/>
    <w:rsid w:val="00357F8F"/>
    <w:rsid w:val="0036079F"/>
    <w:rsid w:val="00363581"/>
    <w:rsid w:val="00367932"/>
    <w:rsid w:val="0037438B"/>
    <w:rsid w:val="00380A0A"/>
    <w:rsid w:val="00382B98"/>
    <w:rsid w:val="00384531"/>
    <w:rsid w:val="00391392"/>
    <w:rsid w:val="00391B69"/>
    <w:rsid w:val="00392A24"/>
    <w:rsid w:val="00393461"/>
    <w:rsid w:val="003964B8"/>
    <w:rsid w:val="003972E2"/>
    <w:rsid w:val="003A0D90"/>
    <w:rsid w:val="003A41A7"/>
    <w:rsid w:val="003A45E6"/>
    <w:rsid w:val="003B19DE"/>
    <w:rsid w:val="003C4C5A"/>
    <w:rsid w:val="003C689E"/>
    <w:rsid w:val="003D4E26"/>
    <w:rsid w:val="003D645D"/>
    <w:rsid w:val="003D7E2C"/>
    <w:rsid w:val="003E55C0"/>
    <w:rsid w:val="003E7DEB"/>
    <w:rsid w:val="003F3A99"/>
    <w:rsid w:val="003F5C9D"/>
    <w:rsid w:val="003F7DC8"/>
    <w:rsid w:val="00402C62"/>
    <w:rsid w:val="00405807"/>
    <w:rsid w:val="00405DCF"/>
    <w:rsid w:val="004173C1"/>
    <w:rsid w:val="00427650"/>
    <w:rsid w:val="00435D80"/>
    <w:rsid w:val="00436557"/>
    <w:rsid w:val="004407DF"/>
    <w:rsid w:val="00440FFA"/>
    <w:rsid w:val="00441233"/>
    <w:rsid w:val="00441EB5"/>
    <w:rsid w:val="004500BD"/>
    <w:rsid w:val="00453A20"/>
    <w:rsid w:val="00461EC4"/>
    <w:rsid w:val="004647CD"/>
    <w:rsid w:val="00474722"/>
    <w:rsid w:val="0047633B"/>
    <w:rsid w:val="004866DE"/>
    <w:rsid w:val="00491325"/>
    <w:rsid w:val="00496F8D"/>
    <w:rsid w:val="004973E1"/>
    <w:rsid w:val="004A0102"/>
    <w:rsid w:val="004A68C8"/>
    <w:rsid w:val="004B1F84"/>
    <w:rsid w:val="004B780A"/>
    <w:rsid w:val="004C1A42"/>
    <w:rsid w:val="004C3414"/>
    <w:rsid w:val="004C5D87"/>
    <w:rsid w:val="004C7EC2"/>
    <w:rsid w:val="004C7F9B"/>
    <w:rsid w:val="004D1CBC"/>
    <w:rsid w:val="004D4D06"/>
    <w:rsid w:val="004E6F7A"/>
    <w:rsid w:val="004F07A3"/>
    <w:rsid w:val="004F5E05"/>
    <w:rsid w:val="004F620B"/>
    <w:rsid w:val="004F66B6"/>
    <w:rsid w:val="005016E1"/>
    <w:rsid w:val="0050328C"/>
    <w:rsid w:val="00506B87"/>
    <w:rsid w:val="00507E45"/>
    <w:rsid w:val="00511DD7"/>
    <w:rsid w:val="00511E3A"/>
    <w:rsid w:val="00513A0A"/>
    <w:rsid w:val="00523470"/>
    <w:rsid w:val="005234C7"/>
    <w:rsid w:val="00527E24"/>
    <w:rsid w:val="0053126A"/>
    <w:rsid w:val="0053312A"/>
    <w:rsid w:val="00543675"/>
    <w:rsid w:val="00544B14"/>
    <w:rsid w:val="005470BE"/>
    <w:rsid w:val="00552D3D"/>
    <w:rsid w:val="0055682D"/>
    <w:rsid w:val="00557496"/>
    <w:rsid w:val="005602F2"/>
    <w:rsid w:val="005663B2"/>
    <w:rsid w:val="00574E59"/>
    <w:rsid w:val="005837CF"/>
    <w:rsid w:val="00587745"/>
    <w:rsid w:val="005878D1"/>
    <w:rsid w:val="00590B91"/>
    <w:rsid w:val="00596340"/>
    <w:rsid w:val="005976E6"/>
    <w:rsid w:val="005A6193"/>
    <w:rsid w:val="005A68D3"/>
    <w:rsid w:val="005B0D03"/>
    <w:rsid w:val="005B21B1"/>
    <w:rsid w:val="005B4122"/>
    <w:rsid w:val="005B77E1"/>
    <w:rsid w:val="005C0566"/>
    <w:rsid w:val="005C05AF"/>
    <w:rsid w:val="005C246F"/>
    <w:rsid w:val="005C287D"/>
    <w:rsid w:val="005C3F96"/>
    <w:rsid w:val="005C4340"/>
    <w:rsid w:val="005C4D31"/>
    <w:rsid w:val="005D1951"/>
    <w:rsid w:val="005D3E2E"/>
    <w:rsid w:val="005D5D91"/>
    <w:rsid w:val="005D7AFC"/>
    <w:rsid w:val="005E13A5"/>
    <w:rsid w:val="005E155F"/>
    <w:rsid w:val="005E7B18"/>
    <w:rsid w:val="005F018D"/>
    <w:rsid w:val="005F01EA"/>
    <w:rsid w:val="005F0CF0"/>
    <w:rsid w:val="005F2CE8"/>
    <w:rsid w:val="005F3FAA"/>
    <w:rsid w:val="005F6C72"/>
    <w:rsid w:val="0061052D"/>
    <w:rsid w:val="00610867"/>
    <w:rsid w:val="00614E08"/>
    <w:rsid w:val="006167F7"/>
    <w:rsid w:val="00621092"/>
    <w:rsid w:val="00633576"/>
    <w:rsid w:val="00633F63"/>
    <w:rsid w:val="00642392"/>
    <w:rsid w:val="00642643"/>
    <w:rsid w:val="00650419"/>
    <w:rsid w:val="00650E82"/>
    <w:rsid w:val="006513B6"/>
    <w:rsid w:val="00651D51"/>
    <w:rsid w:val="006529BB"/>
    <w:rsid w:val="00652E01"/>
    <w:rsid w:val="0065541A"/>
    <w:rsid w:val="006609A2"/>
    <w:rsid w:val="00663062"/>
    <w:rsid w:val="00663D75"/>
    <w:rsid w:val="00663F53"/>
    <w:rsid w:val="00666DD3"/>
    <w:rsid w:val="00671004"/>
    <w:rsid w:val="0067156A"/>
    <w:rsid w:val="0067718B"/>
    <w:rsid w:val="00681320"/>
    <w:rsid w:val="00684350"/>
    <w:rsid w:val="00684AB3"/>
    <w:rsid w:val="006921E0"/>
    <w:rsid w:val="006A09F8"/>
    <w:rsid w:val="006A0DF9"/>
    <w:rsid w:val="006A23D1"/>
    <w:rsid w:val="006A6530"/>
    <w:rsid w:val="006B0D00"/>
    <w:rsid w:val="006B1838"/>
    <w:rsid w:val="006B232A"/>
    <w:rsid w:val="006B535B"/>
    <w:rsid w:val="006B687F"/>
    <w:rsid w:val="006C13C0"/>
    <w:rsid w:val="006C2984"/>
    <w:rsid w:val="006C33FF"/>
    <w:rsid w:val="006C6A95"/>
    <w:rsid w:val="006C70A1"/>
    <w:rsid w:val="006D26D8"/>
    <w:rsid w:val="006D2FF7"/>
    <w:rsid w:val="006D3F2D"/>
    <w:rsid w:val="006D5A2C"/>
    <w:rsid w:val="006D5AFA"/>
    <w:rsid w:val="006D613A"/>
    <w:rsid w:val="006D76BE"/>
    <w:rsid w:val="006D7BC4"/>
    <w:rsid w:val="006E13AB"/>
    <w:rsid w:val="006E7548"/>
    <w:rsid w:val="0070213D"/>
    <w:rsid w:val="00704BA6"/>
    <w:rsid w:val="00705BB1"/>
    <w:rsid w:val="007153CC"/>
    <w:rsid w:val="00720430"/>
    <w:rsid w:val="0072220B"/>
    <w:rsid w:val="00723196"/>
    <w:rsid w:val="0072697B"/>
    <w:rsid w:val="007343DC"/>
    <w:rsid w:val="00735037"/>
    <w:rsid w:val="00735D6F"/>
    <w:rsid w:val="00736D87"/>
    <w:rsid w:val="00742806"/>
    <w:rsid w:val="00747B7E"/>
    <w:rsid w:val="00750259"/>
    <w:rsid w:val="00751DBF"/>
    <w:rsid w:val="00754FF9"/>
    <w:rsid w:val="00763352"/>
    <w:rsid w:val="0076373E"/>
    <w:rsid w:val="00770BB4"/>
    <w:rsid w:val="00770DC5"/>
    <w:rsid w:val="0077305F"/>
    <w:rsid w:val="007761C0"/>
    <w:rsid w:val="0078069C"/>
    <w:rsid w:val="00781D72"/>
    <w:rsid w:val="007830BB"/>
    <w:rsid w:val="00784CCD"/>
    <w:rsid w:val="007853C7"/>
    <w:rsid w:val="00785BED"/>
    <w:rsid w:val="0078626B"/>
    <w:rsid w:val="00794BC8"/>
    <w:rsid w:val="007955E6"/>
    <w:rsid w:val="007A24B7"/>
    <w:rsid w:val="007A2551"/>
    <w:rsid w:val="007B2DCE"/>
    <w:rsid w:val="007B543C"/>
    <w:rsid w:val="007B6E88"/>
    <w:rsid w:val="007C13AE"/>
    <w:rsid w:val="007C4C7E"/>
    <w:rsid w:val="007C504B"/>
    <w:rsid w:val="007C65F4"/>
    <w:rsid w:val="007D023B"/>
    <w:rsid w:val="007D24BF"/>
    <w:rsid w:val="007E0E0E"/>
    <w:rsid w:val="007E1281"/>
    <w:rsid w:val="007E2591"/>
    <w:rsid w:val="007E5E04"/>
    <w:rsid w:val="007E5F59"/>
    <w:rsid w:val="007F5FED"/>
    <w:rsid w:val="007F76D8"/>
    <w:rsid w:val="0080272D"/>
    <w:rsid w:val="00811095"/>
    <w:rsid w:val="00811421"/>
    <w:rsid w:val="00811B8B"/>
    <w:rsid w:val="008142F1"/>
    <w:rsid w:val="0082534D"/>
    <w:rsid w:val="0082539C"/>
    <w:rsid w:val="00827A9A"/>
    <w:rsid w:val="008309DD"/>
    <w:rsid w:val="008313DD"/>
    <w:rsid w:val="0083173D"/>
    <w:rsid w:val="0083293B"/>
    <w:rsid w:val="00832B8A"/>
    <w:rsid w:val="00836FB3"/>
    <w:rsid w:val="0084015B"/>
    <w:rsid w:val="008412DC"/>
    <w:rsid w:val="00841443"/>
    <w:rsid w:val="00855010"/>
    <w:rsid w:val="00856424"/>
    <w:rsid w:val="00860FF0"/>
    <w:rsid w:val="0086248E"/>
    <w:rsid w:val="00863864"/>
    <w:rsid w:val="00866D53"/>
    <w:rsid w:val="00871985"/>
    <w:rsid w:val="00873350"/>
    <w:rsid w:val="00876158"/>
    <w:rsid w:val="0087628B"/>
    <w:rsid w:val="00880529"/>
    <w:rsid w:val="0088500B"/>
    <w:rsid w:val="0088734C"/>
    <w:rsid w:val="00887AF2"/>
    <w:rsid w:val="00891365"/>
    <w:rsid w:val="00892899"/>
    <w:rsid w:val="0089365D"/>
    <w:rsid w:val="00895D5B"/>
    <w:rsid w:val="008A1F4F"/>
    <w:rsid w:val="008A3581"/>
    <w:rsid w:val="008A45E2"/>
    <w:rsid w:val="008A48DC"/>
    <w:rsid w:val="008A6B63"/>
    <w:rsid w:val="008A778B"/>
    <w:rsid w:val="008A7D49"/>
    <w:rsid w:val="008B1BEB"/>
    <w:rsid w:val="008B5897"/>
    <w:rsid w:val="008B60D6"/>
    <w:rsid w:val="008C0137"/>
    <w:rsid w:val="008C23DE"/>
    <w:rsid w:val="008C3F90"/>
    <w:rsid w:val="008C719D"/>
    <w:rsid w:val="008D266B"/>
    <w:rsid w:val="008D4030"/>
    <w:rsid w:val="008D43D0"/>
    <w:rsid w:val="008E3A07"/>
    <w:rsid w:val="008E56F4"/>
    <w:rsid w:val="008F0D12"/>
    <w:rsid w:val="008F3187"/>
    <w:rsid w:val="008F5263"/>
    <w:rsid w:val="008F7B30"/>
    <w:rsid w:val="009012E5"/>
    <w:rsid w:val="00901C6E"/>
    <w:rsid w:val="00903283"/>
    <w:rsid w:val="00903F88"/>
    <w:rsid w:val="00913BB6"/>
    <w:rsid w:val="00915BA4"/>
    <w:rsid w:val="009205BC"/>
    <w:rsid w:val="009211C6"/>
    <w:rsid w:val="00921EAE"/>
    <w:rsid w:val="009351C6"/>
    <w:rsid w:val="00942D3F"/>
    <w:rsid w:val="00945D88"/>
    <w:rsid w:val="00953EB4"/>
    <w:rsid w:val="00957759"/>
    <w:rsid w:val="00961B74"/>
    <w:rsid w:val="00963FD7"/>
    <w:rsid w:val="009666C5"/>
    <w:rsid w:val="009728C7"/>
    <w:rsid w:val="0097673B"/>
    <w:rsid w:val="009817A5"/>
    <w:rsid w:val="00982598"/>
    <w:rsid w:val="00983264"/>
    <w:rsid w:val="009832A2"/>
    <w:rsid w:val="00992FDE"/>
    <w:rsid w:val="009956CB"/>
    <w:rsid w:val="009967D5"/>
    <w:rsid w:val="009969F3"/>
    <w:rsid w:val="009A2EF6"/>
    <w:rsid w:val="009A2FC7"/>
    <w:rsid w:val="009B0A4B"/>
    <w:rsid w:val="009B506C"/>
    <w:rsid w:val="009C0761"/>
    <w:rsid w:val="009C0941"/>
    <w:rsid w:val="009C2F31"/>
    <w:rsid w:val="009C736A"/>
    <w:rsid w:val="009D2C9F"/>
    <w:rsid w:val="009D319A"/>
    <w:rsid w:val="009D34FB"/>
    <w:rsid w:val="009D5F2B"/>
    <w:rsid w:val="009D6955"/>
    <w:rsid w:val="009E0547"/>
    <w:rsid w:val="009E0E18"/>
    <w:rsid w:val="009E6A8F"/>
    <w:rsid w:val="009F3428"/>
    <w:rsid w:val="009F6EE2"/>
    <w:rsid w:val="009F6F60"/>
    <w:rsid w:val="00A03E27"/>
    <w:rsid w:val="00A1081D"/>
    <w:rsid w:val="00A10C19"/>
    <w:rsid w:val="00A1115F"/>
    <w:rsid w:val="00A114CA"/>
    <w:rsid w:val="00A11FFC"/>
    <w:rsid w:val="00A154FA"/>
    <w:rsid w:val="00A17201"/>
    <w:rsid w:val="00A20E35"/>
    <w:rsid w:val="00A244F7"/>
    <w:rsid w:val="00A25ACC"/>
    <w:rsid w:val="00A30999"/>
    <w:rsid w:val="00A32297"/>
    <w:rsid w:val="00A33738"/>
    <w:rsid w:val="00A371BD"/>
    <w:rsid w:val="00A374D4"/>
    <w:rsid w:val="00A407BD"/>
    <w:rsid w:val="00A52A72"/>
    <w:rsid w:val="00A570F5"/>
    <w:rsid w:val="00A605AB"/>
    <w:rsid w:val="00A71456"/>
    <w:rsid w:val="00A71D81"/>
    <w:rsid w:val="00A73886"/>
    <w:rsid w:val="00A76F1B"/>
    <w:rsid w:val="00A803B3"/>
    <w:rsid w:val="00A81505"/>
    <w:rsid w:val="00A85F4F"/>
    <w:rsid w:val="00A86DE0"/>
    <w:rsid w:val="00A8708B"/>
    <w:rsid w:val="00A90E37"/>
    <w:rsid w:val="00A921AB"/>
    <w:rsid w:val="00A93858"/>
    <w:rsid w:val="00AA4F45"/>
    <w:rsid w:val="00AA736E"/>
    <w:rsid w:val="00AB06ED"/>
    <w:rsid w:val="00AB0EDF"/>
    <w:rsid w:val="00AB11F4"/>
    <w:rsid w:val="00AB2DCD"/>
    <w:rsid w:val="00AB44D9"/>
    <w:rsid w:val="00AB5FDD"/>
    <w:rsid w:val="00AB67E2"/>
    <w:rsid w:val="00AC218D"/>
    <w:rsid w:val="00AC4CAD"/>
    <w:rsid w:val="00AC5613"/>
    <w:rsid w:val="00AC5AA4"/>
    <w:rsid w:val="00AD09B8"/>
    <w:rsid w:val="00AD2FF8"/>
    <w:rsid w:val="00AD407A"/>
    <w:rsid w:val="00AE0AC6"/>
    <w:rsid w:val="00AE548E"/>
    <w:rsid w:val="00AF39BE"/>
    <w:rsid w:val="00AF3ABF"/>
    <w:rsid w:val="00AF3B03"/>
    <w:rsid w:val="00AF518F"/>
    <w:rsid w:val="00B03271"/>
    <w:rsid w:val="00B036EE"/>
    <w:rsid w:val="00B1035D"/>
    <w:rsid w:val="00B10751"/>
    <w:rsid w:val="00B10DEB"/>
    <w:rsid w:val="00B13A29"/>
    <w:rsid w:val="00B16059"/>
    <w:rsid w:val="00B23C3B"/>
    <w:rsid w:val="00B24C6D"/>
    <w:rsid w:val="00B25561"/>
    <w:rsid w:val="00B27D9E"/>
    <w:rsid w:val="00B30012"/>
    <w:rsid w:val="00B30DB4"/>
    <w:rsid w:val="00B3263C"/>
    <w:rsid w:val="00B33BC1"/>
    <w:rsid w:val="00B3560A"/>
    <w:rsid w:val="00B40D86"/>
    <w:rsid w:val="00B41B64"/>
    <w:rsid w:val="00B45F3B"/>
    <w:rsid w:val="00B54C65"/>
    <w:rsid w:val="00B55D27"/>
    <w:rsid w:val="00B601A7"/>
    <w:rsid w:val="00B64412"/>
    <w:rsid w:val="00B644C0"/>
    <w:rsid w:val="00B664D3"/>
    <w:rsid w:val="00B70216"/>
    <w:rsid w:val="00B70771"/>
    <w:rsid w:val="00B731B2"/>
    <w:rsid w:val="00B73984"/>
    <w:rsid w:val="00B7737A"/>
    <w:rsid w:val="00B814CE"/>
    <w:rsid w:val="00B82F99"/>
    <w:rsid w:val="00B86445"/>
    <w:rsid w:val="00B870AA"/>
    <w:rsid w:val="00B87259"/>
    <w:rsid w:val="00B94F52"/>
    <w:rsid w:val="00B96077"/>
    <w:rsid w:val="00BA093B"/>
    <w:rsid w:val="00BA0FB0"/>
    <w:rsid w:val="00BB1C3B"/>
    <w:rsid w:val="00BB2269"/>
    <w:rsid w:val="00BB5BD1"/>
    <w:rsid w:val="00BB6787"/>
    <w:rsid w:val="00BC0141"/>
    <w:rsid w:val="00BC24DB"/>
    <w:rsid w:val="00BC6562"/>
    <w:rsid w:val="00BC6C30"/>
    <w:rsid w:val="00BD2AED"/>
    <w:rsid w:val="00BD67FD"/>
    <w:rsid w:val="00BD6B5A"/>
    <w:rsid w:val="00BE00FF"/>
    <w:rsid w:val="00BF07C6"/>
    <w:rsid w:val="00BF0A5C"/>
    <w:rsid w:val="00BF3112"/>
    <w:rsid w:val="00BF55B1"/>
    <w:rsid w:val="00C00980"/>
    <w:rsid w:val="00C079B3"/>
    <w:rsid w:val="00C16741"/>
    <w:rsid w:val="00C172D9"/>
    <w:rsid w:val="00C20B92"/>
    <w:rsid w:val="00C21662"/>
    <w:rsid w:val="00C22473"/>
    <w:rsid w:val="00C23EC5"/>
    <w:rsid w:val="00C26FDA"/>
    <w:rsid w:val="00C33F29"/>
    <w:rsid w:val="00C371CD"/>
    <w:rsid w:val="00C41AC3"/>
    <w:rsid w:val="00C44352"/>
    <w:rsid w:val="00C44B04"/>
    <w:rsid w:val="00C51982"/>
    <w:rsid w:val="00C535F8"/>
    <w:rsid w:val="00C55C22"/>
    <w:rsid w:val="00C57999"/>
    <w:rsid w:val="00C60A0B"/>
    <w:rsid w:val="00C60F3B"/>
    <w:rsid w:val="00C61119"/>
    <w:rsid w:val="00C61534"/>
    <w:rsid w:val="00C643F6"/>
    <w:rsid w:val="00C67B0D"/>
    <w:rsid w:val="00C70D5F"/>
    <w:rsid w:val="00C76A79"/>
    <w:rsid w:val="00C80C85"/>
    <w:rsid w:val="00C81313"/>
    <w:rsid w:val="00C86420"/>
    <w:rsid w:val="00C87E5E"/>
    <w:rsid w:val="00C9093A"/>
    <w:rsid w:val="00C90E6A"/>
    <w:rsid w:val="00C923D8"/>
    <w:rsid w:val="00C939F3"/>
    <w:rsid w:val="00C93D79"/>
    <w:rsid w:val="00C96406"/>
    <w:rsid w:val="00CA2C0B"/>
    <w:rsid w:val="00CA347C"/>
    <w:rsid w:val="00CA42BA"/>
    <w:rsid w:val="00CA4D1F"/>
    <w:rsid w:val="00CA732C"/>
    <w:rsid w:val="00CB0234"/>
    <w:rsid w:val="00CB1AFE"/>
    <w:rsid w:val="00CB5127"/>
    <w:rsid w:val="00CB5A45"/>
    <w:rsid w:val="00CB7193"/>
    <w:rsid w:val="00CB7411"/>
    <w:rsid w:val="00CC15B0"/>
    <w:rsid w:val="00CC243E"/>
    <w:rsid w:val="00CC4CAB"/>
    <w:rsid w:val="00CC4DF0"/>
    <w:rsid w:val="00CD12F5"/>
    <w:rsid w:val="00CD1E58"/>
    <w:rsid w:val="00CD5051"/>
    <w:rsid w:val="00CE158C"/>
    <w:rsid w:val="00CE29CE"/>
    <w:rsid w:val="00CE36BE"/>
    <w:rsid w:val="00CF42FA"/>
    <w:rsid w:val="00CF47E2"/>
    <w:rsid w:val="00CF4BB9"/>
    <w:rsid w:val="00D03F46"/>
    <w:rsid w:val="00D06C6C"/>
    <w:rsid w:val="00D06FB4"/>
    <w:rsid w:val="00D11E56"/>
    <w:rsid w:val="00D13BBD"/>
    <w:rsid w:val="00D143FB"/>
    <w:rsid w:val="00D17228"/>
    <w:rsid w:val="00D210A3"/>
    <w:rsid w:val="00D22875"/>
    <w:rsid w:val="00D25D15"/>
    <w:rsid w:val="00D25EB3"/>
    <w:rsid w:val="00D33277"/>
    <w:rsid w:val="00D353D7"/>
    <w:rsid w:val="00D3625D"/>
    <w:rsid w:val="00D36ABB"/>
    <w:rsid w:val="00D36B32"/>
    <w:rsid w:val="00D406B7"/>
    <w:rsid w:val="00D41677"/>
    <w:rsid w:val="00D44E69"/>
    <w:rsid w:val="00D453E3"/>
    <w:rsid w:val="00D50798"/>
    <w:rsid w:val="00D52FFA"/>
    <w:rsid w:val="00D55755"/>
    <w:rsid w:val="00D62BB2"/>
    <w:rsid w:val="00D62E63"/>
    <w:rsid w:val="00D65DC0"/>
    <w:rsid w:val="00D7015A"/>
    <w:rsid w:val="00D74CCA"/>
    <w:rsid w:val="00D80301"/>
    <w:rsid w:val="00D818A7"/>
    <w:rsid w:val="00D837E2"/>
    <w:rsid w:val="00D87272"/>
    <w:rsid w:val="00D87919"/>
    <w:rsid w:val="00D928F8"/>
    <w:rsid w:val="00D95F65"/>
    <w:rsid w:val="00DA3925"/>
    <w:rsid w:val="00DA60A5"/>
    <w:rsid w:val="00DA7E85"/>
    <w:rsid w:val="00DB01B6"/>
    <w:rsid w:val="00DB28A2"/>
    <w:rsid w:val="00DB2D02"/>
    <w:rsid w:val="00DB43DE"/>
    <w:rsid w:val="00DB5FA1"/>
    <w:rsid w:val="00DB69F2"/>
    <w:rsid w:val="00DC088C"/>
    <w:rsid w:val="00DC2DAD"/>
    <w:rsid w:val="00DC3E4E"/>
    <w:rsid w:val="00DC4141"/>
    <w:rsid w:val="00DC4ED9"/>
    <w:rsid w:val="00DD45B4"/>
    <w:rsid w:val="00DD7124"/>
    <w:rsid w:val="00DE4BA9"/>
    <w:rsid w:val="00DE5186"/>
    <w:rsid w:val="00DE6363"/>
    <w:rsid w:val="00DE63B1"/>
    <w:rsid w:val="00DE6F18"/>
    <w:rsid w:val="00DE7B47"/>
    <w:rsid w:val="00DF005C"/>
    <w:rsid w:val="00DF12D4"/>
    <w:rsid w:val="00DF1B5C"/>
    <w:rsid w:val="00DF5B49"/>
    <w:rsid w:val="00E0016E"/>
    <w:rsid w:val="00E07305"/>
    <w:rsid w:val="00E13348"/>
    <w:rsid w:val="00E13663"/>
    <w:rsid w:val="00E14A60"/>
    <w:rsid w:val="00E14EFA"/>
    <w:rsid w:val="00E1547E"/>
    <w:rsid w:val="00E17E78"/>
    <w:rsid w:val="00E207BE"/>
    <w:rsid w:val="00E209CD"/>
    <w:rsid w:val="00E27FA1"/>
    <w:rsid w:val="00E31CE3"/>
    <w:rsid w:val="00E402E6"/>
    <w:rsid w:val="00E43504"/>
    <w:rsid w:val="00E466FA"/>
    <w:rsid w:val="00E50BB8"/>
    <w:rsid w:val="00E515C4"/>
    <w:rsid w:val="00E5179A"/>
    <w:rsid w:val="00E5685D"/>
    <w:rsid w:val="00E6190C"/>
    <w:rsid w:val="00E7130C"/>
    <w:rsid w:val="00E71F90"/>
    <w:rsid w:val="00E75BD4"/>
    <w:rsid w:val="00E81DF9"/>
    <w:rsid w:val="00E832C5"/>
    <w:rsid w:val="00E835EB"/>
    <w:rsid w:val="00E90CAB"/>
    <w:rsid w:val="00E93975"/>
    <w:rsid w:val="00E9421E"/>
    <w:rsid w:val="00E95A0D"/>
    <w:rsid w:val="00E96D7F"/>
    <w:rsid w:val="00E97C06"/>
    <w:rsid w:val="00EA0A06"/>
    <w:rsid w:val="00EA1A98"/>
    <w:rsid w:val="00EA1F80"/>
    <w:rsid w:val="00EA34D6"/>
    <w:rsid w:val="00EA4D97"/>
    <w:rsid w:val="00EA54DD"/>
    <w:rsid w:val="00EB0CAE"/>
    <w:rsid w:val="00EB1CBD"/>
    <w:rsid w:val="00EB49A0"/>
    <w:rsid w:val="00EB7D1A"/>
    <w:rsid w:val="00EC0954"/>
    <w:rsid w:val="00EC14DC"/>
    <w:rsid w:val="00EC2401"/>
    <w:rsid w:val="00EC5362"/>
    <w:rsid w:val="00EC6AEF"/>
    <w:rsid w:val="00EC6B33"/>
    <w:rsid w:val="00EC746E"/>
    <w:rsid w:val="00ED6293"/>
    <w:rsid w:val="00ED787B"/>
    <w:rsid w:val="00EE00B1"/>
    <w:rsid w:val="00EE0AD4"/>
    <w:rsid w:val="00EE2774"/>
    <w:rsid w:val="00EF20A7"/>
    <w:rsid w:val="00EF2868"/>
    <w:rsid w:val="00EF3177"/>
    <w:rsid w:val="00EF5CAF"/>
    <w:rsid w:val="00F0008D"/>
    <w:rsid w:val="00F03BCE"/>
    <w:rsid w:val="00F05636"/>
    <w:rsid w:val="00F06F6B"/>
    <w:rsid w:val="00F06FD6"/>
    <w:rsid w:val="00F12259"/>
    <w:rsid w:val="00F15C2F"/>
    <w:rsid w:val="00F17935"/>
    <w:rsid w:val="00F17B82"/>
    <w:rsid w:val="00F20BD4"/>
    <w:rsid w:val="00F20D7C"/>
    <w:rsid w:val="00F23F9D"/>
    <w:rsid w:val="00F27873"/>
    <w:rsid w:val="00F316A0"/>
    <w:rsid w:val="00F33CF9"/>
    <w:rsid w:val="00F35022"/>
    <w:rsid w:val="00F40057"/>
    <w:rsid w:val="00F431F2"/>
    <w:rsid w:val="00F45917"/>
    <w:rsid w:val="00F46104"/>
    <w:rsid w:val="00F50586"/>
    <w:rsid w:val="00F51707"/>
    <w:rsid w:val="00F522AC"/>
    <w:rsid w:val="00F542B1"/>
    <w:rsid w:val="00F54BA2"/>
    <w:rsid w:val="00F55325"/>
    <w:rsid w:val="00F560CB"/>
    <w:rsid w:val="00F56979"/>
    <w:rsid w:val="00F57B1A"/>
    <w:rsid w:val="00F60367"/>
    <w:rsid w:val="00F625B3"/>
    <w:rsid w:val="00F63A20"/>
    <w:rsid w:val="00F663FA"/>
    <w:rsid w:val="00F67358"/>
    <w:rsid w:val="00F7119F"/>
    <w:rsid w:val="00F716CA"/>
    <w:rsid w:val="00F73663"/>
    <w:rsid w:val="00F77EAE"/>
    <w:rsid w:val="00F80DFC"/>
    <w:rsid w:val="00F836EB"/>
    <w:rsid w:val="00F8522F"/>
    <w:rsid w:val="00F856C4"/>
    <w:rsid w:val="00F861A5"/>
    <w:rsid w:val="00F8636E"/>
    <w:rsid w:val="00F91D1F"/>
    <w:rsid w:val="00F91D62"/>
    <w:rsid w:val="00F94261"/>
    <w:rsid w:val="00F963BA"/>
    <w:rsid w:val="00F9709F"/>
    <w:rsid w:val="00FA56E5"/>
    <w:rsid w:val="00FA771B"/>
    <w:rsid w:val="00FA7FE9"/>
    <w:rsid w:val="00FB08D2"/>
    <w:rsid w:val="00FB10EC"/>
    <w:rsid w:val="00FB2664"/>
    <w:rsid w:val="00FB3023"/>
    <w:rsid w:val="00FB3F29"/>
    <w:rsid w:val="00FB4E08"/>
    <w:rsid w:val="00FC3439"/>
    <w:rsid w:val="00FC42FA"/>
    <w:rsid w:val="00FC534A"/>
    <w:rsid w:val="00FC6722"/>
    <w:rsid w:val="00FD3033"/>
    <w:rsid w:val="00FD43BC"/>
    <w:rsid w:val="00FD6C8C"/>
    <w:rsid w:val="00FE7CC5"/>
    <w:rsid w:val="00FE7F79"/>
    <w:rsid w:val="00FF10B6"/>
    <w:rsid w:val="00FF2570"/>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31"/>
    <o:shapelayout v:ext="edit">
      <o:idmap v:ext="edit" data="2"/>
    </o:shapelayout>
  </w:shapeDefaults>
  <w:decimalSymbol w:val="."/>
  <w:listSeparator w:val=","/>
  <w14:docId w14:val="245CB78B"/>
  <w15:docId w15:val="{6874E6F4-5294-47CE-BBC3-1B8293CE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E31CE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40057"/>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nhideWhenUsed/>
    <w:qFormat/>
    <w:rsid w:val="006C6A95"/>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35EB"/>
    <w:pPr>
      <w:ind w:left="720"/>
      <w:contextualSpacing/>
    </w:pPr>
  </w:style>
  <w:style w:type="paragraph" w:styleId="NormalWeb">
    <w:name w:val="Normal (Web)"/>
    <w:basedOn w:val="Normal"/>
    <w:link w:val="NormalWebChar"/>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41AC3"/>
  </w:style>
  <w:style w:type="character" w:customStyle="1" w:styleId="NormalWebChar">
    <w:name w:val="Normal (Web) Char"/>
    <w:basedOn w:val="DefaultParagraphFont"/>
    <w:link w:val="NormalWeb"/>
    <w:uiPriority w:val="99"/>
    <w:locked/>
    <w:rsid w:val="00C41AC3"/>
    <w:rPr>
      <w:rFonts w:ascii="Times New Roman" w:eastAsia="Times New Roman" w:hAnsi="Times New Roman" w:cs="Times New Roman"/>
      <w:sz w:val="24"/>
      <w:szCs w:val="24"/>
      <w:lang w:eastAsia="en-IN"/>
    </w:rPr>
  </w:style>
  <w:style w:type="character" w:customStyle="1" w:styleId="lsb">
    <w:name w:val="lsb"/>
    <w:basedOn w:val="DefaultParagraphFont"/>
    <w:rsid w:val="001361B3"/>
  </w:style>
  <w:style w:type="character" w:customStyle="1" w:styleId="ls11">
    <w:name w:val="ls11"/>
    <w:basedOn w:val="DefaultParagraphFont"/>
    <w:rsid w:val="001361B3"/>
  </w:style>
  <w:style w:type="character" w:customStyle="1" w:styleId="ls12">
    <w:name w:val="ls12"/>
    <w:basedOn w:val="DefaultParagraphFont"/>
    <w:rsid w:val="001361B3"/>
  </w:style>
  <w:style w:type="character" w:customStyle="1" w:styleId="ls10">
    <w:name w:val="ls10"/>
    <w:basedOn w:val="DefaultParagraphFont"/>
    <w:rsid w:val="001361B3"/>
  </w:style>
  <w:style w:type="character" w:customStyle="1" w:styleId="ws14">
    <w:name w:val="ws14"/>
    <w:basedOn w:val="DefaultParagraphFont"/>
    <w:rsid w:val="001361B3"/>
  </w:style>
  <w:style w:type="character" w:customStyle="1" w:styleId="ls14">
    <w:name w:val="ls14"/>
    <w:basedOn w:val="DefaultParagraphFont"/>
    <w:rsid w:val="001361B3"/>
  </w:style>
  <w:style w:type="character" w:customStyle="1" w:styleId="ls4">
    <w:name w:val="ls4"/>
    <w:basedOn w:val="DefaultParagraphFont"/>
    <w:rsid w:val="001361B3"/>
  </w:style>
  <w:style w:type="character" w:customStyle="1" w:styleId="ls0">
    <w:name w:val="ls0"/>
    <w:basedOn w:val="DefaultParagraphFont"/>
    <w:rsid w:val="001361B3"/>
  </w:style>
  <w:style w:type="character" w:customStyle="1" w:styleId="ws1b">
    <w:name w:val="ws1b"/>
    <w:basedOn w:val="DefaultParagraphFont"/>
    <w:rsid w:val="001361B3"/>
  </w:style>
  <w:style w:type="character" w:customStyle="1" w:styleId="ls16">
    <w:name w:val="ls16"/>
    <w:basedOn w:val="DefaultParagraphFont"/>
    <w:rsid w:val="001361B3"/>
  </w:style>
  <w:style w:type="paragraph" w:styleId="BalloonText">
    <w:name w:val="Balloon Text"/>
    <w:basedOn w:val="Normal"/>
    <w:link w:val="BalloonTextChar"/>
    <w:uiPriority w:val="99"/>
    <w:semiHidden/>
    <w:unhideWhenUsed/>
    <w:rsid w:val="00136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1B3"/>
    <w:rPr>
      <w:rFonts w:ascii="Tahoma" w:hAnsi="Tahoma" w:cs="Tahoma"/>
      <w:sz w:val="16"/>
      <w:szCs w:val="16"/>
    </w:rPr>
  </w:style>
  <w:style w:type="character" w:customStyle="1" w:styleId="documentpreview">
    <w:name w:val="document__preview"/>
    <w:basedOn w:val="DefaultParagraphFont"/>
    <w:rsid w:val="001361B3"/>
  </w:style>
  <w:style w:type="character" w:customStyle="1" w:styleId="Heading2Char">
    <w:name w:val="Heading 2 Char"/>
    <w:basedOn w:val="DefaultParagraphFont"/>
    <w:link w:val="Heading2"/>
    <w:uiPriority w:val="9"/>
    <w:semiHidden/>
    <w:rsid w:val="00E31CE3"/>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40057"/>
    <w:rPr>
      <w:rFonts w:asciiTheme="majorHAnsi" w:eastAsiaTheme="majorEastAsia" w:hAnsiTheme="majorHAnsi" w:cstheme="majorBidi"/>
      <w:b/>
      <w:bCs/>
      <w:color w:val="4472C4" w:themeColor="accent1"/>
    </w:rPr>
  </w:style>
  <w:style w:type="paragraph" w:customStyle="1" w:styleId="TableParagraph">
    <w:name w:val="Table Paragraph"/>
    <w:basedOn w:val="Normal"/>
    <w:uiPriority w:val="1"/>
    <w:qFormat/>
    <w:rsid w:val="00794BC8"/>
    <w:pPr>
      <w:widowControl w:val="0"/>
      <w:autoSpaceDE w:val="0"/>
      <w:autoSpaceDN w:val="0"/>
      <w:spacing w:after="0" w:line="275" w:lineRule="exact"/>
      <w:jc w:val="center"/>
    </w:pPr>
    <w:rPr>
      <w:rFonts w:ascii="Times New Roman" w:eastAsia="Times New Roman" w:hAnsi="Times New Roman" w:cs="Times New Roman"/>
      <w:lang w:val="en-US"/>
    </w:rPr>
  </w:style>
  <w:style w:type="paragraph" w:customStyle="1" w:styleId="Default">
    <w:name w:val="Default"/>
    <w:rsid w:val="00735D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subheader1">
    <w:name w:val="subheader1"/>
    <w:basedOn w:val="DefaultParagraphFont"/>
    <w:rsid w:val="00A374D4"/>
    <w:rPr>
      <w:rFonts w:ascii="Tahoma" w:hAnsi="Tahoma" w:cs="Tahoma" w:hint="default"/>
      <w:b/>
      <w:bCs/>
      <w:strike w:val="0"/>
      <w:dstrike w:val="0"/>
      <w:color w:val="4A5A8B"/>
      <w:sz w:val="17"/>
      <w:szCs w:val="17"/>
      <w:u w:val="none"/>
      <w:effect w:val="none"/>
    </w:rPr>
  </w:style>
  <w:style w:type="character" w:customStyle="1" w:styleId="Heading4Char">
    <w:name w:val="Heading 4 Char"/>
    <w:basedOn w:val="DefaultParagraphFont"/>
    <w:link w:val="Heading4"/>
    <w:uiPriority w:val="9"/>
    <w:semiHidden/>
    <w:rsid w:val="006C6A95"/>
    <w:rPr>
      <w:rFonts w:asciiTheme="majorHAnsi" w:eastAsiaTheme="majorEastAsia" w:hAnsiTheme="majorHAnsi" w:cstheme="majorBidi"/>
      <w:b/>
      <w:bC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7193">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485171134">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862282122">
      <w:bodyDiv w:val="1"/>
      <w:marLeft w:val="0"/>
      <w:marRight w:val="0"/>
      <w:marTop w:val="0"/>
      <w:marBottom w:val="0"/>
      <w:divBdr>
        <w:top w:val="none" w:sz="0" w:space="0" w:color="auto"/>
        <w:left w:val="none" w:sz="0" w:space="0" w:color="auto"/>
        <w:bottom w:val="none" w:sz="0" w:space="0" w:color="auto"/>
        <w:right w:val="none" w:sz="0" w:space="0" w:color="auto"/>
      </w:divBdr>
    </w:div>
    <w:div w:id="946279706">
      <w:bodyDiv w:val="1"/>
      <w:marLeft w:val="0"/>
      <w:marRight w:val="0"/>
      <w:marTop w:val="0"/>
      <w:marBottom w:val="0"/>
      <w:divBdr>
        <w:top w:val="none" w:sz="0" w:space="0" w:color="auto"/>
        <w:left w:val="none" w:sz="0" w:space="0" w:color="auto"/>
        <w:bottom w:val="none" w:sz="0" w:space="0" w:color="auto"/>
        <w:right w:val="none" w:sz="0" w:space="0" w:color="auto"/>
      </w:divBdr>
    </w:div>
    <w:div w:id="1017929097">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89270">
      <w:bodyDiv w:val="1"/>
      <w:marLeft w:val="0"/>
      <w:marRight w:val="0"/>
      <w:marTop w:val="0"/>
      <w:marBottom w:val="0"/>
      <w:divBdr>
        <w:top w:val="none" w:sz="0" w:space="0" w:color="auto"/>
        <w:left w:val="none" w:sz="0" w:space="0" w:color="auto"/>
        <w:bottom w:val="none" w:sz="0" w:space="0" w:color="auto"/>
        <w:right w:val="none" w:sz="0" w:space="0" w:color="auto"/>
      </w:divBdr>
    </w:div>
    <w:div w:id="1590847191">
      <w:bodyDiv w:val="1"/>
      <w:marLeft w:val="0"/>
      <w:marRight w:val="0"/>
      <w:marTop w:val="0"/>
      <w:marBottom w:val="0"/>
      <w:divBdr>
        <w:top w:val="none" w:sz="0" w:space="0" w:color="auto"/>
        <w:left w:val="none" w:sz="0" w:space="0" w:color="auto"/>
        <w:bottom w:val="none" w:sz="0" w:space="0" w:color="auto"/>
        <w:right w:val="none" w:sz="0" w:space="0" w:color="auto"/>
      </w:divBdr>
    </w:div>
    <w:div w:id="1609704115">
      <w:bodyDiv w:val="1"/>
      <w:marLeft w:val="0"/>
      <w:marRight w:val="0"/>
      <w:marTop w:val="0"/>
      <w:marBottom w:val="0"/>
      <w:divBdr>
        <w:top w:val="none" w:sz="0" w:space="0" w:color="auto"/>
        <w:left w:val="none" w:sz="0" w:space="0" w:color="auto"/>
        <w:bottom w:val="none" w:sz="0" w:space="0" w:color="auto"/>
        <w:right w:val="none" w:sz="0" w:space="0" w:color="auto"/>
      </w:divBdr>
    </w:div>
    <w:div w:id="187283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yothika.chh@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75" b="1" i="0" u="sng" strike="noStrike" baseline="0">
                <a:solidFill>
                  <a:srgbClr val="000000"/>
                </a:solidFill>
                <a:latin typeface="Arial"/>
                <a:ea typeface="Arial"/>
                <a:cs typeface="Arial"/>
              </a:defRPr>
            </a:pPr>
            <a:r>
              <a:rPr lang="en-US" sz="1000" b="1" i="0" u="none" strike="noStrike" baseline="0">
                <a:solidFill>
                  <a:srgbClr val="000000"/>
                </a:solidFill>
                <a:latin typeface="Arial"/>
                <a:cs typeface="Arial"/>
              </a:rPr>
              <a:t>A/C MANTANCE</a:t>
            </a:r>
            <a:r>
              <a:rPr lang="en-US" sz="800" b="1" i="0" u="none" strike="noStrike" baseline="0">
                <a:solidFill>
                  <a:srgbClr val="000000"/>
                </a:solidFill>
                <a:latin typeface="Calibri"/>
                <a:cs typeface="Calibri"/>
              </a:rPr>
              <a:t> </a:t>
            </a:r>
            <a:r>
              <a:rPr lang="en-US" sz="1000" b="1" i="0" u="none" strike="noStrike" baseline="0">
                <a:solidFill>
                  <a:srgbClr val="000000"/>
                </a:solidFill>
                <a:latin typeface="Arial"/>
                <a:cs typeface="Arial"/>
              </a:rPr>
              <a:t>NSDL</a:t>
            </a:r>
          </a:p>
        </c:rich>
      </c:tx>
      <c:layout>
        <c:manualLayout>
          <c:xMode val="edge"/>
          <c:yMode val="edge"/>
          <c:x val="0.3849918433931499"/>
          <c:y val="2.0283975659229504E-2"/>
        </c:manualLayout>
      </c:layout>
      <c:overlay val="0"/>
      <c:spPr>
        <a:noFill/>
        <a:ln w="25399">
          <a:noFill/>
        </a:ln>
      </c:spPr>
    </c:title>
    <c:autoTitleDeleted val="0"/>
    <c:view3D>
      <c:rotX val="15"/>
      <c:hPercent val="72"/>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5171288743882652"/>
          <c:y val="0.13995943204868191"/>
          <c:w val="0.83197389885807815"/>
          <c:h val="0.72008113590263656"/>
        </c:manualLayout>
      </c:layout>
      <c:bar3DChart>
        <c:barDir val="col"/>
        <c:grouping val="clustered"/>
        <c:varyColors val="0"/>
        <c:ser>
          <c:idx val="0"/>
          <c:order val="0"/>
          <c:tx>
            <c:strRef>
              <c:f>Sheet1!$A$2</c:f>
              <c:strCache>
                <c:ptCount val="1"/>
                <c:pt idx="0">
                  <c:v>East</c:v>
                </c:pt>
              </c:strCache>
            </c:strRef>
          </c:tx>
          <c:spPr>
            <a:solidFill>
              <a:srgbClr val="9999FF"/>
            </a:solidFill>
            <a:ln w="12700">
              <a:solidFill>
                <a:srgbClr val="000000"/>
              </a:solidFill>
              <a:prstDash val="solid"/>
            </a:ln>
          </c:spPr>
          <c:invertIfNegative val="0"/>
          <c:cat>
            <c:strRef>
              <c:f>Sheet1!$B$1:$G$1</c:f>
              <c:strCache>
                <c:ptCount val="6"/>
                <c:pt idx="0">
                  <c:v>CANARA</c:v>
                </c:pt>
                <c:pt idx="1">
                  <c:v>HSE</c:v>
                </c:pt>
                <c:pt idx="2">
                  <c:v>HDFC</c:v>
                </c:pt>
                <c:pt idx="3">
                  <c:v>IDBI</c:v>
                </c:pt>
                <c:pt idx="4">
                  <c:v>KARVY</c:v>
                </c:pt>
                <c:pt idx="5">
                  <c:v>ING VYSYA</c:v>
                </c:pt>
              </c:strCache>
            </c:strRef>
          </c:cat>
          <c:val>
            <c:numRef>
              <c:f>Sheet1!$B$2:$G$2</c:f>
              <c:numCache>
                <c:formatCode>General</c:formatCode>
                <c:ptCount val="6"/>
                <c:pt idx="0">
                  <c:v>100</c:v>
                </c:pt>
                <c:pt idx="1">
                  <c:v>150</c:v>
                </c:pt>
                <c:pt idx="2">
                  <c:v>300</c:v>
                </c:pt>
                <c:pt idx="3">
                  <c:v>350</c:v>
                </c:pt>
                <c:pt idx="4">
                  <c:v>300</c:v>
                </c:pt>
                <c:pt idx="5">
                  <c:v>0</c:v>
                </c:pt>
              </c:numCache>
            </c:numRef>
          </c:val>
          <c:extLst>
            <c:ext xmlns:c16="http://schemas.microsoft.com/office/drawing/2014/chart" uri="{C3380CC4-5D6E-409C-BE32-E72D297353CC}">
              <c16:uniqueId val="{00000000-787A-4BBA-B1DC-E828CFEFFA7A}"/>
            </c:ext>
          </c:extLst>
        </c:ser>
        <c:dLbls>
          <c:showLegendKey val="0"/>
          <c:showVal val="0"/>
          <c:showCatName val="0"/>
          <c:showSerName val="0"/>
          <c:showPercent val="0"/>
          <c:showBubbleSize val="0"/>
        </c:dLbls>
        <c:gapWidth val="150"/>
        <c:gapDepth val="0"/>
        <c:shape val="box"/>
        <c:axId val="91374336"/>
        <c:axId val="91414528"/>
        <c:axId val="0"/>
      </c:bar3DChart>
      <c:catAx>
        <c:axId val="9137433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en-US"/>
          </a:p>
        </c:txPr>
        <c:crossAx val="91414528"/>
        <c:crosses val="autoZero"/>
        <c:auto val="1"/>
        <c:lblAlgn val="ctr"/>
        <c:lblOffset val="100"/>
        <c:tickLblSkip val="1"/>
        <c:tickMarkSkip val="1"/>
        <c:noMultiLvlLbl val="0"/>
      </c:catAx>
      <c:valAx>
        <c:axId val="91414528"/>
        <c:scaling>
          <c:orientation val="minMax"/>
        </c:scaling>
        <c:delete val="0"/>
        <c:axPos val="l"/>
        <c:majorGridlines>
          <c:spPr>
            <a:ln w="3175">
              <a:solidFill>
                <a:srgbClr val="000000"/>
              </a:solidFill>
              <a:prstDash val="solid"/>
            </a:ln>
          </c:spPr>
        </c:majorGridlines>
        <c:title>
          <c:tx>
            <c:rich>
              <a:bodyPr/>
              <a:lstStyle/>
              <a:p>
                <a:pPr>
                  <a:defRPr sz="1150" b="1" i="0" u="sng" strike="noStrike" baseline="0">
                    <a:solidFill>
                      <a:srgbClr val="000000"/>
                    </a:solidFill>
                    <a:latin typeface="Arial"/>
                    <a:ea typeface="Arial"/>
                    <a:cs typeface="Arial"/>
                  </a:defRPr>
                </a:pPr>
                <a:r>
                  <a:rPr lang="en-US"/>
                  <a:t>CHARGES</a:t>
                </a:r>
              </a:p>
            </c:rich>
          </c:tx>
          <c:layout>
            <c:manualLayout>
              <c:xMode val="edge"/>
              <c:yMode val="edge"/>
              <c:x val="3.4257748776509188E-2"/>
              <c:y val="0.43002028397566289"/>
            </c:manualLayout>
          </c:layout>
          <c:overlay val="0"/>
          <c:spPr>
            <a:solidFill>
              <a:srgbClr val="FFFFFF"/>
            </a:solid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a:ea typeface="Arial"/>
                <a:cs typeface="Arial"/>
              </a:defRPr>
            </a:pPr>
            <a:endParaRPr lang="en-US"/>
          </a:p>
        </c:txPr>
        <c:crossAx val="91374336"/>
        <c:crosses val="autoZero"/>
        <c:crossBetween val="between"/>
      </c:valAx>
      <c:spPr>
        <a:noFill/>
        <a:ln w="25399">
          <a:noFill/>
        </a:ln>
      </c:spPr>
    </c:plotArea>
    <c:plotVisOnly val="1"/>
    <c:dispBlanksAs val="gap"/>
    <c:showDLblsOverMax val="0"/>
  </c:chart>
  <c:spPr>
    <a:noFill/>
    <a:ln>
      <a:noFill/>
    </a:ln>
  </c:spPr>
  <c:txPr>
    <a:bodyPr/>
    <a:lstStyle/>
    <a:p>
      <a:pPr>
        <a:defRPr sz="1775" b="1" i="0" u="none" strike="noStrike" baseline="0">
          <a:solidFill>
            <a:srgbClr val="000000"/>
          </a:solidFill>
          <a:latin typeface="Arial"/>
          <a:ea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b="1" i="0" u="sng" strike="noStrike" baseline="0">
                <a:solidFill>
                  <a:srgbClr val="000000"/>
                </a:solidFill>
                <a:latin typeface="Arial"/>
                <a:ea typeface="Arial"/>
                <a:cs typeface="Arial"/>
              </a:defRPr>
            </a:pPr>
            <a:r>
              <a:rPr lang="en-US"/>
              <a:t>TRANSACTIONS ON NSDL</a:t>
            </a:r>
          </a:p>
        </c:rich>
      </c:tx>
      <c:layout>
        <c:manualLayout>
          <c:xMode val="edge"/>
          <c:yMode val="edge"/>
          <c:x val="0.32862190812721087"/>
          <c:y val="1.9531250000000003E-2"/>
        </c:manualLayout>
      </c:layout>
      <c:overlay val="0"/>
      <c:spPr>
        <a:noFill/>
        <a:ln w="25400">
          <a:noFill/>
        </a:ln>
      </c:spPr>
    </c:title>
    <c:autoTitleDeleted val="0"/>
    <c:view3D>
      <c:rotX val="15"/>
      <c:hPercent val="7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0777385159010602"/>
          <c:y val="0.1796875"/>
          <c:w val="0.89399293286219084"/>
          <c:h val="0.658203125"/>
        </c:manualLayout>
      </c:layout>
      <c:bar3DChart>
        <c:barDir val="col"/>
        <c:grouping val="clustered"/>
        <c:varyColors val="0"/>
        <c:ser>
          <c:idx val="0"/>
          <c:order val="0"/>
          <c:tx>
            <c:strRef>
              <c:f>Sheet1!$A$2</c:f>
              <c:strCache>
                <c:ptCount val="1"/>
                <c:pt idx="0">
                  <c:v>TRANSACTION (BUY)</c:v>
                </c:pt>
              </c:strCache>
            </c:strRef>
          </c:tx>
          <c:spPr>
            <a:solidFill>
              <a:srgbClr val="9999FF"/>
            </a:solidFill>
            <a:ln w="12700">
              <a:solidFill>
                <a:srgbClr val="000000"/>
              </a:solidFill>
              <a:prstDash val="solid"/>
            </a:ln>
          </c:spPr>
          <c:invertIfNegative val="0"/>
          <c:cat>
            <c:strRef>
              <c:f>Sheet1!$B$1:$G$1</c:f>
              <c:strCache>
                <c:ptCount val="6"/>
                <c:pt idx="0">
                  <c:v>NSBL</c:v>
                </c:pt>
                <c:pt idx="1">
                  <c:v>HSE</c:v>
                </c:pt>
                <c:pt idx="2">
                  <c:v>HDFC</c:v>
                </c:pt>
                <c:pt idx="3">
                  <c:v>IDBI</c:v>
                </c:pt>
                <c:pt idx="4">
                  <c:v>ING VYSYA</c:v>
                </c:pt>
                <c:pt idx="5">
                  <c:v>KARVY</c:v>
                </c:pt>
              </c:strCache>
            </c:strRef>
          </c:cat>
          <c:val>
            <c:numRef>
              <c:f>Sheet1!$B$2:$G$2</c:f>
              <c:numCache>
                <c:formatCode>General</c:formatCode>
                <c:ptCount val="6"/>
                <c:pt idx="0">
                  <c:v>10</c:v>
                </c:pt>
                <c:pt idx="1">
                  <c:v>10</c:v>
                </c:pt>
                <c:pt idx="2">
                  <c:v>20</c:v>
                </c:pt>
                <c:pt idx="3">
                  <c:v>0</c:v>
                </c:pt>
                <c:pt idx="4">
                  <c:v>1</c:v>
                </c:pt>
                <c:pt idx="5">
                  <c:v>0</c:v>
                </c:pt>
              </c:numCache>
            </c:numRef>
          </c:val>
          <c:extLst>
            <c:ext xmlns:c16="http://schemas.microsoft.com/office/drawing/2014/chart" uri="{C3380CC4-5D6E-409C-BE32-E72D297353CC}">
              <c16:uniqueId val="{00000000-9F63-4086-996A-A14D8163D2E0}"/>
            </c:ext>
          </c:extLst>
        </c:ser>
        <c:ser>
          <c:idx val="1"/>
          <c:order val="1"/>
          <c:tx>
            <c:strRef>
              <c:f>Sheet1!$A$3</c:f>
              <c:strCache>
                <c:ptCount val="1"/>
                <c:pt idx="0">
                  <c:v>TRANSACTION (SELL)</c:v>
                </c:pt>
              </c:strCache>
            </c:strRef>
          </c:tx>
          <c:spPr>
            <a:solidFill>
              <a:srgbClr val="993366"/>
            </a:solidFill>
            <a:ln w="12700">
              <a:solidFill>
                <a:srgbClr val="000000"/>
              </a:solidFill>
              <a:prstDash val="solid"/>
            </a:ln>
          </c:spPr>
          <c:invertIfNegative val="0"/>
          <c:cat>
            <c:strRef>
              <c:f>Sheet1!$B$1:$G$1</c:f>
              <c:strCache>
                <c:ptCount val="6"/>
                <c:pt idx="0">
                  <c:v>NSBL</c:v>
                </c:pt>
                <c:pt idx="1">
                  <c:v>HSE</c:v>
                </c:pt>
                <c:pt idx="2">
                  <c:v>HDFC</c:v>
                </c:pt>
                <c:pt idx="3">
                  <c:v>IDBI</c:v>
                </c:pt>
                <c:pt idx="4">
                  <c:v>ING VYSYA</c:v>
                </c:pt>
                <c:pt idx="5">
                  <c:v>KARVY</c:v>
                </c:pt>
              </c:strCache>
            </c:strRef>
          </c:cat>
          <c:val>
            <c:numRef>
              <c:f>Sheet1!$B$3:$G$3</c:f>
              <c:numCache>
                <c:formatCode>General</c:formatCode>
                <c:ptCount val="6"/>
                <c:pt idx="0">
                  <c:v>20</c:v>
                </c:pt>
                <c:pt idx="1">
                  <c:v>20</c:v>
                </c:pt>
                <c:pt idx="2">
                  <c:v>20</c:v>
                </c:pt>
                <c:pt idx="3">
                  <c:v>30</c:v>
                </c:pt>
                <c:pt idx="4">
                  <c:v>10</c:v>
                </c:pt>
                <c:pt idx="5">
                  <c:v>30</c:v>
                </c:pt>
              </c:numCache>
            </c:numRef>
          </c:val>
          <c:extLst>
            <c:ext xmlns:c16="http://schemas.microsoft.com/office/drawing/2014/chart" uri="{C3380CC4-5D6E-409C-BE32-E72D297353CC}">
              <c16:uniqueId val="{00000001-9F63-4086-996A-A14D8163D2E0}"/>
            </c:ext>
          </c:extLst>
        </c:ser>
        <c:dLbls>
          <c:showLegendKey val="0"/>
          <c:showVal val="0"/>
          <c:showCatName val="0"/>
          <c:showSerName val="0"/>
          <c:showPercent val="0"/>
          <c:showBubbleSize val="0"/>
        </c:dLbls>
        <c:gapWidth val="150"/>
        <c:gapDepth val="0"/>
        <c:shape val="box"/>
        <c:axId val="97487872"/>
        <c:axId val="97993472"/>
        <c:axId val="0"/>
      </c:bar3DChart>
      <c:catAx>
        <c:axId val="97487872"/>
        <c:scaling>
          <c:orientation val="minMax"/>
        </c:scaling>
        <c:delete val="0"/>
        <c:axPos val="b"/>
        <c:title>
          <c:tx>
            <c:rich>
              <a:bodyPr/>
              <a:lstStyle/>
              <a:p>
                <a:pPr>
                  <a:defRPr sz="950" b="1" i="0" u="sng" strike="noStrike" baseline="0">
                    <a:solidFill>
                      <a:srgbClr val="000000"/>
                    </a:solidFill>
                    <a:latin typeface="Arial"/>
                    <a:ea typeface="Arial"/>
                    <a:cs typeface="Arial"/>
                  </a:defRPr>
                </a:pPr>
                <a:r>
                  <a:rPr lang="en-US"/>
                  <a:t>D.P PARTICIPANTS</a:t>
                </a:r>
              </a:p>
            </c:rich>
          </c:tx>
          <c:layout>
            <c:manualLayout>
              <c:xMode val="edge"/>
              <c:yMode val="edge"/>
              <c:x val="0.43816254416961326"/>
              <c:y val="0.88281249999999956"/>
            </c:manualLayout>
          </c:layout>
          <c:overlay val="0"/>
          <c:spPr>
            <a:noFill/>
            <a:ln w="25400">
              <a:noFill/>
            </a:ln>
          </c:spPr>
        </c:title>
        <c:numFmt formatCode="General" sourceLinked="1"/>
        <c:majorTickMark val="none"/>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en-US"/>
          </a:p>
        </c:txPr>
        <c:crossAx val="97993472"/>
        <c:crosses val="autoZero"/>
        <c:auto val="1"/>
        <c:lblAlgn val="ctr"/>
        <c:lblOffset val="100"/>
        <c:tickLblSkip val="1"/>
        <c:tickMarkSkip val="1"/>
        <c:noMultiLvlLbl val="0"/>
      </c:catAx>
      <c:valAx>
        <c:axId val="97993472"/>
        <c:scaling>
          <c:orientation val="minMax"/>
        </c:scaling>
        <c:delete val="0"/>
        <c:axPos val="l"/>
        <c:majorGridlines>
          <c:spPr>
            <a:ln w="3175">
              <a:solidFill>
                <a:srgbClr val="000000"/>
              </a:solidFill>
              <a:prstDash val="solid"/>
            </a:ln>
          </c:spPr>
        </c:majorGridlines>
        <c:title>
          <c:tx>
            <c:rich>
              <a:bodyPr/>
              <a:lstStyle/>
              <a:p>
                <a:pPr>
                  <a:defRPr sz="950" b="1" i="0" u="sng" strike="noStrike" baseline="0">
                    <a:solidFill>
                      <a:srgbClr val="000000"/>
                    </a:solidFill>
                    <a:latin typeface="Arial"/>
                    <a:ea typeface="Arial"/>
                    <a:cs typeface="Arial"/>
                  </a:defRPr>
                </a:pPr>
                <a:r>
                  <a:rPr lang="en-US"/>
                  <a:t>CHARGES</a:t>
                </a:r>
              </a:p>
            </c:rich>
          </c:tx>
          <c:layout>
            <c:manualLayout>
              <c:xMode val="edge"/>
              <c:yMode val="edge"/>
              <c:x val="3.5335689045936397E-2"/>
              <c:y val="0.45117187500000133"/>
            </c:manualLayout>
          </c:layout>
          <c:overlay val="0"/>
          <c:spPr>
            <a:noFill/>
            <a:ln w="25400">
              <a:noFill/>
            </a:ln>
          </c:spPr>
        </c:title>
        <c:numFmt formatCode="General" sourceLinked="1"/>
        <c:majorTickMark val="out"/>
        <c:minorTickMark val="none"/>
        <c:tickLblPos val="nextTo"/>
        <c:spPr>
          <a:ln w="3175">
            <a:solidFill>
              <a:srgbClr val="000000"/>
            </a:solidFill>
            <a:prstDash val="solid"/>
          </a:ln>
        </c:spPr>
        <c:txPr>
          <a:bodyPr rot="0" vert="horz"/>
          <a:lstStyle/>
          <a:p>
            <a:pPr>
              <a:defRPr sz="1675" b="1" i="0" u="none" strike="noStrike" baseline="0">
                <a:solidFill>
                  <a:srgbClr val="000000"/>
                </a:solidFill>
                <a:latin typeface="Arial"/>
                <a:ea typeface="Arial"/>
                <a:cs typeface="Arial"/>
              </a:defRPr>
            </a:pPr>
            <a:endParaRPr lang="en-US"/>
          </a:p>
        </c:txPr>
        <c:crossAx val="97487872"/>
        <c:crosses val="autoZero"/>
        <c:crossBetween val="between"/>
      </c:valAx>
      <c:spPr>
        <a:noFill/>
        <a:ln w="25400">
          <a:noFill/>
        </a:ln>
      </c:spPr>
    </c:plotArea>
    <c:legend>
      <c:legendPos val="b"/>
      <c:layout>
        <c:manualLayout>
          <c:xMode val="edge"/>
          <c:yMode val="edge"/>
          <c:x val="0.27031802120141507"/>
          <c:y val="0.95117187500000278"/>
          <c:w val="0.45759717314487797"/>
          <c:h val="4.2968750000000014E-2"/>
        </c:manualLayout>
      </c:layout>
      <c:overlay val="0"/>
      <c:spPr>
        <a:noFill/>
        <a:ln w="3175">
          <a:solidFill>
            <a:srgbClr val="000000"/>
          </a:solidFill>
          <a:prstDash val="solid"/>
        </a:ln>
      </c:spPr>
      <c:txPr>
        <a:bodyPr/>
        <a:lstStyle/>
        <a:p>
          <a:pPr>
            <a:defRPr sz="735"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625" b="1" i="0" u="none" strike="noStrike" baseline="0">
          <a:solidFill>
            <a:srgbClr val="000000"/>
          </a:solidFill>
          <a:latin typeface="Arial"/>
          <a:ea typeface="Arial"/>
          <a:cs typeface="Arial"/>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325" b="1" i="0" u="none" strike="noStrike" baseline="0">
                <a:solidFill>
                  <a:srgbClr val="000000"/>
                </a:solidFill>
                <a:latin typeface="Arial"/>
                <a:ea typeface="Arial"/>
                <a:cs typeface="Arial"/>
              </a:defRPr>
            </a:pPr>
            <a:r>
              <a:rPr lang="en-US"/>
              <a:t>ANNUAL MANTANCE [CDSL]</a:t>
            </a:r>
          </a:p>
        </c:rich>
      </c:tx>
      <c:layout>
        <c:manualLayout>
          <c:xMode val="edge"/>
          <c:yMode val="edge"/>
          <c:x val="0.28618968386023452"/>
          <c:y val="2.0618556701030927E-2"/>
        </c:manualLayout>
      </c:layout>
      <c:overlay val="0"/>
      <c:spPr>
        <a:noFill/>
        <a:ln w="2540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
          <c:y val="0.34226804123711341"/>
          <c:w val="1"/>
          <c:h val="0.5582732767847951"/>
        </c:manualLayout>
      </c:layout>
      <c:pie3DChart>
        <c:varyColors val="1"/>
        <c:ser>
          <c:idx val="0"/>
          <c:order val="0"/>
          <c:tx>
            <c:strRef>
              <c:f>Sheet1!$A$2</c:f>
              <c:strCache>
                <c:ptCount val="1"/>
                <c:pt idx="0">
                  <c:v>East</c:v>
                </c:pt>
              </c:strCache>
            </c:strRef>
          </c:tx>
          <c:spPr>
            <a:solidFill>
              <a:srgbClr val="9999FF"/>
            </a:solidFill>
            <a:ln w="12700">
              <a:solidFill>
                <a:srgbClr val="000000"/>
              </a:solidFill>
              <a:prstDash val="solid"/>
            </a:ln>
          </c:spPr>
          <c:explosion val="25"/>
          <c:dPt>
            <c:idx val="1"/>
            <c:bubble3D val="0"/>
            <c:spPr>
              <a:solidFill>
                <a:srgbClr val="993366"/>
              </a:solidFill>
              <a:ln w="12700">
                <a:solidFill>
                  <a:srgbClr val="000000"/>
                </a:solidFill>
                <a:prstDash val="solid"/>
              </a:ln>
            </c:spPr>
            <c:extLst>
              <c:ext xmlns:c16="http://schemas.microsoft.com/office/drawing/2014/chart" uri="{C3380CC4-5D6E-409C-BE32-E72D297353CC}">
                <c16:uniqueId val="{00000000-7B6F-4055-B07C-B369442A9029}"/>
              </c:ext>
            </c:extLst>
          </c:dPt>
          <c:dPt>
            <c:idx val="2"/>
            <c:bubble3D val="0"/>
            <c:spPr>
              <a:solidFill>
                <a:srgbClr val="FFFFCC"/>
              </a:solidFill>
              <a:ln w="12700">
                <a:solidFill>
                  <a:srgbClr val="000000"/>
                </a:solidFill>
                <a:prstDash val="solid"/>
              </a:ln>
            </c:spPr>
            <c:extLst>
              <c:ext xmlns:c16="http://schemas.microsoft.com/office/drawing/2014/chart" uri="{C3380CC4-5D6E-409C-BE32-E72D297353CC}">
                <c16:uniqueId val="{00000001-7B6F-4055-B07C-B369442A9029}"/>
              </c:ext>
            </c:extLst>
          </c:dPt>
          <c:dPt>
            <c:idx val="3"/>
            <c:bubble3D val="0"/>
            <c:spPr>
              <a:solidFill>
                <a:srgbClr val="CCFFFF"/>
              </a:solidFill>
              <a:ln w="12700">
                <a:solidFill>
                  <a:srgbClr val="000000"/>
                </a:solidFill>
                <a:prstDash val="solid"/>
              </a:ln>
            </c:spPr>
            <c:extLst>
              <c:ext xmlns:c16="http://schemas.microsoft.com/office/drawing/2014/chart" uri="{C3380CC4-5D6E-409C-BE32-E72D297353CC}">
                <c16:uniqueId val="{00000002-7B6F-4055-B07C-B369442A9029}"/>
              </c:ext>
            </c:extLst>
          </c:dPt>
          <c:dPt>
            <c:idx val="4"/>
            <c:bubble3D val="0"/>
            <c:spPr>
              <a:solidFill>
                <a:srgbClr val="660066"/>
              </a:solidFill>
              <a:ln w="12700">
                <a:solidFill>
                  <a:srgbClr val="000000"/>
                </a:solidFill>
                <a:prstDash val="solid"/>
              </a:ln>
            </c:spPr>
            <c:extLst>
              <c:ext xmlns:c16="http://schemas.microsoft.com/office/drawing/2014/chart" uri="{C3380CC4-5D6E-409C-BE32-E72D297353CC}">
                <c16:uniqueId val="{00000003-7B6F-4055-B07C-B369442A9029}"/>
              </c:ext>
            </c:extLst>
          </c:dPt>
          <c:dPt>
            <c:idx val="5"/>
            <c:bubble3D val="0"/>
            <c:spPr>
              <a:solidFill>
                <a:srgbClr val="FF8080"/>
              </a:solidFill>
              <a:ln w="12700">
                <a:solidFill>
                  <a:srgbClr val="000000"/>
                </a:solidFill>
                <a:prstDash val="solid"/>
              </a:ln>
            </c:spPr>
            <c:extLst>
              <c:ext xmlns:c16="http://schemas.microsoft.com/office/drawing/2014/chart" uri="{C3380CC4-5D6E-409C-BE32-E72D297353CC}">
                <c16:uniqueId val="{00000004-7B6F-4055-B07C-B369442A9029}"/>
              </c:ext>
            </c:extLst>
          </c:dPt>
          <c:dLbls>
            <c:spPr>
              <a:noFill/>
              <a:ln w="25400">
                <a:noFill/>
              </a:ln>
            </c:spPr>
            <c:txPr>
              <a:bodyPr/>
              <a:lstStyle/>
              <a:p>
                <a:pPr>
                  <a:defRPr sz="1200" b="1" i="0" u="none" strike="noStrike" baseline="0">
                    <a:solidFill>
                      <a:srgbClr val="000000"/>
                    </a:solidFill>
                    <a:latin typeface="Arial"/>
                    <a:ea typeface="Arial"/>
                    <a:cs typeface="Arial"/>
                  </a:defRPr>
                </a:pPr>
                <a:endParaRPr lang="en-US"/>
              </a:p>
            </c:txPr>
            <c:showLegendKey val="0"/>
            <c:showVal val="1"/>
            <c:showCatName val="0"/>
            <c:showSerName val="0"/>
            <c:showPercent val="0"/>
            <c:showBubbleSize val="0"/>
            <c:showLeaderLines val="0"/>
            <c:extLst>
              <c:ext xmlns:c15="http://schemas.microsoft.com/office/drawing/2012/chart" uri="{CE6537A1-D6FC-4f65-9D91-7224C49458BB}"/>
            </c:extLst>
          </c:dLbls>
          <c:cat>
            <c:strRef>
              <c:f>Sheet1!$B$1:$G$1</c:f>
              <c:strCache>
                <c:ptCount val="6"/>
                <c:pt idx="0">
                  <c:v>HSE</c:v>
                </c:pt>
                <c:pt idx="1">
                  <c:v>BNR</c:v>
                </c:pt>
                <c:pt idx="2">
                  <c:v>UTI</c:v>
                </c:pt>
                <c:pt idx="3">
                  <c:v>CENTURION </c:v>
                </c:pt>
                <c:pt idx="4">
                  <c:v>B.O.I</c:v>
                </c:pt>
                <c:pt idx="5">
                  <c:v>SHC</c:v>
                </c:pt>
              </c:strCache>
            </c:strRef>
          </c:cat>
          <c:val>
            <c:numRef>
              <c:f>Sheet1!$B$2:$G$2</c:f>
              <c:numCache>
                <c:formatCode>General</c:formatCode>
                <c:ptCount val="6"/>
                <c:pt idx="0">
                  <c:v>150</c:v>
                </c:pt>
                <c:pt idx="1">
                  <c:v>300</c:v>
                </c:pt>
                <c:pt idx="2">
                  <c:v>200</c:v>
                </c:pt>
                <c:pt idx="3">
                  <c:v>300</c:v>
                </c:pt>
                <c:pt idx="4">
                  <c:v>250</c:v>
                </c:pt>
                <c:pt idx="5">
                  <c:v>300</c:v>
                </c:pt>
              </c:numCache>
            </c:numRef>
          </c:val>
          <c:extLst>
            <c:ext xmlns:c16="http://schemas.microsoft.com/office/drawing/2014/chart" uri="{C3380CC4-5D6E-409C-BE32-E72D297353CC}">
              <c16:uniqueId val="{00000005-7B6F-4055-B07C-B369442A9029}"/>
            </c:ext>
          </c:extLst>
        </c:ser>
        <c:dLbls>
          <c:showLegendKey val="0"/>
          <c:showVal val="1"/>
          <c:showCatName val="0"/>
          <c:showSerName val="0"/>
          <c:showPercent val="0"/>
          <c:showBubbleSize val="0"/>
          <c:showLeaderLines val="0"/>
        </c:dLbls>
      </c:pie3DChart>
      <c:spPr>
        <a:solidFill>
          <a:srgbClr val="C0C0C0"/>
        </a:solidFill>
        <a:ln w="12700">
          <a:solidFill>
            <a:srgbClr val="808080"/>
          </a:solidFill>
          <a:prstDash val="solid"/>
        </a:ln>
      </c:spPr>
    </c:plotArea>
    <c:legend>
      <c:legendPos val="r"/>
      <c:layout>
        <c:manualLayout>
          <c:xMode val="edge"/>
          <c:yMode val="edge"/>
          <c:x val="0.78202995008319887"/>
          <c:y val="0.3340206185567024"/>
          <c:w val="0.21131447587354421"/>
          <c:h val="0.29896907216495089"/>
        </c:manualLayout>
      </c:layout>
      <c:overlay val="0"/>
      <c:spPr>
        <a:noFill/>
        <a:ln w="3175">
          <a:solidFill>
            <a:srgbClr val="000000"/>
          </a:solidFill>
          <a:prstDash val="solid"/>
        </a:ln>
      </c:spPr>
      <c:txPr>
        <a:bodyPr/>
        <a:lstStyle/>
        <a:p>
          <a:pPr>
            <a:defRPr sz="1100" b="1" i="0" u="none" strike="noStrike" baseline="0">
              <a:solidFill>
                <a:srgbClr val="000000"/>
              </a:solidFill>
              <a:latin typeface="Arial"/>
              <a:ea typeface="Arial"/>
              <a:cs typeface="Arial"/>
            </a:defRPr>
          </a:pPr>
          <a:endParaRPr lang="en-US"/>
        </a:p>
      </c:txPr>
    </c:legend>
    <c:plotVisOnly val="1"/>
    <c:dispBlanksAs val="zero"/>
    <c:showDLblsOverMax val="0"/>
  </c:chart>
  <c:spPr>
    <a:noFill/>
    <a:ln>
      <a:noFill/>
    </a:ln>
  </c:spPr>
  <c:txPr>
    <a:bodyPr/>
    <a:lstStyle/>
    <a:p>
      <a:pPr>
        <a:defRPr sz="1725" b="1" i="0" u="none" strike="noStrike" baseline="0">
          <a:solidFill>
            <a:srgbClr val="000000"/>
          </a:solidFill>
          <a:latin typeface="Arial"/>
          <a:ea typeface="Arial"/>
          <a:cs typeface="Arial"/>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sng" strike="noStrike" baseline="0">
                <a:solidFill>
                  <a:srgbClr val="000000"/>
                </a:solidFill>
                <a:latin typeface="Arial"/>
                <a:ea typeface="Arial"/>
                <a:cs typeface="Arial"/>
              </a:defRPr>
            </a:pPr>
            <a:r>
              <a:rPr lang="en-US"/>
              <a:t>MARKET(BUY/SELL) ON CDSL</a:t>
            </a:r>
          </a:p>
        </c:rich>
      </c:tx>
      <c:layout>
        <c:manualLayout>
          <c:xMode val="edge"/>
          <c:yMode val="edge"/>
          <c:x val="0.3410981697171383"/>
          <c:y val="2.0746887966804992E-2"/>
        </c:manualLayout>
      </c:layout>
      <c:overlay val="0"/>
      <c:spPr>
        <a:noFill/>
        <a:ln w="25399">
          <a:noFill/>
        </a:ln>
      </c:spPr>
    </c:title>
    <c:autoTitleDeleted val="0"/>
    <c:view3D>
      <c:rotX val="15"/>
      <c:hPercent val="71"/>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0.1830282861896845"/>
          <c:y val="0.10580912863070538"/>
          <c:w val="0.79034941763727484"/>
          <c:h val="0.71991701244813766"/>
        </c:manualLayout>
      </c:layout>
      <c:bar3DChart>
        <c:barDir val="col"/>
        <c:grouping val="clustered"/>
        <c:varyColors val="0"/>
        <c:ser>
          <c:idx val="0"/>
          <c:order val="0"/>
          <c:tx>
            <c:strRef>
              <c:f>Sheet1!$A$2</c:f>
              <c:strCache>
                <c:ptCount val="1"/>
                <c:pt idx="0">
                  <c:v>BUY</c:v>
                </c:pt>
              </c:strCache>
            </c:strRef>
          </c:tx>
          <c:spPr>
            <a:solidFill>
              <a:srgbClr val="9999FF"/>
            </a:solidFill>
            <a:ln w="12700">
              <a:solidFill>
                <a:srgbClr val="000000"/>
              </a:solidFill>
              <a:prstDash val="solid"/>
            </a:ln>
          </c:spPr>
          <c:invertIfNegative val="0"/>
          <c:cat>
            <c:strRef>
              <c:f>Sheet1!$B$1:$G$1</c:f>
              <c:strCache>
                <c:ptCount val="6"/>
                <c:pt idx="0">
                  <c:v>HSE</c:v>
                </c:pt>
                <c:pt idx="1">
                  <c:v>CENTURION </c:v>
                </c:pt>
                <c:pt idx="2">
                  <c:v>UTI</c:v>
                </c:pt>
                <c:pt idx="3">
                  <c:v>BNR</c:v>
                </c:pt>
                <c:pt idx="4">
                  <c:v>B.O.I</c:v>
                </c:pt>
                <c:pt idx="5">
                  <c:v>S.H.C</c:v>
                </c:pt>
              </c:strCache>
            </c:strRef>
          </c:cat>
          <c:val>
            <c:numRef>
              <c:f>Sheet1!$B$2:$G$2</c:f>
              <c:numCache>
                <c:formatCode>General</c:formatCode>
                <c:ptCount val="6"/>
                <c:pt idx="0">
                  <c:v>10</c:v>
                </c:pt>
                <c:pt idx="1">
                  <c:v>10</c:v>
                </c:pt>
                <c:pt idx="2">
                  <c:v>10</c:v>
                </c:pt>
                <c:pt idx="3">
                  <c:v>5</c:v>
                </c:pt>
                <c:pt idx="4">
                  <c:v>20</c:v>
                </c:pt>
                <c:pt idx="5">
                  <c:v>15</c:v>
                </c:pt>
              </c:numCache>
            </c:numRef>
          </c:val>
          <c:extLst>
            <c:ext xmlns:c16="http://schemas.microsoft.com/office/drawing/2014/chart" uri="{C3380CC4-5D6E-409C-BE32-E72D297353CC}">
              <c16:uniqueId val="{00000000-963D-4C6D-908C-843DFFF92708}"/>
            </c:ext>
          </c:extLst>
        </c:ser>
        <c:ser>
          <c:idx val="1"/>
          <c:order val="1"/>
          <c:tx>
            <c:strRef>
              <c:f>Sheet1!$A$3</c:f>
              <c:strCache>
                <c:ptCount val="1"/>
                <c:pt idx="0">
                  <c:v>SELL</c:v>
                </c:pt>
              </c:strCache>
            </c:strRef>
          </c:tx>
          <c:spPr>
            <a:solidFill>
              <a:srgbClr val="993366"/>
            </a:solidFill>
            <a:ln w="12700">
              <a:solidFill>
                <a:srgbClr val="000000"/>
              </a:solidFill>
              <a:prstDash val="solid"/>
            </a:ln>
          </c:spPr>
          <c:invertIfNegative val="0"/>
          <c:cat>
            <c:strRef>
              <c:f>Sheet1!$B$1:$G$1</c:f>
              <c:strCache>
                <c:ptCount val="6"/>
                <c:pt idx="0">
                  <c:v>HSE</c:v>
                </c:pt>
                <c:pt idx="1">
                  <c:v>CENTURION </c:v>
                </c:pt>
                <c:pt idx="2">
                  <c:v>UTI</c:v>
                </c:pt>
                <c:pt idx="3">
                  <c:v>BNR</c:v>
                </c:pt>
                <c:pt idx="4">
                  <c:v>B.O.I</c:v>
                </c:pt>
                <c:pt idx="5">
                  <c:v>S.H.C</c:v>
                </c:pt>
              </c:strCache>
            </c:strRef>
          </c:cat>
          <c:val>
            <c:numRef>
              <c:f>Sheet1!$B$3:$G$3</c:f>
              <c:numCache>
                <c:formatCode>General</c:formatCode>
                <c:ptCount val="6"/>
                <c:pt idx="0">
                  <c:v>20</c:v>
                </c:pt>
                <c:pt idx="1">
                  <c:v>15</c:v>
                </c:pt>
                <c:pt idx="2">
                  <c:v>10</c:v>
                </c:pt>
                <c:pt idx="3">
                  <c:v>20</c:v>
                </c:pt>
                <c:pt idx="4">
                  <c:v>25</c:v>
                </c:pt>
                <c:pt idx="5">
                  <c:v>15</c:v>
                </c:pt>
              </c:numCache>
            </c:numRef>
          </c:val>
          <c:extLst>
            <c:ext xmlns:c16="http://schemas.microsoft.com/office/drawing/2014/chart" uri="{C3380CC4-5D6E-409C-BE32-E72D297353CC}">
              <c16:uniqueId val="{00000001-963D-4C6D-908C-843DFFF92708}"/>
            </c:ext>
          </c:extLst>
        </c:ser>
        <c:dLbls>
          <c:showLegendKey val="0"/>
          <c:showVal val="0"/>
          <c:showCatName val="0"/>
          <c:showSerName val="0"/>
          <c:showPercent val="0"/>
          <c:showBubbleSize val="0"/>
        </c:dLbls>
        <c:gapWidth val="150"/>
        <c:gapDepth val="0"/>
        <c:shape val="box"/>
        <c:axId val="52429952"/>
        <c:axId val="53081216"/>
        <c:axId val="0"/>
      </c:bar3DChart>
      <c:catAx>
        <c:axId val="52429952"/>
        <c:scaling>
          <c:orientation val="minMax"/>
        </c:scaling>
        <c:delete val="0"/>
        <c:axPos val="b"/>
        <c:title>
          <c:tx>
            <c:rich>
              <a:bodyPr/>
              <a:lstStyle/>
              <a:p>
                <a:pPr>
                  <a:defRPr sz="975" b="1" i="0" u="sng" strike="noStrike" baseline="0">
                    <a:solidFill>
                      <a:srgbClr val="000000"/>
                    </a:solidFill>
                    <a:latin typeface="Arial"/>
                    <a:ea typeface="Arial"/>
                    <a:cs typeface="Arial"/>
                  </a:defRPr>
                </a:pPr>
                <a:r>
                  <a:rPr lang="en-US"/>
                  <a:t>D.P PARTICIPANTS</a:t>
                </a:r>
              </a:p>
            </c:rich>
          </c:tx>
          <c:layout>
            <c:manualLayout>
              <c:xMode val="edge"/>
              <c:yMode val="edge"/>
              <c:x val="0.46755407653910147"/>
              <c:y val="0.86514522821577067"/>
            </c:manualLayout>
          </c:layout>
          <c:overlay val="0"/>
          <c:spPr>
            <a:noFill/>
            <a:ln w="25399">
              <a:noFill/>
            </a:ln>
          </c:spPr>
        </c:title>
        <c:numFmt formatCode="General" sourceLinked="1"/>
        <c:majorTickMark val="out"/>
        <c:minorTickMark val="none"/>
        <c:tickLblPos val="low"/>
        <c:spPr>
          <a:ln w="9525">
            <a:noFill/>
          </a:ln>
        </c:spPr>
        <c:txPr>
          <a:bodyPr rot="0" vert="horz"/>
          <a:lstStyle/>
          <a:p>
            <a:pPr>
              <a:defRPr sz="825" b="1" i="0" u="none" strike="noStrike" baseline="0">
                <a:solidFill>
                  <a:srgbClr val="000000"/>
                </a:solidFill>
                <a:latin typeface="Arial"/>
                <a:ea typeface="Arial"/>
                <a:cs typeface="Arial"/>
              </a:defRPr>
            </a:pPr>
            <a:endParaRPr lang="en-US"/>
          </a:p>
        </c:txPr>
        <c:crossAx val="53081216"/>
        <c:crosses val="autoZero"/>
        <c:auto val="1"/>
        <c:lblAlgn val="ctr"/>
        <c:lblOffset val="100"/>
        <c:tickLblSkip val="1"/>
        <c:tickMarkSkip val="1"/>
        <c:noMultiLvlLbl val="0"/>
      </c:catAx>
      <c:valAx>
        <c:axId val="53081216"/>
        <c:scaling>
          <c:orientation val="minMax"/>
        </c:scaling>
        <c:delete val="0"/>
        <c:axPos val="l"/>
        <c:majorGridlines>
          <c:spPr>
            <a:ln w="3175">
              <a:solidFill>
                <a:srgbClr val="000000"/>
              </a:solidFill>
              <a:prstDash val="solid"/>
            </a:ln>
          </c:spPr>
        </c:majorGridlines>
        <c:title>
          <c:tx>
            <c:rich>
              <a:bodyPr rot="0" vert="horz"/>
              <a:lstStyle/>
              <a:p>
                <a:pPr algn="ctr">
                  <a:defRPr sz="975" b="1" i="0" u="sng" strike="noStrike" baseline="0">
                    <a:solidFill>
                      <a:srgbClr val="000000"/>
                    </a:solidFill>
                    <a:latin typeface="Arial"/>
                    <a:ea typeface="Arial"/>
                    <a:cs typeface="Arial"/>
                  </a:defRPr>
                </a:pPr>
                <a:r>
                  <a:rPr lang="en-US"/>
                  <a:t>CHARGES</a:t>
                </a:r>
              </a:p>
            </c:rich>
          </c:tx>
          <c:layout>
            <c:manualLayout>
              <c:xMode val="edge"/>
              <c:yMode val="edge"/>
              <c:x val="3.3277870216306352E-3"/>
              <c:y val="0.45020746887966945"/>
            </c:manualLayout>
          </c:layout>
          <c:overlay val="0"/>
          <c:spPr>
            <a:noFill/>
            <a:ln w="25399">
              <a:noFill/>
            </a:ln>
          </c:spPr>
        </c:title>
        <c:numFmt formatCode="General" sourceLinked="1"/>
        <c:majorTickMark val="out"/>
        <c:minorTickMark val="none"/>
        <c:tickLblPos val="nextTo"/>
        <c:spPr>
          <a:ln w="3175">
            <a:solidFill>
              <a:srgbClr val="000000"/>
            </a:solidFill>
            <a:prstDash val="solid"/>
          </a:ln>
        </c:spPr>
        <c:txPr>
          <a:bodyPr rot="0" vert="horz"/>
          <a:lstStyle/>
          <a:p>
            <a:pPr>
              <a:defRPr sz="1100" b="1" i="0" u="none" strike="noStrike" baseline="0">
                <a:solidFill>
                  <a:srgbClr val="000000"/>
                </a:solidFill>
                <a:latin typeface="Arial"/>
                <a:ea typeface="Arial"/>
                <a:cs typeface="Arial"/>
              </a:defRPr>
            </a:pPr>
            <a:endParaRPr lang="en-US"/>
          </a:p>
        </c:txPr>
        <c:crossAx val="52429952"/>
        <c:crosses val="autoZero"/>
        <c:crossBetween val="between"/>
      </c:valAx>
      <c:spPr>
        <a:noFill/>
        <a:ln w="25399">
          <a:noFill/>
        </a:ln>
      </c:spPr>
    </c:plotArea>
    <c:legend>
      <c:legendPos val="b"/>
      <c:layout>
        <c:manualLayout>
          <c:xMode val="edge"/>
          <c:yMode val="edge"/>
          <c:x val="0.37437603993344776"/>
          <c:y val="0.94813278008298441"/>
          <c:w val="0.13810316139767054"/>
          <c:h val="4.5643153526970709E-2"/>
        </c:manualLayout>
      </c:layout>
      <c:overlay val="0"/>
      <c:spPr>
        <a:solidFill>
          <a:srgbClr val="FFFFFF"/>
        </a:solidFill>
        <a:ln w="3175">
          <a:solidFill>
            <a:srgbClr val="000000"/>
          </a:solidFill>
          <a:prstDash val="solid"/>
        </a:ln>
      </c:spPr>
      <c:txPr>
        <a:bodyPr/>
        <a:lstStyle/>
        <a:p>
          <a:pPr>
            <a:defRPr sz="755"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1725"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9</Pages>
  <Words>1859</Words>
  <Characters>10600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94</cp:revision>
  <dcterms:created xsi:type="dcterms:W3CDTF">2024-05-24T12:49:00Z</dcterms:created>
  <dcterms:modified xsi:type="dcterms:W3CDTF">2024-06-07T16:12:00Z</dcterms:modified>
</cp:coreProperties>
</file>