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337DC" w:rsidRDefault="000250A7">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EXPLORING TOURISTS’ PERSPECTIVE ON ENVIRONMENTAL FEES IN THE ISLAND GARDEN CITY OF SAMAL</w:t>
      </w:r>
    </w:p>
    <w:p w14:paraId="00000002" w14:textId="77777777" w:rsidR="006337DC" w:rsidRDefault="006337DC">
      <w:pPr>
        <w:spacing w:after="0" w:line="240" w:lineRule="auto"/>
        <w:jc w:val="center"/>
        <w:rPr>
          <w:rFonts w:ascii="Times New Roman" w:eastAsia="Times New Roman" w:hAnsi="Times New Roman" w:cs="Times New Roman"/>
          <w:b/>
        </w:rPr>
      </w:pPr>
    </w:p>
    <w:p w14:paraId="00000003" w14:textId="77777777" w:rsidR="006337DC" w:rsidRDefault="000250A7">
      <w:pPr>
        <w:spacing w:after="0" w:line="240" w:lineRule="auto"/>
        <w:jc w:val="center"/>
        <w:rPr>
          <w:rFonts w:ascii="Times New Roman" w:eastAsia="Times New Roman" w:hAnsi="Times New Roman" w:cs="Times New Roman"/>
        </w:rPr>
      </w:pPr>
      <w:proofErr w:type="spellStart"/>
      <w:r>
        <w:rPr>
          <w:rFonts w:ascii="Times New Roman" w:eastAsia="Times New Roman" w:hAnsi="Times New Roman" w:cs="Times New Roman"/>
        </w:rPr>
        <w:t>Abing</w:t>
      </w:r>
      <w:proofErr w:type="spellEnd"/>
      <w:r>
        <w:rPr>
          <w:rFonts w:ascii="Times New Roman" w:eastAsia="Times New Roman" w:hAnsi="Times New Roman" w:cs="Times New Roman"/>
        </w:rPr>
        <w:t xml:space="preserve">, Angel Grace C. </w:t>
      </w:r>
    </w:p>
    <w:p w14:paraId="00000004" w14:textId="77777777" w:rsidR="006337DC" w:rsidRDefault="000250A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 xml:space="preserve">College of Development Management Graduate Program, University of Southeastern Philippines, </w:t>
      </w:r>
      <w:proofErr w:type="spellStart"/>
      <w:r>
        <w:rPr>
          <w:rFonts w:ascii="Times New Roman" w:eastAsia="Times New Roman" w:hAnsi="Times New Roman" w:cs="Times New Roman"/>
        </w:rPr>
        <w:t>Mintal</w:t>
      </w:r>
      <w:proofErr w:type="spellEnd"/>
      <w:r>
        <w:rPr>
          <w:rFonts w:ascii="Times New Roman" w:eastAsia="Times New Roman" w:hAnsi="Times New Roman" w:cs="Times New Roman"/>
        </w:rPr>
        <w:t xml:space="preserve"> Campus, Davao City</w:t>
      </w:r>
    </w:p>
    <w:p w14:paraId="00000005" w14:textId="77777777" w:rsidR="006337DC" w:rsidRDefault="006337DC">
      <w:pPr>
        <w:pBdr>
          <w:bottom w:val="single" w:sz="6" w:space="1" w:color="000000"/>
        </w:pBdr>
        <w:spacing w:after="0" w:line="240" w:lineRule="auto"/>
        <w:jc w:val="both"/>
        <w:rPr>
          <w:rFonts w:ascii="Times New Roman" w:eastAsia="Times New Roman" w:hAnsi="Times New Roman" w:cs="Times New Roman"/>
          <w:b/>
        </w:rPr>
      </w:pPr>
    </w:p>
    <w:p w14:paraId="00000006" w14:textId="77777777" w:rsidR="006337DC" w:rsidRDefault="006337DC">
      <w:pPr>
        <w:spacing w:after="0" w:line="240" w:lineRule="auto"/>
        <w:jc w:val="center"/>
        <w:rPr>
          <w:rFonts w:ascii="Times New Roman" w:eastAsia="Times New Roman" w:hAnsi="Times New Roman" w:cs="Times New Roman"/>
          <w:b/>
        </w:rPr>
      </w:pPr>
    </w:p>
    <w:p w14:paraId="00000007" w14:textId="77777777" w:rsidR="006337DC" w:rsidRDefault="000250A7">
      <w:pPr>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ABSTRACT</w:t>
      </w:r>
    </w:p>
    <w:p w14:paraId="00000008" w14:textId="77777777" w:rsidR="006337DC" w:rsidRDefault="006337DC">
      <w:pPr>
        <w:spacing w:after="0" w:line="240" w:lineRule="auto"/>
        <w:rPr>
          <w:rFonts w:ascii="Times New Roman" w:eastAsia="Times New Roman" w:hAnsi="Times New Roman" w:cs="Times New Roman"/>
          <w:b/>
          <w:sz w:val="20"/>
          <w:szCs w:val="20"/>
        </w:rPr>
      </w:pPr>
    </w:p>
    <w:p w14:paraId="00000009" w14:textId="53E61442"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Island Garden City of </w:t>
      </w:r>
      <w:proofErr w:type="spellStart"/>
      <w:r>
        <w:rPr>
          <w:rFonts w:ascii="Times New Roman" w:eastAsia="Times New Roman" w:hAnsi="Times New Roman" w:cs="Times New Roman"/>
          <w:sz w:val="20"/>
          <w:szCs w:val="20"/>
        </w:rPr>
        <w:t>Samal</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has experienced significant tourism growth, driven by its natural attractions and existing infrastructure development. However, this growth poses challenges to the sustainability of its tourism industry, with enviro</w:t>
      </w:r>
      <w:r>
        <w:rPr>
          <w:rFonts w:ascii="Times New Roman" w:eastAsia="Times New Roman" w:hAnsi="Times New Roman" w:cs="Times New Roman"/>
          <w:sz w:val="20"/>
          <w:szCs w:val="20"/>
        </w:rPr>
        <w:t xml:space="preserve">nmental degradation threatening its fragile ecosystems. This study explores the tourist perspective on environmental fees in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its objective is to understand tourist awareness, perception of fairness of the implementation, and the impact of these fee</w:t>
      </w:r>
      <w:r>
        <w:rPr>
          <w:rFonts w:ascii="Times New Roman" w:eastAsia="Times New Roman" w:hAnsi="Times New Roman" w:cs="Times New Roman"/>
          <w:sz w:val="20"/>
          <w:szCs w:val="20"/>
        </w:rPr>
        <w:t xml:space="preserve">s on their decision to visit the island. Qualitative interviews with tourists revealed two major themes </w:t>
      </w:r>
      <w:r w:rsidR="005D1D9E">
        <w:rPr>
          <w:rFonts w:ascii="Times New Roman" w:eastAsia="Times New Roman" w:hAnsi="Times New Roman" w:cs="Times New Roman"/>
          <w:sz w:val="20"/>
          <w:szCs w:val="20"/>
        </w:rPr>
        <w:t>namely</w:t>
      </w:r>
      <w:r>
        <w:rPr>
          <w:rFonts w:ascii="Times New Roman" w:eastAsia="Times New Roman" w:hAnsi="Times New Roman" w:cs="Times New Roman"/>
          <w:sz w:val="20"/>
          <w:szCs w:val="20"/>
        </w:rPr>
        <w:t>; general awareness and communication gap and satisfaction with environmental management and conservation efforts. The result highlights a lack o</w:t>
      </w:r>
      <w:r>
        <w:rPr>
          <w:rFonts w:ascii="Times New Roman" w:eastAsia="Times New Roman" w:hAnsi="Times New Roman" w:cs="Times New Roman"/>
          <w:sz w:val="20"/>
          <w:szCs w:val="20"/>
        </w:rPr>
        <w:t xml:space="preserve">f detailed knowledge about the purpose and utilization of environmental fees, highlighting the need for transparent </w:t>
      </w:r>
      <w:bookmarkStart w:id="0" w:name="_GoBack"/>
      <w:bookmarkEnd w:id="0"/>
      <w:r>
        <w:rPr>
          <w:rFonts w:ascii="Times New Roman" w:eastAsia="Times New Roman" w:hAnsi="Times New Roman" w:cs="Times New Roman"/>
          <w:sz w:val="20"/>
          <w:szCs w:val="20"/>
        </w:rPr>
        <w:t>communication and involvement of tourists in conservation efforts. These findings emphasized the importance of public awareness and transpar</w:t>
      </w:r>
      <w:r>
        <w:rPr>
          <w:rFonts w:ascii="Times New Roman" w:eastAsia="Times New Roman" w:hAnsi="Times New Roman" w:cs="Times New Roman"/>
          <w:sz w:val="20"/>
          <w:szCs w:val="20"/>
        </w:rPr>
        <w:t xml:space="preserve">ency in fostering compliance and support for environmental fees. Economic considerations and tourists’ willingness to pay are influenced by income levels and perceived value, the need for strategic management in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w:t>
      </w:r>
    </w:p>
    <w:p w14:paraId="0000000A" w14:textId="77777777" w:rsidR="006337DC" w:rsidRDefault="006337DC">
      <w:pPr>
        <w:spacing w:after="0" w:line="240" w:lineRule="auto"/>
        <w:rPr>
          <w:rFonts w:ascii="Times New Roman" w:eastAsia="Times New Roman" w:hAnsi="Times New Roman" w:cs="Times New Roman"/>
          <w:b/>
          <w:sz w:val="20"/>
          <w:szCs w:val="20"/>
        </w:rPr>
      </w:pPr>
    </w:p>
    <w:p w14:paraId="0000000B" w14:textId="77777777" w:rsidR="006337DC" w:rsidRDefault="006337DC">
      <w:pPr>
        <w:spacing w:after="0" w:line="240" w:lineRule="auto"/>
        <w:jc w:val="both"/>
        <w:rPr>
          <w:rFonts w:ascii="Times New Roman" w:eastAsia="Times New Roman" w:hAnsi="Times New Roman" w:cs="Times New Roman"/>
          <w:b/>
          <w:sz w:val="20"/>
          <w:szCs w:val="20"/>
        </w:rPr>
      </w:pPr>
    </w:p>
    <w:p w14:paraId="0000000C" w14:textId="77777777" w:rsidR="006337DC" w:rsidRDefault="000250A7">
      <w:pPr>
        <w:spacing w:after="0"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b/>
          <w:i/>
          <w:sz w:val="20"/>
          <w:szCs w:val="20"/>
        </w:rPr>
        <w:t xml:space="preserve">Keywords: </w:t>
      </w:r>
      <w:r>
        <w:rPr>
          <w:rFonts w:ascii="Times New Roman" w:eastAsia="Times New Roman" w:hAnsi="Times New Roman" w:cs="Times New Roman"/>
          <w:sz w:val="20"/>
          <w:szCs w:val="20"/>
        </w:rPr>
        <w:t xml:space="preserve">tourist’s perspectives, </w:t>
      </w:r>
      <w:r>
        <w:rPr>
          <w:rFonts w:ascii="Times New Roman" w:eastAsia="Times New Roman" w:hAnsi="Times New Roman" w:cs="Times New Roman"/>
          <w:sz w:val="20"/>
          <w:szCs w:val="20"/>
        </w:rPr>
        <w:t xml:space="preserve">environmental fees, Island Garden City of </w:t>
      </w:r>
      <w:proofErr w:type="spellStart"/>
      <w:r>
        <w:rPr>
          <w:rFonts w:ascii="Times New Roman" w:eastAsia="Times New Roman" w:hAnsi="Times New Roman" w:cs="Times New Roman"/>
          <w:sz w:val="20"/>
          <w:szCs w:val="20"/>
        </w:rPr>
        <w:t>Samal</w:t>
      </w:r>
      <w:proofErr w:type="spellEnd"/>
    </w:p>
    <w:p w14:paraId="0000000D" w14:textId="77777777" w:rsidR="006337DC" w:rsidRDefault="006337DC">
      <w:pPr>
        <w:spacing w:after="0" w:line="240" w:lineRule="auto"/>
        <w:jc w:val="center"/>
        <w:rPr>
          <w:rFonts w:ascii="Times New Roman" w:eastAsia="Times New Roman" w:hAnsi="Times New Roman" w:cs="Times New Roman"/>
          <w:b/>
          <w:sz w:val="20"/>
          <w:szCs w:val="20"/>
        </w:rPr>
      </w:pPr>
    </w:p>
    <w:p w14:paraId="0000000E" w14:textId="77777777" w:rsidR="006337DC" w:rsidRDefault="000250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INTRODUCTION</w:t>
      </w:r>
    </w:p>
    <w:p w14:paraId="0000000F" w14:textId="77777777" w:rsidR="006337DC" w:rsidRDefault="006337DC">
      <w:pPr>
        <w:spacing w:after="0" w:line="240" w:lineRule="auto"/>
        <w:jc w:val="both"/>
        <w:rPr>
          <w:rFonts w:ascii="Times New Roman" w:eastAsia="Times New Roman" w:hAnsi="Times New Roman" w:cs="Times New Roman"/>
          <w:sz w:val="20"/>
          <w:szCs w:val="20"/>
        </w:rPr>
      </w:pPr>
    </w:p>
    <w:p w14:paraId="00000010"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Island Garden City of </w:t>
      </w:r>
      <w:proofErr w:type="spellStart"/>
      <w:r>
        <w:rPr>
          <w:rFonts w:ascii="Times New Roman" w:eastAsia="Times New Roman" w:hAnsi="Times New Roman" w:cs="Times New Roman"/>
          <w:sz w:val="20"/>
          <w:szCs w:val="20"/>
        </w:rPr>
        <w:t>Samal</w:t>
      </w:r>
      <w:proofErr w:type="spellEnd"/>
      <w:r>
        <w:rPr>
          <w:rFonts w:ascii="Times New Roman" w:eastAsia="Times New Roman" w:hAnsi="Times New Roman" w:cs="Times New Roman"/>
          <w:sz w:val="20"/>
          <w:szCs w:val="20"/>
        </w:rPr>
        <w:t xml:space="preserve"> has experienced steady tourism growth, with many visitors exploring its natural wonders of environmental resources. Development in infrastructure which includes </w:t>
      </w:r>
      <w:r>
        <w:rPr>
          <w:rFonts w:ascii="Times New Roman" w:eastAsia="Times New Roman" w:hAnsi="Times New Roman" w:cs="Times New Roman"/>
          <w:sz w:val="20"/>
          <w:szCs w:val="20"/>
        </w:rPr>
        <w:t>establishments of resorts, restaurants, hotels, and recreation facilities adds up to the booming industry of the Island. Naturally, it is well known for its crystal stunning beaches making it a popular tourist destination in the region. Over the years, the</w:t>
      </w:r>
      <w:r>
        <w:rPr>
          <w:rFonts w:ascii="Times New Roman" w:eastAsia="Times New Roman" w:hAnsi="Times New Roman" w:cs="Times New Roman"/>
          <w:sz w:val="20"/>
          <w:szCs w:val="20"/>
        </w:rPr>
        <w:t xml:space="preserve"> Island Garden City of </w:t>
      </w:r>
      <w:proofErr w:type="spellStart"/>
      <w:r>
        <w:rPr>
          <w:rFonts w:ascii="Times New Roman" w:eastAsia="Times New Roman" w:hAnsi="Times New Roman" w:cs="Times New Roman"/>
          <w:sz w:val="20"/>
          <w:szCs w:val="20"/>
        </w:rPr>
        <w:t>Samal</w:t>
      </w:r>
      <w:proofErr w:type="spellEnd"/>
      <w:r>
        <w:rPr>
          <w:rFonts w:ascii="Times New Roman" w:eastAsia="Times New Roman" w:hAnsi="Times New Roman" w:cs="Times New Roman"/>
          <w:sz w:val="20"/>
          <w:szCs w:val="20"/>
        </w:rPr>
        <w:t xml:space="preserve"> has stimulated economic opportunities for both local and international making it a significant tourist destination (</w:t>
      </w:r>
      <w:proofErr w:type="spellStart"/>
      <w:r>
        <w:rPr>
          <w:rFonts w:ascii="Times New Roman" w:eastAsia="Times New Roman" w:hAnsi="Times New Roman" w:cs="Times New Roman"/>
          <w:sz w:val="20"/>
          <w:szCs w:val="20"/>
        </w:rPr>
        <w:t>Jangao</w:t>
      </w:r>
      <w:proofErr w:type="spellEnd"/>
      <w:r>
        <w:rPr>
          <w:rFonts w:ascii="Times New Roman" w:eastAsia="Times New Roman" w:hAnsi="Times New Roman" w:cs="Times New Roman"/>
          <w:sz w:val="20"/>
          <w:szCs w:val="20"/>
        </w:rPr>
        <w:t xml:space="preserve"> et.al, 2020). </w:t>
      </w:r>
    </w:p>
    <w:p w14:paraId="00000011" w14:textId="77777777" w:rsidR="006337DC" w:rsidRDefault="006337DC">
      <w:pPr>
        <w:spacing w:after="0" w:line="240" w:lineRule="auto"/>
        <w:jc w:val="both"/>
        <w:rPr>
          <w:rFonts w:ascii="Times New Roman" w:eastAsia="Times New Roman" w:hAnsi="Times New Roman" w:cs="Times New Roman"/>
          <w:sz w:val="20"/>
          <w:szCs w:val="20"/>
        </w:rPr>
      </w:pPr>
    </w:p>
    <w:p w14:paraId="00000012"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Despite its tourism popularity, the Island Garden City of </w:t>
      </w:r>
      <w:proofErr w:type="spellStart"/>
      <w:r>
        <w:rPr>
          <w:rFonts w:ascii="Times New Roman" w:eastAsia="Times New Roman" w:hAnsi="Times New Roman" w:cs="Times New Roman"/>
          <w:sz w:val="20"/>
          <w:szCs w:val="20"/>
        </w:rPr>
        <w:t>Samal</w:t>
      </w:r>
      <w:proofErr w:type="spellEnd"/>
      <w:r>
        <w:rPr>
          <w:rFonts w:ascii="Times New Roman" w:eastAsia="Times New Roman" w:hAnsi="Times New Roman" w:cs="Times New Roman"/>
          <w:sz w:val="20"/>
          <w:szCs w:val="20"/>
        </w:rPr>
        <w:t xml:space="preserve"> also faces challenges th</w:t>
      </w:r>
      <w:r>
        <w:rPr>
          <w:rFonts w:ascii="Times New Roman" w:eastAsia="Times New Roman" w:hAnsi="Times New Roman" w:cs="Times New Roman"/>
          <w:sz w:val="20"/>
          <w:szCs w:val="20"/>
        </w:rPr>
        <w:t>at threaten the sustainability of its tourism industry. Environmental degradation caused by unregulated development, population, and irresponsible tourism practices is significant to the island’s fragile biodiversity and ecosystem</w:t>
      </w:r>
      <w:r>
        <w:rPr>
          <w:rFonts w:ascii="Arial" w:eastAsia="Arial" w:hAnsi="Arial" w:cs="Arial"/>
          <w:color w:val="222222"/>
          <w:sz w:val="20"/>
          <w:szCs w:val="20"/>
          <w:highlight w:val="white"/>
        </w:rPr>
        <w:t xml:space="preserve"> (</w:t>
      </w:r>
      <w:proofErr w:type="spellStart"/>
      <w:r>
        <w:rPr>
          <w:rFonts w:ascii="Times New Roman" w:eastAsia="Times New Roman" w:hAnsi="Times New Roman" w:cs="Times New Roman"/>
          <w:color w:val="222222"/>
          <w:sz w:val="20"/>
          <w:szCs w:val="20"/>
          <w:highlight w:val="white"/>
        </w:rPr>
        <w:t>Cozo</w:t>
      </w:r>
      <w:proofErr w:type="spellEnd"/>
      <w:r>
        <w:rPr>
          <w:rFonts w:ascii="Times New Roman" w:eastAsia="Times New Roman" w:hAnsi="Times New Roman" w:cs="Times New Roman"/>
          <w:color w:val="222222"/>
          <w:sz w:val="20"/>
          <w:szCs w:val="20"/>
          <w:highlight w:val="white"/>
        </w:rPr>
        <w:t xml:space="preserve"> et al., 2008</w:t>
      </w:r>
      <w:r>
        <w:rPr>
          <w:rFonts w:ascii="Arial" w:eastAsia="Arial" w:hAnsi="Arial" w:cs="Arial"/>
          <w:color w:val="222222"/>
          <w:sz w:val="20"/>
          <w:szCs w:val="20"/>
          <w:highlight w:val="white"/>
        </w:rPr>
        <w:t>)</w:t>
      </w:r>
      <w:r>
        <w:rPr>
          <w:rFonts w:ascii="Times New Roman" w:eastAsia="Times New Roman" w:hAnsi="Times New Roman" w:cs="Times New Roman"/>
          <w:sz w:val="20"/>
          <w:szCs w:val="20"/>
        </w:rPr>
        <w:t>. Bala</w:t>
      </w:r>
      <w:r>
        <w:rPr>
          <w:rFonts w:ascii="Times New Roman" w:eastAsia="Times New Roman" w:hAnsi="Times New Roman" w:cs="Times New Roman"/>
          <w:sz w:val="20"/>
          <w:szCs w:val="20"/>
        </w:rPr>
        <w:t>ncing the need for tourism development with the preservation of the Island's natural resources presents a complex challenge for local authorities and stakeholders (</w:t>
      </w:r>
      <w:proofErr w:type="spellStart"/>
      <w:r>
        <w:rPr>
          <w:rFonts w:ascii="Times New Roman" w:eastAsia="Times New Roman" w:hAnsi="Times New Roman" w:cs="Times New Roman"/>
          <w:sz w:val="20"/>
          <w:szCs w:val="20"/>
        </w:rPr>
        <w:t>Jangao</w:t>
      </w:r>
      <w:proofErr w:type="spellEnd"/>
      <w:r>
        <w:rPr>
          <w:rFonts w:ascii="Times New Roman" w:eastAsia="Times New Roman" w:hAnsi="Times New Roman" w:cs="Times New Roman"/>
          <w:sz w:val="20"/>
          <w:szCs w:val="20"/>
        </w:rPr>
        <w:t xml:space="preserve"> et al., 2020)</w:t>
      </w:r>
    </w:p>
    <w:p w14:paraId="00000013" w14:textId="77777777" w:rsidR="006337DC" w:rsidRDefault="006337DC">
      <w:pPr>
        <w:spacing w:after="0" w:line="240" w:lineRule="auto"/>
        <w:jc w:val="both"/>
        <w:rPr>
          <w:rFonts w:ascii="Times New Roman" w:eastAsia="Times New Roman" w:hAnsi="Times New Roman" w:cs="Times New Roman"/>
          <w:sz w:val="20"/>
          <w:szCs w:val="20"/>
        </w:rPr>
      </w:pPr>
    </w:p>
    <w:p w14:paraId="00000014"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Tourism can generate and create a sustainable funding source through environmental fees and will improve the conservation and preservation of marine and coastal ecosystems. However, it is important to carefully consider the balance between the funds raised</w:t>
      </w:r>
      <w:r>
        <w:rPr>
          <w:rFonts w:ascii="Times New Roman" w:eastAsia="Times New Roman" w:hAnsi="Times New Roman" w:cs="Times New Roman"/>
          <w:sz w:val="20"/>
          <w:szCs w:val="20"/>
        </w:rPr>
        <w:t xml:space="preserve"> through these fees and the potential decrease in tourist numbers (</w:t>
      </w:r>
      <w:proofErr w:type="spellStart"/>
      <w:r>
        <w:rPr>
          <w:rFonts w:ascii="Times New Roman" w:eastAsia="Times New Roman" w:hAnsi="Times New Roman" w:cs="Times New Roman"/>
          <w:sz w:val="20"/>
          <w:szCs w:val="20"/>
        </w:rPr>
        <w:t>Spergel</w:t>
      </w:r>
      <w:proofErr w:type="spellEnd"/>
      <w:r>
        <w:rPr>
          <w:rFonts w:ascii="Times New Roman" w:eastAsia="Times New Roman" w:hAnsi="Times New Roman" w:cs="Times New Roman"/>
          <w:sz w:val="20"/>
          <w:szCs w:val="20"/>
        </w:rPr>
        <w:t xml:space="preserve"> et.al, 2004). The willingness to pay is essential to ensure that the goal of promoting access is not compromised when implementing a fee policy (</w:t>
      </w:r>
      <w:proofErr w:type="spellStart"/>
      <w:r>
        <w:rPr>
          <w:rFonts w:ascii="Times New Roman" w:eastAsia="Times New Roman" w:hAnsi="Times New Roman" w:cs="Times New Roman"/>
          <w:sz w:val="20"/>
          <w:szCs w:val="20"/>
        </w:rPr>
        <w:t>Reynisdottir</w:t>
      </w:r>
      <w:proofErr w:type="spellEnd"/>
      <w:r>
        <w:rPr>
          <w:rFonts w:ascii="Times New Roman" w:eastAsia="Times New Roman" w:hAnsi="Times New Roman" w:cs="Times New Roman"/>
          <w:sz w:val="20"/>
          <w:szCs w:val="20"/>
        </w:rPr>
        <w:t xml:space="preserve"> et al, 2008). Income le</w:t>
      </w:r>
      <w:r>
        <w:rPr>
          <w:rFonts w:ascii="Times New Roman" w:eastAsia="Times New Roman" w:hAnsi="Times New Roman" w:cs="Times New Roman"/>
          <w:sz w:val="20"/>
          <w:szCs w:val="20"/>
        </w:rPr>
        <w:t>vels and awareness of the environmental fees are some of the factors that influence the decision to consider visiting such a destination (Carson et al. 2003). Additionally, tourist satisfaction is also a factor connecting how tourists perceive a destinatio</w:t>
      </w:r>
      <w:r>
        <w:rPr>
          <w:rFonts w:ascii="Times New Roman" w:eastAsia="Times New Roman" w:hAnsi="Times New Roman" w:cs="Times New Roman"/>
          <w:sz w:val="20"/>
          <w:szCs w:val="20"/>
        </w:rPr>
        <w:t>n with their intentions to revisit or recommend it, encompassing mental and emotional reactions relative to their travel experience (</w:t>
      </w:r>
      <w:proofErr w:type="spellStart"/>
      <w:r>
        <w:rPr>
          <w:rFonts w:ascii="Times New Roman" w:eastAsia="Times New Roman" w:hAnsi="Times New Roman" w:cs="Times New Roman"/>
          <w:color w:val="222222"/>
          <w:sz w:val="20"/>
          <w:szCs w:val="20"/>
          <w:highlight w:val="white"/>
        </w:rPr>
        <w:t>Olivar</w:t>
      </w:r>
      <w:proofErr w:type="spellEnd"/>
      <w:r>
        <w:rPr>
          <w:rFonts w:ascii="Times New Roman" w:eastAsia="Times New Roman" w:hAnsi="Times New Roman" w:cs="Times New Roman"/>
          <w:color w:val="222222"/>
          <w:sz w:val="20"/>
          <w:szCs w:val="20"/>
          <w:highlight w:val="white"/>
        </w:rPr>
        <w:t xml:space="preserve"> et al., 2023</w:t>
      </w:r>
      <w:r>
        <w:rPr>
          <w:rFonts w:ascii="Arial" w:eastAsia="Arial" w:hAnsi="Arial" w:cs="Arial"/>
          <w:color w:val="222222"/>
          <w:sz w:val="20"/>
          <w:szCs w:val="20"/>
          <w:highlight w:val="white"/>
        </w:rPr>
        <w:t>)</w:t>
      </w:r>
      <w:r>
        <w:rPr>
          <w:rFonts w:ascii="Times New Roman" w:eastAsia="Times New Roman" w:hAnsi="Times New Roman" w:cs="Times New Roman"/>
          <w:sz w:val="20"/>
          <w:szCs w:val="20"/>
        </w:rPr>
        <w:t>.</w:t>
      </w:r>
    </w:p>
    <w:p w14:paraId="00000015" w14:textId="77777777" w:rsidR="006337DC" w:rsidRDefault="006337DC">
      <w:pPr>
        <w:spacing w:after="0" w:line="240" w:lineRule="auto"/>
        <w:jc w:val="both"/>
        <w:rPr>
          <w:rFonts w:ascii="Times New Roman" w:eastAsia="Times New Roman" w:hAnsi="Times New Roman" w:cs="Times New Roman"/>
          <w:sz w:val="20"/>
          <w:szCs w:val="20"/>
        </w:rPr>
      </w:pPr>
    </w:p>
    <w:p w14:paraId="00000016"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An effective integration and implementation of environmental fees between tourism and local economic</w:t>
      </w:r>
      <w:r>
        <w:rPr>
          <w:rFonts w:ascii="Times New Roman" w:eastAsia="Times New Roman" w:hAnsi="Times New Roman" w:cs="Times New Roman"/>
          <w:sz w:val="20"/>
          <w:szCs w:val="20"/>
        </w:rPr>
        <w:t xml:space="preserve"> development within protected and conserved areas is one of the key benefits of prioritizing the conservation agenda. Crucially involving tourists in conservation efforts is a must, and such integration ensures that protected areas fulfill both ecological </w:t>
      </w:r>
      <w:r>
        <w:rPr>
          <w:rFonts w:ascii="Times New Roman" w:eastAsia="Times New Roman" w:hAnsi="Times New Roman" w:cs="Times New Roman"/>
          <w:sz w:val="20"/>
          <w:szCs w:val="20"/>
        </w:rPr>
        <w:t>purposes and the socioeconomic needs of local and tourist populations (</w:t>
      </w:r>
      <w:proofErr w:type="spellStart"/>
      <w:r>
        <w:rPr>
          <w:rFonts w:ascii="Times New Roman" w:eastAsia="Times New Roman" w:hAnsi="Times New Roman" w:cs="Times New Roman"/>
          <w:sz w:val="20"/>
          <w:szCs w:val="20"/>
        </w:rPr>
        <w:t>Kallbekken</w:t>
      </w:r>
      <w:proofErr w:type="spellEnd"/>
      <w:r>
        <w:rPr>
          <w:rFonts w:ascii="Times New Roman" w:eastAsia="Times New Roman" w:hAnsi="Times New Roman" w:cs="Times New Roman"/>
          <w:sz w:val="20"/>
          <w:szCs w:val="20"/>
        </w:rPr>
        <w:t xml:space="preserve"> et al. 2013). The relationship between people and nature fosters sustainable and mutual benefits (</w:t>
      </w:r>
      <w:proofErr w:type="spellStart"/>
      <w:r>
        <w:rPr>
          <w:rFonts w:ascii="Times New Roman" w:eastAsia="Times New Roman" w:hAnsi="Times New Roman" w:cs="Times New Roman"/>
          <w:sz w:val="20"/>
          <w:szCs w:val="20"/>
        </w:rPr>
        <w:t>Beuermann</w:t>
      </w:r>
      <w:proofErr w:type="spellEnd"/>
      <w:r>
        <w:rPr>
          <w:rFonts w:ascii="Times New Roman" w:eastAsia="Times New Roman" w:hAnsi="Times New Roman" w:cs="Times New Roman"/>
          <w:sz w:val="20"/>
          <w:szCs w:val="20"/>
        </w:rPr>
        <w:t>, 2006). When tourist recognize their contribution significantly pl</w:t>
      </w:r>
      <w:r>
        <w:rPr>
          <w:rFonts w:ascii="Times New Roman" w:eastAsia="Times New Roman" w:hAnsi="Times New Roman" w:cs="Times New Roman"/>
          <w:sz w:val="20"/>
          <w:szCs w:val="20"/>
        </w:rPr>
        <w:t xml:space="preserve">ays a direct role in conservation efforts, tourists are more likely to feel a sense of responsibility and connection to the environment </w:t>
      </w:r>
      <w:proofErr w:type="spellStart"/>
      <w:r>
        <w:rPr>
          <w:rFonts w:ascii="Times New Roman" w:eastAsia="Times New Roman" w:hAnsi="Times New Roman" w:cs="Times New Roman"/>
          <w:sz w:val="20"/>
          <w:szCs w:val="20"/>
        </w:rPr>
        <w:t>Deboe</w:t>
      </w:r>
      <w:proofErr w:type="spellEnd"/>
      <w:r>
        <w:rPr>
          <w:rFonts w:ascii="Times New Roman" w:eastAsia="Times New Roman" w:hAnsi="Times New Roman" w:cs="Times New Roman"/>
          <w:sz w:val="20"/>
          <w:szCs w:val="20"/>
        </w:rPr>
        <w:t xml:space="preserve"> and Hogg (2010),</w:t>
      </w:r>
    </w:p>
    <w:p w14:paraId="00000017" w14:textId="77777777" w:rsidR="006337DC" w:rsidRDefault="006337DC">
      <w:pPr>
        <w:spacing w:after="0" w:line="240" w:lineRule="auto"/>
        <w:jc w:val="both"/>
        <w:rPr>
          <w:rFonts w:ascii="Times New Roman" w:eastAsia="Times New Roman" w:hAnsi="Times New Roman" w:cs="Times New Roman"/>
          <w:sz w:val="20"/>
          <w:szCs w:val="20"/>
        </w:rPr>
      </w:pPr>
    </w:p>
    <w:p w14:paraId="00000018"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Although there is a push to encourage sustainable tourism practices in IGACOS, there is a noticeable disparity between the intentions or expectations of tourists and the actual execution or implementation of sustainable initiatives on the island. Thus, thi</w:t>
      </w:r>
      <w:r>
        <w:rPr>
          <w:rFonts w:ascii="Times New Roman" w:eastAsia="Times New Roman" w:hAnsi="Times New Roman" w:cs="Times New Roman"/>
          <w:sz w:val="20"/>
          <w:szCs w:val="20"/>
        </w:rPr>
        <w:t xml:space="preserve">s study explores the tourist perspective on environmental fees. Assessing tourists’ opinions on environmental fees can provide insights into their willingness to contribute to environmental conservation and their awareness and knowledge. Therefore, we can </w:t>
      </w:r>
      <w:r>
        <w:rPr>
          <w:rFonts w:ascii="Times New Roman" w:eastAsia="Times New Roman" w:hAnsi="Times New Roman" w:cs="Times New Roman"/>
          <w:sz w:val="20"/>
          <w:szCs w:val="20"/>
        </w:rPr>
        <w:t>enhance effective communication and implementation which can build trust and foster a mutually beneficial relationship between tourists and the environment.</w:t>
      </w:r>
    </w:p>
    <w:p w14:paraId="00000019" w14:textId="77777777" w:rsidR="006337DC" w:rsidRDefault="006337DC">
      <w:pPr>
        <w:spacing w:after="0" w:line="240" w:lineRule="auto"/>
        <w:jc w:val="both"/>
        <w:rPr>
          <w:rFonts w:ascii="Times New Roman" w:eastAsia="Times New Roman" w:hAnsi="Times New Roman" w:cs="Times New Roman"/>
          <w:sz w:val="20"/>
          <w:szCs w:val="20"/>
        </w:rPr>
      </w:pPr>
    </w:p>
    <w:p w14:paraId="0000001A" w14:textId="77777777" w:rsidR="006337DC" w:rsidRDefault="000250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OBJECTIVES</w:t>
      </w:r>
    </w:p>
    <w:p w14:paraId="0000001B"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study comprehensively explored the tourist perspective on environmental fees in th</w:t>
      </w:r>
      <w:r>
        <w:rPr>
          <w:rFonts w:ascii="Times New Roman" w:eastAsia="Times New Roman" w:hAnsi="Times New Roman" w:cs="Times New Roman"/>
          <w:sz w:val="20"/>
          <w:szCs w:val="20"/>
        </w:rPr>
        <w:t xml:space="preserve">e Island Garden City of </w:t>
      </w:r>
      <w:proofErr w:type="spellStart"/>
      <w:r>
        <w:rPr>
          <w:rFonts w:ascii="Times New Roman" w:eastAsia="Times New Roman" w:hAnsi="Times New Roman" w:cs="Times New Roman"/>
          <w:sz w:val="20"/>
          <w:szCs w:val="20"/>
        </w:rPr>
        <w:t>Samal</w:t>
      </w:r>
      <w:proofErr w:type="spellEnd"/>
      <w:r>
        <w:rPr>
          <w:rFonts w:ascii="Times New Roman" w:eastAsia="Times New Roman" w:hAnsi="Times New Roman" w:cs="Times New Roman"/>
          <w:sz w:val="20"/>
          <w:szCs w:val="20"/>
        </w:rPr>
        <w:t>. The research study aimed to address the following questions:</w:t>
      </w:r>
    </w:p>
    <w:p w14:paraId="0000001C" w14:textId="77777777" w:rsidR="006337DC" w:rsidRDefault="006337DC">
      <w:pPr>
        <w:spacing w:after="0" w:line="240" w:lineRule="auto"/>
        <w:jc w:val="both"/>
        <w:rPr>
          <w:rFonts w:ascii="Times New Roman" w:eastAsia="Times New Roman" w:hAnsi="Times New Roman" w:cs="Times New Roman"/>
          <w:sz w:val="20"/>
          <w:szCs w:val="20"/>
        </w:rPr>
      </w:pPr>
    </w:p>
    <w:p w14:paraId="0000001D" w14:textId="77777777" w:rsidR="006337DC" w:rsidRDefault="000250A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How aware are tourists of the environmental fees imposed in </w:t>
      </w:r>
      <w:proofErr w:type="spellStart"/>
      <w:r>
        <w:rPr>
          <w:rFonts w:ascii="Times New Roman" w:eastAsia="Times New Roman" w:hAnsi="Times New Roman" w:cs="Times New Roman"/>
          <w:color w:val="000000"/>
          <w:sz w:val="20"/>
          <w:szCs w:val="20"/>
        </w:rPr>
        <w:t>IGACoS</w:t>
      </w:r>
      <w:proofErr w:type="spellEnd"/>
      <w:r>
        <w:rPr>
          <w:rFonts w:ascii="Times New Roman" w:eastAsia="Times New Roman" w:hAnsi="Times New Roman" w:cs="Times New Roman"/>
          <w:color w:val="000000"/>
          <w:sz w:val="20"/>
          <w:szCs w:val="20"/>
        </w:rPr>
        <w:t>, and how well do they understand the purpose and utilization of these fees?</w:t>
      </w:r>
    </w:p>
    <w:p w14:paraId="0000001E" w14:textId="77777777" w:rsidR="006337DC" w:rsidRDefault="000250A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What are the tourist</w:t>
      </w:r>
      <w:r>
        <w:rPr>
          <w:rFonts w:ascii="Times New Roman" w:eastAsia="Times New Roman" w:hAnsi="Times New Roman" w:cs="Times New Roman"/>
          <w:color w:val="000000"/>
          <w:sz w:val="20"/>
          <w:szCs w:val="20"/>
        </w:rPr>
        <w:t xml:space="preserve">s’ perceptions of the fairness and value of the environmental fees in </w:t>
      </w:r>
      <w:proofErr w:type="spellStart"/>
      <w:r>
        <w:rPr>
          <w:rFonts w:ascii="Times New Roman" w:eastAsia="Times New Roman" w:hAnsi="Times New Roman" w:cs="Times New Roman"/>
          <w:color w:val="000000"/>
          <w:sz w:val="20"/>
          <w:szCs w:val="20"/>
        </w:rPr>
        <w:t>IGAoS</w:t>
      </w:r>
      <w:proofErr w:type="spellEnd"/>
      <w:r>
        <w:rPr>
          <w:rFonts w:ascii="Times New Roman" w:eastAsia="Times New Roman" w:hAnsi="Times New Roman" w:cs="Times New Roman"/>
          <w:color w:val="000000"/>
          <w:sz w:val="20"/>
          <w:szCs w:val="20"/>
        </w:rPr>
        <w:t>?</w:t>
      </w:r>
    </w:p>
    <w:p w14:paraId="0000001F" w14:textId="77777777" w:rsidR="006337DC" w:rsidRDefault="000250A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How do environmental fees influence tourists’ decisions to visit </w:t>
      </w:r>
      <w:proofErr w:type="spellStart"/>
      <w:r>
        <w:rPr>
          <w:rFonts w:ascii="Times New Roman" w:eastAsia="Times New Roman" w:hAnsi="Times New Roman" w:cs="Times New Roman"/>
          <w:color w:val="000000"/>
          <w:sz w:val="20"/>
          <w:szCs w:val="20"/>
        </w:rPr>
        <w:t>IGACoS</w:t>
      </w:r>
      <w:proofErr w:type="spellEnd"/>
      <w:r>
        <w:rPr>
          <w:rFonts w:ascii="Times New Roman" w:eastAsia="Times New Roman" w:hAnsi="Times New Roman" w:cs="Times New Roman"/>
          <w:color w:val="000000"/>
          <w:sz w:val="20"/>
          <w:szCs w:val="20"/>
        </w:rPr>
        <w:t>?</w:t>
      </w:r>
    </w:p>
    <w:p w14:paraId="00000020" w14:textId="77777777" w:rsidR="006337DC" w:rsidRDefault="006337DC">
      <w:pPr>
        <w:spacing w:after="0" w:line="240" w:lineRule="auto"/>
        <w:jc w:val="both"/>
        <w:rPr>
          <w:rFonts w:ascii="Times New Roman" w:eastAsia="Times New Roman" w:hAnsi="Times New Roman" w:cs="Times New Roman"/>
          <w:sz w:val="20"/>
          <w:szCs w:val="20"/>
        </w:rPr>
      </w:pPr>
    </w:p>
    <w:p w14:paraId="00000021"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Aiming to understand how tourists perceive environmental fees in the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and to gather qualitative dat</w:t>
      </w:r>
      <w:r>
        <w:rPr>
          <w:rFonts w:ascii="Times New Roman" w:eastAsia="Times New Roman" w:hAnsi="Times New Roman" w:cs="Times New Roman"/>
          <w:sz w:val="20"/>
          <w:szCs w:val="20"/>
        </w:rPr>
        <w:t xml:space="preserve">a that can inform strategic policies, environmental initiatives, and tourism planning efforts that would benefit all of the tourists visiting the island and also the Local Government Unit in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The ultimate goal is to improve the effectiveness and sus</w:t>
      </w:r>
      <w:r>
        <w:rPr>
          <w:rFonts w:ascii="Times New Roman" w:eastAsia="Times New Roman" w:hAnsi="Times New Roman" w:cs="Times New Roman"/>
          <w:sz w:val="20"/>
          <w:szCs w:val="20"/>
        </w:rPr>
        <w:t xml:space="preserve">tainability of the environmental fee system in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aligning it more closely with the evolving needs of the tourists. However, focusing on the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tourist may limit the findings' applicability to other tourist destinations. Nevertheless, the identifi</w:t>
      </w:r>
      <w:r>
        <w:rPr>
          <w:rFonts w:ascii="Times New Roman" w:eastAsia="Times New Roman" w:hAnsi="Times New Roman" w:cs="Times New Roman"/>
          <w:sz w:val="20"/>
          <w:szCs w:val="20"/>
        </w:rPr>
        <w:t>ed challenges could have wider significance and offer important insights for different tourist destinations.</w:t>
      </w:r>
    </w:p>
    <w:p w14:paraId="00000022" w14:textId="77777777" w:rsidR="006337DC" w:rsidRDefault="006337DC">
      <w:pPr>
        <w:spacing w:after="0" w:line="240" w:lineRule="auto"/>
        <w:jc w:val="both"/>
        <w:rPr>
          <w:sz w:val="20"/>
          <w:szCs w:val="20"/>
        </w:rPr>
      </w:pPr>
    </w:p>
    <w:p w14:paraId="00000023" w14:textId="77777777" w:rsidR="006337DC" w:rsidRDefault="000250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METHODOLOGY</w:t>
      </w:r>
    </w:p>
    <w:p w14:paraId="00000024" w14:textId="77777777" w:rsidR="006337DC" w:rsidRDefault="006337DC">
      <w:pPr>
        <w:spacing w:after="0" w:line="240" w:lineRule="auto"/>
        <w:jc w:val="center"/>
        <w:rPr>
          <w:rFonts w:ascii="Times New Roman" w:eastAsia="Times New Roman" w:hAnsi="Times New Roman" w:cs="Times New Roman"/>
          <w:b/>
          <w:sz w:val="20"/>
          <w:szCs w:val="20"/>
        </w:rPr>
      </w:pPr>
    </w:p>
    <w:p w14:paraId="00000025" w14:textId="77777777" w:rsidR="006337DC" w:rsidRDefault="000250A7">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research utilized qualitative interviews through a phenomenological approach to thoroughly comprehend tourists’ views on environm</w:t>
      </w:r>
      <w:r>
        <w:rPr>
          <w:rFonts w:ascii="Times New Roman" w:eastAsia="Times New Roman" w:hAnsi="Times New Roman" w:cs="Times New Roman"/>
          <w:sz w:val="20"/>
          <w:szCs w:val="20"/>
        </w:rPr>
        <w:t xml:space="preserve">ental fees in the Island Garden City of </w:t>
      </w:r>
      <w:proofErr w:type="spellStart"/>
      <w:r>
        <w:rPr>
          <w:rFonts w:ascii="Times New Roman" w:eastAsia="Times New Roman" w:hAnsi="Times New Roman" w:cs="Times New Roman"/>
          <w:sz w:val="20"/>
          <w:szCs w:val="20"/>
        </w:rPr>
        <w:t>Samal</w:t>
      </w:r>
      <w:proofErr w:type="spellEnd"/>
      <w:r>
        <w:rPr>
          <w:rFonts w:ascii="Times New Roman" w:eastAsia="Times New Roman" w:hAnsi="Times New Roman" w:cs="Times New Roman"/>
          <w:sz w:val="20"/>
          <w:szCs w:val="20"/>
        </w:rPr>
        <w:t>.  To obtain more profound insights into their perspective on environmental fees, an interview was conducted with five tourist participants. The qualitative data from the individual interview is transcribed verb</w:t>
      </w:r>
      <w:r>
        <w:rPr>
          <w:rFonts w:ascii="Times New Roman" w:eastAsia="Times New Roman" w:hAnsi="Times New Roman" w:cs="Times New Roman"/>
          <w:sz w:val="20"/>
          <w:szCs w:val="20"/>
        </w:rPr>
        <w:t xml:space="preserve">atim and examined through thematic analysis and identifying recurring themes and patterns concerning tourists’ perspectives on environmental fees in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w:t>
      </w:r>
    </w:p>
    <w:p w14:paraId="00000026" w14:textId="77777777" w:rsidR="006337DC" w:rsidRDefault="006337DC">
      <w:pPr>
        <w:spacing w:after="0" w:line="240" w:lineRule="auto"/>
        <w:jc w:val="both"/>
        <w:rPr>
          <w:rFonts w:ascii="Times New Roman" w:eastAsia="Times New Roman" w:hAnsi="Times New Roman" w:cs="Times New Roman"/>
          <w:b/>
          <w:sz w:val="20"/>
          <w:szCs w:val="20"/>
        </w:rPr>
      </w:pPr>
    </w:p>
    <w:p w14:paraId="00000027" w14:textId="77777777" w:rsidR="006337DC" w:rsidRDefault="000250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RESULTS AND DISCUSSION</w:t>
      </w:r>
    </w:p>
    <w:p w14:paraId="00000028" w14:textId="77777777" w:rsidR="006337DC" w:rsidRDefault="006337DC">
      <w:pPr>
        <w:spacing w:after="0" w:line="240" w:lineRule="auto"/>
        <w:jc w:val="both"/>
        <w:rPr>
          <w:rFonts w:ascii="Times New Roman" w:eastAsia="Times New Roman" w:hAnsi="Times New Roman" w:cs="Times New Roman"/>
          <w:sz w:val="20"/>
          <w:szCs w:val="20"/>
        </w:rPr>
      </w:pPr>
    </w:p>
    <w:p w14:paraId="00000029"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This part of the study presents a comprehensive analysis of the data coll</w:t>
      </w:r>
      <w:r>
        <w:rPr>
          <w:rFonts w:ascii="Times New Roman" w:eastAsia="Times New Roman" w:hAnsi="Times New Roman" w:cs="Times New Roman"/>
          <w:sz w:val="20"/>
          <w:szCs w:val="20"/>
        </w:rPr>
        <w:t xml:space="preserve">ected from tourists in the Island Garden City of </w:t>
      </w:r>
      <w:proofErr w:type="spellStart"/>
      <w:r>
        <w:rPr>
          <w:rFonts w:ascii="Times New Roman" w:eastAsia="Times New Roman" w:hAnsi="Times New Roman" w:cs="Times New Roman"/>
          <w:sz w:val="20"/>
          <w:szCs w:val="20"/>
        </w:rPr>
        <w:t>Samal</w:t>
      </w:r>
      <w:proofErr w:type="spellEnd"/>
      <w:r>
        <w:rPr>
          <w:rFonts w:ascii="Times New Roman" w:eastAsia="Times New Roman" w:hAnsi="Times New Roman" w:cs="Times New Roman"/>
          <w:sz w:val="20"/>
          <w:szCs w:val="20"/>
        </w:rPr>
        <w:t xml:space="preserve">. The data is organized into two primary themes: Transparency and Understanding of Environmental Fee Utilization and Satisfaction with Environmental Management and Conservation Efforts. Each main theme </w:t>
      </w:r>
      <w:r>
        <w:rPr>
          <w:rFonts w:ascii="Times New Roman" w:eastAsia="Times New Roman" w:hAnsi="Times New Roman" w:cs="Times New Roman"/>
          <w:sz w:val="20"/>
          <w:szCs w:val="20"/>
        </w:rPr>
        <w:t>encompasses various sub-themes, which have emerged through thematic analysis.</w:t>
      </w:r>
    </w:p>
    <w:p w14:paraId="0000002A" w14:textId="77777777" w:rsidR="006337DC" w:rsidRDefault="006337DC">
      <w:pPr>
        <w:spacing w:after="0" w:line="240" w:lineRule="auto"/>
        <w:jc w:val="both"/>
        <w:rPr>
          <w:rFonts w:ascii="Times New Roman" w:eastAsia="Times New Roman" w:hAnsi="Times New Roman" w:cs="Times New Roman"/>
          <w:sz w:val="20"/>
          <w:szCs w:val="20"/>
        </w:rPr>
      </w:pPr>
    </w:p>
    <w:p w14:paraId="0000002B" w14:textId="77777777" w:rsidR="006337DC" w:rsidRDefault="000250A7">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Tourist Awareness and Accountability on Environmental Fee</w:t>
      </w:r>
    </w:p>
    <w:p w14:paraId="0000002C" w14:textId="77777777" w:rsidR="006337DC" w:rsidRDefault="006337DC">
      <w:pPr>
        <w:spacing w:after="0" w:line="240" w:lineRule="auto"/>
        <w:jc w:val="both"/>
        <w:rPr>
          <w:rFonts w:ascii="Times New Roman" w:eastAsia="Times New Roman" w:hAnsi="Times New Roman" w:cs="Times New Roman"/>
          <w:b/>
          <w:i/>
          <w:sz w:val="20"/>
          <w:szCs w:val="20"/>
        </w:rPr>
      </w:pPr>
    </w:p>
    <w:p w14:paraId="0000002D"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In utilizing the thematic analysis approach, table 1 highlights tourist awareness and accountability regarding environmental fees.  By transcribing interview data, the researcher identified the main theme associated with the challenges of raising awareness</w:t>
      </w:r>
      <w:r>
        <w:rPr>
          <w:rFonts w:ascii="Times New Roman" w:eastAsia="Times New Roman" w:hAnsi="Times New Roman" w:cs="Times New Roman"/>
          <w:sz w:val="20"/>
          <w:szCs w:val="20"/>
        </w:rPr>
        <w:t xml:space="preserve"> about environmental fees among tourists. The data extracted from the interviews indicates a pattern of complexities in ensuring tourists are informed about and responsible for paying environmental fees. Through manual coding, the researcher has outlined t</w:t>
      </w:r>
      <w:r>
        <w:rPr>
          <w:rFonts w:ascii="Times New Roman" w:eastAsia="Times New Roman" w:hAnsi="Times New Roman" w:cs="Times New Roman"/>
          <w:sz w:val="20"/>
          <w:szCs w:val="20"/>
        </w:rPr>
        <w:t>hemes and subthemes that address these issues.</w:t>
      </w:r>
    </w:p>
    <w:p w14:paraId="0000002E" w14:textId="77777777" w:rsidR="006337DC" w:rsidRDefault="006337DC">
      <w:pPr>
        <w:spacing w:after="0" w:line="240" w:lineRule="auto"/>
        <w:jc w:val="both"/>
        <w:rPr>
          <w:rFonts w:ascii="Times New Roman" w:eastAsia="Times New Roman" w:hAnsi="Times New Roman" w:cs="Times New Roman"/>
          <w:sz w:val="20"/>
          <w:szCs w:val="20"/>
        </w:rPr>
      </w:pPr>
    </w:p>
    <w:p w14:paraId="0000002F" w14:textId="77777777" w:rsidR="006337DC" w:rsidRDefault="000250A7">
      <w:pPr>
        <w:spacing w:after="0" w:line="240" w:lineRule="auto"/>
        <w:jc w:val="both"/>
        <w:rPr>
          <w:rFonts w:ascii="Times New Roman" w:eastAsia="Times New Roman" w:hAnsi="Times New Roman" w:cs="Times New Roman"/>
          <w:b/>
          <w:i/>
          <w:sz w:val="20"/>
          <w:szCs w:val="20"/>
        </w:rPr>
      </w:pPr>
      <w:r>
        <w:rPr>
          <w:rFonts w:ascii="Times New Roman" w:eastAsia="Times New Roman" w:hAnsi="Times New Roman" w:cs="Times New Roman"/>
          <w:b/>
          <w:i/>
          <w:sz w:val="20"/>
          <w:szCs w:val="20"/>
        </w:rPr>
        <w:t>Theme 1: Transparency and Understanding of Environmental Fee Utilization</w:t>
      </w:r>
    </w:p>
    <w:p w14:paraId="00000030" w14:textId="77777777" w:rsidR="006337DC" w:rsidRDefault="006337DC">
      <w:pPr>
        <w:spacing w:after="0" w:line="240" w:lineRule="auto"/>
        <w:jc w:val="both"/>
        <w:rPr>
          <w:rFonts w:ascii="Times New Roman" w:eastAsia="Times New Roman" w:hAnsi="Times New Roman" w:cs="Times New Roman"/>
          <w:b/>
          <w:sz w:val="20"/>
          <w:szCs w:val="20"/>
        </w:rPr>
      </w:pPr>
    </w:p>
    <w:p w14:paraId="00000031"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One of the major themes that emerged from the thematic analysis encompasses a diverse range of sub-themes. This theme captures various</w:t>
      </w:r>
      <w:r>
        <w:rPr>
          <w:rFonts w:ascii="Times New Roman" w:eastAsia="Times New Roman" w:hAnsi="Times New Roman" w:cs="Times New Roman"/>
          <w:sz w:val="20"/>
          <w:szCs w:val="20"/>
        </w:rPr>
        <w:t xml:space="preserve"> aspects reflecting the complexity of the environmental fee implementation. The sub-themes offer detailed and specific insights that provide a comprehensive understanding of tourist perception of environmental fees.  </w:t>
      </w:r>
    </w:p>
    <w:p w14:paraId="00000032" w14:textId="77777777" w:rsidR="006337DC" w:rsidRDefault="006337DC">
      <w:pPr>
        <w:spacing w:after="0" w:line="240" w:lineRule="auto"/>
        <w:jc w:val="both"/>
        <w:rPr>
          <w:rFonts w:ascii="Times New Roman" w:eastAsia="Times New Roman" w:hAnsi="Times New Roman" w:cs="Times New Roman"/>
          <w:sz w:val="20"/>
          <w:szCs w:val="20"/>
        </w:rPr>
      </w:pPr>
    </w:p>
    <w:p w14:paraId="00000033" w14:textId="77777777" w:rsidR="006337DC" w:rsidRDefault="000250A7">
      <w:pPr>
        <w:ind w:firstLine="720"/>
        <w:rPr>
          <w:rFonts w:ascii="Times New Roman" w:eastAsia="Times New Roman" w:hAnsi="Times New Roman" w:cs="Times New Roman"/>
          <w:i/>
          <w:sz w:val="20"/>
          <w:szCs w:val="20"/>
        </w:rPr>
      </w:pPr>
      <w:r>
        <w:rPr>
          <w:rFonts w:ascii="Times New Roman" w:eastAsia="Times New Roman" w:hAnsi="Times New Roman" w:cs="Times New Roman"/>
          <w:b/>
          <w:i/>
          <w:sz w:val="20"/>
          <w:szCs w:val="20"/>
        </w:rPr>
        <w:t>General Awareness and Communication G</w:t>
      </w:r>
      <w:r>
        <w:rPr>
          <w:rFonts w:ascii="Times New Roman" w:eastAsia="Times New Roman" w:hAnsi="Times New Roman" w:cs="Times New Roman"/>
          <w:b/>
          <w:i/>
          <w:sz w:val="20"/>
          <w:szCs w:val="20"/>
        </w:rPr>
        <w:t xml:space="preserve">aps. </w:t>
      </w:r>
      <w:r>
        <w:rPr>
          <w:rFonts w:ascii="Times New Roman" w:eastAsia="Times New Roman" w:hAnsi="Times New Roman" w:cs="Times New Roman"/>
          <w:sz w:val="20"/>
          <w:szCs w:val="20"/>
        </w:rPr>
        <w:t xml:space="preserve">In an interview, participants consistently recognized the environmental fee, but there was a noticeable lack of detailed knowledge about its specific objectives and </w:t>
      </w:r>
      <w:r>
        <w:rPr>
          <w:rFonts w:ascii="Times New Roman" w:eastAsia="Times New Roman" w:hAnsi="Times New Roman" w:cs="Times New Roman"/>
          <w:sz w:val="20"/>
          <w:szCs w:val="20"/>
        </w:rPr>
        <w:lastRenderedPageBreak/>
        <w:t>the allocation of the collected funds. The participants’ responses reflect this gap. M</w:t>
      </w:r>
      <w:r>
        <w:rPr>
          <w:rFonts w:ascii="Times New Roman" w:eastAsia="Times New Roman" w:hAnsi="Times New Roman" w:cs="Times New Roman"/>
          <w:sz w:val="20"/>
          <w:szCs w:val="20"/>
        </w:rPr>
        <w:t xml:space="preserve">oreover, the statements above present a shared concern regarding the lack of information about the purpose of environmental fees. This finding aligns with the research of </w:t>
      </w:r>
      <w:proofErr w:type="spellStart"/>
      <w:r>
        <w:rPr>
          <w:rFonts w:ascii="Times New Roman" w:eastAsia="Times New Roman" w:hAnsi="Times New Roman" w:cs="Times New Roman"/>
          <w:sz w:val="20"/>
          <w:szCs w:val="20"/>
        </w:rPr>
        <w:t>Kallbekken</w:t>
      </w:r>
      <w:proofErr w:type="spellEnd"/>
      <w:r>
        <w:rPr>
          <w:rFonts w:ascii="Times New Roman" w:eastAsia="Times New Roman" w:hAnsi="Times New Roman" w:cs="Times New Roman"/>
          <w:sz w:val="20"/>
          <w:szCs w:val="20"/>
        </w:rPr>
        <w:t xml:space="preserve"> et al (2013), which suggests that for environmental fees to be effectively</w:t>
      </w:r>
      <w:r>
        <w:rPr>
          <w:rFonts w:ascii="Times New Roman" w:eastAsia="Times New Roman" w:hAnsi="Times New Roman" w:cs="Times New Roman"/>
          <w:sz w:val="20"/>
          <w:szCs w:val="20"/>
        </w:rPr>
        <w:t xml:space="preserve"> implemented, the public must be well-informed. Without a clear understanding of how environmental fees operate and their intended ecological benefits, this could lead to public resistance and non-compliance. Statements justify the unclear and no transpare</w:t>
      </w:r>
      <w:r>
        <w:rPr>
          <w:rFonts w:ascii="Times New Roman" w:eastAsia="Times New Roman" w:hAnsi="Times New Roman" w:cs="Times New Roman"/>
          <w:sz w:val="20"/>
          <w:szCs w:val="20"/>
        </w:rPr>
        <w:t xml:space="preserve">nt communication between the local government of </w:t>
      </w:r>
      <w:proofErr w:type="spellStart"/>
      <w:r>
        <w:rPr>
          <w:rFonts w:ascii="Times New Roman" w:eastAsia="Times New Roman" w:hAnsi="Times New Roman" w:cs="Times New Roman"/>
          <w:sz w:val="20"/>
          <w:szCs w:val="20"/>
        </w:rPr>
        <w:t>Samal</w:t>
      </w:r>
      <w:proofErr w:type="spellEnd"/>
      <w:r>
        <w:rPr>
          <w:rFonts w:ascii="Times New Roman" w:eastAsia="Times New Roman" w:hAnsi="Times New Roman" w:cs="Times New Roman"/>
          <w:sz w:val="20"/>
          <w:szCs w:val="20"/>
        </w:rPr>
        <w:t xml:space="preserve"> and its tourists. Transparent communication strategies are crucial in educating tourists about the purpose behind environmental fees and how the revenues are used to support environmental initiatives (</w:t>
      </w:r>
      <w:proofErr w:type="spellStart"/>
      <w:r>
        <w:rPr>
          <w:rFonts w:ascii="Times New Roman" w:eastAsia="Times New Roman" w:hAnsi="Times New Roman" w:cs="Times New Roman"/>
          <w:sz w:val="20"/>
          <w:szCs w:val="20"/>
        </w:rPr>
        <w:t>Beuermann</w:t>
      </w:r>
      <w:proofErr w:type="spellEnd"/>
      <w:r>
        <w:rPr>
          <w:rFonts w:ascii="Times New Roman" w:eastAsia="Times New Roman" w:hAnsi="Times New Roman" w:cs="Times New Roman"/>
          <w:sz w:val="20"/>
          <w:szCs w:val="20"/>
        </w:rPr>
        <w:t>, 2006).</w:t>
      </w:r>
    </w:p>
    <w:p w14:paraId="00000034" w14:textId="77777777" w:rsidR="006337DC" w:rsidRDefault="006337DC">
      <w:pPr>
        <w:pBdr>
          <w:top w:val="nil"/>
          <w:left w:val="nil"/>
          <w:bottom w:val="nil"/>
          <w:right w:val="nil"/>
          <w:between w:val="nil"/>
        </w:pBdr>
        <w:rPr>
          <w:rFonts w:ascii="Times New Roman" w:eastAsia="Times New Roman" w:hAnsi="Times New Roman" w:cs="Times New Roman"/>
          <w:b/>
          <w:i/>
          <w:sz w:val="20"/>
          <w:szCs w:val="20"/>
        </w:rPr>
      </w:pPr>
    </w:p>
    <w:p w14:paraId="00000035" w14:textId="77777777" w:rsidR="006337DC" w:rsidRDefault="000250A7">
      <w:pPr>
        <w:pBdr>
          <w:top w:val="nil"/>
          <w:left w:val="nil"/>
          <w:bottom w:val="nil"/>
          <w:right w:val="nil"/>
          <w:between w:val="nil"/>
        </w:pBdr>
        <w:ind w:firstLine="720"/>
        <w:jc w:val="both"/>
        <w:rPr>
          <w:rFonts w:ascii="Times New Roman" w:eastAsia="Times New Roman" w:hAnsi="Times New Roman" w:cs="Times New Roman"/>
          <w:sz w:val="20"/>
          <w:szCs w:val="20"/>
        </w:rPr>
      </w:pPr>
      <w:r>
        <w:rPr>
          <w:rFonts w:ascii="Times New Roman" w:eastAsia="Times New Roman" w:hAnsi="Times New Roman" w:cs="Times New Roman"/>
          <w:b/>
          <w:i/>
          <w:color w:val="000000"/>
          <w:sz w:val="20"/>
          <w:szCs w:val="20"/>
        </w:rPr>
        <w:t>Perceived Lack of Transparency.</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One of the sub-themes that emerged is the perceived lack of transparency regarding the environmental fee. Participants consistently pointed out the absence of posters or other means to display how the envi</w:t>
      </w:r>
      <w:r>
        <w:rPr>
          <w:rFonts w:ascii="Times New Roman" w:eastAsia="Times New Roman" w:hAnsi="Times New Roman" w:cs="Times New Roman"/>
          <w:sz w:val="20"/>
          <w:szCs w:val="20"/>
        </w:rPr>
        <w:t>ronmental fee funds have been utilized. This lack of visible evidence or detailed updates about the accomplishments funded by these fees contributes to the perception of insufficient transparency. And it has become a significant point of contention among t</w:t>
      </w:r>
      <w:r>
        <w:rPr>
          <w:rFonts w:ascii="Times New Roman" w:eastAsia="Times New Roman" w:hAnsi="Times New Roman" w:cs="Times New Roman"/>
          <w:sz w:val="20"/>
          <w:szCs w:val="20"/>
        </w:rPr>
        <w:t xml:space="preserve">ourists in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This concludes the study of </w:t>
      </w:r>
      <w:proofErr w:type="spellStart"/>
      <w:r>
        <w:rPr>
          <w:rFonts w:ascii="Times New Roman" w:eastAsia="Times New Roman" w:hAnsi="Times New Roman" w:cs="Times New Roman"/>
          <w:sz w:val="20"/>
          <w:szCs w:val="20"/>
        </w:rPr>
        <w:t>Deboe</w:t>
      </w:r>
      <w:proofErr w:type="spellEnd"/>
      <w:r>
        <w:rPr>
          <w:rFonts w:ascii="Times New Roman" w:eastAsia="Times New Roman" w:hAnsi="Times New Roman" w:cs="Times New Roman"/>
          <w:sz w:val="20"/>
          <w:szCs w:val="20"/>
        </w:rPr>
        <w:t xml:space="preserve"> and Hogg (2010), that when tourists understand that their contribution directly supports environmental conservation efforts this can create public trust and promote sustainable practices.</w:t>
      </w:r>
    </w:p>
    <w:p w14:paraId="00000036" w14:textId="77777777" w:rsidR="006337DC" w:rsidRDefault="000250A7">
      <w:pPr>
        <w:rPr>
          <w:rFonts w:ascii="Times New Roman" w:eastAsia="Times New Roman" w:hAnsi="Times New Roman" w:cs="Times New Roman"/>
          <w:b/>
          <w:sz w:val="20"/>
          <w:szCs w:val="20"/>
        </w:rPr>
      </w:pPr>
      <w:r>
        <w:rPr>
          <w:rFonts w:ascii="Times New Roman" w:eastAsia="Times New Roman" w:hAnsi="Times New Roman" w:cs="Times New Roman"/>
          <w:b/>
          <w:sz w:val="20"/>
          <w:szCs w:val="20"/>
        </w:rPr>
        <w:t>Tourist Content</w:t>
      </w:r>
      <w:r>
        <w:rPr>
          <w:rFonts w:ascii="Times New Roman" w:eastAsia="Times New Roman" w:hAnsi="Times New Roman" w:cs="Times New Roman"/>
          <w:b/>
          <w:sz w:val="20"/>
          <w:szCs w:val="20"/>
        </w:rPr>
        <w:t>ment and Involvement</w:t>
      </w:r>
    </w:p>
    <w:p w14:paraId="00000037" w14:textId="77777777" w:rsidR="006337DC" w:rsidRDefault="000250A7">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Tourist contentment is closely linked to their involvement and experiences at the destination in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The various statements provide collaborative insights into how tourists perceive the current environmental initiatives. These insi</w:t>
      </w:r>
      <w:r>
        <w:rPr>
          <w:rFonts w:ascii="Times New Roman" w:eastAsia="Times New Roman" w:hAnsi="Times New Roman" w:cs="Times New Roman"/>
          <w:sz w:val="20"/>
          <w:szCs w:val="20"/>
        </w:rPr>
        <w:t>ghts reflect the relationship between tourists’ satisfaction and their active engagement with the destination’s ecological conservation efforts</w:t>
      </w:r>
    </w:p>
    <w:p w14:paraId="00000038" w14:textId="77777777" w:rsidR="006337DC" w:rsidRDefault="000250A7">
      <w:pPr>
        <w:rPr>
          <w:rFonts w:ascii="Times New Roman" w:eastAsia="Times New Roman" w:hAnsi="Times New Roman" w:cs="Times New Roman"/>
          <w:sz w:val="20"/>
          <w:szCs w:val="20"/>
        </w:rPr>
      </w:pPr>
      <w:r>
        <w:rPr>
          <w:rFonts w:ascii="Times New Roman" w:eastAsia="Times New Roman" w:hAnsi="Times New Roman" w:cs="Times New Roman"/>
          <w:b/>
          <w:i/>
          <w:sz w:val="20"/>
          <w:szCs w:val="20"/>
        </w:rPr>
        <w:t>Theme 2: Satisfaction with Environmental Management and Conservation Effort</w:t>
      </w:r>
      <w:r>
        <w:rPr>
          <w:rFonts w:ascii="Times New Roman" w:eastAsia="Times New Roman" w:hAnsi="Times New Roman" w:cs="Times New Roman"/>
          <w:sz w:val="20"/>
          <w:szCs w:val="20"/>
        </w:rPr>
        <w:t>s</w:t>
      </w:r>
    </w:p>
    <w:p w14:paraId="00000039" w14:textId="77777777" w:rsidR="006337DC" w:rsidRDefault="000250A7">
      <w:pPr>
        <w:rPr>
          <w:rFonts w:ascii="Times New Roman" w:eastAsia="Times New Roman" w:hAnsi="Times New Roman" w:cs="Times New Roman"/>
          <w:sz w:val="20"/>
          <w:szCs w:val="20"/>
        </w:rPr>
      </w:pPr>
      <w:r>
        <w:rPr>
          <w:rFonts w:ascii="Times New Roman" w:eastAsia="Times New Roman" w:hAnsi="Times New Roman" w:cs="Times New Roman"/>
          <w:sz w:val="20"/>
          <w:szCs w:val="20"/>
        </w:rPr>
        <w:t>In exploring the tourist perspectiv</w:t>
      </w:r>
      <w:r>
        <w:rPr>
          <w:rFonts w:ascii="Times New Roman" w:eastAsia="Times New Roman" w:hAnsi="Times New Roman" w:cs="Times New Roman"/>
          <w:sz w:val="20"/>
          <w:szCs w:val="20"/>
        </w:rPr>
        <w:t xml:space="preserve">e on environmental fees, the second prominent theme that also emerged is the Satisfaction of tourists that relates to environmental management and conservation efforts. Several subthemes surfaced from this theme. </w:t>
      </w:r>
    </w:p>
    <w:p w14:paraId="0000003A" w14:textId="77777777" w:rsidR="006337DC" w:rsidRDefault="000250A7">
      <w:pPr>
        <w:pBdr>
          <w:top w:val="nil"/>
          <w:left w:val="nil"/>
          <w:bottom w:val="nil"/>
          <w:right w:val="nil"/>
          <w:between w:val="nil"/>
        </w:pBdr>
        <w:ind w:firstLine="720"/>
        <w:rPr>
          <w:rFonts w:ascii="Times New Roman" w:eastAsia="Times New Roman" w:hAnsi="Times New Roman" w:cs="Times New Roman"/>
          <w:sz w:val="20"/>
          <w:szCs w:val="20"/>
        </w:rPr>
      </w:pPr>
      <w:r>
        <w:rPr>
          <w:rFonts w:ascii="Times New Roman" w:eastAsia="Times New Roman" w:hAnsi="Times New Roman" w:cs="Times New Roman"/>
          <w:b/>
          <w:i/>
          <w:color w:val="000000"/>
          <w:sz w:val="20"/>
          <w:szCs w:val="20"/>
        </w:rPr>
        <w:t>Perception of Current Efforts.</w:t>
      </w:r>
      <w:r>
        <w:rPr>
          <w:rFonts w:ascii="Times New Roman" w:eastAsia="Times New Roman" w:hAnsi="Times New Roman" w:cs="Times New Roman"/>
          <w:b/>
          <w:i/>
          <w:sz w:val="20"/>
          <w:szCs w:val="20"/>
        </w:rPr>
        <w:t xml:space="preserve"> </w:t>
      </w:r>
      <w:r>
        <w:rPr>
          <w:rFonts w:ascii="Times New Roman" w:eastAsia="Times New Roman" w:hAnsi="Times New Roman" w:cs="Times New Roman"/>
          <w:sz w:val="20"/>
          <w:szCs w:val="20"/>
        </w:rPr>
        <w:t>In an interview, this sub-theme also reflects participants’ collective insights related to the current management efforts of environmental fees. The statements of the participants also showed that the complexity of implementing environmental fees can resul</w:t>
      </w:r>
      <w:r>
        <w:rPr>
          <w:rFonts w:ascii="Times New Roman" w:eastAsia="Times New Roman" w:hAnsi="Times New Roman" w:cs="Times New Roman"/>
          <w:sz w:val="20"/>
          <w:szCs w:val="20"/>
        </w:rPr>
        <w:t>t in administrative inefficiencies which were coherently discussed in the study of (</w:t>
      </w:r>
      <w:proofErr w:type="spellStart"/>
      <w:r>
        <w:rPr>
          <w:rFonts w:ascii="Times New Roman" w:eastAsia="Times New Roman" w:hAnsi="Times New Roman" w:cs="Times New Roman"/>
          <w:sz w:val="20"/>
          <w:szCs w:val="20"/>
        </w:rPr>
        <w:t>Spergel</w:t>
      </w:r>
      <w:proofErr w:type="spellEnd"/>
      <w:r>
        <w:rPr>
          <w:rFonts w:ascii="Times New Roman" w:eastAsia="Times New Roman" w:hAnsi="Times New Roman" w:cs="Times New Roman"/>
          <w:sz w:val="20"/>
          <w:szCs w:val="20"/>
        </w:rPr>
        <w:t xml:space="preserve"> et.al, 2004). Therefore, while the intention behind environmental fees is commendable, their implementation must be carefully managed to avoid negative perceptions </w:t>
      </w:r>
      <w:r>
        <w:rPr>
          <w:rFonts w:ascii="Times New Roman" w:eastAsia="Times New Roman" w:hAnsi="Times New Roman" w:cs="Times New Roman"/>
          <w:sz w:val="20"/>
          <w:szCs w:val="20"/>
        </w:rPr>
        <w:t>and outcomes.</w:t>
      </w:r>
    </w:p>
    <w:p w14:paraId="0000003B" w14:textId="77777777" w:rsidR="006337DC" w:rsidRDefault="000250A7">
      <w:pPr>
        <w:pBdr>
          <w:top w:val="nil"/>
          <w:left w:val="nil"/>
          <w:bottom w:val="nil"/>
          <w:right w:val="nil"/>
          <w:between w:val="nil"/>
        </w:pBdr>
        <w:ind w:firstLine="720"/>
        <w:rPr>
          <w:rFonts w:ascii="Times New Roman" w:eastAsia="Times New Roman" w:hAnsi="Times New Roman" w:cs="Times New Roman"/>
          <w:b/>
          <w:sz w:val="20"/>
          <w:szCs w:val="20"/>
        </w:rPr>
      </w:pPr>
      <w:r>
        <w:rPr>
          <w:rFonts w:ascii="Times New Roman" w:eastAsia="Times New Roman" w:hAnsi="Times New Roman" w:cs="Times New Roman"/>
          <w:b/>
          <w:i/>
          <w:color w:val="000000"/>
          <w:sz w:val="20"/>
          <w:szCs w:val="20"/>
        </w:rPr>
        <w:t xml:space="preserve">Willingness to Pay Environmental Fee. </w:t>
      </w:r>
      <w:r>
        <w:rPr>
          <w:rFonts w:ascii="Times New Roman" w:eastAsia="Times New Roman" w:hAnsi="Times New Roman" w:cs="Times New Roman"/>
          <w:sz w:val="20"/>
          <w:szCs w:val="20"/>
        </w:rPr>
        <w:t>In this sub-theme, tourist willingness to pay is influenced by various factors, based on the participants’ statements. One of the prevalent issues identified through analyzing the participant's statements</w:t>
      </w:r>
      <w:r>
        <w:rPr>
          <w:rFonts w:ascii="Times New Roman" w:eastAsia="Times New Roman" w:hAnsi="Times New Roman" w:cs="Times New Roman"/>
          <w:sz w:val="20"/>
          <w:szCs w:val="20"/>
        </w:rPr>
        <w:t xml:space="preserve"> is economic consideration. The willingness to pay an environmental fee highlights that the financial situation is a key factor in tourists’ spending decisions when visiting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While some tourists operate under strict budget constraints, others priori</w:t>
      </w:r>
      <w:r>
        <w:rPr>
          <w:rFonts w:ascii="Times New Roman" w:eastAsia="Times New Roman" w:hAnsi="Times New Roman" w:cs="Times New Roman"/>
          <w:sz w:val="20"/>
          <w:szCs w:val="20"/>
        </w:rPr>
        <w:t>tize getting the best value for their money, ensuring that their expenses are justified by the experiences and amenities offered by the destination. This aligns with Carson et al. (2003), which found that individuals’ willingness to pay is influenced by th</w:t>
      </w:r>
      <w:r>
        <w:rPr>
          <w:rFonts w:ascii="Times New Roman" w:eastAsia="Times New Roman" w:hAnsi="Times New Roman" w:cs="Times New Roman"/>
          <w:sz w:val="20"/>
          <w:szCs w:val="20"/>
        </w:rPr>
        <w:t xml:space="preserve">eir income levels and awareness of environmental fees. </w:t>
      </w:r>
    </w:p>
    <w:p w14:paraId="0000003C" w14:textId="77777777" w:rsidR="006337DC" w:rsidRDefault="006337DC">
      <w:pPr>
        <w:spacing w:after="0" w:line="240" w:lineRule="auto"/>
        <w:jc w:val="both"/>
        <w:rPr>
          <w:rFonts w:ascii="Times New Roman" w:eastAsia="Times New Roman" w:hAnsi="Times New Roman" w:cs="Times New Roman"/>
          <w:b/>
          <w:sz w:val="20"/>
          <w:szCs w:val="20"/>
        </w:rPr>
      </w:pPr>
    </w:p>
    <w:p w14:paraId="0000003D" w14:textId="77777777" w:rsidR="006337DC" w:rsidRDefault="000250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CONCLUSION</w:t>
      </w:r>
    </w:p>
    <w:p w14:paraId="0000003E" w14:textId="77777777" w:rsidR="006337DC" w:rsidRDefault="006337DC">
      <w:pPr>
        <w:spacing w:after="0" w:line="240" w:lineRule="auto"/>
        <w:jc w:val="center"/>
        <w:rPr>
          <w:rFonts w:ascii="Times New Roman" w:eastAsia="Times New Roman" w:hAnsi="Times New Roman" w:cs="Times New Roman"/>
          <w:b/>
          <w:sz w:val="20"/>
          <w:szCs w:val="20"/>
        </w:rPr>
      </w:pPr>
    </w:p>
    <w:p w14:paraId="0000003F"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researcher concluded that to have an effective implementation of environmental fees in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there must be clear communication and well-defined roles of the local government unit of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and the tourists. A significant lack of public awareness about the purpose and benefits of these fees can lead to resistance and even non-compliance. Therefore, transparent communication strategies are crucial and essential to educate and involve to</w:t>
      </w:r>
      <w:r>
        <w:rPr>
          <w:rFonts w:ascii="Times New Roman" w:eastAsia="Times New Roman" w:hAnsi="Times New Roman" w:cs="Times New Roman"/>
          <w:sz w:val="20"/>
          <w:szCs w:val="20"/>
        </w:rPr>
        <w:t xml:space="preserve">urist on how their contribution directly impacts and supports the sustainability advocacy of the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thereby fostering trust and promoting sustainable tourism practices is significant.</w:t>
      </w:r>
    </w:p>
    <w:p w14:paraId="00000040" w14:textId="77777777" w:rsidR="006337DC" w:rsidRDefault="006337DC">
      <w:pPr>
        <w:spacing w:after="0" w:line="240" w:lineRule="auto"/>
        <w:jc w:val="both"/>
        <w:rPr>
          <w:rFonts w:ascii="Times New Roman" w:eastAsia="Times New Roman" w:hAnsi="Times New Roman" w:cs="Times New Roman"/>
          <w:sz w:val="20"/>
          <w:szCs w:val="20"/>
        </w:rPr>
      </w:pPr>
      <w:bookmarkStart w:id="1" w:name="_heading=h.30j0zll" w:colFirst="0" w:colLast="0"/>
      <w:bookmarkEnd w:id="1"/>
    </w:p>
    <w:p w14:paraId="00000041" w14:textId="77777777" w:rsidR="006337DC" w:rsidRDefault="006337DC">
      <w:pPr>
        <w:spacing w:after="0" w:line="240" w:lineRule="auto"/>
        <w:jc w:val="center"/>
        <w:rPr>
          <w:rFonts w:ascii="Times New Roman" w:eastAsia="Times New Roman" w:hAnsi="Times New Roman" w:cs="Times New Roman"/>
          <w:b/>
          <w:sz w:val="20"/>
          <w:szCs w:val="20"/>
        </w:rPr>
      </w:pPr>
    </w:p>
    <w:p w14:paraId="00000042" w14:textId="77777777" w:rsidR="006337DC" w:rsidRDefault="006337DC" w:rsidP="005D1D9E">
      <w:pPr>
        <w:spacing w:after="0" w:line="240" w:lineRule="auto"/>
        <w:rPr>
          <w:rFonts w:ascii="Times New Roman" w:eastAsia="Times New Roman" w:hAnsi="Times New Roman" w:cs="Times New Roman"/>
          <w:b/>
          <w:sz w:val="20"/>
          <w:szCs w:val="20"/>
        </w:rPr>
      </w:pPr>
    </w:p>
    <w:p w14:paraId="00000043" w14:textId="77777777" w:rsidR="006337DC" w:rsidRDefault="000250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RECOMMENDATIONS</w:t>
      </w:r>
    </w:p>
    <w:p w14:paraId="00000044" w14:textId="77777777" w:rsidR="006337DC" w:rsidRDefault="006337DC">
      <w:pPr>
        <w:spacing w:after="0" w:line="240" w:lineRule="auto"/>
        <w:jc w:val="both"/>
        <w:rPr>
          <w:rFonts w:ascii="Times New Roman" w:eastAsia="Times New Roman" w:hAnsi="Times New Roman" w:cs="Times New Roman"/>
          <w:sz w:val="20"/>
          <w:szCs w:val="20"/>
        </w:rPr>
      </w:pPr>
    </w:p>
    <w:p w14:paraId="00000045" w14:textId="77777777" w:rsidR="006337DC" w:rsidRDefault="000250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To enhance the effectiveness and acceptance of the environmental fee in </w:t>
      </w:r>
      <w:proofErr w:type="spellStart"/>
      <w:r>
        <w:rPr>
          <w:rFonts w:ascii="Times New Roman" w:eastAsia="Times New Roman" w:hAnsi="Times New Roman" w:cs="Times New Roman"/>
          <w:color w:val="000000"/>
          <w:sz w:val="20"/>
          <w:szCs w:val="20"/>
        </w:rPr>
        <w:t>IGACoS</w:t>
      </w:r>
      <w:proofErr w:type="spellEnd"/>
      <w:r>
        <w:rPr>
          <w:rFonts w:ascii="Times New Roman" w:eastAsia="Times New Roman" w:hAnsi="Times New Roman" w:cs="Times New Roman"/>
          <w:color w:val="000000"/>
          <w:sz w:val="20"/>
          <w:szCs w:val="20"/>
        </w:rPr>
        <w:t>, it is crucial to involve and inform tourists about their contributions, specifically its function to protect and preserve natural attractions. Additionally, providing clear and</w:t>
      </w:r>
      <w:r>
        <w:rPr>
          <w:rFonts w:ascii="Times New Roman" w:eastAsia="Times New Roman" w:hAnsi="Times New Roman" w:cs="Times New Roman"/>
          <w:color w:val="000000"/>
          <w:sz w:val="20"/>
          <w:szCs w:val="20"/>
        </w:rPr>
        <w:t xml:space="preserve"> transparent information on how fees are utilized by engaging local communities in promoting and managing these initiatives can further improve compliance and support.  Collaborating with travel agencies and tour operators to educate tourists before their </w:t>
      </w:r>
      <w:r>
        <w:rPr>
          <w:rFonts w:ascii="Times New Roman" w:eastAsia="Times New Roman" w:hAnsi="Times New Roman" w:cs="Times New Roman"/>
          <w:color w:val="000000"/>
          <w:sz w:val="20"/>
          <w:szCs w:val="20"/>
        </w:rPr>
        <w:t xml:space="preserve">arrival and incorporating feedback mechanisms to understand tourist perceptions and improve the program. </w:t>
      </w:r>
    </w:p>
    <w:p w14:paraId="00000046" w14:textId="77777777" w:rsidR="006337DC" w:rsidRDefault="006337DC">
      <w:pPr>
        <w:spacing w:after="0" w:line="240" w:lineRule="auto"/>
        <w:jc w:val="both"/>
        <w:rPr>
          <w:rFonts w:ascii="Times New Roman" w:eastAsia="Times New Roman" w:hAnsi="Times New Roman" w:cs="Times New Roman"/>
          <w:sz w:val="20"/>
          <w:szCs w:val="20"/>
        </w:rPr>
      </w:pPr>
    </w:p>
    <w:p w14:paraId="00000047" w14:textId="77777777" w:rsidR="006337DC" w:rsidRDefault="000250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Creating and installing posters and information walls at every tourist location, providing detailed breakdowns of how the fees are allocated and the </w:t>
      </w:r>
      <w:r>
        <w:rPr>
          <w:rFonts w:ascii="Times New Roman" w:eastAsia="Times New Roman" w:hAnsi="Times New Roman" w:cs="Times New Roman"/>
          <w:color w:val="000000"/>
          <w:sz w:val="20"/>
          <w:szCs w:val="20"/>
        </w:rPr>
        <w:t xml:space="preserve">positive impact they have on protecting and preserving natural attractions. Develop a dedicated section on the official </w:t>
      </w:r>
      <w:proofErr w:type="spellStart"/>
      <w:r>
        <w:rPr>
          <w:rFonts w:ascii="Times New Roman" w:eastAsia="Times New Roman" w:hAnsi="Times New Roman" w:cs="Times New Roman"/>
          <w:color w:val="000000"/>
          <w:sz w:val="20"/>
          <w:szCs w:val="20"/>
        </w:rPr>
        <w:t>IGACoS</w:t>
      </w:r>
      <w:proofErr w:type="spellEnd"/>
      <w:r>
        <w:rPr>
          <w:rFonts w:ascii="Times New Roman" w:eastAsia="Times New Roman" w:hAnsi="Times New Roman" w:cs="Times New Roman"/>
          <w:color w:val="000000"/>
          <w:sz w:val="20"/>
          <w:szCs w:val="20"/>
        </w:rPr>
        <w:t xml:space="preserve"> tourism website and mobile app where tourists can access real-time information on fund allocation, ongoing projects, and success </w:t>
      </w:r>
      <w:r>
        <w:rPr>
          <w:rFonts w:ascii="Times New Roman" w:eastAsia="Times New Roman" w:hAnsi="Times New Roman" w:cs="Times New Roman"/>
          <w:color w:val="000000"/>
          <w:sz w:val="20"/>
          <w:szCs w:val="20"/>
        </w:rPr>
        <w:t>stories resulting from the environmental fee.</w:t>
      </w:r>
    </w:p>
    <w:p w14:paraId="00000048" w14:textId="77777777" w:rsidR="006337DC" w:rsidRDefault="006337DC">
      <w:pPr>
        <w:spacing w:after="0" w:line="240" w:lineRule="auto"/>
        <w:jc w:val="both"/>
        <w:rPr>
          <w:rFonts w:ascii="Times New Roman" w:eastAsia="Times New Roman" w:hAnsi="Times New Roman" w:cs="Times New Roman"/>
          <w:sz w:val="20"/>
          <w:szCs w:val="20"/>
        </w:rPr>
      </w:pPr>
    </w:p>
    <w:p w14:paraId="00000049" w14:textId="77777777" w:rsidR="006337DC" w:rsidRDefault="000250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Organize community events and workshops where tourists can participate in conservation activities and see firsthand how their contributions are making a difference. This could include guided tours of funded projects, such as wildlife marine sanctuaries and</w:t>
      </w:r>
      <w:r>
        <w:rPr>
          <w:rFonts w:ascii="Times New Roman" w:eastAsia="Times New Roman" w:hAnsi="Times New Roman" w:cs="Times New Roman"/>
          <w:color w:val="000000"/>
          <w:sz w:val="20"/>
          <w:szCs w:val="20"/>
        </w:rPr>
        <w:t xml:space="preserve"> more.</w:t>
      </w:r>
    </w:p>
    <w:p w14:paraId="0000004A" w14:textId="77777777" w:rsidR="006337DC" w:rsidRDefault="006337DC">
      <w:pPr>
        <w:pBdr>
          <w:top w:val="nil"/>
          <w:left w:val="nil"/>
          <w:bottom w:val="nil"/>
          <w:right w:val="nil"/>
          <w:between w:val="nil"/>
        </w:pBdr>
        <w:spacing w:after="0"/>
        <w:ind w:left="720"/>
        <w:rPr>
          <w:rFonts w:ascii="Times New Roman" w:eastAsia="Times New Roman" w:hAnsi="Times New Roman" w:cs="Times New Roman"/>
          <w:color w:val="000000"/>
          <w:sz w:val="20"/>
          <w:szCs w:val="20"/>
        </w:rPr>
      </w:pPr>
    </w:p>
    <w:p w14:paraId="0000004B" w14:textId="77777777" w:rsidR="006337DC" w:rsidRDefault="000250A7">
      <w:pPr>
        <w:numPr>
          <w:ilvl w:val="0"/>
          <w:numId w:val="1"/>
        </w:numPr>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Implementing feedback systems where tourists can provide input and suggestions regarding environmental fees through surveys, suggestion boxes, and even digital platforms for tourist convenient</w:t>
      </w:r>
    </w:p>
    <w:p w14:paraId="0000004C" w14:textId="77777777" w:rsidR="006337DC" w:rsidRDefault="006337DC">
      <w:pPr>
        <w:spacing w:after="0" w:line="240" w:lineRule="auto"/>
        <w:jc w:val="both"/>
        <w:rPr>
          <w:rFonts w:ascii="Times New Roman" w:eastAsia="Times New Roman" w:hAnsi="Times New Roman" w:cs="Times New Roman"/>
          <w:sz w:val="20"/>
          <w:szCs w:val="20"/>
        </w:rPr>
      </w:pPr>
    </w:p>
    <w:p w14:paraId="0000004D" w14:textId="77777777" w:rsidR="006337DC" w:rsidRDefault="006337DC">
      <w:pPr>
        <w:spacing w:after="0" w:line="240" w:lineRule="auto"/>
        <w:jc w:val="both"/>
        <w:rPr>
          <w:rFonts w:ascii="Times New Roman" w:eastAsia="Times New Roman" w:hAnsi="Times New Roman" w:cs="Times New Roman"/>
          <w:sz w:val="20"/>
          <w:szCs w:val="20"/>
        </w:rPr>
      </w:pPr>
    </w:p>
    <w:p w14:paraId="0000004E" w14:textId="77777777" w:rsidR="006337DC" w:rsidRDefault="000250A7">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In adopting these measures, </w:t>
      </w:r>
      <w:proofErr w:type="spellStart"/>
      <w:r>
        <w:rPr>
          <w:rFonts w:ascii="Times New Roman" w:eastAsia="Times New Roman" w:hAnsi="Times New Roman" w:cs="Times New Roman"/>
          <w:sz w:val="20"/>
          <w:szCs w:val="20"/>
        </w:rPr>
        <w:t>IGACoS</w:t>
      </w:r>
      <w:proofErr w:type="spellEnd"/>
      <w:r>
        <w:rPr>
          <w:rFonts w:ascii="Times New Roman" w:eastAsia="Times New Roman" w:hAnsi="Times New Roman" w:cs="Times New Roman"/>
          <w:sz w:val="20"/>
          <w:szCs w:val="20"/>
        </w:rPr>
        <w:t xml:space="preserve"> can enhance trans</w:t>
      </w:r>
      <w:r>
        <w:rPr>
          <w:rFonts w:ascii="Times New Roman" w:eastAsia="Times New Roman" w:hAnsi="Times New Roman" w:cs="Times New Roman"/>
          <w:sz w:val="20"/>
          <w:szCs w:val="20"/>
        </w:rPr>
        <w:t>parency, build trust, and demonstrate the tangible benefits of the environmental fee, thereby increasing its acceptance and effectiveness among tourists.</w:t>
      </w:r>
    </w:p>
    <w:p w14:paraId="0000004F" w14:textId="77777777" w:rsidR="006337DC" w:rsidRDefault="006337DC">
      <w:pPr>
        <w:spacing w:after="0" w:line="240" w:lineRule="auto"/>
        <w:jc w:val="both"/>
        <w:rPr>
          <w:rFonts w:ascii="Times New Roman" w:eastAsia="Times New Roman" w:hAnsi="Times New Roman" w:cs="Times New Roman"/>
          <w:sz w:val="20"/>
          <w:szCs w:val="20"/>
        </w:rPr>
      </w:pPr>
    </w:p>
    <w:p w14:paraId="00000050" w14:textId="77777777" w:rsidR="006337DC" w:rsidRDefault="006337DC">
      <w:pPr>
        <w:spacing w:after="0" w:line="240" w:lineRule="auto"/>
        <w:jc w:val="both"/>
        <w:rPr>
          <w:rFonts w:ascii="Times New Roman" w:eastAsia="Times New Roman" w:hAnsi="Times New Roman" w:cs="Times New Roman"/>
          <w:sz w:val="20"/>
          <w:szCs w:val="20"/>
        </w:rPr>
      </w:pPr>
    </w:p>
    <w:p w14:paraId="00000051" w14:textId="77777777" w:rsidR="006337DC" w:rsidRDefault="000250A7">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REFERENCES</w:t>
      </w:r>
    </w:p>
    <w:p w14:paraId="00000052" w14:textId="77777777" w:rsidR="006337DC" w:rsidRDefault="006337DC">
      <w:pPr>
        <w:spacing w:after="0" w:line="240" w:lineRule="auto"/>
        <w:jc w:val="center"/>
        <w:rPr>
          <w:rFonts w:ascii="Times New Roman" w:eastAsia="Times New Roman" w:hAnsi="Times New Roman" w:cs="Times New Roman"/>
          <w:b/>
          <w:sz w:val="20"/>
          <w:szCs w:val="20"/>
        </w:rPr>
      </w:pPr>
    </w:p>
    <w:p w14:paraId="27DA45D5" w14:textId="77777777" w:rsidR="005D1D9E" w:rsidRDefault="005D1D9E" w:rsidP="005D1D9E">
      <w:pPr>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Bovenberg</w:t>
      </w:r>
      <w:proofErr w:type="spellEnd"/>
      <w:r>
        <w:rPr>
          <w:rFonts w:ascii="Arial" w:eastAsia="Arial" w:hAnsi="Arial" w:cs="Arial"/>
          <w:color w:val="222222"/>
          <w:sz w:val="20"/>
          <w:szCs w:val="20"/>
          <w:highlight w:val="white"/>
        </w:rPr>
        <w:t xml:space="preserve">, A. L., &amp; De </w:t>
      </w:r>
      <w:proofErr w:type="spellStart"/>
      <w:r>
        <w:rPr>
          <w:rFonts w:ascii="Arial" w:eastAsia="Arial" w:hAnsi="Arial" w:cs="Arial"/>
          <w:color w:val="222222"/>
          <w:sz w:val="20"/>
          <w:szCs w:val="20"/>
          <w:highlight w:val="white"/>
        </w:rPr>
        <w:t>Mooij</w:t>
      </w:r>
      <w:proofErr w:type="spellEnd"/>
      <w:r>
        <w:rPr>
          <w:rFonts w:ascii="Arial" w:eastAsia="Arial" w:hAnsi="Arial" w:cs="Arial"/>
          <w:color w:val="222222"/>
          <w:sz w:val="20"/>
          <w:szCs w:val="20"/>
          <w:highlight w:val="white"/>
        </w:rPr>
        <w:t>, R. A. (1994). Environmental levies and distortionary taxation. </w:t>
      </w:r>
      <w:r>
        <w:rPr>
          <w:rFonts w:ascii="Arial" w:eastAsia="Arial" w:hAnsi="Arial" w:cs="Arial"/>
          <w:i/>
          <w:color w:val="222222"/>
          <w:sz w:val="20"/>
          <w:szCs w:val="20"/>
          <w:highlight w:val="white"/>
        </w:rPr>
        <w:t>The American Economic Review</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84</w:t>
      </w:r>
      <w:r>
        <w:rPr>
          <w:rFonts w:ascii="Arial" w:eastAsia="Arial" w:hAnsi="Arial" w:cs="Arial"/>
          <w:color w:val="222222"/>
          <w:sz w:val="20"/>
          <w:szCs w:val="20"/>
          <w:highlight w:val="white"/>
        </w:rPr>
        <w:t>(4), 1085-1089.</w:t>
      </w:r>
    </w:p>
    <w:p w14:paraId="1CA835AD" w14:textId="77777777" w:rsidR="005D1D9E" w:rsidRDefault="005D1D9E" w:rsidP="005D1D9E">
      <w:pPr>
        <w:rPr>
          <w:rFonts w:ascii="Arial" w:eastAsia="Arial" w:hAnsi="Arial" w:cs="Arial"/>
          <w:color w:val="222222"/>
          <w:sz w:val="20"/>
          <w:szCs w:val="20"/>
          <w:highlight w:val="white"/>
        </w:rPr>
      </w:pPr>
      <w:r>
        <w:rPr>
          <w:rFonts w:ascii="Arial" w:eastAsia="Arial" w:hAnsi="Arial" w:cs="Arial"/>
          <w:color w:val="222222"/>
          <w:sz w:val="20"/>
          <w:szCs w:val="20"/>
          <w:highlight w:val="white"/>
        </w:rPr>
        <w:t>Carson, R. T., &amp; Roth Tran, B. (2009). </w:t>
      </w:r>
      <w:r>
        <w:rPr>
          <w:rFonts w:ascii="Arial" w:eastAsia="Arial" w:hAnsi="Arial" w:cs="Arial"/>
          <w:i/>
          <w:color w:val="222222"/>
          <w:sz w:val="20"/>
          <w:szCs w:val="20"/>
          <w:highlight w:val="white"/>
        </w:rPr>
        <w:t>Discounting behavior and environmental decisions</w:t>
      </w:r>
      <w:r>
        <w:rPr>
          <w:rFonts w:ascii="Arial" w:eastAsia="Arial" w:hAnsi="Arial" w:cs="Arial"/>
          <w:color w:val="222222"/>
          <w:sz w:val="20"/>
          <w:szCs w:val="20"/>
          <w:highlight w:val="white"/>
        </w:rPr>
        <w:t> (Vol. 2, No. 2, p. 112). Educational Publishing Foundation.</w:t>
      </w:r>
    </w:p>
    <w:p w14:paraId="6D971BBA" w14:textId="77777777" w:rsidR="005D1D9E" w:rsidRDefault="005D1D9E" w:rsidP="005D1D9E">
      <w:pPr>
        <w:spacing w:after="0" w:line="240" w:lineRule="auto"/>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Cozo</w:t>
      </w:r>
      <w:proofErr w:type="spellEnd"/>
      <w:r>
        <w:rPr>
          <w:rFonts w:ascii="Arial" w:eastAsia="Arial" w:hAnsi="Arial" w:cs="Arial"/>
          <w:color w:val="222222"/>
          <w:sz w:val="20"/>
          <w:szCs w:val="20"/>
          <w:highlight w:val="white"/>
        </w:rPr>
        <w:t xml:space="preserve">, M. J., &amp; Chavez Jr, F. C. (2008). Benthic Profile of the Proposed Marine Protected Area No. 4 Island Garden City of </w:t>
      </w:r>
      <w:proofErr w:type="spellStart"/>
      <w:r>
        <w:rPr>
          <w:rFonts w:ascii="Arial" w:eastAsia="Arial" w:hAnsi="Arial" w:cs="Arial"/>
          <w:color w:val="222222"/>
          <w:sz w:val="20"/>
          <w:szCs w:val="20"/>
          <w:highlight w:val="white"/>
        </w:rPr>
        <w:t>Samal</w:t>
      </w:r>
      <w:proofErr w:type="spellEnd"/>
      <w:r>
        <w:rPr>
          <w:rFonts w:ascii="Arial" w:eastAsia="Arial" w:hAnsi="Arial" w:cs="Arial"/>
          <w:color w:val="222222"/>
          <w:sz w:val="20"/>
          <w:szCs w:val="20"/>
          <w:highlight w:val="white"/>
        </w:rPr>
        <w:t>. </w:t>
      </w:r>
      <w:r>
        <w:rPr>
          <w:rFonts w:ascii="Arial" w:eastAsia="Arial" w:hAnsi="Arial" w:cs="Arial"/>
          <w:i/>
          <w:color w:val="222222"/>
          <w:sz w:val="20"/>
          <w:szCs w:val="20"/>
          <w:highlight w:val="white"/>
        </w:rPr>
        <w:t>JPAIR Multidisciplinary Research</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1</w:t>
      </w:r>
      <w:r>
        <w:rPr>
          <w:rFonts w:ascii="Arial" w:eastAsia="Arial" w:hAnsi="Arial" w:cs="Arial"/>
          <w:color w:val="222222"/>
          <w:sz w:val="20"/>
          <w:szCs w:val="20"/>
          <w:highlight w:val="white"/>
        </w:rPr>
        <w:t>(1).</w:t>
      </w:r>
    </w:p>
    <w:p w14:paraId="0C100575" w14:textId="77777777" w:rsidR="005D1D9E" w:rsidRDefault="005D1D9E">
      <w:pPr>
        <w:spacing w:after="0" w:line="240" w:lineRule="auto"/>
        <w:jc w:val="both"/>
        <w:rPr>
          <w:rFonts w:ascii="Arial" w:eastAsia="Arial" w:hAnsi="Arial" w:cs="Arial"/>
          <w:color w:val="222222"/>
          <w:sz w:val="20"/>
          <w:szCs w:val="20"/>
          <w:highlight w:val="white"/>
        </w:rPr>
      </w:pPr>
    </w:p>
    <w:p w14:paraId="0E6340B7" w14:textId="77777777" w:rsidR="005D1D9E" w:rsidRDefault="005D1D9E" w:rsidP="005D1D9E">
      <w:pPr>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DeBoe</w:t>
      </w:r>
      <w:proofErr w:type="spellEnd"/>
      <w:r>
        <w:rPr>
          <w:rFonts w:ascii="Arial" w:eastAsia="Arial" w:hAnsi="Arial" w:cs="Arial"/>
          <w:color w:val="222222"/>
          <w:sz w:val="20"/>
          <w:szCs w:val="20"/>
          <w:highlight w:val="white"/>
        </w:rPr>
        <w:t>, G. (2020). Economic and environmental sustainability performance of environmental policies in agriculture.</w:t>
      </w:r>
    </w:p>
    <w:p w14:paraId="1EEB5372" w14:textId="77777777" w:rsidR="005D1D9E" w:rsidRDefault="005D1D9E" w:rsidP="005D1D9E">
      <w:pPr>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Dresner</w:t>
      </w:r>
      <w:proofErr w:type="spellEnd"/>
      <w:r>
        <w:rPr>
          <w:rFonts w:ascii="Arial" w:eastAsia="Arial" w:hAnsi="Arial" w:cs="Arial"/>
          <w:color w:val="222222"/>
          <w:sz w:val="20"/>
          <w:szCs w:val="20"/>
          <w:highlight w:val="white"/>
        </w:rPr>
        <w:t xml:space="preserve">, S., Dunne, L., Clinch, P., &amp; </w:t>
      </w:r>
      <w:proofErr w:type="spellStart"/>
      <w:r>
        <w:rPr>
          <w:rFonts w:ascii="Arial" w:eastAsia="Arial" w:hAnsi="Arial" w:cs="Arial"/>
          <w:color w:val="222222"/>
          <w:sz w:val="20"/>
          <w:szCs w:val="20"/>
          <w:highlight w:val="white"/>
        </w:rPr>
        <w:t>Beuermann</w:t>
      </w:r>
      <w:proofErr w:type="spellEnd"/>
      <w:r>
        <w:rPr>
          <w:rFonts w:ascii="Arial" w:eastAsia="Arial" w:hAnsi="Arial" w:cs="Arial"/>
          <w:color w:val="222222"/>
          <w:sz w:val="20"/>
          <w:szCs w:val="20"/>
          <w:highlight w:val="white"/>
        </w:rPr>
        <w:t>, C. (2006). Social and political responses to ecological tax reform in Europe: an introduction to the special issue. </w:t>
      </w:r>
      <w:r>
        <w:rPr>
          <w:rFonts w:ascii="Arial" w:eastAsia="Arial" w:hAnsi="Arial" w:cs="Arial"/>
          <w:i/>
          <w:color w:val="222222"/>
          <w:sz w:val="20"/>
          <w:szCs w:val="20"/>
          <w:highlight w:val="white"/>
        </w:rPr>
        <w:t>Energy policy</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34</w:t>
      </w:r>
      <w:r>
        <w:rPr>
          <w:rFonts w:ascii="Arial" w:eastAsia="Arial" w:hAnsi="Arial" w:cs="Arial"/>
          <w:color w:val="222222"/>
          <w:sz w:val="20"/>
          <w:szCs w:val="20"/>
          <w:highlight w:val="white"/>
        </w:rPr>
        <w:t>(8), 895-904.</w:t>
      </w:r>
    </w:p>
    <w:p w14:paraId="37B88905" w14:textId="77777777" w:rsidR="005D1D9E" w:rsidRDefault="005D1D9E" w:rsidP="005D1D9E">
      <w:pPr>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Jangao</w:t>
      </w:r>
      <w:proofErr w:type="spellEnd"/>
      <w:r>
        <w:rPr>
          <w:rFonts w:ascii="Arial" w:eastAsia="Arial" w:hAnsi="Arial" w:cs="Arial"/>
          <w:color w:val="222222"/>
          <w:sz w:val="20"/>
          <w:szCs w:val="20"/>
          <w:highlight w:val="white"/>
        </w:rPr>
        <w:t xml:space="preserve">, A., Ancheta, A., &amp; </w:t>
      </w:r>
      <w:proofErr w:type="spellStart"/>
      <w:r>
        <w:rPr>
          <w:rFonts w:ascii="Arial" w:eastAsia="Arial" w:hAnsi="Arial" w:cs="Arial"/>
          <w:color w:val="222222"/>
          <w:sz w:val="20"/>
          <w:szCs w:val="20"/>
          <w:highlight w:val="white"/>
        </w:rPr>
        <w:t>Rabago</w:t>
      </w:r>
      <w:proofErr w:type="spellEnd"/>
      <w:r>
        <w:rPr>
          <w:rFonts w:ascii="Arial" w:eastAsia="Arial" w:hAnsi="Arial" w:cs="Arial"/>
          <w:color w:val="222222"/>
          <w:sz w:val="20"/>
          <w:szCs w:val="20"/>
          <w:highlight w:val="white"/>
        </w:rPr>
        <w:t xml:space="preserve">, L. J. (2020). Tourist Satisfaction and Return Intention to Beaches in Island Garden City of </w:t>
      </w:r>
      <w:proofErr w:type="spellStart"/>
      <w:r>
        <w:rPr>
          <w:rFonts w:ascii="Arial" w:eastAsia="Arial" w:hAnsi="Arial" w:cs="Arial"/>
          <w:color w:val="222222"/>
          <w:sz w:val="20"/>
          <w:szCs w:val="20"/>
          <w:highlight w:val="white"/>
        </w:rPr>
        <w:t>Samal</w:t>
      </w:r>
      <w:proofErr w:type="spellEnd"/>
      <w:r>
        <w:rPr>
          <w:rFonts w:ascii="Arial" w:eastAsia="Arial" w:hAnsi="Arial" w:cs="Arial"/>
          <w:color w:val="222222"/>
          <w:sz w:val="20"/>
          <w:szCs w:val="20"/>
          <w:highlight w:val="white"/>
        </w:rPr>
        <w:t>. </w:t>
      </w:r>
      <w:r>
        <w:rPr>
          <w:rFonts w:ascii="Arial" w:eastAsia="Arial" w:hAnsi="Arial" w:cs="Arial"/>
          <w:i/>
          <w:color w:val="222222"/>
          <w:sz w:val="20"/>
          <w:szCs w:val="20"/>
          <w:highlight w:val="white"/>
        </w:rPr>
        <w:t xml:space="preserve">La </w:t>
      </w:r>
      <w:proofErr w:type="spellStart"/>
      <w:r>
        <w:rPr>
          <w:rFonts w:ascii="Arial" w:eastAsia="Arial" w:hAnsi="Arial" w:cs="Arial"/>
          <w:i/>
          <w:color w:val="222222"/>
          <w:sz w:val="20"/>
          <w:szCs w:val="20"/>
          <w:highlight w:val="white"/>
        </w:rPr>
        <w:t>Ricerca</w:t>
      </w:r>
      <w:proofErr w:type="spellEnd"/>
      <w:r>
        <w:rPr>
          <w:rFonts w:ascii="Arial" w:eastAsia="Arial" w:hAnsi="Arial" w:cs="Arial"/>
          <w:color w:val="222222"/>
          <w:sz w:val="20"/>
          <w:szCs w:val="20"/>
          <w:highlight w:val="white"/>
        </w:rPr>
        <w:t>, </w:t>
      </w:r>
      <w:r>
        <w:rPr>
          <w:rFonts w:ascii="Arial" w:eastAsia="Arial" w:hAnsi="Arial" w:cs="Arial"/>
          <w:i/>
          <w:color w:val="222222"/>
          <w:sz w:val="20"/>
          <w:szCs w:val="20"/>
          <w:highlight w:val="white"/>
        </w:rPr>
        <w:t>7</w:t>
      </w:r>
      <w:r>
        <w:rPr>
          <w:rFonts w:ascii="Arial" w:eastAsia="Arial" w:hAnsi="Arial" w:cs="Arial"/>
          <w:color w:val="222222"/>
          <w:sz w:val="20"/>
          <w:szCs w:val="20"/>
          <w:highlight w:val="white"/>
        </w:rPr>
        <w:t>(1), 50-54.</w:t>
      </w:r>
    </w:p>
    <w:p w14:paraId="3D6D48A1" w14:textId="77777777" w:rsidR="005D1D9E" w:rsidRDefault="005D1D9E" w:rsidP="005D1D9E">
      <w:pPr>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Kallbekken</w:t>
      </w:r>
      <w:proofErr w:type="spellEnd"/>
      <w:r>
        <w:rPr>
          <w:rFonts w:ascii="Arial" w:eastAsia="Arial" w:hAnsi="Arial" w:cs="Arial"/>
          <w:color w:val="222222"/>
          <w:sz w:val="20"/>
          <w:szCs w:val="20"/>
          <w:highlight w:val="white"/>
        </w:rPr>
        <w:t xml:space="preserve">, S., Garcia, J. H., &amp; </w:t>
      </w:r>
      <w:proofErr w:type="spellStart"/>
      <w:r>
        <w:rPr>
          <w:rFonts w:ascii="Arial" w:eastAsia="Arial" w:hAnsi="Arial" w:cs="Arial"/>
          <w:color w:val="222222"/>
          <w:sz w:val="20"/>
          <w:szCs w:val="20"/>
          <w:highlight w:val="white"/>
        </w:rPr>
        <w:t>Korneliussen</w:t>
      </w:r>
      <w:proofErr w:type="spellEnd"/>
      <w:r>
        <w:rPr>
          <w:rFonts w:ascii="Arial" w:eastAsia="Arial" w:hAnsi="Arial" w:cs="Arial"/>
          <w:color w:val="222222"/>
          <w:sz w:val="20"/>
          <w:szCs w:val="20"/>
          <w:highlight w:val="white"/>
        </w:rPr>
        <w:t>, K. (2013). Determinants of public support for transport taxes. </w:t>
      </w:r>
      <w:r>
        <w:rPr>
          <w:rFonts w:ascii="Arial" w:eastAsia="Arial" w:hAnsi="Arial" w:cs="Arial"/>
          <w:i/>
          <w:color w:val="222222"/>
          <w:sz w:val="20"/>
          <w:szCs w:val="20"/>
          <w:highlight w:val="white"/>
        </w:rPr>
        <w:t>Transportation Research Part A: Policy and Practice</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58</w:t>
      </w:r>
      <w:r>
        <w:rPr>
          <w:rFonts w:ascii="Arial" w:eastAsia="Arial" w:hAnsi="Arial" w:cs="Arial"/>
          <w:color w:val="222222"/>
          <w:sz w:val="20"/>
          <w:szCs w:val="20"/>
          <w:highlight w:val="white"/>
        </w:rPr>
        <w:t>, 67-78.</w:t>
      </w:r>
    </w:p>
    <w:p w14:paraId="73B7FB2B" w14:textId="77777777" w:rsidR="005D1D9E" w:rsidRDefault="005D1D9E" w:rsidP="005D1D9E">
      <w:pPr>
        <w:spacing w:after="0" w:line="240" w:lineRule="auto"/>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Olivar</w:t>
      </w:r>
      <w:proofErr w:type="spellEnd"/>
      <w:r>
        <w:rPr>
          <w:rFonts w:ascii="Arial" w:eastAsia="Arial" w:hAnsi="Arial" w:cs="Arial"/>
          <w:color w:val="222222"/>
          <w:sz w:val="20"/>
          <w:szCs w:val="20"/>
          <w:highlight w:val="white"/>
        </w:rPr>
        <w:t xml:space="preserve">, K. G., Vergara, A. M. G., </w:t>
      </w:r>
      <w:proofErr w:type="spellStart"/>
      <w:r>
        <w:rPr>
          <w:rFonts w:ascii="Arial" w:eastAsia="Arial" w:hAnsi="Arial" w:cs="Arial"/>
          <w:color w:val="222222"/>
          <w:sz w:val="20"/>
          <w:szCs w:val="20"/>
          <w:highlight w:val="white"/>
        </w:rPr>
        <w:t>Barlas</w:t>
      </w:r>
      <w:proofErr w:type="spellEnd"/>
      <w:r>
        <w:rPr>
          <w:rFonts w:ascii="Arial" w:eastAsia="Arial" w:hAnsi="Arial" w:cs="Arial"/>
          <w:color w:val="222222"/>
          <w:sz w:val="20"/>
          <w:szCs w:val="20"/>
          <w:highlight w:val="white"/>
        </w:rPr>
        <w:t xml:space="preserve">, B. J. T., &amp; </w:t>
      </w:r>
      <w:proofErr w:type="spellStart"/>
      <w:r>
        <w:rPr>
          <w:rFonts w:ascii="Arial" w:eastAsia="Arial" w:hAnsi="Arial" w:cs="Arial"/>
          <w:color w:val="222222"/>
          <w:sz w:val="20"/>
          <w:szCs w:val="20"/>
          <w:highlight w:val="white"/>
        </w:rPr>
        <w:t>Quitain</w:t>
      </w:r>
      <w:proofErr w:type="spellEnd"/>
      <w:r>
        <w:rPr>
          <w:rFonts w:ascii="Arial" w:eastAsia="Arial" w:hAnsi="Arial" w:cs="Arial"/>
          <w:color w:val="222222"/>
          <w:sz w:val="20"/>
          <w:szCs w:val="20"/>
          <w:highlight w:val="white"/>
        </w:rPr>
        <w:t xml:space="preserve">, R. J. S. The Mediating Effect of Satisfaction on the Relationship between Destination Image and Behavioral Intention of Sun and Beach Tourism in the Island Garden City of </w:t>
      </w:r>
      <w:proofErr w:type="spellStart"/>
      <w:r>
        <w:rPr>
          <w:rFonts w:ascii="Arial" w:eastAsia="Arial" w:hAnsi="Arial" w:cs="Arial"/>
          <w:color w:val="222222"/>
          <w:sz w:val="20"/>
          <w:szCs w:val="20"/>
          <w:highlight w:val="white"/>
        </w:rPr>
        <w:t>Samal</w:t>
      </w:r>
      <w:proofErr w:type="spellEnd"/>
      <w:r>
        <w:rPr>
          <w:rFonts w:ascii="Arial" w:eastAsia="Arial" w:hAnsi="Arial" w:cs="Arial"/>
          <w:color w:val="222222"/>
          <w:sz w:val="20"/>
          <w:szCs w:val="20"/>
          <w:highlight w:val="white"/>
        </w:rPr>
        <w:t>.</w:t>
      </w:r>
    </w:p>
    <w:p w14:paraId="00F10F4F" w14:textId="77777777" w:rsidR="005D1D9E" w:rsidRDefault="005D1D9E">
      <w:pPr>
        <w:spacing w:after="0" w:line="240" w:lineRule="auto"/>
        <w:jc w:val="both"/>
        <w:rPr>
          <w:rFonts w:ascii="Arial" w:eastAsia="Arial" w:hAnsi="Arial" w:cs="Arial"/>
          <w:color w:val="222222"/>
          <w:sz w:val="20"/>
          <w:szCs w:val="20"/>
          <w:highlight w:val="white"/>
        </w:rPr>
      </w:pPr>
    </w:p>
    <w:p w14:paraId="212203CE" w14:textId="77777777" w:rsidR="005D1D9E" w:rsidRDefault="005D1D9E" w:rsidP="005D1D9E">
      <w:pPr>
        <w:spacing w:after="0" w:line="240" w:lineRule="auto"/>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t>Reynisdottir</w:t>
      </w:r>
      <w:proofErr w:type="spellEnd"/>
      <w:r>
        <w:rPr>
          <w:rFonts w:ascii="Arial" w:eastAsia="Arial" w:hAnsi="Arial" w:cs="Arial"/>
          <w:color w:val="222222"/>
          <w:sz w:val="20"/>
          <w:szCs w:val="20"/>
          <w:highlight w:val="white"/>
        </w:rPr>
        <w:t xml:space="preserve">, M., Song, H., &amp; </w:t>
      </w:r>
      <w:proofErr w:type="spellStart"/>
      <w:r>
        <w:rPr>
          <w:rFonts w:ascii="Arial" w:eastAsia="Arial" w:hAnsi="Arial" w:cs="Arial"/>
          <w:color w:val="222222"/>
          <w:sz w:val="20"/>
          <w:szCs w:val="20"/>
          <w:highlight w:val="white"/>
        </w:rPr>
        <w:t>Agrusa</w:t>
      </w:r>
      <w:proofErr w:type="spellEnd"/>
      <w:r>
        <w:rPr>
          <w:rFonts w:ascii="Arial" w:eastAsia="Arial" w:hAnsi="Arial" w:cs="Arial"/>
          <w:color w:val="222222"/>
          <w:sz w:val="20"/>
          <w:szCs w:val="20"/>
          <w:highlight w:val="white"/>
        </w:rPr>
        <w:t>, J. (2008). Willingness to pay entrance fees to natural attractions: An Icelandic case study. </w:t>
      </w:r>
      <w:r>
        <w:rPr>
          <w:rFonts w:ascii="Arial" w:eastAsia="Arial" w:hAnsi="Arial" w:cs="Arial"/>
          <w:i/>
          <w:color w:val="222222"/>
          <w:sz w:val="20"/>
          <w:szCs w:val="20"/>
          <w:highlight w:val="white"/>
        </w:rPr>
        <w:t>Tourism Management</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29</w:t>
      </w:r>
      <w:r>
        <w:rPr>
          <w:rFonts w:ascii="Arial" w:eastAsia="Arial" w:hAnsi="Arial" w:cs="Arial"/>
          <w:color w:val="222222"/>
          <w:sz w:val="20"/>
          <w:szCs w:val="20"/>
          <w:highlight w:val="white"/>
        </w:rPr>
        <w:t>(6), 1076-1083.</w:t>
      </w:r>
    </w:p>
    <w:p w14:paraId="17EB133C" w14:textId="77777777" w:rsidR="005D1D9E" w:rsidRDefault="005D1D9E">
      <w:pPr>
        <w:spacing w:after="0" w:line="240" w:lineRule="auto"/>
        <w:jc w:val="both"/>
        <w:rPr>
          <w:rFonts w:ascii="Arial" w:eastAsia="Arial" w:hAnsi="Arial" w:cs="Arial"/>
          <w:color w:val="222222"/>
          <w:sz w:val="20"/>
          <w:szCs w:val="20"/>
          <w:highlight w:val="white"/>
        </w:rPr>
      </w:pPr>
    </w:p>
    <w:p w14:paraId="2CC4BEA3" w14:textId="146924BD" w:rsidR="005D1D9E" w:rsidRDefault="005D1D9E" w:rsidP="005D1D9E">
      <w:pPr>
        <w:spacing w:after="0" w:line="240" w:lineRule="auto"/>
        <w:rPr>
          <w:rFonts w:ascii="Arial" w:eastAsia="Arial" w:hAnsi="Arial" w:cs="Arial"/>
          <w:color w:val="222222"/>
          <w:sz w:val="20"/>
          <w:szCs w:val="20"/>
          <w:highlight w:val="white"/>
        </w:rPr>
      </w:pPr>
      <w:proofErr w:type="spellStart"/>
      <w:r>
        <w:rPr>
          <w:rFonts w:ascii="Arial" w:eastAsia="Arial" w:hAnsi="Arial" w:cs="Arial"/>
          <w:color w:val="222222"/>
          <w:sz w:val="20"/>
          <w:szCs w:val="20"/>
          <w:highlight w:val="white"/>
        </w:rPr>
        <w:lastRenderedPageBreak/>
        <w:t>Schuhmann</w:t>
      </w:r>
      <w:proofErr w:type="spellEnd"/>
      <w:r>
        <w:rPr>
          <w:rFonts w:ascii="Arial" w:eastAsia="Arial" w:hAnsi="Arial" w:cs="Arial"/>
          <w:color w:val="222222"/>
          <w:sz w:val="20"/>
          <w:szCs w:val="20"/>
          <w:highlight w:val="white"/>
        </w:rPr>
        <w:t xml:space="preserve">, P. W., </w:t>
      </w:r>
      <w:proofErr w:type="spellStart"/>
      <w:r>
        <w:rPr>
          <w:rFonts w:ascii="Arial" w:eastAsia="Arial" w:hAnsi="Arial" w:cs="Arial"/>
          <w:color w:val="222222"/>
          <w:sz w:val="20"/>
          <w:szCs w:val="20"/>
          <w:highlight w:val="white"/>
        </w:rPr>
        <w:t>Skeete</w:t>
      </w:r>
      <w:proofErr w:type="spellEnd"/>
      <w:r>
        <w:rPr>
          <w:rFonts w:ascii="Arial" w:eastAsia="Arial" w:hAnsi="Arial" w:cs="Arial"/>
          <w:color w:val="222222"/>
          <w:sz w:val="20"/>
          <w:szCs w:val="20"/>
          <w:highlight w:val="white"/>
        </w:rPr>
        <w:t xml:space="preserve">, R., Waite, R., Lorde, T., </w:t>
      </w:r>
      <w:proofErr w:type="spellStart"/>
      <w:r>
        <w:rPr>
          <w:rFonts w:ascii="Arial" w:eastAsia="Arial" w:hAnsi="Arial" w:cs="Arial"/>
          <w:color w:val="222222"/>
          <w:sz w:val="20"/>
          <w:szCs w:val="20"/>
          <w:highlight w:val="white"/>
        </w:rPr>
        <w:t>Bangwayo-Skeete</w:t>
      </w:r>
      <w:proofErr w:type="spellEnd"/>
      <w:r>
        <w:rPr>
          <w:rFonts w:ascii="Arial" w:eastAsia="Arial" w:hAnsi="Arial" w:cs="Arial"/>
          <w:color w:val="222222"/>
          <w:sz w:val="20"/>
          <w:szCs w:val="20"/>
          <w:highlight w:val="white"/>
        </w:rPr>
        <w:t xml:space="preserve">, P., </w:t>
      </w:r>
      <w:proofErr w:type="spellStart"/>
      <w:r>
        <w:rPr>
          <w:rFonts w:ascii="Arial" w:eastAsia="Arial" w:hAnsi="Arial" w:cs="Arial"/>
          <w:color w:val="222222"/>
          <w:sz w:val="20"/>
          <w:szCs w:val="20"/>
          <w:highlight w:val="white"/>
        </w:rPr>
        <w:t>Oxenford</w:t>
      </w:r>
      <w:proofErr w:type="spellEnd"/>
      <w:r>
        <w:rPr>
          <w:rFonts w:ascii="Arial" w:eastAsia="Arial" w:hAnsi="Arial" w:cs="Arial"/>
          <w:color w:val="222222"/>
          <w:sz w:val="20"/>
          <w:szCs w:val="20"/>
          <w:highlight w:val="white"/>
        </w:rPr>
        <w:t>, H. A</w:t>
      </w:r>
      <w:r>
        <w:rPr>
          <w:rFonts w:ascii="Arial" w:eastAsia="Arial" w:hAnsi="Arial" w:cs="Arial"/>
          <w:color w:val="222222"/>
          <w:sz w:val="20"/>
          <w:szCs w:val="20"/>
          <w:highlight w:val="white"/>
        </w:rPr>
        <w:t>.,</w:t>
      </w:r>
      <w:r>
        <w:rPr>
          <w:rFonts w:ascii="Arial" w:eastAsia="Arial" w:hAnsi="Arial" w:cs="Arial"/>
          <w:color w:val="222222"/>
          <w:sz w:val="20"/>
          <w:szCs w:val="20"/>
          <w:highlight w:val="white"/>
        </w:rPr>
        <w:t xml:space="preserve"> &amp; Spencer, F. (2019). Visitors’ willingness to pay marine conservation fees in Barbados. </w:t>
      </w:r>
      <w:r>
        <w:rPr>
          <w:rFonts w:ascii="Arial" w:eastAsia="Arial" w:hAnsi="Arial" w:cs="Arial"/>
          <w:i/>
          <w:color w:val="222222"/>
          <w:sz w:val="20"/>
          <w:szCs w:val="20"/>
          <w:highlight w:val="white"/>
        </w:rPr>
        <w:t>Tourism Management</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71</w:t>
      </w:r>
      <w:r>
        <w:rPr>
          <w:rFonts w:ascii="Arial" w:eastAsia="Arial" w:hAnsi="Arial" w:cs="Arial"/>
          <w:color w:val="222222"/>
          <w:sz w:val="20"/>
          <w:szCs w:val="20"/>
          <w:highlight w:val="white"/>
        </w:rPr>
        <w:t>, 315-326.</w:t>
      </w:r>
    </w:p>
    <w:p w14:paraId="571A87B5" w14:textId="77777777" w:rsidR="005D1D9E" w:rsidRDefault="005D1D9E" w:rsidP="005D1D9E">
      <w:pPr>
        <w:spacing w:after="0" w:line="240" w:lineRule="auto"/>
        <w:rPr>
          <w:rFonts w:ascii="Arial" w:eastAsia="Arial" w:hAnsi="Arial" w:cs="Arial"/>
          <w:color w:val="222222"/>
          <w:sz w:val="20"/>
          <w:szCs w:val="20"/>
          <w:highlight w:val="white"/>
        </w:rPr>
      </w:pPr>
    </w:p>
    <w:p w14:paraId="00000053" w14:textId="30ADD5AD" w:rsidR="006337DC" w:rsidRDefault="000250A7">
      <w:pPr>
        <w:spacing w:after="0" w:line="240" w:lineRule="auto"/>
        <w:jc w:val="both"/>
        <w:rPr>
          <w:rFonts w:ascii="Arial" w:eastAsia="Arial" w:hAnsi="Arial" w:cs="Arial"/>
          <w:color w:val="222222"/>
          <w:sz w:val="20"/>
          <w:szCs w:val="20"/>
          <w:highlight w:val="white"/>
        </w:rPr>
      </w:pPr>
      <w:r>
        <w:rPr>
          <w:rFonts w:ascii="Arial" w:eastAsia="Arial" w:hAnsi="Arial" w:cs="Arial"/>
          <w:color w:val="222222"/>
          <w:sz w:val="20"/>
          <w:szCs w:val="20"/>
          <w:highlight w:val="white"/>
        </w:rPr>
        <w:t xml:space="preserve">Wood, S. L., Jones, S. K., Johnson, J. A., </w:t>
      </w:r>
      <w:proofErr w:type="spellStart"/>
      <w:r>
        <w:rPr>
          <w:rFonts w:ascii="Arial" w:eastAsia="Arial" w:hAnsi="Arial" w:cs="Arial"/>
          <w:color w:val="222222"/>
          <w:sz w:val="20"/>
          <w:szCs w:val="20"/>
          <w:highlight w:val="white"/>
        </w:rPr>
        <w:t>Brauman</w:t>
      </w:r>
      <w:proofErr w:type="spellEnd"/>
      <w:r>
        <w:rPr>
          <w:rFonts w:ascii="Arial" w:eastAsia="Arial" w:hAnsi="Arial" w:cs="Arial"/>
          <w:color w:val="222222"/>
          <w:sz w:val="20"/>
          <w:szCs w:val="20"/>
          <w:highlight w:val="white"/>
        </w:rPr>
        <w:t xml:space="preserve">, K. A., Chaplin-Kramer, R., </w:t>
      </w:r>
      <w:proofErr w:type="spellStart"/>
      <w:r>
        <w:rPr>
          <w:rFonts w:ascii="Arial" w:eastAsia="Arial" w:hAnsi="Arial" w:cs="Arial"/>
          <w:color w:val="222222"/>
          <w:sz w:val="20"/>
          <w:szCs w:val="20"/>
          <w:highlight w:val="white"/>
        </w:rPr>
        <w:t>Fremier</w:t>
      </w:r>
      <w:proofErr w:type="spellEnd"/>
      <w:r>
        <w:rPr>
          <w:rFonts w:ascii="Arial" w:eastAsia="Arial" w:hAnsi="Arial" w:cs="Arial"/>
          <w:color w:val="222222"/>
          <w:sz w:val="20"/>
          <w:szCs w:val="20"/>
          <w:highlight w:val="white"/>
        </w:rPr>
        <w:t xml:space="preserve">, </w:t>
      </w:r>
      <w:r>
        <w:rPr>
          <w:rFonts w:ascii="Arial" w:eastAsia="Arial" w:hAnsi="Arial" w:cs="Arial"/>
          <w:color w:val="222222"/>
          <w:sz w:val="20"/>
          <w:szCs w:val="20"/>
          <w:highlight w:val="white"/>
        </w:rPr>
        <w:t xml:space="preserve">A., ... &amp; </w:t>
      </w:r>
      <w:proofErr w:type="spellStart"/>
      <w:r>
        <w:rPr>
          <w:rFonts w:ascii="Arial" w:eastAsia="Arial" w:hAnsi="Arial" w:cs="Arial"/>
          <w:color w:val="222222"/>
          <w:sz w:val="20"/>
          <w:szCs w:val="20"/>
          <w:highlight w:val="white"/>
        </w:rPr>
        <w:t>DeClerck</w:t>
      </w:r>
      <w:proofErr w:type="spellEnd"/>
      <w:r>
        <w:rPr>
          <w:rFonts w:ascii="Arial" w:eastAsia="Arial" w:hAnsi="Arial" w:cs="Arial"/>
          <w:color w:val="222222"/>
          <w:sz w:val="20"/>
          <w:szCs w:val="20"/>
          <w:highlight w:val="white"/>
        </w:rPr>
        <w:t>, F. A. (2018). Distilling the role of ecosystem services in the Sustainable Development Goals. </w:t>
      </w:r>
      <w:r>
        <w:rPr>
          <w:rFonts w:ascii="Arial" w:eastAsia="Arial" w:hAnsi="Arial" w:cs="Arial"/>
          <w:i/>
          <w:color w:val="222222"/>
          <w:sz w:val="20"/>
          <w:szCs w:val="20"/>
          <w:highlight w:val="white"/>
        </w:rPr>
        <w:t>Ecosystem services</w:t>
      </w:r>
      <w:r>
        <w:rPr>
          <w:rFonts w:ascii="Arial" w:eastAsia="Arial" w:hAnsi="Arial" w:cs="Arial"/>
          <w:color w:val="222222"/>
          <w:sz w:val="20"/>
          <w:szCs w:val="20"/>
          <w:highlight w:val="white"/>
        </w:rPr>
        <w:t>, </w:t>
      </w:r>
      <w:r>
        <w:rPr>
          <w:rFonts w:ascii="Arial" w:eastAsia="Arial" w:hAnsi="Arial" w:cs="Arial"/>
          <w:i/>
          <w:color w:val="222222"/>
          <w:sz w:val="20"/>
          <w:szCs w:val="20"/>
          <w:highlight w:val="white"/>
        </w:rPr>
        <w:t>29</w:t>
      </w:r>
      <w:r>
        <w:rPr>
          <w:rFonts w:ascii="Arial" w:eastAsia="Arial" w:hAnsi="Arial" w:cs="Arial"/>
          <w:color w:val="222222"/>
          <w:sz w:val="20"/>
          <w:szCs w:val="20"/>
          <w:highlight w:val="white"/>
        </w:rPr>
        <w:t>, 70-82.</w:t>
      </w:r>
    </w:p>
    <w:p w14:paraId="00000054" w14:textId="77777777" w:rsidR="006337DC" w:rsidRDefault="006337DC">
      <w:pPr>
        <w:spacing w:after="0" w:line="240" w:lineRule="auto"/>
        <w:jc w:val="both"/>
        <w:rPr>
          <w:rFonts w:ascii="Times New Roman" w:eastAsia="Times New Roman" w:hAnsi="Times New Roman" w:cs="Times New Roman"/>
          <w:color w:val="0563C1"/>
          <w:sz w:val="20"/>
          <w:szCs w:val="20"/>
          <w:u w:val="single"/>
        </w:rPr>
      </w:pPr>
    </w:p>
    <w:p w14:paraId="00000056" w14:textId="77777777" w:rsidR="006337DC" w:rsidRDefault="006337DC">
      <w:pPr>
        <w:spacing w:after="0" w:line="240" w:lineRule="auto"/>
        <w:rPr>
          <w:rFonts w:ascii="Arial" w:eastAsia="Arial" w:hAnsi="Arial" w:cs="Arial"/>
          <w:color w:val="222222"/>
          <w:sz w:val="20"/>
          <w:szCs w:val="20"/>
          <w:highlight w:val="white"/>
        </w:rPr>
      </w:pPr>
    </w:p>
    <w:p w14:paraId="00000058" w14:textId="77777777" w:rsidR="006337DC" w:rsidRDefault="006337DC">
      <w:pPr>
        <w:spacing w:after="0" w:line="240" w:lineRule="auto"/>
        <w:rPr>
          <w:rFonts w:ascii="Arial" w:eastAsia="Arial" w:hAnsi="Arial" w:cs="Arial"/>
          <w:color w:val="222222"/>
          <w:sz w:val="20"/>
          <w:szCs w:val="20"/>
          <w:highlight w:val="white"/>
        </w:rPr>
      </w:pPr>
    </w:p>
    <w:p w14:paraId="0000005A" w14:textId="77777777" w:rsidR="006337DC" w:rsidRDefault="006337DC">
      <w:pPr>
        <w:spacing w:after="0" w:line="240" w:lineRule="auto"/>
        <w:rPr>
          <w:rFonts w:ascii="Arial" w:eastAsia="Arial" w:hAnsi="Arial" w:cs="Arial"/>
          <w:color w:val="222222"/>
          <w:sz w:val="20"/>
          <w:szCs w:val="20"/>
          <w:highlight w:val="white"/>
        </w:rPr>
      </w:pPr>
    </w:p>
    <w:p w14:paraId="0000005C" w14:textId="77777777" w:rsidR="006337DC" w:rsidRDefault="006337DC">
      <w:pPr>
        <w:rPr>
          <w:rFonts w:ascii="Arial" w:eastAsia="Arial" w:hAnsi="Arial" w:cs="Arial"/>
          <w:color w:val="222222"/>
          <w:sz w:val="20"/>
          <w:szCs w:val="20"/>
          <w:highlight w:val="white"/>
        </w:rPr>
      </w:pPr>
    </w:p>
    <w:p w14:paraId="00000063" w14:textId="77777777" w:rsidR="006337DC" w:rsidRDefault="006337DC">
      <w:pPr>
        <w:spacing w:after="0" w:line="240" w:lineRule="auto"/>
        <w:rPr>
          <w:rFonts w:ascii="Times New Roman" w:eastAsia="Times New Roman" w:hAnsi="Times New Roman" w:cs="Times New Roman"/>
          <w:sz w:val="20"/>
          <w:szCs w:val="20"/>
        </w:rPr>
      </w:pPr>
    </w:p>
    <w:sectPr w:rsidR="006337DC">
      <w:footerReference w:type="default" r:id="rId8"/>
      <w:pgSz w:w="11906" w:h="16838"/>
      <w:pgMar w:top="1440" w:right="1440" w:bottom="1440" w:left="1440" w:header="708"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430343" w14:textId="77777777" w:rsidR="000250A7" w:rsidRDefault="000250A7">
      <w:pPr>
        <w:spacing w:after="0" w:line="240" w:lineRule="auto"/>
      </w:pPr>
      <w:r>
        <w:separator/>
      </w:r>
    </w:p>
  </w:endnote>
  <w:endnote w:type="continuationSeparator" w:id="0">
    <w:p w14:paraId="732B1B3C" w14:textId="77777777" w:rsidR="000250A7" w:rsidRDefault="00025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64" w14:textId="77777777" w:rsidR="006337DC" w:rsidRDefault="006337DC">
    <w:pPr>
      <w:pBdr>
        <w:top w:val="nil"/>
        <w:left w:val="nil"/>
        <w:bottom w:val="single" w:sz="6" w:space="1" w:color="000000"/>
        <w:right w:val="nil"/>
        <w:between w:val="nil"/>
      </w:pBdr>
      <w:tabs>
        <w:tab w:val="center" w:pos="4680"/>
        <w:tab w:val="right" w:pos="9360"/>
      </w:tabs>
      <w:spacing w:after="0" w:line="240" w:lineRule="auto"/>
      <w:rPr>
        <w:rFonts w:ascii="Times New Roman" w:eastAsia="Times New Roman" w:hAnsi="Times New Roman" w:cs="Times New Roman"/>
        <w:color w:val="000000"/>
        <w:sz w:val="18"/>
        <w:szCs w:val="18"/>
      </w:rPr>
    </w:pPr>
  </w:p>
  <w:p w14:paraId="00000065" w14:textId="54D20373" w:rsidR="006337DC" w:rsidRDefault="000250A7">
    <w:pPr>
      <w:pBdr>
        <w:top w:val="nil"/>
        <w:left w:val="nil"/>
        <w:bottom w:val="nil"/>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w:t>
    </w:r>
    <w:r>
      <w:rPr>
        <w:rFonts w:ascii="Times New Roman" w:eastAsia="Times New Roman" w:hAnsi="Times New Roman" w:cs="Times New Roman"/>
        <w:color w:val="000000"/>
        <w:sz w:val="18"/>
        <w:szCs w:val="18"/>
      </w:rPr>
      <w:fldChar w:fldCharType="begin"/>
    </w:r>
    <w:r>
      <w:rPr>
        <w:rFonts w:ascii="Times New Roman" w:eastAsia="Times New Roman" w:hAnsi="Times New Roman" w:cs="Times New Roman"/>
        <w:color w:val="000000"/>
        <w:sz w:val="18"/>
        <w:szCs w:val="18"/>
      </w:rPr>
      <w:instrText>PAGE</w:instrText>
    </w:r>
    <w:r w:rsidR="005D1D9E">
      <w:rPr>
        <w:rFonts w:ascii="Times New Roman" w:eastAsia="Times New Roman" w:hAnsi="Times New Roman" w:cs="Times New Roman"/>
        <w:color w:val="000000"/>
        <w:sz w:val="18"/>
        <w:szCs w:val="18"/>
      </w:rPr>
      <w:fldChar w:fldCharType="separate"/>
    </w:r>
    <w:r w:rsidR="005D1D9E">
      <w:rPr>
        <w:rFonts w:ascii="Times New Roman" w:eastAsia="Times New Roman" w:hAnsi="Times New Roman" w:cs="Times New Roman"/>
        <w:noProof/>
        <w:color w:val="000000"/>
        <w:sz w:val="18"/>
        <w:szCs w:val="18"/>
      </w:rPr>
      <w:t>4</w:t>
    </w:r>
    <w:r>
      <w:rPr>
        <w:rFonts w:ascii="Times New Roman" w:eastAsia="Times New Roman" w:hAnsi="Times New Roman" w:cs="Times New Roman"/>
        <w:color w:val="000000"/>
        <w:sz w:val="18"/>
        <w:szCs w:val="18"/>
      </w:rPr>
      <w:fldChar w:fldCharType="end"/>
    </w:r>
    <w:r>
      <w:rPr>
        <w:rFonts w:ascii="Times New Roman" w:eastAsia="Times New Roman" w:hAnsi="Times New Roman" w:cs="Times New Roman"/>
        <w:color w:val="000000"/>
        <w:sz w:val="18"/>
        <w:szCs w:val="18"/>
      </w:rPr>
      <w:t>]</w:t>
    </w:r>
  </w:p>
  <w:p w14:paraId="00000066" w14:textId="77777777" w:rsidR="006337DC" w:rsidRDefault="006337DC">
    <w:pPr>
      <w:pBdr>
        <w:top w:val="nil"/>
        <w:left w:val="nil"/>
        <w:bottom w:val="nil"/>
        <w:right w:val="nil"/>
        <w:between w:val="nil"/>
      </w:pBdr>
      <w:tabs>
        <w:tab w:val="center" w:pos="4680"/>
        <w:tab w:val="right" w:pos="9360"/>
      </w:tabs>
      <w:spacing w:after="0" w:line="240" w:lineRule="auto"/>
      <w:ind w:right="-693"/>
      <w:jc w:val="right"/>
      <w:rPr>
        <w:rFonts w:ascii="Times New Roman" w:eastAsia="Times New Roman" w:hAnsi="Times New Roman" w:cs="Times New Roman"/>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8A3A19" w14:textId="77777777" w:rsidR="000250A7" w:rsidRDefault="000250A7">
      <w:pPr>
        <w:spacing w:after="0" w:line="240" w:lineRule="auto"/>
      </w:pPr>
      <w:r>
        <w:separator/>
      </w:r>
    </w:p>
  </w:footnote>
  <w:footnote w:type="continuationSeparator" w:id="0">
    <w:p w14:paraId="1AF57C54" w14:textId="77777777" w:rsidR="000250A7" w:rsidRDefault="000250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041ED"/>
    <w:multiLevelType w:val="multilevel"/>
    <w:tmpl w:val="BFB4E7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F3A5A06"/>
    <w:multiLevelType w:val="multilevel"/>
    <w:tmpl w:val="BEDECE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7DC"/>
    <w:rsid w:val="000250A7"/>
    <w:rsid w:val="005D1D9E"/>
    <w:rsid w:val="006337D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8E978B"/>
  <w15:docId w15:val="{8C0E777C-F624-4D39-B89F-8E5EF4DD4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PH" w:eastAsia="en-PH"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5D0B37"/>
    <w:rPr>
      <w:color w:val="0563C1" w:themeColor="hyperlink"/>
      <w:u w:val="single"/>
    </w:rPr>
  </w:style>
  <w:style w:type="character" w:customStyle="1" w:styleId="UnresolvedMention1">
    <w:name w:val="Unresolved Mention1"/>
    <w:basedOn w:val="DefaultParagraphFont"/>
    <w:uiPriority w:val="99"/>
    <w:semiHidden/>
    <w:unhideWhenUsed/>
    <w:rsid w:val="005D0B37"/>
    <w:rPr>
      <w:color w:val="605E5C"/>
      <w:shd w:val="clear" w:color="auto" w:fill="E1DFDD"/>
    </w:rPr>
  </w:style>
  <w:style w:type="paragraph" w:styleId="Header">
    <w:name w:val="header"/>
    <w:basedOn w:val="Normal"/>
    <w:link w:val="HeaderChar"/>
    <w:uiPriority w:val="99"/>
    <w:unhideWhenUsed/>
    <w:rsid w:val="006614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14CC"/>
  </w:style>
  <w:style w:type="paragraph" w:styleId="Footer">
    <w:name w:val="footer"/>
    <w:basedOn w:val="Normal"/>
    <w:link w:val="FooterChar"/>
    <w:uiPriority w:val="99"/>
    <w:unhideWhenUsed/>
    <w:rsid w:val="006614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14CC"/>
  </w:style>
  <w:style w:type="paragraph" w:styleId="ListParagraph">
    <w:name w:val="List Paragraph"/>
    <w:basedOn w:val="Normal"/>
    <w:uiPriority w:val="34"/>
    <w:qFormat/>
    <w:rsid w:val="00E226D2"/>
    <w:pPr>
      <w:ind w:left="720"/>
      <w:contextualSpacing/>
    </w:pPr>
  </w:style>
  <w:style w:type="table" w:styleId="GridTable1Light">
    <w:name w:val="Grid Table 1 Light"/>
    <w:basedOn w:val="TableNormal"/>
    <w:uiPriority w:val="46"/>
    <w:rsid w:val="00E2033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Grid">
    <w:name w:val="Table Grid"/>
    <w:basedOn w:val="TableNormal"/>
    <w:uiPriority w:val="39"/>
    <w:rsid w:val="00CD5F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B34389"/>
    <w:pPr>
      <w:spacing w:after="0" w:line="240" w:lineRule="auto"/>
    </w:pPr>
    <w:rPr>
      <w:sz w:val="20"/>
      <w:szCs w:val="20"/>
    </w:rPr>
  </w:style>
  <w:style w:type="character" w:customStyle="1" w:styleId="FootnoteTextChar">
    <w:name w:val="Footnote Text Char"/>
    <w:basedOn w:val="DefaultParagraphFont"/>
    <w:link w:val="FootnoteText"/>
    <w:uiPriority w:val="99"/>
    <w:rsid w:val="00B34389"/>
    <w:rPr>
      <w:sz w:val="20"/>
      <w:szCs w:val="20"/>
    </w:rPr>
  </w:style>
  <w:style w:type="character" w:styleId="FootnoteReference">
    <w:name w:val="footnote reference"/>
    <w:basedOn w:val="DefaultParagraphFont"/>
    <w:uiPriority w:val="99"/>
    <w:semiHidden/>
    <w:unhideWhenUsed/>
    <w:rsid w:val="00B34389"/>
    <w:rPr>
      <w:vertAlign w:val="superscript"/>
    </w:rPr>
  </w:style>
  <w:style w:type="paragraph" w:styleId="EndnoteText">
    <w:name w:val="endnote text"/>
    <w:basedOn w:val="Normal"/>
    <w:link w:val="EndnoteTextChar"/>
    <w:uiPriority w:val="99"/>
    <w:semiHidden/>
    <w:unhideWhenUsed/>
    <w:rsid w:val="00B343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34389"/>
    <w:rPr>
      <w:sz w:val="20"/>
      <w:szCs w:val="20"/>
    </w:rPr>
  </w:style>
  <w:style w:type="character" w:styleId="EndnoteReference">
    <w:name w:val="endnote reference"/>
    <w:basedOn w:val="DefaultParagraphFont"/>
    <w:uiPriority w:val="99"/>
    <w:semiHidden/>
    <w:unhideWhenUsed/>
    <w:rsid w:val="00B34389"/>
    <w:rPr>
      <w:vertAlign w:val="superscript"/>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1rH6zBZjV9bx2HH48vzc5qzaMg==">CgMxLjAiiQIKC0FBQUJPN1hZQm1nEtUBCgtBQUFCTzdYWUJtZxILQUFBQk83WFlCbWcaDQoJdGV4dC9odG1sEgAiDgoKdGV4dC9wbGFpbhIAKhsiFTExMjI2OTA1NzM1ODU4ODQwOTUxMigAOAAw/q+tlv4xOKq3rZb+MUo7CiRhcHBsaWNhdGlvbi92bmQuZ29vZ2xlLWFwcHMuZG9jcy5tZHMaE8LX2uQBDRoLCgcKAXkQARgAEAFaDGN0aGg4NjQ2dWM1cXICIAB4AIIBFHN1Z2dlc3QueTIzcXhwd3B3bWhzmgEGCAAQABgAGP6vrZb+MSCqt62W/jFCFHN1Z2dlc3QueTIzcXhwd3B3bWhzMgloLjMwajB6bGw4AGopChRzdWdnZXN0LnkyM3F4cHdwd21ocxIRbW9pc2VzIHRvcnJlbnRpcmFyITFYNEFlbURXbDU0aU5WblhnajdRbDZkZXhZY3NPbHBm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2336</Words>
  <Characters>14289</Characters>
  <Application>Microsoft Office Word</Application>
  <DocSecurity>0</DocSecurity>
  <Lines>233</Lines>
  <Paragraphs>54</Paragraphs>
  <ScaleCrop>false</ScaleCrop>
  <Company/>
  <LinksUpToDate>false</LinksUpToDate>
  <CharactersWithSpaces>16584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Jesus Adrian Manzo</dc:creator>
  <cp:lastModifiedBy>ANGEL GRACE ABING</cp:lastModifiedBy>
  <cp:revision>2</cp:revision>
  <dcterms:created xsi:type="dcterms:W3CDTF">2023-11-30T12:27:00Z</dcterms:created>
  <dcterms:modified xsi:type="dcterms:W3CDTF">2024-06-04T11:25:00Z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69262b9c-873f-43b1-805f-efa76e4f655d</vt:lpwstr>
  </property>
</Properties>
</file>