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B1959" w14:textId="77777777" w:rsidR="00DE4AFC" w:rsidRDefault="00000000">
      <w:pPr>
        <w:widowControl w:val="0"/>
        <w:pBdr>
          <w:top w:val="nil"/>
          <w:left w:val="nil"/>
          <w:bottom w:val="nil"/>
          <w:right w:val="nil"/>
          <w:between w:val="nil"/>
        </w:pBdr>
        <w:spacing w:after="0" w:line="276" w:lineRule="auto"/>
      </w:pPr>
      <w:r>
        <w:pict w14:anchorId="1E029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pt;height:50pt;z-index:251657216;visibility:hidden">
            <o:lock v:ext="edit" selection="t"/>
          </v:shape>
        </w:pict>
      </w:r>
      <w:r>
        <w:pict w14:anchorId="63DA62C4">
          <v:shape id="_x0000_s2050" type="#_x0000_t136" style="position:absolute;margin-left:0;margin-top:0;width:50pt;height:50pt;z-index:251658240;visibility:hidden">
            <o:lock v:ext="edit" selection="t"/>
          </v:shape>
        </w:pict>
      </w:r>
    </w:p>
    <w:p w14:paraId="56B8579A" w14:textId="77777777" w:rsidR="00DE4AFC" w:rsidRDefault="00000000">
      <w:pPr>
        <w:tabs>
          <w:tab w:val="left" w:pos="2685"/>
          <w:tab w:val="center" w:pos="4513"/>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OF BUILDING CODE COMPLIANCE AND ENFORCEMENT IN DAVAO CITY: CHALLENGES AND OPPORTUNITIES</w:t>
      </w:r>
    </w:p>
    <w:p w14:paraId="79059AEA" w14:textId="77777777" w:rsidR="00DE4AFC" w:rsidRDefault="00DE4AFC">
      <w:pPr>
        <w:tabs>
          <w:tab w:val="left" w:pos="2685"/>
          <w:tab w:val="center" w:pos="4513"/>
        </w:tabs>
        <w:spacing w:after="0" w:line="240" w:lineRule="auto"/>
        <w:jc w:val="center"/>
        <w:rPr>
          <w:rFonts w:ascii="Times New Roman" w:eastAsia="Times New Roman" w:hAnsi="Times New Roman" w:cs="Times New Roman"/>
          <w:b/>
          <w:sz w:val="24"/>
          <w:szCs w:val="24"/>
        </w:rPr>
      </w:pPr>
    </w:p>
    <w:p w14:paraId="6714F964" w14:textId="77777777" w:rsidR="00DE4AFC" w:rsidRDefault="00000000">
      <w:pPr>
        <w:tabs>
          <w:tab w:val="left" w:pos="2685"/>
          <w:tab w:val="center" w:pos="451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Jennylyn R. Saniel</w:t>
      </w:r>
    </w:p>
    <w:p w14:paraId="2AB0713B" w14:textId="77777777" w:rsidR="00DE4AFC" w:rsidRDefault="00000000">
      <w:pPr>
        <w:tabs>
          <w:tab w:val="left" w:pos="2685"/>
          <w:tab w:val="center" w:pos="4513"/>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ORCID Number: 0009-0009-9624-2664</w:t>
      </w:r>
    </w:p>
    <w:p w14:paraId="4DF4C098" w14:textId="77777777" w:rsidR="00DE4AF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Graduate School of Government and Management, University of Southeastern Philippines, </w:t>
      </w:r>
    </w:p>
    <w:p w14:paraId="418D7118" w14:textId="77777777" w:rsidR="00DE4AFC"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Philippines</w:t>
      </w:r>
    </w:p>
    <w:p w14:paraId="6A387271" w14:textId="77777777" w:rsidR="00DE4AFC" w:rsidRDefault="00DE4AFC">
      <w:pPr>
        <w:pBdr>
          <w:bottom w:val="single" w:sz="6" w:space="0" w:color="000000"/>
        </w:pBdr>
        <w:spacing w:after="0" w:line="240" w:lineRule="auto"/>
        <w:rPr>
          <w:rFonts w:ascii="Times New Roman" w:eastAsia="Times New Roman" w:hAnsi="Times New Roman" w:cs="Times New Roman"/>
          <w:color w:val="000000"/>
        </w:rPr>
      </w:pPr>
    </w:p>
    <w:p w14:paraId="128B5942" w14:textId="77777777" w:rsidR="00DE4AFC" w:rsidRDefault="00DE4AFC">
      <w:pPr>
        <w:spacing w:after="0" w:line="240" w:lineRule="auto"/>
        <w:rPr>
          <w:rFonts w:ascii="Times New Roman" w:eastAsia="Times New Roman" w:hAnsi="Times New Roman" w:cs="Times New Roman"/>
          <w:sz w:val="20"/>
          <w:szCs w:val="20"/>
        </w:rPr>
      </w:pPr>
      <w:bookmarkStart w:id="1" w:name="_heading=h.30j0zll" w:colFirst="0" w:colLast="0"/>
      <w:bookmarkEnd w:id="1"/>
    </w:p>
    <w:p w14:paraId="06EBE44A" w14:textId="77777777" w:rsidR="00DE4AFC" w:rsidRDefault="00000000">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22A19DE9" w14:textId="77777777" w:rsidR="00DE4AFC" w:rsidRDefault="00DE4AFC">
      <w:pPr>
        <w:spacing w:after="0" w:line="240" w:lineRule="auto"/>
        <w:rPr>
          <w:rFonts w:ascii="Times New Roman" w:eastAsia="Times New Roman" w:hAnsi="Times New Roman" w:cs="Times New Roman"/>
          <w:b/>
          <w:sz w:val="20"/>
          <w:szCs w:val="20"/>
        </w:rPr>
      </w:pPr>
    </w:p>
    <w:p w14:paraId="2D33C1DF"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This study delves into the compliance and enforcement of building codes in Davao City, highlighting the various challenges and opportunities involved. The study highlights the crucial factors that impact compliance and enforcement efforts. The analysis focuses on the challenges of limited stakeholder awareness, resource constraints, corruption, rapid urbanization, and informal settlements, emphasizing their negative effects on the safety and quality of the built environment. The study highlights several potential areas for improvement, such as public awareness campaigns, capacity-building initiatives, technological solutions, stakeholder collaboration, streamlined permitting processes, and incentive mechanisms. These opportunities could help address the challenges identified in the study. The research paper enhances our understanding of the dynamics influencing building code compliance and enforcement in Davao City by synthesizing these findings. This analysis can provide valuable information for policymakers and organizations looking to improve regulatory frameworks, enforcement mechanisms, and overall safety and resilience in urban development.</w:t>
      </w:r>
    </w:p>
    <w:p w14:paraId="35A153C4" w14:textId="77777777" w:rsidR="00DE4AFC" w:rsidRDefault="00DE4AFC">
      <w:pPr>
        <w:spacing w:after="0" w:line="240" w:lineRule="auto"/>
        <w:jc w:val="both"/>
      </w:pPr>
    </w:p>
    <w:p w14:paraId="0917522F" w14:textId="77777777" w:rsidR="00DE4AFC" w:rsidRDefault="00000000">
      <w:pPr>
        <w:spacing w:after="0" w:line="240" w:lineRule="auto"/>
        <w:rPr>
          <w:rFonts w:ascii="Times New Roman" w:eastAsia="Times New Roman" w:hAnsi="Times New Roman" w:cs="Times New Roman"/>
          <w:sz w:val="20"/>
          <w:szCs w:val="20"/>
        </w:rPr>
      </w:pPr>
      <w:bookmarkStart w:id="2" w:name="_heading=h.1fob9te" w:colFirst="0" w:colLast="0"/>
      <w:bookmarkEnd w:id="2"/>
      <w:r>
        <w:rPr>
          <w:rFonts w:ascii="Times New Roman" w:eastAsia="Times New Roman" w:hAnsi="Times New Roman" w:cs="Times New Roman"/>
          <w:b/>
          <w:sz w:val="20"/>
          <w:szCs w:val="20"/>
        </w:rPr>
        <w:t>Keywords:</w:t>
      </w:r>
      <w:r>
        <w:t xml:space="preserve"> </w:t>
      </w:r>
      <w:r>
        <w:rPr>
          <w:rFonts w:ascii="Times New Roman" w:eastAsia="Times New Roman" w:hAnsi="Times New Roman" w:cs="Times New Roman"/>
          <w:sz w:val="20"/>
          <w:szCs w:val="20"/>
        </w:rPr>
        <w:t>building codes, compliance, enforcement, challenges, opportunities, corruption, urbanization, safety, quality, public campaigns, technology, regulations, urban development.</w:t>
      </w:r>
    </w:p>
    <w:p w14:paraId="5EB88F97" w14:textId="77777777" w:rsidR="00DE4AFC" w:rsidRDefault="00DE4AFC">
      <w:pPr>
        <w:pBdr>
          <w:bottom w:val="single" w:sz="4" w:space="1" w:color="000000"/>
        </w:pBdr>
        <w:spacing w:after="0" w:line="240" w:lineRule="auto"/>
        <w:rPr>
          <w:rFonts w:ascii="Times New Roman" w:eastAsia="Times New Roman" w:hAnsi="Times New Roman" w:cs="Times New Roman"/>
          <w:sz w:val="20"/>
          <w:szCs w:val="20"/>
        </w:rPr>
      </w:pPr>
    </w:p>
    <w:p w14:paraId="69698EBC" w14:textId="77777777" w:rsidR="00DE4AFC" w:rsidRDefault="00DE4AFC">
      <w:pPr>
        <w:spacing w:after="0" w:line="240" w:lineRule="auto"/>
        <w:rPr>
          <w:rFonts w:ascii="Times New Roman" w:eastAsia="Times New Roman" w:hAnsi="Times New Roman" w:cs="Times New Roman"/>
          <w:sz w:val="20"/>
          <w:szCs w:val="20"/>
        </w:rPr>
      </w:pPr>
    </w:p>
    <w:p w14:paraId="1195BE4E" w14:textId="77777777" w:rsidR="00DE4AFC" w:rsidRDefault="00000000">
      <w:pPr>
        <w:spacing w:after="0" w:line="240" w:lineRule="auto"/>
        <w:jc w:val="center"/>
        <w:rPr>
          <w:rFonts w:ascii="Times New Roman" w:eastAsia="Times New Roman" w:hAnsi="Times New Roman" w:cs="Times New Roman"/>
          <w:b/>
          <w:sz w:val="20"/>
          <w:szCs w:val="20"/>
        </w:rPr>
      </w:pPr>
      <w:bookmarkStart w:id="3" w:name="_heading=h.3znysh7" w:colFirst="0" w:colLast="0"/>
      <w:bookmarkEnd w:id="3"/>
      <w:r>
        <w:rPr>
          <w:rFonts w:ascii="Times New Roman" w:eastAsia="Times New Roman" w:hAnsi="Times New Roman" w:cs="Times New Roman"/>
          <w:b/>
          <w:sz w:val="20"/>
          <w:szCs w:val="20"/>
        </w:rPr>
        <w:t>INTRODUCTION</w:t>
      </w:r>
    </w:p>
    <w:p w14:paraId="38B2816A" w14:textId="77777777" w:rsidR="00DE4AFC" w:rsidRDefault="00DE4AFC">
      <w:pPr>
        <w:spacing w:after="0" w:line="240" w:lineRule="auto"/>
        <w:jc w:val="center"/>
        <w:rPr>
          <w:rFonts w:ascii="Times New Roman" w:eastAsia="Times New Roman" w:hAnsi="Times New Roman" w:cs="Times New Roman"/>
          <w:b/>
          <w:sz w:val="20"/>
          <w:szCs w:val="20"/>
        </w:rPr>
      </w:pPr>
    </w:p>
    <w:p w14:paraId="331B997F"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Building codes are essential regulatory tools that ensure the safety, health, and welfare of the public by setting minimum standards for construction quality and performance. These codes address various aspects of building design and construction, including structural integrity, fire safety, accessibility, and energy efficiency (Meacham, 2010). In developing countries, building regulations for resilience is crucial due to rapid urbanization often occurring without comprehensive regulatory frameworks. This lack of regulation can result in buildings that are prone to spontaneous collapse, high energy costs, exclusion of certain populations, or damage from natural disasters (GFDRR, 2016).</w:t>
      </w:r>
    </w:p>
    <w:p w14:paraId="44DC7CBF" w14:textId="77777777" w:rsidR="00DE4AFC" w:rsidRDefault="00DE4AFC">
      <w:pPr>
        <w:spacing w:after="0" w:line="240" w:lineRule="auto"/>
        <w:jc w:val="both"/>
        <w:rPr>
          <w:rFonts w:ascii="Times New Roman" w:eastAsia="Times New Roman" w:hAnsi="Times New Roman" w:cs="Times New Roman"/>
        </w:rPr>
      </w:pPr>
    </w:p>
    <w:p w14:paraId="59AA7C88"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Davao City, one of the major urban centers in the Philippines, exemplifies these challenges. The city has experienced rapid urbanization and economic growth in recent years, necessitating stringent enforcement of building codes to ensure that new constructions adhere to safety and quality standards (Philippine Statistics Authority, 2020). </w:t>
      </w:r>
    </w:p>
    <w:p w14:paraId="7C7862BE" w14:textId="77777777" w:rsidR="00DE4AFC" w:rsidRDefault="00DE4AFC">
      <w:pPr>
        <w:spacing w:after="0" w:line="240" w:lineRule="auto"/>
        <w:jc w:val="both"/>
        <w:rPr>
          <w:rFonts w:ascii="Times New Roman" w:eastAsia="Times New Roman" w:hAnsi="Times New Roman" w:cs="Times New Roman"/>
        </w:rPr>
      </w:pPr>
    </w:p>
    <w:p w14:paraId="3170FE19"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Building owners in Davao City generally exhibit an awareness of the local building code, and building plans undergo thorough reviews to ensure compliance (Office of the Building Official, 2023). The construction materials used typically meet the specified standards, and regular inspections are conducted to maintain adherence (Department of Public Works and Highways, 2021). Effective sanctions are in place for those who fail to comply with the code (Local Government Academy, 2022). However, the complexity and cost of compliance pose significant challenges for property owners, often seen as burdensome (World Bank, 2018).</w:t>
      </w:r>
    </w:p>
    <w:p w14:paraId="56D0CE49" w14:textId="77777777" w:rsidR="00DE4AFC" w:rsidRDefault="00DE4AFC">
      <w:pPr>
        <w:spacing w:after="0" w:line="240" w:lineRule="auto"/>
        <w:jc w:val="both"/>
        <w:rPr>
          <w:rFonts w:ascii="Times New Roman" w:eastAsia="Times New Roman" w:hAnsi="Times New Roman" w:cs="Times New Roman"/>
        </w:rPr>
      </w:pPr>
    </w:p>
    <w:p w14:paraId="2386B21E"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Despite the overall awareness, a segment of property owners still lacks sufficient knowledge about the building code. Instances of building permits being issued despite non-compliance, alongside corruption, undermine the enforcement process (Transparency International, 2019). </w:t>
      </w:r>
    </w:p>
    <w:p w14:paraId="016BFC73" w14:textId="77777777" w:rsidR="00DE4AFC" w:rsidRDefault="00DE4AFC">
      <w:pPr>
        <w:spacing w:after="0" w:line="240" w:lineRule="auto"/>
        <w:jc w:val="both"/>
        <w:rPr>
          <w:rFonts w:ascii="Times New Roman" w:eastAsia="Times New Roman" w:hAnsi="Times New Roman" w:cs="Times New Roman"/>
        </w:rPr>
      </w:pPr>
    </w:p>
    <w:p w14:paraId="26C06932"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Collaboration between the City Building Office and other relevant agencies, such as barangays and the fire department, is essential for effective enforcement (Department of the Interior and Local Government, 2021). Public engagement through reporting violations and prioritizing public safety in enforcement actions highlight the community's role (Local Government Academy, 2022). Yet, there are concerns regarding the severity of penalties for non-compliance, the efficiency of the appeals process, and the challenges posed by informal settlements (United Nations Habitat, 2019).</w:t>
      </w:r>
    </w:p>
    <w:p w14:paraId="3E907D74" w14:textId="77777777" w:rsidR="00DE4AFC" w:rsidRDefault="00DE4AFC">
      <w:pPr>
        <w:spacing w:after="0" w:line="240" w:lineRule="auto"/>
        <w:jc w:val="both"/>
        <w:rPr>
          <w:rFonts w:ascii="Times New Roman" w:eastAsia="Times New Roman" w:hAnsi="Times New Roman" w:cs="Times New Roman"/>
        </w:rPr>
      </w:pPr>
    </w:p>
    <w:p w14:paraId="4829ABC3"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study underscores the need for further research to enhance building code enforcement strategies. Public education campaigns, the utilization of technology, and collaboration with professional organizations are identified as potential avenues to streamline and strengthen the enforcement process (American Institute of Architects, 2019; International Code Council, 2020). Notably, recent improvements in compliance have contributed to residents feeling safer in compliant buildings, although the process remains perceived as costly and time-consuming (Philippine Institute of Civil Engineers, 2022).</w:t>
      </w:r>
    </w:p>
    <w:p w14:paraId="01AF271E" w14:textId="77777777" w:rsidR="00DE4AFC" w:rsidRDefault="00DE4AFC">
      <w:pPr>
        <w:spacing w:after="0" w:line="240" w:lineRule="auto"/>
        <w:jc w:val="both"/>
        <w:rPr>
          <w:rFonts w:ascii="Times New Roman" w:eastAsia="Times New Roman" w:hAnsi="Times New Roman" w:cs="Times New Roman"/>
        </w:rPr>
      </w:pPr>
    </w:p>
    <w:p w14:paraId="377C641E"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By addressing these challenges and leveraging the identified opportunities, Davao City can enhance its building code enforcement, ensuring a safer and more resilient urban environment.</w:t>
      </w:r>
    </w:p>
    <w:p w14:paraId="3A19B1E9" w14:textId="77777777" w:rsidR="00DE4AFC" w:rsidRDefault="00DE4AFC">
      <w:pPr>
        <w:spacing w:after="0" w:line="240" w:lineRule="auto"/>
        <w:jc w:val="both"/>
        <w:rPr>
          <w:rFonts w:ascii="Times New Roman" w:eastAsia="Times New Roman" w:hAnsi="Times New Roman" w:cs="Times New Roman"/>
        </w:rPr>
      </w:pPr>
    </w:p>
    <w:p w14:paraId="06CB0E6A" w14:textId="77777777" w:rsidR="00DE4AFC" w:rsidRDefault="00000000">
      <w:pPr>
        <w:tabs>
          <w:tab w:val="left" w:pos="5781"/>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rPr>
        <w:t>METHODOLOGY</w:t>
      </w:r>
    </w:p>
    <w:p w14:paraId="36F4B906" w14:textId="77777777" w:rsidR="00DE4AFC" w:rsidRDefault="00DE4AFC">
      <w:pPr>
        <w:tabs>
          <w:tab w:val="left" w:pos="5781"/>
        </w:tabs>
        <w:spacing w:after="0" w:line="240" w:lineRule="auto"/>
      </w:pPr>
    </w:p>
    <w:p w14:paraId="656ADDB7" w14:textId="77777777" w:rsidR="00DE4AFC" w:rsidRDefault="00000000">
      <w:pPr>
        <w:tabs>
          <w:tab w:val="left" w:pos="720"/>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study was conducted in Davao City, with 150 respondents randomly selected to serve as research participants using a mixed-methods approach, utilizing both online surveys conducted through Google Forms and manual surveys. According to Torrentira (2020), an online survey is a process of distributing the instrument or the questionnaire to the target respondents using online platforms through Google Forms. The research participants were asked to respond to a questionnaire, which served as the research instrument for data collection. Experts in the field reviewed and validated the survey questionnaire. </w:t>
      </w:r>
    </w:p>
    <w:p w14:paraId="4FC89AB5" w14:textId="77777777" w:rsidR="00DE4AFC" w:rsidRDefault="00DE4AFC">
      <w:pPr>
        <w:tabs>
          <w:tab w:val="left" w:pos="720"/>
          <w:tab w:val="left" w:pos="5781"/>
        </w:tabs>
        <w:spacing w:after="0" w:line="240" w:lineRule="auto"/>
        <w:jc w:val="both"/>
        <w:rPr>
          <w:rFonts w:ascii="Times New Roman" w:eastAsia="Times New Roman" w:hAnsi="Times New Roman" w:cs="Times New Roman"/>
        </w:rPr>
      </w:pPr>
    </w:p>
    <w:p w14:paraId="5DE3FACD" w14:textId="77777777" w:rsidR="00DE4AFC" w:rsidRDefault="00000000">
      <w:pPr>
        <w:tabs>
          <w:tab w:val="left" w:pos="720"/>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factors were identified using Exploratory Factor Analysis (EFA). Exploratory factor analysis is frequently used to identify the underlying factors of several observable variables (Auerswald &amp; Moshagen, 2019). To test the magnitude of partial correlations among variables, the Kaiser Meyer-Olkin (KMO) measure of sampling adequacy was performed. Bartlett’s test of sphericity was conducted to identify the identity of the correlation matrix. The factors were visually represented and identified using a scree plot. These factors are analyzed using content analysis techniques to develop the resilience framework.</w:t>
      </w:r>
    </w:p>
    <w:p w14:paraId="0E197DA4" w14:textId="77777777" w:rsidR="00DE4AFC" w:rsidRDefault="00DE4AFC">
      <w:pPr>
        <w:tabs>
          <w:tab w:val="left" w:pos="720"/>
          <w:tab w:val="left" w:pos="5781"/>
        </w:tabs>
        <w:spacing w:after="0" w:line="240" w:lineRule="auto"/>
        <w:jc w:val="both"/>
        <w:rPr>
          <w:rFonts w:ascii="Times New Roman" w:eastAsia="Times New Roman" w:hAnsi="Times New Roman" w:cs="Times New Roman"/>
        </w:rPr>
      </w:pPr>
    </w:p>
    <w:p w14:paraId="02F5B707" w14:textId="77777777" w:rsidR="00DE4AFC" w:rsidRDefault="00000000">
      <w:pPr>
        <w:tabs>
          <w:tab w:val="left" w:pos="720"/>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277B2EBB" w14:textId="77777777" w:rsidR="00DE4AFC" w:rsidRDefault="00000000">
      <w:pPr>
        <w:tabs>
          <w:tab w:val="left" w:pos="5781"/>
        </w:tabs>
        <w:spacing w:after="0" w:line="240" w:lineRule="auto"/>
        <w:rPr>
          <w:rFonts w:ascii="Times New Roman" w:eastAsia="Times New Roman" w:hAnsi="Times New Roman" w:cs="Times New Roman"/>
          <w:b/>
        </w:rPr>
      </w:pPr>
      <w:r>
        <w:rPr>
          <w:rFonts w:ascii="Times New Roman" w:eastAsia="Times New Roman" w:hAnsi="Times New Roman" w:cs="Times New Roman"/>
          <w:b/>
        </w:rPr>
        <w:t>RESULTS AND DISCUSSION</w:t>
      </w:r>
    </w:p>
    <w:p w14:paraId="3BBC95B3" w14:textId="77777777" w:rsidR="00DE4AFC" w:rsidRDefault="00DE4AFC">
      <w:pPr>
        <w:tabs>
          <w:tab w:val="left" w:pos="5781"/>
        </w:tabs>
        <w:spacing w:after="0" w:line="240" w:lineRule="auto"/>
        <w:rPr>
          <w:rFonts w:ascii="Times New Roman" w:eastAsia="Times New Roman" w:hAnsi="Times New Roman" w:cs="Times New Roman"/>
          <w:b/>
        </w:rPr>
      </w:pPr>
    </w:p>
    <w:p w14:paraId="4CC7D5BC"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This section encompasses the analysis and interpretation of the data. The chapter dives into the results and findings of the study, utilizing the statistical software SPSS, where the KMO and Bartlett’s Test are applied. The study involved 150 respondents residing in Davao City. </w:t>
      </w:r>
    </w:p>
    <w:p w14:paraId="295F61BE" w14:textId="77777777" w:rsidR="00DE4AFC" w:rsidRDefault="00DE4AFC">
      <w:pPr>
        <w:spacing w:after="0" w:line="240" w:lineRule="auto"/>
        <w:jc w:val="both"/>
        <w:rPr>
          <w:rFonts w:ascii="Times New Roman" w:eastAsia="Times New Roman" w:hAnsi="Times New Roman" w:cs="Times New Roman"/>
        </w:rPr>
      </w:pPr>
    </w:p>
    <w:p w14:paraId="4B3584B3" w14:textId="77777777" w:rsidR="00DE4AFC" w:rsidRDefault="00000000">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KMO and Bartlett’s Test</w:t>
      </w:r>
    </w:p>
    <w:p w14:paraId="5F30963A" w14:textId="77777777" w:rsidR="00DE4AFC" w:rsidRDefault="00DE4AFC">
      <w:pPr>
        <w:spacing w:after="0" w:line="240" w:lineRule="auto"/>
        <w:jc w:val="both"/>
        <w:rPr>
          <w:rFonts w:ascii="Times New Roman" w:eastAsia="Times New Roman" w:hAnsi="Times New Roman" w:cs="Times New Roman"/>
        </w:rPr>
      </w:pPr>
    </w:p>
    <w:p w14:paraId="660008AF" w14:textId="77777777" w:rsidR="00DE4AFC" w:rsidRDefault="0000000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Table 1 shows the results of the Kaiser-Meyer-Olkin (KMO) Measure and Bartlett's Test of Sphericity, which are statistical tests used to determine the suitability of your dataset for factor analysis. The KMO Measure of Sampling Adequacy (0.896) indicates high adequacy. This value, which is close to 1, indicates that the dataset has significant common variance and is suitable for factor analysis; values greater than 0.8 are generally considered good. Furthermore, Bartlett's Test of Sphericity, which yields an approximate Chi-Square of 3070.044 and a significance level of 0, confirms that the variables are inter-correlated rather than orthogonal and that the data's correlation matrix does not resemble the identity matrix. This statistically significant result underscores the importance of using factor analysis to determine the underlying factors or dimensions in our data about building code compliance and enforcement challenges and opportunities.</w:t>
      </w:r>
    </w:p>
    <w:p w14:paraId="2A5A04B5" w14:textId="77777777" w:rsidR="00DE4AFC" w:rsidRDefault="00DE4AFC">
      <w:pPr>
        <w:spacing w:after="0" w:line="240" w:lineRule="auto"/>
        <w:jc w:val="both"/>
        <w:rPr>
          <w:rFonts w:ascii="Times New Roman" w:eastAsia="Times New Roman" w:hAnsi="Times New Roman" w:cs="Times New Roman"/>
          <w:sz w:val="20"/>
          <w:szCs w:val="20"/>
        </w:rPr>
      </w:pPr>
    </w:p>
    <w:p w14:paraId="5A735324" w14:textId="77777777" w:rsidR="00DE4AFC" w:rsidRDefault="00000000">
      <w:pPr>
        <w:spacing w:after="0"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i/>
          <w:sz w:val="20"/>
          <w:szCs w:val="20"/>
        </w:rPr>
        <w:t>Table 1. KMO and Bartlett’s Test</w:t>
      </w:r>
    </w:p>
    <w:tbl>
      <w:tblPr>
        <w:tblStyle w:val="a5"/>
        <w:tblpPr w:leftFromText="180" w:rightFromText="180" w:topFromText="180" w:bottomFromText="180" w:vertAnchor="text" w:tblpX="1365"/>
        <w:tblW w:w="6540" w:type="dxa"/>
        <w:tblBorders>
          <w:top w:val="nil"/>
          <w:left w:val="nil"/>
          <w:bottom w:val="nil"/>
          <w:right w:val="nil"/>
          <w:insideH w:val="nil"/>
          <w:insideV w:val="nil"/>
        </w:tblBorders>
        <w:tblLayout w:type="fixed"/>
        <w:tblLook w:val="0600" w:firstRow="0" w:lastRow="0" w:firstColumn="0" w:lastColumn="0" w:noHBand="1" w:noVBand="1"/>
      </w:tblPr>
      <w:tblGrid>
        <w:gridCol w:w="2805"/>
        <w:gridCol w:w="2235"/>
        <w:gridCol w:w="1500"/>
      </w:tblGrid>
      <w:tr w:rsidR="00DE4AFC" w14:paraId="301A87FE" w14:textId="77777777">
        <w:trPr>
          <w:trHeight w:val="390"/>
        </w:trPr>
        <w:tc>
          <w:tcPr>
            <w:tcW w:w="5040" w:type="dxa"/>
            <w:gridSpan w:val="2"/>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5497F8C"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Kaiser-Meyer-Olkin Measure of Sampling Adequacy.</w:t>
            </w:r>
          </w:p>
        </w:tc>
        <w:tc>
          <w:tcPr>
            <w:tcW w:w="15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FAECDD0"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0.896</w:t>
            </w:r>
          </w:p>
        </w:tc>
      </w:tr>
      <w:tr w:rsidR="00DE4AFC" w14:paraId="079CA106" w14:textId="77777777">
        <w:trPr>
          <w:trHeight w:val="375"/>
        </w:trPr>
        <w:tc>
          <w:tcPr>
            <w:tcW w:w="2805" w:type="dxa"/>
            <w:vMerge w:val="restart"/>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04DFF68A"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Bartlett’s Test of Sphericity</w:t>
            </w: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F01C8C1"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Approx. Chi-Square</w:t>
            </w:r>
          </w:p>
        </w:tc>
        <w:tc>
          <w:tcPr>
            <w:tcW w:w="15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227F4591"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3070.044</w:t>
            </w:r>
          </w:p>
        </w:tc>
      </w:tr>
      <w:tr w:rsidR="00DE4AFC" w14:paraId="229D1153" w14:textId="77777777">
        <w:trPr>
          <w:trHeight w:val="315"/>
        </w:trPr>
        <w:tc>
          <w:tcPr>
            <w:tcW w:w="2805"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1EDA1263"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2F002413"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df</w:t>
            </w:r>
          </w:p>
        </w:tc>
        <w:tc>
          <w:tcPr>
            <w:tcW w:w="15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3374CB03"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435</w:t>
            </w:r>
          </w:p>
        </w:tc>
      </w:tr>
      <w:tr w:rsidR="00DE4AFC" w14:paraId="34574071" w14:textId="77777777">
        <w:trPr>
          <w:trHeight w:val="315"/>
        </w:trPr>
        <w:tc>
          <w:tcPr>
            <w:tcW w:w="2805" w:type="dxa"/>
            <w:vMerge/>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center"/>
          </w:tcPr>
          <w:p w14:paraId="7EAE71D1"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23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14:paraId="055168DF"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Sig.</w:t>
            </w:r>
          </w:p>
        </w:tc>
        <w:tc>
          <w:tcPr>
            <w:tcW w:w="150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14:paraId="1F30F5ED" w14:textId="77777777" w:rsidR="00DE4AFC" w:rsidRDefault="00000000">
            <w:pPr>
              <w:widowControl w:val="0"/>
              <w:spacing w:line="276" w:lineRule="auto"/>
              <w:jc w:val="center"/>
              <w:rPr>
                <w:rFonts w:ascii="Times New Roman" w:eastAsia="Times New Roman" w:hAnsi="Times New Roman" w:cs="Times New Roman"/>
              </w:rPr>
            </w:pPr>
            <w:r>
              <w:rPr>
                <w:rFonts w:ascii="Times New Roman" w:eastAsia="Times New Roman" w:hAnsi="Times New Roman" w:cs="Times New Roman"/>
              </w:rPr>
              <w:t>0</w:t>
            </w:r>
          </w:p>
        </w:tc>
      </w:tr>
    </w:tbl>
    <w:p w14:paraId="66D6A1A5" w14:textId="77777777" w:rsidR="00DE4AFC" w:rsidRDefault="00DE4AFC" w:rsidP="00B93FF4">
      <w:pPr>
        <w:tabs>
          <w:tab w:val="left" w:pos="5781"/>
        </w:tabs>
        <w:spacing w:after="0" w:line="240" w:lineRule="auto"/>
        <w:rPr>
          <w:rFonts w:ascii="Times New Roman" w:eastAsia="Times New Roman" w:hAnsi="Times New Roman" w:cs="Times New Roman"/>
          <w:b/>
        </w:rPr>
      </w:pPr>
    </w:p>
    <w:p w14:paraId="53041A5F" w14:textId="77777777" w:rsidR="00DE4AFC" w:rsidRDefault="00000000">
      <w:pPr>
        <w:tabs>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The scree plot illustrated the total variance, and Eigenvalues plotted against all factors in a graphical manner. This plot depicts the decreasing trend of Eigenvalues and helps determine the significance of each component. The Scree Plot is a valuable tool for deciding the number of factors to retain, with the inflection point indicating where the curve flattens. The scree plot shows the total variance, with Eigenvalues plotted against all factors in a graphical representation. This plot shows the decreasing trend of Eigenvalues and aids in determining the significance of each component. With the inflection point signifying where the curve becomes flatter, the Scree Plot is useful for determining the number of factors to retain. The eigenvalues decrease considerably after the first component but still show relevant decreases up through the third component. Based on this plot, focusing on the first two or three components would likely be sufficient for most analyses, as they capture the major variance within the data, thereby reducing dimensionality while maintaining crucial information.</w:t>
      </w:r>
    </w:p>
    <w:p w14:paraId="5F7489C6" w14:textId="77777777" w:rsidR="00DE4AFC" w:rsidRDefault="00000000">
      <w:pPr>
        <w:spacing w:after="0" w:line="240" w:lineRule="auto"/>
        <w:ind w:firstLine="720"/>
        <w:jc w:val="center"/>
        <w:rPr>
          <w:rFonts w:ascii="Times New Roman" w:eastAsia="Times New Roman" w:hAnsi="Times New Roman" w:cs="Times New Roman"/>
          <w:b/>
          <w:i/>
        </w:rPr>
      </w:pPr>
      <w:r>
        <w:rPr>
          <w:rFonts w:ascii="Times New Roman" w:eastAsia="Times New Roman" w:hAnsi="Times New Roman" w:cs="Times New Roman"/>
          <w:noProof/>
        </w:rPr>
        <w:drawing>
          <wp:inline distT="0" distB="0" distL="0" distR="0" wp14:anchorId="4C0BD8F6" wp14:editId="7D8F3473">
            <wp:extent cx="4610755" cy="3308282"/>
            <wp:effectExtent l="0" t="0" r="0" b="0"/>
            <wp:docPr id="105541573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610755" cy="3308282"/>
                    </a:xfrm>
                    <a:prstGeom prst="rect">
                      <a:avLst/>
                    </a:prstGeom>
                    <a:ln/>
                  </pic:spPr>
                </pic:pic>
              </a:graphicData>
            </a:graphic>
          </wp:inline>
        </w:drawing>
      </w:r>
    </w:p>
    <w:p w14:paraId="14D653EA" w14:textId="77777777" w:rsidR="00DE4AFC" w:rsidRDefault="00000000">
      <w:pPr>
        <w:tabs>
          <w:tab w:val="left" w:pos="5781"/>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Figure 1. Scree Plot Rotated Component Matrix</w:t>
      </w:r>
    </w:p>
    <w:p w14:paraId="7D5DE975" w14:textId="77777777" w:rsidR="00DE4AFC" w:rsidRDefault="00DE4AFC">
      <w:pPr>
        <w:tabs>
          <w:tab w:val="left" w:pos="5781"/>
        </w:tabs>
        <w:spacing w:after="0" w:line="240" w:lineRule="auto"/>
        <w:jc w:val="center"/>
        <w:rPr>
          <w:rFonts w:ascii="Times New Roman" w:eastAsia="Times New Roman" w:hAnsi="Times New Roman" w:cs="Times New Roman"/>
          <w:b/>
        </w:rPr>
      </w:pPr>
    </w:p>
    <w:p w14:paraId="1783D243" w14:textId="77777777" w:rsidR="00DE4AFC" w:rsidRDefault="00000000">
      <w:pPr>
        <w:tabs>
          <w:tab w:val="left" w:pos="5781"/>
        </w:tabs>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rPr>
        <w:t>Rotated Component Matrix</w:t>
      </w:r>
    </w:p>
    <w:p w14:paraId="37261F6B"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4C9025DC" w14:textId="77777777" w:rsidR="00DE4AFC" w:rsidRDefault="00000000">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Table 2 shows the attributes grouped as “Building Code Compliance and Enforcement Integrity,” which encompasses the effectiveness of building code compliance measures, the integrity of enforcement practices, and the collaboration between relevant agencies. The data show that participants rated Item 4 with a score of 0.803, indicating that regular inspections play a crucial role in ensuring that buildings comply with the building code, thereby promoting safety, accountability, and public welfare in the built environment (ICC, 2021). Various agencies, such as local government units and fire departments, collaborate in the enforcement of building codes to ensure comprehensive safety and compliance (NIST, 2020). It highlights the vital role of building inspectors who are well-trained to accurately assess </w:t>
      </w:r>
      <w:r>
        <w:rPr>
          <w:rFonts w:ascii="Times New Roman" w:eastAsia="Times New Roman" w:hAnsi="Times New Roman" w:cs="Times New Roman"/>
        </w:rPr>
        <w:lastRenderedPageBreak/>
        <w:t>compliance and identify deficiencies (InterNACHI, 2021). It emphasizes the necessity of using quality construction materials, which directly impact building integrity and safety (ASTM, 2020). Furthermore, it underscores the importance of reviewing plans for compliance before construction begins to prevent non-compliance issues and ensure proposed designs meet safety and regulatory requirements (APA, 2019).</w:t>
      </w:r>
    </w:p>
    <w:p w14:paraId="51094888" w14:textId="77777777" w:rsidR="00DE4AFC" w:rsidRDefault="00DE4AFC">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b/>
        </w:rPr>
      </w:pPr>
    </w:p>
    <w:p w14:paraId="6C305A8D" w14:textId="77777777" w:rsidR="00DE4AFC" w:rsidRDefault="00000000">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Table 2: Rotated component matrix with grouped attributes of Building Code Compliance and Enforcement Integrity</w:t>
      </w:r>
    </w:p>
    <w:tbl>
      <w:tblPr>
        <w:tblStyle w:val="a6"/>
        <w:tblW w:w="90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4"/>
        <w:gridCol w:w="5700"/>
        <w:gridCol w:w="991"/>
        <w:gridCol w:w="1353"/>
      </w:tblGrid>
      <w:tr w:rsidR="00DE4AFC" w14:paraId="3B1E6997" w14:textId="77777777">
        <w:tc>
          <w:tcPr>
            <w:tcW w:w="984" w:type="dxa"/>
          </w:tcPr>
          <w:p w14:paraId="160EC890"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Item</w:t>
            </w:r>
          </w:p>
        </w:tc>
        <w:tc>
          <w:tcPr>
            <w:tcW w:w="5700" w:type="dxa"/>
            <w:vAlign w:val="bottom"/>
          </w:tcPr>
          <w:p w14:paraId="5031012C"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Attributes</w:t>
            </w:r>
          </w:p>
        </w:tc>
        <w:tc>
          <w:tcPr>
            <w:tcW w:w="991" w:type="dxa"/>
            <w:vAlign w:val="bottom"/>
          </w:tcPr>
          <w:p w14:paraId="0306CC0E"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Loading</w:t>
            </w:r>
          </w:p>
        </w:tc>
        <w:tc>
          <w:tcPr>
            <w:tcW w:w="1353" w:type="dxa"/>
          </w:tcPr>
          <w:p w14:paraId="36CEEB1C"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Factor</w:t>
            </w:r>
          </w:p>
        </w:tc>
      </w:tr>
      <w:tr w:rsidR="00DE4AFC" w14:paraId="257E048A" w14:textId="77777777">
        <w:tc>
          <w:tcPr>
            <w:tcW w:w="984" w:type="dxa"/>
            <w:vAlign w:val="center"/>
          </w:tcPr>
          <w:p w14:paraId="18C59D39"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4</w:t>
            </w:r>
          </w:p>
        </w:tc>
        <w:tc>
          <w:tcPr>
            <w:tcW w:w="5700" w:type="dxa"/>
            <w:vAlign w:val="center"/>
          </w:tcPr>
          <w:p w14:paraId="702D659A"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Buildings are regularly inspected to ensure compliance with the building code.</w:t>
            </w:r>
          </w:p>
        </w:tc>
        <w:tc>
          <w:tcPr>
            <w:tcW w:w="991" w:type="dxa"/>
          </w:tcPr>
          <w:p w14:paraId="189FB33E"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.803</w:t>
            </w:r>
          </w:p>
        </w:tc>
        <w:tc>
          <w:tcPr>
            <w:tcW w:w="1353" w:type="dxa"/>
            <w:vMerge w:val="restart"/>
          </w:tcPr>
          <w:p w14:paraId="41AC1363" w14:textId="77777777" w:rsidR="00DE4AFC" w:rsidRDefault="00DE4AFC">
            <w:pPr>
              <w:tabs>
                <w:tab w:val="left" w:pos="5781"/>
              </w:tabs>
              <w:jc w:val="center"/>
              <w:rPr>
                <w:rFonts w:ascii="Times New Roman" w:eastAsia="Times New Roman" w:hAnsi="Times New Roman" w:cs="Times New Roman"/>
                <w:b/>
              </w:rPr>
            </w:pPr>
          </w:p>
          <w:p w14:paraId="017089D8" w14:textId="77777777" w:rsidR="00DE4AFC" w:rsidRDefault="00DE4AFC">
            <w:pPr>
              <w:tabs>
                <w:tab w:val="left" w:pos="5781"/>
              </w:tabs>
              <w:jc w:val="center"/>
              <w:rPr>
                <w:rFonts w:ascii="Times New Roman" w:eastAsia="Times New Roman" w:hAnsi="Times New Roman" w:cs="Times New Roman"/>
              </w:rPr>
            </w:pPr>
          </w:p>
          <w:p w14:paraId="5564E4E1" w14:textId="77777777" w:rsidR="00DE4AFC" w:rsidRDefault="00DE4AFC">
            <w:pPr>
              <w:tabs>
                <w:tab w:val="left" w:pos="5781"/>
              </w:tabs>
              <w:jc w:val="center"/>
              <w:rPr>
                <w:rFonts w:ascii="Times New Roman" w:eastAsia="Times New Roman" w:hAnsi="Times New Roman" w:cs="Times New Roman"/>
              </w:rPr>
            </w:pPr>
          </w:p>
          <w:p w14:paraId="1AAD7B89" w14:textId="77777777" w:rsidR="00DE4AFC" w:rsidRDefault="00DE4AFC">
            <w:pPr>
              <w:tabs>
                <w:tab w:val="left" w:pos="5781"/>
              </w:tabs>
              <w:jc w:val="center"/>
              <w:rPr>
                <w:rFonts w:ascii="Times New Roman" w:eastAsia="Times New Roman" w:hAnsi="Times New Roman" w:cs="Times New Roman"/>
              </w:rPr>
            </w:pPr>
          </w:p>
          <w:p w14:paraId="0C68F603" w14:textId="77777777" w:rsidR="00DE4AFC" w:rsidRDefault="00DE4AFC">
            <w:pPr>
              <w:tabs>
                <w:tab w:val="left" w:pos="5781"/>
              </w:tabs>
              <w:jc w:val="center"/>
              <w:rPr>
                <w:rFonts w:ascii="Times New Roman" w:eastAsia="Times New Roman" w:hAnsi="Times New Roman" w:cs="Times New Roman"/>
              </w:rPr>
            </w:pPr>
          </w:p>
          <w:p w14:paraId="31B29041" w14:textId="77777777" w:rsidR="00DE4AFC" w:rsidRDefault="00DE4AFC">
            <w:pPr>
              <w:tabs>
                <w:tab w:val="left" w:pos="5781"/>
              </w:tabs>
              <w:jc w:val="center"/>
              <w:rPr>
                <w:rFonts w:ascii="Times New Roman" w:eastAsia="Times New Roman" w:hAnsi="Times New Roman" w:cs="Times New Roman"/>
              </w:rPr>
            </w:pPr>
          </w:p>
          <w:p w14:paraId="2A54EC2D" w14:textId="77777777" w:rsidR="00DE4AFC" w:rsidRDefault="00DE4AFC">
            <w:pPr>
              <w:tabs>
                <w:tab w:val="left" w:pos="5781"/>
              </w:tabs>
              <w:jc w:val="center"/>
              <w:rPr>
                <w:rFonts w:ascii="Times New Roman" w:eastAsia="Times New Roman" w:hAnsi="Times New Roman" w:cs="Times New Roman"/>
              </w:rPr>
            </w:pPr>
          </w:p>
          <w:p w14:paraId="16F536AB" w14:textId="77777777" w:rsidR="00DE4AFC" w:rsidRDefault="00DE4AFC">
            <w:pPr>
              <w:tabs>
                <w:tab w:val="left" w:pos="5781"/>
              </w:tabs>
              <w:jc w:val="center"/>
              <w:rPr>
                <w:rFonts w:ascii="Times New Roman" w:eastAsia="Times New Roman" w:hAnsi="Times New Roman" w:cs="Times New Roman"/>
              </w:rPr>
            </w:pPr>
          </w:p>
          <w:p w14:paraId="583EFA10" w14:textId="77777777" w:rsidR="00DE4AFC" w:rsidRDefault="00DE4AFC">
            <w:pPr>
              <w:tabs>
                <w:tab w:val="left" w:pos="5781"/>
              </w:tabs>
              <w:jc w:val="center"/>
              <w:rPr>
                <w:rFonts w:ascii="Times New Roman" w:eastAsia="Times New Roman" w:hAnsi="Times New Roman" w:cs="Times New Roman"/>
              </w:rPr>
            </w:pPr>
          </w:p>
          <w:p w14:paraId="030C1DA5"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Building Code  Compliance and Enforcement Integrity</w:t>
            </w:r>
          </w:p>
          <w:p w14:paraId="02D9F0A7" w14:textId="77777777" w:rsidR="00DE4AFC" w:rsidRDefault="00DE4AFC">
            <w:pPr>
              <w:tabs>
                <w:tab w:val="left" w:pos="5781"/>
              </w:tabs>
              <w:jc w:val="center"/>
              <w:rPr>
                <w:rFonts w:ascii="Times New Roman" w:eastAsia="Times New Roman" w:hAnsi="Times New Roman" w:cs="Times New Roman"/>
              </w:rPr>
            </w:pPr>
          </w:p>
          <w:p w14:paraId="7DF1E280" w14:textId="77777777" w:rsidR="00DE4AFC" w:rsidRDefault="00DE4AFC">
            <w:pPr>
              <w:rPr>
                <w:rFonts w:ascii="Times New Roman" w:eastAsia="Times New Roman" w:hAnsi="Times New Roman" w:cs="Times New Roman"/>
              </w:rPr>
            </w:pPr>
          </w:p>
          <w:p w14:paraId="438B434E" w14:textId="77777777" w:rsidR="00DE4AFC" w:rsidRDefault="00DE4AFC">
            <w:pPr>
              <w:rPr>
                <w:rFonts w:ascii="Times New Roman" w:eastAsia="Times New Roman" w:hAnsi="Times New Roman" w:cs="Times New Roman"/>
              </w:rPr>
            </w:pPr>
          </w:p>
          <w:p w14:paraId="50A1CE71" w14:textId="77777777" w:rsidR="00DE4AFC" w:rsidRDefault="00DE4AFC">
            <w:pPr>
              <w:rPr>
                <w:rFonts w:ascii="Times New Roman" w:eastAsia="Times New Roman" w:hAnsi="Times New Roman" w:cs="Times New Roman"/>
              </w:rPr>
            </w:pPr>
          </w:p>
          <w:p w14:paraId="6A79AD59" w14:textId="77777777" w:rsidR="00DE4AFC" w:rsidRDefault="00DE4AFC">
            <w:pPr>
              <w:rPr>
                <w:rFonts w:ascii="Times New Roman" w:eastAsia="Times New Roman" w:hAnsi="Times New Roman" w:cs="Times New Roman"/>
              </w:rPr>
            </w:pPr>
          </w:p>
          <w:p w14:paraId="58FC298A" w14:textId="77777777" w:rsidR="00DE4AFC" w:rsidRDefault="00DE4AFC">
            <w:pPr>
              <w:rPr>
                <w:rFonts w:ascii="Times New Roman" w:eastAsia="Times New Roman" w:hAnsi="Times New Roman" w:cs="Times New Roman"/>
              </w:rPr>
            </w:pPr>
          </w:p>
          <w:p w14:paraId="5CD276C9" w14:textId="77777777" w:rsidR="00DE4AFC" w:rsidRDefault="00DE4AFC">
            <w:pPr>
              <w:rPr>
                <w:rFonts w:ascii="Times New Roman" w:eastAsia="Times New Roman" w:hAnsi="Times New Roman" w:cs="Times New Roman"/>
              </w:rPr>
            </w:pPr>
          </w:p>
          <w:p w14:paraId="1123ED31" w14:textId="77777777" w:rsidR="00DE4AFC" w:rsidRDefault="00DE4AFC">
            <w:pPr>
              <w:rPr>
                <w:rFonts w:ascii="Times New Roman" w:eastAsia="Times New Roman" w:hAnsi="Times New Roman" w:cs="Times New Roman"/>
              </w:rPr>
            </w:pPr>
          </w:p>
          <w:p w14:paraId="2A4F210E" w14:textId="77777777" w:rsidR="00DE4AFC" w:rsidRDefault="00DE4AFC">
            <w:pPr>
              <w:rPr>
                <w:rFonts w:ascii="Times New Roman" w:eastAsia="Times New Roman" w:hAnsi="Times New Roman" w:cs="Times New Roman"/>
              </w:rPr>
            </w:pPr>
          </w:p>
          <w:p w14:paraId="38B3EF07" w14:textId="77777777" w:rsidR="00DE4AFC" w:rsidRDefault="00DE4AFC">
            <w:pPr>
              <w:rPr>
                <w:rFonts w:ascii="Times New Roman" w:eastAsia="Times New Roman" w:hAnsi="Times New Roman" w:cs="Times New Roman"/>
              </w:rPr>
            </w:pPr>
          </w:p>
          <w:p w14:paraId="69E5AA52" w14:textId="77777777" w:rsidR="00DE4AFC" w:rsidRDefault="00DE4AFC">
            <w:pPr>
              <w:rPr>
                <w:rFonts w:ascii="Times New Roman" w:eastAsia="Times New Roman" w:hAnsi="Times New Roman" w:cs="Times New Roman"/>
              </w:rPr>
            </w:pPr>
          </w:p>
          <w:p w14:paraId="2AC3F045" w14:textId="77777777" w:rsidR="00DE4AFC" w:rsidRDefault="00DE4AFC">
            <w:pPr>
              <w:rPr>
                <w:rFonts w:ascii="Times New Roman" w:eastAsia="Times New Roman" w:hAnsi="Times New Roman" w:cs="Times New Roman"/>
              </w:rPr>
            </w:pPr>
          </w:p>
          <w:p w14:paraId="39E550CC" w14:textId="77777777" w:rsidR="00DE4AFC" w:rsidRDefault="00DE4AFC">
            <w:pPr>
              <w:rPr>
                <w:rFonts w:ascii="Times New Roman" w:eastAsia="Times New Roman" w:hAnsi="Times New Roman" w:cs="Times New Roman"/>
              </w:rPr>
            </w:pPr>
          </w:p>
          <w:p w14:paraId="2D5971C2" w14:textId="77777777" w:rsidR="00DE4AFC" w:rsidRDefault="00DE4AFC">
            <w:pPr>
              <w:rPr>
                <w:rFonts w:ascii="Times New Roman" w:eastAsia="Times New Roman" w:hAnsi="Times New Roman" w:cs="Times New Roman"/>
              </w:rPr>
            </w:pPr>
          </w:p>
          <w:p w14:paraId="5B6DFC89" w14:textId="77777777" w:rsidR="00DE4AFC" w:rsidRDefault="00DE4AFC">
            <w:pPr>
              <w:rPr>
                <w:rFonts w:ascii="Times New Roman" w:eastAsia="Times New Roman" w:hAnsi="Times New Roman" w:cs="Times New Roman"/>
              </w:rPr>
            </w:pPr>
          </w:p>
        </w:tc>
      </w:tr>
      <w:tr w:rsidR="00DE4AFC" w14:paraId="21F9E1B1" w14:textId="77777777">
        <w:tc>
          <w:tcPr>
            <w:tcW w:w="984" w:type="dxa"/>
            <w:vAlign w:val="center"/>
          </w:tcPr>
          <w:p w14:paraId="6E80E3C4"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3</w:t>
            </w:r>
          </w:p>
        </w:tc>
        <w:tc>
          <w:tcPr>
            <w:tcW w:w="5700" w:type="dxa"/>
            <w:vAlign w:val="center"/>
          </w:tcPr>
          <w:p w14:paraId="61AEDAE6"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quality of construction materials used meets building code specifications.</w:t>
            </w:r>
          </w:p>
        </w:tc>
        <w:tc>
          <w:tcPr>
            <w:tcW w:w="991" w:type="dxa"/>
          </w:tcPr>
          <w:p w14:paraId="0C109DC6"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.780</w:t>
            </w:r>
          </w:p>
        </w:tc>
        <w:tc>
          <w:tcPr>
            <w:tcW w:w="1353" w:type="dxa"/>
            <w:vMerge/>
          </w:tcPr>
          <w:p w14:paraId="74815DD6"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0B85BBFF" w14:textId="77777777">
        <w:tc>
          <w:tcPr>
            <w:tcW w:w="984" w:type="dxa"/>
            <w:vAlign w:val="center"/>
          </w:tcPr>
          <w:p w14:paraId="0A53FC06"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14</w:t>
            </w:r>
          </w:p>
        </w:tc>
        <w:tc>
          <w:tcPr>
            <w:tcW w:w="5700" w:type="dxa"/>
            <w:vAlign w:val="center"/>
          </w:tcPr>
          <w:p w14:paraId="52F838E9"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Collaboration exists between the City Building Office and other relevant agencies (e.g., barangays, fire department) to enforce the building code.</w:t>
            </w:r>
          </w:p>
        </w:tc>
        <w:tc>
          <w:tcPr>
            <w:tcW w:w="991" w:type="dxa"/>
          </w:tcPr>
          <w:p w14:paraId="17AC2E78"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.778</w:t>
            </w:r>
          </w:p>
        </w:tc>
        <w:tc>
          <w:tcPr>
            <w:tcW w:w="1353" w:type="dxa"/>
            <w:vMerge/>
          </w:tcPr>
          <w:p w14:paraId="437F73AE"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608AE51F" w14:textId="77777777">
        <w:tc>
          <w:tcPr>
            <w:tcW w:w="984" w:type="dxa"/>
            <w:vAlign w:val="center"/>
          </w:tcPr>
          <w:p w14:paraId="2489DAB0"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Item12</w:t>
            </w:r>
          </w:p>
        </w:tc>
        <w:tc>
          <w:tcPr>
            <w:tcW w:w="5700" w:type="dxa"/>
            <w:vAlign w:val="center"/>
          </w:tcPr>
          <w:p w14:paraId="57975C7D"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Building inspectors are well-trained and qualified to assess building code compliance.</w:t>
            </w:r>
          </w:p>
        </w:tc>
        <w:tc>
          <w:tcPr>
            <w:tcW w:w="991" w:type="dxa"/>
          </w:tcPr>
          <w:p w14:paraId="64C41D58"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.757</w:t>
            </w:r>
          </w:p>
        </w:tc>
        <w:tc>
          <w:tcPr>
            <w:tcW w:w="1353" w:type="dxa"/>
            <w:vMerge/>
          </w:tcPr>
          <w:p w14:paraId="52A6B56C"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6E5D55D1" w14:textId="77777777">
        <w:tc>
          <w:tcPr>
            <w:tcW w:w="984" w:type="dxa"/>
            <w:vAlign w:val="center"/>
          </w:tcPr>
          <w:p w14:paraId="4B84BDE3"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w:t>
            </w:r>
          </w:p>
        </w:tc>
        <w:tc>
          <w:tcPr>
            <w:tcW w:w="5700" w:type="dxa"/>
            <w:vAlign w:val="center"/>
          </w:tcPr>
          <w:p w14:paraId="3E758F52"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Building plans are thoroughly reviewed for compliance with the building code.</w:t>
            </w:r>
          </w:p>
        </w:tc>
        <w:tc>
          <w:tcPr>
            <w:tcW w:w="991" w:type="dxa"/>
          </w:tcPr>
          <w:p w14:paraId="3F081F2C"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.750</w:t>
            </w:r>
          </w:p>
        </w:tc>
        <w:tc>
          <w:tcPr>
            <w:tcW w:w="1353" w:type="dxa"/>
            <w:vMerge/>
          </w:tcPr>
          <w:p w14:paraId="35A0A16B"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11A95941" w14:textId="77777777">
        <w:tc>
          <w:tcPr>
            <w:tcW w:w="984" w:type="dxa"/>
            <w:vAlign w:val="center"/>
          </w:tcPr>
          <w:p w14:paraId="0DB22BDD"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13</w:t>
            </w:r>
          </w:p>
        </w:tc>
        <w:tc>
          <w:tcPr>
            <w:tcW w:w="5700" w:type="dxa"/>
            <w:vAlign w:val="center"/>
          </w:tcPr>
          <w:p w14:paraId="0749775C"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City Building Office has the necessary resources (e.g., equipment, technology) for efficient building code enforcement.</w:t>
            </w:r>
          </w:p>
        </w:tc>
        <w:tc>
          <w:tcPr>
            <w:tcW w:w="991" w:type="dxa"/>
          </w:tcPr>
          <w:p w14:paraId="2874AF22"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.746</w:t>
            </w:r>
          </w:p>
        </w:tc>
        <w:tc>
          <w:tcPr>
            <w:tcW w:w="1353" w:type="dxa"/>
            <w:vMerge/>
          </w:tcPr>
          <w:p w14:paraId="1F6F735C"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2B193546" w14:textId="77777777">
        <w:tc>
          <w:tcPr>
            <w:tcW w:w="984" w:type="dxa"/>
            <w:vAlign w:val="center"/>
          </w:tcPr>
          <w:p w14:paraId="28D1DB5F"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11</w:t>
            </w:r>
          </w:p>
        </w:tc>
        <w:tc>
          <w:tcPr>
            <w:tcW w:w="5700" w:type="dxa"/>
            <w:vAlign w:val="center"/>
          </w:tcPr>
          <w:p w14:paraId="15D98D4D"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The City Building Office has sufficient personnel to effectively enforce the building code.</w:t>
            </w:r>
          </w:p>
        </w:tc>
        <w:tc>
          <w:tcPr>
            <w:tcW w:w="991" w:type="dxa"/>
          </w:tcPr>
          <w:p w14:paraId="560E88E1"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.659</w:t>
            </w:r>
          </w:p>
        </w:tc>
        <w:tc>
          <w:tcPr>
            <w:tcW w:w="1353" w:type="dxa"/>
            <w:vMerge/>
          </w:tcPr>
          <w:p w14:paraId="06A60BA4"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26F55923" w14:textId="77777777">
        <w:tc>
          <w:tcPr>
            <w:tcW w:w="984" w:type="dxa"/>
            <w:vAlign w:val="center"/>
          </w:tcPr>
          <w:p w14:paraId="011D75BB"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w:t>
            </w:r>
          </w:p>
        </w:tc>
        <w:tc>
          <w:tcPr>
            <w:tcW w:w="5700" w:type="dxa"/>
            <w:vAlign w:val="center"/>
          </w:tcPr>
          <w:p w14:paraId="623A3C5B"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Building owners are generally aware of the city's building code.</w:t>
            </w:r>
          </w:p>
        </w:tc>
        <w:tc>
          <w:tcPr>
            <w:tcW w:w="991" w:type="dxa"/>
          </w:tcPr>
          <w:p w14:paraId="6F2A5C74"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.656</w:t>
            </w:r>
          </w:p>
        </w:tc>
        <w:tc>
          <w:tcPr>
            <w:tcW w:w="1353" w:type="dxa"/>
            <w:vMerge/>
          </w:tcPr>
          <w:p w14:paraId="4729BAF0"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644946D5" w14:textId="77777777">
        <w:tc>
          <w:tcPr>
            <w:tcW w:w="984" w:type="dxa"/>
            <w:vAlign w:val="center"/>
          </w:tcPr>
          <w:p w14:paraId="2D69664A"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5</w:t>
            </w:r>
          </w:p>
        </w:tc>
        <w:tc>
          <w:tcPr>
            <w:tcW w:w="5700" w:type="dxa"/>
            <w:vAlign w:val="center"/>
          </w:tcPr>
          <w:p w14:paraId="3F85DECE"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Sanctions for non-compliance with the building code are effectively enforced.</w:t>
            </w:r>
          </w:p>
        </w:tc>
        <w:tc>
          <w:tcPr>
            <w:tcW w:w="991" w:type="dxa"/>
          </w:tcPr>
          <w:p w14:paraId="0DC147FA"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.647</w:t>
            </w:r>
          </w:p>
        </w:tc>
        <w:tc>
          <w:tcPr>
            <w:tcW w:w="1353" w:type="dxa"/>
            <w:vMerge/>
          </w:tcPr>
          <w:p w14:paraId="4AF2EBB4"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5AF6A8E5" w14:textId="77777777">
        <w:tc>
          <w:tcPr>
            <w:tcW w:w="984" w:type="dxa"/>
            <w:vAlign w:val="center"/>
          </w:tcPr>
          <w:p w14:paraId="6A2F4F8A"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17</w:t>
            </w:r>
          </w:p>
        </w:tc>
        <w:tc>
          <w:tcPr>
            <w:tcW w:w="5700" w:type="dxa"/>
            <w:vAlign w:val="center"/>
          </w:tcPr>
          <w:p w14:paraId="340B4C22"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The building code enforcement process is fair and impartial.</w:t>
            </w:r>
          </w:p>
        </w:tc>
        <w:tc>
          <w:tcPr>
            <w:tcW w:w="991" w:type="dxa"/>
          </w:tcPr>
          <w:p w14:paraId="30747684"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.624</w:t>
            </w:r>
          </w:p>
        </w:tc>
        <w:tc>
          <w:tcPr>
            <w:tcW w:w="1353" w:type="dxa"/>
            <w:vMerge/>
          </w:tcPr>
          <w:p w14:paraId="7EF36856"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1C285A3F" w14:textId="77777777">
        <w:tc>
          <w:tcPr>
            <w:tcW w:w="984" w:type="dxa"/>
            <w:vAlign w:val="center"/>
          </w:tcPr>
          <w:p w14:paraId="43BA4A8F"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16</w:t>
            </w:r>
          </w:p>
        </w:tc>
        <w:tc>
          <w:tcPr>
            <w:tcW w:w="5700" w:type="dxa"/>
            <w:vAlign w:val="center"/>
          </w:tcPr>
          <w:p w14:paraId="5CCB22F8"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The City Building Office prioritizes public safety concerns when enforcing the building code</w:t>
            </w:r>
          </w:p>
        </w:tc>
        <w:tc>
          <w:tcPr>
            <w:tcW w:w="991" w:type="dxa"/>
          </w:tcPr>
          <w:p w14:paraId="780967D2"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.621</w:t>
            </w:r>
          </w:p>
        </w:tc>
        <w:tc>
          <w:tcPr>
            <w:tcW w:w="1353" w:type="dxa"/>
            <w:vMerge/>
          </w:tcPr>
          <w:p w14:paraId="1BE0DA6D"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1A1352AD" w14:textId="77777777">
        <w:tc>
          <w:tcPr>
            <w:tcW w:w="984" w:type="dxa"/>
            <w:vAlign w:val="center"/>
          </w:tcPr>
          <w:p w14:paraId="531AE3C6"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27</w:t>
            </w:r>
          </w:p>
        </w:tc>
        <w:tc>
          <w:tcPr>
            <w:tcW w:w="5700" w:type="dxa"/>
            <w:vAlign w:val="center"/>
          </w:tcPr>
          <w:p w14:paraId="49A1084F"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Building code compliance has improved in recent years.</w:t>
            </w:r>
          </w:p>
        </w:tc>
        <w:tc>
          <w:tcPr>
            <w:tcW w:w="991" w:type="dxa"/>
          </w:tcPr>
          <w:p w14:paraId="41C88F53"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.610</w:t>
            </w:r>
          </w:p>
        </w:tc>
        <w:tc>
          <w:tcPr>
            <w:tcW w:w="1353" w:type="dxa"/>
            <w:vMerge/>
          </w:tcPr>
          <w:p w14:paraId="462F27B6"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74EF312F" w14:textId="77777777">
        <w:tc>
          <w:tcPr>
            <w:tcW w:w="984" w:type="dxa"/>
            <w:vAlign w:val="center"/>
          </w:tcPr>
          <w:p w14:paraId="72577D5A"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15</w:t>
            </w:r>
          </w:p>
        </w:tc>
        <w:tc>
          <w:tcPr>
            <w:tcW w:w="5700" w:type="dxa"/>
            <w:vAlign w:val="center"/>
          </w:tcPr>
          <w:p w14:paraId="2170E2FA"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The public actively reports violations of the building code.</w:t>
            </w:r>
          </w:p>
        </w:tc>
        <w:tc>
          <w:tcPr>
            <w:tcW w:w="991" w:type="dxa"/>
          </w:tcPr>
          <w:p w14:paraId="02C05F46"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.532</w:t>
            </w:r>
          </w:p>
        </w:tc>
        <w:tc>
          <w:tcPr>
            <w:tcW w:w="1353" w:type="dxa"/>
            <w:vMerge/>
          </w:tcPr>
          <w:p w14:paraId="2913BABA"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173ED116"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5FE7F9F4"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616CF1FC" w14:textId="77777777" w:rsidR="00DE4AFC" w:rsidRDefault="00000000">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Table 3 presents the rotated component matrix with grouped attributes of External Factors Impacting Building Code Compliance. Professionals like architects and engineers play a critical role in ensuring that buildings comply with codes during the design and construction phases (ICC 2018). However, rapid urbanization can overwhelm enforcement agencies, making it challenging to keep up with inspections and approvals. This can lead to gaps in compliance and increased risks (Cohen, B. 2006). Additionally, informal settlements often lack proper planning and resources, making it difficult to enforce building codes. These areas can pose significant safety and health risks due to non-compliance with building </w:t>
      </w:r>
      <w:r>
        <w:rPr>
          <w:rFonts w:ascii="Times New Roman" w:eastAsia="Times New Roman" w:hAnsi="Times New Roman" w:cs="Times New Roman"/>
        </w:rPr>
        <w:lastRenderedPageBreak/>
        <w:t>standards (UN-Habitat 2003). On the other hand, strengthening the role of barangays or local government units can enhance local compliance and address issues promptly (DILG 2020). Furthermore, conducting research on enforcement strategies helps to understand their effectiveness and identify areas for improvement. This is essential for tailored strategies that address specific local challenges (May, P. J. 2007). Technology, such as online permitting systems, can enhance efficiency and transparency. These technologies help in tracking applications, approvals, and inspections (Gann, D. M., &amp; Barlow, J. 1996).</w:t>
      </w:r>
    </w:p>
    <w:p w14:paraId="2B8C436A" w14:textId="77777777" w:rsidR="00DE4AFC" w:rsidRDefault="00DE4AFC">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rPr>
      </w:pPr>
    </w:p>
    <w:p w14:paraId="3F02FE71" w14:textId="77777777" w:rsidR="00DE4AFC" w:rsidRDefault="00000000">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Table 3: Rotated component matrix with grouped attributes of External Factors Impacting Building Code Compliance</w:t>
      </w:r>
    </w:p>
    <w:tbl>
      <w:tblPr>
        <w:tblStyle w:val="a7"/>
        <w:tblW w:w="921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3"/>
        <w:gridCol w:w="5794"/>
        <w:gridCol w:w="999"/>
        <w:gridCol w:w="1287"/>
      </w:tblGrid>
      <w:tr w:rsidR="00DE4AFC" w14:paraId="2A02236F" w14:textId="77777777">
        <w:tc>
          <w:tcPr>
            <w:tcW w:w="1133" w:type="dxa"/>
          </w:tcPr>
          <w:p w14:paraId="70E81315"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Item</w:t>
            </w:r>
          </w:p>
        </w:tc>
        <w:tc>
          <w:tcPr>
            <w:tcW w:w="5795" w:type="dxa"/>
            <w:vAlign w:val="bottom"/>
          </w:tcPr>
          <w:p w14:paraId="12310B43"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999" w:type="dxa"/>
            <w:vAlign w:val="bottom"/>
          </w:tcPr>
          <w:p w14:paraId="7E89BBEA"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Loading</w:t>
            </w:r>
          </w:p>
        </w:tc>
        <w:tc>
          <w:tcPr>
            <w:tcW w:w="1287" w:type="dxa"/>
          </w:tcPr>
          <w:p w14:paraId="04FAF127"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Factor</w:t>
            </w:r>
          </w:p>
        </w:tc>
      </w:tr>
      <w:tr w:rsidR="00DE4AFC" w14:paraId="77DE9BAF" w14:textId="77777777">
        <w:tc>
          <w:tcPr>
            <w:tcW w:w="1133" w:type="dxa"/>
          </w:tcPr>
          <w:p w14:paraId="2F1630FE"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26</w:t>
            </w:r>
          </w:p>
        </w:tc>
        <w:tc>
          <w:tcPr>
            <w:tcW w:w="5795" w:type="dxa"/>
            <w:vAlign w:val="center"/>
          </w:tcPr>
          <w:p w14:paraId="016247AF"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Collaboration with professional organizations (e.g., architects, and engineers) can strengthen enforcement efforts.</w:t>
            </w:r>
          </w:p>
        </w:tc>
        <w:tc>
          <w:tcPr>
            <w:tcW w:w="999" w:type="dxa"/>
          </w:tcPr>
          <w:p w14:paraId="3264BC06"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.846</w:t>
            </w:r>
          </w:p>
        </w:tc>
        <w:tc>
          <w:tcPr>
            <w:tcW w:w="1287" w:type="dxa"/>
            <w:vMerge w:val="restart"/>
          </w:tcPr>
          <w:p w14:paraId="5D8DF58A" w14:textId="77777777" w:rsidR="00DE4AFC" w:rsidRDefault="00DE4AFC">
            <w:pPr>
              <w:tabs>
                <w:tab w:val="left" w:pos="5781"/>
              </w:tabs>
              <w:jc w:val="center"/>
              <w:rPr>
                <w:rFonts w:ascii="Times New Roman" w:eastAsia="Times New Roman" w:hAnsi="Times New Roman" w:cs="Times New Roman"/>
              </w:rPr>
            </w:pPr>
          </w:p>
          <w:p w14:paraId="2A119FCA" w14:textId="77777777" w:rsidR="00DE4AFC" w:rsidRDefault="00DE4AFC">
            <w:pPr>
              <w:tabs>
                <w:tab w:val="left" w:pos="5781"/>
              </w:tabs>
              <w:jc w:val="center"/>
              <w:rPr>
                <w:rFonts w:ascii="Times New Roman" w:eastAsia="Times New Roman" w:hAnsi="Times New Roman" w:cs="Times New Roman"/>
              </w:rPr>
            </w:pPr>
          </w:p>
          <w:p w14:paraId="012BD2B7" w14:textId="77777777" w:rsidR="00DE4AFC" w:rsidRDefault="00DE4AFC">
            <w:pPr>
              <w:tabs>
                <w:tab w:val="left" w:pos="5781"/>
              </w:tabs>
              <w:jc w:val="center"/>
              <w:rPr>
                <w:rFonts w:ascii="Times New Roman" w:eastAsia="Times New Roman" w:hAnsi="Times New Roman" w:cs="Times New Roman"/>
              </w:rPr>
            </w:pPr>
          </w:p>
          <w:p w14:paraId="093F7127" w14:textId="77777777" w:rsidR="00DE4AFC" w:rsidRDefault="00DE4AFC">
            <w:pPr>
              <w:tabs>
                <w:tab w:val="left" w:pos="5781"/>
              </w:tabs>
              <w:jc w:val="center"/>
              <w:rPr>
                <w:rFonts w:ascii="Times New Roman" w:eastAsia="Times New Roman" w:hAnsi="Times New Roman" w:cs="Times New Roman"/>
              </w:rPr>
            </w:pPr>
          </w:p>
          <w:p w14:paraId="61E4A143" w14:textId="77777777" w:rsidR="00DE4AFC" w:rsidRDefault="00DE4AFC">
            <w:pPr>
              <w:tabs>
                <w:tab w:val="left" w:pos="5781"/>
              </w:tabs>
              <w:jc w:val="center"/>
              <w:rPr>
                <w:rFonts w:ascii="Times New Roman" w:eastAsia="Times New Roman" w:hAnsi="Times New Roman" w:cs="Times New Roman"/>
              </w:rPr>
            </w:pPr>
          </w:p>
          <w:p w14:paraId="1B0B603F" w14:textId="77777777" w:rsidR="00DE4AFC" w:rsidRDefault="00DE4AFC">
            <w:pPr>
              <w:tabs>
                <w:tab w:val="left" w:pos="5781"/>
              </w:tabs>
              <w:jc w:val="center"/>
              <w:rPr>
                <w:rFonts w:ascii="Times New Roman" w:eastAsia="Times New Roman" w:hAnsi="Times New Roman" w:cs="Times New Roman"/>
              </w:rPr>
            </w:pPr>
          </w:p>
          <w:p w14:paraId="1E78050A" w14:textId="77777777" w:rsidR="00DE4AFC" w:rsidRDefault="00DE4AFC">
            <w:pPr>
              <w:tabs>
                <w:tab w:val="left" w:pos="5781"/>
              </w:tabs>
              <w:jc w:val="center"/>
              <w:rPr>
                <w:rFonts w:ascii="Times New Roman" w:eastAsia="Times New Roman" w:hAnsi="Times New Roman" w:cs="Times New Roman"/>
              </w:rPr>
            </w:pPr>
          </w:p>
          <w:p w14:paraId="7D66144A" w14:textId="77777777" w:rsidR="00DE4AFC" w:rsidRDefault="00DE4AFC">
            <w:pPr>
              <w:tabs>
                <w:tab w:val="left" w:pos="5781"/>
              </w:tabs>
              <w:jc w:val="center"/>
              <w:rPr>
                <w:rFonts w:ascii="Times New Roman" w:eastAsia="Times New Roman" w:hAnsi="Times New Roman" w:cs="Times New Roman"/>
              </w:rPr>
            </w:pPr>
          </w:p>
          <w:p w14:paraId="50255BE9" w14:textId="77777777" w:rsidR="00DE4AFC" w:rsidRDefault="00DE4AFC">
            <w:pPr>
              <w:tabs>
                <w:tab w:val="left" w:pos="5781"/>
              </w:tabs>
              <w:jc w:val="center"/>
              <w:rPr>
                <w:rFonts w:ascii="Times New Roman" w:eastAsia="Times New Roman" w:hAnsi="Times New Roman" w:cs="Times New Roman"/>
              </w:rPr>
            </w:pPr>
          </w:p>
          <w:p w14:paraId="4443CB64"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External Factors Impacting Building Code Compliance</w:t>
            </w:r>
          </w:p>
        </w:tc>
      </w:tr>
      <w:tr w:rsidR="00DE4AFC" w14:paraId="383EAEE1" w14:textId="77777777">
        <w:tc>
          <w:tcPr>
            <w:tcW w:w="1133" w:type="dxa"/>
          </w:tcPr>
          <w:p w14:paraId="3207790B"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22</w:t>
            </w:r>
          </w:p>
        </w:tc>
        <w:tc>
          <w:tcPr>
            <w:tcW w:w="5795" w:type="dxa"/>
            <w:vAlign w:val="center"/>
          </w:tcPr>
          <w:p w14:paraId="63BB6732"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Informal settlements pose a significant challenge to building code compliance.</w:t>
            </w:r>
          </w:p>
        </w:tc>
        <w:tc>
          <w:tcPr>
            <w:tcW w:w="999" w:type="dxa"/>
          </w:tcPr>
          <w:p w14:paraId="2772DEF4"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.807</w:t>
            </w:r>
          </w:p>
        </w:tc>
        <w:tc>
          <w:tcPr>
            <w:tcW w:w="1287" w:type="dxa"/>
            <w:vMerge/>
          </w:tcPr>
          <w:p w14:paraId="7CDFFECB"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15201E8C" w14:textId="77777777">
        <w:tc>
          <w:tcPr>
            <w:tcW w:w="1133" w:type="dxa"/>
          </w:tcPr>
          <w:p w14:paraId="57C7AE66"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25</w:t>
            </w:r>
          </w:p>
        </w:tc>
        <w:tc>
          <w:tcPr>
            <w:tcW w:w="5795" w:type="dxa"/>
            <w:vAlign w:val="center"/>
          </w:tcPr>
          <w:p w14:paraId="227A75E5"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Utilizing technology (e.g., online permitting systems) can streamline the building code compliance process.</w:t>
            </w:r>
          </w:p>
        </w:tc>
        <w:tc>
          <w:tcPr>
            <w:tcW w:w="999" w:type="dxa"/>
          </w:tcPr>
          <w:p w14:paraId="4F0988D0"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.784</w:t>
            </w:r>
          </w:p>
        </w:tc>
        <w:tc>
          <w:tcPr>
            <w:tcW w:w="1287" w:type="dxa"/>
            <w:vMerge/>
          </w:tcPr>
          <w:p w14:paraId="3BD27D5D"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4F0A4834" w14:textId="77777777">
        <w:tc>
          <w:tcPr>
            <w:tcW w:w="1133" w:type="dxa"/>
          </w:tcPr>
          <w:p w14:paraId="0C409876"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30</w:t>
            </w:r>
          </w:p>
        </w:tc>
        <w:tc>
          <w:tcPr>
            <w:tcW w:w="5795" w:type="dxa"/>
            <w:vAlign w:val="center"/>
          </w:tcPr>
          <w:p w14:paraId="252591CE"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role of barangays in building code enforcement should be further strengthened.</w:t>
            </w:r>
          </w:p>
        </w:tc>
        <w:tc>
          <w:tcPr>
            <w:tcW w:w="999" w:type="dxa"/>
          </w:tcPr>
          <w:p w14:paraId="2D574263"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.761</w:t>
            </w:r>
          </w:p>
        </w:tc>
        <w:tc>
          <w:tcPr>
            <w:tcW w:w="1287" w:type="dxa"/>
            <w:vMerge/>
          </w:tcPr>
          <w:p w14:paraId="079A8C70"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7C24C0D0" w14:textId="77777777">
        <w:tc>
          <w:tcPr>
            <w:tcW w:w="1133" w:type="dxa"/>
          </w:tcPr>
          <w:p w14:paraId="5880D07A"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18</w:t>
            </w:r>
          </w:p>
        </w:tc>
        <w:tc>
          <w:tcPr>
            <w:tcW w:w="5795" w:type="dxa"/>
            <w:vAlign w:val="center"/>
          </w:tcPr>
          <w:p w14:paraId="60CAAD23"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 xml:space="preserve">There is a need for more research on the effectiveness of building code enforcement strategies in Davao City  </w:t>
            </w:r>
          </w:p>
        </w:tc>
        <w:tc>
          <w:tcPr>
            <w:tcW w:w="999" w:type="dxa"/>
          </w:tcPr>
          <w:p w14:paraId="5A61093B"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.751</w:t>
            </w:r>
          </w:p>
        </w:tc>
        <w:tc>
          <w:tcPr>
            <w:tcW w:w="1287" w:type="dxa"/>
            <w:vMerge/>
          </w:tcPr>
          <w:p w14:paraId="57ABFD64"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5AC843C1" w14:textId="77777777">
        <w:tc>
          <w:tcPr>
            <w:tcW w:w="1133" w:type="dxa"/>
          </w:tcPr>
          <w:p w14:paraId="2905E373"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24</w:t>
            </w:r>
          </w:p>
        </w:tc>
        <w:tc>
          <w:tcPr>
            <w:tcW w:w="5795" w:type="dxa"/>
            <w:vAlign w:val="center"/>
          </w:tcPr>
          <w:p w14:paraId="61F37E3A"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Public education campaigns can raise awareness about the building code and its importance.</w:t>
            </w:r>
          </w:p>
        </w:tc>
        <w:tc>
          <w:tcPr>
            <w:tcW w:w="999" w:type="dxa"/>
          </w:tcPr>
          <w:p w14:paraId="553E73E6"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.737</w:t>
            </w:r>
          </w:p>
        </w:tc>
        <w:tc>
          <w:tcPr>
            <w:tcW w:w="1287" w:type="dxa"/>
            <w:vMerge/>
          </w:tcPr>
          <w:p w14:paraId="57F12FEC"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461D2A9C" w14:textId="77777777">
        <w:tc>
          <w:tcPr>
            <w:tcW w:w="1133" w:type="dxa"/>
          </w:tcPr>
          <w:p w14:paraId="4FDC26D8"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28</w:t>
            </w:r>
          </w:p>
        </w:tc>
        <w:tc>
          <w:tcPr>
            <w:tcW w:w="5795" w:type="dxa"/>
            <w:vAlign w:val="center"/>
          </w:tcPr>
          <w:p w14:paraId="4BCAFD3E"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Residents feel safe living and working in buildings that comply with the building code.</w:t>
            </w:r>
          </w:p>
        </w:tc>
        <w:tc>
          <w:tcPr>
            <w:tcW w:w="999" w:type="dxa"/>
          </w:tcPr>
          <w:p w14:paraId="45620605"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.642</w:t>
            </w:r>
          </w:p>
        </w:tc>
        <w:tc>
          <w:tcPr>
            <w:tcW w:w="1287" w:type="dxa"/>
            <w:vMerge/>
          </w:tcPr>
          <w:p w14:paraId="5C8DC721"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249AC693" w14:textId="77777777">
        <w:tc>
          <w:tcPr>
            <w:tcW w:w="1133" w:type="dxa"/>
          </w:tcPr>
          <w:p w14:paraId="67F8728B"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21</w:t>
            </w:r>
          </w:p>
        </w:tc>
        <w:tc>
          <w:tcPr>
            <w:tcW w:w="5795" w:type="dxa"/>
            <w:vAlign w:val="center"/>
          </w:tcPr>
          <w:p w14:paraId="414F3076"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rapid pace of urbanization puts a strain on building code enforcement resources.</w:t>
            </w:r>
          </w:p>
        </w:tc>
        <w:tc>
          <w:tcPr>
            <w:tcW w:w="999" w:type="dxa"/>
          </w:tcPr>
          <w:p w14:paraId="16030346"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.634</w:t>
            </w:r>
          </w:p>
        </w:tc>
        <w:tc>
          <w:tcPr>
            <w:tcW w:w="1287" w:type="dxa"/>
            <w:vMerge/>
          </w:tcPr>
          <w:p w14:paraId="0CA15732"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4210AD69" w14:textId="77777777">
        <w:tc>
          <w:tcPr>
            <w:tcW w:w="1133" w:type="dxa"/>
          </w:tcPr>
          <w:p w14:paraId="60C0ABB9"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8</w:t>
            </w:r>
          </w:p>
        </w:tc>
        <w:tc>
          <w:tcPr>
            <w:tcW w:w="5795" w:type="dxa"/>
            <w:vAlign w:val="center"/>
          </w:tcPr>
          <w:p w14:paraId="5A88CC7F"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A lack of awareness about the building code exists among some property owners.</w:t>
            </w:r>
          </w:p>
        </w:tc>
        <w:tc>
          <w:tcPr>
            <w:tcW w:w="999" w:type="dxa"/>
          </w:tcPr>
          <w:p w14:paraId="4D19FA61"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.585</w:t>
            </w:r>
          </w:p>
        </w:tc>
        <w:tc>
          <w:tcPr>
            <w:tcW w:w="1287" w:type="dxa"/>
            <w:vMerge/>
          </w:tcPr>
          <w:p w14:paraId="78A737B2"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2D2573D9" w14:textId="77777777">
        <w:tc>
          <w:tcPr>
            <w:tcW w:w="1133" w:type="dxa"/>
          </w:tcPr>
          <w:p w14:paraId="14D977D4"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10</w:t>
            </w:r>
          </w:p>
        </w:tc>
        <w:tc>
          <w:tcPr>
            <w:tcW w:w="5795" w:type="dxa"/>
            <w:vAlign w:val="center"/>
          </w:tcPr>
          <w:p w14:paraId="75D6BBF5"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Corruption weakens the enforcement of the building code.</w:t>
            </w:r>
          </w:p>
        </w:tc>
        <w:tc>
          <w:tcPr>
            <w:tcW w:w="999" w:type="dxa"/>
          </w:tcPr>
          <w:p w14:paraId="49F58BD5"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.550</w:t>
            </w:r>
          </w:p>
        </w:tc>
        <w:tc>
          <w:tcPr>
            <w:tcW w:w="1287" w:type="dxa"/>
            <w:vMerge/>
          </w:tcPr>
          <w:p w14:paraId="6C023E85"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10DA054E"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170A4107" w14:textId="77777777" w:rsidR="00DE4AFC" w:rsidRDefault="00000000">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Table 4 highlights compliance burden and accessibility issues, including high costs, complex requirements, time-consuming processes, instances of non-compliance in permit issuance, and cumbersome appeal procedures. The high loading value of item 7, with a score of 0.895, indicates that the financial burden of adhering to building codes is a major concern for property owners. This financial burden is significant because compliance often requires substantial investment in materials, labor, and permits, which can be prohibitive (Freeman, 2014). Moreover, stringent and complex requirements can make it challenging for property owners to meet building code standards, a difficulty that is reflected in the strong loading value, indicating that the complexity of the codes is a significant barrier (Harris, 2006). Additionally, the cost and time required to comply with building codes are substantial, making the process burdensome. This attribute underscores the need for streamlining and simplifying compliance procedures to alleviate the burden on property owners (Gann &amp; Barlow, 1996). Furthermore, a cumbersome appeal process adds to the burden on property owners, making it difficult to resolve disputes or correct violations efficiently. This attribute suggests the need for reforms to make the appeals process more accessible and efficient (May, 2007). Therefore, addressing these issues </w:t>
      </w:r>
      <w:r>
        <w:rPr>
          <w:rFonts w:ascii="Times New Roman" w:eastAsia="Times New Roman" w:hAnsi="Times New Roman" w:cs="Times New Roman"/>
        </w:rPr>
        <w:lastRenderedPageBreak/>
        <w:t>through policy reforms and streamlined processes can alleviate the burden on property owners and enhance overall compliance with building codes.</w:t>
      </w:r>
    </w:p>
    <w:p w14:paraId="7F6D6C27" w14:textId="77777777" w:rsidR="00DE4AFC" w:rsidRDefault="00DE4AFC">
      <w:pPr>
        <w:pBdr>
          <w:top w:val="nil"/>
          <w:left w:val="nil"/>
          <w:bottom w:val="nil"/>
          <w:right w:val="nil"/>
          <w:between w:val="nil"/>
        </w:pBdr>
        <w:tabs>
          <w:tab w:val="left" w:pos="5781"/>
        </w:tabs>
        <w:spacing w:after="0" w:line="240" w:lineRule="auto"/>
        <w:jc w:val="both"/>
        <w:rPr>
          <w:rFonts w:ascii="Times New Roman" w:eastAsia="Times New Roman" w:hAnsi="Times New Roman" w:cs="Times New Roman"/>
        </w:rPr>
      </w:pPr>
    </w:p>
    <w:p w14:paraId="23DB005E" w14:textId="77777777" w:rsidR="00DE4AFC" w:rsidRDefault="00000000">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i/>
        </w:rPr>
        <w:t>Table 4: Rotated component matrix with grouped attributes of Compliance Burden and Accessibility</w:t>
      </w:r>
    </w:p>
    <w:tbl>
      <w:tblPr>
        <w:tblStyle w:val="a8"/>
        <w:tblW w:w="921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3"/>
        <w:gridCol w:w="5707"/>
        <w:gridCol w:w="999"/>
        <w:gridCol w:w="1385"/>
      </w:tblGrid>
      <w:tr w:rsidR="00DE4AFC" w14:paraId="670DCCEF" w14:textId="77777777">
        <w:tc>
          <w:tcPr>
            <w:tcW w:w="1123" w:type="dxa"/>
          </w:tcPr>
          <w:p w14:paraId="23A9D4B7"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Item</w:t>
            </w:r>
          </w:p>
        </w:tc>
        <w:tc>
          <w:tcPr>
            <w:tcW w:w="5707" w:type="dxa"/>
            <w:vAlign w:val="bottom"/>
          </w:tcPr>
          <w:p w14:paraId="45523DA8"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Attributes</w:t>
            </w:r>
          </w:p>
        </w:tc>
        <w:tc>
          <w:tcPr>
            <w:tcW w:w="999" w:type="dxa"/>
            <w:vAlign w:val="bottom"/>
          </w:tcPr>
          <w:p w14:paraId="7F143350"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Loading</w:t>
            </w:r>
          </w:p>
        </w:tc>
        <w:tc>
          <w:tcPr>
            <w:tcW w:w="1385" w:type="dxa"/>
          </w:tcPr>
          <w:p w14:paraId="450189BC"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b/>
              </w:rPr>
              <w:t>Factor</w:t>
            </w:r>
          </w:p>
        </w:tc>
      </w:tr>
      <w:tr w:rsidR="00DE4AFC" w14:paraId="24AEFE2A" w14:textId="77777777">
        <w:tc>
          <w:tcPr>
            <w:tcW w:w="1123" w:type="dxa"/>
          </w:tcPr>
          <w:p w14:paraId="177BCC49"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7</w:t>
            </w:r>
          </w:p>
        </w:tc>
        <w:tc>
          <w:tcPr>
            <w:tcW w:w="5707" w:type="dxa"/>
            <w:vAlign w:val="center"/>
          </w:tcPr>
          <w:p w14:paraId="0358CFBC"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cost of complying with the building code is a significant burden for property owners.</w:t>
            </w:r>
          </w:p>
        </w:tc>
        <w:tc>
          <w:tcPr>
            <w:tcW w:w="999" w:type="dxa"/>
          </w:tcPr>
          <w:p w14:paraId="01261027"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.895</w:t>
            </w:r>
          </w:p>
        </w:tc>
        <w:tc>
          <w:tcPr>
            <w:tcW w:w="1385" w:type="dxa"/>
            <w:vMerge w:val="restart"/>
          </w:tcPr>
          <w:p w14:paraId="06AF0D60" w14:textId="77777777" w:rsidR="00DD3F63" w:rsidRDefault="00DD3F63">
            <w:pPr>
              <w:tabs>
                <w:tab w:val="left" w:pos="5781"/>
              </w:tabs>
              <w:jc w:val="center"/>
              <w:rPr>
                <w:rFonts w:ascii="Times New Roman" w:eastAsia="Times New Roman" w:hAnsi="Times New Roman" w:cs="Times New Roman"/>
              </w:rPr>
            </w:pPr>
          </w:p>
          <w:p w14:paraId="27090F56" w14:textId="77777777" w:rsidR="00DD3F63" w:rsidRDefault="00DD3F63">
            <w:pPr>
              <w:tabs>
                <w:tab w:val="left" w:pos="5781"/>
              </w:tabs>
              <w:jc w:val="center"/>
              <w:rPr>
                <w:rFonts w:ascii="Times New Roman" w:eastAsia="Times New Roman" w:hAnsi="Times New Roman" w:cs="Times New Roman"/>
              </w:rPr>
            </w:pPr>
          </w:p>
          <w:p w14:paraId="4A4BC275" w14:textId="77777777" w:rsidR="00DD3F63" w:rsidRDefault="00DD3F63">
            <w:pPr>
              <w:tabs>
                <w:tab w:val="left" w:pos="5781"/>
              </w:tabs>
              <w:jc w:val="center"/>
              <w:rPr>
                <w:rFonts w:ascii="Times New Roman" w:eastAsia="Times New Roman" w:hAnsi="Times New Roman" w:cs="Times New Roman"/>
              </w:rPr>
            </w:pPr>
          </w:p>
          <w:p w14:paraId="7C89C96D" w14:textId="77777777" w:rsidR="00DD3F63" w:rsidRDefault="00DD3F63">
            <w:pPr>
              <w:tabs>
                <w:tab w:val="left" w:pos="5781"/>
              </w:tabs>
              <w:jc w:val="center"/>
              <w:rPr>
                <w:rFonts w:ascii="Times New Roman" w:eastAsia="Times New Roman" w:hAnsi="Times New Roman" w:cs="Times New Roman"/>
              </w:rPr>
            </w:pPr>
          </w:p>
          <w:p w14:paraId="2C466C21" w14:textId="576FF152"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Compliance Burden and Accessibility</w:t>
            </w:r>
          </w:p>
        </w:tc>
      </w:tr>
      <w:tr w:rsidR="00DE4AFC" w14:paraId="4A041B89" w14:textId="77777777">
        <w:tc>
          <w:tcPr>
            <w:tcW w:w="1123" w:type="dxa"/>
          </w:tcPr>
          <w:p w14:paraId="68595DDF"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6</w:t>
            </w:r>
          </w:p>
        </w:tc>
        <w:tc>
          <w:tcPr>
            <w:tcW w:w="5707" w:type="dxa"/>
            <w:vAlign w:val="center"/>
          </w:tcPr>
          <w:p w14:paraId="47731694"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requirements of the building code make compliance difficult for property owners.</w:t>
            </w:r>
          </w:p>
        </w:tc>
        <w:tc>
          <w:tcPr>
            <w:tcW w:w="999" w:type="dxa"/>
          </w:tcPr>
          <w:p w14:paraId="253616C4"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.826</w:t>
            </w:r>
          </w:p>
        </w:tc>
        <w:tc>
          <w:tcPr>
            <w:tcW w:w="1385" w:type="dxa"/>
            <w:vMerge/>
          </w:tcPr>
          <w:p w14:paraId="27141F5E"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589F2783" w14:textId="77777777">
        <w:tc>
          <w:tcPr>
            <w:tcW w:w="1123" w:type="dxa"/>
          </w:tcPr>
          <w:p w14:paraId="1AA12E10"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29</w:t>
            </w:r>
          </w:p>
        </w:tc>
        <w:tc>
          <w:tcPr>
            <w:tcW w:w="5707" w:type="dxa"/>
            <w:vAlign w:val="center"/>
          </w:tcPr>
          <w:p w14:paraId="3470E6BE"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building code compliance process is too expensive and time-consuming for property owners.</w:t>
            </w:r>
          </w:p>
        </w:tc>
        <w:tc>
          <w:tcPr>
            <w:tcW w:w="999" w:type="dxa"/>
          </w:tcPr>
          <w:p w14:paraId="6A50D313" w14:textId="77777777" w:rsidR="00DE4AFC" w:rsidRDefault="00000000">
            <w:pPr>
              <w:tabs>
                <w:tab w:val="left" w:pos="5781"/>
              </w:tabs>
              <w:jc w:val="center"/>
              <w:rPr>
                <w:rFonts w:ascii="Times New Roman" w:eastAsia="Times New Roman" w:hAnsi="Times New Roman" w:cs="Times New Roman"/>
                <w:b/>
              </w:rPr>
            </w:pPr>
            <w:r>
              <w:rPr>
                <w:rFonts w:ascii="Times New Roman" w:eastAsia="Times New Roman" w:hAnsi="Times New Roman" w:cs="Times New Roman"/>
              </w:rPr>
              <w:t>.798</w:t>
            </w:r>
          </w:p>
        </w:tc>
        <w:tc>
          <w:tcPr>
            <w:tcW w:w="1385" w:type="dxa"/>
            <w:vMerge/>
          </w:tcPr>
          <w:p w14:paraId="39BE67C1"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DE4AFC" w14:paraId="567BD272" w14:textId="77777777">
        <w:tc>
          <w:tcPr>
            <w:tcW w:w="1123" w:type="dxa"/>
          </w:tcPr>
          <w:p w14:paraId="6CBBA29B"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9</w:t>
            </w:r>
          </w:p>
        </w:tc>
        <w:tc>
          <w:tcPr>
            <w:tcW w:w="5707" w:type="dxa"/>
            <w:vAlign w:val="center"/>
          </w:tcPr>
          <w:p w14:paraId="755A023A"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There are instances where building permits are issued despite non-compliance with the building code.</w:t>
            </w:r>
          </w:p>
        </w:tc>
        <w:tc>
          <w:tcPr>
            <w:tcW w:w="999" w:type="dxa"/>
          </w:tcPr>
          <w:p w14:paraId="191456E5"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.677</w:t>
            </w:r>
          </w:p>
        </w:tc>
        <w:tc>
          <w:tcPr>
            <w:tcW w:w="1385" w:type="dxa"/>
            <w:vMerge/>
          </w:tcPr>
          <w:p w14:paraId="3C56515B"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r w:rsidR="00DE4AFC" w14:paraId="49249938" w14:textId="77777777">
        <w:tc>
          <w:tcPr>
            <w:tcW w:w="1123" w:type="dxa"/>
          </w:tcPr>
          <w:p w14:paraId="674536B4" w14:textId="77777777" w:rsidR="00DE4AFC" w:rsidRDefault="00000000">
            <w:pPr>
              <w:tabs>
                <w:tab w:val="left" w:pos="5781"/>
              </w:tabs>
              <w:rPr>
                <w:rFonts w:ascii="Times New Roman" w:eastAsia="Times New Roman" w:hAnsi="Times New Roman" w:cs="Times New Roman"/>
              </w:rPr>
            </w:pPr>
            <w:r>
              <w:rPr>
                <w:rFonts w:ascii="Times New Roman" w:eastAsia="Times New Roman" w:hAnsi="Times New Roman" w:cs="Times New Roman"/>
              </w:rPr>
              <w:t>Item 20</w:t>
            </w:r>
          </w:p>
        </w:tc>
        <w:tc>
          <w:tcPr>
            <w:tcW w:w="5707" w:type="dxa"/>
            <w:vAlign w:val="center"/>
          </w:tcPr>
          <w:p w14:paraId="655088AE" w14:textId="77777777" w:rsidR="00DE4AFC" w:rsidRDefault="00000000">
            <w:pPr>
              <w:tabs>
                <w:tab w:val="left" w:pos="5781"/>
              </w:tabs>
              <w:rPr>
                <w:rFonts w:ascii="Times New Roman" w:eastAsia="Times New Roman" w:hAnsi="Times New Roman" w:cs="Times New Roman"/>
                <w:b/>
              </w:rPr>
            </w:pPr>
            <w:r>
              <w:rPr>
                <w:rFonts w:ascii="Times New Roman" w:eastAsia="Times New Roman" w:hAnsi="Times New Roman" w:cs="Times New Roman"/>
              </w:rPr>
              <w:t>The process for appealing building code violations is lengthy and cumbersome.</w:t>
            </w:r>
          </w:p>
        </w:tc>
        <w:tc>
          <w:tcPr>
            <w:tcW w:w="999" w:type="dxa"/>
          </w:tcPr>
          <w:p w14:paraId="5D986DA0" w14:textId="77777777" w:rsidR="00DE4AFC" w:rsidRDefault="00000000">
            <w:pPr>
              <w:tabs>
                <w:tab w:val="left" w:pos="5781"/>
              </w:tabs>
              <w:jc w:val="center"/>
              <w:rPr>
                <w:rFonts w:ascii="Times New Roman" w:eastAsia="Times New Roman" w:hAnsi="Times New Roman" w:cs="Times New Roman"/>
              </w:rPr>
            </w:pPr>
            <w:r>
              <w:rPr>
                <w:rFonts w:ascii="Times New Roman" w:eastAsia="Times New Roman" w:hAnsi="Times New Roman" w:cs="Times New Roman"/>
              </w:rPr>
              <w:t>.641</w:t>
            </w:r>
          </w:p>
        </w:tc>
        <w:tc>
          <w:tcPr>
            <w:tcW w:w="1385" w:type="dxa"/>
            <w:vMerge/>
          </w:tcPr>
          <w:p w14:paraId="3BB27AFA" w14:textId="77777777" w:rsidR="00DE4AFC" w:rsidRDefault="00DE4AFC">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1C16CF5D"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321DEA58" w14:textId="77777777" w:rsidR="00DE4AFC" w:rsidRDefault="00DE4AFC">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p>
    <w:p w14:paraId="40B3F75A" w14:textId="77777777" w:rsidR="00DE4AFC" w:rsidRDefault="00000000">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STUDY FRAMEWORK</w:t>
      </w:r>
    </w:p>
    <w:p w14:paraId="5325192D" w14:textId="77777777" w:rsidR="00DE4AFC" w:rsidRDefault="00000000">
      <w:pPr>
        <w:pBdr>
          <w:top w:val="nil"/>
          <w:left w:val="nil"/>
          <w:bottom w:val="nil"/>
          <w:right w:val="nil"/>
          <w:between w:val="nil"/>
        </w:pBdr>
        <w:tabs>
          <w:tab w:val="left" w:pos="5781"/>
        </w:tabs>
        <w:spacing w:after="0" w:line="240" w:lineRule="auto"/>
        <w:jc w:val="center"/>
        <w:rPr>
          <w:rFonts w:ascii="Times New Roman" w:eastAsia="Times New Roman" w:hAnsi="Times New Roman" w:cs="Times New Roman"/>
        </w:rPr>
      </w:pPr>
      <w:r>
        <w:rPr>
          <w:rFonts w:ascii="Times New Roman" w:eastAsia="Times New Roman" w:hAnsi="Times New Roman" w:cs="Times New Roman"/>
        </w:rPr>
        <w:t>Presented in Figure 2 is the framework developed based on the findings. The researchers found that the factors of the assessment of building code compliance and enforcement in Davao City: challenges and opportunities are (1) Building Code Compliance and Enforcement Integrity, (2) External Factors Impacting Building Code Compliance, and (3) Compliance Burden and Accessibility.</w:t>
      </w:r>
    </w:p>
    <w:p w14:paraId="5143B940" w14:textId="77777777" w:rsidR="00DE4AFC" w:rsidRDefault="00000000">
      <w:pPr>
        <w:tabs>
          <w:tab w:val="left" w:pos="5781"/>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79DC0CDF" wp14:editId="487599C6">
            <wp:extent cx="5732145" cy="2745740"/>
            <wp:effectExtent l="0" t="0" r="0" b="0"/>
            <wp:docPr id="10554157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32145" cy="2745740"/>
                    </a:xfrm>
                    <a:prstGeom prst="rect">
                      <a:avLst/>
                    </a:prstGeom>
                    <a:ln/>
                  </pic:spPr>
                </pic:pic>
              </a:graphicData>
            </a:graphic>
          </wp:inline>
        </w:drawing>
      </w:r>
    </w:p>
    <w:p w14:paraId="2E26A74A" w14:textId="77777777" w:rsidR="00DE4AFC" w:rsidRDefault="00000000">
      <w:pPr>
        <w:spacing w:after="0" w:line="240" w:lineRule="auto"/>
        <w:ind w:firstLine="720"/>
        <w:jc w:val="center"/>
        <w:rPr>
          <w:rFonts w:ascii="Times New Roman" w:eastAsia="Times New Roman" w:hAnsi="Times New Roman" w:cs="Times New Roman"/>
        </w:rPr>
      </w:pPr>
      <w:r>
        <w:rPr>
          <w:rFonts w:ascii="Times New Roman" w:eastAsia="Times New Roman" w:hAnsi="Times New Roman" w:cs="Times New Roman"/>
          <w:b/>
          <w:i/>
        </w:rPr>
        <w:t xml:space="preserve">Figure 2. Assessment of Building Code Compliance and Enforcement </w:t>
      </w:r>
    </w:p>
    <w:p w14:paraId="1BEC8FF6" w14:textId="77777777" w:rsidR="00DE4AFC" w:rsidRDefault="00DE4AFC">
      <w:pPr>
        <w:tabs>
          <w:tab w:val="left" w:pos="5781"/>
        </w:tabs>
        <w:spacing w:after="0" w:line="240" w:lineRule="auto"/>
        <w:jc w:val="center"/>
        <w:rPr>
          <w:rFonts w:ascii="Times New Roman" w:eastAsia="Times New Roman" w:hAnsi="Times New Roman" w:cs="Times New Roman"/>
        </w:rPr>
      </w:pPr>
    </w:p>
    <w:p w14:paraId="5D5B8E2E" w14:textId="77777777" w:rsidR="00DE4AFC" w:rsidRDefault="00DE4AFC">
      <w:pPr>
        <w:tabs>
          <w:tab w:val="left" w:pos="5781"/>
        </w:tabs>
        <w:spacing w:after="0" w:line="240" w:lineRule="auto"/>
        <w:rPr>
          <w:rFonts w:ascii="Times New Roman" w:eastAsia="Times New Roman" w:hAnsi="Times New Roman" w:cs="Times New Roman"/>
          <w:b/>
        </w:rPr>
      </w:pPr>
    </w:p>
    <w:p w14:paraId="1C6A754C" w14:textId="77777777" w:rsidR="00DE4AFC" w:rsidRDefault="00000000">
      <w:pPr>
        <w:tabs>
          <w:tab w:val="left" w:pos="5781"/>
        </w:tabs>
        <w:spacing w:after="0" w:line="240" w:lineRule="auto"/>
        <w:rPr>
          <w:rFonts w:ascii="Times New Roman" w:eastAsia="Times New Roman" w:hAnsi="Times New Roman" w:cs="Times New Roman"/>
          <w:b/>
        </w:rPr>
      </w:pPr>
      <w:r>
        <w:rPr>
          <w:rFonts w:ascii="Times New Roman" w:eastAsia="Times New Roman" w:hAnsi="Times New Roman" w:cs="Times New Roman"/>
          <w:b/>
        </w:rPr>
        <w:t>CONCLUSION</w:t>
      </w:r>
    </w:p>
    <w:p w14:paraId="3B229E61" w14:textId="77777777" w:rsidR="00DE4AFC" w:rsidRDefault="00DE4AFC">
      <w:pPr>
        <w:tabs>
          <w:tab w:val="left" w:pos="5781"/>
        </w:tabs>
        <w:spacing w:after="0" w:line="240" w:lineRule="auto"/>
        <w:rPr>
          <w:rFonts w:ascii="Times New Roman" w:eastAsia="Times New Roman" w:hAnsi="Times New Roman" w:cs="Times New Roman"/>
        </w:rPr>
      </w:pPr>
    </w:p>
    <w:p w14:paraId="3A22CACD" w14:textId="77777777" w:rsidR="00DE4AFC" w:rsidRDefault="00000000">
      <w:pPr>
        <w:tabs>
          <w:tab w:val="left" w:pos="5781"/>
        </w:tabs>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study highlights the multi-faceted nature of building code compliance, emphasizing the importance of enforcement integrity, external influences, and the compliance burden on property owners. Key findings indicate that regular inspections, quality construction materials, and professional collaboration are crucial for effective enforcement. External factors such as informal settlements, rapid urbanization, and corruption pose significant challenges that require tailored strategies. The high costs and complexity </w:t>
      </w:r>
      <w:r>
        <w:rPr>
          <w:rFonts w:ascii="Times New Roman" w:eastAsia="Times New Roman" w:hAnsi="Times New Roman" w:cs="Times New Roman"/>
        </w:rPr>
        <w:lastRenderedPageBreak/>
        <w:t>of compliance processes underscore the need for procedural efficiency and reduced financial burdens. Overall, a comprehensive approach that addresses these internal and external factors can significantly enhance building code compliance, ensuring safer and more sustainable urban development.</w:t>
      </w:r>
    </w:p>
    <w:p w14:paraId="63CAF2F6" w14:textId="77777777" w:rsidR="00DE4AFC" w:rsidRDefault="00DE4AFC">
      <w:pPr>
        <w:tabs>
          <w:tab w:val="left" w:pos="5781"/>
        </w:tabs>
        <w:spacing w:after="0" w:line="240" w:lineRule="auto"/>
        <w:jc w:val="both"/>
        <w:rPr>
          <w:rFonts w:ascii="Times New Roman" w:eastAsia="Times New Roman" w:hAnsi="Times New Roman" w:cs="Times New Roman"/>
          <w:color w:val="FF0000"/>
        </w:rPr>
      </w:pPr>
    </w:p>
    <w:p w14:paraId="7BD7B50F" w14:textId="77777777" w:rsidR="00DE4AFC" w:rsidRDefault="00000000">
      <w:pPr>
        <w:tabs>
          <w:tab w:val="left" w:pos="5781"/>
        </w:tabs>
        <w:spacing w:after="0" w:line="240" w:lineRule="auto"/>
        <w:rPr>
          <w:rFonts w:ascii="Times New Roman" w:eastAsia="Times New Roman" w:hAnsi="Times New Roman" w:cs="Times New Roman"/>
          <w:b/>
        </w:rPr>
      </w:pPr>
      <w:r>
        <w:rPr>
          <w:rFonts w:ascii="Times New Roman" w:eastAsia="Times New Roman" w:hAnsi="Times New Roman" w:cs="Times New Roman"/>
          <w:b/>
        </w:rPr>
        <w:t>REFERENCES</w:t>
      </w:r>
    </w:p>
    <w:p w14:paraId="1D49FDA8" w14:textId="77777777" w:rsidR="00DE4AFC" w:rsidRDefault="00DE4AFC">
      <w:pPr>
        <w:tabs>
          <w:tab w:val="left" w:pos="5781"/>
        </w:tabs>
        <w:spacing w:after="0" w:line="240" w:lineRule="auto"/>
        <w:jc w:val="center"/>
        <w:rPr>
          <w:rFonts w:ascii="Times New Roman" w:eastAsia="Times New Roman" w:hAnsi="Times New Roman" w:cs="Times New Roman"/>
          <w:b/>
        </w:rPr>
      </w:pPr>
    </w:p>
    <w:p w14:paraId="3A94DD97"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American Planning Association (APA) 2019, </w:t>
      </w:r>
      <w:hyperlink r:id="rId9">
        <w:r>
          <w:rPr>
            <w:rFonts w:ascii="Times New Roman" w:eastAsia="Times New Roman" w:hAnsi="Times New Roman" w:cs="Times New Roman"/>
            <w:color w:val="1155CC"/>
            <w:u w:val="single"/>
          </w:rPr>
          <w:t>https://www.apawood.org/wall-bracing</w:t>
        </w:r>
      </w:hyperlink>
      <w:r>
        <w:rPr>
          <w:rFonts w:ascii="Times New Roman" w:eastAsia="Times New Roman" w:hAnsi="Times New Roman" w:cs="Times New Roman"/>
        </w:rPr>
        <w:t xml:space="preserve"> </w:t>
      </w:r>
    </w:p>
    <w:p w14:paraId="7C05AF3C" w14:textId="77777777" w:rsidR="00DE4AFC" w:rsidRDefault="00DE4AFC">
      <w:pPr>
        <w:spacing w:after="0" w:line="240" w:lineRule="auto"/>
        <w:ind w:right="-63"/>
        <w:rPr>
          <w:rFonts w:ascii="Times New Roman" w:eastAsia="Times New Roman" w:hAnsi="Times New Roman" w:cs="Times New Roman"/>
        </w:rPr>
      </w:pPr>
    </w:p>
    <w:p w14:paraId="012098A5"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American Society for Testing and Materials (ASTM) (2020), </w:t>
      </w:r>
      <w:hyperlink r:id="rId10">
        <w:r>
          <w:rPr>
            <w:rFonts w:ascii="Times New Roman" w:eastAsia="Times New Roman" w:hAnsi="Times New Roman" w:cs="Times New Roman"/>
            <w:color w:val="1155CC"/>
            <w:u w:val="single"/>
          </w:rPr>
          <w:t>https://www.astm.org/products-services/standards-and-publications/standards/building-standards.html</w:t>
        </w:r>
      </w:hyperlink>
      <w:r>
        <w:rPr>
          <w:rFonts w:ascii="Times New Roman" w:eastAsia="Times New Roman" w:hAnsi="Times New Roman" w:cs="Times New Roman"/>
        </w:rPr>
        <w:t xml:space="preserve"> </w:t>
      </w:r>
    </w:p>
    <w:p w14:paraId="5A8CB18E" w14:textId="77777777" w:rsidR="00DE4AFC" w:rsidRDefault="00DE4AFC">
      <w:pPr>
        <w:spacing w:after="0" w:line="240" w:lineRule="auto"/>
        <w:ind w:right="-63"/>
        <w:rPr>
          <w:rFonts w:ascii="Times New Roman" w:eastAsia="Times New Roman" w:hAnsi="Times New Roman" w:cs="Times New Roman"/>
        </w:rPr>
      </w:pPr>
    </w:p>
    <w:p w14:paraId="62847697" w14:textId="77777777" w:rsidR="00DE4AFC"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American Institute of Architects. (2019). Professional Collaboration in Building Code Enforcement, </w:t>
      </w:r>
      <w:hyperlink r:id="rId11">
        <w:r>
          <w:rPr>
            <w:rFonts w:ascii="Times New Roman" w:eastAsia="Times New Roman" w:hAnsi="Times New Roman" w:cs="Times New Roman"/>
            <w:color w:val="1155CC"/>
            <w:u w:val="single"/>
          </w:rPr>
          <w:t>https://content.aia.org/sites/default/files/2019-06/ADV19_Disruption_Evolution_Change.pdf</w:t>
        </w:r>
      </w:hyperlink>
      <w:r>
        <w:rPr>
          <w:rFonts w:ascii="Times New Roman" w:eastAsia="Times New Roman" w:hAnsi="Times New Roman" w:cs="Times New Roman"/>
        </w:rPr>
        <w:t xml:space="preserve"> </w:t>
      </w:r>
    </w:p>
    <w:p w14:paraId="0EC67AA4" w14:textId="77777777" w:rsidR="00DE4AFC" w:rsidRDefault="00000000">
      <w:pPr>
        <w:spacing w:after="0" w:line="240" w:lineRule="auto"/>
        <w:ind w:right="-63"/>
        <w:rPr>
          <w:rFonts w:ascii="Times New Roman" w:eastAsia="Times New Roman" w:hAnsi="Times New Roman" w:cs="Times New Roman"/>
          <w:color w:val="0000FF"/>
          <w:u w:val="single"/>
        </w:rPr>
      </w:pPr>
      <w:r>
        <w:rPr>
          <w:rFonts w:ascii="Times New Roman" w:eastAsia="Times New Roman" w:hAnsi="Times New Roman" w:cs="Times New Roman"/>
        </w:rPr>
        <w:t xml:space="preserve">Auerswald, M., &amp; Moshagen, M. (2019). How to determine the number of factors to retain in exploratory factor analysis: A comparison of extraction methods under realistic conditions. Psychological Methods, 24(4), 468–491, </w:t>
      </w:r>
      <w:hyperlink r:id="rId12">
        <w:r>
          <w:rPr>
            <w:rFonts w:ascii="Times New Roman" w:eastAsia="Times New Roman" w:hAnsi="Times New Roman" w:cs="Times New Roman"/>
            <w:color w:val="0000FF"/>
            <w:u w:val="single"/>
          </w:rPr>
          <w:t>https://doi.org/10.1037/met0000200</w:t>
        </w:r>
      </w:hyperlink>
    </w:p>
    <w:p w14:paraId="6F5B9BC0" w14:textId="77777777" w:rsidR="00DE4AFC" w:rsidRDefault="00DE4AFC">
      <w:pPr>
        <w:tabs>
          <w:tab w:val="left" w:pos="5781"/>
        </w:tabs>
        <w:spacing w:after="0" w:line="240" w:lineRule="auto"/>
        <w:rPr>
          <w:rFonts w:ascii="Times New Roman" w:eastAsia="Times New Roman" w:hAnsi="Times New Roman" w:cs="Times New Roman"/>
        </w:rPr>
      </w:pPr>
    </w:p>
    <w:p w14:paraId="2872FB1B"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Cohen, B. (2006). Urbanization in developing countries: Current trends, future projections, and key challenges for sustainability. Technology in Society, 28(1-2), 63-80.  </w:t>
      </w:r>
      <w:hyperlink r:id="rId13">
        <w:r>
          <w:rPr>
            <w:rFonts w:ascii="Times New Roman" w:eastAsia="Times New Roman" w:hAnsi="Times New Roman" w:cs="Times New Roman"/>
            <w:color w:val="1155CC"/>
            <w:u w:val="single"/>
          </w:rPr>
          <w:t>https://sswm.info/sites/default/files/reference_attachments/COHEN%202006%20Urbanization%20in%20Developing%20Countries.pdf</w:t>
        </w:r>
      </w:hyperlink>
      <w:r>
        <w:rPr>
          <w:rFonts w:ascii="Times New Roman" w:eastAsia="Times New Roman" w:hAnsi="Times New Roman" w:cs="Times New Roman"/>
        </w:rPr>
        <w:t xml:space="preserve"> </w:t>
      </w:r>
    </w:p>
    <w:p w14:paraId="5E17F314" w14:textId="77777777" w:rsidR="00DE4AFC" w:rsidRDefault="00DE4AFC">
      <w:pPr>
        <w:tabs>
          <w:tab w:val="left" w:pos="5781"/>
        </w:tabs>
        <w:spacing w:after="0" w:line="240" w:lineRule="auto"/>
        <w:rPr>
          <w:rFonts w:ascii="Times New Roman" w:eastAsia="Times New Roman" w:hAnsi="Times New Roman" w:cs="Times New Roman"/>
        </w:rPr>
      </w:pPr>
    </w:p>
    <w:p w14:paraId="57D52FEA"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Department of the Interior and Local Government (DILG). (2020). Barangay Governance Performance Management System (BGPMS), </w:t>
      </w:r>
      <w:hyperlink r:id="rId14">
        <w:r>
          <w:rPr>
            <w:rFonts w:ascii="Times New Roman" w:eastAsia="Times New Roman" w:hAnsi="Times New Roman" w:cs="Times New Roman"/>
            <w:color w:val="1155CC"/>
            <w:u w:val="single"/>
          </w:rPr>
          <w:t>https://www.region12.dilg.gov.ph/programs-projects/barangay-governance-performance-management-system-bgpms</w:t>
        </w:r>
      </w:hyperlink>
      <w:r>
        <w:rPr>
          <w:rFonts w:ascii="Times New Roman" w:eastAsia="Times New Roman" w:hAnsi="Times New Roman" w:cs="Times New Roman"/>
        </w:rPr>
        <w:t xml:space="preserve">  </w:t>
      </w:r>
    </w:p>
    <w:p w14:paraId="289C0232" w14:textId="77777777" w:rsidR="00DE4AFC" w:rsidRDefault="00DE4AFC">
      <w:pPr>
        <w:spacing w:after="0" w:line="240" w:lineRule="auto"/>
        <w:ind w:right="-63"/>
        <w:rPr>
          <w:rFonts w:ascii="Times New Roman" w:eastAsia="Times New Roman" w:hAnsi="Times New Roman" w:cs="Times New Roman"/>
        </w:rPr>
      </w:pPr>
    </w:p>
    <w:p w14:paraId="040CF802"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Department of Public Works and Highways. (2021). Challenges in Building Code Enforcement. </w:t>
      </w:r>
      <w:hyperlink r:id="rId15">
        <w:r>
          <w:rPr>
            <w:rFonts w:ascii="Times New Roman" w:eastAsia="Times New Roman" w:hAnsi="Times New Roman" w:cs="Times New Roman"/>
            <w:color w:val="0000FF"/>
            <w:u w:val="single"/>
          </w:rPr>
          <w:t>https://www.iibh.org/kijun/pdf/Philippines_02_IRR_of_NBC_of_the_Philippines.pdf</w:t>
        </w:r>
      </w:hyperlink>
    </w:p>
    <w:p w14:paraId="00930EEA" w14:textId="77777777" w:rsidR="00DE4AFC" w:rsidRDefault="00DE4AFC">
      <w:pPr>
        <w:spacing w:after="0" w:line="240" w:lineRule="auto"/>
        <w:ind w:right="-63"/>
        <w:rPr>
          <w:rFonts w:ascii="Times New Roman" w:eastAsia="Times New Roman" w:hAnsi="Times New Roman" w:cs="Times New Roman"/>
        </w:rPr>
      </w:pPr>
    </w:p>
    <w:p w14:paraId="24AFE49A"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Freeman, H. (2014). Building Code Basics: Residential. International Code Council. </w:t>
      </w:r>
    </w:p>
    <w:p w14:paraId="0AE1A744" w14:textId="77777777" w:rsidR="00DE4AFC" w:rsidRDefault="00DE4AFC">
      <w:pPr>
        <w:tabs>
          <w:tab w:val="left" w:pos="5781"/>
        </w:tabs>
        <w:spacing w:after="0" w:line="240" w:lineRule="auto"/>
        <w:rPr>
          <w:rFonts w:ascii="Times New Roman" w:eastAsia="Times New Roman" w:hAnsi="Times New Roman" w:cs="Times New Roman"/>
        </w:rPr>
      </w:pPr>
    </w:p>
    <w:p w14:paraId="0DDA86FA"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Gann, D. M., &amp; Barlow, J. (1996). Flexibility in Building Use: The Technical Feasibility of Using </w:t>
      </w:r>
    </w:p>
    <w:p w14:paraId="1378E78C"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Prefabrication to Improve Building Performance. Journal of Construction Engineering and Management,  </w:t>
      </w:r>
      <w:hyperlink r:id="rId16">
        <w:r>
          <w:rPr>
            <w:rFonts w:ascii="Times New Roman" w:eastAsia="Times New Roman" w:hAnsi="Times New Roman" w:cs="Times New Roman"/>
            <w:color w:val="1155CC"/>
            <w:u w:val="single"/>
          </w:rPr>
          <w:t>https://doi.org/10.1080/01446199600000007</w:t>
        </w:r>
      </w:hyperlink>
      <w:r>
        <w:rPr>
          <w:rFonts w:ascii="Times New Roman" w:eastAsia="Times New Roman" w:hAnsi="Times New Roman" w:cs="Times New Roman"/>
        </w:rPr>
        <w:t xml:space="preserve"> </w:t>
      </w:r>
    </w:p>
    <w:p w14:paraId="2057A2F7" w14:textId="77777777" w:rsidR="00DE4AFC" w:rsidRDefault="00DE4AFC">
      <w:pPr>
        <w:tabs>
          <w:tab w:val="left" w:pos="5781"/>
        </w:tabs>
        <w:spacing w:after="0" w:line="240" w:lineRule="auto"/>
        <w:rPr>
          <w:rFonts w:ascii="Times New Roman" w:eastAsia="Times New Roman" w:hAnsi="Times New Roman" w:cs="Times New Roman"/>
        </w:rPr>
      </w:pPr>
    </w:p>
    <w:p w14:paraId="5D13A94B" w14:textId="77777777" w:rsidR="00DE4AFC" w:rsidRDefault="00000000">
      <w:pPr>
        <w:tabs>
          <w:tab w:val="left" w:pos="5781"/>
        </w:tabs>
        <w:spacing w:after="0" w:line="240" w:lineRule="auto"/>
        <w:rPr>
          <w:rFonts w:ascii="Times New Roman" w:eastAsia="Times New Roman" w:hAnsi="Times New Roman" w:cs="Times New Roman"/>
          <w:color w:val="0000FF"/>
          <w:u w:val="single"/>
        </w:rPr>
      </w:pPr>
      <w:r>
        <w:rPr>
          <w:rFonts w:ascii="Times New Roman" w:eastAsia="Times New Roman" w:hAnsi="Times New Roman" w:cs="Times New Roman"/>
        </w:rPr>
        <w:t xml:space="preserve">Global Facility for Disaster Reduction and Recovery (GFDRR) (2016). Building Regulations for resilience, Promoting Safe, Green, and Inclusive Built Environments, </w:t>
      </w:r>
      <w:hyperlink r:id="rId17">
        <w:r>
          <w:rPr>
            <w:rFonts w:ascii="Times New Roman" w:eastAsia="Times New Roman" w:hAnsi="Times New Roman" w:cs="Times New Roman"/>
            <w:color w:val="0000FF"/>
            <w:u w:val="single"/>
          </w:rPr>
          <w:t>https://www.gfdrr.org/en/building-regulation-for-resilience</w:t>
        </w:r>
      </w:hyperlink>
    </w:p>
    <w:p w14:paraId="56529659" w14:textId="77777777" w:rsidR="00DE4AFC" w:rsidRDefault="00DE4AFC">
      <w:pPr>
        <w:tabs>
          <w:tab w:val="left" w:pos="5781"/>
        </w:tabs>
        <w:spacing w:after="0" w:line="240" w:lineRule="auto"/>
        <w:rPr>
          <w:rFonts w:ascii="Times New Roman" w:eastAsia="Times New Roman" w:hAnsi="Times New Roman" w:cs="Times New Roman"/>
        </w:rPr>
      </w:pPr>
    </w:p>
    <w:p w14:paraId="395EAC4C"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Harris, S. (2006). National Building Codes Handbook. McGraw-Hill Professional</w:t>
      </w:r>
    </w:p>
    <w:p w14:paraId="0004C2E5" w14:textId="77777777" w:rsidR="00DE4AFC" w:rsidRDefault="00DE4AFC">
      <w:pPr>
        <w:tabs>
          <w:tab w:val="left" w:pos="5781"/>
        </w:tabs>
        <w:spacing w:after="0" w:line="240" w:lineRule="auto"/>
        <w:rPr>
          <w:rFonts w:ascii="Times New Roman" w:eastAsia="Times New Roman" w:hAnsi="Times New Roman" w:cs="Times New Roman"/>
        </w:rPr>
      </w:pPr>
    </w:p>
    <w:p w14:paraId="51B57227" w14:textId="77777777" w:rsidR="00DE4AFC" w:rsidRDefault="00000000">
      <w:pPr>
        <w:tabs>
          <w:tab w:val="left" w:pos="5781"/>
        </w:tabs>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Ian Fulgar (2021). National Building Code Of The Philippines – Its History, Current State, and Future, </w:t>
      </w:r>
      <w:hyperlink r:id="rId18">
        <w:r>
          <w:rPr>
            <w:rFonts w:ascii="Times New Roman" w:eastAsia="Times New Roman" w:hAnsi="Times New Roman" w:cs="Times New Roman"/>
            <w:color w:val="0000FF"/>
            <w:u w:val="single"/>
          </w:rPr>
          <w:t>https://www.ianfulgar.com/architecture/national-building-code-of-the-philippines-its-history-current-state-and-future/</w:t>
        </w:r>
      </w:hyperlink>
      <w:r>
        <w:rPr>
          <w:rFonts w:ascii="Times New Roman" w:eastAsia="Times New Roman" w:hAnsi="Times New Roman" w:cs="Times New Roman"/>
        </w:rPr>
        <w:t xml:space="preserve"> </w:t>
      </w:r>
    </w:p>
    <w:p w14:paraId="38E92D64" w14:textId="77777777" w:rsidR="00DE4AFC" w:rsidRDefault="00DE4AFC">
      <w:pPr>
        <w:tabs>
          <w:tab w:val="left" w:pos="5781"/>
        </w:tabs>
        <w:spacing w:after="0" w:line="240" w:lineRule="auto"/>
        <w:rPr>
          <w:rFonts w:ascii="Times New Roman" w:eastAsia="Times New Roman" w:hAnsi="Times New Roman" w:cs="Times New Roman"/>
        </w:rPr>
      </w:pPr>
    </w:p>
    <w:p w14:paraId="647F3A41" w14:textId="77777777" w:rsidR="00DE4AFC" w:rsidRDefault="00000000">
      <w:pPr>
        <w:spacing w:after="0" w:line="240" w:lineRule="auto"/>
        <w:ind w:right="-63"/>
        <w:rPr>
          <w:rFonts w:ascii="Times New Roman" w:eastAsia="Times New Roman" w:hAnsi="Times New Roman" w:cs="Times New Roman"/>
        </w:rPr>
      </w:pPr>
      <w:r>
        <w:rPr>
          <w:rFonts w:ascii="Times New Roman" w:eastAsia="Times New Roman" w:hAnsi="Times New Roman" w:cs="Times New Roman"/>
        </w:rPr>
        <w:t xml:space="preserve">International Association of Certified Home Inspectors (InterNACHI) 2021, </w:t>
      </w:r>
      <w:hyperlink r:id="rId19">
        <w:r>
          <w:rPr>
            <w:rFonts w:ascii="Times New Roman" w:eastAsia="Times New Roman" w:hAnsi="Times New Roman" w:cs="Times New Roman"/>
            <w:color w:val="1155CC"/>
            <w:u w:val="single"/>
          </w:rPr>
          <w:t>https://www.nachi.org/communication-for-inspectors.htm</w:t>
        </w:r>
      </w:hyperlink>
      <w:r>
        <w:rPr>
          <w:rFonts w:ascii="Times New Roman" w:eastAsia="Times New Roman" w:hAnsi="Times New Roman" w:cs="Times New Roman"/>
        </w:rPr>
        <w:t xml:space="preserve"> </w:t>
      </w:r>
    </w:p>
    <w:p w14:paraId="7FEAC326" w14:textId="77777777" w:rsidR="00DE4AFC" w:rsidRDefault="00DE4AFC">
      <w:pPr>
        <w:spacing w:after="0" w:line="240" w:lineRule="auto"/>
        <w:ind w:right="-63"/>
        <w:jc w:val="both"/>
        <w:rPr>
          <w:rFonts w:ascii="Times New Roman" w:eastAsia="Times New Roman" w:hAnsi="Times New Roman" w:cs="Times New Roman"/>
        </w:rPr>
      </w:pPr>
    </w:p>
    <w:p w14:paraId="6C4D8C74"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International Code Council (ICC). (2018). International Building Code. </w:t>
      </w:r>
      <w:hyperlink r:id="rId20">
        <w:r>
          <w:rPr>
            <w:rFonts w:ascii="Times New Roman" w:eastAsia="Times New Roman" w:hAnsi="Times New Roman" w:cs="Times New Roman"/>
            <w:color w:val="1155CC"/>
            <w:u w:val="single"/>
          </w:rPr>
          <w:t>https://www.iccsafe.org/building-safety-journal/bsj-dives/bring-on-building-safety-code-enforcement-explained/</w:t>
        </w:r>
      </w:hyperlink>
      <w:r>
        <w:rPr>
          <w:rFonts w:ascii="Times New Roman" w:eastAsia="Times New Roman" w:hAnsi="Times New Roman" w:cs="Times New Roman"/>
        </w:rPr>
        <w:t xml:space="preserve"> </w:t>
      </w:r>
    </w:p>
    <w:p w14:paraId="76121D85" w14:textId="77777777" w:rsidR="00DE4AFC" w:rsidRDefault="00DE4AFC">
      <w:pPr>
        <w:tabs>
          <w:tab w:val="left" w:pos="5781"/>
        </w:tabs>
        <w:spacing w:after="0" w:line="240" w:lineRule="auto"/>
        <w:jc w:val="both"/>
        <w:rPr>
          <w:rFonts w:ascii="Times New Roman" w:eastAsia="Times New Roman" w:hAnsi="Times New Roman" w:cs="Times New Roman"/>
        </w:rPr>
      </w:pPr>
    </w:p>
    <w:p w14:paraId="3003805D"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International Code Council (ICC) (2021). International Building Code (IBC), </w:t>
      </w:r>
      <w:hyperlink r:id="rId21">
        <w:r>
          <w:rPr>
            <w:rFonts w:ascii="Times New Roman" w:eastAsia="Times New Roman" w:hAnsi="Times New Roman" w:cs="Times New Roman"/>
            <w:color w:val="1155CC"/>
            <w:u w:val="single"/>
          </w:rPr>
          <w:t>https://codes.iccsafe.org/content/IBC2021P1/chapter-17-special-inspections-and-tests</w:t>
        </w:r>
      </w:hyperlink>
      <w:r>
        <w:rPr>
          <w:rFonts w:ascii="Times New Roman" w:eastAsia="Times New Roman" w:hAnsi="Times New Roman" w:cs="Times New Roman"/>
        </w:rPr>
        <w:t xml:space="preserve"> </w:t>
      </w:r>
    </w:p>
    <w:p w14:paraId="11602BCE" w14:textId="77777777" w:rsidR="00DE4AFC" w:rsidRDefault="00DE4AFC">
      <w:pPr>
        <w:spacing w:after="0" w:line="240" w:lineRule="auto"/>
        <w:ind w:right="-63"/>
        <w:jc w:val="both"/>
        <w:rPr>
          <w:rFonts w:ascii="Times New Roman" w:eastAsia="Times New Roman" w:hAnsi="Times New Roman" w:cs="Times New Roman"/>
        </w:rPr>
      </w:pPr>
    </w:p>
    <w:p w14:paraId="317D4445" w14:textId="77777777" w:rsidR="00DE4AFC" w:rsidRDefault="00000000">
      <w:pPr>
        <w:spacing w:after="240" w:line="240" w:lineRule="auto"/>
        <w:rPr>
          <w:rFonts w:ascii="Times New Roman" w:eastAsia="Times New Roman" w:hAnsi="Times New Roman" w:cs="Times New Roman"/>
        </w:rPr>
      </w:pPr>
      <w:r>
        <w:rPr>
          <w:rFonts w:ascii="Times New Roman" w:eastAsia="Times New Roman" w:hAnsi="Times New Roman" w:cs="Times New Roman"/>
        </w:rPr>
        <w:t xml:space="preserve">International Code Council. (2020). Technological Innovations in Building Code Compliance, </w:t>
      </w:r>
      <w:hyperlink r:id="rId22">
        <w:r>
          <w:rPr>
            <w:rFonts w:ascii="Times New Roman" w:eastAsia="Times New Roman" w:hAnsi="Times New Roman" w:cs="Times New Roman"/>
            <w:color w:val="1155CC"/>
            <w:u w:val="single"/>
          </w:rPr>
          <w:t>https://www.iccsafe.org/building-safety-journal/bsj-dives/building-code-compliance/</w:t>
        </w:r>
      </w:hyperlink>
      <w:r>
        <w:rPr>
          <w:rFonts w:ascii="Times New Roman" w:eastAsia="Times New Roman" w:hAnsi="Times New Roman" w:cs="Times New Roman"/>
        </w:rPr>
        <w:t xml:space="preserve"> </w:t>
      </w:r>
    </w:p>
    <w:p w14:paraId="2DB0DB04"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Local Government Academy. (2022). Public Participation in Building Code Enforcement, </w:t>
      </w:r>
      <w:hyperlink r:id="rId23">
        <w:r>
          <w:rPr>
            <w:rFonts w:ascii="Times New Roman" w:eastAsia="Times New Roman" w:hAnsi="Times New Roman" w:cs="Times New Roman"/>
            <w:color w:val="0000FF"/>
            <w:u w:val="single"/>
          </w:rPr>
          <w:t>https://www.dilg.gov.ph/PDF_File/reports_resources/dilg-reports-resources-2021812_46c8987b7e.pdff</w:t>
        </w:r>
      </w:hyperlink>
    </w:p>
    <w:p w14:paraId="74CEFB05" w14:textId="77777777" w:rsidR="00DE4AFC" w:rsidRDefault="00DE4AFC">
      <w:pPr>
        <w:spacing w:after="0" w:line="240" w:lineRule="auto"/>
        <w:ind w:right="-63"/>
        <w:jc w:val="both"/>
        <w:rPr>
          <w:rFonts w:ascii="Times New Roman" w:eastAsia="Times New Roman" w:hAnsi="Times New Roman" w:cs="Times New Roman"/>
        </w:rPr>
      </w:pPr>
    </w:p>
    <w:p w14:paraId="4380F576"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May, P. J. (2007). Regulatory Regimes and Accountability. Regulation &amp; Governance, </w:t>
      </w:r>
      <w:hyperlink r:id="rId24">
        <w:r>
          <w:rPr>
            <w:rFonts w:ascii="Times New Roman" w:eastAsia="Times New Roman" w:hAnsi="Times New Roman" w:cs="Times New Roman"/>
            <w:color w:val="1155CC"/>
            <w:u w:val="single"/>
          </w:rPr>
          <w:t>https://onlinelibrary.wiley.com/doi/10.1111/j.1748-5991.2007.00002.x</w:t>
        </w:r>
      </w:hyperlink>
      <w:r>
        <w:rPr>
          <w:rFonts w:ascii="Times New Roman" w:eastAsia="Times New Roman" w:hAnsi="Times New Roman" w:cs="Times New Roman"/>
        </w:rPr>
        <w:t xml:space="preserve"> </w:t>
      </w:r>
    </w:p>
    <w:p w14:paraId="45559971" w14:textId="77777777" w:rsidR="00DE4AFC" w:rsidRDefault="00DE4AFC">
      <w:pPr>
        <w:spacing w:after="0" w:line="240" w:lineRule="auto"/>
        <w:ind w:right="-63"/>
        <w:jc w:val="both"/>
        <w:rPr>
          <w:rFonts w:ascii="Times New Roman" w:eastAsia="Times New Roman" w:hAnsi="Times New Roman" w:cs="Times New Roman"/>
        </w:rPr>
      </w:pPr>
    </w:p>
    <w:p w14:paraId="7FEC5B44"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Meacham, B. J. (2010). Risk-informed performance-based approach to building regulation, </w:t>
      </w:r>
      <w:hyperlink r:id="rId25">
        <w:r>
          <w:rPr>
            <w:rFonts w:ascii="Times New Roman" w:eastAsia="Times New Roman" w:hAnsi="Times New Roman" w:cs="Times New Roman"/>
            <w:color w:val="0000FF"/>
            <w:u w:val="single"/>
          </w:rPr>
          <w:t>https://www.iccsafe.org/wp-content/uploads/Risk-informed-performance-based-approach-to-building-regulation-Meacham-April-2010.pdf</w:t>
        </w:r>
      </w:hyperlink>
      <w:r>
        <w:rPr>
          <w:rFonts w:ascii="Times New Roman" w:eastAsia="Times New Roman" w:hAnsi="Times New Roman" w:cs="Times New Roman"/>
        </w:rPr>
        <w:t xml:space="preserve"> </w:t>
      </w:r>
    </w:p>
    <w:p w14:paraId="29762A07" w14:textId="77777777" w:rsidR="00DE4AFC" w:rsidRDefault="00DE4AFC">
      <w:pPr>
        <w:spacing w:after="0" w:line="240" w:lineRule="auto"/>
        <w:ind w:right="-63"/>
        <w:jc w:val="both"/>
        <w:rPr>
          <w:rFonts w:ascii="Times New Roman" w:eastAsia="Times New Roman" w:hAnsi="Times New Roman" w:cs="Times New Roman"/>
        </w:rPr>
      </w:pPr>
    </w:p>
    <w:p w14:paraId="35371ECB"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National Institute of Standards and Technology (NIST), 2020, </w:t>
      </w:r>
    </w:p>
    <w:p w14:paraId="1EA519D4" w14:textId="77777777" w:rsidR="00DE4AFC" w:rsidRDefault="00000000">
      <w:pPr>
        <w:spacing w:after="0" w:line="240" w:lineRule="auto"/>
        <w:ind w:right="-63"/>
        <w:jc w:val="both"/>
        <w:rPr>
          <w:rFonts w:ascii="Times New Roman" w:eastAsia="Times New Roman" w:hAnsi="Times New Roman" w:cs="Times New Roman"/>
        </w:rPr>
      </w:pPr>
      <w:hyperlink r:id="rId26">
        <w:r>
          <w:rPr>
            <w:rFonts w:ascii="Times New Roman" w:eastAsia="Times New Roman" w:hAnsi="Times New Roman" w:cs="Times New Roman"/>
            <w:color w:val="1155CC"/>
            <w:u w:val="single"/>
          </w:rPr>
          <w:t>https://www.nist.gov/buildings-construction/understanding-building-codes</w:t>
        </w:r>
      </w:hyperlink>
      <w:r>
        <w:rPr>
          <w:rFonts w:ascii="Times New Roman" w:eastAsia="Times New Roman" w:hAnsi="Times New Roman" w:cs="Times New Roman"/>
        </w:rPr>
        <w:t xml:space="preserve"> </w:t>
      </w:r>
    </w:p>
    <w:p w14:paraId="3EDCA9D1" w14:textId="77777777" w:rsidR="00DE4AFC" w:rsidRDefault="00DE4AFC">
      <w:pPr>
        <w:spacing w:after="0" w:line="240" w:lineRule="auto"/>
        <w:ind w:right="-63"/>
        <w:jc w:val="both"/>
        <w:rPr>
          <w:rFonts w:ascii="Times New Roman" w:eastAsia="Times New Roman" w:hAnsi="Times New Roman" w:cs="Times New Roman"/>
        </w:rPr>
      </w:pPr>
    </w:p>
    <w:p w14:paraId="326B7B90"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Office of the Building Official. (2023). Building Code Review Process. Davao City Government. </w:t>
      </w:r>
      <w:hyperlink r:id="rId27">
        <w:r>
          <w:rPr>
            <w:rFonts w:ascii="Times New Roman" w:eastAsia="Times New Roman" w:hAnsi="Times New Roman" w:cs="Times New Roman"/>
            <w:color w:val="0000FF"/>
            <w:u w:val="single"/>
          </w:rPr>
          <w:t>https://www.davaocity.gov.ph/infrastructure-development/ocbo-calls-for-developers-to-ensure-building-integrity/</w:t>
        </w:r>
      </w:hyperlink>
    </w:p>
    <w:p w14:paraId="60700579" w14:textId="77777777" w:rsidR="00DE4AFC" w:rsidRDefault="00DE4AFC">
      <w:pPr>
        <w:spacing w:after="0" w:line="240" w:lineRule="auto"/>
        <w:ind w:right="-63"/>
        <w:jc w:val="both"/>
        <w:rPr>
          <w:rFonts w:ascii="Times New Roman" w:eastAsia="Times New Roman" w:hAnsi="Times New Roman" w:cs="Times New Roman"/>
        </w:rPr>
      </w:pPr>
    </w:p>
    <w:p w14:paraId="448EDBB5"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PD 1096 -National Building Code of the Philippines, </w:t>
      </w:r>
      <w:hyperlink r:id="rId28">
        <w:r>
          <w:rPr>
            <w:rFonts w:ascii="Times New Roman" w:eastAsia="Times New Roman" w:hAnsi="Times New Roman" w:cs="Times New Roman"/>
            <w:color w:val="1155CC"/>
            <w:u w:val="single"/>
          </w:rPr>
          <w:t>https://republicact.com/docs/statute/1019/pd-1096-national-building-code-philippines</w:t>
        </w:r>
      </w:hyperlink>
      <w:r>
        <w:rPr>
          <w:rFonts w:ascii="Times New Roman" w:eastAsia="Times New Roman" w:hAnsi="Times New Roman" w:cs="Times New Roman"/>
        </w:rPr>
        <w:t xml:space="preserve"> </w:t>
      </w:r>
    </w:p>
    <w:p w14:paraId="378F860C" w14:textId="77777777" w:rsidR="00DE4AFC" w:rsidRDefault="00DE4AFC">
      <w:pPr>
        <w:tabs>
          <w:tab w:val="left" w:pos="5781"/>
        </w:tabs>
        <w:spacing w:after="0" w:line="240" w:lineRule="auto"/>
        <w:jc w:val="both"/>
        <w:rPr>
          <w:rFonts w:ascii="Times New Roman" w:eastAsia="Times New Roman" w:hAnsi="Times New Roman" w:cs="Times New Roman"/>
        </w:rPr>
      </w:pPr>
    </w:p>
    <w:p w14:paraId="1816454A" w14:textId="77777777" w:rsidR="00DE4AFC" w:rsidRDefault="00000000">
      <w:pPr>
        <w:tabs>
          <w:tab w:val="left" w:pos="5781"/>
        </w:tabs>
        <w:spacing w:after="0" w:line="240" w:lineRule="auto"/>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Philippine Statistics Authority (2020). Population of Provinces and HUC: Davao Region (Based on 2000, 2010, 2015, and 2020 Censuses, </w:t>
      </w:r>
      <w:hyperlink r:id="rId29">
        <w:r>
          <w:rPr>
            <w:rFonts w:ascii="Times New Roman" w:eastAsia="Times New Roman" w:hAnsi="Times New Roman" w:cs="Times New Roman"/>
            <w:color w:val="0000FF"/>
            <w:u w:val="single"/>
          </w:rPr>
          <w:t>https://rsso11.psa.gov.ph/2020-census-population</w:t>
        </w:r>
      </w:hyperlink>
    </w:p>
    <w:p w14:paraId="296CF3F0" w14:textId="77777777" w:rsidR="00DE4AFC" w:rsidRDefault="00DE4AFC">
      <w:pPr>
        <w:tabs>
          <w:tab w:val="left" w:pos="5781"/>
        </w:tabs>
        <w:spacing w:after="0" w:line="240" w:lineRule="auto"/>
        <w:jc w:val="both"/>
        <w:rPr>
          <w:rFonts w:ascii="Times New Roman" w:eastAsia="Times New Roman" w:hAnsi="Times New Roman" w:cs="Times New Roman"/>
          <w:color w:val="0000FF"/>
          <w:u w:val="single"/>
        </w:rPr>
      </w:pPr>
    </w:p>
    <w:p w14:paraId="53D6FFAD" w14:textId="77777777" w:rsidR="00DE4AFC" w:rsidRDefault="00000000">
      <w:pPr>
        <w:tabs>
          <w:tab w:val="left" w:pos="5781"/>
        </w:tabs>
        <w:spacing w:after="0" w:line="240" w:lineRule="auto"/>
        <w:jc w:val="both"/>
        <w:rPr>
          <w:rFonts w:ascii="Times New Roman" w:eastAsia="Times New Roman" w:hAnsi="Times New Roman" w:cs="Times New Roman"/>
          <w:color w:val="0000FF"/>
          <w:u w:val="single"/>
        </w:rPr>
      </w:pPr>
      <w:r>
        <w:rPr>
          <w:rFonts w:ascii="Times New Roman" w:eastAsia="Times New Roman" w:hAnsi="Times New Roman" w:cs="Times New Roman"/>
        </w:rPr>
        <w:t xml:space="preserve">Philippine Institute of Civil Engineers, 2022, </w:t>
      </w:r>
      <w:r>
        <w:rPr>
          <w:rFonts w:ascii="Times New Roman" w:eastAsia="Times New Roman" w:hAnsi="Times New Roman" w:cs="Times New Roman"/>
          <w:color w:val="0000FF"/>
          <w:u w:val="single"/>
        </w:rPr>
        <w:t>https://app.xperto.ph/event/picemidcon2022</w:t>
      </w:r>
    </w:p>
    <w:p w14:paraId="7A1B603E" w14:textId="77777777" w:rsidR="00DE4AFC" w:rsidRDefault="00DE4AFC">
      <w:pPr>
        <w:spacing w:after="0" w:line="240" w:lineRule="auto"/>
        <w:ind w:right="-63"/>
        <w:jc w:val="both"/>
        <w:rPr>
          <w:rFonts w:ascii="Times New Roman" w:eastAsia="Times New Roman" w:hAnsi="Times New Roman" w:cs="Times New Roman"/>
        </w:rPr>
      </w:pPr>
    </w:p>
    <w:p w14:paraId="074826E8"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Transparency International. (2019). Corruption in Construction Permits </w:t>
      </w:r>
      <w:hyperlink r:id="rId30">
        <w:r>
          <w:rPr>
            <w:rFonts w:ascii="Times New Roman" w:eastAsia="Times New Roman" w:hAnsi="Times New Roman" w:cs="Times New Roman"/>
            <w:color w:val="1155CC"/>
            <w:u w:val="single"/>
          </w:rPr>
          <w:t>https://www.transparency.org/en/cpi/2019</w:t>
        </w:r>
      </w:hyperlink>
      <w:r>
        <w:rPr>
          <w:rFonts w:ascii="Times New Roman" w:eastAsia="Times New Roman" w:hAnsi="Times New Roman" w:cs="Times New Roman"/>
        </w:rPr>
        <w:t xml:space="preserve"> </w:t>
      </w:r>
    </w:p>
    <w:p w14:paraId="760959D6" w14:textId="77777777" w:rsidR="00DE4AFC" w:rsidRDefault="00DE4AFC">
      <w:pPr>
        <w:spacing w:after="0" w:line="240" w:lineRule="auto"/>
        <w:ind w:right="-63"/>
        <w:jc w:val="both"/>
        <w:rPr>
          <w:rFonts w:ascii="Times New Roman" w:eastAsia="Times New Roman" w:hAnsi="Times New Roman" w:cs="Times New Roman"/>
        </w:rPr>
      </w:pPr>
    </w:p>
    <w:p w14:paraId="5FC8527D"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Torrentira, M. (2020). Online data collection as adaptation in conducting quantitative and qualitative research during the COVID-19 pandemic. European Journal of Education Studies, 7(11). DOI: </w:t>
      </w:r>
      <w:hyperlink r:id="rId31">
        <w:r>
          <w:rPr>
            <w:rFonts w:ascii="Times New Roman" w:eastAsia="Times New Roman" w:hAnsi="Times New Roman" w:cs="Times New Roman"/>
            <w:color w:val="1155CC"/>
            <w:u w:val="single"/>
          </w:rPr>
          <w:t>http://dx.doi.org/10.46827/ejes.v7i11.3336</w:t>
        </w:r>
      </w:hyperlink>
    </w:p>
    <w:p w14:paraId="2311670B" w14:textId="77777777" w:rsidR="00DE4AFC" w:rsidRDefault="00DE4AFC">
      <w:pPr>
        <w:spacing w:after="0" w:line="240" w:lineRule="auto"/>
        <w:ind w:right="-63"/>
        <w:jc w:val="both"/>
        <w:rPr>
          <w:rFonts w:ascii="Times New Roman" w:eastAsia="Times New Roman" w:hAnsi="Times New Roman" w:cs="Times New Roman"/>
        </w:rPr>
      </w:pPr>
    </w:p>
    <w:p w14:paraId="6DAADE78"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United Nations Habitat. (2003). The Challenge of Slums: Global Report on Human Settlements, </w:t>
      </w:r>
      <w:hyperlink r:id="rId32" w:anchor=":~:text=URL%3A%20https%3A%2F%2Funhabitat.org%2Fsites%2Fdefault%2Ffiles%2Fdownload">
        <w:r>
          <w:rPr>
            <w:rFonts w:ascii="Times New Roman" w:eastAsia="Times New Roman" w:hAnsi="Times New Roman" w:cs="Times New Roman"/>
            <w:color w:val="1155CC"/>
            <w:u w:val="single"/>
          </w:rPr>
          <w:t>https://unhabitat.org/sites/default/files/download-manager-files/The%20Challenge%20of%20Slums%20-%20Global%20Report%20on%20Human%20Settlements%202003.pdf#:~:text=URL%3A%20https%3A%2F%2Funhabitat.org%2Fsites%2Fdefault%2Ffiles%2Fdownload</w:t>
        </w:r>
      </w:hyperlink>
      <w:r>
        <w:rPr>
          <w:rFonts w:ascii="Times New Roman" w:eastAsia="Times New Roman" w:hAnsi="Times New Roman" w:cs="Times New Roman"/>
        </w:rPr>
        <w:t xml:space="preserve"> </w:t>
      </w:r>
    </w:p>
    <w:p w14:paraId="4F259AC1" w14:textId="77777777" w:rsidR="00DE4AFC" w:rsidRDefault="00DE4AFC">
      <w:pPr>
        <w:spacing w:after="0" w:line="240" w:lineRule="auto"/>
        <w:ind w:right="-63"/>
        <w:jc w:val="both"/>
        <w:rPr>
          <w:rFonts w:ascii="Times New Roman" w:eastAsia="Times New Roman" w:hAnsi="Times New Roman" w:cs="Times New Roman"/>
        </w:rPr>
      </w:pPr>
    </w:p>
    <w:p w14:paraId="70AEAD03"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United Nations Habitat. (2019). Informal Settlements and Building Code Compliance. </w:t>
      </w:r>
      <w:hyperlink r:id="rId33">
        <w:r>
          <w:rPr>
            <w:rFonts w:ascii="Times New Roman" w:eastAsia="Times New Roman" w:hAnsi="Times New Roman" w:cs="Times New Roman"/>
            <w:color w:val="1155CC"/>
            <w:u w:val="single"/>
          </w:rPr>
          <w:t>https://unhabitat.org.ph/wp-content/uploads/2019/07/As-of-20190719.pdf</w:t>
        </w:r>
      </w:hyperlink>
      <w:r>
        <w:rPr>
          <w:rFonts w:ascii="Times New Roman" w:eastAsia="Times New Roman" w:hAnsi="Times New Roman" w:cs="Times New Roman"/>
        </w:rPr>
        <w:t xml:space="preserve"> </w:t>
      </w:r>
    </w:p>
    <w:p w14:paraId="78303031" w14:textId="77777777" w:rsidR="00DE4AFC" w:rsidRDefault="00DE4AFC">
      <w:pPr>
        <w:spacing w:after="0" w:line="240" w:lineRule="auto"/>
        <w:ind w:right="-63"/>
        <w:jc w:val="both"/>
        <w:rPr>
          <w:rFonts w:ascii="Times New Roman" w:eastAsia="Times New Roman" w:hAnsi="Times New Roman" w:cs="Times New Roman"/>
        </w:rPr>
      </w:pPr>
    </w:p>
    <w:p w14:paraId="6BB5BB6A" w14:textId="77777777" w:rsidR="00DE4AFC" w:rsidRDefault="00000000">
      <w:pPr>
        <w:spacing w:after="0" w:line="240" w:lineRule="auto"/>
        <w:ind w:right="-63"/>
        <w:jc w:val="both"/>
        <w:rPr>
          <w:rFonts w:ascii="Times New Roman" w:eastAsia="Times New Roman" w:hAnsi="Times New Roman" w:cs="Times New Roman"/>
        </w:rPr>
      </w:pPr>
      <w:r>
        <w:rPr>
          <w:rFonts w:ascii="Times New Roman" w:eastAsia="Times New Roman" w:hAnsi="Times New Roman" w:cs="Times New Roman"/>
        </w:rPr>
        <w:t xml:space="preserve">World Bank. (2018). The Cost of Compliance: Regulation and Construction. </w:t>
      </w:r>
      <w:hyperlink r:id="rId34">
        <w:r>
          <w:rPr>
            <w:rFonts w:ascii="Times New Roman" w:eastAsia="Times New Roman" w:hAnsi="Times New Roman" w:cs="Times New Roman"/>
            <w:color w:val="1155CC"/>
            <w:u w:val="single"/>
          </w:rPr>
          <w:t>https://openknowledge.worldbank.org/server/api/core/bitstreams/6fc4142f-93b1-5496-bfd5-79d8b02094e1/content</w:t>
        </w:r>
      </w:hyperlink>
      <w:r>
        <w:rPr>
          <w:rFonts w:ascii="Times New Roman" w:eastAsia="Times New Roman" w:hAnsi="Times New Roman" w:cs="Times New Roman"/>
        </w:rPr>
        <w:t xml:space="preserve"> </w:t>
      </w:r>
    </w:p>
    <w:p w14:paraId="35E3B5D6" w14:textId="77777777" w:rsidR="00DE4AFC" w:rsidRDefault="00DE4AFC">
      <w:pPr>
        <w:spacing w:after="0" w:line="240" w:lineRule="auto"/>
        <w:ind w:right="-63"/>
        <w:jc w:val="both"/>
        <w:rPr>
          <w:rFonts w:ascii="Times New Roman" w:eastAsia="Times New Roman" w:hAnsi="Times New Roman" w:cs="Times New Roman"/>
        </w:rPr>
      </w:pPr>
    </w:p>
    <w:p w14:paraId="7BC3B4F8" w14:textId="77777777" w:rsidR="00DE4AFC" w:rsidRDefault="00DE4AFC">
      <w:pPr>
        <w:spacing w:after="0" w:line="240" w:lineRule="auto"/>
        <w:ind w:right="-63"/>
        <w:jc w:val="both"/>
        <w:rPr>
          <w:rFonts w:ascii="Times New Roman" w:eastAsia="Times New Roman" w:hAnsi="Times New Roman" w:cs="Times New Roman"/>
        </w:rPr>
      </w:pPr>
    </w:p>
    <w:sectPr w:rsidR="00DE4AFC">
      <w:headerReference w:type="even" r:id="rId35"/>
      <w:footerReference w:type="even" r:id="rId36"/>
      <w:footerReference w:type="default" r:id="rId37"/>
      <w:headerReference w:type="first" r:id="rId38"/>
      <w:footerReference w:type="first" r:id="rId39"/>
      <w:pgSz w:w="11907" w:h="16839"/>
      <w:pgMar w:top="1440" w:right="1440" w:bottom="1440" w:left="1440" w:header="720" w:footer="720" w:gutter="0"/>
      <w:pgNumType w:start="55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7128" w14:textId="77777777" w:rsidR="00BB6D40" w:rsidRDefault="00BB6D40">
      <w:pPr>
        <w:spacing w:after="0" w:line="240" w:lineRule="auto"/>
      </w:pPr>
      <w:r>
        <w:separator/>
      </w:r>
    </w:p>
  </w:endnote>
  <w:endnote w:type="continuationSeparator" w:id="0">
    <w:p w14:paraId="40E44487" w14:textId="77777777" w:rsidR="00BB6D40" w:rsidRDefault="00BB6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F83E6" w14:textId="77777777" w:rsidR="00DE4AFC" w:rsidRDefault="00DE4AFC">
    <w:pPr>
      <w:pBdr>
        <w:top w:val="nil"/>
        <w:left w:val="nil"/>
        <w:bottom w:val="nil"/>
        <w:right w:val="nil"/>
        <w:between w:val="nil"/>
      </w:pBdr>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12562B" w14:textId="77777777" w:rsidR="00DE4AFC" w:rsidRDefault="00000000">
    <w:pPr>
      <w:pBdr>
        <w:top w:val="nil"/>
        <w:left w:val="nil"/>
        <w:bottom w:val="nil"/>
        <w:right w:val="nil"/>
        <w:between w:val="nil"/>
      </w:pBdr>
      <w:tabs>
        <w:tab w:val="left" w:pos="3930"/>
      </w:tabs>
      <w:spacing w:after="0" w:line="240" w:lineRule="auto"/>
      <w:rPr>
        <w:rFonts w:ascii="Times New Roman" w:eastAsia="Times New Roman" w:hAnsi="Times New Roman" w:cs="Times New Roman"/>
      </w:rPr>
    </w:pPr>
    <w:r>
      <w:rPr>
        <w:color w:val="000000"/>
      </w:rPr>
      <w:tab/>
    </w:r>
  </w:p>
  <w:p w14:paraId="4380B00C" w14:textId="77777777" w:rsidR="00DE4AFC" w:rsidRDefault="00DE4AFC">
    <w:pPr>
      <w:pBdr>
        <w:top w:val="nil"/>
        <w:left w:val="nil"/>
        <w:bottom w:val="nil"/>
        <w:right w:val="nil"/>
        <w:between w:val="nil"/>
      </w:pBdr>
      <w:tabs>
        <w:tab w:val="left" w:pos="3930"/>
      </w:tabs>
      <w:spacing w:after="0" w:line="240" w:lineRule="auto"/>
      <w:rPr>
        <w:rFonts w:ascii="Times New Roman" w:eastAsia="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CE58C" w14:textId="77777777" w:rsidR="00DE4AFC" w:rsidRDefault="00DE4AFC">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2B61B" w14:textId="77777777" w:rsidR="00BB6D40" w:rsidRDefault="00BB6D40">
      <w:pPr>
        <w:spacing w:after="0" w:line="240" w:lineRule="auto"/>
      </w:pPr>
      <w:r>
        <w:separator/>
      </w:r>
    </w:p>
  </w:footnote>
  <w:footnote w:type="continuationSeparator" w:id="0">
    <w:p w14:paraId="29DE4963" w14:textId="77777777" w:rsidR="00BB6D40" w:rsidRDefault="00BB6D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FE09" w14:textId="77777777" w:rsidR="00DE4AFC" w:rsidRDefault="00000000">
    <w:pPr>
      <w:pBdr>
        <w:top w:val="nil"/>
        <w:left w:val="nil"/>
        <w:bottom w:val="nil"/>
        <w:right w:val="nil"/>
        <w:between w:val="nil"/>
      </w:pBdr>
      <w:spacing w:after="0" w:line="240" w:lineRule="auto"/>
      <w:rPr>
        <w:color w:val="000000"/>
      </w:rPr>
    </w:pPr>
    <w:r>
      <w:rPr>
        <w:color w:val="000000"/>
      </w:rPr>
      <w:pict w14:anchorId="28E58D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532pt;height:228pt;rotation:315;z-index:-251658240;visibility:visible;mso-position-horizontal:center;mso-position-horizontal-relative:left-margin-area;mso-position-vertical:center;mso-position-vertical-relative:top-margin-area" fillcolor="#5b9bd5" stroked="f">
          <v:fill opacity=".5"/>
          <v:textpath style="font-family:&quot;&amp;quot&quot;;font-size:1pt" string="GJESRM"/>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35DF4" w14:textId="77777777" w:rsidR="00DE4AFC" w:rsidRDefault="00000000">
    <w:pPr>
      <w:pBdr>
        <w:top w:val="nil"/>
        <w:left w:val="nil"/>
        <w:bottom w:val="nil"/>
        <w:right w:val="nil"/>
        <w:between w:val="nil"/>
      </w:pBdr>
      <w:spacing w:after="0" w:line="240" w:lineRule="auto"/>
      <w:rPr>
        <w:color w:val="000000"/>
      </w:rPr>
    </w:pPr>
    <w:r>
      <w:rPr>
        <w:color w:val="000000"/>
      </w:rPr>
      <w:pict w14:anchorId="09854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32pt;height:228pt;rotation:315;z-index:-251659264;visibility:visible;mso-position-horizontal:center;mso-position-horizontal-relative:left-margin-area;mso-position-vertical:center;mso-position-vertical-relative:top-margin-area" fillcolor="#5b9bd5" stroked="f">
          <v:fill opacity=".5"/>
          <v:textpath style="font-family:&quot;&amp;quot&quot;;font-size:1pt" string="GJESR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AFC"/>
    <w:rsid w:val="0072368F"/>
    <w:rsid w:val="00B93FF4"/>
    <w:rsid w:val="00BB6D40"/>
    <w:rsid w:val="00DD3F63"/>
    <w:rsid w:val="00DE4AF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45E8C8BC"/>
  <w15:docId w15:val="{AF5FFCF8-F11A-45A8-B5ED-028DFAF62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099"/>
  </w:style>
  <w:style w:type="paragraph" w:styleId="Heading1">
    <w:name w:val="heading 1"/>
    <w:basedOn w:val="Normal"/>
    <w:next w:val="Normal"/>
    <w:uiPriority w:val="9"/>
    <w:qFormat/>
    <w:pPr>
      <w:spacing w:line="240" w:lineRule="auto"/>
      <w:outlineLvl w:val="0"/>
    </w:pPr>
    <w:rPr>
      <w:rFonts w:ascii="Times New Roman" w:eastAsia="Times New Roman" w:hAnsi="Times New Roman" w:cs="Times New Roman"/>
      <w:b/>
      <w:sz w:val="48"/>
      <w:szCs w:val="48"/>
    </w:rPr>
  </w:style>
  <w:style w:type="paragraph" w:styleId="Heading2">
    <w:name w:val="heading 2"/>
    <w:basedOn w:val="Normal"/>
    <w:next w:val="Normal"/>
    <w:uiPriority w:val="9"/>
    <w:semiHidden/>
    <w:unhideWhenUsed/>
    <w:qFormat/>
    <w:pPr>
      <w:keepNext/>
      <w:keepLines/>
      <w:spacing w:before="200" w:after="0" w:line="276" w:lineRule="auto"/>
      <w:outlineLvl w:val="1"/>
    </w:pPr>
    <w:rPr>
      <w:rFonts w:ascii="Cambria" w:eastAsia="Cambria" w:hAnsi="Cambria" w:cs="Cambria"/>
      <w:b/>
      <w:color w:val="4F81BD"/>
      <w:sz w:val="26"/>
      <w:szCs w:val="26"/>
    </w:rPr>
  </w:style>
  <w:style w:type="paragraph" w:styleId="Heading3">
    <w:name w:val="heading 3"/>
    <w:basedOn w:val="Normal"/>
    <w:next w:val="Normal"/>
    <w:uiPriority w:val="9"/>
    <w:semiHidden/>
    <w:unhideWhenUsed/>
    <w:qFormat/>
    <w:pPr>
      <w:keepNext/>
      <w:keepLines/>
      <w:spacing w:before="200" w:after="0" w:line="276" w:lineRule="auto"/>
      <w:outlineLvl w:val="2"/>
    </w:pPr>
    <w:rPr>
      <w:rFonts w:ascii="Cambria" w:eastAsia="Cambria" w:hAnsi="Cambria" w:cs="Cambria"/>
      <w:b/>
      <w:color w:val="4F81BD"/>
    </w:rPr>
  </w:style>
  <w:style w:type="paragraph" w:styleId="Heading4">
    <w:name w:val="heading 4"/>
    <w:basedOn w:val="Normal"/>
    <w:next w:val="Normal"/>
    <w:uiPriority w:val="9"/>
    <w:semiHidden/>
    <w:unhideWhenUsed/>
    <w:qFormat/>
    <w:pPr>
      <w:keepNext/>
      <w:spacing w:before="240" w:after="60" w:line="240" w:lineRule="auto"/>
      <w:ind w:left="2880" w:hanging="720"/>
      <w:outlineLvl w:val="3"/>
    </w:pPr>
    <w:rPr>
      <w:b/>
      <w:sz w:val="28"/>
      <w:szCs w:val="28"/>
    </w:rPr>
  </w:style>
  <w:style w:type="paragraph" w:styleId="Heading5">
    <w:name w:val="heading 5"/>
    <w:basedOn w:val="Normal"/>
    <w:next w:val="Normal"/>
    <w:uiPriority w:val="9"/>
    <w:semiHidden/>
    <w:unhideWhenUsed/>
    <w:qFormat/>
    <w:pPr>
      <w:spacing w:before="240" w:after="60" w:line="240" w:lineRule="auto"/>
      <w:ind w:left="3600" w:hanging="720"/>
      <w:outlineLvl w:val="4"/>
    </w:pPr>
    <w:rPr>
      <w:b/>
      <w:i/>
      <w:sz w:val="26"/>
      <w:szCs w:val="26"/>
    </w:rPr>
  </w:style>
  <w:style w:type="paragraph" w:styleId="Heading6">
    <w:name w:val="heading 6"/>
    <w:basedOn w:val="Normal"/>
    <w:next w:val="Normal"/>
    <w:uiPriority w:val="9"/>
    <w:semiHidden/>
    <w:unhideWhenUsed/>
    <w:qFormat/>
    <w:pPr>
      <w:spacing w:before="240" w:after="60" w:line="240" w:lineRule="auto"/>
      <w:ind w:left="4320" w:hanging="720"/>
      <w:outlineLvl w:val="5"/>
    </w:pPr>
    <w:rPr>
      <w:rFonts w:ascii="Times New Roman" w:eastAsia="Times New Roman" w:hAnsi="Times New Roman"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spacing w:before="320" w:after="320" w:line="240" w:lineRule="auto"/>
      <w:jc w:val="center"/>
    </w:pPr>
    <w:rPr>
      <w:rFonts w:ascii="Cambria" w:eastAsia="Cambria" w:hAnsi="Cambria" w:cs="Cambria"/>
      <w:b/>
      <w:color w:val="336699"/>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06F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F17"/>
  </w:style>
  <w:style w:type="table" w:styleId="TableGrid">
    <w:name w:val="Table Grid"/>
    <w:basedOn w:val="TableNormal"/>
    <w:uiPriority w:val="39"/>
    <w:rsid w:val="000A4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4269"/>
    <w:rPr>
      <w:color w:val="0000FF" w:themeColor="hyperlink"/>
      <w:u w:val="single"/>
    </w:rPr>
  </w:style>
  <w:style w:type="character" w:styleId="UnresolvedMention">
    <w:name w:val="Unresolved Mention"/>
    <w:basedOn w:val="DefaultParagraphFont"/>
    <w:uiPriority w:val="99"/>
    <w:semiHidden/>
    <w:unhideWhenUsed/>
    <w:rsid w:val="00BF4269"/>
    <w:rPr>
      <w:color w:val="605E5C"/>
      <w:shd w:val="clear" w:color="auto" w:fill="E1DFDD"/>
    </w:rPr>
  </w:style>
  <w:style w:type="character" w:styleId="FollowedHyperlink">
    <w:name w:val="FollowedHyperlink"/>
    <w:basedOn w:val="DefaultParagraphFont"/>
    <w:uiPriority w:val="99"/>
    <w:semiHidden/>
    <w:unhideWhenUsed/>
    <w:rsid w:val="002809B3"/>
    <w:rPr>
      <w:color w:val="800080" w:themeColor="followedHyperlink"/>
      <w:u w:val="single"/>
    </w:r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sswm.info/sites/default/files/reference_attachments/COHEN%202006%20Urbanization%20in%20Developing%20Countries.pdf" TargetMode="External"/><Relationship Id="rId18" Type="http://schemas.openxmlformats.org/officeDocument/2006/relationships/hyperlink" Target="https://www.ianfulgar.com/architecture/national-building-code-of-the-philippines-its-history-current-state-and-future/" TargetMode="External"/><Relationship Id="rId26" Type="http://schemas.openxmlformats.org/officeDocument/2006/relationships/hyperlink" Target="https://www.nist.gov/buildings-construction/understanding-building-codes" TargetMode="External"/><Relationship Id="rId39" Type="http://schemas.openxmlformats.org/officeDocument/2006/relationships/footer" Target="footer3.xml"/><Relationship Id="rId21" Type="http://schemas.openxmlformats.org/officeDocument/2006/relationships/hyperlink" Target="https://codes.iccsafe.org/content/IBC2021P1/chapter-17-special-inspections-and-tests" TargetMode="External"/><Relationship Id="rId34" Type="http://schemas.openxmlformats.org/officeDocument/2006/relationships/hyperlink" Target="https://openknowledge.worldbank.org/server/api/core/bitstreams/6fc4142f-93b1-5496-bfd5-79d8b02094e1/content"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1080/01446199600000007" TargetMode="External"/><Relationship Id="rId20" Type="http://schemas.openxmlformats.org/officeDocument/2006/relationships/hyperlink" Target="https://www.iccsafe.org/building-safety-journal/bsj-dives/bring-on-building-safety-code-enforcement-explained/" TargetMode="External"/><Relationship Id="rId29" Type="http://schemas.openxmlformats.org/officeDocument/2006/relationships/hyperlink" Target="https://rsso11.psa.gov.ph/2020-census-popul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ontent.aia.org/sites/default/files/2019-06/ADV19_Disruption_Evolution_Change.pdf" TargetMode="External"/><Relationship Id="rId24" Type="http://schemas.openxmlformats.org/officeDocument/2006/relationships/hyperlink" Target="https://onlinelibrary.wiley.com/doi/10.1111/j.1748-5991.2007.00002.x" TargetMode="External"/><Relationship Id="rId32" Type="http://schemas.openxmlformats.org/officeDocument/2006/relationships/hyperlink" Target="https://unhabitat.org/sites/default/files/download-manager-files/The%20Challenge%20of%20Slums%20-%20Global%20Report%20on%20Human%20Settlements%202003.pdf"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iibh.org/kijun/pdf/Philippines_02_IRR_of_NBC_of_the_Philippines.pdf" TargetMode="External"/><Relationship Id="rId23" Type="http://schemas.openxmlformats.org/officeDocument/2006/relationships/hyperlink" Target="https://www.dilg.gov.ph/PDF_File/reports_resources/dilg-reports-resources-2021812_46c8987b7e.pdff" TargetMode="External"/><Relationship Id="rId28" Type="http://schemas.openxmlformats.org/officeDocument/2006/relationships/hyperlink" Target="https://republicact.com/docs/statute/1019/pd-1096-national-building-code-philippines" TargetMode="External"/><Relationship Id="rId36" Type="http://schemas.openxmlformats.org/officeDocument/2006/relationships/footer" Target="footer1.xml"/><Relationship Id="rId10" Type="http://schemas.openxmlformats.org/officeDocument/2006/relationships/hyperlink" Target="https://www.astm.org/products-services/standards-and-publications/standards/building-standards.html" TargetMode="External"/><Relationship Id="rId19" Type="http://schemas.openxmlformats.org/officeDocument/2006/relationships/hyperlink" Target="https://www.nachi.org/communication-for-inspectors.htm" TargetMode="External"/><Relationship Id="rId31" Type="http://schemas.openxmlformats.org/officeDocument/2006/relationships/hyperlink" Target="http://dx.doi.org/10.46827/ejes.v7i11.3336" TargetMode="External"/><Relationship Id="rId4" Type="http://schemas.openxmlformats.org/officeDocument/2006/relationships/webSettings" Target="webSettings.xml"/><Relationship Id="rId9" Type="http://schemas.openxmlformats.org/officeDocument/2006/relationships/hyperlink" Target="https://www.apawood.org/wall-bracing" TargetMode="External"/><Relationship Id="rId14" Type="http://schemas.openxmlformats.org/officeDocument/2006/relationships/hyperlink" Target="https://www.region12.dilg.gov.ph/programs-projects/barangay-governance-performance-management-system-bgpms" TargetMode="External"/><Relationship Id="rId22" Type="http://schemas.openxmlformats.org/officeDocument/2006/relationships/hyperlink" Target="https://www.iccsafe.org/building-safety-journal/bsj-dives/building-code-compliance/" TargetMode="External"/><Relationship Id="rId27" Type="http://schemas.openxmlformats.org/officeDocument/2006/relationships/hyperlink" Target="https://www.davaocity.gov.ph/infrastructure-development/ocbo-calls-for-developers-to-ensure-building-integrity/" TargetMode="External"/><Relationship Id="rId30" Type="http://schemas.openxmlformats.org/officeDocument/2006/relationships/hyperlink" Target="https://www.transparency.org/en/cpi/2019" TargetMode="External"/><Relationship Id="rId35"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doi.org/10.1037/met0000200" TargetMode="External"/><Relationship Id="rId17" Type="http://schemas.openxmlformats.org/officeDocument/2006/relationships/hyperlink" Target="https://www.gfdrr.org/en/building-regulation-for-resilience" TargetMode="External"/><Relationship Id="rId25" Type="http://schemas.openxmlformats.org/officeDocument/2006/relationships/hyperlink" Target="https://www.iccsafe.org/wp-content/uploads/Risk-informed-performance-based-approach-to-building-regulation-Meacham-April-2010.pdf" TargetMode="External"/><Relationship Id="rId33" Type="http://schemas.openxmlformats.org/officeDocument/2006/relationships/hyperlink" Target="https://unhabitat.org.ph/wp-content/uploads/2019/07/As-of-20190719.pdf" TargetMode="External"/><Relationship Id="rId3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QdHkPEsAr8JSicSAXGTSm2ECCQ==">CgMxLjAyCGguZ2pkZ3hzMgloLjMwajB6bGwyCWguMWZvYjl0ZTIJaC4zem55c2g3OAByITFudTktQWNQc2R2eTg0cDdWcmQyRngwSXo5UmRNcGkxaA==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3202</Words>
  <Characters>22420</Characters>
  <Application>Microsoft Office Word</Application>
  <DocSecurity>0</DocSecurity>
  <Lines>590</Lines>
  <Paragraphs>228</Paragraphs>
  <ScaleCrop>false</ScaleCrop>
  <Company/>
  <LinksUpToDate>false</LinksUpToDate>
  <CharactersWithSpaces>25394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John Doe</cp:lastModifiedBy>
  <cp:revision>3</cp:revision>
  <dcterms:created xsi:type="dcterms:W3CDTF">2024-05-28T14:21:00Z</dcterms:created>
  <dcterms:modified xsi:type="dcterms:W3CDTF">2024-05-28T14:22:00Z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f20904b3ea892fd54e96b371c7a9b120db74c6bb7cd602e930e01adf059d1405</vt:lpwstr>
  </property>
</Properties>
</file>