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“BLADELESS WIND TURBINE”</w:t>
      </w:r>
    </w:p>
    <w:p>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Arvind Mate</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1</w:t>
      </w:r>
      <w:r>
        <w:rPr>
          <w:rFonts w:hint="default" w:ascii="Times New Roman" w:hAnsi="Times New Roman" w:cs="Times New Roman"/>
          <w:b/>
          <w:bCs/>
          <w:color w:val="000000" w:themeColor="text1"/>
          <w:sz w:val="24"/>
          <w:szCs w:val="24"/>
          <w:lang w:val="en-IN"/>
          <w14:textFill>
            <w14:solidFill>
              <w14:schemeClr w14:val="tx1"/>
            </w14:solidFill>
          </w14:textFill>
        </w:rPr>
        <w:t>,  Karan Rathod</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2</w:t>
      </w:r>
      <w:r>
        <w:rPr>
          <w:rFonts w:hint="default" w:ascii="Times New Roman" w:hAnsi="Times New Roman" w:cs="Times New Roman"/>
          <w:b/>
          <w:bCs/>
          <w:color w:val="000000" w:themeColor="text1"/>
          <w:sz w:val="24"/>
          <w:szCs w:val="24"/>
          <w:lang w:val="en-IN"/>
          <w14:textFill>
            <w14:solidFill>
              <w14:schemeClr w14:val="tx1"/>
            </w14:solidFill>
          </w14:textFill>
        </w:rPr>
        <w:t>, Vivek Kashiwar</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3</w:t>
      </w:r>
      <w:r>
        <w:rPr>
          <w:rFonts w:hint="default" w:ascii="Times New Roman" w:hAnsi="Times New Roman" w:cs="Times New Roman"/>
          <w:b/>
          <w:bCs/>
          <w:color w:val="000000" w:themeColor="text1"/>
          <w:sz w:val="24"/>
          <w:szCs w:val="24"/>
          <w:lang w:val="en-IN"/>
          <w14:textFill>
            <w14:solidFill>
              <w14:schemeClr w14:val="tx1"/>
            </w14:solidFill>
          </w14:textFill>
        </w:rPr>
        <w:t xml:space="preserve"> ,Sharmila Patil</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4</w:t>
      </w:r>
      <w:r>
        <w:rPr>
          <w:rFonts w:hint="default" w:ascii="Times New Roman" w:hAnsi="Times New Roman" w:cs="Times New Roman"/>
          <w:b/>
          <w:bCs/>
          <w:color w:val="000000" w:themeColor="text1"/>
          <w:sz w:val="24"/>
          <w:szCs w:val="24"/>
          <w:lang w:val="en-IN"/>
          <w14:textFill>
            <w14:solidFill>
              <w14:schemeClr w14:val="tx1"/>
            </w14:solidFill>
          </w14:textFill>
        </w:rPr>
        <w:t>, Krishna Nimje</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5</w:t>
      </w:r>
      <w:r>
        <w:rPr>
          <w:rFonts w:hint="default" w:ascii="Times New Roman" w:hAnsi="Times New Roman" w:cs="Times New Roman"/>
          <w:b/>
          <w:bCs/>
          <w:color w:val="000000" w:themeColor="text1"/>
          <w:sz w:val="24"/>
          <w:szCs w:val="24"/>
          <w:lang w:val="en-IN"/>
          <w14:textFill>
            <w14:solidFill>
              <w14:schemeClr w14:val="tx1"/>
            </w14:solidFill>
          </w14:textFill>
        </w:rPr>
        <w:t>,</w:t>
      </w:r>
    </w:p>
    <w:p>
      <w:pPr>
        <w:spacing w:before="54" w:after="0" w:line="276" w:lineRule="auto"/>
        <w:jc w:val="center"/>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Prof. Saurabh V. Lawate</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6</w:t>
      </w:r>
      <w:r>
        <w:rPr>
          <w:rFonts w:hint="default" w:ascii="Times New Roman" w:hAnsi="Times New Roman" w:cs="Times New Roman"/>
          <w:b/>
          <w:bCs/>
          <w:color w:val="000000" w:themeColor="text1"/>
          <w:sz w:val="24"/>
          <w:szCs w:val="24"/>
          <w:lang w:val="en-IN"/>
          <w14:textFill>
            <w14:solidFill>
              <w14:schemeClr w14:val="tx1"/>
            </w14:solidFill>
          </w14:textFill>
        </w:rPr>
        <w:t>,Prof. Kiran M. Kimmatkar</w:t>
      </w:r>
      <w:r>
        <w:rPr>
          <w:rFonts w:hint="default" w:ascii="Times New Roman" w:hAnsi="Times New Roman" w:cs="Times New Roman"/>
          <w:b/>
          <w:bCs/>
          <w:color w:val="000000" w:themeColor="text1"/>
          <w:sz w:val="24"/>
          <w:szCs w:val="24"/>
          <w:vertAlign w:val="superscript"/>
          <w:lang w:val="en-IN"/>
          <w14:textFill>
            <w14:solidFill>
              <w14:schemeClr w14:val="tx1"/>
            </w14:solidFill>
          </w14:textFill>
        </w:rPr>
        <w:t>7</w:t>
      </w:r>
    </w:p>
    <w:p>
      <w:pPr>
        <w:pBdr>
          <w:bottom w:val="single" w:color="auto" w:sz="4" w:space="1"/>
        </w:pBdr>
        <w:spacing w:before="54" w:after="0" w:line="276" w:lineRule="auto"/>
        <w:jc w:val="center"/>
        <w:rPr>
          <w:rFonts w:ascii="Times New Roman" w:hAnsi="Times New Roman" w:cs="Times New Roman"/>
          <w:color w:val="000000" w:themeColor="text1"/>
          <w:vertAlign w:val="baseline"/>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1234</w:t>
      </w:r>
      <w:r>
        <w:rPr>
          <w:rFonts w:ascii="Times New Roman" w:hAnsi="Times New Roman" w:cs="Times New Roman"/>
          <w:color w:val="000000" w:themeColor="text1"/>
          <w:vertAlign w:val="baseline"/>
          <w14:textFill>
            <w14:solidFill>
              <w14:schemeClr w14:val="tx1"/>
            </w14:solidFill>
          </w14:textFill>
        </w:rPr>
        <w:t>Student,VIT, Nagpur</w:t>
      </w:r>
    </w:p>
    <w:p>
      <w:pPr>
        <w:pBdr>
          <w:bottom w:val="single" w:color="auto" w:sz="4" w:space="1"/>
        </w:pBdr>
        <w:spacing w:before="54" w:after="0" w:line="276" w:lineRule="auto"/>
        <w:jc w:val="center"/>
        <w:rPr>
          <w:rFonts w:ascii="Times New Roman" w:hAnsi="Times New Roman" w:cs="Times New Roman"/>
          <w:color w:val="000000" w:themeColor="text1"/>
          <w:vertAlign w:val="baseline"/>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5</w:t>
      </w:r>
      <w:r>
        <w:rPr>
          <w:rFonts w:hint="default" w:ascii="Times New Roman" w:hAnsi="Times New Roman" w:cs="Times New Roman"/>
          <w:color w:val="000000" w:themeColor="text1"/>
          <w:vertAlign w:val="superscript"/>
          <w:lang w:val="en-IN"/>
          <w14:textFill>
            <w14:solidFill>
              <w14:schemeClr w14:val="tx1"/>
            </w14:solidFill>
          </w14:textFill>
        </w:rPr>
        <w:t>67</w:t>
      </w:r>
      <w:r>
        <w:rPr>
          <w:rFonts w:ascii="Times New Roman" w:hAnsi="Times New Roman" w:cs="Times New Roman"/>
          <w:color w:val="000000" w:themeColor="text1"/>
          <w:vertAlign w:val="baseline"/>
          <w14:textFill>
            <w14:solidFill>
              <w14:schemeClr w14:val="tx1"/>
            </w14:solidFill>
          </w14:textFill>
        </w:rPr>
        <w:t>Prof. VIT,Nagpur</w:t>
      </w:r>
    </w:p>
    <w:p>
      <w:pPr>
        <w:spacing w:before="54" w:after="0" w:line="276" w:lineRule="auto"/>
        <w:jc w:val="left"/>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after="0" w:line="240" w:lineRule="auto"/>
        <w:jc w:val="both"/>
        <w:rPr>
          <w:rFonts w:hint="default" w:ascii="Times New Roman" w:hAnsi="Times New Roman" w:cs="Times New Roman"/>
          <w:b w:val="0"/>
          <w:bCs/>
          <w:color w:val="000000" w:themeColor="text1"/>
          <w:sz w:val="20"/>
          <w:szCs w:val="20"/>
          <w:lang w:val="en-GB"/>
          <w14:textFill>
            <w14:solidFill>
              <w14:schemeClr w14:val="tx1"/>
            </w14:solidFill>
          </w14:textFill>
        </w:rPr>
      </w:pPr>
      <w:r>
        <w:rPr>
          <w:rFonts w:hint="default" w:ascii="Times New Roman" w:hAnsi="Times New Roman" w:cs="Times New Roman"/>
          <w:b w:val="0"/>
          <w:bCs/>
          <w:color w:val="000000" w:themeColor="text1"/>
          <w:sz w:val="20"/>
          <w:szCs w:val="20"/>
          <w:lang w:val="en-GB"/>
          <w14:textFill>
            <w14:solidFill>
              <w14:schemeClr w14:val="tx1"/>
            </w14:solidFill>
          </w14:textFill>
        </w:rPr>
        <w:t>The Hybrid Solar and Wind Energy System for Electric Vehicle (EV) Charging is a pioneering approach that seeks to maximize the use of renewable energy for EV charging, ultimately contributing to a greener and more sustainable future. This system integrates a wind power supply with solar energy, creating a hybrid setup that efficiently generates electricity. The wind power supply consists of a vertical fan structure connected to a shaft, which turns when struck by wind, driving a generator that produces DC power. Concurrently, the solar power supply uses three solar panels that convert solar energy into electrical energy, feeding it into a DC-DC converter. This combined energy source is stored in batteries to power EV charging stations, reducing reliance on fossil fuels and decreasing the demand for electricity from the national grid. The design of this system emphasizes effective energy generation, economic viability, and environmental impact. By harnessing renewable energy, the hybrid solar-wind system not only reduces carbon emissions but also lowers the overall cost of energy production. The system's resilience and reliability are tested against extreme weather conditions, ensuring consistent operation even in challenging scenarios. To ensure user satisfaction, the design incorporates a real-time battery level monitoring system using ESP 32 energy monitoring technology, allowing users to track their EV's charging progress and providing protection against overcharging and thermal runaway. This approach aims to minimize energy waste while offering a reliable and safe charging experience. The implementation of this hybrid system involves a comprehensive methodology that includes system design, hardware implementation, and rigorous testing to validate performance and optimize efficiency. MATLAB simulations and modeling techniques are used to evaluate the system's performance and to understand energy generation patterns. The goal is to maximize the utilization of renewable energy while maintaining a reliable and efficient charging process. Additionally, the system explores smart grid integration to further enhance the utilization of renewable energy. Through this initiative, the project demonstrates the potential for using renewable energy sources to support the growing infrastructure needs for EV charging, presenting a viable alternative to traditional grid-based energy sources.</w:t>
      </w:r>
    </w:p>
    <w:p>
      <w:pPr>
        <w:spacing w:after="0" w:line="240" w:lineRule="auto"/>
        <w:jc w:val="both"/>
        <w:rPr>
          <w:rFonts w:hint="default" w:ascii="Times New Roman" w:hAnsi="Times New Roman" w:cs="Times New Roman"/>
          <w:b w:val="0"/>
          <w:bCs/>
          <w:color w:val="000000" w:themeColor="text1"/>
          <w:sz w:val="20"/>
          <w:szCs w:val="20"/>
          <w:lang w:val="en-GB"/>
          <w14:textFill>
            <w14:solidFill>
              <w14:schemeClr w14:val="tx1"/>
            </w14:solidFill>
          </w14:textFill>
        </w:rPr>
      </w:pPr>
    </w:p>
    <w:p>
      <w:pPr>
        <w:spacing w:after="0" w:line="240" w:lineRule="auto"/>
        <w:jc w:val="both"/>
        <w:rPr>
          <w:rFonts w:hint="default" w:ascii="Times New Roman" w:hAnsi="Times New Roman" w:cs="Times New Roman"/>
          <w:b w:val="0"/>
          <w:bCs/>
          <w:color w:val="000000" w:themeColor="text1"/>
          <w:sz w:val="20"/>
          <w:szCs w:val="20"/>
          <w:lang w:val="en-GB"/>
          <w14:textFill>
            <w14:solidFill>
              <w14:schemeClr w14:val="tx1"/>
            </w14:solidFill>
          </w14:textFill>
        </w:rPr>
      </w:pPr>
      <w:r>
        <w:rPr>
          <w:rFonts w:hint="default" w:ascii="Times New Roman" w:hAnsi="Times New Roman" w:cs="Times New Roman"/>
          <w:b w:val="0"/>
          <w:bCs/>
          <w:color w:val="000000" w:themeColor="text1"/>
          <w:sz w:val="20"/>
          <w:szCs w:val="20"/>
          <w:lang w:val="en-GB"/>
          <w14:textFill>
            <w14:solidFill>
              <w14:schemeClr w14:val="tx1"/>
            </w14:solidFill>
          </w14:textFill>
        </w:rPr>
        <w:t>Keywords: Bladeless Wind Turbine, Electric Vehicle Charging Station, Renewable Energy, Energy Monitoring System</w:t>
      </w:r>
    </w:p>
    <w:p>
      <w:pPr>
        <w:spacing w:after="0" w:line="240" w:lineRule="auto"/>
        <w:jc w:val="both"/>
        <w:rPr>
          <w:rFonts w:hint="default" w:ascii="Times New Roman" w:hAnsi="Times New Roman" w:cs="Times New Roman"/>
          <w:b w:val="0"/>
          <w:bCs/>
          <w:color w:val="000000" w:themeColor="text1"/>
          <w:sz w:val="20"/>
          <w:szCs w:val="20"/>
          <w14:textFill>
            <w14:solidFill>
              <w14:schemeClr w14:val="tx1"/>
            </w14:solidFill>
          </w14:textFill>
        </w:rPr>
      </w:pPr>
      <w:r>
        <w:rPr>
          <w:rFonts w:hint="default" w:ascii="Times New Roman" w:hAnsi="Times New Roman" w:cs="Times New Roman"/>
          <w:b w:val="0"/>
          <w:bCs/>
          <w:color w:val="000000" w:themeColor="text1"/>
          <w:sz w:val="20"/>
          <w:szCs w:val="20"/>
          <w:lang w:val="en-GB"/>
          <w14:textFill>
            <w14:solidFill>
              <w14:schemeClr w14:val="tx1"/>
            </w14:solidFill>
          </w14:textFill>
        </w:rPr>
        <w:t>.</w:t>
      </w:r>
    </w:p>
    <w:p>
      <w:pPr>
        <w:spacing w:after="0" w:line="240" w:lineRule="auto"/>
        <w:jc w:val="both"/>
        <w:rPr>
          <w:rFonts w:ascii="Times New Roman" w:hAnsi="Times New Roman" w:cs="Times New Roman"/>
          <w:b w:val="0"/>
          <w:bCs/>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hint="default" w:ascii="Times New Roman" w:hAnsi="Times New Roman" w:cs="Times New Roman"/>
          <w:b/>
          <w:bCs/>
          <w:color w:val="000000" w:themeColor="text1"/>
          <w:sz w:val="18"/>
          <w:szCs w:val="20"/>
          <w:lang w:val="en-IN"/>
          <w14:textFill>
            <w14:solidFill>
              <w14:schemeClr w14:val="tx1"/>
            </w14:solidFill>
          </w14:textFill>
        </w:rPr>
      </w:pPr>
    </w:p>
    <w:p>
      <w:pPr>
        <w:pStyle w:val="15"/>
        <w:numPr>
          <w:ilvl w:val="0"/>
          <w:numId w:val="3"/>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lang w:eastAsia="zh-TW"/>
        </w:rPr>
        <w:t xml:space="preserve"> </w:t>
      </w:r>
      <w:r>
        <w:rPr>
          <w:rFonts w:hint="default" w:ascii="Times New Roman" w:hAnsi="Times New Roman" w:cs="Times New Roman"/>
          <w:sz w:val="20"/>
          <w:szCs w:val="20"/>
        </w:rPr>
        <w:t xml:space="preserve">Electric vehicles (EVs) are rapidly gaining popularity as a cleaner and more sustainable alternative to traditional internal combustion engine vehicles. However, the growing adoption of EVs brings with it a significant demand for reliable and efficient charging infrastructure. While the conventional method of powering EV charging stations relies heavily on the national power grid, this approach is not without its drawbacks. The grid is often powered by non-renewable energy sources like coal and natural gas, contributing to carbon emissions and environmental degradation. To address these concerns, our system introduces a Bladeless Wind Turbine designed explicitly for electric vehicle charging stations, offering a more eco-friendly and sustainable solution. This system combines solar and wind energy to create a hybrid renewable energy source for EV charging. The wind power component features a vertically oriented fan structure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connected to a rotating shaft. When wind strikes the fan's blades, it causes the shaft to rotate, which in turn drives a generator that produces direct current (DC) electricity. The solar power component consists of three solar panels that convert sunlight into electrical energy. This energy is passed through a DC-DC converter and stored in batteries, ensuring a continuous and reliable power supply for EV charging stations. By combining these two renewable energy sources, the system aims to reduce reliance on the national grid and minimize the environmental impact associated with traditional energy sources. Beyond the technical aspects of energy generation, this system addresses several critical factors that contribute to its effectiveness and sustainability. One such factor is resilience and reliability. Given that renewable energy sources can be influenced by weather conditions, it's crucial that the system is capable of maintaining consistent performance even under adverse conditions. To achieve this, the design includes thorough testing and optimization, ensuring the hybrid system can withstand extreme weather events and continue to supply power for EV charging. Additionally, the system incorporates advanced energy monitoring technology, using an ESP 32-based setup to track key parameters like current, voltage, power, and temperature. This real-time monitoring not only ensures efficient energy utilization but also enhances safety by preventing overcharging and thermal runaway. Ultimately, this Bladeless Wind Turbine aims to revolutionize the way we power electric vehicle charging stations. By harnessing renewable energy sources, the system contributes to a greener future and reduces the environmental impact of EV charging. Furthermore, it provides a cost-effective alternative to grid-based power, offering a sustainable solution that can be scaled to meet the increasing demand for EV charging infrastructure. The detailed design, robust hardware implementation, and thorough testing and optimization make this system a viable and promising option for the next generation of eco-friendly electric vehicle charging stations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w:t>
      </w:r>
    </w:p>
    <w:p>
      <w:pPr>
        <w:pStyle w:val="15"/>
        <w:numPr>
          <w:ilvl w:val="0"/>
          <w:numId w:val="4"/>
        </w:numPr>
        <w:spacing w:before="54" w:after="0" w:line="276" w:lineRule="auto"/>
        <w:ind w:left="720" w:leftChars="0" w:hanging="360" w:firstLineChars="0"/>
        <w:jc w:val="center"/>
        <w:rPr>
          <w:rFonts w:hint="default" w:ascii="Times New Roman" w:hAnsi="Times New Roman" w:cs="Times New Roman"/>
          <w:sz w:val="20"/>
          <w:szCs w:val="20"/>
        </w:rPr>
      </w:pPr>
      <w:r>
        <w:rPr>
          <w:rFonts w:hint="default" w:ascii="Times New Roman" w:hAnsi="Times New Roman" w:cs="Times New Roman"/>
          <w:b/>
          <w:bCs/>
          <w:sz w:val="20"/>
          <w:szCs w:val="20"/>
        </w:rPr>
        <w:t>PROBLEM STATEMENT</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1. Reliance on Non-Renewable Energy: Current electric vehicle (EV) charging stations heavily depend on the national power grid, primarily powered by non-renewable sources such as coal and natural gas.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2. Environmental Degradation: The use of fossil fuels for electricity generation contributes to carbon emissions and environmental pollution, exacerbating climate change and air quality issues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3. Limited Sustainability: Traditional charging infrastructure lacks sustainability, hindering efforts to transition towards a cleaner and more environmentally friendly transportation system.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4. Inefficient Energy Utilization: Grid-based charging systems often waste energy due to inefficiencies in energy generation, transmission, and distribution.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5. Weather Dependency: Renewable energy sources like solar and wind are subject to weather fluctuations, leading to intermittency in power generation and potential challenges in meeting EV charging demands.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6. Grid Overload: High demand for EV charging during peak hours can strain the national grid, leading to grid instability and potential blackouts.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7. Lack of Resilience: Existing charging infrastructure may not be resilient enough to withstand extreme weather events, resulting in service disruptions and reduced reliability. </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8. Cost Burden: The reliance on grid-based electricity for EV charging incurs high costs for both consumers and grid operators, posing financial challenges for widespread adoption of electric vehicles. </w:t>
      </w:r>
    </w:p>
    <w:p>
      <w:pPr>
        <w:spacing w:before="54" w:after="0" w:line="276" w:lineRule="auto"/>
        <w:jc w:val="both"/>
        <w:rPr>
          <w:rFonts w:hint="default" w:ascii="Times New Roman" w:hAnsi="Times New Roman" w:cs="Times New Roman"/>
          <w:sz w:val="20"/>
          <w:szCs w:val="20"/>
        </w:rPr>
      </w:pPr>
    </w:p>
    <w:p>
      <w:pPr>
        <w:numPr>
          <w:ilvl w:val="0"/>
          <w:numId w:val="4"/>
        </w:numPr>
        <w:spacing w:before="54" w:after="0" w:line="276" w:lineRule="auto"/>
        <w:ind w:left="720" w:leftChars="0" w:hanging="360" w:firstLineChars="0"/>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en-IN"/>
        </w:rPr>
        <w:t xml:space="preserve"> </w:t>
      </w:r>
      <w:r>
        <w:rPr>
          <w:rFonts w:hint="default" w:ascii="Times New Roman" w:hAnsi="Times New Roman" w:cs="Times New Roman"/>
          <w:b/>
          <w:bCs/>
          <w:sz w:val="20"/>
          <w:szCs w:val="20"/>
        </w:rPr>
        <w:t>OBJECTIVES OF THE PROJECT</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Objectives of the BLADELESS WIND TURBINE for ecofriendly Electric Vehicle Charging Station are as follows:</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Design a Bladeless Wind Turbine to provide a sustainable and eco-friendly source of energy for electric vehicle (EV) charging stations, reducing reliance on non-renewable energy.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Lower carbon emissions and minimize environmental damage by using renewable energy for EV charging, contributing to a greener future.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Ensure the charging station's resilience and reliability, even during extreme weather conditions, through comprehensive testing and system optimization.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Optimize the system's energy utilization to minimize waste and improve overall efficiency, using advanced energy monitoring technology.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Implement safety features to prevent overcharging and thermal runaway, while providing a </w:t>
      </w:r>
      <w:r>
        <w:rPr>
          <w:rFonts w:hint="default" w:ascii="Times New Roman" w:hAnsi="Times New Roman" w:cs="Times New Roman"/>
          <w:sz w:val="20"/>
          <w:szCs w:val="20"/>
          <w:lang w:val="en-IN"/>
        </w:rPr>
        <w:t>user friendly</w:t>
      </w:r>
      <w:r>
        <w:rPr>
          <w:rFonts w:hint="default" w:ascii="Times New Roman" w:hAnsi="Times New Roman" w:cs="Times New Roman"/>
          <w:sz w:val="20"/>
          <w:szCs w:val="20"/>
        </w:rPr>
        <w:t xml:space="preserve"> experience with real-time battery level </w:t>
      </w:r>
      <w:r>
        <w:rPr>
          <w:rFonts w:hint="default" w:ascii="Times New Roman" w:hAnsi="Times New Roman" w:cs="Times New Roman"/>
          <w:sz w:val="20"/>
          <w:szCs w:val="20"/>
          <w:lang w:val="en-IN"/>
        </w:rPr>
        <w:t>monitoring the</w:t>
      </w:r>
      <w:r>
        <w:rPr>
          <w:rFonts w:hint="default" w:ascii="Times New Roman" w:hAnsi="Times New Roman" w:cs="Times New Roman"/>
          <w:sz w:val="20"/>
          <w:szCs w:val="20"/>
        </w:rPr>
        <w:t xml:space="preserve"> body of the paper consists of numbered sections that present the main findings. These sections should be organized to best present the material.</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Assess the financial feasibility of the Bladeless Wind Turbine for EV charging stations through costbenefit analysis.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Explore smart grid integration to enhance the flexibility and efficiency of the energy distribution system, supporting broader renewable energy initiatives. </w:t>
      </w:r>
    </w:p>
    <w:p>
      <w:pPr>
        <w:numPr>
          <w:ilvl w:val="0"/>
          <w:numId w:val="5"/>
        </w:numPr>
        <w:spacing w:before="54" w:after="0" w:line="276" w:lineRule="auto"/>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Promote the expansion of EV charging infrastructure by demonstrating the viability of a hybrid renewable energy system, supporting the transition to electric transportation.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Model and Material which are used is presented in this section. Table and model should be in prescribed format.</w:t>
      </w:r>
    </w:p>
    <w:p>
      <w:pPr>
        <w:pStyle w:val="15"/>
        <w:numPr>
          <w:ilvl w:val="0"/>
          <w:numId w:val="0"/>
        </w:numPr>
        <w:spacing w:before="54" w:after="0" w:line="276" w:lineRule="auto"/>
        <w:ind w:left="360" w:leftChars="0"/>
        <w:jc w:val="both"/>
        <w:rPr>
          <w:rFonts w:hint="default" w:ascii="Times New Roman" w:hAnsi="Times New Roman" w:cs="Times New Roman"/>
          <w:b/>
          <w:bCs/>
          <w:sz w:val="24"/>
          <w:szCs w:val="24"/>
        </w:rPr>
      </w:pPr>
    </w:p>
    <w:p>
      <w:pPr>
        <w:pStyle w:val="15"/>
        <w:numPr>
          <w:ilvl w:val="0"/>
          <w:numId w:val="4"/>
        </w:numPr>
        <w:spacing w:before="54" w:after="0" w:line="276"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LITERATURE REVIEW</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transition to electric vehicles (EVs) has emerged as a critical component in global efforts to reduce carbon emissions and combat climate change. As the adoption of EVs increases, so does the demand for efficient and sustainable charging infrastructure. In this context, the literature surrounding Bladeless Wind Turbines for EV charging stations provides valuable insights into the technological advancements, environmental benefits, economic considerations, and user experience improvements. Renewable Energy Sources for EV Charging The use of renewable energy sources for EV charging has been extensively studied. Solar and wind energy are among the most widely available and environmentally friendly options. Solar energy harnesses photovoltaic technology to convert sunlight into electricity, while wind energy utilizes turbines to generate power from wind currents. Both sources are inherently variable, with solar energy depending on sunlight and wind energy on weather patterns. However, when combined into a hybrid system, they offer complementary benefits, increasing overall energy reliability. Environmental Impact and Sustainability A significant focus of the literature is the environmental impact of renewable energy sources. Studies have shown that solar and wind power reduce greenhouse gas emissions compared to fossil fuel-based power generation. In the context of EV charging stations, hybrid systems can significantly lower the carbon footprint. By utilizing renewable energy, these systems contribute to a more sustainable transportation infrastructure. The literature also emphasizes the importance of reducing reliance on non-renewable sources, highlighting the long-term environmental benefits of renewable energy adoption. Economic Viability and Cost-Benefit Analysis Economic considerations play a crucial role in the feasibility of </w:t>
      </w:r>
      <w:r>
        <w:rPr>
          <w:rFonts w:hint="default" w:ascii="Times New Roman" w:hAnsi="Times New Roman" w:cs="Times New Roman"/>
          <w:sz w:val="20"/>
          <w:szCs w:val="20"/>
          <w:lang w:val="en-IN"/>
        </w:rPr>
        <w:t>Blameless</w:t>
      </w:r>
      <w:r>
        <w:rPr>
          <w:rFonts w:hint="default" w:ascii="Times New Roman" w:hAnsi="Times New Roman" w:cs="Times New Roman"/>
          <w:sz w:val="20"/>
          <w:szCs w:val="20"/>
        </w:rPr>
        <w:t xml:space="preserve"> Wind Turbines for EV charging. The literature suggests that initial costs for installing renewable energy systems can be high, but the long-term benefits, including reduced energy bills and government incentives, often outweigh these costs. Cost-benefit analyses in various studies reveal that hybrid systems can be economically viable, especially when considering the decreasing costs of solar panels and wind turbines over time. Furthermore, integrating smart grid technology can optimize energy distribution, further enhancing economic efficiency. 14 Resilience and Reliability Given the variability of renewable energy sources, system resilience and reliability are critical factors in the literature. Researchers have explored various design strategies to ensure that hybrid systems can withstand extreme weather conditions and maintain a consistent energy supply. These strategies include robust system architecture, advanced energy storage solutions, and redundancy to minimize downtime. Additionally, the literature emphasizes the importance of comprehensive testing and optimization to ensure the system's reliability under different scenarios. User Experience and Safety The user experience is another important aspect covered in the literature. Charging stations need to be user-friendly, with real-time monitoring and safety features to prevent overcharging and thermal runaway. Studies have highlighted the role of technology, such as ESP 32-based energy monitoring systems and smart grid integration, in enhancing the user experience. These technologies allow users to track their EV's charging progress and ensure a safe and efficient charging process.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“Feasibility of Grid-connected Solar-wind Hybrid System with Electric Vehicle Charging Station”, July 2020, Shakti Singh; Prachi Chauhan; Nirbhow Jap Singh.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This paper introduces a grid-connected solar-wind hybrid system tailored to meet the electrical needs of a small shopping complex situated within a university campus in India. Additionally, it integrates an electric vehicle (EV) charging station into the setup. Economic viability is assessed for this proposed configuration, accounting for both EV charging requirements and the electricity demands of the shopping complex. The system design factors in the cost of purchased energy, which is sold back to the utility grid, while facilitating power exchange among grid-connected components. Component sizing is optimized to achieve the lowest levelized cost of electricity (LCOE) while minimizing the loss of power supply probability (LPSP) using state-of-the-art optimization techniques. Results indicate an LCOE of 0.038 $/kWh and an LPSP of 0.19% with a renewable fraction of 0.87, showcasing the potential for cost-effective and reliable energy systems through efficient management of renewable generation and load demands. Such systems offer promising solutions for reducing strain on overloaded grids, particularly in developing nations.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“On-tree fruit monitoring system using IoT and image analysis”, February 2021, Santi Kumari Behera, Prabira Kumar Sethy.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This paper underscores the significance of on-tree fruit monitoring in agricultural practices, crucial for precisely assessing fruit quality, quantity, and maturity levels within the farm. In extensive farms, 17 manually inspecting individual trees becomes a challenging task, marked by its time-consuming, laborintensive, and error-prone nature. Recognizing the advancements in image processing and the Internet of Things (IoT) as standalone techniques, this paper proposes a framework that synergistically integrates these technologies for on-tree fruit monitoring. In agriculture, image processing has proven effective for crop diagnosis, while IoT-based systems, leveraging sensors, enable remote monitoring of field conditions. The suggested framework not only addresses the limitations of manual inspection but also achieves impressive results with on-tree counting and size estimation, showcasing coefficient of correlation (R2) values of 0.994 and 0.997, respectively. This innovative combination of image processing and IoT presents a promising approach for efficient and accurate on-tree fruit monitoring in large agricultural settings.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“Renewable Energy Source Based Hybrid Power Plant for Electric Vehicle (EV) Charging Station in Rural Area”, May 2022, Liney Ajay J, Dhananjayan S. P, Gowtham V.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This paper outlines the design of a photovoltaic (PV) based electric vehicle charging station that predicts the total power output under specific conditions in Ankara, Turkey. The study begins by defining the parameters of PV cells and then designs a PV array, using these cells to compute the cumulative effect. By incorporating real-world irradiation and temperature data, the model aims to estimate the future power output for electric vehicle charging needs. Electric vehicles have numerous benefits, such as easy access to and abundant sources of electrical energy. The paper's goal is to determine the optimal configuration of hybrid power systems for a charging station in a rural setting, specifically in Labuan Bajo, Indonesia. The most effective setup involves three types of energy storage: lead-acid batteries and two types of lithium batteries (Lithium-Ion and Lithium Ferro Phosphate, or LFP), to achieve the lowest operating cost and energy expense over a year. Results indicate that the optimal configuration for off-grid charging stations uses a hybrid system combining PV and Distributed Energy Resources (DER). The ideal battery choice for off-grid systems was found to be UNS LFP batteries. In conclusion, employing hybrid power generation technology can help unlock the potential for renewable energy in rural regions, providing a key pathway to affordable charging stations to support electric vehicle infrastructure in these areas. </w:t>
      </w:r>
    </w:p>
    <w:p>
      <w:pPr>
        <w:spacing w:before="54" w:after="0" w:line="276" w:lineRule="auto"/>
        <w:jc w:val="both"/>
        <w:rPr>
          <w:rFonts w:hint="default" w:ascii="Times New Roman" w:hAnsi="Times New Roman" w:cs="Times New Roman"/>
          <w:b/>
          <w:bCs/>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“Hybrid Wind/PV E-Bike Charging Station: Comparison of Onshore and Offshore Systems”, October 2023, Wardah Afzal, Li-Ye Zhao, Guang-Zhi Chen.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This paper explores the concept of harnessing renewable energy sources like wind and solar to generate electricity for E-bike (electric bike) charging stations. To optimize the design and operation of a wind–solar E-bike charging station system, the study proposes a hybrid power generation model that combines solar and wind energy with battery storage. A university campus serves as the setting for the case study, focusing on both offshore (HuangDao) and onshore (Laoshan) sites. The key objectives 18 are to evaluate the wind/solar characteristics at the installation site using data from the last 20 years, calculate the Annual Energy Production (AEP) for wind turbines and solar PV, and estimate how many E-bikes can be reliably charged per day and per year. The study found that the hybrid power system produced an average of 27.08 kWh/day at the offshore site and 22 kWh/day at the onshore site. According to the AEP calculations, this would allow for charging 5,110 E-bikes per year offshore and 4,015 E-bikes per year onshore. Additionally, the study estimates the Cost of Energy (COE) over 20 years for the proposed project, finding that it's $0.62/kWh onshore and $0.46/kWh offshore. Overall, the research demonstrates the viability of utilizing hybrid power generation systems to provide energy for E-bike charging stations, with significant implications for renewable energy utilization and costeffective operations.</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“Hybrid genetic algorithm-simulated annealing based electric vehicle charging station placement for optimizing distribution network resilience”, April 2024, Boya Anil Kumar, B. Jyothi, Arvind R. Singh.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This paper addresses the critical task of rapidly deploying electric vehicle charging stations (EVCSs) to meet the demands of the expanding electric vehicle (EV) fleet. As the transportation industry shifts towards EVs to reduce greenhouse gas emissions, integrating Plug-in EV Charging Stations (PEVCS) into distribution networks poses significant challenges, particularly when distributed photovoltaic (PV) systems are involved. The study employs a hybrid Genetic Algorithm and Simulated Annealing method (GA-SAA) to strategically determine the optimal locations for PEVCS, aiming to ease the integration process. It presents the issue as a multicriteria problem with two key objectives: reducing power losses and maintaining stable voltage levels. The focus is on finding a balanced solution for integrating charging stations within distribution networks that also feature distributed generation, like PV systems. By optimizing the placement of EVCS and ensuring a smooth integration with distributed generation, this approach aims to improve the sustainability and reliability of distribution networks.</w:t>
      </w:r>
    </w:p>
    <w:p>
      <w:pPr>
        <w:pStyle w:val="15"/>
        <w:numPr>
          <w:ilvl w:val="0"/>
          <w:numId w:val="4"/>
        </w:numPr>
        <w:spacing w:before="54" w:after="0" w:line="276"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METHODOLOGY</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The methodology for developing a Bladeless Wind Turbine for electric vehicle (EV) charging stations involves a comprehensive approach that integrates renewable energy sources, innovative technology, and robust system design. This section outlines the key steps and considerations in designing, implementing, and testing this system, emphasizing the importance of efficient energy generation, user safety, and performance optimization. The methodology serves as a roadmap for creating an ecofriendly and sustainable charging infrastructure for electric vehicles, leveraging the combined strengths of solar and wind energy.</w:t>
      </w:r>
    </w:p>
    <w:p>
      <w:pPr>
        <w:spacing w:before="54"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3183255" cy="1977390"/>
            <wp:effectExtent l="0" t="0" r="17145" b="381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pic:cNvPicPr>
                  </pic:nvPicPr>
                  <pic:blipFill>
                    <a:blip r:embed="rId12"/>
                    <a:stretch>
                      <a:fillRect/>
                    </a:stretch>
                  </pic:blipFill>
                  <pic:spPr>
                    <a:xfrm>
                      <a:off x="0" y="0"/>
                      <a:ext cx="3183255" cy="1977390"/>
                    </a:xfrm>
                    <a:prstGeom prst="rect">
                      <a:avLst/>
                    </a:prstGeom>
                    <a:noFill/>
                    <a:ln>
                      <a:noFill/>
                    </a:ln>
                  </pic:spPr>
                </pic:pic>
              </a:graphicData>
            </a:graphic>
          </wp:inline>
        </w:drawing>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System Design and Configuration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first step in the methodology is designing a hybrid system that effectively combines solar and wind energy to create a reliable power source for EV charging stations. This design phase involves selecting appropriate solar panels, wind turbines, and other components to ensure optimal energy generation and conversion. Solar panels are chosen based on their efficiency, durability, and capacity to convert sunlight into electricity. Wind turbines are selected to ensure adequate power generation from prevailing wind patterns. The design process also considers the overall layout of the system, including the placement of solar panels, wind turbines, and energy storage units. To enhance energy efficiency and minimize waste, the design incorporates a DC-DC converter to regulate the electricity produced by the solar panels. The output from the solar panels is connected to the converter, which stabilizes the voltage and ensures consistent power delivery to the battery storage. Similarly, the wind turbines are connected to a generator that produces DC electricity, which is also stored in batteries. This hybrid configuration allows for a steady energy supply, even when one of the renewable sources is not generating power.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Hardware Implementation and Energy Storage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Once the system design is finalized, the next step is hardware implementation. This involves the physical installation of solar panels, wind turbines, and other components on-site. During this stage, careful attention is paid to the structural integrity of the installation, ensuring that it can withstand environmental factors such as wind, rain, and extreme temperatures. The energy storage system, typically consisting of high-capacity batteries, is also installed to store the electricity generated by the solar and wind components. These batteries play a crucial role in providing a consistent power source for EV charging, even during periods of low solar or wind activity. To monitor the system's performance and ensure user safety, advanced energy monitoring technology is integrated into the hardware. The ESP 32 energy monitoring system, along with sensors for current, voltage, power, and temperature, provides real-time data on the system's operation. This data is 21 displayed on an OLED screen, allowing users to monitor the charging station's status and battery level. Additionally, this monitoring system helps prevent overcharging and thermal runaway, ensuring safe and reliable operation.</w:t>
      </w:r>
    </w:p>
    <w:p>
      <w:pPr>
        <w:spacing w:before="54" w:after="0" w:line="276" w:lineRule="auto"/>
        <w:jc w:val="both"/>
        <w:rPr>
          <w:rFonts w:hint="default" w:ascii="Times New Roman" w:hAnsi="Times New Roman" w:cs="Times New Roman"/>
          <w:b/>
          <w:bCs/>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 Testing and Optimization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testing phase is critical in ensuring the system's reliability and performance. After the hardware implementation, the entire system undergoes rigorous testing to evaluate its efficiency and identify any potential issues. This includes testing under various weather conditions to ensure the system's resilience and reliability. The Bladeless Wind Turbine is evaluated for its ability to generate sufficient energy for EV charging, even during challenging scenarios such as cloudy days or low wind activity. Performance optimization is an ongoing process, with data analysis playing a significant role. The realtime monitoring system provides valuable insights into energy generation patterns, battery charging trends, and correlations between solar/wind availability and EV charging demand. This data is used to fine-tune the system, making adjustments to improve efficiency and minimize energy waste. Additionally, the methodology explores smart grid integration to maximize the utilization of renewable energy and enhance overall system performance.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Safety and User Experience </w:t>
      </w:r>
    </w:p>
    <w:p>
      <w:pPr>
        <w:spacing w:before="54" w:after="0" w:line="276" w:lineRule="auto"/>
        <w:jc w:val="both"/>
        <w:rPr>
          <w:rFonts w:hint="default" w:ascii="Times New Roman" w:hAnsi="Times New Roman" w:cs="Times New Roman"/>
          <w:sz w:val="20"/>
          <w:szCs w:val="20"/>
        </w:rPr>
      </w:pP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The final aspect of the methodology focuses on safety and user experience. The system is designed with safety features to protect against overcharging, thermal runaway, and other potential hazards. The real-time monitoring system plays a crucial role in ensuring user safety by providing clear information about the battery level and system status. This user-friendly approach enhances the charging experience, making it easy for EV owners to track their vehicle's charging progress and ensure safe operation. In summary, the methodology for developing a Bladeless Wind Turbine for electric vehicle charging stations involves a detailed approach that combines system design, hardware implementation, testing, and optimization. By integrating renewable energy sources and advanced monitoring technology, this methodology creates a reliable, efficient, and safe charging infrastructure for electric vehicles, contributing to a more sustainable and eco-friendly future</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w:t>
      </w:r>
    </w:p>
    <w:p>
      <w:pPr>
        <w:pStyle w:val="23"/>
        <w:numPr>
          <w:ilvl w:val="0"/>
          <w:numId w:val="4"/>
        </w:numPr>
        <w:ind w:left="720" w:leftChars="0" w:hanging="360" w:firstLineChars="0"/>
        <w:jc w:val="center"/>
        <w:rPr>
          <w:rFonts w:hint="default" w:ascii="Times New Roman" w:hAnsi="Times New Roman" w:cs="Times New Roman"/>
          <w:b/>
          <w:sz w:val="20"/>
          <w:szCs w:val="20"/>
        </w:rPr>
      </w:pPr>
      <w:r>
        <w:rPr>
          <w:rFonts w:hint="default" w:ascii="Times New Roman" w:hAnsi="Times New Roman" w:cs="Times New Roman"/>
          <w:b/>
          <w:sz w:val="20"/>
          <w:szCs w:val="20"/>
        </w:rPr>
        <w:t>WORKING OF WIND TURBINE</w:t>
      </w:r>
    </w:p>
    <w:p>
      <w:pPr>
        <w:pStyle w:val="23"/>
        <w:numPr>
          <w:ilvl w:val="0"/>
          <w:numId w:val="0"/>
        </w:numPr>
        <w:jc w:val="both"/>
        <w:rPr>
          <w:rFonts w:hint="default" w:ascii="Times New Roman" w:hAnsi="Times New Roman" w:cs="Times New Roman"/>
          <w:b/>
          <w:sz w:val="20"/>
          <w:szCs w:val="20"/>
        </w:rPr>
      </w:pP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Wind turbines are a central component in the Bladeless Wind Turbine, providing an additional source 24 of renewable energy for the electric vehicle (EV) charging station. These turbines harness the kinetic energy of wind and convert it into electrical energy through a series of mechanical and electrical processes. This section describes the detailed working of wind turbines, covering their structure, energy conversion process, and integration into the hybrid system. </w:t>
      </w:r>
    </w:p>
    <w:p>
      <w:pPr>
        <w:pStyle w:val="23"/>
        <w:jc w:val="both"/>
        <w:rPr>
          <w:rFonts w:hint="default" w:ascii="Times New Roman" w:hAnsi="Times New Roman" w:cs="Times New Roman"/>
          <w:b w:val="0"/>
          <w:bCs/>
          <w:sz w:val="20"/>
          <w:szCs w:val="20"/>
        </w:rPr>
      </w:pPr>
    </w:p>
    <w:p>
      <w:pPr>
        <w:pStyle w:val="23"/>
        <w:jc w:val="both"/>
        <w:rPr>
          <w:rFonts w:hint="default" w:ascii="Times New Roman" w:hAnsi="Times New Roman" w:cs="Times New Roman"/>
          <w:b w:val="0"/>
          <w:bCs/>
          <w:sz w:val="20"/>
          <w:szCs w:val="20"/>
        </w:rPr>
      </w:pPr>
      <w:r>
        <w:rPr>
          <w:rFonts w:hint="default" w:ascii="Times New Roman" w:hAnsi="Times New Roman" w:cs="Times New Roman"/>
          <w:b/>
          <w:bCs w:val="0"/>
          <w:sz w:val="20"/>
          <w:szCs w:val="20"/>
        </w:rPr>
        <w:t>Structure and Design of Wind Turbine</w:t>
      </w:r>
      <w:r>
        <w:rPr>
          <w:rFonts w:hint="default" w:ascii="Times New Roman" w:hAnsi="Times New Roman" w:cs="Times New Roman"/>
          <w:b w:val="0"/>
          <w:bCs/>
          <w:sz w:val="20"/>
          <w:szCs w:val="20"/>
        </w:rPr>
        <w:t xml:space="preserve">s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A typical wind turbine comprises several key components that work together to capture wind energy and convert it into electricity. The main parts include: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Rotor Bladeless: These are the most visible part of the wind turbine. The number and design of the blades can vary, but they are generally aerodynamically shaped to capture wind energy efficiently.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Nacelle: This is the enclosure at the top of the turbine tower that houses the key mechanical and electrical components, including the gearbox and generator.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Gearbox: This component connects the rotor blades to the generator. It adjusts the speed of rotation from the slow-moving blades to the higher speed required by the generator.</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 Generator: The generator converts the mechanical energy from the rotating blades into electrical energy.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Tower: The tower supports the nacelle and rotor, elevating them to capture more wind energy.</w:t>
      </w:r>
    </w:p>
    <w:p>
      <w:pPr>
        <w:pStyle w:val="23"/>
        <w:jc w:val="both"/>
        <w:rPr>
          <w:rFonts w:hint="default" w:ascii="Times New Roman" w:hAnsi="Times New Roman" w:cs="Times New Roman"/>
          <w:b w:val="0"/>
          <w:bCs/>
          <w:sz w:val="20"/>
          <w:szCs w:val="20"/>
        </w:rPr>
      </w:pPr>
    </w:p>
    <w:p>
      <w:pPr>
        <w:pStyle w:val="23"/>
        <w:jc w:val="both"/>
        <w:rPr>
          <w:rFonts w:hint="default" w:ascii="Times New Roman" w:hAnsi="Times New Roman" w:cs="Times New Roman"/>
          <w:b/>
          <w:bCs w:val="0"/>
          <w:sz w:val="20"/>
          <w:szCs w:val="20"/>
        </w:rPr>
      </w:pPr>
      <w:r>
        <w:rPr>
          <w:rFonts w:hint="default" w:ascii="Times New Roman" w:hAnsi="Times New Roman" w:cs="Times New Roman"/>
          <w:b/>
          <w:bCs w:val="0"/>
          <w:sz w:val="20"/>
          <w:szCs w:val="20"/>
        </w:rPr>
        <w:t xml:space="preserve"> Capturing Wind Energy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The wind turbine's rotor as pipe (rod) are designed to capture the kinetic energy of the wind. As the wind blows, it exerts pressure on the pipe, causing them to vibrate. The vibration speed depends on wind speed and the design of the rod. Generally, wind turbines are positioned to face the wind to maximize energy capture. Some turbines use a yaw mechanism to adjust the direction of the pipe as the wind changes direction.</w:t>
      </w:r>
    </w:p>
    <w:p>
      <w:pPr>
        <w:pStyle w:val="23"/>
        <w:jc w:val="both"/>
        <w:rPr>
          <w:rFonts w:hint="default" w:ascii="Times New Roman" w:hAnsi="Times New Roman" w:cs="Times New Roman"/>
          <w:b/>
          <w:bCs w:val="0"/>
          <w:sz w:val="20"/>
          <w:szCs w:val="20"/>
        </w:rPr>
      </w:pPr>
    </w:p>
    <w:p>
      <w:pPr>
        <w:pStyle w:val="23"/>
        <w:jc w:val="both"/>
        <w:rPr>
          <w:rFonts w:hint="default" w:ascii="Times New Roman" w:hAnsi="Times New Roman" w:cs="Times New Roman"/>
          <w:b/>
          <w:bCs w:val="0"/>
          <w:sz w:val="20"/>
          <w:szCs w:val="20"/>
        </w:rPr>
      </w:pPr>
      <w:r>
        <w:rPr>
          <w:rFonts w:hint="default" w:ascii="Times New Roman" w:hAnsi="Times New Roman" w:cs="Times New Roman"/>
          <w:b/>
          <w:bCs w:val="0"/>
          <w:sz w:val="20"/>
          <w:szCs w:val="20"/>
        </w:rPr>
        <w:t xml:space="preserve"> Conversion of Mechanical Energy to Electrical Energy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As the rotor pipe vibrate, they turn a shaft connected to the gearbox. The gearbox's role is to increase the rotational speed to a level suitable for the generator. The generator then converts this mechanical energy into electrical energy through electromagnetic induction. Inside the generator, rotating magnets create a changing magnetic field, inducing an electrical current in the surrounding coils of wire. This process generates direct current (DC) electricity, which is then used to power the electric vehicle charging station or stored in batteries. </w:t>
      </w:r>
    </w:p>
    <w:p>
      <w:pPr>
        <w:pStyle w:val="23"/>
        <w:jc w:val="both"/>
        <w:rPr>
          <w:rFonts w:hint="default" w:ascii="Times New Roman" w:hAnsi="Times New Roman" w:cs="Times New Roman"/>
          <w:b/>
          <w:bCs w:val="0"/>
          <w:sz w:val="20"/>
          <w:szCs w:val="20"/>
        </w:rPr>
      </w:pPr>
    </w:p>
    <w:p>
      <w:pPr>
        <w:pStyle w:val="23"/>
        <w:jc w:val="both"/>
        <w:rPr>
          <w:rFonts w:hint="default" w:ascii="Times New Roman" w:hAnsi="Times New Roman" w:cs="Times New Roman"/>
          <w:b w:val="0"/>
          <w:bCs/>
          <w:sz w:val="20"/>
          <w:szCs w:val="20"/>
        </w:rPr>
      </w:pPr>
      <w:r>
        <w:rPr>
          <w:rFonts w:hint="default" w:ascii="Times New Roman" w:hAnsi="Times New Roman" w:cs="Times New Roman"/>
          <w:b/>
          <w:bCs w:val="0"/>
          <w:sz w:val="20"/>
          <w:szCs w:val="20"/>
        </w:rPr>
        <w:t>Integration with the Hybrid System</w:t>
      </w:r>
      <w:r>
        <w:rPr>
          <w:rFonts w:hint="default" w:ascii="Times New Roman" w:hAnsi="Times New Roman" w:cs="Times New Roman"/>
          <w:b w:val="0"/>
          <w:bCs/>
          <w:sz w:val="20"/>
          <w:szCs w:val="20"/>
        </w:rPr>
        <w:t xml:space="preserve"> </w:t>
      </w: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In the Bladeless Wind Turbine, the wind turbine is integrated with other components to create a reliable and efficient energy source. The DC electricity produced by the generator is typically sent through a DC-DC converter to stabilize the voltage and ensure consistent power output. This stable DC 25 electricity can then be stored in batteries or used to directly power the EV charging station. The hybrid system's design takes advantage of the complementary nature of solar and wind energy. While solar panels generate electricity during daylight hours, wind turbines can operate both day and night, providing a continuous energy source. This combination increases the overall reliability and resilience of the system, allowing it to meet the demand for EV charging even when one source is less active.</w:t>
      </w:r>
    </w:p>
    <w:p>
      <w:pPr>
        <w:pStyle w:val="23"/>
        <w:jc w:val="both"/>
        <w:rPr>
          <w:rFonts w:hint="default" w:ascii="Times New Roman" w:hAnsi="Times New Roman" w:cs="Times New Roman"/>
          <w:b/>
          <w:bCs w:val="0"/>
          <w:sz w:val="20"/>
          <w:szCs w:val="20"/>
        </w:rPr>
      </w:pPr>
    </w:p>
    <w:p>
      <w:pPr>
        <w:pStyle w:val="23"/>
        <w:jc w:val="both"/>
        <w:rPr>
          <w:rFonts w:hint="default" w:ascii="Times New Roman" w:hAnsi="Times New Roman" w:cs="Times New Roman"/>
          <w:b/>
          <w:bCs w:val="0"/>
          <w:sz w:val="20"/>
          <w:szCs w:val="20"/>
        </w:rPr>
      </w:pPr>
      <w:r>
        <w:rPr>
          <w:rFonts w:hint="default" w:ascii="Times New Roman" w:hAnsi="Times New Roman" w:cs="Times New Roman"/>
          <w:b/>
          <w:bCs w:val="0"/>
          <w:sz w:val="20"/>
          <w:szCs w:val="20"/>
        </w:rPr>
        <w:t xml:space="preserve"> Monitoring and Safety</w:t>
      </w:r>
    </w:p>
    <w:p>
      <w:pPr>
        <w:pStyle w:val="23"/>
        <w:jc w:val="both"/>
        <w:rPr>
          <w:rFonts w:hint="default" w:ascii="Times New Roman" w:hAnsi="Times New Roman" w:cs="Times New Roman"/>
          <w:b/>
          <w:sz w:val="20"/>
          <w:szCs w:val="20"/>
        </w:rPr>
      </w:pPr>
      <w:r>
        <w:rPr>
          <w:rFonts w:hint="default" w:ascii="Times New Roman" w:hAnsi="Times New Roman" w:cs="Times New Roman"/>
          <w:b/>
          <w:bCs w:val="0"/>
          <w:sz w:val="20"/>
          <w:szCs w:val="20"/>
        </w:rPr>
        <w:t xml:space="preserve"> </w:t>
      </w:r>
      <w:r>
        <w:rPr>
          <w:rFonts w:hint="default" w:ascii="Times New Roman" w:hAnsi="Times New Roman" w:cs="Times New Roman"/>
          <w:b w:val="0"/>
          <w:bCs/>
          <w:sz w:val="20"/>
          <w:szCs w:val="20"/>
        </w:rPr>
        <w:t>To ensure safe and efficient operation, the wind turbine is equipped with monitoring and control systems. Sensors within the nacelle monitor key parameters such as rotational speed, wind speed, and temperature. This data is used to control the turbine's operation, ensuring it runs within safe limits and providing feedback for maintenance and optimization. Safety features are also incorporated to protect the wind turbine from extreme conditions. For example, when wind speeds exceed a certain threshold, the turbine may automatically shut down to prevent damage. This safety mechanism, known as "feathering," allows the blades to adjust to high wind speeds, reducing the risk of structural damage. Wind turbines are a vital component in the Bladeless Wind Turbine, providing a reliable source of renewable energy for electric vehicle charging stations. By harnessing the kinetic energy of wind and converting it into electrical energy, these turbines contribute to a sustainable and environmentally friendly charging infrastructure. The integration of wind turbines with solar panels creates a hybrid system that offers a consistent and resilient energy source for EV charging. Through careful design, advanced monitoring, and robust safety features, this approach contributes to the broader goal of reducing carbon emissions and promoting a greener future</w:t>
      </w:r>
      <w:r>
        <w:rPr>
          <w:rFonts w:hint="default" w:ascii="Times New Roman" w:hAnsi="Times New Roman" w:cs="Times New Roman"/>
          <w:b/>
          <w:sz w:val="20"/>
          <w:szCs w:val="20"/>
        </w:rPr>
        <w:t>.</w:t>
      </w:r>
    </w:p>
    <w:p>
      <w:pPr>
        <w:pStyle w:val="23"/>
        <w:jc w:val="center"/>
        <w:rPr>
          <w:rFonts w:hint="default" w:ascii="Times New Roman" w:hAnsi="Times New Roman" w:cs="Times New Roman"/>
          <w:b/>
          <w:sz w:val="20"/>
          <w:szCs w:val="20"/>
        </w:rPr>
      </w:pPr>
      <w:r>
        <w:rPr>
          <w:rFonts w:hint="default" w:ascii="Times New Roman" w:hAnsi="Times New Roman" w:cs="Times New Roman"/>
        </w:rPr>
        <w:drawing>
          <wp:inline distT="0" distB="0" distL="114300" distR="114300">
            <wp:extent cx="2257425" cy="3295650"/>
            <wp:effectExtent l="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3"/>
                    <a:stretch>
                      <a:fillRect/>
                    </a:stretch>
                  </pic:blipFill>
                  <pic:spPr>
                    <a:xfrm>
                      <a:off x="0" y="0"/>
                      <a:ext cx="2257425" cy="3295650"/>
                    </a:xfrm>
                    <a:prstGeom prst="rect">
                      <a:avLst/>
                    </a:prstGeom>
                    <a:noFill/>
                    <a:ln>
                      <a:noFill/>
                    </a:ln>
                  </pic:spPr>
                </pic:pic>
              </a:graphicData>
            </a:graphic>
          </wp:inline>
        </w:drawing>
      </w:r>
    </w:p>
    <w:p>
      <w:pPr>
        <w:pStyle w:val="23"/>
        <w:jc w:val="both"/>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 xml:space="preserve">  </w:t>
      </w:r>
    </w:p>
    <w:p>
      <w:pPr>
        <w:pStyle w:val="23"/>
        <w:numPr>
          <w:ilvl w:val="0"/>
          <w:numId w:val="4"/>
        </w:numPr>
        <w:ind w:left="720" w:leftChars="0" w:hanging="360" w:firstLineChars="0"/>
        <w:jc w:val="center"/>
        <w:rPr>
          <w:rFonts w:hint="default" w:ascii="Times New Roman" w:hAnsi="Times New Roman" w:cs="Times New Roman"/>
          <w:b/>
          <w:bCs/>
          <w:sz w:val="20"/>
          <w:szCs w:val="20"/>
          <w:lang w:val="en-IN"/>
        </w:rPr>
      </w:pPr>
      <w:r>
        <w:rPr>
          <w:rFonts w:hint="default" w:ascii="Times New Roman" w:hAnsi="Times New Roman" w:eastAsia="SimSun" w:cs="Times New Roman"/>
          <w:b/>
          <w:bCs/>
          <w:sz w:val="20"/>
          <w:szCs w:val="20"/>
        </w:rPr>
        <w:t>WORKING OF THE SYSTEM</w:t>
      </w:r>
    </w:p>
    <w:p>
      <w:pPr>
        <w:pStyle w:val="23"/>
        <w:numPr>
          <w:ilvl w:val="0"/>
          <w:numId w:val="0"/>
        </w:numPr>
        <w:ind w:leftChars="0"/>
        <w:jc w:val="both"/>
        <w:rPr>
          <w:rFonts w:hint="default" w:ascii="Times New Roman" w:hAnsi="Times New Roman" w:cs="Times New Roman"/>
          <w:b/>
          <w:bCs/>
          <w:sz w:val="22"/>
          <w:szCs w:val="22"/>
          <w:lang w:val="en-IN"/>
        </w:rPr>
      </w:pP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Bladeless wind turbines operate on a different principle compared to traditional bladed wind turbines. Instead of using rotating blades to capture wind energy, they use an oscillating motion to harness the power of the wind. Here's a concise explanation of their working principle:</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bCs w:val="0"/>
          <w:i w:val="0"/>
          <w:iCs w:val="0"/>
          <w:sz w:val="20"/>
          <w:szCs w:val="20"/>
          <w:lang w:val="en-IN"/>
        </w:rPr>
        <w:t xml:space="preserve">Vortex Shedding: </w:t>
      </w:r>
      <w:r>
        <w:rPr>
          <w:rFonts w:hint="default" w:ascii="Times New Roman" w:hAnsi="Times New Roman" w:cs="Times New Roman"/>
          <w:b w:val="0"/>
          <w:bCs/>
          <w:sz w:val="20"/>
          <w:szCs w:val="20"/>
          <w:lang w:val="en-IN"/>
        </w:rPr>
        <w:t>Bladeless wind turbines capitalize on a phenomenon known as vortex shedding. When wind flows past a cylindrical structure, it creates a pattern of swirling vortices. This causes the cylinder to oscillate or vibrate perpendicular to the direction of the wind.</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bCs w:val="0"/>
          <w:sz w:val="20"/>
          <w:szCs w:val="20"/>
          <w:lang w:val="en-IN"/>
        </w:rPr>
        <w:t>Oscillation:</w:t>
      </w:r>
      <w:r>
        <w:rPr>
          <w:rFonts w:hint="default" w:ascii="Times New Roman" w:hAnsi="Times New Roman" w:cs="Times New Roman"/>
          <w:b w:val="0"/>
          <w:bCs/>
          <w:sz w:val="20"/>
          <w:szCs w:val="20"/>
          <w:lang w:val="en-IN"/>
        </w:rPr>
        <w:t xml:space="preserve"> The cylindrical structure, usually made of a flexible material, begins to oscillate due to the alternating vortices being shed on either side of the cylinder. This motion is the core mechanism through which energy is captured.</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bCs w:val="0"/>
          <w:sz w:val="20"/>
          <w:szCs w:val="20"/>
          <w:lang w:val="en-IN"/>
        </w:rPr>
        <w:t>Energy Conversion:</w:t>
      </w:r>
      <w:r>
        <w:rPr>
          <w:rFonts w:hint="default" w:ascii="Times New Roman" w:hAnsi="Times New Roman" w:cs="Times New Roman"/>
          <w:b w:val="0"/>
          <w:bCs/>
          <w:sz w:val="20"/>
          <w:szCs w:val="20"/>
          <w:lang w:val="en-IN"/>
        </w:rPr>
        <w:t xml:space="preserve"> The oscillating motion of the cylinder is converted into electrical energy through an electromechanical system. This system typically involves a linear alternator, where the mechanical oscillations generate electrical power.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bCs w:val="0"/>
          <w:sz w:val="20"/>
          <w:szCs w:val="20"/>
          <w:lang w:val="en-IN"/>
        </w:rPr>
        <w:t>No Gears or Bearings:</w:t>
      </w:r>
      <w:r>
        <w:rPr>
          <w:rFonts w:hint="default" w:ascii="Times New Roman" w:hAnsi="Times New Roman" w:cs="Times New Roman"/>
          <w:b w:val="0"/>
          <w:bCs/>
          <w:sz w:val="20"/>
          <w:szCs w:val="20"/>
          <w:lang w:val="en-IN"/>
        </w:rPr>
        <w:t xml:space="preserve"> Unlike traditional turbines, bladeless wind turbines have fewer moving parts, as they don't require gears, bearings, or a rotor. This reduces maintenance needs and increases durability.</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Efficiency and Adaptability: Bladeless turbines are generally quieter and can operate at lower wind speeds. They are also considered safer for wildlife, such as birds, and can be deployed in various environments, including urban areas where traditional turbines might not be feasible.</w:t>
      </w: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bookmarkStart w:id="1" w:name="_GoBack"/>
      <w:bookmarkEnd w:id="1"/>
    </w:p>
    <w:p>
      <w:pPr>
        <w:pStyle w:val="23"/>
        <w:numPr>
          <w:ilvl w:val="0"/>
          <w:numId w:val="4"/>
        </w:numPr>
        <w:ind w:left="720" w:leftChars="0" w:hanging="360" w:firstLineChars="0"/>
        <w:jc w:val="center"/>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CIRCUIT DIAGRAM</w:t>
      </w:r>
    </w:p>
    <w:p>
      <w:pPr>
        <w:pStyle w:val="23"/>
        <w:jc w:val="center"/>
        <w:rPr>
          <w:rFonts w:hint="default" w:ascii="Times New Roman" w:hAnsi="Times New Roman" w:cs="Times New Roman"/>
          <w:b/>
          <w:sz w:val="20"/>
          <w:szCs w:val="20"/>
          <w:lang w:val="en-IN"/>
        </w:rPr>
      </w:pPr>
      <w:r>
        <w:rPr>
          <w:rFonts w:hint="default" w:ascii="Times New Roman" w:hAnsi="Times New Roman" w:cs="Times New Roman"/>
        </w:rPr>
        <w:drawing>
          <wp:inline distT="0" distB="0" distL="114300" distR="114300">
            <wp:extent cx="3182620" cy="1485900"/>
            <wp:effectExtent l="0" t="0" r="1778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14"/>
                    <a:stretch>
                      <a:fillRect/>
                    </a:stretch>
                  </pic:blipFill>
                  <pic:spPr>
                    <a:xfrm>
                      <a:off x="0" y="0"/>
                      <a:ext cx="3182620" cy="1485900"/>
                    </a:xfrm>
                    <a:prstGeom prst="rect">
                      <a:avLst/>
                    </a:prstGeom>
                    <a:noFill/>
                    <a:ln>
                      <a:noFill/>
                    </a:ln>
                  </pic:spPr>
                </pic:pic>
              </a:graphicData>
            </a:graphic>
          </wp:inline>
        </w:drawing>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The novelty is the use of linear generators. The voltage from the linear generator is considered to be a voltage source. Further, the voltage source is connected with a bridge rectifier to generate DC. Diodes present in the bridge rectifier are capable of filtering even the small frequency. In power supplies, a capacitor (C1) is used for filtering the pulsating DC output after the rectification so that a constant dc voltage is supplied to the load. The remaining components (inductor, silicon diode, FET, give variable voltage to the load. The expected output voltage is 12 v.</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Simplified Circuit Flow</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Linear Alternator (Oscillations to AC)</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Rectifier (AC to DC)</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Charge Controller (Manages battery charging)</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Battery/Capacitor Bank (Energy storage)</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Inverter (DC to AC, if needed)</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Voltage Regulator (Ensures stable output)</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Microcontroller (System monitoring and control)</w:t>
      </w: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bCs w:val="0"/>
          <w:sz w:val="21"/>
          <w:szCs w:val="21"/>
          <w:lang w:val="en-IN"/>
        </w:rPr>
      </w:pPr>
      <w:r>
        <w:rPr>
          <w:rFonts w:hint="default" w:ascii="Times New Roman" w:hAnsi="Times New Roman" w:cs="Times New Roman"/>
          <w:b/>
          <w:bCs w:val="0"/>
          <w:sz w:val="21"/>
          <w:szCs w:val="21"/>
          <w:lang w:val="en-IN"/>
        </w:rPr>
        <w:t>COMPONENTS USED</w:t>
      </w:r>
    </w:p>
    <w:p>
      <w:pPr>
        <w:pStyle w:val="23"/>
        <w:jc w:val="both"/>
        <w:rPr>
          <w:rFonts w:hint="default" w:ascii="Times New Roman" w:hAnsi="Times New Roman" w:cs="Times New Roman"/>
          <w:b w:val="0"/>
          <w:bCs/>
          <w:sz w:val="20"/>
          <w:szCs w:val="20"/>
          <w:lang w:val="en-IN"/>
        </w:rPr>
      </w:pP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Bladeless wind turbines, despite their different working principle compared to traditional turbines, still require a set of specific components to function effectively. Here is a list of the key components used in a bladeless wind turbine:</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Oscillating Mast/Cylinder: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The primary structure that oscillates due to vortex shedding when wind passes around it. Made of lightweight, flexible materials.</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Linear Alternator: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Converts the mechanical oscillations of the mast into electrical energy. Comprises a moving translator and a stationary stator.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bCs w:val="0"/>
          <w:sz w:val="20"/>
          <w:szCs w:val="20"/>
          <w:lang w:val="en-IN"/>
        </w:rPr>
        <w:t>Rectifier</w:t>
      </w:r>
      <w:r>
        <w:rPr>
          <w:rFonts w:hint="default" w:ascii="Times New Roman" w:hAnsi="Times New Roman" w:cs="Times New Roman"/>
          <w:b w:val="0"/>
          <w:bCs/>
          <w:sz w:val="20"/>
          <w:szCs w:val="20"/>
          <w:lang w:val="en-IN"/>
        </w:rPr>
        <w:t>:</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Converts the alternating current (AC) generated by the linear alternator into direct current (DC) for storage and use.</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Battery/Capacitor Bank:</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Stores the DC electrical energy generated. Batteries provide long-term storage, while capacitors handle short-term fluctuations and peak power demands.</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Charge Controller: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Regulates the flow of electricity into the battery or capacitor bank to prevent overcharging and ensure efficient energy storage.</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DC-AC Inverter: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Converts stored DC energy back into AC if required for compatibility with standard electrical appliances or grid integration.</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Voltage Regulator:</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Ensures the output voltage is stable and suitable for the connected load, preventing damage to the system and appliances.</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Microcontroller/Control System:</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Monitors and controls the overall system, including the oscillation frequency, energy generation, storage levels, and power output.</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Support Structure:</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Provides stability and support to the oscillating mast, ensuring it can withstand wind forces and environmental conditions.</w:t>
      </w:r>
    </w:p>
    <w:p>
      <w:pPr>
        <w:pStyle w:val="23"/>
        <w:jc w:val="both"/>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Sensors:</w:t>
      </w: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Various sensors (e.g., wind speed, oscillation amplitude, battery charge level) for monitoring and optimizing the turbine's performance.</w:t>
      </w:r>
    </w:p>
    <w:p>
      <w:pPr>
        <w:pStyle w:val="23"/>
        <w:jc w:val="both"/>
        <w:rPr>
          <w:rFonts w:hint="default" w:ascii="Times New Roman" w:hAnsi="Times New Roman" w:cs="Times New Roman"/>
          <w:b w:val="0"/>
          <w:bCs/>
          <w:sz w:val="20"/>
          <w:szCs w:val="20"/>
          <w:lang w:val="en-IN"/>
        </w:rPr>
      </w:pPr>
    </w:p>
    <w:p>
      <w:pPr>
        <w:pStyle w:val="23"/>
        <w:numPr>
          <w:ilvl w:val="0"/>
          <w:numId w:val="4"/>
        </w:numPr>
        <w:ind w:left="720" w:leftChars="0" w:hanging="360" w:firstLineChars="0"/>
        <w:jc w:val="center"/>
        <w:rPr>
          <w:rFonts w:hint="default" w:ascii="Times New Roman" w:hAnsi="Times New Roman" w:cs="Times New Roman"/>
          <w:b/>
          <w:bCs w:val="0"/>
          <w:sz w:val="20"/>
          <w:szCs w:val="20"/>
          <w:lang w:val="en-IN"/>
        </w:rPr>
      </w:pPr>
      <w:r>
        <w:rPr>
          <w:rFonts w:hint="default" w:ascii="Times New Roman" w:hAnsi="Times New Roman" w:cs="Times New Roman"/>
          <w:b/>
          <w:bCs w:val="0"/>
          <w:sz w:val="20"/>
          <w:szCs w:val="20"/>
          <w:lang w:val="en-IN"/>
        </w:rPr>
        <w:t>SUMMARY</w:t>
      </w:r>
    </w:p>
    <w:p>
      <w:pPr>
        <w:pStyle w:val="23"/>
        <w:jc w:val="both"/>
        <w:rPr>
          <w:rFonts w:hint="default" w:ascii="Times New Roman" w:hAnsi="Times New Roman" w:cs="Times New Roman"/>
          <w:b/>
          <w:bCs w:val="0"/>
          <w:sz w:val="20"/>
          <w:szCs w:val="20"/>
          <w:lang w:val="en-IN"/>
        </w:rPr>
      </w:pPr>
    </w:p>
    <w:p>
      <w:pPr>
        <w:pStyle w:val="23"/>
        <w:jc w:val="both"/>
        <w:rPr>
          <w:rFonts w:hint="default" w:ascii="Times New Roman" w:hAnsi="Times New Roman" w:cs="Times New Roman"/>
          <w:b w:val="0"/>
          <w:bCs/>
          <w:sz w:val="20"/>
          <w:szCs w:val="20"/>
          <w:lang w:val="en-IN"/>
        </w:rPr>
      </w:pPr>
      <w:r>
        <w:rPr>
          <w:rFonts w:hint="default" w:ascii="Times New Roman" w:hAnsi="Times New Roman" w:cs="Times New Roman"/>
          <w:b w:val="0"/>
          <w:bCs/>
          <w:sz w:val="20"/>
          <w:szCs w:val="20"/>
          <w:lang w:val="en-IN"/>
        </w:rPr>
        <w:t>The Bladeless Wind Turbine for electric vehicle (EV) charging stations represents a sophisticated and innovative approach to sustainable energy generation and transportation infrastructure. At its core, the system combines renewable energy sources—solar and wind power—with advanced monitoring and control systems to create a robust and efficient charging solution for electric vehicles. The system's primary objective is to leverage renewable energy resources to power EV charging stations, thereby reducing reliance on fossil fuels, minimizing environmental impact, and promoting a cleaner and more sustainable future. The system's architecture revolves around the integration of solar panels and wind turbines, which harness energy from the sun and wind, respectively. These energy sources are interconnected with the EV charging infrastructure through a network of components including batteries, DC-DC converters, generators, charge controllers, and sensors. Solar panels capture sunlight and convert it into electricity, while wind turbines harness the kinetic energy of the wind to generate power. The generated electricity is stored in batteries for later use and is converted to the appropriate voltage levels using DC-DC converters for EV charging. Throughout this process, sensors continuously monitor key parameters such as current, voltage, power, and temperature, providing real-time data for system optimization and safety monitoring. A key component of the system is the energy monitoring system, which serves as the central control unit. The collects data from sensors, processes it, and communicates with external devices or cloud-based applications for real-time monitoring and control. This capability enables users to remotely access and manage the system, track energy generation and consumption, and receive alerts in case of anomalies or emergencies. Furthermore, the integration of the Blynk app and OLED display allows for user-friendly interfaces for monitoring and controlling the system's operation, enhancing overall user experience and accessibility. The Bladeless Wind Turbine for EV charging stations offers numerous advantages over traditional fossil fuel-based systems. Firstly, it reduces carbon emissions and environmental pollution by utilizing clean, renewable energy sources. Secondly, it enhances energy independence and resilience by diversifying the energy mix and reducing reliance on the grid. Additionally, it promotes sustainable transportation solutions by providing convenient and eco-friendly charging infrastructure for electric vehicles. Moreover, the system's advanced monitoring and control capabilities improve efficiency, reliability, and safety, ensuring optimal performance and minimizing downtime. In conclusion, the Bladeless Wind Turbine for EV charging stations represents a pioneering solution that embodies the principles of sustainability, innovation, and efficiency. By harnessing 42 the power of renewable energy and leveraging cutting-edge technologies, the system not only addresses the growing demand for clean transportation but also contributes to a greener and more sustainable future for generations to come</w:t>
      </w:r>
    </w:p>
    <w:p>
      <w:pPr>
        <w:pStyle w:val="23"/>
        <w:jc w:val="center"/>
        <w:rPr>
          <w:rFonts w:hint="default" w:ascii="Times New Roman" w:hAnsi="Times New Roman" w:cs="Times New Roman"/>
          <w:b w:val="0"/>
          <w:bCs/>
          <w:sz w:val="20"/>
          <w:szCs w:val="20"/>
          <w:lang w:val="en-IN"/>
        </w:rPr>
      </w:pPr>
      <w:r>
        <w:rPr>
          <w:rFonts w:hint="default" w:ascii="Times New Roman" w:hAnsi="Times New Roman" w:cs="Times New Roman"/>
        </w:rPr>
        <w:drawing>
          <wp:inline distT="0" distB="0" distL="114300" distR="114300">
            <wp:extent cx="2266950" cy="3457575"/>
            <wp:effectExtent l="0" t="0" r="0" b="9525"/>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5"/>
                    <a:stretch>
                      <a:fillRect/>
                    </a:stretch>
                  </pic:blipFill>
                  <pic:spPr>
                    <a:xfrm>
                      <a:off x="0" y="0"/>
                      <a:ext cx="2266950" cy="3457575"/>
                    </a:xfrm>
                    <a:prstGeom prst="rect">
                      <a:avLst/>
                    </a:prstGeom>
                    <a:noFill/>
                    <a:ln>
                      <a:noFill/>
                    </a:ln>
                  </pic:spPr>
                </pic:pic>
              </a:graphicData>
            </a:graphic>
          </wp:inline>
        </w:drawing>
      </w:r>
    </w:p>
    <w:p>
      <w:pPr>
        <w:pStyle w:val="23"/>
        <w:jc w:val="both"/>
        <w:rPr>
          <w:rFonts w:hint="default" w:ascii="Times New Roman" w:hAnsi="Times New Roman" w:cs="Times New Roman"/>
          <w:b w:val="0"/>
          <w:bCs/>
          <w:sz w:val="20"/>
          <w:szCs w:val="20"/>
        </w:rPr>
      </w:pPr>
    </w:p>
    <w:p>
      <w:pPr>
        <w:pStyle w:val="23"/>
        <w:numPr>
          <w:ilvl w:val="0"/>
          <w:numId w:val="4"/>
        </w:numPr>
        <w:ind w:left="720" w:leftChars="0" w:hanging="360" w:firstLineChars="0"/>
        <w:jc w:val="center"/>
        <w:rPr>
          <w:rFonts w:hint="default" w:ascii="Times New Roman" w:hAnsi="Times New Roman" w:cs="Times New Roman"/>
          <w:b/>
          <w:bCs w:val="0"/>
          <w:sz w:val="20"/>
          <w:szCs w:val="20"/>
        </w:rPr>
      </w:pPr>
      <w:r>
        <w:rPr>
          <w:rFonts w:hint="default" w:ascii="Times New Roman" w:hAnsi="Times New Roman" w:cs="Times New Roman"/>
          <w:b/>
          <w:bCs w:val="0"/>
          <w:sz w:val="20"/>
          <w:szCs w:val="20"/>
        </w:rPr>
        <w:t>CONCLUSION</w:t>
      </w:r>
    </w:p>
    <w:p>
      <w:pPr>
        <w:pStyle w:val="23"/>
        <w:jc w:val="both"/>
        <w:rPr>
          <w:rFonts w:hint="default" w:ascii="Times New Roman" w:hAnsi="Times New Roman" w:cs="Times New Roman"/>
          <w:b w:val="0"/>
          <w:bCs/>
          <w:sz w:val="20"/>
          <w:szCs w:val="20"/>
        </w:rPr>
      </w:pPr>
    </w:p>
    <w:p>
      <w:pPr>
        <w:pStyle w:val="23"/>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The Bladeless Wind Turbine for electric vehicle (EV) charging stations is a transformative solution that addresses some of the most pressing challenges in sustainable energy and transportation infrastructure. By integrating solar panels and wind turbines, the system harnesses renewable energy sources to power EV charging stations, reducing reliance on fossil fuels and lowering carbon emissions. This approach contributes to a greener and more sustainable future, aligning with global efforts to combat climate change and promote eco-friendly transportation. A key aspect of this system is its ability to generate, store, and distribute energy efficiently. The combination of solar and wind energy offers a balanced solution, with each source complementing the other to ensure a consistent energy supply. Solar panels generate electricity during daylight hours, while wind turbines can operate both day and night, providing continuous power. The use of batteries for energy storage adds a level of resilience, allowing the system to maintain a steady power supply even when solar and wind energy generation is low. The advanced monitoring and control system, provides real-time data on key parameters such as current, voltage, power, and temperature. This monitoring capability enhances safety by allowing for early detection of potential issues, such as overcharging or overheating, and provides users with remote access to track the system's performance. The integration of user-friendly interfaces like the Blynk app and OLED display further improves the user experience, enabling easy monitoring and control of the charging stations. The Bladeless Wind Turbine has significant environmental and economic benefits. By reducing reliance on the national power grid, the system minimizes the carbon footprint of EV charging and helps alleviate grid strain during peak demand periods. Additionally, the use of renewable energy can lower operational costs for charging stations, offering a more cost-effective alternative to traditional grid-based systems. This economic advantage, combined with the environmental benefits, makes the Bladeless Wind Turbine an attractive option for expanding EV charging infrastructure. Overall, the Bladeless Wind Turbine for EV charging stations demonstrates the potential of renewable energy in supporting sustainable transportation. It offers a scalable and reliable solution that can be implemented in various locations, providing a path forward for the development of ecofriendly charging infrastructure. As the world moves towards greater adoption of electric vehicles, systems like this will play a crucial role in shaping a more sustainable and environmentally conscious future. By focusing on innovation, efficiency, and safety, the Bladeless Wind Turbine stands as a model for future energy solutions in the EV industry.</w:t>
      </w:r>
    </w:p>
    <w:p>
      <w:pPr>
        <w:pStyle w:val="23"/>
        <w:jc w:val="both"/>
        <w:rPr>
          <w:rFonts w:hint="default" w:ascii="Times New Roman" w:hAnsi="Times New Roman" w:cs="Times New Roman"/>
          <w:b w:val="0"/>
          <w:bCs/>
          <w:sz w:val="20"/>
          <w:szCs w:val="20"/>
        </w:rPr>
      </w:pPr>
    </w:p>
    <w:p>
      <w:pPr>
        <w:pStyle w:val="23"/>
        <w:jc w:val="both"/>
        <w:rPr>
          <w:rFonts w:hint="default" w:ascii="Times New Roman" w:hAnsi="Times New Roman" w:cs="Times New Roman"/>
          <w:b/>
          <w:bCs w:val="0"/>
          <w:sz w:val="20"/>
          <w:szCs w:val="20"/>
        </w:rPr>
      </w:pPr>
      <w:r>
        <w:rPr>
          <w:rFonts w:hint="default" w:ascii="Times New Roman" w:hAnsi="Times New Roman" w:cs="Times New Roman"/>
          <w:b/>
          <w:bCs w:val="0"/>
          <w:sz w:val="20"/>
          <w:szCs w:val="20"/>
        </w:rPr>
        <w:t>REFERENCES</w:t>
      </w:r>
    </w:p>
    <w:p>
      <w:pPr>
        <w:pStyle w:val="23"/>
        <w:jc w:val="both"/>
        <w:rPr>
          <w:rFonts w:hint="default" w:ascii="Times New Roman" w:hAnsi="Times New Roman" w:cs="Times New Roman"/>
          <w:b w:val="0"/>
          <w:bCs/>
          <w:szCs w:val="20"/>
        </w:rPr>
      </w:pPr>
    </w:p>
    <w:p>
      <w:pPr>
        <w:pStyle w:val="23"/>
        <w:numPr>
          <w:ilvl w:val="0"/>
          <w:numId w:val="6"/>
        </w:numPr>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A. Koochaki, M. Divandari, E. Amiri et al., "Optimal design of solar-wind hybrid system using teaching-learning based optimization applied in charging station for electric vehicles", Proceedings of IEEE Transportation Electrification Conference and Expo, pp. 1-6, June. 2018.</w:t>
      </w:r>
    </w:p>
    <w:p>
      <w:pPr>
        <w:pStyle w:val="23"/>
        <w:numPr>
          <w:ilvl w:val="0"/>
          <w:numId w:val="0"/>
        </w:numPr>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w:t>
      </w:r>
    </w:p>
    <w:p>
      <w:pPr>
        <w:pStyle w:val="23"/>
        <w:numPr>
          <w:ilvl w:val="0"/>
          <w:numId w:val="6"/>
        </w:numPr>
        <w:ind w:left="0" w:leftChars="0" w:firstLine="0" w:firstLine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R. Kaur, V. Krishnasamy and N. K. Kandasamy, "Optimal sizing of-wind-PV-based DC microgrid for telecom power supply in remote areas", IET Renewable Power Generation, vol. 12, no. 7, pp. 859-866, May 2018.</w:t>
      </w:r>
    </w:p>
    <w:p>
      <w:pPr>
        <w:pStyle w:val="23"/>
        <w:numPr>
          <w:ilvl w:val="0"/>
          <w:numId w:val="0"/>
        </w:numPr>
        <w:ind w:left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 </w:t>
      </w:r>
    </w:p>
    <w:p>
      <w:pPr>
        <w:pStyle w:val="23"/>
        <w:numPr>
          <w:ilvl w:val="0"/>
          <w:numId w:val="6"/>
        </w:numPr>
        <w:ind w:left="0" w:leftChars="0" w:firstLine="0" w:firstLine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M. Nizam and F. R. Wicaksono, "Design and optimization of solar wind and distributed energy resource hybrid power plant for electric vehicle charging station in rural area", Proceedings of 5th International Conference on Electric Vehicular Technology, pp. 41- 45, Oct. 2018. </w:t>
      </w:r>
    </w:p>
    <w:p>
      <w:pPr>
        <w:pStyle w:val="23"/>
        <w:numPr>
          <w:ilvl w:val="0"/>
          <w:numId w:val="0"/>
        </w:numPr>
        <w:ind w:leftChars="0"/>
        <w:jc w:val="both"/>
        <w:rPr>
          <w:rFonts w:hint="default" w:ascii="Times New Roman" w:hAnsi="Times New Roman" w:cs="Times New Roman"/>
          <w:b w:val="0"/>
          <w:bCs/>
          <w:sz w:val="20"/>
          <w:szCs w:val="20"/>
        </w:rPr>
      </w:pPr>
    </w:p>
    <w:p>
      <w:pPr>
        <w:pStyle w:val="23"/>
        <w:numPr>
          <w:ilvl w:val="0"/>
          <w:numId w:val="6"/>
        </w:numPr>
        <w:ind w:left="0" w:leftChars="0" w:firstLine="0" w:firstLine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O. Sadeghian, M. Nazari-Heris, M. Abapour et al., "Improving reliability of distribution networks using plug-in electric vehicles and demand response", Journal of Modern Power Systems and Clean Energy, vol. 7, no. 5, pp. 1189-1199, May 2019. </w:t>
      </w:r>
    </w:p>
    <w:p>
      <w:pPr>
        <w:pStyle w:val="23"/>
        <w:numPr>
          <w:ilvl w:val="0"/>
          <w:numId w:val="0"/>
        </w:numPr>
        <w:ind w:leftChars="0"/>
        <w:jc w:val="both"/>
        <w:rPr>
          <w:rFonts w:hint="default" w:ascii="Times New Roman" w:hAnsi="Times New Roman" w:cs="Times New Roman"/>
          <w:b w:val="0"/>
          <w:bCs/>
          <w:sz w:val="20"/>
          <w:szCs w:val="20"/>
        </w:rPr>
      </w:pPr>
    </w:p>
    <w:p>
      <w:pPr>
        <w:pStyle w:val="23"/>
        <w:numPr>
          <w:ilvl w:val="0"/>
          <w:numId w:val="6"/>
        </w:numPr>
        <w:ind w:left="0" w:leftChars="0" w:firstLine="0" w:firstLine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X. Chen, M. B. Mcelroy, Q. Wu et al., "Transition towards higher penetration of renewables: an overview of interlinked technical environmental and socio-economic challenges", Journal of Modern Power Systems and Clean Energy, vol. 7, no. 1, pp. 1-8, Aug. 2019. </w:t>
      </w:r>
    </w:p>
    <w:p>
      <w:pPr>
        <w:pStyle w:val="23"/>
        <w:numPr>
          <w:ilvl w:val="0"/>
          <w:numId w:val="0"/>
        </w:numPr>
        <w:ind w:leftChars="0"/>
        <w:jc w:val="both"/>
        <w:rPr>
          <w:rFonts w:hint="default" w:ascii="Times New Roman" w:hAnsi="Times New Roman" w:cs="Times New Roman"/>
          <w:b w:val="0"/>
          <w:bCs/>
          <w:sz w:val="20"/>
          <w:szCs w:val="20"/>
        </w:rPr>
      </w:pPr>
    </w:p>
    <w:p>
      <w:pPr>
        <w:pStyle w:val="23"/>
        <w:numPr>
          <w:ilvl w:val="0"/>
          <w:numId w:val="0"/>
        </w:numPr>
        <w:ind w:left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6. Dec. 2019, [online] Available: https://mnre.gov.in/knowledge-center/publication. </w:t>
      </w:r>
    </w:p>
    <w:p>
      <w:pPr>
        <w:pStyle w:val="23"/>
        <w:numPr>
          <w:ilvl w:val="0"/>
          <w:numId w:val="0"/>
        </w:numPr>
        <w:ind w:leftChars="0"/>
        <w:jc w:val="both"/>
        <w:rPr>
          <w:rFonts w:hint="default" w:ascii="Times New Roman" w:hAnsi="Times New Roman" w:cs="Times New Roman"/>
          <w:b w:val="0"/>
          <w:bCs/>
          <w:sz w:val="20"/>
          <w:szCs w:val="20"/>
        </w:rPr>
      </w:pPr>
    </w:p>
    <w:p>
      <w:pPr>
        <w:pStyle w:val="23"/>
        <w:numPr>
          <w:ilvl w:val="0"/>
          <w:numId w:val="0"/>
        </w:numPr>
        <w:ind w:left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7. H. Kikusato, K. Mori, S. Yoshizawa, Yu Fujimoto, H. Asano, Y. Hayashi, A. Kawashima, S. Inagaki, T. Suzuki, “Electric Vehicle Charge-Discharge Management for Utilization of Photovoltaic by Coordination between Home and Grid Energy Management Systems,” IEEE Trans. Smart Grid, Early Access. </w:t>
      </w:r>
    </w:p>
    <w:p>
      <w:pPr>
        <w:pStyle w:val="23"/>
        <w:numPr>
          <w:ilvl w:val="0"/>
          <w:numId w:val="0"/>
        </w:numPr>
        <w:ind w:leftChars="0"/>
        <w:jc w:val="both"/>
        <w:rPr>
          <w:rFonts w:hint="default" w:ascii="Times New Roman" w:hAnsi="Times New Roman" w:cs="Times New Roman"/>
          <w:b w:val="0"/>
          <w:bCs/>
          <w:sz w:val="20"/>
          <w:szCs w:val="20"/>
        </w:rPr>
      </w:pPr>
    </w:p>
    <w:p>
      <w:pPr>
        <w:pStyle w:val="23"/>
        <w:numPr>
          <w:ilvl w:val="0"/>
          <w:numId w:val="0"/>
        </w:numPr>
        <w:ind w:leftChars="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8. F. Hafiz, A. R. de Queiroz and I. Husain, “Coordinated Control of PEV and PV-based Storages in Residential System under Generation and Load Uncertainties,” IEEE Trans. Ind. Applica., Early Access</w:t>
      </w:r>
    </w:p>
    <w:p>
      <w:pPr>
        <w:pStyle w:val="23"/>
        <w:jc w:val="both"/>
        <w:rPr>
          <w:rFonts w:hint="default" w:ascii="Times New Roman" w:hAnsi="Times New Roman" w:cs="Times New Roman"/>
          <w:b w:val="0"/>
          <w:bCs/>
        </w:rPr>
      </w:pPr>
    </w:p>
    <w:p>
      <w:pPr>
        <w:pStyle w:val="31"/>
        <w:numPr>
          <w:ilvl w:val="0"/>
          <w:numId w:val="0"/>
        </w:numPr>
        <w:tabs>
          <w:tab w:val="left" w:pos="450"/>
          <w:tab w:val="clear" w:pos="360"/>
        </w:tabs>
        <w:ind w:leftChars="0"/>
        <w:rPr>
          <w:rFonts w:hint="default" w:ascii="Times New Roman" w:hAnsi="Times New Roman" w:cs="Times New Roman"/>
          <w:color w:val="000000" w:themeColor="text1"/>
          <w:sz w:val="20"/>
          <w14:textFill>
            <w14:solidFill>
              <w14:schemeClr w14:val="tx1"/>
            </w14:solidFill>
          </w14:textFill>
        </w:rPr>
      </w:pPr>
    </w:p>
    <w:p>
      <w:pPr>
        <w:numPr>
          <w:ilvl w:val="0"/>
          <w:numId w:val="0"/>
        </w:numPr>
        <w:tabs>
          <w:tab w:val="left" w:pos="6360"/>
        </w:tabs>
        <w:ind w:leftChars="0"/>
        <w:rPr>
          <w:rFonts w:hint="default" w:ascii="Times New Roman" w:hAnsi="Times New Roman" w:cs="Times New Roman"/>
          <w:sz w:val="20"/>
          <w:szCs w:val="20"/>
        </w:rPr>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77A2D1"/>
    <w:multiLevelType w:val="singleLevel"/>
    <w:tmpl w:val="B377A2D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AB73E19"/>
    <w:multiLevelType w:val="multilevel"/>
    <w:tmpl w:val="0AB73E19"/>
    <w:lvl w:ilvl="0" w:tentative="0">
      <w:start w:val="1"/>
      <w:numFmt w:val="upperRoman"/>
      <w:lvlText w:val="%1."/>
      <w:lvlJc w:val="right"/>
      <w:pPr>
        <w:ind w:left="720" w:hanging="360"/>
      </w:pPr>
      <w:rPr>
        <w:rFonts w:hint="default"/>
        <w:color w:val="auto"/>
        <w:sz w:val="20"/>
        <w:szCs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37B53ED"/>
    <w:multiLevelType w:val="singleLevel"/>
    <w:tmpl w:val="137B53ED"/>
    <w:lvl w:ilvl="0" w:tentative="0">
      <w:start w:val="1"/>
      <w:numFmt w:val="decimal"/>
      <w:suff w:val="space"/>
      <w:lvlText w:val="%1."/>
      <w:lvlJc w:val="left"/>
    </w:lvl>
  </w:abstractNum>
  <w:abstractNum w:abstractNumId="3">
    <w:nsid w:val="3A877D64"/>
    <w:multiLevelType w:val="singleLevel"/>
    <w:tmpl w:val="3A877D64"/>
    <w:lvl w:ilvl="0" w:tentative="0">
      <w:start w:val="1"/>
      <w:numFmt w:val="decimal"/>
      <w:pStyle w:val="31"/>
      <w:lvlText w:val="[%1]"/>
      <w:lvlJc w:val="left"/>
      <w:pPr>
        <w:tabs>
          <w:tab w:val="left" w:pos="360"/>
        </w:tabs>
        <w:ind w:left="360" w:hanging="360"/>
      </w:pPr>
    </w:lvl>
  </w:abstractNum>
  <w:abstractNum w:abstractNumId="4">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38A1BDD"/>
    <w:rsid w:val="1CFB041C"/>
    <w:rsid w:val="1D0E163B"/>
    <w:rsid w:val="25BE2862"/>
    <w:rsid w:val="455475CD"/>
    <w:rsid w:val="461314A0"/>
    <w:rsid w:val="537C60D7"/>
    <w:rsid w:val="58111B8A"/>
    <w:rsid w:val="584C4723"/>
    <w:rsid w:val="686A495D"/>
    <w:rsid w:val="6E000787"/>
    <w:rsid w:val="7CE614D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7"/>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1"/>
    <w:pPr>
      <w:widowControl w:val="0"/>
      <w:autoSpaceDE w:val="0"/>
      <w:autoSpaceDN w:val="0"/>
    </w:p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unhideWhenUsed/>
    <w:qFormat/>
    <w:uiPriority w:val="99"/>
    <w:pPr>
      <w:tabs>
        <w:tab w:val="center" w:pos="4680"/>
        <w:tab w:val="right" w:pos="9360"/>
      </w:tabs>
      <w:spacing w:after="0" w:line="240" w:lineRule="auto"/>
    </w:pPr>
  </w:style>
  <w:style w:type="character" w:styleId="9">
    <w:name w:val="Hyperlink"/>
    <w:basedOn w:val="3"/>
    <w:qFormat/>
    <w:uiPriority w:val="99"/>
    <w:rPr>
      <w:rFonts w:cs="Times New Roman"/>
      <w:color w:val="0000FF"/>
      <w:u w:val="single"/>
    </w:rPr>
  </w:style>
  <w:style w:type="paragraph" w:styleId="10">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3"/>
    <w:qFormat/>
    <w:uiPriority w:val="22"/>
    <w:rPr>
      <w:b/>
      <w:bCs/>
    </w:rPr>
  </w:style>
  <w:style w:type="table" w:styleId="12">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3"/>
    <w:link w:val="8"/>
    <w:qFormat/>
    <w:uiPriority w:val="99"/>
  </w:style>
  <w:style w:type="character" w:customStyle="1" w:styleId="14">
    <w:name w:val="Footer Char"/>
    <w:basedOn w:val="3"/>
    <w:link w:val="7"/>
    <w:qFormat/>
    <w:uiPriority w:val="99"/>
  </w:style>
  <w:style w:type="paragraph" w:styleId="15">
    <w:name w:val="List Paragraph"/>
    <w:basedOn w:val="1"/>
    <w:qFormat/>
    <w:uiPriority w:val="34"/>
    <w:pPr>
      <w:ind w:left="720"/>
      <w:contextualSpacing/>
    </w:pPr>
  </w:style>
  <w:style w:type="character" w:customStyle="1" w:styleId="16">
    <w:name w:val="Heading 5 Char"/>
    <w:basedOn w:val="3"/>
    <w:link w:val="2"/>
    <w:qFormat/>
    <w:uiPriority w:val="0"/>
    <w:rPr>
      <w:rFonts w:ascii="Times New Roman" w:hAnsi="Times New Roman" w:eastAsia="PMingLiU" w:cs="Times New Roman"/>
      <w:sz w:val="18"/>
      <w:szCs w:val="18"/>
    </w:rPr>
  </w:style>
  <w:style w:type="paragraph" w:customStyle="1" w:styleId="17">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qFormat/>
    <w:uiPriority w:val="37"/>
  </w:style>
  <w:style w:type="character" w:customStyle="1" w:styleId="25">
    <w:name w:val="Unresolved Mention1"/>
    <w:basedOn w:val="3"/>
    <w:semiHidden/>
    <w:unhideWhenUsed/>
    <w:qFormat/>
    <w:uiPriority w:val="99"/>
    <w:rPr>
      <w:color w:val="605E5C"/>
      <w:shd w:val="clear" w:color="auto" w:fill="E1DFDD"/>
    </w:rPr>
  </w:style>
  <w:style w:type="paragraph" w:customStyle="1" w:styleId="2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3"/>
    <w:link w:val="5"/>
    <w:semiHidden/>
    <w:qFormat/>
    <w:uiPriority w:val="99"/>
    <w:rPr>
      <w:rFonts w:ascii="Tahoma" w:hAnsi="Tahoma" w:cs="Tahoma"/>
      <w:sz w:val="16"/>
      <w:szCs w:val="16"/>
    </w:rPr>
  </w:style>
  <w:style w:type="paragraph" w:customStyle="1" w:styleId="28">
    <w:name w:val="Els-Affiliation"/>
    <w:next w:val="29"/>
    <w:autoRedefine/>
    <w:qFormat/>
    <w:uiPriority w:val="0"/>
    <w:pPr>
      <w:pBdr>
        <w:bottom w:val="single" w:color="auto" w:sz="2" w:space="1"/>
      </w:pBdr>
      <w:suppressAutoHyphens/>
      <w:spacing w:line="230" w:lineRule="exact"/>
    </w:pPr>
    <w:rPr>
      <w:rFonts w:ascii="Times New Roman" w:hAnsi="Times New Roman" w:eastAsia="SimSun" w:cs="Times New Roman"/>
      <w:i/>
      <w:sz w:val="16"/>
      <w:lang w:val="en-US" w:eastAsia="en-US" w:bidi="ar-SA"/>
    </w:rPr>
  </w:style>
  <w:style w:type="paragraph" w:customStyle="1" w:styleId="29">
    <w:name w:val="Els-Abstract-head"/>
    <w:next w:val="1"/>
    <w:qFormat/>
    <w:uiPriority w:val="0"/>
    <w:pPr>
      <w:keepNext/>
      <w:suppressAutoHyphens/>
      <w:spacing w:before="440" w:after="200"/>
    </w:pPr>
    <w:rPr>
      <w:rFonts w:ascii="Times New Roman" w:hAnsi="Times New Roman" w:eastAsia="SimSun" w:cs="Times New Roman"/>
      <w:b/>
      <w:sz w:val="18"/>
      <w:lang w:val="en-US" w:eastAsia="en-US" w:bidi="ar-SA"/>
    </w:rPr>
  </w:style>
  <w:style w:type="paragraph" w:customStyle="1" w:styleId="30">
    <w:name w:val="IEEE Author Affiliation"/>
    <w:basedOn w:val="1"/>
    <w:next w:val="1"/>
    <w:qFormat/>
    <w:uiPriority w:val="0"/>
    <w:pPr>
      <w:spacing w:after="60" w:line="240" w:lineRule="auto"/>
      <w:jc w:val="center"/>
    </w:pPr>
    <w:rPr>
      <w:rFonts w:ascii="Times New Roman" w:hAnsi="Times New Roman"/>
      <w:i/>
      <w:sz w:val="20"/>
      <w:szCs w:val="24"/>
      <w:lang w:val="en-GB" w:eastAsia="en-GB"/>
    </w:rPr>
  </w:style>
  <w:style w:type="paragraph" w:customStyle="1" w:styleId="31">
    <w:name w:val="References"/>
    <w:basedOn w:val="1"/>
    <w:qFormat/>
    <w:uiPriority w:val="0"/>
    <w:pPr>
      <w:numPr>
        <w:ilvl w:val="0"/>
        <w:numId w:val="2"/>
      </w:numPr>
      <w:autoSpaceDE w:val="0"/>
      <w:autoSpaceDN w:val="0"/>
      <w:spacing w:after="0" w:line="240" w:lineRule="auto"/>
      <w:jc w:val="both"/>
    </w:pPr>
    <w:rPr>
      <w:rFonts w:ascii="Times New Roman" w:hAnsi="Times New Roman" w:eastAsia="PMingLiU" w:cs="Times New Roman"/>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10</Pages>
  <Words>611</Words>
  <Characters>3489</Characters>
  <Lines>29</Lines>
  <Paragraphs>8</Paragraphs>
  <TotalTime>0</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Pratik Chaphale</cp:lastModifiedBy>
  <cp:lastPrinted>2021-02-22T14:39:00Z</cp:lastPrinted>
  <dcterms:modified xsi:type="dcterms:W3CDTF">2024-05-23T10:00:08Z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6E7839362F00423C9C028236CD26730E_12</vt:lpwstr>
  </property>
</Properties>
</file>