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F3D" w:rsidRPr="007F5B17" w:rsidRDefault="00745580" w:rsidP="00745580">
      <w:pPr>
        <w:jc w:val="center"/>
        <w:rPr>
          <w:rFonts w:asciiTheme="minorHAnsi" w:hAnsiTheme="minorHAnsi" w:cstheme="minorHAnsi"/>
          <w:b/>
          <w:sz w:val="32"/>
          <w:szCs w:val="32"/>
          <w:lang w:val="en-US"/>
        </w:rPr>
      </w:pPr>
      <w:r w:rsidRPr="007F5B17">
        <w:rPr>
          <w:rFonts w:asciiTheme="minorHAnsi" w:hAnsiTheme="minorHAnsi" w:cstheme="minorHAnsi"/>
          <w:b/>
          <w:sz w:val="32"/>
          <w:szCs w:val="32"/>
          <w:lang w:val="en-US"/>
        </w:rPr>
        <w:t>Risk factors for septic shock from healthcare-associated infections in the intensive care unit of Algiers: “About a cohort study”</w:t>
      </w:r>
    </w:p>
    <w:p w:rsidR="00745580" w:rsidRPr="007F5B17" w:rsidRDefault="00745580" w:rsidP="00745580">
      <w:pPr>
        <w:rPr>
          <w:rFonts w:asciiTheme="minorHAnsi" w:hAnsiTheme="minorHAnsi" w:cstheme="minorHAnsi"/>
          <w:b/>
          <w:lang w:val="en-US"/>
        </w:rPr>
      </w:pPr>
    </w:p>
    <w:p w:rsidR="007F5B17" w:rsidRDefault="00745580" w:rsidP="00745580">
      <w:pPr>
        <w:rPr>
          <w:rFonts w:asciiTheme="minorHAnsi" w:hAnsiTheme="minorHAnsi" w:cstheme="minorHAnsi"/>
        </w:rPr>
      </w:pPr>
      <w:r w:rsidRPr="007F5B17">
        <w:rPr>
          <w:rFonts w:asciiTheme="minorHAnsi" w:hAnsiTheme="minorHAnsi" w:cstheme="minorHAnsi"/>
          <w:b/>
        </w:rPr>
        <w:t xml:space="preserve">T. Ait </w:t>
      </w:r>
      <w:proofErr w:type="spellStart"/>
      <w:r w:rsidRPr="007F5B17">
        <w:rPr>
          <w:rFonts w:asciiTheme="minorHAnsi" w:hAnsiTheme="minorHAnsi" w:cstheme="minorHAnsi"/>
          <w:b/>
        </w:rPr>
        <w:t>Mouheb</w:t>
      </w:r>
      <w:proofErr w:type="spellEnd"/>
      <w:r w:rsidRPr="007F5B17">
        <w:rPr>
          <w:rFonts w:asciiTheme="minorHAnsi" w:hAnsiTheme="minorHAnsi" w:cstheme="minorHAnsi"/>
        </w:rPr>
        <w:t xml:space="preserve">, </w:t>
      </w:r>
      <w:r w:rsidR="006363EF">
        <w:rPr>
          <w:rFonts w:asciiTheme="minorHAnsi" w:hAnsiTheme="minorHAnsi" w:cstheme="minorHAnsi"/>
        </w:rPr>
        <w:t xml:space="preserve">O. </w:t>
      </w:r>
      <w:proofErr w:type="spellStart"/>
      <w:r w:rsidR="006363EF">
        <w:rPr>
          <w:rFonts w:asciiTheme="minorHAnsi" w:hAnsiTheme="minorHAnsi" w:cstheme="minorHAnsi"/>
        </w:rPr>
        <w:t>Benrabah</w:t>
      </w:r>
      <w:proofErr w:type="spellEnd"/>
      <w:r w:rsidR="006363EF">
        <w:rPr>
          <w:rFonts w:asciiTheme="minorHAnsi" w:hAnsiTheme="minorHAnsi" w:cstheme="minorHAnsi"/>
        </w:rPr>
        <w:t xml:space="preserve"> </w:t>
      </w:r>
      <w:r w:rsidR="007F5B17" w:rsidRPr="007F5B17">
        <w:rPr>
          <w:rFonts w:asciiTheme="minorHAnsi" w:hAnsiTheme="minorHAnsi" w:cstheme="minorHAnsi"/>
        </w:rPr>
        <w:t>L.</w:t>
      </w:r>
      <w:r w:rsidR="00803289">
        <w:rPr>
          <w:rFonts w:asciiTheme="minorHAnsi" w:hAnsiTheme="minorHAnsi" w:cstheme="minorHAnsi"/>
        </w:rPr>
        <w:t xml:space="preserve"> </w:t>
      </w:r>
      <w:r w:rsidRPr="007F5B17">
        <w:rPr>
          <w:rFonts w:asciiTheme="minorHAnsi" w:hAnsiTheme="minorHAnsi" w:cstheme="minorHAnsi"/>
        </w:rPr>
        <w:t xml:space="preserve">Ait </w:t>
      </w:r>
      <w:proofErr w:type="spellStart"/>
      <w:r w:rsidRPr="007F5B17">
        <w:rPr>
          <w:rFonts w:asciiTheme="minorHAnsi" w:hAnsiTheme="minorHAnsi" w:cstheme="minorHAnsi"/>
        </w:rPr>
        <w:t>mokhtar</w:t>
      </w:r>
      <w:proofErr w:type="spellEnd"/>
      <w:r w:rsidRPr="007F5B17">
        <w:rPr>
          <w:rFonts w:asciiTheme="minorHAnsi" w:hAnsiTheme="minorHAnsi" w:cstheme="minorHAnsi"/>
        </w:rPr>
        <w:t xml:space="preserve">, </w:t>
      </w:r>
      <w:r w:rsidR="00803289">
        <w:rPr>
          <w:rFonts w:asciiTheme="minorHAnsi" w:hAnsiTheme="minorHAnsi" w:cstheme="minorHAnsi"/>
        </w:rPr>
        <w:t xml:space="preserve">M. </w:t>
      </w:r>
      <w:proofErr w:type="spellStart"/>
      <w:r w:rsidRPr="007F5B17">
        <w:rPr>
          <w:rFonts w:asciiTheme="minorHAnsi" w:hAnsiTheme="minorHAnsi" w:cstheme="minorHAnsi"/>
        </w:rPr>
        <w:t>Slimani</w:t>
      </w:r>
      <w:proofErr w:type="spellEnd"/>
      <w:r w:rsidR="00803289">
        <w:rPr>
          <w:rFonts w:asciiTheme="minorHAnsi" w:hAnsiTheme="minorHAnsi" w:cstheme="minorHAnsi"/>
        </w:rPr>
        <w:t xml:space="preserve">, </w:t>
      </w:r>
      <w:proofErr w:type="spellStart"/>
      <w:proofErr w:type="gramStart"/>
      <w:r w:rsidR="007F5B17" w:rsidRPr="007F5B17">
        <w:rPr>
          <w:rFonts w:asciiTheme="minorHAnsi" w:hAnsiTheme="minorHAnsi" w:cstheme="minorHAnsi"/>
        </w:rPr>
        <w:t>Z.Amine</w:t>
      </w:r>
      <w:proofErr w:type="spellEnd"/>
      <w:proofErr w:type="gramEnd"/>
      <w:r w:rsidR="007F5B17" w:rsidRPr="007F5B17">
        <w:rPr>
          <w:rFonts w:asciiTheme="minorHAnsi" w:hAnsiTheme="minorHAnsi" w:cstheme="minorHAnsi"/>
        </w:rPr>
        <w:t>,</w:t>
      </w:r>
      <w:r w:rsidRPr="007F5B17">
        <w:rPr>
          <w:rFonts w:asciiTheme="minorHAnsi" w:hAnsiTheme="minorHAnsi" w:cstheme="minorHAnsi"/>
        </w:rPr>
        <w:t xml:space="preserve"> </w:t>
      </w:r>
      <w:r w:rsidR="00803289">
        <w:rPr>
          <w:rFonts w:asciiTheme="minorHAnsi" w:hAnsiTheme="minorHAnsi" w:cstheme="minorHAnsi"/>
        </w:rPr>
        <w:t xml:space="preserve">M. </w:t>
      </w:r>
      <w:proofErr w:type="spellStart"/>
      <w:r w:rsidRPr="007F5B17">
        <w:rPr>
          <w:rFonts w:asciiTheme="minorHAnsi" w:hAnsiTheme="minorHAnsi" w:cstheme="minorHAnsi"/>
        </w:rPr>
        <w:t>Benouanes</w:t>
      </w:r>
      <w:proofErr w:type="spellEnd"/>
      <w:r w:rsidR="00803289">
        <w:rPr>
          <w:rFonts w:asciiTheme="minorHAnsi" w:hAnsiTheme="minorHAnsi" w:cstheme="minorHAnsi"/>
        </w:rPr>
        <w:t xml:space="preserve">, </w:t>
      </w:r>
      <w:r w:rsidRPr="007F5B17">
        <w:rPr>
          <w:rFonts w:asciiTheme="minorHAnsi" w:hAnsiTheme="minorHAnsi" w:cstheme="minorHAnsi"/>
        </w:rPr>
        <w:t xml:space="preserve">F. </w:t>
      </w:r>
      <w:proofErr w:type="spellStart"/>
      <w:r w:rsidRPr="007F5B17">
        <w:rPr>
          <w:rFonts w:asciiTheme="minorHAnsi" w:hAnsiTheme="minorHAnsi" w:cstheme="minorHAnsi"/>
        </w:rPr>
        <w:t>Labaci</w:t>
      </w:r>
      <w:proofErr w:type="spellEnd"/>
    </w:p>
    <w:p w:rsidR="00745580" w:rsidRPr="00745580" w:rsidRDefault="00745580" w:rsidP="00745580">
      <w:pPr>
        <w:rPr>
          <w:b/>
          <w:sz w:val="36"/>
          <w:szCs w:val="36"/>
        </w:rPr>
      </w:pPr>
      <w:r w:rsidRPr="00457B2F">
        <w:rPr>
          <w:rFonts w:cstheme="minorHAnsi"/>
        </w:rPr>
        <w:br/>
      </w:r>
    </w:p>
    <w:p w:rsidR="00D469F2" w:rsidRPr="004A6922" w:rsidRDefault="00D469F2" w:rsidP="00D469F2">
      <w:pPr>
        <w:jc w:val="both"/>
        <w:rPr>
          <w:rFonts w:asciiTheme="minorHAnsi" w:hAnsiTheme="minorHAnsi" w:cstheme="minorHAnsi"/>
          <w:sz w:val="22"/>
          <w:szCs w:val="22"/>
          <w:lang w:val="en-US"/>
        </w:rPr>
      </w:pPr>
      <w:r w:rsidRPr="004A6922">
        <w:rPr>
          <w:rFonts w:asciiTheme="minorHAnsi" w:hAnsiTheme="minorHAnsi" w:cstheme="minorHAnsi"/>
          <w:sz w:val="22"/>
          <w:szCs w:val="22"/>
          <w:u w:val="single"/>
          <w:lang w:val="en-US"/>
        </w:rPr>
        <w:t>Introduction:</w:t>
      </w:r>
      <w:r w:rsidRPr="004A6922">
        <w:rPr>
          <w:rFonts w:asciiTheme="minorHAnsi" w:hAnsiTheme="minorHAnsi" w:cstheme="minorHAnsi"/>
          <w:sz w:val="22"/>
          <w:szCs w:val="22"/>
          <w:lang w:val="en-US"/>
        </w:rPr>
        <w:t xml:space="preserve"> Healthcare-associated infections are a public health problem worldwide. Increasingly serious in poor countries where indicators of quality of life remain poor. The consequences on morbidity and mortality are linked to lack of human and material resources, poor organization due to the absence of regulations and the lack of representative surveillance data. The prognosis of these patients is conditioned by regular monitoring of the bacterial ecosystem, the proper use of antibiotics and the emergence of increasingly resistant strains in particular, Acinetobacter </w:t>
      </w:r>
      <w:proofErr w:type="spellStart"/>
      <w:r w:rsidRPr="004A6922">
        <w:rPr>
          <w:rFonts w:asciiTheme="minorHAnsi" w:hAnsiTheme="minorHAnsi" w:cstheme="minorHAnsi"/>
          <w:sz w:val="22"/>
          <w:szCs w:val="22"/>
          <w:lang w:val="en-US"/>
        </w:rPr>
        <w:t>baumanii</w:t>
      </w:r>
      <w:proofErr w:type="spellEnd"/>
      <w:r w:rsidRPr="004A6922">
        <w:rPr>
          <w:rFonts w:asciiTheme="minorHAnsi" w:hAnsiTheme="minorHAnsi" w:cstheme="minorHAnsi"/>
          <w:sz w:val="22"/>
          <w:szCs w:val="22"/>
          <w:lang w:val="en-US"/>
        </w:rPr>
        <w:t xml:space="preserve">. </w:t>
      </w:r>
    </w:p>
    <w:p w:rsidR="00745580" w:rsidRPr="004A6922" w:rsidRDefault="00D469F2" w:rsidP="00D469F2">
      <w:pPr>
        <w:jc w:val="both"/>
        <w:rPr>
          <w:rFonts w:asciiTheme="minorHAnsi" w:hAnsiTheme="minorHAnsi" w:cstheme="minorHAnsi"/>
          <w:sz w:val="22"/>
          <w:szCs w:val="22"/>
          <w:lang w:val="en-US"/>
        </w:rPr>
      </w:pPr>
      <w:r w:rsidRPr="004A6922">
        <w:rPr>
          <w:rFonts w:asciiTheme="minorHAnsi" w:hAnsiTheme="minorHAnsi" w:cstheme="minorHAnsi"/>
          <w:sz w:val="22"/>
          <w:szCs w:val="22"/>
          <w:u w:val="single"/>
          <w:lang w:val="en-US"/>
        </w:rPr>
        <w:t>Materials and methods:</w:t>
      </w:r>
      <w:r w:rsidRPr="004A6922">
        <w:rPr>
          <w:rFonts w:asciiTheme="minorHAnsi" w:hAnsiTheme="minorHAnsi" w:cstheme="minorHAnsi"/>
          <w:sz w:val="22"/>
          <w:szCs w:val="22"/>
          <w:lang w:val="en-US"/>
        </w:rPr>
        <w:t xml:space="preserve"> After approval of the ethics committee and consents obtained from patients admitted to the intensive care unit. We carried out a descriptive analytical cohort study spread over a period of two years from December 1, 2019 until January 31, 2021, including all patients over 18 years old, hospitalized in the UMC department in which we collected all infections</w:t>
      </w:r>
      <w:r w:rsidR="00C752DD" w:rsidRPr="004A6922">
        <w:rPr>
          <w:rFonts w:asciiTheme="minorHAnsi" w:hAnsiTheme="minorHAnsi" w:cstheme="minorHAnsi"/>
          <w:sz w:val="22"/>
          <w:szCs w:val="22"/>
          <w:lang w:val="en-US"/>
        </w:rPr>
        <w:t xml:space="preserve"> </w:t>
      </w:r>
      <w:r w:rsidRPr="004A6922">
        <w:rPr>
          <w:rFonts w:asciiTheme="minorHAnsi" w:hAnsiTheme="minorHAnsi" w:cstheme="minorHAnsi"/>
          <w:sz w:val="22"/>
          <w:szCs w:val="22"/>
          <w:lang w:val="en-US"/>
        </w:rPr>
        <w:t>linked to healthcare. Furthermore, we carried out a multivariate study by logistic regression with the following variable as dependent</w:t>
      </w:r>
      <w:r w:rsidR="00C752DD" w:rsidRPr="004A6922">
        <w:rPr>
          <w:rFonts w:asciiTheme="minorHAnsi" w:hAnsiTheme="minorHAnsi" w:cstheme="minorHAnsi"/>
          <w:sz w:val="22"/>
          <w:szCs w:val="22"/>
          <w:lang w:val="en-US"/>
        </w:rPr>
        <w:t>s</w:t>
      </w:r>
      <w:r w:rsidRPr="004A6922">
        <w:rPr>
          <w:rFonts w:asciiTheme="minorHAnsi" w:hAnsiTheme="minorHAnsi" w:cstheme="minorHAnsi"/>
          <w:sz w:val="22"/>
          <w:szCs w:val="22"/>
          <w:lang w:val="en-US"/>
        </w:rPr>
        <w:t xml:space="preserve"> </w:t>
      </w:r>
      <w:r w:rsidR="00C752DD" w:rsidRPr="004A6922">
        <w:rPr>
          <w:rFonts w:asciiTheme="minorHAnsi" w:hAnsiTheme="minorHAnsi" w:cstheme="minorHAnsi"/>
          <w:sz w:val="22"/>
          <w:szCs w:val="22"/>
          <w:lang w:val="en-US"/>
        </w:rPr>
        <w:t>variables:</w:t>
      </w:r>
      <w:r w:rsidRPr="004A6922">
        <w:rPr>
          <w:rFonts w:asciiTheme="minorHAnsi" w:hAnsiTheme="minorHAnsi" w:cstheme="minorHAnsi"/>
          <w:sz w:val="22"/>
          <w:szCs w:val="22"/>
          <w:lang w:val="en-US"/>
        </w:rPr>
        <w:t xml:space="preserve"> Occurrence of </w:t>
      </w:r>
      <w:r w:rsidR="00C752DD" w:rsidRPr="004A6922">
        <w:rPr>
          <w:rFonts w:asciiTheme="minorHAnsi" w:hAnsiTheme="minorHAnsi" w:cstheme="minorHAnsi"/>
          <w:sz w:val="22"/>
          <w:szCs w:val="22"/>
          <w:lang w:val="en-US"/>
        </w:rPr>
        <w:t xml:space="preserve">septic </w:t>
      </w:r>
      <w:r w:rsidRPr="004A6922">
        <w:rPr>
          <w:rFonts w:asciiTheme="minorHAnsi" w:hAnsiTheme="minorHAnsi" w:cstheme="minorHAnsi"/>
          <w:sz w:val="22"/>
          <w:szCs w:val="22"/>
          <w:lang w:val="en-US"/>
        </w:rPr>
        <w:t xml:space="preserve">shock with or without high lactate levels (&gt;02 mmol/l). We included the following variables in the model (Age, hypertension, diabetes, stroke, heart disease, </w:t>
      </w:r>
      <w:proofErr w:type="spellStart"/>
      <w:r w:rsidRPr="004A6922">
        <w:rPr>
          <w:rFonts w:asciiTheme="minorHAnsi" w:hAnsiTheme="minorHAnsi" w:cstheme="minorHAnsi"/>
          <w:sz w:val="22"/>
          <w:szCs w:val="22"/>
          <w:lang w:val="en-US"/>
        </w:rPr>
        <w:t>hypoximiant</w:t>
      </w:r>
      <w:proofErr w:type="spellEnd"/>
      <w:r w:rsidRPr="004A6922">
        <w:rPr>
          <w:rFonts w:asciiTheme="minorHAnsi" w:hAnsiTheme="minorHAnsi" w:cstheme="minorHAnsi"/>
          <w:sz w:val="22"/>
          <w:szCs w:val="22"/>
          <w:lang w:val="en-US"/>
        </w:rPr>
        <w:t xml:space="preserve"> pneumonia, VAP, COPD, head trauma, polytrauma, acute pancreatitis, acute endocarditis, Guillain-</w:t>
      </w:r>
      <w:proofErr w:type="spellStart"/>
      <w:r w:rsidRPr="004A6922">
        <w:rPr>
          <w:rFonts w:asciiTheme="minorHAnsi" w:hAnsiTheme="minorHAnsi" w:cstheme="minorHAnsi"/>
          <w:sz w:val="22"/>
          <w:szCs w:val="22"/>
          <w:lang w:val="en-US"/>
        </w:rPr>
        <w:t>barré</w:t>
      </w:r>
      <w:proofErr w:type="spellEnd"/>
      <w:r w:rsidRPr="004A6922">
        <w:rPr>
          <w:rFonts w:asciiTheme="minorHAnsi" w:hAnsiTheme="minorHAnsi" w:cstheme="minorHAnsi"/>
          <w:sz w:val="22"/>
          <w:szCs w:val="22"/>
          <w:lang w:val="en-US"/>
        </w:rPr>
        <w:t xml:space="preserve"> syndrome, nosocomial infections (Acinetobacter </w:t>
      </w:r>
      <w:proofErr w:type="spellStart"/>
      <w:r w:rsidRPr="004A6922">
        <w:rPr>
          <w:rFonts w:asciiTheme="minorHAnsi" w:hAnsiTheme="minorHAnsi" w:cstheme="minorHAnsi"/>
          <w:sz w:val="22"/>
          <w:szCs w:val="22"/>
          <w:lang w:val="en-US"/>
        </w:rPr>
        <w:t>baumanii</w:t>
      </w:r>
      <w:proofErr w:type="spellEnd"/>
      <w:r w:rsidRPr="004A6922">
        <w:rPr>
          <w:rFonts w:asciiTheme="minorHAnsi" w:hAnsiTheme="minorHAnsi" w:cstheme="minorHAnsi"/>
          <w:sz w:val="22"/>
          <w:szCs w:val="22"/>
          <w:lang w:val="en-US"/>
        </w:rPr>
        <w:t xml:space="preserve">, </w:t>
      </w:r>
      <w:proofErr w:type="spellStart"/>
      <w:r w:rsidRPr="004A6922">
        <w:rPr>
          <w:rFonts w:asciiTheme="minorHAnsi" w:hAnsiTheme="minorHAnsi" w:cstheme="minorHAnsi"/>
          <w:sz w:val="22"/>
          <w:szCs w:val="22"/>
          <w:lang w:val="en-US"/>
        </w:rPr>
        <w:t>Klebsiella</w:t>
      </w:r>
      <w:proofErr w:type="spellEnd"/>
      <w:r w:rsidRPr="004A6922">
        <w:rPr>
          <w:rFonts w:asciiTheme="minorHAnsi" w:hAnsiTheme="minorHAnsi" w:cstheme="minorHAnsi"/>
          <w:sz w:val="22"/>
          <w:szCs w:val="22"/>
          <w:lang w:val="en-US"/>
        </w:rPr>
        <w:t xml:space="preserve"> pneumoniae, central line sepsis, urine sepsis, lactate level &gt;02 mmol/l and length of hospital stay</w:t>
      </w:r>
      <w:r w:rsidR="00C2113C" w:rsidRPr="004A6922">
        <w:rPr>
          <w:rFonts w:asciiTheme="minorHAnsi" w:hAnsiTheme="minorHAnsi" w:cstheme="minorHAnsi"/>
          <w:sz w:val="22"/>
          <w:szCs w:val="22"/>
          <w:lang w:val="en-US"/>
        </w:rPr>
        <w:t>.</w:t>
      </w:r>
      <w:r w:rsidR="00F46AE8" w:rsidRPr="004A6922">
        <w:rPr>
          <w:rFonts w:asciiTheme="minorHAnsi" w:hAnsiTheme="minorHAnsi" w:cstheme="minorHAnsi"/>
          <w:sz w:val="22"/>
          <w:szCs w:val="22"/>
          <w:lang w:val="en-US"/>
        </w:rPr>
        <w:t xml:space="preserve"> the initial model includes all the variables at 0.2 of degree of significance and the variables described in the literature as being risk factors for septic shock, in order to eliminate the confounding factors in the logit equation of logistic regression</w:t>
      </w:r>
    </w:p>
    <w:p w:rsidR="00285F97" w:rsidRDefault="00285F97" w:rsidP="00285F97">
      <w:pPr>
        <w:jc w:val="both"/>
        <w:rPr>
          <w:lang w:val="en-US"/>
        </w:rPr>
      </w:pPr>
    </w:p>
    <w:p w:rsidR="00285F97" w:rsidRPr="004A6922" w:rsidRDefault="00F02FC1" w:rsidP="00784E20">
      <w:pPr>
        <w:jc w:val="both"/>
        <w:rPr>
          <w:rFonts w:asciiTheme="minorHAnsi" w:hAnsiTheme="minorHAnsi" w:cstheme="minorHAnsi"/>
          <w:sz w:val="22"/>
          <w:szCs w:val="22"/>
          <w:lang w:val="en-US"/>
        </w:rPr>
      </w:pPr>
      <w:r w:rsidRPr="004A6922">
        <w:rPr>
          <w:rFonts w:asciiTheme="minorHAnsi" w:hAnsiTheme="minorHAnsi" w:cstheme="minorHAnsi"/>
          <w:sz w:val="22"/>
          <w:szCs w:val="22"/>
          <w:u w:val="single"/>
          <w:lang w:val="en-US"/>
        </w:rPr>
        <w:t>Results:</w:t>
      </w:r>
      <w:r w:rsidRPr="004A6922">
        <w:rPr>
          <w:rFonts w:asciiTheme="minorHAnsi" w:hAnsiTheme="minorHAnsi" w:cstheme="minorHAnsi"/>
          <w:sz w:val="22"/>
          <w:szCs w:val="22"/>
          <w:lang w:val="en-US"/>
        </w:rPr>
        <w:t xml:space="preserve"> </w:t>
      </w:r>
      <w:r w:rsidR="00285F97" w:rsidRPr="004A6922">
        <w:rPr>
          <w:rFonts w:asciiTheme="minorHAnsi" w:hAnsiTheme="minorHAnsi" w:cstheme="minorHAnsi"/>
          <w:sz w:val="22"/>
          <w:szCs w:val="22"/>
          <w:lang w:val="en-US"/>
        </w:rPr>
        <w:t xml:space="preserve">The specific incidence of Acinetobacter </w:t>
      </w:r>
      <w:proofErr w:type="spellStart"/>
      <w:r w:rsidR="00285F97" w:rsidRPr="004A6922">
        <w:rPr>
          <w:rFonts w:asciiTheme="minorHAnsi" w:hAnsiTheme="minorHAnsi" w:cstheme="minorHAnsi"/>
          <w:sz w:val="22"/>
          <w:szCs w:val="22"/>
          <w:lang w:val="en-US"/>
        </w:rPr>
        <w:t>baumanii</w:t>
      </w:r>
      <w:proofErr w:type="spellEnd"/>
      <w:r w:rsidR="00285F97" w:rsidRPr="004A6922">
        <w:rPr>
          <w:rFonts w:asciiTheme="minorHAnsi" w:hAnsiTheme="minorHAnsi" w:cstheme="minorHAnsi"/>
          <w:sz w:val="22"/>
          <w:szCs w:val="22"/>
          <w:lang w:val="en-US"/>
        </w:rPr>
        <w:t xml:space="preserve"> infections was 26%.</w:t>
      </w:r>
    </w:p>
    <w:p w:rsidR="00784E20" w:rsidRPr="004A6922" w:rsidRDefault="00285F97" w:rsidP="00F02FC1">
      <w:pPr>
        <w:jc w:val="both"/>
        <w:rPr>
          <w:rFonts w:asciiTheme="minorHAnsi" w:hAnsiTheme="minorHAnsi" w:cstheme="minorHAnsi"/>
          <w:sz w:val="22"/>
          <w:szCs w:val="22"/>
          <w:lang w:val="en-US"/>
        </w:rPr>
      </w:pPr>
      <w:r w:rsidRPr="004A6922">
        <w:rPr>
          <w:rFonts w:asciiTheme="minorHAnsi" w:hAnsiTheme="minorHAnsi" w:cstheme="minorHAnsi"/>
          <w:sz w:val="22"/>
          <w:szCs w:val="22"/>
          <w:lang w:val="en-US"/>
        </w:rPr>
        <w:t>54 samples were positive among those taken from patients with signs of sepsis and (</w:t>
      </w:r>
      <w:proofErr w:type="spellStart"/>
      <w:r w:rsidRPr="004A6922">
        <w:rPr>
          <w:rFonts w:asciiTheme="minorHAnsi" w:hAnsiTheme="minorHAnsi" w:cstheme="minorHAnsi"/>
          <w:sz w:val="22"/>
          <w:szCs w:val="22"/>
          <w:lang w:val="en-US"/>
        </w:rPr>
        <w:t>QSofa</w:t>
      </w:r>
      <w:proofErr w:type="spellEnd"/>
      <w:r w:rsidRPr="004A6922">
        <w:rPr>
          <w:rFonts w:asciiTheme="minorHAnsi" w:hAnsiTheme="minorHAnsi" w:cstheme="minorHAnsi"/>
          <w:sz w:val="22"/>
          <w:szCs w:val="22"/>
          <w:lang w:val="en-US"/>
        </w:rPr>
        <w:t xml:space="preserve"> and Sofa more than 02 points)</w:t>
      </w:r>
      <w:r w:rsidR="00F02FC1" w:rsidRPr="004A6922">
        <w:rPr>
          <w:rFonts w:asciiTheme="minorHAnsi" w:hAnsiTheme="minorHAnsi" w:cstheme="minorHAnsi"/>
          <w:sz w:val="22"/>
          <w:szCs w:val="22"/>
          <w:lang w:val="en-US"/>
        </w:rPr>
        <w:t xml:space="preserve">. </w:t>
      </w:r>
      <w:r w:rsidRPr="004A6922">
        <w:rPr>
          <w:rFonts w:asciiTheme="minorHAnsi" w:hAnsiTheme="minorHAnsi" w:cstheme="minorHAnsi"/>
          <w:sz w:val="22"/>
          <w:szCs w:val="22"/>
          <w:lang w:val="en-US"/>
        </w:rPr>
        <w:t xml:space="preserve">Acinetobacter </w:t>
      </w:r>
      <w:proofErr w:type="spellStart"/>
      <w:r w:rsidRPr="004A6922">
        <w:rPr>
          <w:rFonts w:asciiTheme="minorHAnsi" w:hAnsiTheme="minorHAnsi" w:cstheme="minorHAnsi"/>
          <w:sz w:val="22"/>
          <w:szCs w:val="22"/>
          <w:lang w:val="en-US"/>
        </w:rPr>
        <w:t>baumanii</w:t>
      </w:r>
      <w:proofErr w:type="spellEnd"/>
      <w:r w:rsidRPr="004A6922">
        <w:rPr>
          <w:rFonts w:asciiTheme="minorHAnsi" w:hAnsiTheme="minorHAnsi" w:cstheme="minorHAnsi"/>
          <w:sz w:val="22"/>
          <w:szCs w:val="22"/>
          <w:lang w:val="en-US"/>
        </w:rPr>
        <w:t xml:space="preserve"> was the most identified germ with a relative frequency of 40% and was respectively resistant to </w:t>
      </w:r>
      <w:r w:rsidR="00EB599B" w:rsidRPr="004A6922">
        <w:rPr>
          <w:rFonts w:asciiTheme="minorHAnsi" w:hAnsiTheme="minorHAnsi" w:cstheme="minorHAnsi"/>
          <w:sz w:val="22"/>
          <w:szCs w:val="22"/>
          <w:lang w:val="en-US"/>
        </w:rPr>
        <w:t>carbapenems</w:t>
      </w:r>
      <w:r w:rsidRPr="004A6922">
        <w:rPr>
          <w:rFonts w:asciiTheme="minorHAnsi" w:hAnsiTheme="minorHAnsi" w:cstheme="minorHAnsi"/>
          <w:sz w:val="22"/>
          <w:szCs w:val="22"/>
          <w:lang w:val="en-US"/>
        </w:rPr>
        <w:t xml:space="preserve"> in 90%, ceftazidime in 93% of cases, and ciprofloxacin in 49% of cases. Strains tested for sensitivity to colistin were consistently susceptible except in a single case.</w:t>
      </w:r>
      <w:r w:rsidR="009C54EA" w:rsidRPr="004A6922">
        <w:rPr>
          <w:rFonts w:asciiTheme="minorHAnsi" w:hAnsiTheme="minorHAnsi" w:cstheme="minorHAnsi"/>
          <w:color w:val="000000" w:themeColor="text1"/>
          <w:sz w:val="22"/>
          <w:szCs w:val="22"/>
          <w:lang w:val="en-US"/>
        </w:rPr>
        <w:t xml:space="preserve"> </w:t>
      </w:r>
      <w:r w:rsidR="00784E20" w:rsidRPr="004A6922">
        <w:rPr>
          <w:rFonts w:asciiTheme="minorHAnsi" w:hAnsiTheme="minorHAnsi" w:cstheme="minorHAnsi"/>
          <w:color w:val="000000" w:themeColor="text1"/>
          <w:sz w:val="22"/>
          <w:szCs w:val="22"/>
          <w:lang w:val="en-US"/>
        </w:rPr>
        <w:t xml:space="preserve">From the initial model, after having introduced all the independents variables of the study, to explain the occurrence of septic shock (dependent variable) (tab….). </w:t>
      </w:r>
      <w:r w:rsidR="002B5F24">
        <w:rPr>
          <w:rFonts w:asciiTheme="minorHAnsi" w:hAnsiTheme="minorHAnsi" w:cstheme="minorHAnsi"/>
          <w:color w:val="000000" w:themeColor="text1"/>
          <w:sz w:val="22"/>
          <w:szCs w:val="22"/>
          <w:lang w:val="en-US"/>
        </w:rPr>
        <w:t>in t</w:t>
      </w:r>
      <w:r w:rsidR="00784E20" w:rsidRPr="004A6922">
        <w:rPr>
          <w:rFonts w:asciiTheme="minorHAnsi" w:hAnsiTheme="minorHAnsi" w:cstheme="minorHAnsi"/>
          <w:color w:val="000000" w:themeColor="text1"/>
          <w:sz w:val="22"/>
          <w:szCs w:val="22"/>
          <w:lang w:val="en-US"/>
        </w:rPr>
        <w:t>he final model of the multivariat</w:t>
      </w:r>
      <w:r w:rsidR="002B5F24">
        <w:rPr>
          <w:rFonts w:asciiTheme="minorHAnsi" w:hAnsiTheme="minorHAnsi" w:cstheme="minorHAnsi"/>
          <w:color w:val="000000" w:themeColor="text1"/>
          <w:sz w:val="22"/>
          <w:szCs w:val="22"/>
          <w:lang w:val="en-US"/>
        </w:rPr>
        <w:t>e,</w:t>
      </w:r>
      <w:r w:rsidR="00784E20" w:rsidRPr="004A6922">
        <w:rPr>
          <w:rFonts w:asciiTheme="minorHAnsi" w:hAnsiTheme="minorHAnsi" w:cstheme="minorHAnsi"/>
          <w:color w:val="000000" w:themeColor="text1"/>
          <w:sz w:val="22"/>
          <w:szCs w:val="22"/>
          <w:lang w:val="en-US"/>
        </w:rPr>
        <w:t xml:space="preserve"> </w:t>
      </w:r>
      <w:proofErr w:type="spellStart"/>
      <w:r w:rsidR="00784E20" w:rsidRPr="004A6922">
        <w:rPr>
          <w:rFonts w:asciiTheme="minorHAnsi" w:hAnsiTheme="minorHAnsi" w:cstheme="minorHAnsi"/>
          <w:color w:val="000000" w:themeColor="text1"/>
          <w:sz w:val="22"/>
          <w:szCs w:val="22"/>
          <w:lang w:val="en-US"/>
        </w:rPr>
        <w:t>Klebsiella</w:t>
      </w:r>
      <w:proofErr w:type="spellEnd"/>
      <w:r w:rsidR="00784E20" w:rsidRPr="004A6922">
        <w:rPr>
          <w:rFonts w:asciiTheme="minorHAnsi" w:hAnsiTheme="minorHAnsi" w:cstheme="minorHAnsi"/>
          <w:color w:val="000000" w:themeColor="text1"/>
          <w:sz w:val="22"/>
          <w:szCs w:val="22"/>
          <w:lang w:val="en-US"/>
        </w:rPr>
        <w:t xml:space="preserve"> pneumoniae infection; p = 0.001 - 95% CI</w:t>
      </w:r>
      <w:r w:rsidR="002B5F24">
        <w:rPr>
          <w:rFonts w:asciiTheme="minorHAnsi" w:hAnsiTheme="minorHAnsi" w:cstheme="minorHAnsi"/>
          <w:color w:val="000000" w:themeColor="text1"/>
          <w:sz w:val="22"/>
          <w:szCs w:val="22"/>
          <w:lang w:val="en-US"/>
        </w:rPr>
        <w:t xml:space="preserve">- </w:t>
      </w:r>
      <w:proofErr w:type="spellStart"/>
      <w:r w:rsidR="002B5F24" w:rsidRPr="004A6922">
        <w:rPr>
          <w:rFonts w:asciiTheme="minorHAnsi" w:hAnsiTheme="minorHAnsi" w:cstheme="minorHAnsi"/>
          <w:color w:val="000000" w:themeColor="text1"/>
          <w:sz w:val="22"/>
          <w:szCs w:val="22"/>
          <w:lang w:val="en-US"/>
        </w:rPr>
        <w:t>ORa</w:t>
      </w:r>
      <w:proofErr w:type="spellEnd"/>
      <w:r w:rsidR="002B5F24" w:rsidRPr="004A6922">
        <w:rPr>
          <w:rFonts w:asciiTheme="minorHAnsi" w:hAnsiTheme="minorHAnsi" w:cstheme="minorHAnsi"/>
          <w:color w:val="000000" w:themeColor="text1"/>
          <w:sz w:val="22"/>
          <w:szCs w:val="22"/>
          <w:lang w:val="en-US"/>
        </w:rPr>
        <w:t xml:space="preserve"> = 9.92 (2.7-36.7)</w:t>
      </w:r>
      <w:r w:rsidR="002B5F24">
        <w:rPr>
          <w:rFonts w:asciiTheme="minorHAnsi" w:hAnsiTheme="minorHAnsi" w:cstheme="minorHAnsi"/>
          <w:color w:val="000000" w:themeColor="text1"/>
          <w:sz w:val="22"/>
          <w:szCs w:val="22"/>
          <w:lang w:val="en-US"/>
        </w:rPr>
        <w:t xml:space="preserve"> </w:t>
      </w:r>
      <w:r w:rsidR="00784E20" w:rsidRPr="004A6922">
        <w:rPr>
          <w:rFonts w:asciiTheme="minorHAnsi" w:hAnsiTheme="minorHAnsi" w:cstheme="minorHAnsi"/>
          <w:color w:val="000000" w:themeColor="text1"/>
          <w:sz w:val="22"/>
          <w:szCs w:val="22"/>
          <w:lang w:val="en-US"/>
        </w:rPr>
        <w:t xml:space="preserve">and antibiotic resistance against Acinetobacter </w:t>
      </w:r>
      <w:proofErr w:type="spellStart"/>
      <w:r w:rsidR="00784E20" w:rsidRPr="004A6922">
        <w:rPr>
          <w:rFonts w:asciiTheme="minorHAnsi" w:hAnsiTheme="minorHAnsi" w:cstheme="minorHAnsi"/>
          <w:color w:val="000000" w:themeColor="text1"/>
          <w:sz w:val="22"/>
          <w:szCs w:val="22"/>
          <w:lang w:val="en-US"/>
        </w:rPr>
        <w:t>baumannii</w:t>
      </w:r>
      <w:proofErr w:type="spellEnd"/>
      <w:r w:rsidR="00784E20" w:rsidRPr="004A6922">
        <w:rPr>
          <w:rFonts w:asciiTheme="minorHAnsi" w:hAnsiTheme="minorHAnsi" w:cstheme="minorHAnsi"/>
          <w:color w:val="000000" w:themeColor="text1"/>
          <w:sz w:val="22"/>
          <w:szCs w:val="22"/>
          <w:lang w:val="en-US"/>
        </w:rPr>
        <w:t xml:space="preserve"> p=0.022 </w:t>
      </w:r>
      <w:proofErr w:type="spellStart"/>
      <w:r w:rsidR="00784E20" w:rsidRPr="004A6922">
        <w:rPr>
          <w:rFonts w:asciiTheme="minorHAnsi" w:hAnsiTheme="minorHAnsi" w:cstheme="minorHAnsi"/>
          <w:color w:val="000000" w:themeColor="text1"/>
          <w:sz w:val="22"/>
          <w:szCs w:val="22"/>
          <w:lang w:val="en-US"/>
        </w:rPr>
        <w:t>ORa</w:t>
      </w:r>
      <w:proofErr w:type="spellEnd"/>
      <w:r w:rsidR="00784E20" w:rsidRPr="004A6922">
        <w:rPr>
          <w:rFonts w:asciiTheme="minorHAnsi" w:hAnsiTheme="minorHAnsi" w:cstheme="minorHAnsi"/>
          <w:color w:val="000000" w:themeColor="text1"/>
          <w:sz w:val="22"/>
          <w:szCs w:val="22"/>
          <w:lang w:val="en-US"/>
        </w:rPr>
        <w:t>=6.14(1.3-28.9)</w:t>
      </w:r>
      <w:r w:rsidR="002B5F24">
        <w:rPr>
          <w:rFonts w:asciiTheme="minorHAnsi" w:hAnsiTheme="minorHAnsi" w:cstheme="minorHAnsi"/>
          <w:color w:val="000000" w:themeColor="text1"/>
          <w:sz w:val="22"/>
          <w:szCs w:val="22"/>
          <w:lang w:val="en-US"/>
        </w:rPr>
        <w:t xml:space="preserve">, </w:t>
      </w:r>
      <w:r w:rsidR="002B5F24" w:rsidRPr="002B5F24">
        <w:rPr>
          <w:rFonts w:asciiTheme="minorHAnsi" w:hAnsiTheme="minorHAnsi" w:cstheme="minorHAnsi"/>
          <w:color w:val="000000" w:themeColor="text1"/>
          <w:sz w:val="22"/>
          <w:szCs w:val="22"/>
          <w:lang w:val="en-US"/>
        </w:rPr>
        <w:t>are significantly linked to septic shock.</w:t>
      </w:r>
    </w:p>
    <w:p w:rsidR="00CE2F82" w:rsidRPr="00CE2F82" w:rsidRDefault="00CE2F82" w:rsidP="00CE2F82">
      <w:pPr>
        <w:jc w:val="both"/>
        <w:rPr>
          <w:rFonts w:asciiTheme="minorHAnsi" w:hAnsiTheme="minorHAnsi" w:cstheme="minorHAnsi"/>
          <w:sz w:val="22"/>
          <w:szCs w:val="22"/>
          <w:lang w:val="en-US"/>
        </w:rPr>
      </w:pPr>
      <w:r w:rsidRPr="004B727B">
        <w:rPr>
          <w:rFonts w:asciiTheme="minorHAnsi" w:hAnsiTheme="minorHAnsi" w:cstheme="minorHAnsi"/>
          <w:sz w:val="22"/>
          <w:szCs w:val="22"/>
          <w:u w:val="single"/>
          <w:lang w:val="en-US"/>
        </w:rPr>
        <w:t>Discussion:</w:t>
      </w:r>
      <w:r w:rsidRPr="00CE2F82">
        <w:rPr>
          <w:rFonts w:asciiTheme="minorHAnsi" w:hAnsiTheme="minorHAnsi" w:cstheme="minorHAnsi"/>
          <w:sz w:val="22"/>
          <w:szCs w:val="22"/>
          <w:lang w:val="en-US"/>
        </w:rPr>
        <w:t xml:space="preserve"> In our study, the resistance of Acinetobacter </w:t>
      </w:r>
      <w:proofErr w:type="spellStart"/>
      <w:r w:rsidRPr="00CE2F82">
        <w:rPr>
          <w:rFonts w:asciiTheme="minorHAnsi" w:hAnsiTheme="minorHAnsi" w:cstheme="minorHAnsi"/>
          <w:sz w:val="22"/>
          <w:szCs w:val="22"/>
          <w:lang w:val="en-US"/>
        </w:rPr>
        <w:t>baumanii</w:t>
      </w:r>
      <w:proofErr w:type="spellEnd"/>
      <w:r w:rsidRPr="00CE2F82">
        <w:rPr>
          <w:rFonts w:asciiTheme="minorHAnsi" w:hAnsiTheme="minorHAnsi" w:cstheme="minorHAnsi"/>
          <w:sz w:val="22"/>
          <w:szCs w:val="22"/>
          <w:lang w:val="en-US"/>
        </w:rPr>
        <w:t xml:space="preserve"> to carbapenems and other antibiotics, as observed in our </w:t>
      </w:r>
      <w:proofErr w:type="spellStart"/>
      <w:proofErr w:type="gramStart"/>
      <w:r w:rsidRPr="00CE2F82">
        <w:rPr>
          <w:rFonts w:asciiTheme="minorHAnsi" w:hAnsiTheme="minorHAnsi" w:cstheme="minorHAnsi"/>
          <w:sz w:val="22"/>
          <w:szCs w:val="22"/>
          <w:lang w:val="en-US"/>
        </w:rPr>
        <w:t>study</w:t>
      </w:r>
      <w:r>
        <w:rPr>
          <w:rFonts w:asciiTheme="minorHAnsi" w:hAnsiTheme="minorHAnsi" w:cstheme="minorHAnsi"/>
          <w:sz w:val="22"/>
          <w:szCs w:val="22"/>
          <w:lang w:val="en-US"/>
        </w:rPr>
        <w:t>.</w:t>
      </w:r>
      <w:r w:rsidRPr="00CE2F82">
        <w:rPr>
          <w:rFonts w:asciiTheme="minorHAnsi" w:hAnsiTheme="minorHAnsi" w:cstheme="minorHAnsi"/>
          <w:sz w:val="22"/>
          <w:szCs w:val="22"/>
          <w:lang w:val="en-US"/>
        </w:rPr>
        <w:t>compared</w:t>
      </w:r>
      <w:proofErr w:type="spellEnd"/>
      <w:proofErr w:type="gramEnd"/>
      <w:r w:rsidRPr="00CE2F82">
        <w:rPr>
          <w:rFonts w:asciiTheme="minorHAnsi" w:hAnsiTheme="minorHAnsi" w:cstheme="minorHAnsi"/>
          <w:sz w:val="22"/>
          <w:szCs w:val="22"/>
          <w:lang w:val="en-US"/>
        </w:rPr>
        <w:t xml:space="preserve"> to what has been reported in other studies, as an independent risk factor for infection with </w:t>
      </w:r>
      <w:proofErr w:type="spellStart"/>
      <w:r w:rsidRPr="00CE2F82">
        <w:rPr>
          <w:rFonts w:asciiTheme="minorHAnsi" w:hAnsiTheme="minorHAnsi" w:cstheme="minorHAnsi"/>
          <w:sz w:val="22"/>
          <w:szCs w:val="22"/>
          <w:lang w:val="en-US"/>
        </w:rPr>
        <w:t>acinetobacter</w:t>
      </w:r>
      <w:proofErr w:type="spellEnd"/>
      <w:r w:rsidRPr="00CE2F82">
        <w:rPr>
          <w:rFonts w:asciiTheme="minorHAnsi" w:hAnsiTheme="minorHAnsi" w:cstheme="minorHAnsi"/>
          <w:sz w:val="22"/>
          <w:szCs w:val="22"/>
          <w:lang w:val="en-US"/>
        </w:rPr>
        <w:t xml:space="preserve"> </w:t>
      </w:r>
      <w:proofErr w:type="spellStart"/>
      <w:r w:rsidRPr="00CE2F82">
        <w:rPr>
          <w:rFonts w:asciiTheme="minorHAnsi" w:hAnsiTheme="minorHAnsi" w:cstheme="minorHAnsi"/>
          <w:sz w:val="22"/>
          <w:szCs w:val="22"/>
          <w:lang w:val="en-US"/>
        </w:rPr>
        <w:t>baumani</w:t>
      </w:r>
      <w:proofErr w:type="spellEnd"/>
      <w:r w:rsidRPr="00CE2F82">
        <w:rPr>
          <w:rFonts w:asciiTheme="minorHAnsi" w:hAnsiTheme="minorHAnsi" w:cstheme="minorHAnsi"/>
          <w:sz w:val="22"/>
          <w:szCs w:val="22"/>
          <w:lang w:val="en-US"/>
        </w:rPr>
        <w:t xml:space="preserve"> (OR: 4.11 [1.58–10.73]) and essentially the use of carbapenems (OR: 5.22 [1.99–13.67]) </w:t>
      </w:r>
    </w:p>
    <w:p w:rsidR="00C216FE" w:rsidRDefault="00C216FE" w:rsidP="002B5F24">
      <w:pPr>
        <w:jc w:val="both"/>
        <w:rPr>
          <w:rFonts w:asciiTheme="minorHAnsi" w:hAnsiTheme="minorHAnsi" w:cstheme="minorHAnsi"/>
          <w:b/>
          <w:sz w:val="22"/>
          <w:szCs w:val="22"/>
          <w:u w:val="single"/>
          <w:lang w:val="en-US"/>
        </w:rPr>
      </w:pPr>
    </w:p>
    <w:p w:rsidR="002B5F24" w:rsidRPr="00C216FE" w:rsidRDefault="002B5F24" w:rsidP="002B5F24">
      <w:pPr>
        <w:jc w:val="both"/>
        <w:rPr>
          <w:rFonts w:asciiTheme="minorHAnsi" w:hAnsiTheme="minorHAnsi" w:cstheme="minorHAnsi"/>
          <w:b/>
          <w:szCs w:val="22"/>
          <w:u w:val="single"/>
          <w:lang w:val="en-US"/>
        </w:rPr>
      </w:pPr>
      <w:r w:rsidRPr="00C216FE">
        <w:rPr>
          <w:rFonts w:asciiTheme="minorHAnsi" w:hAnsiTheme="minorHAnsi" w:cstheme="minorHAnsi"/>
          <w:b/>
          <w:szCs w:val="22"/>
          <w:u w:val="single"/>
          <w:lang w:val="en-US"/>
        </w:rPr>
        <w:t xml:space="preserve">Introduction: </w:t>
      </w:r>
    </w:p>
    <w:p w:rsidR="002B5F24" w:rsidRDefault="002B5F24" w:rsidP="002B5F24">
      <w:pPr>
        <w:ind w:right="-1"/>
        <w:jc w:val="both"/>
        <w:rPr>
          <w:rFonts w:asciiTheme="minorHAnsi" w:hAnsiTheme="minorHAnsi" w:cstheme="minorHAnsi"/>
          <w:color w:val="000000"/>
          <w:sz w:val="22"/>
          <w:szCs w:val="22"/>
          <w:lang w:val="en-US"/>
        </w:rPr>
      </w:pPr>
      <w:r w:rsidRPr="00E91646">
        <w:rPr>
          <w:rFonts w:asciiTheme="minorHAnsi" w:hAnsiTheme="minorHAnsi" w:cstheme="minorHAnsi"/>
          <w:color w:val="000000"/>
          <w:sz w:val="22"/>
          <w:szCs w:val="22"/>
          <w:lang w:val="en-US"/>
        </w:rPr>
        <w:t>Healthcare-associated infections constitute a real public health problem. This increases the cost of caring for patients admitted to the intensive care unit, but also their mortality [1,2]. Around 60% of deaths [3]. Healthcare-associated pneumonia is responsible for the increase in frequency of 10 and 40%, it is 1.9 to 18 per 1000 hours of mechanical ventilation [4</w:t>
      </w:r>
      <w:r w:rsidR="00F8501E">
        <w:rPr>
          <w:rFonts w:asciiTheme="minorHAnsi" w:hAnsiTheme="minorHAnsi" w:cstheme="minorHAnsi"/>
          <w:color w:val="000000"/>
          <w:sz w:val="22"/>
          <w:szCs w:val="22"/>
          <w:lang w:val="en-US"/>
        </w:rPr>
        <w:t>,</w:t>
      </w:r>
      <w:r w:rsidR="00455A8F">
        <w:rPr>
          <w:rFonts w:asciiTheme="minorHAnsi" w:hAnsiTheme="minorHAnsi" w:cstheme="minorHAnsi"/>
          <w:color w:val="000000"/>
          <w:sz w:val="22"/>
          <w:szCs w:val="22"/>
          <w:lang w:val="en-US"/>
        </w:rPr>
        <w:t>5</w:t>
      </w:r>
      <w:r w:rsidR="00F8501E">
        <w:rPr>
          <w:rFonts w:asciiTheme="minorHAnsi" w:hAnsiTheme="minorHAnsi" w:cstheme="minorHAnsi"/>
          <w:color w:val="000000"/>
          <w:sz w:val="22"/>
          <w:szCs w:val="22"/>
          <w:lang w:val="en-US"/>
        </w:rPr>
        <w:t>,6</w:t>
      </w:r>
      <w:r w:rsidRPr="00F8501E">
        <w:rPr>
          <w:rFonts w:asciiTheme="minorHAnsi" w:hAnsiTheme="minorHAnsi" w:cstheme="minorHAnsi"/>
          <w:color w:val="000000"/>
          <w:sz w:val="22"/>
          <w:szCs w:val="22"/>
          <w:lang w:val="en-US"/>
        </w:rPr>
        <w:t>]</w:t>
      </w:r>
      <w:r w:rsidR="00455A8F" w:rsidRPr="00F8501E">
        <w:rPr>
          <w:rFonts w:asciiTheme="minorHAnsi" w:hAnsiTheme="minorHAnsi" w:cstheme="minorHAnsi"/>
          <w:color w:val="000000"/>
          <w:sz w:val="22"/>
          <w:szCs w:val="22"/>
          <w:lang w:val="en-US"/>
        </w:rPr>
        <w:t xml:space="preserve"> </w:t>
      </w:r>
      <w:r w:rsidR="00F8501E" w:rsidRPr="00F8501E">
        <w:rPr>
          <w:rFonts w:asciiTheme="minorHAnsi" w:hAnsiTheme="minorHAnsi" w:cstheme="minorHAnsi"/>
          <w:color w:val="000000"/>
          <w:sz w:val="22"/>
          <w:szCs w:val="22"/>
          <w:lang w:val="en-US"/>
        </w:rPr>
        <w:t>.</w:t>
      </w:r>
      <w:r w:rsidRPr="00F8501E">
        <w:rPr>
          <w:rFonts w:asciiTheme="minorHAnsi" w:hAnsiTheme="minorHAnsi" w:cstheme="minorHAnsi"/>
          <w:color w:val="000000"/>
          <w:sz w:val="22"/>
          <w:szCs w:val="22"/>
          <w:lang w:val="en-US"/>
        </w:rPr>
        <w:t xml:space="preserve"> Infections</w:t>
      </w:r>
      <w:r w:rsidRPr="00E91646">
        <w:rPr>
          <w:rFonts w:asciiTheme="minorHAnsi" w:hAnsiTheme="minorHAnsi" w:cstheme="minorHAnsi"/>
          <w:color w:val="000000"/>
          <w:sz w:val="22"/>
          <w:szCs w:val="22"/>
          <w:lang w:val="en-US"/>
        </w:rPr>
        <w:t xml:space="preserve"> on central intravascular catheters represent the second cause [7,8]. followed by urinary infections more than 40% of all associated infections [9].</w:t>
      </w:r>
    </w:p>
    <w:p w:rsidR="002B5F24" w:rsidRPr="00B30721" w:rsidRDefault="002B5F24" w:rsidP="002B5F24">
      <w:pPr>
        <w:ind w:right="-1"/>
        <w:jc w:val="both"/>
        <w:rPr>
          <w:rFonts w:asciiTheme="minorHAnsi" w:hAnsiTheme="minorHAnsi" w:cstheme="minorHAnsi"/>
          <w:color w:val="000000"/>
          <w:sz w:val="22"/>
          <w:szCs w:val="22"/>
          <w:lang w:val="en-US"/>
        </w:rPr>
      </w:pPr>
      <w:r w:rsidRPr="00B30721">
        <w:rPr>
          <w:rFonts w:asciiTheme="minorHAnsi" w:hAnsiTheme="minorHAnsi" w:cstheme="minorHAnsi"/>
          <w:color w:val="000000"/>
          <w:sz w:val="22"/>
          <w:szCs w:val="22"/>
          <w:lang w:val="en-US"/>
        </w:rPr>
        <w:t>Poor prognosis factors are mainly linked to the presence of comorbidities and the resistance of bacteria to antibiotics [1</w:t>
      </w:r>
      <w:r w:rsidR="00455A8F">
        <w:rPr>
          <w:rFonts w:asciiTheme="minorHAnsi" w:hAnsiTheme="minorHAnsi" w:cstheme="minorHAnsi"/>
          <w:color w:val="000000"/>
          <w:sz w:val="22"/>
          <w:szCs w:val="22"/>
          <w:lang w:val="en-US"/>
        </w:rPr>
        <w:t>0</w:t>
      </w:r>
      <w:r w:rsidRPr="00B30721">
        <w:rPr>
          <w:rFonts w:asciiTheme="minorHAnsi" w:hAnsiTheme="minorHAnsi" w:cstheme="minorHAnsi"/>
          <w:color w:val="000000"/>
          <w:sz w:val="22"/>
          <w:szCs w:val="22"/>
          <w:lang w:val="en-US"/>
        </w:rPr>
        <w:t>,1</w:t>
      </w:r>
      <w:r w:rsidR="00455A8F">
        <w:rPr>
          <w:rFonts w:asciiTheme="minorHAnsi" w:hAnsiTheme="minorHAnsi" w:cstheme="minorHAnsi"/>
          <w:color w:val="000000"/>
          <w:sz w:val="22"/>
          <w:szCs w:val="22"/>
          <w:lang w:val="en-US"/>
        </w:rPr>
        <w:t>1</w:t>
      </w:r>
      <w:r w:rsidRPr="00B30721">
        <w:rPr>
          <w:rFonts w:asciiTheme="minorHAnsi" w:hAnsiTheme="minorHAnsi" w:cstheme="minorHAnsi"/>
          <w:color w:val="000000"/>
          <w:sz w:val="22"/>
          <w:szCs w:val="22"/>
          <w:lang w:val="en-US"/>
        </w:rPr>
        <w:t xml:space="preserve">]. The World Health Organization has identified the problem of antibiotic </w:t>
      </w:r>
      <w:r w:rsidRPr="00B30721">
        <w:rPr>
          <w:rFonts w:asciiTheme="minorHAnsi" w:hAnsiTheme="minorHAnsi" w:cstheme="minorHAnsi"/>
          <w:color w:val="000000"/>
          <w:sz w:val="22"/>
          <w:szCs w:val="22"/>
          <w:lang w:val="en-US"/>
        </w:rPr>
        <w:lastRenderedPageBreak/>
        <w:t>resistance as a real threat to public health [1</w:t>
      </w:r>
      <w:r w:rsidR="00455A8F">
        <w:rPr>
          <w:rFonts w:asciiTheme="minorHAnsi" w:hAnsiTheme="minorHAnsi" w:cstheme="minorHAnsi"/>
          <w:color w:val="000000"/>
          <w:sz w:val="22"/>
          <w:szCs w:val="22"/>
          <w:lang w:val="en-US"/>
        </w:rPr>
        <w:t>1</w:t>
      </w:r>
      <w:r w:rsidRPr="00B30721">
        <w:rPr>
          <w:rFonts w:asciiTheme="minorHAnsi" w:hAnsiTheme="minorHAnsi" w:cstheme="minorHAnsi"/>
          <w:color w:val="000000"/>
          <w:sz w:val="22"/>
          <w:szCs w:val="22"/>
          <w:lang w:val="en-US"/>
        </w:rPr>
        <w:t>]. The rapid emergence of increasingly resistant bacteria compromises the efficacy of antibiotics [</w:t>
      </w:r>
      <w:r w:rsidR="00455A8F">
        <w:rPr>
          <w:rFonts w:asciiTheme="minorHAnsi" w:hAnsiTheme="minorHAnsi" w:cstheme="minorHAnsi"/>
          <w:color w:val="000000"/>
          <w:sz w:val="22"/>
          <w:szCs w:val="22"/>
          <w:lang w:val="en-US"/>
        </w:rPr>
        <w:t>11,12</w:t>
      </w:r>
      <w:r w:rsidRPr="00B30721">
        <w:rPr>
          <w:rFonts w:asciiTheme="minorHAnsi" w:hAnsiTheme="minorHAnsi" w:cstheme="minorHAnsi"/>
          <w:color w:val="000000"/>
          <w:sz w:val="22"/>
          <w:szCs w:val="22"/>
          <w:lang w:val="en-US"/>
        </w:rPr>
        <w:t xml:space="preserve">]. Antibiotic resistance of bacteria is classified into BMR (multi-resistant bacteria), BHR (highly resistant bacteria) and BPR (pan-resistant bacteria). The U.S. Centers for Disease Control and Prevention (CDC) estimates that more than 2 million people in the United States are infected with BMRs each year and at least 23,000 die from these infections [ </w:t>
      </w:r>
      <w:r w:rsidR="00455A8F">
        <w:rPr>
          <w:rFonts w:asciiTheme="minorHAnsi" w:hAnsiTheme="minorHAnsi" w:cstheme="minorHAnsi"/>
          <w:color w:val="000000"/>
          <w:sz w:val="22"/>
          <w:szCs w:val="22"/>
          <w:lang w:val="en-US"/>
        </w:rPr>
        <w:t>13</w:t>
      </w:r>
      <w:r w:rsidRPr="00B30721">
        <w:rPr>
          <w:rFonts w:asciiTheme="minorHAnsi" w:hAnsiTheme="minorHAnsi" w:cstheme="minorHAnsi"/>
          <w:color w:val="000000"/>
          <w:sz w:val="22"/>
          <w:szCs w:val="22"/>
          <w:lang w:val="en-US"/>
        </w:rPr>
        <w:t>].</w:t>
      </w:r>
    </w:p>
    <w:p w:rsidR="002B5F24" w:rsidRDefault="002B5F24" w:rsidP="002B5F24">
      <w:pPr>
        <w:ind w:right="-1"/>
        <w:jc w:val="both"/>
        <w:rPr>
          <w:rFonts w:asciiTheme="minorHAnsi" w:hAnsiTheme="minorHAnsi" w:cstheme="minorHAnsi"/>
          <w:color w:val="000000"/>
          <w:sz w:val="22"/>
          <w:szCs w:val="22"/>
          <w:lang w:val="en-US"/>
        </w:rPr>
      </w:pPr>
      <w:r w:rsidRPr="00B30721">
        <w:rPr>
          <w:rFonts w:asciiTheme="minorHAnsi" w:hAnsiTheme="minorHAnsi" w:cstheme="minorHAnsi"/>
          <w:color w:val="000000"/>
          <w:sz w:val="22"/>
          <w:szCs w:val="22"/>
          <w:lang w:val="en-US"/>
        </w:rPr>
        <w:t xml:space="preserve">The main multi-resistant bacteria (MDR) responsible for severe infections are represented by methicillin-resistant Staphylococcus aureus (MRSA), vancomycin-resistant Enterococcus (VRE), multi-drug resistant Pseudomonas aeruginosa (MDR), Acinetobacter </w:t>
      </w:r>
      <w:proofErr w:type="spellStart"/>
      <w:r w:rsidRPr="00B30721">
        <w:rPr>
          <w:rFonts w:asciiTheme="minorHAnsi" w:hAnsiTheme="minorHAnsi" w:cstheme="minorHAnsi"/>
          <w:color w:val="000000"/>
          <w:sz w:val="22"/>
          <w:szCs w:val="22"/>
          <w:lang w:val="en-US"/>
        </w:rPr>
        <w:t>baumannii</w:t>
      </w:r>
      <w:proofErr w:type="spellEnd"/>
      <w:r w:rsidRPr="00B30721">
        <w:rPr>
          <w:rFonts w:asciiTheme="minorHAnsi" w:hAnsiTheme="minorHAnsi" w:cstheme="minorHAnsi"/>
          <w:color w:val="000000"/>
          <w:sz w:val="22"/>
          <w:szCs w:val="22"/>
          <w:lang w:val="en-US"/>
        </w:rPr>
        <w:t xml:space="preserve"> resistant to imipenem, Escherichia coli and </w:t>
      </w:r>
      <w:proofErr w:type="spellStart"/>
      <w:r w:rsidRPr="00B30721">
        <w:rPr>
          <w:rFonts w:asciiTheme="minorHAnsi" w:hAnsiTheme="minorHAnsi" w:cstheme="minorHAnsi"/>
          <w:color w:val="000000"/>
          <w:sz w:val="22"/>
          <w:szCs w:val="22"/>
          <w:lang w:val="en-US"/>
        </w:rPr>
        <w:t>Klebsiella</w:t>
      </w:r>
      <w:proofErr w:type="spellEnd"/>
      <w:r w:rsidRPr="00B30721">
        <w:rPr>
          <w:rFonts w:asciiTheme="minorHAnsi" w:hAnsiTheme="minorHAnsi" w:cstheme="minorHAnsi"/>
          <w:color w:val="000000"/>
          <w:sz w:val="22"/>
          <w:szCs w:val="22"/>
          <w:lang w:val="en-US"/>
        </w:rPr>
        <w:t xml:space="preserve"> pneumoniae resistant to third generation cephalosporins. Extended-spectrum β-lactamase (ESBL)-producing pathogens and MRSA are rampant. Carbapenems are the last bastion of defense against non-Enterobacteriaceae pathogens such as A. </w:t>
      </w:r>
      <w:proofErr w:type="spellStart"/>
      <w:r w:rsidRPr="00B30721">
        <w:rPr>
          <w:rFonts w:asciiTheme="minorHAnsi" w:hAnsiTheme="minorHAnsi" w:cstheme="minorHAnsi"/>
          <w:color w:val="000000"/>
          <w:sz w:val="22"/>
          <w:szCs w:val="22"/>
          <w:lang w:val="en-US"/>
        </w:rPr>
        <w:t>baumannii</w:t>
      </w:r>
      <w:proofErr w:type="spellEnd"/>
      <w:r w:rsidRPr="00B30721">
        <w:rPr>
          <w:rFonts w:asciiTheme="minorHAnsi" w:hAnsiTheme="minorHAnsi" w:cstheme="minorHAnsi"/>
          <w:color w:val="000000"/>
          <w:sz w:val="22"/>
          <w:szCs w:val="22"/>
          <w:lang w:val="en-US"/>
        </w:rPr>
        <w:t xml:space="preserve"> and P. aeruginosa. Increasing resistance to carbapenems or fluoroquinolones will constitute a major threat in the future [</w:t>
      </w:r>
      <w:r w:rsidR="00455A8F">
        <w:rPr>
          <w:rFonts w:asciiTheme="minorHAnsi" w:hAnsiTheme="minorHAnsi" w:cstheme="minorHAnsi"/>
          <w:color w:val="000000"/>
          <w:sz w:val="22"/>
          <w:szCs w:val="22"/>
          <w:lang w:val="en-US"/>
        </w:rPr>
        <w:t>14,15</w:t>
      </w:r>
      <w:r w:rsidRPr="00B30721">
        <w:rPr>
          <w:rFonts w:asciiTheme="minorHAnsi" w:hAnsiTheme="minorHAnsi" w:cstheme="minorHAnsi"/>
          <w:color w:val="000000"/>
          <w:sz w:val="22"/>
          <w:szCs w:val="22"/>
          <w:lang w:val="en-US"/>
        </w:rPr>
        <w:t>]. The link between the emergence of antibiotic resistance in healthcare units and antibiotic consumption has been well demonstrated by several studies [</w:t>
      </w:r>
      <w:r w:rsidR="00455A8F">
        <w:rPr>
          <w:rFonts w:asciiTheme="minorHAnsi" w:hAnsiTheme="minorHAnsi" w:cstheme="minorHAnsi"/>
          <w:color w:val="000000"/>
          <w:sz w:val="22"/>
          <w:szCs w:val="22"/>
          <w:lang w:val="en-US"/>
        </w:rPr>
        <w:t>16,17</w:t>
      </w:r>
      <w:r w:rsidRPr="00B30721">
        <w:rPr>
          <w:rFonts w:asciiTheme="minorHAnsi" w:hAnsiTheme="minorHAnsi" w:cstheme="minorHAnsi"/>
          <w:color w:val="000000"/>
          <w:sz w:val="22"/>
          <w:szCs w:val="22"/>
          <w:lang w:val="en-US"/>
        </w:rPr>
        <w:t>].</w:t>
      </w:r>
    </w:p>
    <w:p w:rsidR="002B5F24" w:rsidRPr="00E91646" w:rsidRDefault="002B5F24" w:rsidP="002B5F24">
      <w:pPr>
        <w:ind w:right="-1"/>
        <w:jc w:val="both"/>
        <w:rPr>
          <w:rFonts w:asciiTheme="minorHAnsi" w:hAnsiTheme="minorHAnsi" w:cstheme="minorHAnsi"/>
          <w:sz w:val="22"/>
          <w:szCs w:val="22"/>
          <w:lang w:val="en-US"/>
        </w:rPr>
      </w:pPr>
      <w:r w:rsidRPr="00E91646">
        <w:rPr>
          <w:rFonts w:asciiTheme="minorHAnsi" w:hAnsiTheme="minorHAnsi" w:cstheme="minorHAnsi"/>
          <w:sz w:val="22"/>
          <w:szCs w:val="22"/>
          <w:lang w:val="en-US"/>
        </w:rPr>
        <w:t xml:space="preserve">Risk factors for BMR infection in intensive care units are variable and differ depending on the populations studied and the different bacterial </w:t>
      </w:r>
      <w:r w:rsidR="00455A8F" w:rsidRPr="00E91646">
        <w:rPr>
          <w:rFonts w:asciiTheme="minorHAnsi" w:hAnsiTheme="minorHAnsi" w:cstheme="minorHAnsi"/>
          <w:sz w:val="22"/>
          <w:szCs w:val="22"/>
          <w:lang w:val="en-US"/>
        </w:rPr>
        <w:t>ecosystems</w:t>
      </w:r>
      <w:r w:rsidRPr="00E91646">
        <w:rPr>
          <w:rFonts w:asciiTheme="minorHAnsi" w:hAnsiTheme="minorHAnsi" w:cstheme="minorHAnsi"/>
          <w:sz w:val="22"/>
          <w:szCs w:val="22"/>
          <w:lang w:val="en-US"/>
        </w:rPr>
        <w:t xml:space="preserve">. </w:t>
      </w:r>
      <w:r w:rsidR="00455A8F">
        <w:rPr>
          <w:rFonts w:asciiTheme="minorHAnsi" w:hAnsiTheme="minorHAnsi" w:cstheme="minorHAnsi"/>
          <w:sz w:val="22"/>
          <w:szCs w:val="22"/>
          <w:lang w:val="en-US"/>
        </w:rPr>
        <w:t>F</w:t>
      </w:r>
      <w:r w:rsidRPr="00E91646">
        <w:rPr>
          <w:rFonts w:asciiTheme="minorHAnsi" w:hAnsiTheme="minorHAnsi" w:cstheme="minorHAnsi"/>
          <w:sz w:val="22"/>
          <w:szCs w:val="22"/>
          <w:lang w:val="en-US"/>
        </w:rPr>
        <w:t>actors related to patient comorbidities, use of medical devices and factors related to the hospital environment. This allowed the identification of certain so-called “modifiable” risk factors [</w:t>
      </w:r>
      <w:r w:rsidR="00455A8F">
        <w:rPr>
          <w:rFonts w:asciiTheme="minorHAnsi" w:hAnsiTheme="minorHAnsi" w:cstheme="minorHAnsi"/>
          <w:sz w:val="22"/>
          <w:szCs w:val="22"/>
          <w:lang w:val="en-US"/>
        </w:rPr>
        <w:t>18,19</w:t>
      </w:r>
      <w:r w:rsidRPr="00E91646">
        <w:rPr>
          <w:rFonts w:asciiTheme="minorHAnsi" w:hAnsiTheme="minorHAnsi" w:cstheme="minorHAnsi"/>
          <w:sz w:val="22"/>
          <w:szCs w:val="22"/>
          <w:lang w:val="en-US"/>
        </w:rPr>
        <w:t>]. The incidence and severity of BMR infections could decrease in intensive care units provided that prevention and treatment are optimized based on knowledge and documentation of modifiable risk factors [</w:t>
      </w:r>
      <w:r w:rsidR="00455A8F">
        <w:rPr>
          <w:rFonts w:asciiTheme="minorHAnsi" w:hAnsiTheme="minorHAnsi" w:cstheme="minorHAnsi"/>
          <w:sz w:val="22"/>
          <w:szCs w:val="22"/>
          <w:lang w:val="en-US"/>
        </w:rPr>
        <w:t>20,21</w:t>
      </w:r>
      <w:r w:rsidR="004B7DA5" w:rsidRPr="00B30721">
        <w:rPr>
          <w:rFonts w:asciiTheme="minorHAnsi" w:hAnsiTheme="minorHAnsi" w:cstheme="minorHAnsi"/>
          <w:color w:val="000000"/>
          <w:sz w:val="22"/>
          <w:szCs w:val="22"/>
          <w:lang w:val="en-US"/>
        </w:rPr>
        <w:t>].</w:t>
      </w:r>
    </w:p>
    <w:p w:rsidR="002B5F24" w:rsidRPr="004A6922" w:rsidRDefault="002B5F24" w:rsidP="002B5F24">
      <w:pPr>
        <w:jc w:val="both"/>
        <w:rPr>
          <w:rFonts w:asciiTheme="minorHAnsi" w:hAnsiTheme="minorHAnsi" w:cstheme="minorHAnsi"/>
          <w:sz w:val="22"/>
          <w:szCs w:val="22"/>
          <w:lang w:val="en-US"/>
        </w:rPr>
      </w:pPr>
      <w:r w:rsidRPr="00803289">
        <w:rPr>
          <w:rFonts w:asciiTheme="minorHAnsi" w:hAnsiTheme="minorHAnsi" w:cstheme="minorHAnsi"/>
          <w:b/>
          <w:sz w:val="22"/>
          <w:szCs w:val="22"/>
          <w:u w:val="single"/>
          <w:lang w:val="en-US"/>
        </w:rPr>
        <w:t>Materials and methods:</w:t>
      </w:r>
      <w:r w:rsidRPr="004A6922">
        <w:rPr>
          <w:rFonts w:asciiTheme="minorHAnsi" w:hAnsiTheme="minorHAnsi" w:cstheme="minorHAnsi"/>
          <w:sz w:val="22"/>
          <w:szCs w:val="22"/>
          <w:lang w:val="en-US"/>
        </w:rPr>
        <w:t xml:space="preserve"> After approval of the ethics committee and consents obtained from patients admitted to the intensive care unit. We carried out a descriptive analytical cohort study spread over a period of two years from December 1, 2019 until January 31, 2021, including all patients over 18 years old, hospitalized in the UMC department in which we collected all infections linked to healthcare. Furthermore, we carried out a multivariate study by logistic regression with the following variable as dependents variables: Occurrence of septic shock with or without high lactate levels (&gt;02 mmol/l). We included the following variables in the model (Age, hypertension, diabetes, stroke, heart disease, </w:t>
      </w:r>
      <w:proofErr w:type="spellStart"/>
      <w:r w:rsidRPr="004A6922">
        <w:rPr>
          <w:rFonts w:asciiTheme="minorHAnsi" w:hAnsiTheme="minorHAnsi" w:cstheme="minorHAnsi"/>
          <w:sz w:val="22"/>
          <w:szCs w:val="22"/>
          <w:lang w:val="en-US"/>
        </w:rPr>
        <w:t>hypoximiant</w:t>
      </w:r>
      <w:proofErr w:type="spellEnd"/>
      <w:r w:rsidRPr="004A6922">
        <w:rPr>
          <w:rFonts w:asciiTheme="minorHAnsi" w:hAnsiTheme="minorHAnsi" w:cstheme="minorHAnsi"/>
          <w:sz w:val="22"/>
          <w:szCs w:val="22"/>
          <w:lang w:val="en-US"/>
        </w:rPr>
        <w:t xml:space="preserve"> pneumonia, VAP, COPD, head trauma, polytrauma, acute pancreatitis, acute endocarditis, Guillain-</w:t>
      </w:r>
      <w:proofErr w:type="spellStart"/>
      <w:r w:rsidRPr="004A6922">
        <w:rPr>
          <w:rFonts w:asciiTheme="minorHAnsi" w:hAnsiTheme="minorHAnsi" w:cstheme="minorHAnsi"/>
          <w:sz w:val="22"/>
          <w:szCs w:val="22"/>
          <w:lang w:val="en-US"/>
        </w:rPr>
        <w:t>barré</w:t>
      </w:r>
      <w:proofErr w:type="spellEnd"/>
      <w:r w:rsidRPr="004A6922">
        <w:rPr>
          <w:rFonts w:asciiTheme="minorHAnsi" w:hAnsiTheme="minorHAnsi" w:cstheme="minorHAnsi"/>
          <w:sz w:val="22"/>
          <w:szCs w:val="22"/>
          <w:lang w:val="en-US"/>
        </w:rPr>
        <w:t xml:space="preserve"> syndrome, nosocomial infections (Acinetobacter </w:t>
      </w:r>
      <w:proofErr w:type="spellStart"/>
      <w:r w:rsidRPr="004A6922">
        <w:rPr>
          <w:rFonts w:asciiTheme="minorHAnsi" w:hAnsiTheme="minorHAnsi" w:cstheme="minorHAnsi"/>
          <w:sz w:val="22"/>
          <w:szCs w:val="22"/>
          <w:lang w:val="en-US"/>
        </w:rPr>
        <w:t>baumanii</w:t>
      </w:r>
      <w:proofErr w:type="spellEnd"/>
      <w:r w:rsidRPr="004A6922">
        <w:rPr>
          <w:rFonts w:asciiTheme="minorHAnsi" w:hAnsiTheme="minorHAnsi" w:cstheme="minorHAnsi"/>
          <w:sz w:val="22"/>
          <w:szCs w:val="22"/>
          <w:lang w:val="en-US"/>
        </w:rPr>
        <w:t xml:space="preserve">, </w:t>
      </w:r>
      <w:proofErr w:type="spellStart"/>
      <w:r w:rsidRPr="004A6922">
        <w:rPr>
          <w:rFonts w:asciiTheme="minorHAnsi" w:hAnsiTheme="minorHAnsi" w:cstheme="minorHAnsi"/>
          <w:sz w:val="22"/>
          <w:szCs w:val="22"/>
          <w:lang w:val="en-US"/>
        </w:rPr>
        <w:t>Klebsiella</w:t>
      </w:r>
      <w:proofErr w:type="spellEnd"/>
      <w:r w:rsidRPr="004A6922">
        <w:rPr>
          <w:rFonts w:asciiTheme="minorHAnsi" w:hAnsiTheme="minorHAnsi" w:cstheme="minorHAnsi"/>
          <w:sz w:val="22"/>
          <w:szCs w:val="22"/>
          <w:lang w:val="en-US"/>
        </w:rPr>
        <w:t xml:space="preserve"> pneumoniae, central line sepsis, urine sepsis, lactate level &gt;02 mmol/l and length of hospital stay. the initial model includes all the variables at 0.2 of degree of significance and the variables described in the literature as being risk factors for septic shock, in order to eliminate the confounding factors in the logit equation of logistic regression</w:t>
      </w:r>
      <w:r>
        <w:rPr>
          <w:rFonts w:asciiTheme="minorHAnsi" w:hAnsiTheme="minorHAnsi" w:cstheme="minorHAnsi"/>
          <w:sz w:val="22"/>
          <w:szCs w:val="22"/>
          <w:lang w:val="en-US"/>
        </w:rPr>
        <w:t>. (Tab 01)</w:t>
      </w:r>
    </w:p>
    <w:p w:rsidR="002B5F24" w:rsidRPr="004A6922" w:rsidRDefault="002B5F24" w:rsidP="002B5F24">
      <w:pPr>
        <w:jc w:val="both"/>
        <w:rPr>
          <w:rFonts w:asciiTheme="minorHAnsi" w:hAnsiTheme="minorHAnsi" w:cstheme="minorHAnsi"/>
          <w:sz w:val="22"/>
          <w:szCs w:val="22"/>
          <w:lang w:val="en-US"/>
        </w:rPr>
      </w:pPr>
      <w:r w:rsidRPr="00803289">
        <w:rPr>
          <w:rFonts w:asciiTheme="minorHAnsi" w:hAnsiTheme="minorHAnsi" w:cstheme="minorHAnsi"/>
          <w:b/>
          <w:sz w:val="22"/>
          <w:szCs w:val="22"/>
          <w:u w:val="single"/>
          <w:lang w:val="en-US"/>
        </w:rPr>
        <w:t>Results:</w:t>
      </w:r>
      <w:r w:rsidRPr="004A6922">
        <w:rPr>
          <w:rFonts w:asciiTheme="minorHAnsi" w:hAnsiTheme="minorHAnsi" w:cstheme="minorHAnsi"/>
          <w:sz w:val="22"/>
          <w:szCs w:val="22"/>
          <w:lang w:val="en-US"/>
        </w:rPr>
        <w:t xml:space="preserve"> The specific incidence of Acinetobacter </w:t>
      </w:r>
      <w:proofErr w:type="spellStart"/>
      <w:r w:rsidRPr="004A6922">
        <w:rPr>
          <w:rFonts w:asciiTheme="minorHAnsi" w:hAnsiTheme="minorHAnsi" w:cstheme="minorHAnsi"/>
          <w:sz w:val="22"/>
          <w:szCs w:val="22"/>
          <w:lang w:val="en-US"/>
        </w:rPr>
        <w:t>baumanii</w:t>
      </w:r>
      <w:proofErr w:type="spellEnd"/>
      <w:r w:rsidRPr="004A6922">
        <w:rPr>
          <w:rFonts w:asciiTheme="minorHAnsi" w:hAnsiTheme="minorHAnsi" w:cstheme="minorHAnsi"/>
          <w:sz w:val="22"/>
          <w:szCs w:val="22"/>
          <w:lang w:val="en-US"/>
        </w:rPr>
        <w:t xml:space="preserve"> infections was 26%.</w:t>
      </w:r>
    </w:p>
    <w:p w:rsidR="002B5F24" w:rsidRPr="002B5F24" w:rsidRDefault="002B5F24" w:rsidP="002B5F24">
      <w:pPr>
        <w:jc w:val="both"/>
        <w:rPr>
          <w:rFonts w:asciiTheme="minorHAnsi" w:hAnsiTheme="minorHAnsi" w:cstheme="minorHAnsi"/>
          <w:color w:val="000000" w:themeColor="text1"/>
          <w:sz w:val="22"/>
          <w:szCs w:val="22"/>
          <w:lang w:val="en-US"/>
        </w:rPr>
      </w:pPr>
      <w:r w:rsidRPr="004A6922">
        <w:rPr>
          <w:rFonts w:asciiTheme="minorHAnsi" w:hAnsiTheme="minorHAnsi" w:cstheme="minorHAnsi"/>
          <w:sz w:val="22"/>
          <w:szCs w:val="22"/>
          <w:lang w:val="en-US"/>
        </w:rPr>
        <w:t>54 samples were positive among those taken from patients with signs of sepsis and (</w:t>
      </w:r>
      <w:proofErr w:type="spellStart"/>
      <w:r w:rsidRPr="004A6922">
        <w:rPr>
          <w:rFonts w:asciiTheme="minorHAnsi" w:hAnsiTheme="minorHAnsi" w:cstheme="minorHAnsi"/>
          <w:sz w:val="22"/>
          <w:szCs w:val="22"/>
          <w:lang w:val="en-US"/>
        </w:rPr>
        <w:t>QSofa</w:t>
      </w:r>
      <w:proofErr w:type="spellEnd"/>
      <w:r w:rsidRPr="004A6922">
        <w:rPr>
          <w:rFonts w:asciiTheme="minorHAnsi" w:hAnsiTheme="minorHAnsi" w:cstheme="minorHAnsi"/>
          <w:sz w:val="22"/>
          <w:szCs w:val="22"/>
          <w:lang w:val="en-US"/>
        </w:rPr>
        <w:t xml:space="preserve"> and Sofa more than 02 points). Acinetobacter </w:t>
      </w:r>
      <w:proofErr w:type="spellStart"/>
      <w:r w:rsidRPr="004A6922">
        <w:rPr>
          <w:rFonts w:asciiTheme="minorHAnsi" w:hAnsiTheme="minorHAnsi" w:cstheme="minorHAnsi"/>
          <w:sz w:val="22"/>
          <w:szCs w:val="22"/>
          <w:lang w:val="en-US"/>
        </w:rPr>
        <w:t>baumanii</w:t>
      </w:r>
      <w:proofErr w:type="spellEnd"/>
      <w:r w:rsidRPr="004A6922">
        <w:rPr>
          <w:rFonts w:asciiTheme="minorHAnsi" w:hAnsiTheme="minorHAnsi" w:cstheme="minorHAnsi"/>
          <w:sz w:val="22"/>
          <w:szCs w:val="22"/>
          <w:lang w:val="en-US"/>
        </w:rPr>
        <w:t xml:space="preserve"> was the most identified germ with a relative frequency of 40% and was respectively resistant to carbapenems in 90%, ceftazidime in 93% of cases, and ciprofloxacin in 49% of cases. Strains tested for sensitivity to colistin were consistently susceptible except in a single case.</w:t>
      </w:r>
      <w:r w:rsidRPr="004A6922">
        <w:rPr>
          <w:rFonts w:asciiTheme="minorHAnsi" w:hAnsiTheme="minorHAnsi" w:cstheme="minorHAnsi"/>
          <w:color w:val="000000" w:themeColor="text1"/>
          <w:sz w:val="22"/>
          <w:szCs w:val="22"/>
          <w:lang w:val="en-US"/>
        </w:rPr>
        <w:t xml:space="preserve"> From the initial model, after having introduced all the independents variables of the study, to explain the occurrence of septic shock (dependent variable) (ta</w:t>
      </w:r>
      <w:r w:rsidR="00B72262">
        <w:rPr>
          <w:rFonts w:asciiTheme="minorHAnsi" w:hAnsiTheme="minorHAnsi" w:cstheme="minorHAnsi"/>
          <w:color w:val="000000" w:themeColor="text1"/>
          <w:sz w:val="22"/>
          <w:szCs w:val="22"/>
          <w:lang w:val="en-US"/>
        </w:rPr>
        <w:t>b 01</w:t>
      </w:r>
      <w:r w:rsidRPr="004A6922">
        <w:rPr>
          <w:rFonts w:asciiTheme="minorHAnsi" w:hAnsiTheme="minorHAnsi" w:cstheme="minorHAnsi"/>
          <w:color w:val="000000" w:themeColor="text1"/>
          <w:sz w:val="22"/>
          <w:szCs w:val="22"/>
          <w:lang w:val="en-US"/>
        </w:rPr>
        <w:t xml:space="preserve">). The final model of the multivariate analysis by step-by-step descending logistic regression showed that the following explanatory variables remained statistically significant (P </w:t>
      </w:r>
      <m:oMath>
        <m:r>
          <w:rPr>
            <w:rFonts w:ascii="Cambria Math" w:hAnsi="Cambria Math" w:cstheme="minorHAnsi"/>
            <w:color w:val="000000" w:themeColor="text1"/>
            <w:sz w:val="22"/>
            <w:szCs w:val="22"/>
            <w:lang w:val="en-US"/>
          </w:rPr>
          <m:t>&lt;</m:t>
        </m:r>
      </m:oMath>
      <w:r w:rsidRPr="004A6922">
        <w:rPr>
          <w:rFonts w:asciiTheme="minorHAnsi" w:hAnsiTheme="minorHAnsi" w:cstheme="minorHAnsi"/>
          <w:color w:val="000000" w:themeColor="text1"/>
          <w:sz w:val="22"/>
          <w:szCs w:val="22"/>
          <w:lang w:val="en-US"/>
        </w:rPr>
        <w:t xml:space="preserve">0.05): Klebsiella pneumoniae infection; p = 0.001 - 95% CI, ORa = 9.92 (2.7-36.7); urinary sepsis p = 0.007 95% CI, ORa = 5.53 (1.6-19.16); Hyperlactatemia p=0.0001 95% CI ORa=19 (5.13-69.5) and antibiotic resistance against Acinetobacter </w:t>
      </w:r>
      <w:proofErr w:type="spellStart"/>
      <w:r w:rsidRPr="002B5F24">
        <w:rPr>
          <w:rFonts w:asciiTheme="minorHAnsi" w:hAnsiTheme="minorHAnsi" w:cstheme="minorHAnsi"/>
          <w:color w:val="000000" w:themeColor="text1"/>
          <w:sz w:val="22"/>
          <w:szCs w:val="22"/>
          <w:lang w:val="en-US"/>
        </w:rPr>
        <w:t>baumannii</w:t>
      </w:r>
      <w:proofErr w:type="spellEnd"/>
      <w:r w:rsidRPr="002B5F24">
        <w:rPr>
          <w:rFonts w:asciiTheme="minorHAnsi" w:hAnsiTheme="minorHAnsi" w:cstheme="minorHAnsi"/>
          <w:color w:val="000000" w:themeColor="text1"/>
          <w:sz w:val="22"/>
          <w:szCs w:val="22"/>
          <w:lang w:val="en-US"/>
        </w:rPr>
        <w:t xml:space="preserve"> p=0.022 </w:t>
      </w:r>
      <w:proofErr w:type="spellStart"/>
      <w:r w:rsidRPr="002B5F24">
        <w:rPr>
          <w:rFonts w:asciiTheme="minorHAnsi" w:hAnsiTheme="minorHAnsi" w:cstheme="minorHAnsi"/>
          <w:color w:val="000000" w:themeColor="text1"/>
          <w:sz w:val="22"/>
          <w:szCs w:val="22"/>
          <w:lang w:val="en-US"/>
        </w:rPr>
        <w:t>ORa</w:t>
      </w:r>
      <w:proofErr w:type="spellEnd"/>
      <w:r w:rsidRPr="002B5F24">
        <w:rPr>
          <w:rFonts w:asciiTheme="minorHAnsi" w:hAnsiTheme="minorHAnsi" w:cstheme="minorHAnsi"/>
          <w:color w:val="000000" w:themeColor="text1"/>
          <w:sz w:val="22"/>
          <w:szCs w:val="22"/>
          <w:lang w:val="en-US"/>
        </w:rPr>
        <w:t>=6.14(1.3-28.9)</w:t>
      </w:r>
      <w:r>
        <w:rPr>
          <w:rFonts w:asciiTheme="minorHAnsi" w:hAnsiTheme="minorHAnsi" w:cstheme="minorHAnsi"/>
          <w:color w:val="000000" w:themeColor="text1"/>
          <w:sz w:val="22"/>
          <w:szCs w:val="22"/>
          <w:lang w:val="en-US"/>
        </w:rPr>
        <w:t>.</w:t>
      </w:r>
      <w:r w:rsidR="00B72262" w:rsidRPr="00B72262">
        <w:rPr>
          <w:rFonts w:asciiTheme="minorHAnsi" w:hAnsiTheme="minorHAnsi" w:cstheme="minorHAnsi"/>
          <w:color w:val="000000" w:themeColor="text1"/>
          <w:sz w:val="22"/>
          <w:szCs w:val="22"/>
          <w:lang w:val="en-US"/>
        </w:rPr>
        <w:t xml:space="preserve"> </w:t>
      </w:r>
      <w:r w:rsidR="00B72262" w:rsidRPr="004A6922">
        <w:rPr>
          <w:rFonts w:asciiTheme="minorHAnsi" w:hAnsiTheme="minorHAnsi" w:cstheme="minorHAnsi"/>
          <w:color w:val="000000" w:themeColor="text1"/>
          <w:sz w:val="22"/>
          <w:szCs w:val="22"/>
          <w:lang w:val="en-US"/>
        </w:rPr>
        <w:t>(</w:t>
      </w:r>
      <w:r w:rsidR="00B72262">
        <w:rPr>
          <w:rFonts w:asciiTheme="minorHAnsi" w:hAnsiTheme="minorHAnsi" w:cstheme="minorHAnsi"/>
          <w:color w:val="000000" w:themeColor="text1"/>
          <w:sz w:val="22"/>
          <w:szCs w:val="22"/>
          <w:lang w:val="en-US"/>
        </w:rPr>
        <w:t>T</w:t>
      </w:r>
      <w:r w:rsidR="00B72262" w:rsidRPr="004A6922">
        <w:rPr>
          <w:rFonts w:asciiTheme="minorHAnsi" w:hAnsiTheme="minorHAnsi" w:cstheme="minorHAnsi"/>
          <w:color w:val="000000" w:themeColor="text1"/>
          <w:sz w:val="22"/>
          <w:szCs w:val="22"/>
          <w:lang w:val="en-US"/>
        </w:rPr>
        <w:t>a</w:t>
      </w:r>
      <w:r w:rsidR="00B72262">
        <w:rPr>
          <w:rFonts w:asciiTheme="minorHAnsi" w:hAnsiTheme="minorHAnsi" w:cstheme="minorHAnsi"/>
          <w:color w:val="000000" w:themeColor="text1"/>
          <w:sz w:val="22"/>
          <w:szCs w:val="22"/>
          <w:lang w:val="en-US"/>
        </w:rPr>
        <w:t>b 02</w:t>
      </w:r>
      <w:r w:rsidR="00B72262" w:rsidRPr="004A6922">
        <w:rPr>
          <w:rFonts w:asciiTheme="minorHAnsi" w:hAnsiTheme="minorHAnsi" w:cstheme="minorHAnsi"/>
          <w:color w:val="000000" w:themeColor="text1"/>
          <w:sz w:val="22"/>
          <w:szCs w:val="22"/>
          <w:lang w:val="en-US"/>
        </w:rPr>
        <w:t>).</w:t>
      </w:r>
    </w:p>
    <w:p w:rsidR="00803289" w:rsidRDefault="002B5F24" w:rsidP="008633BE">
      <w:pPr>
        <w:jc w:val="both"/>
        <w:rPr>
          <w:rFonts w:asciiTheme="minorHAnsi" w:hAnsiTheme="minorHAnsi" w:cstheme="minorHAnsi"/>
          <w:sz w:val="22"/>
          <w:szCs w:val="22"/>
          <w:lang w:val="en-US"/>
        </w:rPr>
      </w:pPr>
      <w:r w:rsidRPr="002B5F24">
        <w:rPr>
          <w:rFonts w:asciiTheme="minorHAnsi" w:hAnsiTheme="minorHAnsi" w:cstheme="minorHAnsi"/>
          <w:color w:val="000000" w:themeColor="text1"/>
          <w:sz w:val="22"/>
          <w:szCs w:val="22"/>
          <w:lang w:val="en-US"/>
        </w:rPr>
        <w:t xml:space="preserve">In conclusion in our study: </w:t>
      </w:r>
      <w:proofErr w:type="spellStart"/>
      <w:r w:rsidRPr="002B5F24">
        <w:rPr>
          <w:rFonts w:asciiTheme="minorHAnsi" w:hAnsiTheme="minorHAnsi" w:cstheme="minorHAnsi"/>
          <w:color w:val="000000" w:themeColor="text1"/>
          <w:sz w:val="22"/>
          <w:szCs w:val="22"/>
          <w:lang w:val="en-US"/>
        </w:rPr>
        <w:t>Klebsiella</w:t>
      </w:r>
      <w:proofErr w:type="spellEnd"/>
      <w:r w:rsidRPr="002B5F24">
        <w:rPr>
          <w:rFonts w:asciiTheme="minorHAnsi" w:hAnsiTheme="minorHAnsi" w:cstheme="minorHAnsi"/>
          <w:color w:val="000000" w:themeColor="text1"/>
          <w:sz w:val="22"/>
          <w:szCs w:val="22"/>
          <w:lang w:val="en-US"/>
        </w:rPr>
        <w:t xml:space="preserve"> pneumoniae infection increases the risk of occurrence of septic shock by 9.9 times - </w:t>
      </w:r>
      <w:proofErr w:type="spellStart"/>
      <w:r w:rsidRPr="002B5F24">
        <w:rPr>
          <w:rFonts w:asciiTheme="minorHAnsi" w:hAnsiTheme="minorHAnsi" w:cstheme="minorHAnsi"/>
          <w:color w:val="000000" w:themeColor="text1"/>
          <w:sz w:val="22"/>
          <w:szCs w:val="22"/>
          <w:lang w:val="en-US"/>
        </w:rPr>
        <w:t>ORa</w:t>
      </w:r>
      <w:proofErr w:type="spellEnd"/>
      <w:r w:rsidRPr="002B5F24">
        <w:rPr>
          <w:rFonts w:asciiTheme="minorHAnsi" w:hAnsiTheme="minorHAnsi" w:cstheme="minorHAnsi"/>
          <w:color w:val="000000" w:themeColor="text1"/>
          <w:sz w:val="22"/>
          <w:szCs w:val="22"/>
          <w:lang w:val="en-US"/>
        </w:rPr>
        <w:t xml:space="preserve"> = 9.92 (2.7-36.7); by 5.5 times for urinary sepsis -</w:t>
      </w:r>
      <w:proofErr w:type="spellStart"/>
      <w:r w:rsidRPr="002B5F24">
        <w:rPr>
          <w:rFonts w:asciiTheme="minorHAnsi" w:hAnsiTheme="minorHAnsi" w:cstheme="minorHAnsi"/>
          <w:color w:val="000000" w:themeColor="text1"/>
          <w:sz w:val="22"/>
          <w:szCs w:val="22"/>
          <w:lang w:val="en-US"/>
        </w:rPr>
        <w:t>ORa</w:t>
      </w:r>
      <w:proofErr w:type="spellEnd"/>
      <w:r w:rsidRPr="002B5F24">
        <w:rPr>
          <w:rFonts w:asciiTheme="minorHAnsi" w:hAnsiTheme="minorHAnsi" w:cstheme="minorHAnsi"/>
          <w:color w:val="000000" w:themeColor="text1"/>
          <w:sz w:val="22"/>
          <w:szCs w:val="22"/>
          <w:lang w:val="en-US"/>
        </w:rPr>
        <w:t xml:space="preserve">= 5.53 (1.6-19.16); by 19 times for hyperlactatemia </w:t>
      </w:r>
      <w:proofErr w:type="spellStart"/>
      <w:r w:rsidRPr="002B5F24">
        <w:rPr>
          <w:rFonts w:asciiTheme="minorHAnsi" w:hAnsiTheme="minorHAnsi" w:cstheme="minorHAnsi"/>
          <w:color w:val="000000" w:themeColor="text1"/>
          <w:sz w:val="22"/>
          <w:szCs w:val="22"/>
          <w:lang w:val="en-US"/>
        </w:rPr>
        <w:t>ORa</w:t>
      </w:r>
      <w:proofErr w:type="spellEnd"/>
      <w:r w:rsidRPr="002B5F24">
        <w:rPr>
          <w:rFonts w:asciiTheme="minorHAnsi" w:hAnsiTheme="minorHAnsi" w:cstheme="minorHAnsi"/>
          <w:color w:val="000000" w:themeColor="text1"/>
          <w:sz w:val="22"/>
          <w:szCs w:val="22"/>
          <w:lang w:val="en-US"/>
        </w:rPr>
        <w:t xml:space="preserve">=19 (5.13-69.5) and by 6 times for antibiotic resistance for </w:t>
      </w:r>
      <w:proofErr w:type="spellStart"/>
      <w:r w:rsidRPr="002B5F24">
        <w:rPr>
          <w:rFonts w:asciiTheme="minorHAnsi" w:hAnsiTheme="minorHAnsi" w:cstheme="minorHAnsi"/>
          <w:color w:val="000000" w:themeColor="text1"/>
          <w:sz w:val="22"/>
          <w:szCs w:val="22"/>
          <w:lang w:val="en-US"/>
        </w:rPr>
        <w:t>acinetobacter</w:t>
      </w:r>
      <w:proofErr w:type="spellEnd"/>
      <w:r w:rsidRPr="002B5F24">
        <w:rPr>
          <w:rFonts w:asciiTheme="minorHAnsi" w:hAnsiTheme="minorHAnsi" w:cstheme="minorHAnsi"/>
          <w:color w:val="000000" w:themeColor="text1"/>
          <w:sz w:val="22"/>
          <w:szCs w:val="22"/>
          <w:lang w:val="en-US"/>
        </w:rPr>
        <w:t xml:space="preserve"> </w:t>
      </w:r>
      <w:proofErr w:type="spellStart"/>
      <w:r w:rsidRPr="002B5F24">
        <w:rPr>
          <w:rFonts w:asciiTheme="minorHAnsi" w:hAnsiTheme="minorHAnsi" w:cstheme="minorHAnsi"/>
          <w:color w:val="000000" w:themeColor="text1"/>
          <w:sz w:val="22"/>
          <w:szCs w:val="22"/>
          <w:lang w:val="en-US"/>
        </w:rPr>
        <w:t>baumannii</w:t>
      </w:r>
      <w:proofErr w:type="spellEnd"/>
      <w:r w:rsidRPr="002B5F24">
        <w:rPr>
          <w:rFonts w:asciiTheme="minorHAnsi" w:hAnsiTheme="minorHAnsi" w:cstheme="minorHAnsi"/>
          <w:color w:val="000000" w:themeColor="text1"/>
          <w:sz w:val="22"/>
          <w:szCs w:val="22"/>
          <w:lang w:val="en-US"/>
        </w:rPr>
        <w:t xml:space="preserve"> </w:t>
      </w:r>
      <w:proofErr w:type="spellStart"/>
      <w:r w:rsidRPr="002B5F24">
        <w:rPr>
          <w:rFonts w:asciiTheme="minorHAnsi" w:hAnsiTheme="minorHAnsi" w:cstheme="minorHAnsi"/>
          <w:color w:val="000000" w:themeColor="text1"/>
          <w:sz w:val="22"/>
          <w:szCs w:val="22"/>
          <w:lang w:val="en-US"/>
        </w:rPr>
        <w:t>ORa</w:t>
      </w:r>
      <w:proofErr w:type="spellEnd"/>
      <w:r w:rsidRPr="002B5F24">
        <w:rPr>
          <w:rFonts w:asciiTheme="minorHAnsi" w:hAnsiTheme="minorHAnsi" w:cstheme="minorHAnsi"/>
          <w:color w:val="000000" w:themeColor="text1"/>
          <w:sz w:val="22"/>
          <w:szCs w:val="22"/>
          <w:lang w:val="en-US"/>
        </w:rPr>
        <w:t>=6.14(1.3-28.9)</w:t>
      </w:r>
    </w:p>
    <w:p w:rsidR="00803289" w:rsidRDefault="00803289" w:rsidP="008633BE">
      <w:pPr>
        <w:jc w:val="both"/>
        <w:rPr>
          <w:rFonts w:asciiTheme="minorHAnsi" w:hAnsiTheme="minorHAnsi" w:cstheme="minorHAnsi"/>
          <w:sz w:val="22"/>
          <w:szCs w:val="22"/>
          <w:u w:val="single"/>
          <w:lang w:val="en-US"/>
        </w:rPr>
      </w:pPr>
    </w:p>
    <w:p w:rsidR="00803289" w:rsidRDefault="00803289" w:rsidP="008633BE">
      <w:pPr>
        <w:jc w:val="both"/>
        <w:rPr>
          <w:rFonts w:asciiTheme="minorHAnsi" w:hAnsiTheme="minorHAnsi" w:cstheme="minorHAnsi"/>
          <w:sz w:val="22"/>
          <w:szCs w:val="22"/>
          <w:u w:val="single"/>
          <w:lang w:val="en-US"/>
        </w:rPr>
      </w:pPr>
    </w:p>
    <w:p w:rsidR="00CE2F82" w:rsidRPr="002836DA" w:rsidRDefault="00E023F7" w:rsidP="008633BE">
      <w:pPr>
        <w:jc w:val="both"/>
        <w:rPr>
          <w:rFonts w:asciiTheme="minorHAnsi" w:hAnsiTheme="minorHAnsi" w:cstheme="minorHAnsi"/>
          <w:sz w:val="22"/>
          <w:szCs w:val="22"/>
          <w:lang w:val="en-US"/>
        </w:rPr>
      </w:pPr>
      <w:r w:rsidRPr="00803289">
        <w:rPr>
          <w:rFonts w:asciiTheme="minorHAnsi" w:hAnsiTheme="minorHAnsi" w:cstheme="minorHAnsi"/>
          <w:b/>
          <w:sz w:val="22"/>
          <w:szCs w:val="22"/>
          <w:u w:val="single"/>
          <w:lang w:val="en-US"/>
        </w:rPr>
        <w:lastRenderedPageBreak/>
        <w:t>Discussion:</w:t>
      </w:r>
      <w:r w:rsidRPr="002836DA">
        <w:rPr>
          <w:rFonts w:asciiTheme="minorHAnsi" w:hAnsiTheme="minorHAnsi" w:cstheme="minorHAnsi"/>
          <w:sz w:val="22"/>
          <w:szCs w:val="22"/>
          <w:u w:val="single"/>
          <w:lang w:val="en-US"/>
        </w:rPr>
        <w:t xml:space="preserve"> </w:t>
      </w:r>
      <w:r w:rsidR="00803289">
        <w:rPr>
          <w:rFonts w:asciiTheme="minorHAnsi" w:hAnsiTheme="minorHAnsi" w:cstheme="minorHAnsi"/>
          <w:sz w:val="22"/>
          <w:szCs w:val="22"/>
          <w:lang w:val="en-US"/>
        </w:rPr>
        <w:t xml:space="preserve"> </w:t>
      </w:r>
      <w:proofErr w:type="spellStart"/>
      <w:proofErr w:type="gramStart"/>
      <w:r w:rsidR="00BF6833" w:rsidRPr="002836DA">
        <w:rPr>
          <w:rFonts w:asciiTheme="minorHAnsi" w:hAnsiTheme="minorHAnsi" w:cstheme="minorHAnsi"/>
          <w:sz w:val="22"/>
          <w:szCs w:val="22"/>
          <w:lang w:val="en-US"/>
        </w:rPr>
        <w:t>A.Baumannii</w:t>
      </w:r>
      <w:proofErr w:type="spellEnd"/>
      <w:proofErr w:type="gramEnd"/>
      <w:r w:rsidR="00BF6833" w:rsidRPr="002836DA">
        <w:rPr>
          <w:rFonts w:asciiTheme="minorHAnsi" w:hAnsiTheme="minorHAnsi" w:cstheme="minorHAnsi"/>
          <w:sz w:val="22"/>
          <w:szCs w:val="22"/>
          <w:lang w:val="en-US"/>
        </w:rPr>
        <w:t xml:space="preserve"> were reported &gt;50% of all isolates were resistant to carbapenems, quinolones and aminoglycosides</w:t>
      </w:r>
      <w:r w:rsidR="00EB599B" w:rsidRPr="002836DA">
        <w:rPr>
          <w:rFonts w:asciiTheme="minorHAnsi" w:hAnsiTheme="minorHAnsi" w:cstheme="minorHAnsi"/>
          <w:sz w:val="22"/>
          <w:szCs w:val="22"/>
          <w:lang w:val="en-US"/>
        </w:rPr>
        <w:t>, Much lower than our results at 90%.</w:t>
      </w:r>
      <w:r w:rsidR="00455A8F" w:rsidRPr="00E91646">
        <w:rPr>
          <w:rFonts w:asciiTheme="minorHAnsi" w:hAnsiTheme="minorHAnsi" w:cstheme="minorHAnsi"/>
          <w:sz w:val="22"/>
          <w:szCs w:val="22"/>
          <w:lang w:val="en-US"/>
        </w:rPr>
        <w:t>[</w:t>
      </w:r>
      <w:r w:rsidR="00455A8F">
        <w:rPr>
          <w:rFonts w:asciiTheme="minorHAnsi" w:hAnsiTheme="minorHAnsi" w:cstheme="minorHAnsi"/>
          <w:sz w:val="22"/>
          <w:szCs w:val="22"/>
          <w:lang w:val="en-US"/>
        </w:rPr>
        <w:t>22</w:t>
      </w:r>
      <w:r w:rsidR="00455A8F" w:rsidRPr="00E91646">
        <w:rPr>
          <w:rFonts w:asciiTheme="minorHAnsi" w:hAnsiTheme="minorHAnsi" w:cstheme="minorHAnsi"/>
          <w:sz w:val="22"/>
          <w:szCs w:val="22"/>
          <w:lang w:val="en-US"/>
        </w:rPr>
        <w:t>].</w:t>
      </w:r>
      <w:r w:rsidR="00B72262">
        <w:rPr>
          <w:rFonts w:asciiTheme="minorHAnsi" w:hAnsiTheme="minorHAnsi" w:cstheme="minorHAnsi"/>
          <w:sz w:val="22"/>
          <w:szCs w:val="22"/>
          <w:lang w:val="en-US"/>
        </w:rPr>
        <w:t>T</w:t>
      </w:r>
      <w:r w:rsidR="00CE2F82" w:rsidRPr="002836DA">
        <w:rPr>
          <w:rFonts w:asciiTheme="minorHAnsi" w:hAnsiTheme="minorHAnsi" w:cstheme="minorHAnsi"/>
          <w:sz w:val="22"/>
          <w:szCs w:val="22"/>
          <w:lang w:val="en-US"/>
        </w:rPr>
        <w:t xml:space="preserve">he resistance of Acinetobacter </w:t>
      </w:r>
      <w:proofErr w:type="spellStart"/>
      <w:r w:rsidR="00CE2F82" w:rsidRPr="002836DA">
        <w:rPr>
          <w:rFonts w:asciiTheme="minorHAnsi" w:hAnsiTheme="minorHAnsi" w:cstheme="minorHAnsi"/>
          <w:sz w:val="22"/>
          <w:szCs w:val="22"/>
          <w:lang w:val="en-US"/>
        </w:rPr>
        <w:t>baumanii</w:t>
      </w:r>
      <w:proofErr w:type="spellEnd"/>
      <w:r w:rsidR="00CE2F82" w:rsidRPr="002836DA">
        <w:rPr>
          <w:rFonts w:asciiTheme="minorHAnsi" w:hAnsiTheme="minorHAnsi" w:cstheme="minorHAnsi"/>
          <w:sz w:val="22"/>
          <w:szCs w:val="22"/>
          <w:lang w:val="en-US"/>
        </w:rPr>
        <w:t xml:space="preserve"> to carbapenems and other antibiotics, as observed in our study </w:t>
      </w:r>
      <w:r w:rsidR="00B72262" w:rsidRPr="004A6922">
        <w:rPr>
          <w:rFonts w:asciiTheme="minorHAnsi" w:hAnsiTheme="minorHAnsi" w:cstheme="minorHAnsi"/>
          <w:color w:val="000000" w:themeColor="text1"/>
          <w:sz w:val="22"/>
          <w:szCs w:val="22"/>
          <w:lang w:val="en-US"/>
        </w:rPr>
        <w:t>(</w:t>
      </w:r>
      <w:r w:rsidR="00B72262">
        <w:rPr>
          <w:rFonts w:asciiTheme="minorHAnsi" w:hAnsiTheme="minorHAnsi" w:cstheme="minorHAnsi"/>
          <w:color w:val="000000" w:themeColor="text1"/>
          <w:sz w:val="22"/>
          <w:szCs w:val="22"/>
          <w:lang w:val="en-US"/>
        </w:rPr>
        <w:t>T</w:t>
      </w:r>
      <w:r w:rsidR="00B72262" w:rsidRPr="004A6922">
        <w:rPr>
          <w:rFonts w:asciiTheme="minorHAnsi" w:hAnsiTheme="minorHAnsi" w:cstheme="minorHAnsi"/>
          <w:color w:val="000000" w:themeColor="text1"/>
          <w:sz w:val="22"/>
          <w:szCs w:val="22"/>
          <w:lang w:val="en-US"/>
        </w:rPr>
        <w:t>a</w:t>
      </w:r>
      <w:r w:rsidR="00B72262">
        <w:rPr>
          <w:rFonts w:asciiTheme="minorHAnsi" w:hAnsiTheme="minorHAnsi" w:cstheme="minorHAnsi"/>
          <w:color w:val="000000" w:themeColor="text1"/>
          <w:sz w:val="22"/>
          <w:szCs w:val="22"/>
          <w:lang w:val="en-US"/>
        </w:rPr>
        <w:t>b 03</w:t>
      </w:r>
      <w:r w:rsidR="00B72262" w:rsidRPr="004A6922">
        <w:rPr>
          <w:rFonts w:asciiTheme="minorHAnsi" w:hAnsiTheme="minorHAnsi" w:cstheme="minorHAnsi"/>
          <w:color w:val="000000" w:themeColor="text1"/>
          <w:sz w:val="22"/>
          <w:szCs w:val="22"/>
          <w:lang w:val="en-US"/>
        </w:rPr>
        <w:t>).</w:t>
      </w:r>
    </w:p>
    <w:p w:rsidR="00886085" w:rsidRPr="00803289" w:rsidRDefault="00CE2F82" w:rsidP="008633BE">
      <w:pPr>
        <w:jc w:val="both"/>
        <w:rPr>
          <w:rFonts w:asciiTheme="minorHAnsi" w:hAnsiTheme="minorHAnsi" w:cstheme="minorHAnsi"/>
          <w:sz w:val="22"/>
          <w:szCs w:val="22"/>
          <w:highlight w:val="yellow"/>
          <w:lang w:val="en-US"/>
        </w:rPr>
      </w:pPr>
      <w:r w:rsidRPr="00CE2F82">
        <w:rPr>
          <w:rFonts w:asciiTheme="minorHAnsi" w:hAnsiTheme="minorHAnsi" w:cstheme="minorHAnsi"/>
          <w:sz w:val="22"/>
          <w:szCs w:val="22"/>
          <w:lang w:val="en-US"/>
        </w:rPr>
        <w:t xml:space="preserve">compared to what has been reported in other studies, as an independent risk factor for infection with </w:t>
      </w:r>
      <w:proofErr w:type="spellStart"/>
      <w:r w:rsidRPr="00CE2F82">
        <w:rPr>
          <w:rFonts w:asciiTheme="minorHAnsi" w:hAnsiTheme="minorHAnsi" w:cstheme="minorHAnsi"/>
          <w:sz w:val="22"/>
          <w:szCs w:val="22"/>
          <w:lang w:val="en-US"/>
        </w:rPr>
        <w:t>acinetobacter</w:t>
      </w:r>
      <w:proofErr w:type="spellEnd"/>
      <w:r w:rsidRPr="00CE2F82">
        <w:rPr>
          <w:rFonts w:asciiTheme="minorHAnsi" w:hAnsiTheme="minorHAnsi" w:cstheme="minorHAnsi"/>
          <w:sz w:val="22"/>
          <w:szCs w:val="22"/>
          <w:lang w:val="en-US"/>
        </w:rPr>
        <w:t xml:space="preserve"> </w:t>
      </w:r>
      <w:proofErr w:type="spellStart"/>
      <w:r w:rsidRPr="00CE2F82">
        <w:rPr>
          <w:rFonts w:asciiTheme="minorHAnsi" w:hAnsiTheme="minorHAnsi" w:cstheme="minorHAnsi"/>
          <w:sz w:val="22"/>
          <w:szCs w:val="22"/>
          <w:lang w:val="en-US"/>
        </w:rPr>
        <w:t>baumani</w:t>
      </w:r>
      <w:proofErr w:type="spellEnd"/>
      <w:r w:rsidRPr="00CE2F82">
        <w:rPr>
          <w:rFonts w:asciiTheme="minorHAnsi" w:hAnsiTheme="minorHAnsi" w:cstheme="minorHAnsi"/>
          <w:sz w:val="22"/>
          <w:szCs w:val="22"/>
          <w:lang w:val="en-US"/>
        </w:rPr>
        <w:t xml:space="preserve"> (OR: 4.11 [1.58–10.73</w:t>
      </w:r>
      <w:r w:rsidR="00E264BE" w:rsidRPr="00CE2F82">
        <w:rPr>
          <w:rFonts w:asciiTheme="minorHAnsi" w:hAnsiTheme="minorHAnsi" w:cstheme="minorHAnsi"/>
          <w:sz w:val="22"/>
          <w:szCs w:val="22"/>
          <w:lang w:val="en-US"/>
        </w:rPr>
        <w:t xml:space="preserve">]) </w:t>
      </w:r>
      <w:r w:rsidR="00455A8F" w:rsidRPr="00E91646">
        <w:rPr>
          <w:rFonts w:asciiTheme="minorHAnsi" w:hAnsiTheme="minorHAnsi" w:cstheme="minorHAnsi"/>
          <w:sz w:val="22"/>
          <w:szCs w:val="22"/>
          <w:lang w:val="en-US"/>
        </w:rPr>
        <w:t>[</w:t>
      </w:r>
      <w:r w:rsidR="00455A8F">
        <w:rPr>
          <w:rFonts w:asciiTheme="minorHAnsi" w:hAnsiTheme="minorHAnsi" w:cstheme="minorHAnsi"/>
          <w:sz w:val="22"/>
          <w:szCs w:val="22"/>
          <w:lang w:val="en-US"/>
        </w:rPr>
        <w:t>23</w:t>
      </w:r>
      <w:r w:rsidR="00455A8F" w:rsidRPr="00E91646">
        <w:rPr>
          <w:rFonts w:asciiTheme="minorHAnsi" w:hAnsiTheme="minorHAnsi" w:cstheme="minorHAnsi"/>
          <w:sz w:val="22"/>
          <w:szCs w:val="22"/>
          <w:lang w:val="en-US"/>
        </w:rPr>
        <w:t>]</w:t>
      </w:r>
      <w:r w:rsidR="004B7DA5">
        <w:rPr>
          <w:rFonts w:asciiTheme="minorHAnsi" w:hAnsiTheme="minorHAnsi" w:cstheme="minorHAnsi"/>
          <w:sz w:val="22"/>
          <w:szCs w:val="22"/>
          <w:lang w:val="en-US"/>
        </w:rPr>
        <w:t>,</w:t>
      </w:r>
      <w:r w:rsidRPr="00CE2F82">
        <w:rPr>
          <w:rFonts w:asciiTheme="minorHAnsi" w:hAnsiTheme="minorHAnsi" w:cstheme="minorHAnsi"/>
          <w:sz w:val="22"/>
          <w:szCs w:val="22"/>
          <w:lang w:val="en-US"/>
        </w:rPr>
        <w:t xml:space="preserve"> and essentially the use of carbapenems (OR: 5.22 [1.99–13.67])</w:t>
      </w:r>
      <w:r w:rsidR="00455A8F" w:rsidRPr="00455A8F">
        <w:rPr>
          <w:rFonts w:asciiTheme="minorHAnsi" w:hAnsiTheme="minorHAnsi" w:cstheme="minorHAnsi"/>
          <w:sz w:val="22"/>
          <w:szCs w:val="22"/>
          <w:lang w:val="en-US"/>
        </w:rPr>
        <w:t xml:space="preserve"> </w:t>
      </w:r>
      <w:r w:rsidR="00455A8F" w:rsidRPr="00E91646">
        <w:rPr>
          <w:rFonts w:asciiTheme="minorHAnsi" w:hAnsiTheme="minorHAnsi" w:cstheme="minorHAnsi"/>
          <w:sz w:val="22"/>
          <w:szCs w:val="22"/>
          <w:lang w:val="en-US"/>
        </w:rPr>
        <w:t>[</w:t>
      </w:r>
      <w:r w:rsidR="00455A8F">
        <w:rPr>
          <w:rFonts w:asciiTheme="minorHAnsi" w:hAnsiTheme="minorHAnsi" w:cstheme="minorHAnsi"/>
          <w:sz w:val="22"/>
          <w:szCs w:val="22"/>
          <w:lang w:val="en-US"/>
        </w:rPr>
        <w:t>24</w:t>
      </w:r>
      <w:r w:rsidR="00455A8F" w:rsidRPr="00E91646">
        <w:rPr>
          <w:rFonts w:asciiTheme="minorHAnsi" w:hAnsiTheme="minorHAnsi" w:cstheme="minorHAnsi"/>
          <w:sz w:val="22"/>
          <w:szCs w:val="22"/>
          <w:lang w:val="en-US"/>
        </w:rPr>
        <w:t>].</w:t>
      </w:r>
      <w:r w:rsidR="00803289">
        <w:rPr>
          <w:rFonts w:asciiTheme="minorHAnsi" w:hAnsiTheme="minorHAnsi" w:cstheme="minorHAnsi"/>
          <w:sz w:val="22"/>
          <w:szCs w:val="22"/>
          <w:lang w:val="en-US"/>
        </w:rPr>
        <w:t xml:space="preserve"> </w:t>
      </w:r>
      <w:r w:rsidR="004C142F" w:rsidRPr="00803289">
        <w:rPr>
          <w:rFonts w:asciiTheme="minorHAnsi" w:hAnsiTheme="minorHAnsi" w:cstheme="minorHAnsi"/>
          <w:sz w:val="22"/>
          <w:szCs w:val="22"/>
          <w:lang w:val="en-US"/>
        </w:rPr>
        <w:t>Carbapenem</w:t>
      </w:r>
      <w:r w:rsidR="004C142F" w:rsidRPr="004C142F">
        <w:rPr>
          <w:rFonts w:asciiTheme="minorHAnsi" w:hAnsiTheme="minorHAnsi" w:cstheme="minorHAnsi"/>
          <w:sz w:val="22"/>
          <w:szCs w:val="22"/>
          <w:lang w:val="en-US"/>
        </w:rPr>
        <w:t xml:space="preserve"> resistance was 52.6% and colistin resistance was 17.9% in K. pneumoniae isolates and both increased over 3 years. When carbapenem-resistant K. pneumoniae infections were compared with carbapenem-sensitive K. pneumoniae infections, the independent risk factors associated with carbapenem resistance were found to be carbapenem use (p=0.008, OR: 8.45, 95% CI: 1.76-40.64), prior NI developing with different microorganism (p=0.005, OR: 8.70, 95% CI: 1.91-39.65) and total parenteral nutrition (TPN) use (p=0.04, OR: 4.2, 95% CI: 1.06-16.67)</w:t>
      </w:r>
      <w:r w:rsidR="00B62ACA">
        <w:rPr>
          <w:rFonts w:asciiTheme="minorHAnsi" w:hAnsiTheme="minorHAnsi" w:cstheme="minorHAnsi"/>
          <w:sz w:val="22"/>
          <w:szCs w:val="22"/>
          <w:lang w:val="en-US"/>
        </w:rPr>
        <w:t xml:space="preserve"> </w:t>
      </w:r>
      <w:r w:rsidR="00F8501E" w:rsidRPr="00E91646">
        <w:rPr>
          <w:rFonts w:asciiTheme="minorHAnsi" w:hAnsiTheme="minorHAnsi" w:cstheme="minorHAnsi"/>
          <w:sz w:val="22"/>
          <w:szCs w:val="22"/>
          <w:lang w:val="en-US"/>
        </w:rPr>
        <w:t>[</w:t>
      </w:r>
      <w:r w:rsidR="00F8501E">
        <w:rPr>
          <w:rFonts w:asciiTheme="minorHAnsi" w:hAnsiTheme="minorHAnsi" w:cstheme="minorHAnsi"/>
          <w:sz w:val="22"/>
          <w:szCs w:val="22"/>
          <w:lang w:val="en-US"/>
        </w:rPr>
        <w:t>25</w:t>
      </w:r>
      <w:r w:rsidR="00F8501E" w:rsidRPr="00E91646">
        <w:rPr>
          <w:rFonts w:asciiTheme="minorHAnsi" w:hAnsiTheme="minorHAnsi" w:cstheme="minorHAnsi"/>
          <w:sz w:val="22"/>
          <w:szCs w:val="22"/>
          <w:lang w:val="en-US"/>
        </w:rPr>
        <w:t>]</w:t>
      </w:r>
      <w:r w:rsidR="00F8501E">
        <w:rPr>
          <w:rFonts w:asciiTheme="minorHAnsi" w:hAnsiTheme="minorHAnsi" w:cstheme="minorHAnsi"/>
          <w:sz w:val="22"/>
          <w:szCs w:val="22"/>
          <w:lang w:val="en-US"/>
        </w:rPr>
        <w:t>.</w:t>
      </w:r>
      <w:r w:rsidR="009343D1" w:rsidRPr="009343D1">
        <w:rPr>
          <w:rFonts w:asciiTheme="minorHAnsi" w:hAnsiTheme="minorHAnsi" w:cstheme="minorHAnsi"/>
          <w:sz w:val="22"/>
          <w:szCs w:val="22"/>
          <w:lang w:val="en-US"/>
        </w:rPr>
        <w:t>n this study the risk is multiplied by 9 times. Almost identical result observed in study</w:t>
      </w:r>
      <w:r w:rsidR="009343D1" w:rsidRPr="009343D1">
        <w:rPr>
          <w:rFonts w:asciiTheme="minorHAnsi" w:hAnsiTheme="minorHAnsi" w:cstheme="minorHAnsi"/>
          <w:color w:val="000000" w:themeColor="text1"/>
          <w:sz w:val="22"/>
          <w:szCs w:val="22"/>
          <w:lang w:val="en-US"/>
        </w:rPr>
        <w:t xml:space="preserve">, </w:t>
      </w:r>
      <w:proofErr w:type="spellStart"/>
      <w:r w:rsidR="009343D1" w:rsidRPr="009343D1">
        <w:rPr>
          <w:rFonts w:asciiTheme="minorHAnsi" w:hAnsiTheme="minorHAnsi" w:cstheme="minorHAnsi"/>
          <w:color w:val="000000" w:themeColor="text1"/>
          <w:sz w:val="22"/>
          <w:szCs w:val="22"/>
          <w:lang w:val="en-US"/>
        </w:rPr>
        <w:t>ORa</w:t>
      </w:r>
      <w:proofErr w:type="spellEnd"/>
      <w:r w:rsidR="009343D1" w:rsidRPr="009343D1">
        <w:rPr>
          <w:rFonts w:asciiTheme="minorHAnsi" w:hAnsiTheme="minorHAnsi" w:cstheme="minorHAnsi"/>
          <w:color w:val="000000" w:themeColor="text1"/>
          <w:sz w:val="22"/>
          <w:szCs w:val="22"/>
          <w:lang w:val="en-US"/>
        </w:rPr>
        <w:t xml:space="preserve"> = 9.92 (2.7-36.7) p = 0.001-</w:t>
      </w:r>
      <w:r w:rsidR="0034412F">
        <w:rPr>
          <w:rFonts w:asciiTheme="minorHAnsi" w:hAnsiTheme="minorHAnsi" w:cstheme="minorHAnsi"/>
          <w:color w:val="000000" w:themeColor="text1"/>
          <w:sz w:val="22"/>
          <w:szCs w:val="22"/>
          <w:lang w:val="en-US"/>
        </w:rPr>
        <w:t xml:space="preserve"> </w:t>
      </w:r>
      <w:r w:rsidR="009343D1" w:rsidRPr="009343D1">
        <w:rPr>
          <w:rFonts w:asciiTheme="minorHAnsi" w:hAnsiTheme="minorHAnsi" w:cstheme="minorHAnsi"/>
          <w:color w:val="000000" w:themeColor="text1"/>
          <w:sz w:val="22"/>
          <w:szCs w:val="22"/>
          <w:lang w:val="en-US"/>
        </w:rPr>
        <w:t xml:space="preserve">95% </w:t>
      </w:r>
      <w:r w:rsidR="0034412F" w:rsidRPr="00803289">
        <w:rPr>
          <w:rFonts w:asciiTheme="minorHAnsi" w:hAnsiTheme="minorHAnsi" w:cstheme="minorHAnsi"/>
          <w:color w:val="000000" w:themeColor="text1"/>
          <w:sz w:val="22"/>
          <w:szCs w:val="22"/>
          <w:lang w:val="en-US"/>
        </w:rPr>
        <w:t>CI</w:t>
      </w:r>
      <w:r w:rsidR="0034412F" w:rsidRPr="00803289">
        <w:rPr>
          <w:rFonts w:asciiTheme="minorHAnsi" w:hAnsiTheme="minorHAnsi" w:cstheme="minorHAnsi"/>
          <w:sz w:val="22"/>
          <w:szCs w:val="22"/>
          <w:lang w:val="en-US"/>
        </w:rPr>
        <w:t>. The</w:t>
      </w:r>
      <w:r w:rsidRPr="008633BE">
        <w:rPr>
          <w:rFonts w:asciiTheme="minorHAnsi" w:hAnsiTheme="minorHAnsi" w:cstheme="minorHAnsi"/>
          <w:sz w:val="22"/>
          <w:szCs w:val="22"/>
          <w:lang w:val="en-US"/>
        </w:rPr>
        <w:t xml:space="preserve"> prescription of inappropriate probabilistic antibiotic therapy is of the order of 25</w:t>
      </w:r>
      <w:bookmarkStart w:id="0" w:name="_GoBack"/>
      <w:bookmarkEnd w:id="0"/>
      <w:r w:rsidRPr="008633BE">
        <w:rPr>
          <w:rFonts w:asciiTheme="minorHAnsi" w:hAnsiTheme="minorHAnsi" w:cstheme="minorHAnsi"/>
          <w:sz w:val="22"/>
          <w:szCs w:val="22"/>
          <w:lang w:val="en-US"/>
        </w:rPr>
        <w:t>.8%</w:t>
      </w:r>
      <w:r w:rsidR="004B7DA5">
        <w:rPr>
          <w:rFonts w:asciiTheme="minorHAnsi" w:hAnsiTheme="minorHAnsi" w:cstheme="minorHAnsi"/>
          <w:sz w:val="22"/>
          <w:szCs w:val="22"/>
          <w:lang w:val="en-US"/>
        </w:rPr>
        <w:t xml:space="preserve"> </w:t>
      </w:r>
      <w:r w:rsidR="00F8501E" w:rsidRPr="00E91646">
        <w:rPr>
          <w:rFonts w:asciiTheme="minorHAnsi" w:hAnsiTheme="minorHAnsi" w:cstheme="minorHAnsi"/>
          <w:sz w:val="22"/>
          <w:szCs w:val="22"/>
          <w:lang w:val="en-US"/>
        </w:rPr>
        <w:t>[</w:t>
      </w:r>
      <w:r w:rsidR="00F8501E">
        <w:rPr>
          <w:rFonts w:asciiTheme="minorHAnsi" w:hAnsiTheme="minorHAnsi" w:cstheme="minorHAnsi"/>
          <w:sz w:val="22"/>
          <w:szCs w:val="22"/>
          <w:lang w:val="en-US"/>
        </w:rPr>
        <w:t>26</w:t>
      </w:r>
      <w:r w:rsidR="00F8501E" w:rsidRPr="00E91646">
        <w:rPr>
          <w:rFonts w:asciiTheme="minorHAnsi" w:hAnsiTheme="minorHAnsi" w:cstheme="minorHAnsi"/>
          <w:sz w:val="22"/>
          <w:szCs w:val="22"/>
          <w:lang w:val="en-US"/>
        </w:rPr>
        <w:t>].</w:t>
      </w:r>
      <w:r w:rsidRPr="008633BE">
        <w:rPr>
          <w:rFonts w:asciiTheme="minorHAnsi" w:hAnsiTheme="minorHAnsi" w:cstheme="minorHAnsi"/>
          <w:sz w:val="22"/>
          <w:szCs w:val="22"/>
          <w:lang w:val="en-US"/>
        </w:rPr>
        <w:t xml:space="preserve"> </w:t>
      </w:r>
      <w:r w:rsidR="004B7DA5">
        <w:rPr>
          <w:rFonts w:asciiTheme="minorHAnsi" w:hAnsiTheme="minorHAnsi" w:cstheme="minorHAnsi"/>
          <w:sz w:val="22"/>
          <w:szCs w:val="22"/>
          <w:lang w:val="en-US"/>
        </w:rPr>
        <w:t>T</w:t>
      </w:r>
      <w:r w:rsidRPr="008633BE">
        <w:rPr>
          <w:rFonts w:asciiTheme="minorHAnsi" w:hAnsiTheme="minorHAnsi" w:cstheme="minorHAnsi"/>
          <w:sz w:val="22"/>
          <w:szCs w:val="22"/>
          <w:lang w:val="en-US"/>
        </w:rPr>
        <w:t xml:space="preserve">his high frequency is at the origin of excess mortality (42.0%) when compared to that of infected patients receiving adequate antibiotic treatment (17.7%) with a statistically significant difference (RR: 2.37 [95% CI, 1.83 to 3.08] p &lt; </w:t>
      </w:r>
      <w:r w:rsidR="004B7DA5" w:rsidRPr="008633BE">
        <w:rPr>
          <w:rFonts w:asciiTheme="minorHAnsi" w:hAnsiTheme="minorHAnsi" w:cstheme="minorHAnsi"/>
          <w:sz w:val="22"/>
          <w:szCs w:val="22"/>
          <w:lang w:val="en-US"/>
        </w:rPr>
        <w:t>0.001)</w:t>
      </w:r>
      <w:r w:rsidR="004B7DA5" w:rsidRPr="00E91646">
        <w:rPr>
          <w:rFonts w:asciiTheme="minorHAnsi" w:hAnsiTheme="minorHAnsi" w:cstheme="minorHAnsi"/>
          <w:sz w:val="22"/>
          <w:szCs w:val="22"/>
          <w:lang w:val="en-US"/>
        </w:rPr>
        <w:t xml:space="preserve"> [</w:t>
      </w:r>
      <w:r w:rsidR="00F8501E">
        <w:rPr>
          <w:rFonts w:asciiTheme="minorHAnsi" w:hAnsiTheme="minorHAnsi" w:cstheme="minorHAnsi"/>
          <w:sz w:val="22"/>
          <w:szCs w:val="22"/>
          <w:lang w:val="en-US"/>
        </w:rPr>
        <w:t>27</w:t>
      </w:r>
      <w:r w:rsidR="00F8501E" w:rsidRPr="00E91646">
        <w:rPr>
          <w:rFonts w:asciiTheme="minorHAnsi" w:hAnsiTheme="minorHAnsi" w:cstheme="minorHAnsi"/>
          <w:sz w:val="22"/>
          <w:szCs w:val="22"/>
          <w:lang w:val="en-US"/>
        </w:rPr>
        <w:t>]</w:t>
      </w:r>
      <w:r w:rsidR="004B7DA5">
        <w:rPr>
          <w:rFonts w:asciiTheme="minorHAnsi" w:hAnsiTheme="minorHAnsi" w:cstheme="minorHAnsi"/>
          <w:sz w:val="22"/>
          <w:szCs w:val="22"/>
          <w:lang w:val="en-US"/>
        </w:rPr>
        <w:t>. I</w:t>
      </w:r>
      <w:r w:rsidRPr="008633BE">
        <w:rPr>
          <w:rFonts w:asciiTheme="minorHAnsi" w:hAnsiTheme="minorHAnsi" w:cstheme="minorHAnsi"/>
          <w:sz w:val="22"/>
          <w:szCs w:val="22"/>
          <w:lang w:val="en-US"/>
        </w:rPr>
        <w:t>n our study, this variable was not statistically significant in the multivariate study.</w:t>
      </w:r>
      <w:r w:rsidR="00E264BE" w:rsidRPr="008633BE">
        <w:rPr>
          <w:rFonts w:asciiTheme="minorHAnsi" w:hAnsiTheme="minorHAnsi" w:cstheme="minorHAnsi"/>
          <w:sz w:val="22"/>
          <w:szCs w:val="22"/>
          <w:lang w:val="en-US"/>
        </w:rPr>
        <w:t xml:space="preserve"> </w:t>
      </w:r>
      <w:r w:rsidR="00061BB1" w:rsidRPr="008633BE">
        <w:rPr>
          <w:rFonts w:asciiTheme="minorHAnsi" w:hAnsiTheme="minorHAnsi" w:cstheme="minorHAnsi"/>
          <w:sz w:val="22"/>
          <w:szCs w:val="22"/>
          <w:lang w:val="en-US"/>
        </w:rPr>
        <w:t>Urinary catheterization has been reported as a risk factor linked to the use of urinary catheterization responsible for sepsis, in a statistically significant manner (OR: 21.04 [3.67 - 120.57] P&lt;0.0001)</w:t>
      </w:r>
      <w:r w:rsidR="00F8501E" w:rsidRPr="00F8501E">
        <w:rPr>
          <w:rFonts w:asciiTheme="minorHAnsi" w:hAnsiTheme="minorHAnsi" w:cstheme="minorHAnsi"/>
          <w:sz w:val="22"/>
          <w:szCs w:val="22"/>
          <w:lang w:val="en-US"/>
        </w:rPr>
        <w:t xml:space="preserve"> </w:t>
      </w:r>
      <w:r w:rsidR="00F8501E" w:rsidRPr="00E91646">
        <w:rPr>
          <w:rFonts w:asciiTheme="minorHAnsi" w:hAnsiTheme="minorHAnsi" w:cstheme="minorHAnsi"/>
          <w:sz w:val="22"/>
          <w:szCs w:val="22"/>
          <w:lang w:val="en-US"/>
        </w:rPr>
        <w:t>[</w:t>
      </w:r>
      <w:r w:rsidR="00F8501E">
        <w:rPr>
          <w:rFonts w:asciiTheme="minorHAnsi" w:hAnsiTheme="minorHAnsi" w:cstheme="minorHAnsi"/>
          <w:sz w:val="22"/>
          <w:szCs w:val="22"/>
          <w:lang w:val="en-US"/>
        </w:rPr>
        <w:t>24</w:t>
      </w:r>
      <w:r w:rsidR="00F8501E" w:rsidRPr="00E91646">
        <w:rPr>
          <w:rFonts w:asciiTheme="minorHAnsi" w:hAnsiTheme="minorHAnsi" w:cstheme="minorHAnsi"/>
          <w:sz w:val="22"/>
          <w:szCs w:val="22"/>
          <w:lang w:val="en-US"/>
        </w:rPr>
        <w:t>].</w:t>
      </w:r>
      <w:r w:rsidR="00E264BE" w:rsidRPr="008633BE">
        <w:rPr>
          <w:rFonts w:asciiTheme="minorHAnsi" w:hAnsiTheme="minorHAnsi" w:cstheme="minorHAnsi"/>
          <w:sz w:val="22"/>
          <w:szCs w:val="22"/>
          <w:lang w:val="en-US"/>
        </w:rPr>
        <w:t xml:space="preserve"> It</w:t>
      </w:r>
      <w:r w:rsidR="00061BB1" w:rsidRPr="008633BE">
        <w:rPr>
          <w:rFonts w:asciiTheme="minorHAnsi" w:hAnsiTheme="minorHAnsi" w:cstheme="minorHAnsi"/>
          <w:sz w:val="22"/>
          <w:szCs w:val="22"/>
          <w:lang w:val="en-US"/>
        </w:rPr>
        <w:t xml:space="preserve"> would multiply this risk by 21, compared with what we observed in our</w:t>
      </w:r>
      <w:r w:rsidR="00E264BE" w:rsidRPr="008633BE">
        <w:rPr>
          <w:rFonts w:asciiTheme="minorHAnsi" w:hAnsiTheme="minorHAnsi" w:cstheme="minorHAnsi"/>
          <w:sz w:val="22"/>
          <w:szCs w:val="22"/>
          <w:lang w:val="en-US"/>
        </w:rPr>
        <w:t xml:space="preserve"> s</w:t>
      </w:r>
      <w:r w:rsidR="00061BB1" w:rsidRPr="008633BE">
        <w:rPr>
          <w:rFonts w:asciiTheme="minorHAnsi" w:hAnsiTheme="minorHAnsi" w:cstheme="minorHAnsi"/>
          <w:sz w:val="22"/>
          <w:szCs w:val="22"/>
          <w:lang w:val="en-US"/>
        </w:rPr>
        <w:t>tudy</w:t>
      </w:r>
      <w:r w:rsidR="00E264BE" w:rsidRPr="008633BE">
        <w:rPr>
          <w:rFonts w:asciiTheme="minorHAnsi" w:hAnsiTheme="minorHAnsi" w:cstheme="minorHAnsi"/>
          <w:color w:val="000000" w:themeColor="text1"/>
          <w:sz w:val="22"/>
          <w:szCs w:val="22"/>
          <w:lang w:val="en-US"/>
        </w:rPr>
        <w:t>. Risk multiplied by 5</w:t>
      </w:r>
      <w:r w:rsidR="00E264BE" w:rsidRPr="008633BE">
        <w:rPr>
          <w:rFonts w:asciiTheme="minorHAnsi" w:hAnsiTheme="minorHAnsi" w:cstheme="minorHAnsi"/>
          <w:sz w:val="22"/>
          <w:szCs w:val="22"/>
          <w:lang w:val="en-US"/>
        </w:rPr>
        <w:t>, (</w:t>
      </w:r>
      <w:proofErr w:type="spellStart"/>
      <w:r w:rsidR="00E264BE" w:rsidRPr="008633BE">
        <w:rPr>
          <w:rFonts w:asciiTheme="minorHAnsi" w:hAnsiTheme="minorHAnsi" w:cstheme="minorHAnsi"/>
          <w:color w:val="000000" w:themeColor="text1"/>
          <w:sz w:val="22"/>
          <w:szCs w:val="22"/>
          <w:lang w:val="en-US"/>
        </w:rPr>
        <w:t>ORa</w:t>
      </w:r>
      <w:proofErr w:type="spellEnd"/>
      <w:r w:rsidR="00E264BE" w:rsidRPr="008633BE">
        <w:rPr>
          <w:rFonts w:asciiTheme="minorHAnsi" w:hAnsiTheme="minorHAnsi" w:cstheme="minorHAnsi"/>
          <w:color w:val="000000" w:themeColor="text1"/>
          <w:sz w:val="22"/>
          <w:szCs w:val="22"/>
          <w:lang w:val="en-US"/>
        </w:rPr>
        <w:t xml:space="preserve"> = 5.53 (1.6-19.16), P</w:t>
      </w:r>
      <w:r w:rsidR="00E264BE" w:rsidRPr="008633BE">
        <w:rPr>
          <w:rFonts w:asciiTheme="minorHAnsi" w:hAnsiTheme="minorHAnsi" w:cstheme="minorHAnsi"/>
          <w:sz w:val="22"/>
          <w:szCs w:val="22"/>
          <w:lang w:val="en-US"/>
        </w:rPr>
        <w:t>=</w:t>
      </w:r>
      <w:r w:rsidR="00E264BE" w:rsidRPr="008633BE">
        <w:rPr>
          <w:rFonts w:asciiTheme="minorHAnsi" w:hAnsiTheme="minorHAnsi" w:cstheme="minorHAnsi"/>
          <w:color w:val="000000" w:themeColor="text1"/>
          <w:sz w:val="22"/>
          <w:szCs w:val="22"/>
          <w:lang w:val="en-US"/>
        </w:rPr>
        <w:t>0.007 95% CI).</w:t>
      </w:r>
    </w:p>
    <w:p w:rsidR="00952BDE" w:rsidRPr="008633BE" w:rsidRDefault="008633BE" w:rsidP="008633BE">
      <w:pPr>
        <w:autoSpaceDE w:val="0"/>
        <w:autoSpaceDN w:val="0"/>
        <w:adjustRightInd w:val="0"/>
        <w:jc w:val="both"/>
        <w:rPr>
          <w:rFonts w:asciiTheme="minorHAnsi" w:hAnsiTheme="minorHAnsi" w:cstheme="minorHAnsi"/>
          <w:color w:val="000000" w:themeColor="text1"/>
          <w:sz w:val="22"/>
          <w:szCs w:val="22"/>
          <w:lang w:val="en-US"/>
        </w:rPr>
      </w:pPr>
      <w:r w:rsidRPr="008633BE">
        <w:rPr>
          <w:rFonts w:asciiTheme="minorHAnsi" w:hAnsiTheme="minorHAnsi" w:cstheme="minorHAnsi"/>
          <w:color w:val="000000" w:themeColor="text1"/>
          <w:sz w:val="22"/>
          <w:szCs w:val="22"/>
          <w:lang w:val="en-US"/>
        </w:rPr>
        <w:t xml:space="preserve">In a cohort study, Age &gt; 65 years was reported to be a risk factor for the development of multi-resistant Acetobacter </w:t>
      </w:r>
      <w:proofErr w:type="spellStart"/>
      <w:r w:rsidRPr="008633BE">
        <w:rPr>
          <w:rFonts w:asciiTheme="minorHAnsi" w:hAnsiTheme="minorHAnsi" w:cstheme="minorHAnsi"/>
          <w:color w:val="000000" w:themeColor="text1"/>
          <w:sz w:val="22"/>
          <w:szCs w:val="22"/>
          <w:lang w:val="en-US"/>
        </w:rPr>
        <w:t>baumani</w:t>
      </w:r>
      <w:proofErr w:type="spellEnd"/>
      <w:r w:rsidRPr="008633BE">
        <w:rPr>
          <w:rFonts w:asciiTheme="minorHAnsi" w:hAnsiTheme="minorHAnsi" w:cstheme="minorHAnsi"/>
          <w:color w:val="000000" w:themeColor="text1"/>
          <w:sz w:val="22"/>
          <w:szCs w:val="22"/>
          <w:lang w:val="en-US"/>
        </w:rPr>
        <w:t xml:space="preserve"> infection, relative risk (RR) of 1.46 (CI 1.14–1.88) and (RR) of 4.23 (IC 1.11–16.04). An almost identical result was observed in a multicenter prospective cohort study of 147 Spanish intensive care units with a sample size of 16,950 patients. age &gt; 65 years (RR 1.25 [CI 1.02-1.52</w:t>
      </w:r>
      <w:r w:rsidR="004B7DA5" w:rsidRPr="008633BE">
        <w:rPr>
          <w:rFonts w:asciiTheme="minorHAnsi" w:hAnsiTheme="minorHAnsi" w:cstheme="minorHAnsi"/>
          <w:color w:val="000000" w:themeColor="text1"/>
          <w:sz w:val="22"/>
          <w:szCs w:val="22"/>
          <w:lang w:val="en-US"/>
        </w:rPr>
        <w:t>])</w:t>
      </w:r>
      <w:r w:rsidR="004B7DA5" w:rsidRPr="00E91646">
        <w:rPr>
          <w:rFonts w:asciiTheme="minorHAnsi" w:hAnsiTheme="minorHAnsi" w:cstheme="minorHAnsi"/>
          <w:sz w:val="22"/>
          <w:szCs w:val="22"/>
          <w:lang w:val="en-US"/>
        </w:rPr>
        <w:t xml:space="preserve"> [</w:t>
      </w:r>
      <w:r w:rsidR="00F8501E">
        <w:rPr>
          <w:rFonts w:asciiTheme="minorHAnsi" w:hAnsiTheme="minorHAnsi" w:cstheme="minorHAnsi"/>
          <w:sz w:val="22"/>
          <w:szCs w:val="22"/>
          <w:lang w:val="en-US"/>
        </w:rPr>
        <w:t>28</w:t>
      </w:r>
      <w:r w:rsidR="00F8501E" w:rsidRPr="00E91646">
        <w:rPr>
          <w:rFonts w:asciiTheme="minorHAnsi" w:hAnsiTheme="minorHAnsi" w:cstheme="minorHAnsi"/>
          <w:sz w:val="22"/>
          <w:szCs w:val="22"/>
          <w:lang w:val="en-US"/>
        </w:rPr>
        <w:t>].</w:t>
      </w:r>
      <w:r w:rsidR="00F8501E" w:rsidRPr="00E264BE">
        <w:rPr>
          <w:rFonts w:asciiTheme="minorHAnsi" w:hAnsiTheme="minorHAnsi" w:cstheme="minorHAnsi"/>
          <w:sz w:val="22"/>
          <w:szCs w:val="22"/>
          <w:highlight w:val="yellow"/>
          <w:lang w:val="en-US"/>
        </w:rPr>
        <w:t xml:space="preserve"> </w:t>
      </w:r>
      <w:r w:rsidRPr="008633BE">
        <w:rPr>
          <w:rFonts w:asciiTheme="minorHAnsi" w:hAnsiTheme="minorHAnsi" w:cstheme="minorHAnsi"/>
          <w:color w:val="000000" w:themeColor="text1"/>
          <w:sz w:val="22"/>
          <w:szCs w:val="22"/>
          <w:lang w:val="en-US"/>
        </w:rPr>
        <w:t>In our study, age was not statistically significant, which can be explained by a small number of our study population in this age group.</w:t>
      </w:r>
    </w:p>
    <w:p w:rsidR="00952BDE" w:rsidRDefault="00952BDE" w:rsidP="00F46AE8">
      <w:pPr>
        <w:autoSpaceDE w:val="0"/>
        <w:autoSpaceDN w:val="0"/>
        <w:adjustRightInd w:val="0"/>
        <w:rPr>
          <w:rFonts w:asciiTheme="minorHAnsi" w:hAnsiTheme="minorHAnsi" w:cstheme="minorHAnsi"/>
          <w:color w:val="000000" w:themeColor="text1"/>
          <w:lang w:val="en-US"/>
        </w:rPr>
      </w:pPr>
    </w:p>
    <w:p w:rsidR="00F46AE8" w:rsidRPr="004B727B" w:rsidRDefault="00F46AE8" w:rsidP="00F46AE8">
      <w:pPr>
        <w:autoSpaceDE w:val="0"/>
        <w:autoSpaceDN w:val="0"/>
        <w:adjustRightInd w:val="0"/>
        <w:rPr>
          <w:rFonts w:asciiTheme="minorHAnsi" w:hAnsiTheme="minorHAnsi" w:cstheme="minorHAnsi"/>
          <w:color w:val="000000" w:themeColor="text1"/>
          <w:lang w:val="en-US"/>
        </w:rPr>
      </w:pPr>
      <w:r w:rsidRPr="004B727B">
        <w:rPr>
          <w:rFonts w:asciiTheme="minorHAnsi" w:hAnsiTheme="minorHAnsi" w:cstheme="minorHAnsi"/>
          <w:color w:val="000000" w:themeColor="text1"/>
          <w:u w:val="single"/>
          <w:lang w:val="en-US"/>
        </w:rPr>
        <w:t xml:space="preserve">Tab </w:t>
      </w:r>
      <w:r w:rsidR="004B727B" w:rsidRPr="004B727B">
        <w:rPr>
          <w:rFonts w:asciiTheme="minorHAnsi" w:hAnsiTheme="minorHAnsi" w:cstheme="minorHAnsi"/>
          <w:color w:val="000000" w:themeColor="text1"/>
          <w:u w:val="single"/>
          <w:lang w:val="en-US"/>
        </w:rPr>
        <w:t>01</w:t>
      </w:r>
      <w:r w:rsidRPr="004B727B">
        <w:rPr>
          <w:rFonts w:asciiTheme="minorHAnsi" w:hAnsiTheme="minorHAnsi" w:cstheme="minorHAnsi"/>
          <w:color w:val="000000" w:themeColor="text1"/>
          <w:u w:val="single"/>
          <w:lang w:val="en-US"/>
        </w:rPr>
        <w:t>:</w:t>
      </w:r>
      <w:r w:rsidRPr="004B727B">
        <w:rPr>
          <w:rFonts w:asciiTheme="minorHAnsi" w:hAnsiTheme="minorHAnsi" w:cstheme="minorHAnsi"/>
          <w:color w:val="000000" w:themeColor="text1"/>
          <w:lang w:val="en-US"/>
        </w:rPr>
        <w:t xml:space="preserve"> multivariate analysis of the mortality by logistic regression</w:t>
      </w:r>
    </w:p>
    <w:p w:rsidR="00886085" w:rsidRDefault="00F46AE8" w:rsidP="00803289">
      <w:pPr>
        <w:rPr>
          <w:rFonts w:asciiTheme="minorHAnsi" w:hAnsiTheme="minorHAnsi" w:cstheme="minorHAnsi"/>
          <w:bCs/>
          <w:lang w:val="en-US"/>
        </w:rPr>
      </w:pPr>
      <w:r w:rsidRPr="004B727B">
        <w:rPr>
          <w:rFonts w:asciiTheme="minorHAnsi" w:eastAsia="Calibri" w:hAnsiTheme="minorHAnsi" w:cstheme="minorHAnsi"/>
          <w:color w:val="000000" w:themeColor="text1"/>
          <w:lang w:val="en-US"/>
          <w14:ligatures w14:val="standardContextual"/>
        </w:rPr>
        <w:t xml:space="preserve">Initial logistic regression </w:t>
      </w:r>
      <w:r w:rsidR="00803289" w:rsidRPr="00803289">
        <w:rPr>
          <w:rFonts w:asciiTheme="minorHAnsi" w:eastAsia="Calibri" w:hAnsiTheme="minorHAnsi" w:cstheme="minorHAnsi"/>
          <w:color w:val="000000" w:themeColor="text1"/>
          <w:lang w:val="en-US"/>
          <w14:ligatures w14:val="standardContextual"/>
        </w:rPr>
        <w:t>model</w:t>
      </w:r>
      <w:r w:rsidR="00803289" w:rsidRPr="00803289">
        <w:rPr>
          <w:rFonts w:asciiTheme="minorHAnsi" w:hAnsiTheme="minorHAnsi" w:cstheme="minorHAnsi"/>
          <w:bCs/>
          <w:lang w:val="en-US"/>
        </w:rPr>
        <w:t>: Variables in the equation</w:t>
      </w:r>
    </w:p>
    <w:p w:rsidR="00803289" w:rsidRPr="00803289" w:rsidRDefault="00803289" w:rsidP="00803289">
      <w:pPr>
        <w:rPr>
          <w:rFonts w:asciiTheme="minorHAnsi" w:hAnsiTheme="minorHAnsi" w:cstheme="minorHAnsi"/>
          <w:u w:val="single"/>
          <w:lang w:val="en-US"/>
        </w:rPr>
      </w:pPr>
    </w:p>
    <w:tbl>
      <w:tblPr>
        <w:tblStyle w:val="Grilledutableau"/>
        <w:tblW w:w="10627" w:type="dxa"/>
        <w:jc w:val="center"/>
        <w:tblLayout w:type="fixed"/>
        <w:tblLook w:val="04A0" w:firstRow="1" w:lastRow="0" w:firstColumn="1" w:lastColumn="0" w:noHBand="0" w:noVBand="1"/>
      </w:tblPr>
      <w:tblGrid>
        <w:gridCol w:w="850"/>
        <w:gridCol w:w="1839"/>
        <w:gridCol w:w="992"/>
        <w:gridCol w:w="1139"/>
        <w:gridCol w:w="987"/>
        <w:gridCol w:w="542"/>
        <w:gridCol w:w="734"/>
        <w:gridCol w:w="1559"/>
        <w:gridCol w:w="992"/>
        <w:gridCol w:w="993"/>
      </w:tblGrid>
      <w:tr w:rsidR="00FA2032" w:rsidRPr="00C752DD" w:rsidTr="000939AA">
        <w:trPr>
          <w:trHeight w:val="371"/>
          <w:jc w:val="center"/>
        </w:trPr>
        <w:tc>
          <w:tcPr>
            <w:tcW w:w="2689" w:type="dxa"/>
            <w:gridSpan w:val="2"/>
            <w:vMerge w:val="restart"/>
          </w:tcPr>
          <w:p w:rsidR="00FA2032" w:rsidRPr="00C752DD" w:rsidRDefault="00FA2032" w:rsidP="00FA2032">
            <w:pPr>
              <w:rPr>
                <w:rFonts w:asciiTheme="minorHAnsi" w:hAnsiTheme="minorHAnsi" w:cstheme="minorHAnsi"/>
                <w:sz w:val="20"/>
                <w:szCs w:val="20"/>
                <w:lang w:val="en-US"/>
              </w:rPr>
            </w:pPr>
          </w:p>
        </w:tc>
        <w:tc>
          <w:tcPr>
            <w:tcW w:w="992" w:type="dxa"/>
            <w:vMerge w:val="restart"/>
          </w:tcPr>
          <w:p w:rsidR="00FA2032" w:rsidRPr="00C752DD" w:rsidRDefault="00FA2032" w:rsidP="00FA2032">
            <w:pPr>
              <w:jc w:val="center"/>
              <w:rPr>
                <w:rFonts w:asciiTheme="minorHAnsi" w:hAnsiTheme="minorHAnsi" w:cstheme="minorHAnsi"/>
                <w:sz w:val="20"/>
                <w:szCs w:val="20"/>
              </w:rPr>
            </w:pPr>
            <w:r w:rsidRPr="00C752DD">
              <w:rPr>
                <w:rFonts w:asciiTheme="minorHAnsi" w:hAnsiTheme="minorHAnsi" w:cstheme="minorHAnsi"/>
                <w:sz w:val="20"/>
                <w:szCs w:val="20"/>
                <w:lang w:val="en-US"/>
              </w:rPr>
              <w:t>A</w:t>
            </w:r>
          </w:p>
        </w:tc>
        <w:tc>
          <w:tcPr>
            <w:tcW w:w="1139" w:type="dxa"/>
            <w:vMerge w:val="restart"/>
          </w:tcPr>
          <w:p w:rsidR="00FA2032" w:rsidRPr="00C752DD" w:rsidRDefault="00FA2032" w:rsidP="00FA2032">
            <w:pPr>
              <w:jc w:val="center"/>
              <w:rPr>
                <w:rFonts w:asciiTheme="minorHAnsi" w:hAnsiTheme="minorHAnsi" w:cstheme="minorHAnsi"/>
                <w:sz w:val="20"/>
                <w:szCs w:val="20"/>
              </w:rPr>
            </w:pPr>
            <w:r w:rsidRPr="00C752DD">
              <w:rPr>
                <w:rFonts w:asciiTheme="minorHAnsi" w:hAnsiTheme="minorHAnsi" w:cstheme="minorHAnsi"/>
                <w:sz w:val="20"/>
                <w:szCs w:val="20"/>
                <w:lang w:val="en-US"/>
              </w:rPr>
              <w:t>E.S.</w:t>
            </w:r>
          </w:p>
        </w:tc>
        <w:tc>
          <w:tcPr>
            <w:tcW w:w="987" w:type="dxa"/>
            <w:vMerge w:val="restart"/>
          </w:tcPr>
          <w:p w:rsidR="00FA2032" w:rsidRPr="00C752DD" w:rsidRDefault="00FA2032" w:rsidP="00FA2032">
            <w:pPr>
              <w:jc w:val="center"/>
              <w:rPr>
                <w:rFonts w:asciiTheme="minorHAnsi" w:hAnsiTheme="minorHAnsi" w:cstheme="minorHAnsi"/>
                <w:sz w:val="20"/>
                <w:szCs w:val="20"/>
              </w:rPr>
            </w:pPr>
            <w:r w:rsidRPr="00C752DD">
              <w:rPr>
                <w:rFonts w:asciiTheme="minorHAnsi" w:hAnsiTheme="minorHAnsi" w:cstheme="minorHAnsi"/>
                <w:sz w:val="20"/>
                <w:szCs w:val="20"/>
                <w:lang w:val="en-US"/>
              </w:rPr>
              <w:t>Wald</w:t>
            </w:r>
          </w:p>
        </w:tc>
        <w:tc>
          <w:tcPr>
            <w:tcW w:w="542" w:type="dxa"/>
            <w:vMerge w:val="restart"/>
          </w:tcPr>
          <w:p w:rsidR="00FA2032" w:rsidRPr="00C752DD" w:rsidRDefault="00FA2032" w:rsidP="00FA2032">
            <w:pPr>
              <w:jc w:val="center"/>
              <w:rPr>
                <w:rFonts w:asciiTheme="minorHAnsi" w:hAnsiTheme="minorHAnsi" w:cstheme="minorHAnsi"/>
                <w:sz w:val="20"/>
                <w:szCs w:val="20"/>
              </w:rPr>
            </w:pPr>
            <w:proofErr w:type="spellStart"/>
            <w:r w:rsidRPr="00C752DD">
              <w:rPr>
                <w:rFonts w:asciiTheme="minorHAnsi" w:hAnsiTheme="minorHAnsi" w:cstheme="minorHAnsi"/>
                <w:sz w:val="20"/>
                <w:szCs w:val="20"/>
                <w:lang w:val="en-US"/>
              </w:rPr>
              <w:t>ddl</w:t>
            </w:r>
            <w:proofErr w:type="spellEnd"/>
          </w:p>
        </w:tc>
        <w:tc>
          <w:tcPr>
            <w:tcW w:w="734" w:type="dxa"/>
            <w:vMerge w:val="restart"/>
          </w:tcPr>
          <w:p w:rsidR="00FA2032" w:rsidRPr="00C752DD" w:rsidRDefault="00FA2032" w:rsidP="00FA2032">
            <w:pPr>
              <w:jc w:val="center"/>
              <w:rPr>
                <w:rFonts w:asciiTheme="minorHAnsi" w:hAnsiTheme="minorHAnsi" w:cstheme="minorHAnsi"/>
                <w:sz w:val="20"/>
                <w:szCs w:val="20"/>
              </w:rPr>
            </w:pPr>
            <w:r w:rsidRPr="00C752DD">
              <w:rPr>
                <w:rFonts w:asciiTheme="minorHAnsi" w:hAnsiTheme="minorHAnsi" w:cstheme="minorHAnsi"/>
                <w:sz w:val="20"/>
                <w:szCs w:val="20"/>
                <w:lang w:val="en-US"/>
              </w:rPr>
              <w:t>Sig.</w:t>
            </w:r>
          </w:p>
        </w:tc>
        <w:tc>
          <w:tcPr>
            <w:tcW w:w="1559" w:type="dxa"/>
            <w:vMerge w:val="restart"/>
          </w:tcPr>
          <w:p w:rsidR="00FA2032" w:rsidRPr="00C752DD" w:rsidRDefault="00FA2032" w:rsidP="00FA2032">
            <w:pPr>
              <w:jc w:val="center"/>
              <w:rPr>
                <w:rFonts w:asciiTheme="minorHAnsi" w:hAnsiTheme="minorHAnsi" w:cstheme="minorHAnsi"/>
                <w:sz w:val="20"/>
                <w:szCs w:val="20"/>
              </w:rPr>
            </w:pPr>
            <w:proofErr w:type="spellStart"/>
            <w:r w:rsidRPr="00C752DD">
              <w:rPr>
                <w:rFonts w:asciiTheme="minorHAnsi" w:hAnsiTheme="minorHAnsi" w:cstheme="minorHAnsi"/>
                <w:sz w:val="20"/>
                <w:szCs w:val="20"/>
                <w:lang w:val="en-US"/>
              </w:rPr>
              <w:t>Exp</w:t>
            </w:r>
            <w:proofErr w:type="spellEnd"/>
            <w:r w:rsidRPr="00C752DD">
              <w:rPr>
                <w:rFonts w:asciiTheme="minorHAnsi" w:hAnsiTheme="minorHAnsi" w:cstheme="minorHAnsi"/>
                <w:sz w:val="20"/>
                <w:szCs w:val="20"/>
                <w:lang w:val="en-US"/>
              </w:rPr>
              <w:t>(B)</w:t>
            </w:r>
          </w:p>
        </w:tc>
        <w:tc>
          <w:tcPr>
            <w:tcW w:w="1985" w:type="dxa"/>
            <w:gridSpan w:val="2"/>
          </w:tcPr>
          <w:p w:rsidR="00FA2032" w:rsidRPr="00C752DD" w:rsidRDefault="00083215" w:rsidP="00FA2032">
            <w:pPr>
              <w:jc w:val="center"/>
              <w:rPr>
                <w:rFonts w:asciiTheme="minorHAnsi" w:hAnsiTheme="minorHAnsi" w:cstheme="minorHAnsi"/>
                <w:sz w:val="20"/>
                <w:szCs w:val="20"/>
                <w:lang w:val="en-US"/>
              </w:rPr>
            </w:pPr>
            <w:r w:rsidRPr="00C752DD">
              <w:rPr>
                <w:rFonts w:asciiTheme="minorHAnsi" w:hAnsiTheme="minorHAnsi" w:cstheme="minorHAnsi"/>
                <w:sz w:val="20"/>
                <w:szCs w:val="20"/>
                <w:lang w:val="en-US"/>
              </w:rPr>
              <w:t xml:space="preserve">CI </w:t>
            </w:r>
            <w:proofErr w:type="spellStart"/>
            <w:r w:rsidR="00FA2032" w:rsidRPr="00C752DD">
              <w:rPr>
                <w:rFonts w:asciiTheme="minorHAnsi" w:hAnsiTheme="minorHAnsi" w:cstheme="minorHAnsi"/>
                <w:sz w:val="20"/>
                <w:szCs w:val="20"/>
                <w:lang w:val="en-US"/>
              </w:rPr>
              <w:t>Exp</w:t>
            </w:r>
            <w:proofErr w:type="spellEnd"/>
            <w:r w:rsidR="00FA2032" w:rsidRPr="00C752DD">
              <w:rPr>
                <w:rFonts w:asciiTheme="minorHAnsi" w:hAnsiTheme="minorHAnsi" w:cstheme="minorHAnsi"/>
                <w:sz w:val="20"/>
                <w:szCs w:val="20"/>
                <w:lang w:val="en-US"/>
              </w:rPr>
              <w:t xml:space="preserve"> (B) 95%</w:t>
            </w:r>
          </w:p>
        </w:tc>
      </w:tr>
      <w:tr w:rsidR="00FA2032" w:rsidRPr="00C752DD" w:rsidTr="000939AA">
        <w:trPr>
          <w:trHeight w:val="251"/>
          <w:jc w:val="center"/>
        </w:trPr>
        <w:tc>
          <w:tcPr>
            <w:tcW w:w="2689" w:type="dxa"/>
            <w:gridSpan w:val="2"/>
            <w:vMerge/>
          </w:tcPr>
          <w:p w:rsidR="00FA2032" w:rsidRPr="00C752DD" w:rsidRDefault="00FA2032" w:rsidP="00FA2032">
            <w:pPr>
              <w:rPr>
                <w:rFonts w:asciiTheme="minorHAnsi" w:hAnsiTheme="minorHAnsi" w:cstheme="minorHAnsi"/>
                <w:sz w:val="20"/>
                <w:szCs w:val="20"/>
              </w:rPr>
            </w:pPr>
          </w:p>
        </w:tc>
        <w:tc>
          <w:tcPr>
            <w:tcW w:w="992" w:type="dxa"/>
            <w:vMerge/>
          </w:tcPr>
          <w:p w:rsidR="00FA2032" w:rsidRPr="00C752DD" w:rsidRDefault="00FA2032" w:rsidP="00FA2032">
            <w:pPr>
              <w:jc w:val="center"/>
              <w:rPr>
                <w:rFonts w:asciiTheme="minorHAnsi" w:hAnsiTheme="minorHAnsi" w:cstheme="minorHAnsi"/>
                <w:sz w:val="20"/>
                <w:szCs w:val="20"/>
                <w:lang w:val="en-US"/>
              </w:rPr>
            </w:pPr>
          </w:p>
        </w:tc>
        <w:tc>
          <w:tcPr>
            <w:tcW w:w="1139" w:type="dxa"/>
            <w:vMerge/>
          </w:tcPr>
          <w:p w:rsidR="00FA2032" w:rsidRPr="00C752DD" w:rsidRDefault="00FA2032" w:rsidP="00FA2032">
            <w:pPr>
              <w:jc w:val="center"/>
              <w:rPr>
                <w:rFonts w:asciiTheme="minorHAnsi" w:hAnsiTheme="minorHAnsi" w:cstheme="minorHAnsi"/>
                <w:sz w:val="20"/>
                <w:szCs w:val="20"/>
                <w:lang w:val="en-US"/>
              </w:rPr>
            </w:pPr>
          </w:p>
        </w:tc>
        <w:tc>
          <w:tcPr>
            <w:tcW w:w="987" w:type="dxa"/>
            <w:vMerge/>
          </w:tcPr>
          <w:p w:rsidR="00FA2032" w:rsidRPr="00C752DD" w:rsidRDefault="00FA2032" w:rsidP="00FA2032">
            <w:pPr>
              <w:jc w:val="center"/>
              <w:rPr>
                <w:rFonts w:asciiTheme="minorHAnsi" w:hAnsiTheme="minorHAnsi" w:cstheme="minorHAnsi"/>
                <w:sz w:val="20"/>
                <w:szCs w:val="20"/>
                <w:lang w:val="en-US"/>
              </w:rPr>
            </w:pPr>
          </w:p>
        </w:tc>
        <w:tc>
          <w:tcPr>
            <w:tcW w:w="542" w:type="dxa"/>
            <w:vMerge/>
          </w:tcPr>
          <w:p w:rsidR="00FA2032" w:rsidRPr="00C752DD" w:rsidRDefault="00FA2032" w:rsidP="00FA2032">
            <w:pPr>
              <w:jc w:val="center"/>
              <w:rPr>
                <w:rFonts w:asciiTheme="minorHAnsi" w:hAnsiTheme="minorHAnsi" w:cstheme="minorHAnsi"/>
                <w:sz w:val="20"/>
                <w:szCs w:val="20"/>
                <w:lang w:val="en-US"/>
              </w:rPr>
            </w:pPr>
          </w:p>
        </w:tc>
        <w:tc>
          <w:tcPr>
            <w:tcW w:w="734" w:type="dxa"/>
            <w:vMerge/>
          </w:tcPr>
          <w:p w:rsidR="00FA2032" w:rsidRPr="00C752DD" w:rsidRDefault="00FA2032" w:rsidP="00FA2032">
            <w:pPr>
              <w:jc w:val="center"/>
              <w:rPr>
                <w:rFonts w:asciiTheme="minorHAnsi" w:hAnsiTheme="minorHAnsi" w:cstheme="minorHAnsi"/>
                <w:sz w:val="20"/>
                <w:szCs w:val="20"/>
                <w:lang w:val="en-US"/>
              </w:rPr>
            </w:pPr>
          </w:p>
        </w:tc>
        <w:tc>
          <w:tcPr>
            <w:tcW w:w="1559" w:type="dxa"/>
            <w:vMerge/>
          </w:tcPr>
          <w:p w:rsidR="00FA2032" w:rsidRPr="00C752DD" w:rsidRDefault="00FA2032" w:rsidP="00FA2032">
            <w:pPr>
              <w:jc w:val="center"/>
              <w:rPr>
                <w:rFonts w:asciiTheme="minorHAnsi" w:hAnsiTheme="minorHAnsi" w:cstheme="minorHAnsi"/>
                <w:sz w:val="20"/>
                <w:szCs w:val="20"/>
                <w:lang w:val="en-US"/>
              </w:rPr>
            </w:pPr>
          </w:p>
        </w:tc>
        <w:tc>
          <w:tcPr>
            <w:tcW w:w="992" w:type="dxa"/>
          </w:tcPr>
          <w:p w:rsidR="00FA2032" w:rsidRPr="00C752DD" w:rsidRDefault="00FA2032" w:rsidP="00FA2032">
            <w:pPr>
              <w:jc w:val="center"/>
              <w:rPr>
                <w:rFonts w:asciiTheme="minorHAnsi" w:hAnsiTheme="minorHAnsi" w:cstheme="minorHAnsi"/>
                <w:sz w:val="20"/>
                <w:szCs w:val="20"/>
              </w:rPr>
            </w:pPr>
            <w:r w:rsidRPr="00C752DD">
              <w:rPr>
                <w:rFonts w:asciiTheme="minorHAnsi" w:hAnsiTheme="minorHAnsi" w:cstheme="minorHAnsi"/>
                <w:sz w:val="20"/>
                <w:szCs w:val="20"/>
                <w:lang w:val="en-US"/>
              </w:rPr>
              <w:t>Inferior</w:t>
            </w:r>
          </w:p>
        </w:tc>
        <w:tc>
          <w:tcPr>
            <w:tcW w:w="993" w:type="dxa"/>
          </w:tcPr>
          <w:p w:rsidR="00FA2032" w:rsidRPr="00C752DD" w:rsidRDefault="00FA2032" w:rsidP="00FA2032">
            <w:pPr>
              <w:jc w:val="center"/>
              <w:rPr>
                <w:rFonts w:asciiTheme="minorHAnsi" w:hAnsiTheme="minorHAnsi" w:cstheme="minorHAnsi"/>
                <w:sz w:val="20"/>
                <w:szCs w:val="20"/>
              </w:rPr>
            </w:pPr>
            <w:r w:rsidRPr="00C752DD">
              <w:rPr>
                <w:rFonts w:asciiTheme="minorHAnsi" w:hAnsiTheme="minorHAnsi" w:cstheme="minorHAnsi"/>
                <w:sz w:val="20"/>
                <w:szCs w:val="20"/>
                <w:lang w:val="en-US"/>
              </w:rPr>
              <w:t>Superior</w:t>
            </w:r>
          </w:p>
        </w:tc>
      </w:tr>
      <w:tr w:rsidR="007539A9" w:rsidRPr="00C752DD" w:rsidTr="000939AA">
        <w:trPr>
          <w:trHeight w:val="251"/>
          <w:jc w:val="center"/>
        </w:trPr>
        <w:tc>
          <w:tcPr>
            <w:tcW w:w="850" w:type="dxa"/>
            <w:vMerge w:val="restart"/>
          </w:tcPr>
          <w:p w:rsidR="007539A9" w:rsidRPr="00C752DD" w:rsidRDefault="007539A9" w:rsidP="007539A9">
            <w:pPr>
              <w:rPr>
                <w:rFonts w:asciiTheme="minorHAnsi" w:hAnsiTheme="minorHAnsi" w:cstheme="minorHAnsi"/>
                <w:sz w:val="20"/>
                <w:szCs w:val="20"/>
              </w:rPr>
            </w:pPr>
          </w:p>
          <w:p w:rsidR="007539A9" w:rsidRPr="00C752DD" w:rsidRDefault="007539A9" w:rsidP="007539A9">
            <w:pPr>
              <w:rPr>
                <w:rFonts w:asciiTheme="minorHAnsi" w:hAnsiTheme="minorHAnsi" w:cstheme="minorHAnsi"/>
                <w:sz w:val="20"/>
                <w:szCs w:val="20"/>
              </w:rPr>
            </w:pPr>
          </w:p>
          <w:p w:rsidR="007539A9" w:rsidRPr="00C752DD" w:rsidRDefault="007539A9" w:rsidP="007539A9">
            <w:pPr>
              <w:rPr>
                <w:rFonts w:asciiTheme="minorHAnsi" w:hAnsiTheme="minorHAnsi" w:cstheme="minorHAnsi"/>
                <w:sz w:val="20"/>
                <w:szCs w:val="20"/>
              </w:rPr>
            </w:pPr>
          </w:p>
          <w:p w:rsidR="007539A9" w:rsidRPr="00C752DD" w:rsidRDefault="007539A9" w:rsidP="007539A9">
            <w:pPr>
              <w:rPr>
                <w:rFonts w:asciiTheme="minorHAnsi" w:hAnsiTheme="minorHAnsi" w:cstheme="minorHAnsi"/>
                <w:sz w:val="20"/>
                <w:szCs w:val="20"/>
              </w:rPr>
            </w:pPr>
          </w:p>
          <w:p w:rsidR="007539A9" w:rsidRPr="00C752DD" w:rsidRDefault="007539A9" w:rsidP="007539A9">
            <w:pPr>
              <w:rPr>
                <w:rFonts w:asciiTheme="minorHAnsi" w:hAnsiTheme="minorHAnsi" w:cstheme="minorHAnsi"/>
                <w:sz w:val="20"/>
                <w:szCs w:val="20"/>
              </w:rPr>
            </w:pPr>
          </w:p>
          <w:p w:rsidR="007539A9" w:rsidRPr="00C752DD" w:rsidRDefault="007539A9" w:rsidP="007539A9">
            <w:pPr>
              <w:rPr>
                <w:rFonts w:asciiTheme="minorHAnsi" w:hAnsiTheme="minorHAnsi" w:cstheme="minorHAnsi"/>
                <w:sz w:val="20"/>
                <w:szCs w:val="20"/>
              </w:rPr>
            </w:pPr>
          </w:p>
          <w:p w:rsidR="007539A9" w:rsidRPr="00C752DD" w:rsidRDefault="007539A9" w:rsidP="007539A9">
            <w:pPr>
              <w:rPr>
                <w:rFonts w:asciiTheme="minorHAnsi" w:hAnsiTheme="minorHAnsi" w:cstheme="minorHAnsi"/>
                <w:sz w:val="20"/>
                <w:szCs w:val="20"/>
              </w:rPr>
            </w:pPr>
          </w:p>
          <w:p w:rsidR="007539A9" w:rsidRPr="00C752DD" w:rsidRDefault="007539A9" w:rsidP="007539A9">
            <w:pPr>
              <w:rPr>
                <w:rFonts w:asciiTheme="minorHAnsi" w:hAnsiTheme="minorHAnsi" w:cstheme="minorHAnsi"/>
                <w:sz w:val="20"/>
                <w:szCs w:val="20"/>
              </w:rPr>
            </w:pPr>
          </w:p>
          <w:p w:rsidR="007539A9" w:rsidRPr="00C752DD" w:rsidRDefault="007539A9" w:rsidP="007539A9">
            <w:pPr>
              <w:rPr>
                <w:rFonts w:asciiTheme="minorHAnsi" w:hAnsiTheme="minorHAnsi" w:cstheme="minorHAnsi"/>
                <w:sz w:val="20"/>
                <w:szCs w:val="20"/>
              </w:rPr>
            </w:pPr>
          </w:p>
          <w:p w:rsidR="007539A9" w:rsidRPr="00C752DD" w:rsidRDefault="007539A9" w:rsidP="007539A9">
            <w:pPr>
              <w:rPr>
                <w:rFonts w:asciiTheme="minorHAnsi" w:hAnsiTheme="minorHAnsi" w:cstheme="minorHAnsi"/>
                <w:sz w:val="20"/>
                <w:szCs w:val="20"/>
              </w:rPr>
            </w:pPr>
          </w:p>
          <w:p w:rsidR="007539A9" w:rsidRPr="00C752DD" w:rsidRDefault="007539A9" w:rsidP="007539A9">
            <w:pPr>
              <w:rPr>
                <w:rFonts w:asciiTheme="minorHAnsi" w:hAnsiTheme="minorHAnsi" w:cstheme="minorHAnsi"/>
                <w:sz w:val="20"/>
                <w:szCs w:val="20"/>
              </w:rPr>
            </w:pPr>
            <w:proofErr w:type="spellStart"/>
            <w:r w:rsidRPr="00C752DD">
              <w:rPr>
                <w:rFonts w:asciiTheme="minorHAnsi" w:hAnsiTheme="minorHAnsi" w:cstheme="minorHAnsi"/>
                <w:sz w:val="20"/>
                <w:szCs w:val="20"/>
              </w:rPr>
              <w:t>Step</w:t>
            </w:r>
            <w:proofErr w:type="spellEnd"/>
            <w:r w:rsidRPr="00C752DD">
              <w:rPr>
                <w:rFonts w:asciiTheme="minorHAnsi" w:hAnsiTheme="minorHAnsi" w:cstheme="minorHAnsi"/>
                <w:sz w:val="20"/>
                <w:szCs w:val="20"/>
              </w:rPr>
              <w:t xml:space="preserve"> </w:t>
            </w:r>
            <w:r w:rsidRPr="00C752DD">
              <w:rPr>
                <w:rFonts w:asciiTheme="minorHAnsi" w:hAnsiTheme="minorHAnsi" w:cstheme="minorHAnsi"/>
                <w:sz w:val="20"/>
                <w:szCs w:val="20"/>
                <w:lang w:val="en-US"/>
              </w:rPr>
              <w:t>1</w:t>
            </w:r>
            <w:r w:rsidRPr="00C752DD">
              <w:rPr>
                <w:rFonts w:asciiTheme="minorHAnsi" w:hAnsiTheme="minorHAnsi" w:cstheme="minorHAnsi"/>
                <w:sz w:val="20"/>
                <w:szCs w:val="20"/>
                <w:vertAlign w:val="superscript"/>
                <w:lang w:val="en-US"/>
              </w:rPr>
              <w:t>a</w:t>
            </w:r>
          </w:p>
        </w:tc>
        <w:tc>
          <w:tcPr>
            <w:tcW w:w="1839" w:type="dxa"/>
            <w:vAlign w:val="center"/>
          </w:tcPr>
          <w:p w:rsidR="007539A9" w:rsidRPr="00C752DD" w:rsidRDefault="007539A9" w:rsidP="007539A9">
            <w:pPr>
              <w:jc w:val="both"/>
              <w:rPr>
                <w:rFonts w:asciiTheme="minorHAnsi" w:hAnsiTheme="minorHAnsi" w:cstheme="minorHAnsi"/>
                <w:sz w:val="20"/>
                <w:szCs w:val="20"/>
              </w:rPr>
            </w:pPr>
            <w:proofErr w:type="spellStart"/>
            <w:r w:rsidRPr="00C752DD">
              <w:rPr>
                <w:rFonts w:asciiTheme="minorHAnsi" w:hAnsiTheme="minorHAnsi" w:cstheme="minorHAnsi"/>
                <w:sz w:val="20"/>
                <w:szCs w:val="20"/>
                <w:lang w:val="en-US"/>
              </w:rPr>
              <w:t>Cardiaopathy</w:t>
            </w:r>
            <w:proofErr w:type="spellEnd"/>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3.858</w:t>
            </w:r>
          </w:p>
        </w:tc>
        <w:tc>
          <w:tcPr>
            <w:tcW w:w="113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13382.9</w:t>
            </w:r>
          </w:p>
        </w:tc>
        <w:tc>
          <w:tcPr>
            <w:tcW w:w="987"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.000</w:t>
            </w:r>
          </w:p>
        </w:tc>
        <w:tc>
          <w:tcPr>
            <w:tcW w:w="54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w:t>
            </w:r>
          </w:p>
        </w:tc>
        <w:tc>
          <w:tcPr>
            <w:tcW w:w="734"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1.00</w:t>
            </w:r>
          </w:p>
        </w:tc>
        <w:tc>
          <w:tcPr>
            <w:tcW w:w="155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47.390</w:t>
            </w:r>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.000</w:t>
            </w:r>
          </w:p>
        </w:tc>
        <w:tc>
          <w:tcPr>
            <w:tcW w:w="993"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w:t>
            </w:r>
          </w:p>
        </w:tc>
      </w:tr>
      <w:tr w:rsidR="007539A9" w:rsidRPr="00C752DD" w:rsidTr="000939AA">
        <w:trPr>
          <w:trHeight w:val="251"/>
          <w:jc w:val="center"/>
        </w:trPr>
        <w:tc>
          <w:tcPr>
            <w:tcW w:w="850" w:type="dxa"/>
            <w:vMerge/>
          </w:tcPr>
          <w:p w:rsidR="007539A9" w:rsidRPr="00C752DD" w:rsidRDefault="007539A9" w:rsidP="007539A9">
            <w:pPr>
              <w:rPr>
                <w:rFonts w:asciiTheme="minorHAnsi" w:hAnsiTheme="minorHAnsi" w:cstheme="minorHAnsi"/>
                <w:sz w:val="20"/>
                <w:szCs w:val="20"/>
              </w:rPr>
            </w:pPr>
          </w:p>
        </w:tc>
        <w:tc>
          <w:tcPr>
            <w:tcW w:w="1839" w:type="dxa"/>
            <w:vAlign w:val="center"/>
          </w:tcPr>
          <w:p w:rsidR="007539A9" w:rsidRPr="00C752DD" w:rsidRDefault="007539A9" w:rsidP="007539A9">
            <w:pPr>
              <w:jc w:val="both"/>
              <w:rPr>
                <w:rFonts w:asciiTheme="minorHAnsi" w:hAnsiTheme="minorHAnsi" w:cstheme="minorHAnsi"/>
                <w:sz w:val="20"/>
                <w:szCs w:val="20"/>
              </w:rPr>
            </w:pPr>
            <w:proofErr w:type="spellStart"/>
            <w:proofErr w:type="gramStart"/>
            <w:r w:rsidRPr="00C752DD">
              <w:rPr>
                <w:rFonts w:asciiTheme="minorHAnsi" w:hAnsiTheme="minorHAnsi" w:cstheme="minorHAnsi"/>
                <w:sz w:val="20"/>
                <w:szCs w:val="20"/>
                <w:lang w:val="en-US"/>
              </w:rPr>
              <w:t>A.stroke</w:t>
            </w:r>
            <w:proofErr w:type="spellEnd"/>
            <w:proofErr w:type="gramEnd"/>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-19.546</w:t>
            </w:r>
          </w:p>
        </w:tc>
        <w:tc>
          <w:tcPr>
            <w:tcW w:w="113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12950.5</w:t>
            </w:r>
          </w:p>
        </w:tc>
        <w:tc>
          <w:tcPr>
            <w:tcW w:w="987"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.000</w:t>
            </w:r>
          </w:p>
        </w:tc>
        <w:tc>
          <w:tcPr>
            <w:tcW w:w="54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w:t>
            </w:r>
          </w:p>
        </w:tc>
        <w:tc>
          <w:tcPr>
            <w:tcW w:w="734"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.999</w:t>
            </w:r>
          </w:p>
        </w:tc>
        <w:tc>
          <w:tcPr>
            <w:tcW w:w="155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.000</w:t>
            </w:r>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.000</w:t>
            </w:r>
          </w:p>
        </w:tc>
        <w:tc>
          <w:tcPr>
            <w:tcW w:w="993"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w:t>
            </w:r>
          </w:p>
        </w:tc>
      </w:tr>
      <w:tr w:rsidR="007539A9" w:rsidRPr="00C752DD" w:rsidTr="000939AA">
        <w:trPr>
          <w:trHeight w:val="251"/>
          <w:jc w:val="center"/>
        </w:trPr>
        <w:tc>
          <w:tcPr>
            <w:tcW w:w="850" w:type="dxa"/>
            <w:vMerge/>
          </w:tcPr>
          <w:p w:rsidR="007539A9" w:rsidRPr="00C752DD" w:rsidRDefault="007539A9" w:rsidP="007539A9">
            <w:pPr>
              <w:rPr>
                <w:rFonts w:asciiTheme="minorHAnsi" w:hAnsiTheme="minorHAnsi" w:cstheme="minorHAnsi"/>
                <w:sz w:val="20"/>
                <w:szCs w:val="20"/>
              </w:rPr>
            </w:pPr>
          </w:p>
        </w:tc>
        <w:tc>
          <w:tcPr>
            <w:tcW w:w="1839" w:type="dxa"/>
            <w:vAlign w:val="center"/>
          </w:tcPr>
          <w:p w:rsidR="007539A9" w:rsidRPr="00C752DD" w:rsidRDefault="007539A9" w:rsidP="007539A9">
            <w:pPr>
              <w:jc w:val="both"/>
              <w:rPr>
                <w:rFonts w:asciiTheme="minorHAnsi" w:hAnsiTheme="minorHAnsi" w:cstheme="minorHAnsi"/>
                <w:sz w:val="20"/>
                <w:szCs w:val="20"/>
              </w:rPr>
            </w:pPr>
            <w:proofErr w:type="spellStart"/>
            <w:proofErr w:type="gramStart"/>
            <w:r w:rsidRPr="00C752DD">
              <w:rPr>
                <w:rFonts w:asciiTheme="minorHAnsi" w:hAnsiTheme="minorHAnsi" w:cstheme="minorHAnsi"/>
                <w:sz w:val="20"/>
                <w:szCs w:val="20"/>
              </w:rPr>
              <w:t>hypoximiant</w:t>
            </w:r>
            <w:proofErr w:type="spellEnd"/>
            <w:proofErr w:type="gramEnd"/>
            <w:r w:rsidRPr="00C752DD">
              <w:rPr>
                <w:rFonts w:asciiTheme="minorHAnsi" w:hAnsiTheme="minorHAnsi" w:cstheme="minorHAnsi"/>
                <w:sz w:val="20"/>
                <w:szCs w:val="20"/>
              </w:rPr>
              <w:t xml:space="preserve"> </w:t>
            </w:r>
            <w:proofErr w:type="spellStart"/>
            <w:r w:rsidRPr="00C752DD">
              <w:rPr>
                <w:rFonts w:asciiTheme="minorHAnsi" w:hAnsiTheme="minorHAnsi" w:cstheme="minorHAnsi"/>
                <w:sz w:val="20"/>
                <w:szCs w:val="20"/>
              </w:rPr>
              <w:t>pneumonia</w:t>
            </w:r>
            <w:proofErr w:type="spellEnd"/>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6.034</w:t>
            </w:r>
          </w:p>
        </w:tc>
        <w:tc>
          <w:tcPr>
            <w:tcW w:w="113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2.48</w:t>
            </w:r>
          </w:p>
        </w:tc>
        <w:tc>
          <w:tcPr>
            <w:tcW w:w="987"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5.91</w:t>
            </w:r>
          </w:p>
        </w:tc>
        <w:tc>
          <w:tcPr>
            <w:tcW w:w="54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w:t>
            </w:r>
          </w:p>
        </w:tc>
        <w:tc>
          <w:tcPr>
            <w:tcW w:w="734"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.015</w:t>
            </w:r>
          </w:p>
        </w:tc>
        <w:tc>
          <w:tcPr>
            <w:tcW w:w="155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417.229</w:t>
            </w:r>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3.22</w:t>
            </w:r>
          </w:p>
        </w:tc>
        <w:tc>
          <w:tcPr>
            <w:tcW w:w="993"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54070.</w:t>
            </w:r>
            <w:r w:rsidR="002D7C80" w:rsidRPr="00C752DD">
              <w:rPr>
                <w:rFonts w:asciiTheme="minorHAnsi" w:hAnsiTheme="minorHAnsi" w:cstheme="minorHAnsi"/>
                <w:color w:val="000000" w:themeColor="text1"/>
                <w:kern w:val="24"/>
                <w:sz w:val="20"/>
                <w:szCs w:val="20"/>
                <w:lang w:val="en-US"/>
              </w:rPr>
              <w:t>1</w:t>
            </w:r>
          </w:p>
        </w:tc>
      </w:tr>
      <w:tr w:rsidR="007539A9" w:rsidRPr="00C752DD" w:rsidTr="000939AA">
        <w:trPr>
          <w:trHeight w:val="251"/>
          <w:jc w:val="center"/>
        </w:trPr>
        <w:tc>
          <w:tcPr>
            <w:tcW w:w="850" w:type="dxa"/>
            <w:vMerge/>
          </w:tcPr>
          <w:p w:rsidR="007539A9" w:rsidRPr="00C752DD" w:rsidRDefault="007539A9" w:rsidP="007539A9">
            <w:pPr>
              <w:rPr>
                <w:rFonts w:asciiTheme="minorHAnsi" w:hAnsiTheme="minorHAnsi" w:cstheme="minorHAnsi"/>
                <w:sz w:val="20"/>
                <w:szCs w:val="20"/>
              </w:rPr>
            </w:pPr>
          </w:p>
        </w:tc>
        <w:tc>
          <w:tcPr>
            <w:tcW w:w="1839" w:type="dxa"/>
            <w:vAlign w:val="center"/>
          </w:tcPr>
          <w:p w:rsidR="007539A9" w:rsidRPr="00C752DD" w:rsidRDefault="007539A9" w:rsidP="007539A9">
            <w:pPr>
              <w:jc w:val="both"/>
              <w:rPr>
                <w:rFonts w:asciiTheme="minorHAnsi" w:hAnsiTheme="minorHAnsi" w:cstheme="minorHAnsi"/>
                <w:sz w:val="20"/>
                <w:szCs w:val="20"/>
              </w:rPr>
            </w:pPr>
            <w:r w:rsidRPr="00C752DD">
              <w:rPr>
                <w:rFonts w:asciiTheme="minorHAnsi" w:hAnsiTheme="minorHAnsi" w:cstheme="minorHAnsi"/>
                <w:sz w:val="20"/>
                <w:szCs w:val="20"/>
                <w:lang w:val="en-US"/>
              </w:rPr>
              <w:t>PAVM</w:t>
            </w:r>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-15.10</w:t>
            </w:r>
          </w:p>
        </w:tc>
        <w:tc>
          <w:tcPr>
            <w:tcW w:w="113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3374.11</w:t>
            </w:r>
          </w:p>
        </w:tc>
        <w:tc>
          <w:tcPr>
            <w:tcW w:w="987"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.000</w:t>
            </w:r>
          </w:p>
        </w:tc>
        <w:tc>
          <w:tcPr>
            <w:tcW w:w="54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w:t>
            </w:r>
          </w:p>
        </w:tc>
        <w:tc>
          <w:tcPr>
            <w:tcW w:w="734"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.996</w:t>
            </w:r>
          </w:p>
        </w:tc>
        <w:tc>
          <w:tcPr>
            <w:tcW w:w="155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.000</w:t>
            </w:r>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.000</w:t>
            </w:r>
          </w:p>
        </w:tc>
        <w:tc>
          <w:tcPr>
            <w:tcW w:w="993"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w:t>
            </w:r>
          </w:p>
        </w:tc>
      </w:tr>
      <w:tr w:rsidR="007539A9" w:rsidRPr="00C752DD" w:rsidTr="000939AA">
        <w:trPr>
          <w:trHeight w:val="251"/>
          <w:jc w:val="center"/>
        </w:trPr>
        <w:tc>
          <w:tcPr>
            <w:tcW w:w="850" w:type="dxa"/>
            <w:vMerge/>
          </w:tcPr>
          <w:p w:rsidR="007539A9" w:rsidRPr="00C752DD" w:rsidRDefault="007539A9" w:rsidP="007539A9">
            <w:pPr>
              <w:rPr>
                <w:rFonts w:asciiTheme="minorHAnsi" w:hAnsiTheme="minorHAnsi" w:cstheme="minorHAnsi"/>
                <w:sz w:val="20"/>
                <w:szCs w:val="20"/>
              </w:rPr>
            </w:pPr>
          </w:p>
        </w:tc>
        <w:tc>
          <w:tcPr>
            <w:tcW w:w="1839" w:type="dxa"/>
            <w:vAlign w:val="center"/>
          </w:tcPr>
          <w:p w:rsidR="007539A9" w:rsidRPr="00C752DD" w:rsidRDefault="007539A9" w:rsidP="007539A9">
            <w:pPr>
              <w:jc w:val="both"/>
              <w:rPr>
                <w:rFonts w:asciiTheme="minorHAnsi" w:hAnsiTheme="minorHAnsi" w:cstheme="minorHAnsi"/>
                <w:sz w:val="20"/>
                <w:szCs w:val="20"/>
              </w:rPr>
            </w:pPr>
            <w:proofErr w:type="spellStart"/>
            <w:r w:rsidRPr="00C752DD">
              <w:rPr>
                <w:rFonts w:asciiTheme="minorHAnsi" w:hAnsiTheme="minorHAnsi" w:cstheme="minorHAnsi"/>
                <w:sz w:val="20"/>
                <w:szCs w:val="20"/>
                <w:lang w:val="en-US"/>
              </w:rPr>
              <w:t>T_cran</w:t>
            </w:r>
            <w:proofErr w:type="spellEnd"/>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-1.062</w:t>
            </w:r>
          </w:p>
        </w:tc>
        <w:tc>
          <w:tcPr>
            <w:tcW w:w="113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2.31</w:t>
            </w:r>
          </w:p>
        </w:tc>
        <w:tc>
          <w:tcPr>
            <w:tcW w:w="987"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.21</w:t>
            </w:r>
          </w:p>
        </w:tc>
        <w:tc>
          <w:tcPr>
            <w:tcW w:w="54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w:t>
            </w:r>
          </w:p>
        </w:tc>
        <w:tc>
          <w:tcPr>
            <w:tcW w:w="734"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.645</w:t>
            </w:r>
          </w:p>
        </w:tc>
        <w:tc>
          <w:tcPr>
            <w:tcW w:w="155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.346</w:t>
            </w:r>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.004</w:t>
            </w:r>
          </w:p>
        </w:tc>
        <w:tc>
          <w:tcPr>
            <w:tcW w:w="993"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31.</w:t>
            </w:r>
            <w:r w:rsidR="002D7C80" w:rsidRPr="00C752DD">
              <w:rPr>
                <w:rFonts w:asciiTheme="minorHAnsi" w:hAnsiTheme="minorHAnsi" w:cstheme="minorHAnsi"/>
                <w:color w:val="000000" w:themeColor="text1"/>
                <w:kern w:val="24"/>
                <w:sz w:val="20"/>
                <w:szCs w:val="20"/>
                <w:lang w:val="en-US"/>
              </w:rPr>
              <w:t>9</w:t>
            </w:r>
          </w:p>
        </w:tc>
      </w:tr>
      <w:tr w:rsidR="007539A9" w:rsidRPr="00C752DD" w:rsidTr="000939AA">
        <w:trPr>
          <w:trHeight w:val="251"/>
          <w:jc w:val="center"/>
        </w:trPr>
        <w:tc>
          <w:tcPr>
            <w:tcW w:w="850" w:type="dxa"/>
            <w:vMerge/>
          </w:tcPr>
          <w:p w:rsidR="007539A9" w:rsidRPr="00C752DD" w:rsidRDefault="007539A9" w:rsidP="007539A9">
            <w:pPr>
              <w:rPr>
                <w:rFonts w:asciiTheme="minorHAnsi" w:hAnsiTheme="minorHAnsi" w:cstheme="minorHAnsi"/>
                <w:sz w:val="20"/>
                <w:szCs w:val="20"/>
              </w:rPr>
            </w:pPr>
          </w:p>
        </w:tc>
        <w:tc>
          <w:tcPr>
            <w:tcW w:w="1839" w:type="dxa"/>
            <w:vAlign w:val="center"/>
          </w:tcPr>
          <w:p w:rsidR="007539A9" w:rsidRPr="00C752DD" w:rsidRDefault="007539A9" w:rsidP="007539A9">
            <w:pPr>
              <w:jc w:val="both"/>
              <w:rPr>
                <w:rFonts w:asciiTheme="minorHAnsi" w:hAnsiTheme="minorHAnsi" w:cstheme="minorHAnsi"/>
                <w:sz w:val="20"/>
                <w:szCs w:val="20"/>
              </w:rPr>
            </w:pPr>
            <w:proofErr w:type="spellStart"/>
            <w:r w:rsidRPr="00C752DD">
              <w:rPr>
                <w:rFonts w:asciiTheme="minorHAnsi" w:hAnsiTheme="minorHAnsi" w:cstheme="minorHAnsi"/>
                <w:sz w:val="20"/>
                <w:szCs w:val="20"/>
                <w:lang w:val="en-US"/>
              </w:rPr>
              <w:t>P_traum</w:t>
            </w:r>
            <w:proofErr w:type="spellEnd"/>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3.44</w:t>
            </w:r>
          </w:p>
        </w:tc>
        <w:tc>
          <w:tcPr>
            <w:tcW w:w="113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3.10</w:t>
            </w:r>
          </w:p>
        </w:tc>
        <w:tc>
          <w:tcPr>
            <w:tcW w:w="987"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1.23</w:t>
            </w:r>
          </w:p>
        </w:tc>
        <w:tc>
          <w:tcPr>
            <w:tcW w:w="54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w:t>
            </w:r>
          </w:p>
        </w:tc>
        <w:tc>
          <w:tcPr>
            <w:tcW w:w="734"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.267</w:t>
            </w:r>
          </w:p>
        </w:tc>
        <w:tc>
          <w:tcPr>
            <w:tcW w:w="155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31.306</w:t>
            </w:r>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.071</w:t>
            </w:r>
          </w:p>
        </w:tc>
        <w:tc>
          <w:tcPr>
            <w:tcW w:w="993"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13711.4</w:t>
            </w:r>
          </w:p>
        </w:tc>
      </w:tr>
      <w:tr w:rsidR="007539A9" w:rsidRPr="00C752DD" w:rsidTr="000939AA">
        <w:trPr>
          <w:trHeight w:val="251"/>
          <w:jc w:val="center"/>
        </w:trPr>
        <w:tc>
          <w:tcPr>
            <w:tcW w:w="850" w:type="dxa"/>
            <w:vMerge/>
          </w:tcPr>
          <w:p w:rsidR="007539A9" w:rsidRPr="00C752DD" w:rsidRDefault="007539A9" w:rsidP="007539A9">
            <w:pPr>
              <w:rPr>
                <w:rFonts w:asciiTheme="minorHAnsi" w:hAnsiTheme="minorHAnsi" w:cstheme="minorHAnsi"/>
                <w:sz w:val="20"/>
                <w:szCs w:val="20"/>
              </w:rPr>
            </w:pPr>
          </w:p>
        </w:tc>
        <w:tc>
          <w:tcPr>
            <w:tcW w:w="1839" w:type="dxa"/>
            <w:vAlign w:val="center"/>
          </w:tcPr>
          <w:p w:rsidR="007539A9" w:rsidRPr="00C752DD" w:rsidRDefault="007539A9" w:rsidP="007539A9">
            <w:pPr>
              <w:jc w:val="both"/>
              <w:rPr>
                <w:rFonts w:asciiTheme="minorHAnsi" w:hAnsiTheme="minorHAnsi" w:cstheme="minorHAnsi"/>
                <w:sz w:val="20"/>
                <w:szCs w:val="20"/>
              </w:rPr>
            </w:pPr>
            <w:proofErr w:type="spellStart"/>
            <w:r w:rsidRPr="00C752DD">
              <w:rPr>
                <w:rFonts w:asciiTheme="minorHAnsi" w:hAnsiTheme="minorHAnsi" w:cstheme="minorHAnsi"/>
                <w:sz w:val="20"/>
                <w:szCs w:val="20"/>
                <w:lang w:val="en-US"/>
              </w:rPr>
              <w:t>P_aigue</w:t>
            </w:r>
            <w:proofErr w:type="spellEnd"/>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3.78</w:t>
            </w:r>
          </w:p>
        </w:tc>
        <w:tc>
          <w:tcPr>
            <w:tcW w:w="113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2.25</w:t>
            </w:r>
          </w:p>
        </w:tc>
        <w:tc>
          <w:tcPr>
            <w:tcW w:w="987"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2.84</w:t>
            </w:r>
          </w:p>
        </w:tc>
        <w:tc>
          <w:tcPr>
            <w:tcW w:w="54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w:t>
            </w:r>
          </w:p>
        </w:tc>
        <w:tc>
          <w:tcPr>
            <w:tcW w:w="734"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.092</w:t>
            </w:r>
          </w:p>
        </w:tc>
        <w:tc>
          <w:tcPr>
            <w:tcW w:w="155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43.963</w:t>
            </w:r>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.5</w:t>
            </w:r>
            <w:r w:rsidR="002D7C80" w:rsidRPr="00C752DD">
              <w:rPr>
                <w:rFonts w:asciiTheme="minorHAnsi" w:hAnsiTheme="minorHAnsi" w:cstheme="minorHAnsi"/>
                <w:color w:val="000000" w:themeColor="text1"/>
                <w:kern w:val="24"/>
                <w:sz w:val="20"/>
                <w:szCs w:val="20"/>
                <w:lang w:val="en-US"/>
              </w:rPr>
              <w:t>4</w:t>
            </w:r>
          </w:p>
        </w:tc>
        <w:tc>
          <w:tcPr>
            <w:tcW w:w="993"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3593.2</w:t>
            </w:r>
            <w:r w:rsidR="002D7C80" w:rsidRPr="00C752DD">
              <w:rPr>
                <w:rFonts w:asciiTheme="minorHAnsi" w:hAnsiTheme="minorHAnsi" w:cstheme="minorHAnsi"/>
                <w:color w:val="000000" w:themeColor="text1"/>
                <w:kern w:val="24"/>
                <w:sz w:val="20"/>
                <w:szCs w:val="20"/>
                <w:lang w:val="en-US"/>
              </w:rPr>
              <w:t>1</w:t>
            </w:r>
          </w:p>
        </w:tc>
      </w:tr>
      <w:tr w:rsidR="007539A9" w:rsidRPr="00C752DD" w:rsidTr="000939AA">
        <w:trPr>
          <w:trHeight w:val="251"/>
          <w:jc w:val="center"/>
        </w:trPr>
        <w:tc>
          <w:tcPr>
            <w:tcW w:w="850" w:type="dxa"/>
            <w:vMerge/>
          </w:tcPr>
          <w:p w:rsidR="007539A9" w:rsidRPr="00C752DD" w:rsidRDefault="007539A9" w:rsidP="007539A9">
            <w:pPr>
              <w:rPr>
                <w:rFonts w:asciiTheme="minorHAnsi" w:hAnsiTheme="minorHAnsi" w:cstheme="minorHAnsi"/>
                <w:sz w:val="20"/>
                <w:szCs w:val="20"/>
              </w:rPr>
            </w:pPr>
          </w:p>
        </w:tc>
        <w:tc>
          <w:tcPr>
            <w:tcW w:w="1839" w:type="dxa"/>
            <w:vAlign w:val="center"/>
          </w:tcPr>
          <w:p w:rsidR="007539A9" w:rsidRPr="00C752DD" w:rsidRDefault="007539A9" w:rsidP="007539A9">
            <w:pPr>
              <w:jc w:val="both"/>
              <w:rPr>
                <w:rFonts w:asciiTheme="minorHAnsi" w:hAnsiTheme="minorHAnsi" w:cstheme="minorHAnsi"/>
                <w:sz w:val="20"/>
                <w:szCs w:val="20"/>
              </w:rPr>
            </w:pPr>
            <w:proofErr w:type="spellStart"/>
            <w:r w:rsidRPr="00C752DD">
              <w:rPr>
                <w:rFonts w:asciiTheme="minorHAnsi" w:hAnsiTheme="minorHAnsi" w:cstheme="minorHAnsi"/>
                <w:sz w:val="20"/>
                <w:szCs w:val="20"/>
                <w:lang w:val="en-US"/>
              </w:rPr>
              <w:t>E_aigue</w:t>
            </w:r>
            <w:proofErr w:type="spellEnd"/>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-18.27</w:t>
            </w:r>
          </w:p>
        </w:tc>
        <w:tc>
          <w:tcPr>
            <w:tcW w:w="113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3374.12</w:t>
            </w:r>
          </w:p>
        </w:tc>
        <w:tc>
          <w:tcPr>
            <w:tcW w:w="987"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.000</w:t>
            </w:r>
          </w:p>
        </w:tc>
        <w:tc>
          <w:tcPr>
            <w:tcW w:w="54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w:t>
            </w:r>
          </w:p>
        </w:tc>
        <w:tc>
          <w:tcPr>
            <w:tcW w:w="734"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.996</w:t>
            </w:r>
          </w:p>
        </w:tc>
        <w:tc>
          <w:tcPr>
            <w:tcW w:w="155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.000</w:t>
            </w:r>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.000</w:t>
            </w:r>
          </w:p>
        </w:tc>
        <w:tc>
          <w:tcPr>
            <w:tcW w:w="993"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w:t>
            </w:r>
          </w:p>
        </w:tc>
      </w:tr>
      <w:tr w:rsidR="007539A9" w:rsidRPr="00C752DD" w:rsidTr="000939AA">
        <w:trPr>
          <w:trHeight w:val="251"/>
          <w:jc w:val="center"/>
        </w:trPr>
        <w:tc>
          <w:tcPr>
            <w:tcW w:w="850" w:type="dxa"/>
            <w:vMerge/>
          </w:tcPr>
          <w:p w:rsidR="007539A9" w:rsidRPr="00C752DD" w:rsidRDefault="007539A9" w:rsidP="007539A9">
            <w:pPr>
              <w:rPr>
                <w:rFonts w:asciiTheme="minorHAnsi" w:hAnsiTheme="minorHAnsi" w:cstheme="minorHAnsi"/>
                <w:sz w:val="20"/>
                <w:szCs w:val="20"/>
              </w:rPr>
            </w:pPr>
          </w:p>
        </w:tc>
        <w:tc>
          <w:tcPr>
            <w:tcW w:w="1839" w:type="dxa"/>
            <w:vAlign w:val="center"/>
          </w:tcPr>
          <w:p w:rsidR="007539A9" w:rsidRPr="00C752DD" w:rsidRDefault="007539A9" w:rsidP="007539A9">
            <w:pPr>
              <w:jc w:val="both"/>
              <w:rPr>
                <w:rFonts w:asciiTheme="minorHAnsi" w:hAnsiTheme="minorHAnsi" w:cstheme="minorHAnsi"/>
                <w:sz w:val="20"/>
                <w:szCs w:val="20"/>
              </w:rPr>
            </w:pPr>
            <w:proofErr w:type="spellStart"/>
            <w:r w:rsidRPr="00C752DD">
              <w:rPr>
                <w:rFonts w:asciiTheme="minorHAnsi" w:hAnsiTheme="minorHAnsi" w:cstheme="minorHAnsi"/>
                <w:sz w:val="20"/>
                <w:szCs w:val="20"/>
                <w:lang w:val="en-US"/>
              </w:rPr>
              <w:t>A_souches</w:t>
            </w:r>
            <w:proofErr w:type="spellEnd"/>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1.57</w:t>
            </w:r>
          </w:p>
        </w:tc>
        <w:tc>
          <w:tcPr>
            <w:tcW w:w="113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1.43</w:t>
            </w:r>
          </w:p>
        </w:tc>
        <w:tc>
          <w:tcPr>
            <w:tcW w:w="987"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1.21</w:t>
            </w:r>
          </w:p>
        </w:tc>
        <w:tc>
          <w:tcPr>
            <w:tcW w:w="54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w:t>
            </w:r>
          </w:p>
        </w:tc>
        <w:tc>
          <w:tcPr>
            <w:tcW w:w="734"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.271</w:t>
            </w:r>
          </w:p>
        </w:tc>
        <w:tc>
          <w:tcPr>
            <w:tcW w:w="155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4.817</w:t>
            </w:r>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.29</w:t>
            </w:r>
          </w:p>
        </w:tc>
        <w:tc>
          <w:tcPr>
            <w:tcW w:w="993"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7</w:t>
            </w:r>
            <w:r w:rsidR="002D7C80" w:rsidRPr="00C752DD">
              <w:rPr>
                <w:rFonts w:asciiTheme="minorHAnsi" w:hAnsiTheme="minorHAnsi" w:cstheme="minorHAnsi"/>
                <w:color w:val="000000" w:themeColor="text1"/>
                <w:kern w:val="24"/>
                <w:sz w:val="20"/>
                <w:szCs w:val="20"/>
                <w:lang w:val="en-US"/>
              </w:rPr>
              <w:t>9</w:t>
            </w:r>
          </w:p>
        </w:tc>
      </w:tr>
      <w:tr w:rsidR="007539A9" w:rsidRPr="00C752DD" w:rsidTr="000939AA">
        <w:trPr>
          <w:trHeight w:val="251"/>
          <w:jc w:val="center"/>
        </w:trPr>
        <w:tc>
          <w:tcPr>
            <w:tcW w:w="850" w:type="dxa"/>
            <w:vMerge/>
          </w:tcPr>
          <w:p w:rsidR="007539A9" w:rsidRPr="00C752DD" w:rsidRDefault="007539A9" w:rsidP="007539A9">
            <w:pPr>
              <w:rPr>
                <w:rFonts w:asciiTheme="minorHAnsi" w:hAnsiTheme="minorHAnsi" w:cstheme="minorHAnsi"/>
                <w:sz w:val="20"/>
                <w:szCs w:val="20"/>
              </w:rPr>
            </w:pPr>
          </w:p>
        </w:tc>
        <w:tc>
          <w:tcPr>
            <w:tcW w:w="1839" w:type="dxa"/>
            <w:vAlign w:val="center"/>
          </w:tcPr>
          <w:p w:rsidR="007539A9" w:rsidRPr="00C752DD" w:rsidRDefault="007539A9" w:rsidP="007539A9">
            <w:pPr>
              <w:rPr>
                <w:rFonts w:asciiTheme="minorHAnsi" w:hAnsiTheme="minorHAnsi" w:cstheme="minorHAnsi"/>
                <w:sz w:val="20"/>
                <w:szCs w:val="20"/>
              </w:rPr>
            </w:pPr>
            <w:proofErr w:type="spellStart"/>
            <w:proofErr w:type="gramStart"/>
            <w:r w:rsidRPr="00C752DD">
              <w:rPr>
                <w:rFonts w:asciiTheme="minorHAnsi" w:hAnsiTheme="minorHAnsi" w:cstheme="minorHAnsi"/>
                <w:sz w:val="20"/>
                <w:szCs w:val="20"/>
              </w:rPr>
              <w:t>K.pneumonae</w:t>
            </w:r>
            <w:proofErr w:type="spellEnd"/>
            <w:proofErr w:type="gramEnd"/>
            <w:r w:rsidR="009C54EA">
              <w:rPr>
                <w:rFonts w:asciiTheme="minorHAnsi" w:hAnsiTheme="minorHAnsi" w:cstheme="minorHAnsi"/>
                <w:sz w:val="20"/>
                <w:szCs w:val="20"/>
              </w:rPr>
              <w:t xml:space="preserve"> </w:t>
            </w:r>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2.71</w:t>
            </w:r>
          </w:p>
        </w:tc>
        <w:tc>
          <w:tcPr>
            <w:tcW w:w="113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1.37</w:t>
            </w:r>
          </w:p>
        </w:tc>
        <w:tc>
          <w:tcPr>
            <w:tcW w:w="987"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3.92</w:t>
            </w:r>
          </w:p>
        </w:tc>
        <w:tc>
          <w:tcPr>
            <w:tcW w:w="54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w:t>
            </w:r>
          </w:p>
        </w:tc>
        <w:tc>
          <w:tcPr>
            <w:tcW w:w="734"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.048</w:t>
            </w:r>
          </w:p>
        </w:tc>
        <w:tc>
          <w:tcPr>
            <w:tcW w:w="155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15.012</w:t>
            </w:r>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1.0</w:t>
            </w:r>
            <w:r w:rsidR="002D7C80" w:rsidRPr="00C752DD">
              <w:rPr>
                <w:rFonts w:asciiTheme="minorHAnsi" w:hAnsiTheme="minorHAnsi" w:cstheme="minorHAnsi"/>
                <w:color w:val="000000" w:themeColor="text1"/>
                <w:kern w:val="24"/>
                <w:sz w:val="20"/>
                <w:szCs w:val="20"/>
                <w:lang w:val="en-US"/>
              </w:rPr>
              <w:t>3</w:t>
            </w:r>
          </w:p>
        </w:tc>
        <w:tc>
          <w:tcPr>
            <w:tcW w:w="993"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219.</w:t>
            </w:r>
            <w:r w:rsidR="008C657A" w:rsidRPr="00C752DD">
              <w:rPr>
                <w:rFonts w:asciiTheme="minorHAnsi" w:hAnsiTheme="minorHAnsi" w:cstheme="minorHAnsi"/>
                <w:color w:val="000000" w:themeColor="text1"/>
                <w:kern w:val="24"/>
                <w:sz w:val="20"/>
                <w:szCs w:val="20"/>
                <w:lang w:val="en-US"/>
              </w:rPr>
              <w:t>6</w:t>
            </w:r>
          </w:p>
        </w:tc>
      </w:tr>
      <w:tr w:rsidR="007539A9" w:rsidRPr="00C752DD" w:rsidTr="000939AA">
        <w:trPr>
          <w:trHeight w:val="251"/>
          <w:jc w:val="center"/>
        </w:trPr>
        <w:tc>
          <w:tcPr>
            <w:tcW w:w="850" w:type="dxa"/>
            <w:vMerge/>
          </w:tcPr>
          <w:p w:rsidR="007539A9" w:rsidRPr="00C752DD" w:rsidRDefault="007539A9" w:rsidP="007539A9">
            <w:pPr>
              <w:rPr>
                <w:rFonts w:asciiTheme="minorHAnsi" w:hAnsiTheme="minorHAnsi" w:cstheme="minorHAnsi"/>
                <w:sz w:val="20"/>
                <w:szCs w:val="20"/>
              </w:rPr>
            </w:pPr>
          </w:p>
        </w:tc>
        <w:tc>
          <w:tcPr>
            <w:tcW w:w="1839" w:type="dxa"/>
            <w:vAlign w:val="center"/>
          </w:tcPr>
          <w:p w:rsidR="007539A9" w:rsidRPr="00C752DD" w:rsidRDefault="007539A9" w:rsidP="007539A9">
            <w:pPr>
              <w:jc w:val="both"/>
              <w:rPr>
                <w:rFonts w:asciiTheme="minorHAnsi" w:hAnsiTheme="minorHAnsi" w:cstheme="minorHAnsi"/>
                <w:sz w:val="20"/>
                <w:szCs w:val="20"/>
              </w:rPr>
            </w:pPr>
            <w:proofErr w:type="spellStart"/>
            <w:r w:rsidRPr="00C752DD">
              <w:rPr>
                <w:rFonts w:asciiTheme="minorHAnsi" w:hAnsiTheme="minorHAnsi" w:cstheme="minorHAnsi"/>
                <w:sz w:val="20"/>
                <w:szCs w:val="20"/>
              </w:rPr>
              <w:t>Urinary</w:t>
            </w:r>
            <w:proofErr w:type="spellEnd"/>
            <w:r w:rsidRPr="00C752DD">
              <w:rPr>
                <w:rFonts w:asciiTheme="minorHAnsi" w:hAnsiTheme="minorHAnsi" w:cstheme="minorHAnsi"/>
                <w:sz w:val="20"/>
                <w:szCs w:val="20"/>
              </w:rPr>
              <w:t xml:space="preserve"> sepsis</w:t>
            </w:r>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4.94</w:t>
            </w:r>
          </w:p>
        </w:tc>
        <w:tc>
          <w:tcPr>
            <w:tcW w:w="113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2.38</w:t>
            </w:r>
          </w:p>
        </w:tc>
        <w:tc>
          <w:tcPr>
            <w:tcW w:w="987"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4.30</w:t>
            </w:r>
          </w:p>
        </w:tc>
        <w:tc>
          <w:tcPr>
            <w:tcW w:w="54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w:t>
            </w:r>
          </w:p>
        </w:tc>
        <w:tc>
          <w:tcPr>
            <w:tcW w:w="734"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.038</w:t>
            </w:r>
          </w:p>
        </w:tc>
        <w:tc>
          <w:tcPr>
            <w:tcW w:w="1559"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139.683</w:t>
            </w:r>
          </w:p>
        </w:tc>
        <w:tc>
          <w:tcPr>
            <w:tcW w:w="992"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1.31</w:t>
            </w:r>
          </w:p>
        </w:tc>
        <w:tc>
          <w:tcPr>
            <w:tcW w:w="993" w:type="dxa"/>
            <w:vAlign w:val="center"/>
          </w:tcPr>
          <w:p w:rsidR="007539A9" w:rsidRPr="00C752DD" w:rsidRDefault="007539A9" w:rsidP="007539A9">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14856.</w:t>
            </w:r>
            <w:r w:rsidR="002D7C80" w:rsidRPr="00C752DD">
              <w:rPr>
                <w:rFonts w:asciiTheme="minorHAnsi" w:hAnsiTheme="minorHAnsi" w:cstheme="minorHAnsi"/>
                <w:color w:val="000000" w:themeColor="text1"/>
                <w:kern w:val="24"/>
                <w:sz w:val="20"/>
                <w:szCs w:val="20"/>
                <w:lang w:val="en-US"/>
              </w:rPr>
              <w:t>4</w:t>
            </w:r>
          </w:p>
        </w:tc>
      </w:tr>
      <w:tr w:rsidR="000939AA" w:rsidRPr="00C752DD" w:rsidTr="000939AA">
        <w:trPr>
          <w:trHeight w:val="251"/>
          <w:jc w:val="center"/>
        </w:trPr>
        <w:tc>
          <w:tcPr>
            <w:tcW w:w="850" w:type="dxa"/>
            <w:vMerge/>
          </w:tcPr>
          <w:p w:rsidR="000939AA" w:rsidRPr="00C752DD" w:rsidRDefault="000939AA" w:rsidP="000939AA">
            <w:pPr>
              <w:rPr>
                <w:rFonts w:asciiTheme="minorHAnsi" w:hAnsiTheme="minorHAnsi" w:cstheme="minorHAnsi"/>
                <w:sz w:val="20"/>
                <w:szCs w:val="20"/>
              </w:rPr>
            </w:pPr>
          </w:p>
        </w:tc>
        <w:tc>
          <w:tcPr>
            <w:tcW w:w="1839" w:type="dxa"/>
            <w:vAlign w:val="center"/>
          </w:tcPr>
          <w:p w:rsidR="000939AA" w:rsidRPr="00C752DD" w:rsidRDefault="000939AA" w:rsidP="000939AA">
            <w:pPr>
              <w:pStyle w:val="NormalWeb"/>
              <w:spacing w:before="0" w:beforeAutospacing="0" w:after="0" w:afterAutospacing="0" w:line="320" w:lineRule="exact"/>
              <w:ind w:right="58"/>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Hyperlactatemia</w:t>
            </w:r>
          </w:p>
        </w:tc>
        <w:tc>
          <w:tcPr>
            <w:tcW w:w="992"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20.9</w:t>
            </w:r>
          </w:p>
        </w:tc>
        <w:tc>
          <w:tcPr>
            <w:tcW w:w="1139"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3374.11</w:t>
            </w:r>
          </w:p>
        </w:tc>
        <w:tc>
          <w:tcPr>
            <w:tcW w:w="987"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.000</w:t>
            </w:r>
          </w:p>
        </w:tc>
        <w:tc>
          <w:tcPr>
            <w:tcW w:w="542"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w:t>
            </w:r>
          </w:p>
        </w:tc>
        <w:tc>
          <w:tcPr>
            <w:tcW w:w="734"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.995</w:t>
            </w:r>
          </w:p>
        </w:tc>
        <w:tc>
          <w:tcPr>
            <w:tcW w:w="1559"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12265.02</w:t>
            </w:r>
          </w:p>
        </w:tc>
        <w:tc>
          <w:tcPr>
            <w:tcW w:w="992"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.000</w:t>
            </w:r>
          </w:p>
        </w:tc>
        <w:tc>
          <w:tcPr>
            <w:tcW w:w="993"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w:t>
            </w:r>
          </w:p>
        </w:tc>
      </w:tr>
      <w:tr w:rsidR="000939AA" w:rsidRPr="00C752DD" w:rsidTr="000939AA">
        <w:trPr>
          <w:trHeight w:val="251"/>
          <w:jc w:val="center"/>
        </w:trPr>
        <w:tc>
          <w:tcPr>
            <w:tcW w:w="850" w:type="dxa"/>
            <w:vMerge/>
          </w:tcPr>
          <w:p w:rsidR="000939AA" w:rsidRPr="00C752DD" w:rsidRDefault="000939AA" w:rsidP="000939AA">
            <w:pPr>
              <w:rPr>
                <w:rFonts w:asciiTheme="minorHAnsi" w:hAnsiTheme="minorHAnsi" w:cstheme="minorHAnsi"/>
                <w:sz w:val="20"/>
                <w:szCs w:val="20"/>
              </w:rPr>
            </w:pPr>
          </w:p>
        </w:tc>
        <w:tc>
          <w:tcPr>
            <w:tcW w:w="1839" w:type="dxa"/>
            <w:vAlign w:val="center"/>
          </w:tcPr>
          <w:p w:rsidR="000939AA" w:rsidRPr="00C752DD" w:rsidRDefault="000939AA" w:rsidP="000939AA">
            <w:pPr>
              <w:jc w:val="both"/>
              <w:rPr>
                <w:rFonts w:asciiTheme="minorHAnsi" w:hAnsiTheme="minorHAnsi" w:cstheme="minorHAnsi"/>
                <w:sz w:val="20"/>
                <w:szCs w:val="20"/>
              </w:rPr>
            </w:pPr>
            <w:proofErr w:type="spellStart"/>
            <w:r w:rsidRPr="00C752DD">
              <w:rPr>
                <w:rFonts w:asciiTheme="minorHAnsi" w:hAnsiTheme="minorHAnsi" w:cstheme="minorHAnsi"/>
                <w:sz w:val="20"/>
                <w:szCs w:val="20"/>
                <w:lang w:val="en-US"/>
              </w:rPr>
              <w:t>S_Ktc</w:t>
            </w:r>
            <w:proofErr w:type="spellEnd"/>
          </w:p>
        </w:tc>
        <w:tc>
          <w:tcPr>
            <w:tcW w:w="992"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.76</w:t>
            </w:r>
          </w:p>
        </w:tc>
        <w:tc>
          <w:tcPr>
            <w:tcW w:w="1139"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1.57</w:t>
            </w:r>
          </w:p>
        </w:tc>
        <w:tc>
          <w:tcPr>
            <w:tcW w:w="987"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.233</w:t>
            </w:r>
          </w:p>
        </w:tc>
        <w:tc>
          <w:tcPr>
            <w:tcW w:w="542"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w:t>
            </w:r>
          </w:p>
        </w:tc>
        <w:tc>
          <w:tcPr>
            <w:tcW w:w="734"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.629</w:t>
            </w:r>
          </w:p>
        </w:tc>
        <w:tc>
          <w:tcPr>
            <w:tcW w:w="1559"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2.13</w:t>
            </w:r>
          </w:p>
        </w:tc>
        <w:tc>
          <w:tcPr>
            <w:tcW w:w="992"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.099</w:t>
            </w:r>
          </w:p>
        </w:tc>
        <w:tc>
          <w:tcPr>
            <w:tcW w:w="993"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45.96</w:t>
            </w:r>
          </w:p>
        </w:tc>
      </w:tr>
      <w:tr w:rsidR="000939AA" w:rsidRPr="00C752DD" w:rsidTr="000939AA">
        <w:trPr>
          <w:trHeight w:val="251"/>
          <w:jc w:val="center"/>
        </w:trPr>
        <w:tc>
          <w:tcPr>
            <w:tcW w:w="850" w:type="dxa"/>
            <w:vMerge/>
          </w:tcPr>
          <w:p w:rsidR="000939AA" w:rsidRPr="00C752DD" w:rsidRDefault="000939AA" w:rsidP="000939AA">
            <w:pPr>
              <w:rPr>
                <w:rFonts w:asciiTheme="minorHAnsi" w:hAnsiTheme="minorHAnsi" w:cstheme="minorHAnsi"/>
                <w:sz w:val="20"/>
                <w:szCs w:val="20"/>
              </w:rPr>
            </w:pPr>
          </w:p>
        </w:tc>
        <w:tc>
          <w:tcPr>
            <w:tcW w:w="1839" w:type="dxa"/>
            <w:vAlign w:val="center"/>
          </w:tcPr>
          <w:p w:rsidR="000939AA" w:rsidRPr="00C752DD" w:rsidRDefault="000939AA" w:rsidP="000939AA">
            <w:pPr>
              <w:jc w:val="both"/>
              <w:rPr>
                <w:rFonts w:asciiTheme="minorHAnsi" w:hAnsiTheme="minorHAnsi" w:cstheme="minorHAnsi"/>
                <w:sz w:val="20"/>
                <w:szCs w:val="20"/>
              </w:rPr>
            </w:pPr>
            <w:proofErr w:type="spellStart"/>
            <w:r w:rsidRPr="00C752DD">
              <w:rPr>
                <w:rFonts w:asciiTheme="minorHAnsi" w:hAnsiTheme="minorHAnsi" w:cstheme="minorHAnsi"/>
                <w:sz w:val="20"/>
                <w:szCs w:val="20"/>
                <w:lang w:val="en-US"/>
              </w:rPr>
              <w:t>R_atb</w:t>
            </w:r>
            <w:proofErr w:type="spellEnd"/>
          </w:p>
        </w:tc>
        <w:tc>
          <w:tcPr>
            <w:tcW w:w="992"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2.83</w:t>
            </w:r>
          </w:p>
        </w:tc>
        <w:tc>
          <w:tcPr>
            <w:tcW w:w="1139"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2.37</w:t>
            </w:r>
          </w:p>
        </w:tc>
        <w:tc>
          <w:tcPr>
            <w:tcW w:w="987"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1.43</w:t>
            </w:r>
          </w:p>
        </w:tc>
        <w:tc>
          <w:tcPr>
            <w:tcW w:w="542"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w:t>
            </w:r>
          </w:p>
        </w:tc>
        <w:tc>
          <w:tcPr>
            <w:tcW w:w="734"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.231</w:t>
            </w:r>
          </w:p>
        </w:tc>
        <w:tc>
          <w:tcPr>
            <w:tcW w:w="1559"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17.03</w:t>
            </w:r>
          </w:p>
        </w:tc>
        <w:tc>
          <w:tcPr>
            <w:tcW w:w="992"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.16</w:t>
            </w:r>
          </w:p>
        </w:tc>
        <w:tc>
          <w:tcPr>
            <w:tcW w:w="993"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1764.87</w:t>
            </w:r>
          </w:p>
        </w:tc>
      </w:tr>
      <w:tr w:rsidR="000939AA" w:rsidRPr="00C752DD" w:rsidTr="000939AA">
        <w:trPr>
          <w:trHeight w:val="251"/>
          <w:jc w:val="center"/>
        </w:trPr>
        <w:tc>
          <w:tcPr>
            <w:tcW w:w="850" w:type="dxa"/>
            <w:vMerge/>
          </w:tcPr>
          <w:p w:rsidR="000939AA" w:rsidRPr="00C752DD" w:rsidRDefault="000939AA" w:rsidP="000939AA">
            <w:pPr>
              <w:rPr>
                <w:rFonts w:asciiTheme="minorHAnsi" w:hAnsiTheme="minorHAnsi" w:cstheme="minorHAnsi"/>
                <w:sz w:val="20"/>
                <w:szCs w:val="20"/>
              </w:rPr>
            </w:pPr>
          </w:p>
        </w:tc>
        <w:tc>
          <w:tcPr>
            <w:tcW w:w="1839" w:type="dxa"/>
            <w:vAlign w:val="center"/>
          </w:tcPr>
          <w:p w:rsidR="000939AA" w:rsidRPr="00C752DD" w:rsidRDefault="000939AA" w:rsidP="000939AA">
            <w:pPr>
              <w:jc w:val="both"/>
              <w:rPr>
                <w:rFonts w:asciiTheme="minorHAnsi" w:hAnsiTheme="minorHAnsi" w:cstheme="minorHAnsi"/>
                <w:sz w:val="20"/>
                <w:szCs w:val="20"/>
              </w:rPr>
            </w:pPr>
            <w:proofErr w:type="spellStart"/>
            <w:proofErr w:type="gramStart"/>
            <w:r w:rsidRPr="00C752DD">
              <w:rPr>
                <w:rFonts w:asciiTheme="minorHAnsi" w:hAnsiTheme="minorHAnsi" w:cstheme="minorHAnsi"/>
                <w:sz w:val="20"/>
                <w:szCs w:val="20"/>
              </w:rPr>
              <w:t>A.Baumannii</w:t>
            </w:r>
            <w:proofErr w:type="spellEnd"/>
            <w:proofErr w:type="gramEnd"/>
            <w:r w:rsidRPr="00C752DD">
              <w:rPr>
                <w:rFonts w:asciiTheme="minorHAnsi" w:hAnsiTheme="minorHAnsi" w:cstheme="minorHAnsi"/>
                <w:sz w:val="20"/>
                <w:szCs w:val="20"/>
              </w:rPr>
              <w:t xml:space="preserve"> </w:t>
            </w:r>
            <w:proofErr w:type="spellStart"/>
            <w:r w:rsidRPr="00C752DD">
              <w:rPr>
                <w:rFonts w:asciiTheme="minorHAnsi" w:hAnsiTheme="minorHAnsi" w:cstheme="minorHAnsi"/>
                <w:sz w:val="20"/>
                <w:szCs w:val="20"/>
              </w:rPr>
              <w:t>resistance</w:t>
            </w:r>
            <w:proofErr w:type="spellEnd"/>
          </w:p>
        </w:tc>
        <w:tc>
          <w:tcPr>
            <w:tcW w:w="992"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1.04</w:t>
            </w:r>
          </w:p>
        </w:tc>
        <w:tc>
          <w:tcPr>
            <w:tcW w:w="1139"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1.21</w:t>
            </w:r>
          </w:p>
        </w:tc>
        <w:tc>
          <w:tcPr>
            <w:tcW w:w="987"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.74</w:t>
            </w:r>
          </w:p>
        </w:tc>
        <w:tc>
          <w:tcPr>
            <w:tcW w:w="542"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w:t>
            </w:r>
          </w:p>
        </w:tc>
        <w:tc>
          <w:tcPr>
            <w:tcW w:w="734"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.389</w:t>
            </w:r>
          </w:p>
        </w:tc>
        <w:tc>
          <w:tcPr>
            <w:tcW w:w="1559"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2.82</w:t>
            </w:r>
          </w:p>
        </w:tc>
        <w:tc>
          <w:tcPr>
            <w:tcW w:w="992"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.27</w:t>
            </w:r>
          </w:p>
        </w:tc>
        <w:tc>
          <w:tcPr>
            <w:tcW w:w="993"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29.93</w:t>
            </w:r>
          </w:p>
        </w:tc>
      </w:tr>
      <w:tr w:rsidR="000939AA" w:rsidRPr="00C752DD" w:rsidTr="000939AA">
        <w:trPr>
          <w:trHeight w:val="251"/>
          <w:jc w:val="center"/>
        </w:trPr>
        <w:tc>
          <w:tcPr>
            <w:tcW w:w="850" w:type="dxa"/>
            <w:vMerge/>
          </w:tcPr>
          <w:p w:rsidR="000939AA" w:rsidRPr="00C752DD" w:rsidRDefault="000939AA" w:rsidP="000939AA">
            <w:pPr>
              <w:rPr>
                <w:rFonts w:asciiTheme="minorHAnsi" w:hAnsiTheme="minorHAnsi" w:cstheme="minorHAnsi"/>
                <w:sz w:val="20"/>
                <w:szCs w:val="20"/>
              </w:rPr>
            </w:pPr>
          </w:p>
        </w:tc>
        <w:tc>
          <w:tcPr>
            <w:tcW w:w="1839" w:type="dxa"/>
            <w:vAlign w:val="center"/>
          </w:tcPr>
          <w:p w:rsidR="000939AA" w:rsidRPr="00C752DD" w:rsidRDefault="000939AA" w:rsidP="000939AA">
            <w:pPr>
              <w:jc w:val="both"/>
              <w:rPr>
                <w:rFonts w:asciiTheme="minorHAnsi" w:hAnsiTheme="minorHAnsi" w:cstheme="minorHAnsi"/>
                <w:sz w:val="20"/>
                <w:szCs w:val="20"/>
                <w:lang w:val="en-US"/>
              </w:rPr>
            </w:pPr>
          </w:p>
          <w:p w:rsidR="000939AA" w:rsidRPr="00C752DD" w:rsidRDefault="000939AA" w:rsidP="000939AA">
            <w:pPr>
              <w:jc w:val="both"/>
              <w:rPr>
                <w:rFonts w:asciiTheme="minorHAnsi" w:hAnsiTheme="minorHAnsi" w:cstheme="minorHAnsi"/>
                <w:sz w:val="20"/>
                <w:szCs w:val="20"/>
              </w:rPr>
            </w:pPr>
            <w:proofErr w:type="spellStart"/>
            <w:r w:rsidRPr="00C752DD">
              <w:rPr>
                <w:rFonts w:asciiTheme="minorHAnsi" w:hAnsiTheme="minorHAnsi" w:cstheme="minorHAnsi"/>
                <w:sz w:val="20"/>
                <w:szCs w:val="20"/>
                <w:lang w:val="en-US"/>
              </w:rPr>
              <w:t>Constante</w:t>
            </w:r>
            <w:proofErr w:type="spellEnd"/>
          </w:p>
        </w:tc>
        <w:tc>
          <w:tcPr>
            <w:tcW w:w="992"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-29.50</w:t>
            </w:r>
          </w:p>
        </w:tc>
        <w:tc>
          <w:tcPr>
            <w:tcW w:w="1139"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3374.12</w:t>
            </w:r>
          </w:p>
        </w:tc>
        <w:tc>
          <w:tcPr>
            <w:tcW w:w="987"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.000</w:t>
            </w:r>
          </w:p>
        </w:tc>
        <w:tc>
          <w:tcPr>
            <w:tcW w:w="542"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1</w:t>
            </w:r>
          </w:p>
        </w:tc>
        <w:tc>
          <w:tcPr>
            <w:tcW w:w="734"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.993</w:t>
            </w:r>
          </w:p>
        </w:tc>
        <w:tc>
          <w:tcPr>
            <w:tcW w:w="1559" w:type="dxa"/>
            <w:vAlign w:val="center"/>
          </w:tcPr>
          <w:p w:rsidR="000939AA" w:rsidRPr="00C752DD" w:rsidRDefault="000939AA" w:rsidP="000939AA">
            <w:pPr>
              <w:pStyle w:val="NormalWeb"/>
              <w:spacing w:before="0" w:beforeAutospacing="0" w:after="0" w:afterAutospacing="0" w:line="320" w:lineRule="exact"/>
              <w:ind w:left="58" w:right="58"/>
              <w:jc w:val="right"/>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.000</w:t>
            </w:r>
          </w:p>
        </w:tc>
        <w:tc>
          <w:tcPr>
            <w:tcW w:w="992" w:type="dxa"/>
          </w:tcPr>
          <w:p w:rsidR="000939AA" w:rsidRPr="00C752DD" w:rsidRDefault="000939AA" w:rsidP="000939AA">
            <w:pPr>
              <w:pStyle w:val="NormalWeb"/>
              <w:spacing w:before="0" w:beforeAutospacing="0" w:after="0" w:afterAutospacing="0" w:line="276" w:lineRule="auto"/>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 </w:t>
            </w:r>
          </w:p>
        </w:tc>
        <w:tc>
          <w:tcPr>
            <w:tcW w:w="993" w:type="dxa"/>
          </w:tcPr>
          <w:p w:rsidR="000939AA" w:rsidRPr="00C752DD" w:rsidRDefault="000939AA" w:rsidP="000939AA">
            <w:pPr>
              <w:pStyle w:val="NormalWeb"/>
              <w:spacing w:before="0" w:beforeAutospacing="0" w:after="0" w:afterAutospacing="0" w:line="276" w:lineRule="auto"/>
              <w:rPr>
                <w:rFonts w:asciiTheme="minorHAnsi" w:hAnsiTheme="minorHAnsi" w:cstheme="minorHAnsi"/>
                <w:sz w:val="20"/>
                <w:szCs w:val="20"/>
              </w:rPr>
            </w:pPr>
            <w:r w:rsidRPr="00C752DD">
              <w:rPr>
                <w:rFonts w:asciiTheme="minorHAnsi" w:hAnsiTheme="minorHAnsi" w:cstheme="minorHAnsi"/>
                <w:color w:val="000000" w:themeColor="text1"/>
                <w:kern w:val="24"/>
                <w:sz w:val="20"/>
                <w:szCs w:val="20"/>
                <w:lang w:val="en-US"/>
              </w:rPr>
              <w:t> </w:t>
            </w:r>
          </w:p>
        </w:tc>
      </w:tr>
    </w:tbl>
    <w:p w:rsidR="00886085" w:rsidRPr="00886085" w:rsidRDefault="00886085" w:rsidP="00F02FC1">
      <w:pPr>
        <w:jc w:val="both"/>
        <w:rPr>
          <w:rFonts w:asciiTheme="minorHAnsi" w:hAnsiTheme="minorHAnsi" w:cstheme="minorHAnsi"/>
        </w:rPr>
      </w:pPr>
    </w:p>
    <w:p w:rsidR="002D7C80" w:rsidRDefault="002D7C80" w:rsidP="002D7C80">
      <w:pPr>
        <w:rPr>
          <w:rFonts w:asciiTheme="minorHAnsi" w:hAnsiTheme="minorHAnsi" w:cstheme="minorHAnsi"/>
          <w:u w:val="single"/>
          <w:lang w:val="en-US"/>
        </w:rPr>
      </w:pPr>
    </w:p>
    <w:p w:rsidR="004B727B" w:rsidRPr="00803289" w:rsidRDefault="007C6955" w:rsidP="002D7C80">
      <w:pPr>
        <w:rPr>
          <w:rFonts w:asciiTheme="minorHAnsi" w:hAnsiTheme="minorHAnsi" w:cstheme="minorHAnsi"/>
          <w:lang w:val="en-US"/>
        </w:rPr>
      </w:pPr>
      <w:r w:rsidRPr="00803289">
        <w:rPr>
          <w:rFonts w:asciiTheme="minorHAnsi" w:hAnsiTheme="minorHAnsi" w:cstheme="minorHAnsi"/>
          <w:u w:val="single"/>
          <w:lang w:val="en-US"/>
        </w:rPr>
        <w:t>Tab</w:t>
      </w:r>
      <w:r w:rsidR="004B727B" w:rsidRPr="00803289">
        <w:rPr>
          <w:rFonts w:asciiTheme="minorHAnsi" w:hAnsiTheme="minorHAnsi" w:cstheme="minorHAnsi"/>
          <w:u w:val="single"/>
          <w:lang w:val="en-US"/>
        </w:rPr>
        <w:t>02</w:t>
      </w:r>
      <w:r w:rsidRPr="00803289">
        <w:rPr>
          <w:rFonts w:asciiTheme="minorHAnsi" w:hAnsiTheme="minorHAnsi" w:cstheme="minorHAnsi"/>
          <w:lang w:val="en-US"/>
        </w:rPr>
        <w:t xml:space="preserve">: </w:t>
      </w:r>
      <w:r w:rsidR="004B727B" w:rsidRPr="00803289">
        <w:rPr>
          <w:rFonts w:asciiTheme="minorHAnsi" w:hAnsiTheme="minorHAnsi" w:cstheme="minorHAnsi"/>
          <w:color w:val="000000" w:themeColor="text1"/>
          <w:lang w:val="en-US"/>
        </w:rPr>
        <w:t>multivariate analysis of the mortality by logistic regression</w:t>
      </w:r>
    </w:p>
    <w:p w:rsidR="00030F34" w:rsidRDefault="007C6955" w:rsidP="00803289">
      <w:pPr>
        <w:rPr>
          <w:rFonts w:asciiTheme="minorHAnsi" w:hAnsiTheme="minorHAnsi" w:cstheme="minorHAnsi"/>
          <w:lang w:val="en-US"/>
        </w:rPr>
      </w:pPr>
      <w:r w:rsidRPr="00803289">
        <w:rPr>
          <w:rFonts w:asciiTheme="minorHAnsi" w:hAnsiTheme="minorHAnsi" w:cstheme="minorHAnsi"/>
          <w:lang w:val="en-US"/>
        </w:rPr>
        <w:t>Final logistic regression model</w:t>
      </w:r>
      <w:r w:rsidR="00803289" w:rsidRPr="00803289">
        <w:rPr>
          <w:rFonts w:asciiTheme="minorHAnsi" w:hAnsiTheme="minorHAnsi" w:cstheme="minorHAnsi"/>
          <w:lang w:val="en-US"/>
        </w:rPr>
        <w:t xml:space="preserve">: </w:t>
      </w:r>
      <w:r w:rsidRPr="00803289">
        <w:rPr>
          <w:rFonts w:asciiTheme="minorHAnsi" w:hAnsiTheme="minorHAnsi" w:cstheme="minorHAnsi"/>
          <w:lang w:val="en-US"/>
        </w:rPr>
        <w:t>Variables in the equation</w:t>
      </w:r>
    </w:p>
    <w:p w:rsidR="00803289" w:rsidRPr="00803289" w:rsidRDefault="00803289" w:rsidP="00803289">
      <w:pPr>
        <w:rPr>
          <w:rFonts w:asciiTheme="minorHAnsi" w:hAnsiTheme="minorHAnsi" w:cstheme="minorHAnsi"/>
          <w:u w:val="single"/>
          <w:lang w:val="en-US"/>
        </w:rPr>
      </w:pPr>
    </w:p>
    <w:tbl>
      <w:tblPr>
        <w:tblStyle w:val="Grilledutableau"/>
        <w:tblW w:w="10349" w:type="dxa"/>
        <w:jc w:val="center"/>
        <w:tblLayout w:type="fixed"/>
        <w:tblLook w:val="04A0" w:firstRow="1" w:lastRow="0" w:firstColumn="1" w:lastColumn="0" w:noHBand="0" w:noVBand="1"/>
      </w:tblPr>
      <w:tblGrid>
        <w:gridCol w:w="846"/>
        <w:gridCol w:w="2410"/>
        <w:gridCol w:w="856"/>
        <w:gridCol w:w="708"/>
        <w:gridCol w:w="851"/>
        <w:gridCol w:w="678"/>
        <w:gridCol w:w="1023"/>
        <w:gridCol w:w="992"/>
        <w:gridCol w:w="992"/>
        <w:gridCol w:w="993"/>
      </w:tblGrid>
      <w:tr w:rsidR="007C6955" w:rsidRPr="00F46AE8" w:rsidTr="007C6955">
        <w:trPr>
          <w:trHeight w:val="371"/>
          <w:jc w:val="center"/>
        </w:trPr>
        <w:tc>
          <w:tcPr>
            <w:tcW w:w="3256" w:type="dxa"/>
            <w:gridSpan w:val="2"/>
            <w:vMerge w:val="restart"/>
          </w:tcPr>
          <w:p w:rsidR="00030F34" w:rsidRPr="00F46AE8" w:rsidRDefault="00030F34" w:rsidP="00030F34">
            <w:pPr>
              <w:rPr>
                <w:rFonts w:asciiTheme="minorHAnsi" w:hAnsiTheme="minorHAnsi" w:cstheme="minorHAnsi"/>
                <w:sz w:val="22"/>
                <w:szCs w:val="22"/>
                <w:lang w:val="en-US"/>
              </w:rPr>
            </w:pPr>
          </w:p>
        </w:tc>
        <w:tc>
          <w:tcPr>
            <w:tcW w:w="856" w:type="dxa"/>
            <w:vMerge w:val="restart"/>
          </w:tcPr>
          <w:p w:rsidR="00030F34" w:rsidRPr="00F46AE8" w:rsidRDefault="00030F34" w:rsidP="00030F34">
            <w:pPr>
              <w:jc w:val="center"/>
              <w:rPr>
                <w:rFonts w:asciiTheme="minorHAnsi" w:hAnsiTheme="minorHAnsi" w:cstheme="minorHAnsi"/>
                <w:sz w:val="22"/>
                <w:szCs w:val="22"/>
              </w:rPr>
            </w:pPr>
            <w:r w:rsidRPr="00F46AE8">
              <w:rPr>
                <w:rFonts w:asciiTheme="minorHAnsi" w:hAnsiTheme="minorHAnsi" w:cstheme="minorHAnsi"/>
                <w:sz w:val="22"/>
                <w:szCs w:val="22"/>
                <w:lang w:val="en-US"/>
              </w:rPr>
              <w:t>A</w:t>
            </w:r>
          </w:p>
        </w:tc>
        <w:tc>
          <w:tcPr>
            <w:tcW w:w="708" w:type="dxa"/>
            <w:vMerge w:val="restart"/>
          </w:tcPr>
          <w:p w:rsidR="00030F34" w:rsidRPr="00F46AE8" w:rsidRDefault="00030F34" w:rsidP="00030F34">
            <w:pPr>
              <w:jc w:val="center"/>
              <w:rPr>
                <w:rFonts w:asciiTheme="minorHAnsi" w:hAnsiTheme="minorHAnsi" w:cstheme="minorHAnsi"/>
                <w:sz w:val="22"/>
                <w:szCs w:val="22"/>
              </w:rPr>
            </w:pPr>
            <w:r w:rsidRPr="00F46AE8">
              <w:rPr>
                <w:rFonts w:asciiTheme="minorHAnsi" w:hAnsiTheme="minorHAnsi" w:cstheme="minorHAnsi"/>
                <w:sz w:val="22"/>
                <w:szCs w:val="22"/>
                <w:lang w:val="en-US"/>
              </w:rPr>
              <w:t>E.S.</w:t>
            </w:r>
          </w:p>
        </w:tc>
        <w:tc>
          <w:tcPr>
            <w:tcW w:w="851" w:type="dxa"/>
            <w:vMerge w:val="restart"/>
          </w:tcPr>
          <w:p w:rsidR="00030F34" w:rsidRPr="00F46AE8" w:rsidRDefault="00030F34" w:rsidP="00030F34">
            <w:pPr>
              <w:jc w:val="center"/>
              <w:rPr>
                <w:rFonts w:asciiTheme="minorHAnsi" w:hAnsiTheme="minorHAnsi" w:cstheme="minorHAnsi"/>
                <w:sz w:val="22"/>
                <w:szCs w:val="22"/>
              </w:rPr>
            </w:pPr>
            <w:r w:rsidRPr="00F46AE8">
              <w:rPr>
                <w:rFonts w:asciiTheme="minorHAnsi" w:hAnsiTheme="minorHAnsi" w:cstheme="minorHAnsi"/>
                <w:sz w:val="22"/>
                <w:szCs w:val="22"/>
                <w:lang w:val="en-US"/>
              </w:rPr>
              <w:t>Wald</w:t>
            </w:r>
          </w:p>
        </w:tc>
        <w:tc>
          <w:tcPr>
            <w:tcW w:w="678" w:type="dxa"/>
            <w:vMerge w:val="restart"/>
          </w:tcPr>
          <w:p w:rsidR="00030F34" w:rsidRPr="00F46AE8" w:rsidRDefault="00030F34" w:rsidP="00030F34">
            <w:pPr>
              <w:jc w:val="center"/>
              <w:rPr>
                <w:rFonts w:asciiTheme="minorHAnsi" w:hAnsiTheme="minorHAnsi" w:cstheme="minorHAnsi"/>
                <w:sz w:val="22"/>
                <w:szCs w:val="22"/>
              </w:rPr>
            </w:pPr>
            <w:proofErr w:type="spellStart"/>
            <w:r w:rsidRPr="00F46AE8">
              <w:rPr>
                <w:rFonts w:asciiTheme="minorHAnsi" w:hAnsiTheme="minorHAnsi" w:cstheme="minorHAnsi"/>
                <w:sz w:val="22"/>
                <w:szCs w:val="22"/>
                <w:lang w:val="en-US"/>
              </w:rPr>
              <w:t>ddl</w:t>
            </w:r>
            <w:proofErr w:type="spellEnd"/>
          </w:p>
        </w:tc>
        <w:tc>
          <w:tcPr>
            <w:tcW w:w="1023" w:type="dxa"/>
            <w:vMerge w:val="restart"/>
          </w:tcPr>
          <w:p w:rsidR="00030F34" w:rsidRPr="00F46AE8" w:rsidRDefault="00030F34" w:rsidP="00030F34">
            <w:pPr>
              <w:jc w:val="center"/>
              <w:rPr>
                <w:rFonts w:asciiTheme="minorHAnsi" w:hAnsiTheme="minorHAnsi" w:cstheme="minorHAnsi"/>
                <w:sz w:val="22"/>
                <w:szCs w:val="22"/>
              </w:rPr>
            </w:pPr>
            <w:r w:rsidRPr="00F46AE8">
              <w:rPr>
                <w:rFonts w:asciiTheme="minorHAnsi" w:hAnsiTheme="minorHAnsi" w:cstheme="minorHAnsi"/>
                <w:sz w:val="22"/>
                <w:szCs w:val="22"/>
                <w:lang w:val="en-US"/>
              </w:rPr>
              <w:t>Sig.</w:t>
            </w:r>
          </w:p>
        </w:tc>
        <w:tc>
          <w:tcPr>
            <w:tcW w:w="992" w:type="dxa"/>
            <w:vMerge w:val="restart"/>
          </w:tcPr>
          <w:p w:rsidR="00030F34" w:rsidRPr="00F46AE8" w:rsidRDefault="00030F34" w:rsidP="00030F34">
            <w:pPr>
              <w:jc w:val="center"/>
              <w:rPr>
                <w:rFonts w:asciiTheme="minorHAnsi" w:hAnsiTheme="minorHAnsi" w:cstheme="minorHAnsi"/>
                <w:sz w:val="22"/>
                <w:szCs w:val="22"/>
              </w:rPr>
            </w:pPr>
            <w:proofErr w:type="spellStart"/>
            <w:r w:rsidRPr="00F46AE8">
              <w:rPr>
                <w:rFonts w:asciiTheme="minorHAnsi" w:hAnsiTheme="minorHAnsi" w:cstheme="minorHAnsi"/>
                <w:sz w:val="22"/>
                <w:szCs w:val="22"/>
                <w:lang w:val="en-US"/>
              </w:rPr>
              <w:t>Exp</w:t>
            </w:r>
            <w:proofErr w:type="spellEnd"/>
            <w:r w:rsidRPr="00F46AE8">
              <w:rPr>
                <w:rFonts w:asciiTheme="minorHAnsi" w:hAnsiTheme="minorHAnsi" w:cstheme="minorHAnsi"/>
                <w:sz w:val="22"/>
                <w:szCs w:val="22"/>
                <w:lang w:val="en-US"/>
              </w:rPr>
              <w:t>(B)</w:t>
            </w:r>
          </w:p>
        </w:tc>
        <w:tc>
          <w:tcPr>
            <w:tcW w:w="1985" w:type="dxa"/>
            <w:gridSpan w:val="2"/>
          </w:tcPr>
          <w:p w:rsidR="00030F34" w:rsidRPr="00F46AE8" w:rsidRDefault="00030F34" w:rsidP="00030F34">
            <w:pPr>
              <w:jc w:val="center"/>
              <w:rPr>
                <w:rFonts w:asciiTheme="minorHAnsi" w:hAnsiTheme="minorHAnsi" w:cstheme="minorHAnsi"/>
                <w:sz w:val="22"/>
                <w:szCs w:val="22"/>
                <w:lang w:val="en-US"/>
              </w:rPr>
            </w:pPr>
            <w:r w:rsidRPr="00F46AE8">
              <w:rPr>
                <w:rFonts w:asciiTheme="minorHAnsi" w:hAnsiTheme="minorHAnsi" w:cstheme="minorHAnsi"/>
                <w:sz w:val="22"/>
                <w:szCs w:val="22"/>
                <w:lang w:val="en-US"/>
              </w:rPr>
              <w:t xml:space="preserve">IC pour </w:t>
            </w:r>
            <w:proofErr w:type="spellStart"/>
            <w:r w:rsidRPr="00F46AE8">
              <w:rPr>
                <w:rFonts w:asciiTheme="minorHAnsi" w:hAnsiTheme="minorHAnsi" w:cstheme="minorHAnsi"/>
                <w:sz w:val="22"/>
                <w:szCs w:val="22"/>
                <w:lang w:val="en-US"/>
              </w:rPr>
              <w:t>Exp</w:t>
            </w:r>
            <w:proofErr w:type="spellEnd"/>
            <w:r w:rsidR="00201F77" w:rsidRPr="00F46AE8">
              <w:rPr>
                <w:rFonts w:asciiTheme="minorHAnsi" w:hAnsiTheme="minorHAnsi" w:cstheme="minorHAnsi"/>
                <w:sz w:val="22"/>
                <w:szCs w:val="22"/>
                <w:lang w:val="en-US"/>
              </w:rPr>
              <w:t xml:space="preserve"> </w:t>
            </w:r>
            <w:r w:rsidRPr="00F46AE8">
              <w:rPr>
                <w:rFonts w:asciiTheme="minorHAnsi" w:hAnsiTheme="minorHAnsi" w:cstheme="minorHAnsi"/>
                <w:sz w:val="22"/>
                <w:szCs w:val="22"/>
                <w:lang w:val="en-US"/>
              </w:rPr>
              <w:t>(B) 95%</w:t>
            </w:r>
          </w:p>
        </w:tc>
      </w:tr>
      <w:tr w:rsidR="00201F77" w:rsidRPr="00F46AE8" w:rsidTr="007C6955">
        <w:trPr>
          <w:trHeight w:val="251"/>
          <w:jc w:val="center"/>
        </w:trPr>
        <w:tc>
          <w:tcPr>
            <w:tcW w:w="3256" w:type="dxa"/>
            <w:gridSpan w:val="2"/>
            <w:vMerge/>
          </w:tcPr>
          <w:p w:rsidR="00030F34" w:rsidRPr="00F46AE8" w:rsidRDefault="00030F34" w:rsidP="00030F34">
            <w:pPr>
              <w:rPr>
                <w:rFonts w:asciiTheme="minorHAnsi" w:hAnsiTheme="minorHAnsi" w:cstheme="minorHAnsi"/>
                <w:sz w:val="22"/>
                <w:szCs w:val="22"/>
              </w:rPr>
            </w:pPr>
          </w:p>
        </w:tc>
        <w:tc>
          <w:tcPr>
            <w:tcW w:w="856" w:type="dxa"/>
            <w:vMerge/>
          </w:tcPr>
          <w:p w:rsidR="00030F34" w:rsidRPr="00F46AE8" w:rsidRDefault="00030F34" w:rsidP="00030F34">
            <w:pPr>
              <w:jc w:val="center"/>
              <w:rPr>
                <w:rFonts w:asciiTheme="minorHAnsi" w:hAnsiTheme="minorHAnsi" w:cstheme="minorHAnsi"/>
                <w:sz w:val="22"/>
                <w:szCs w:val="22"/>
                <w:lang w:val="en-US"/>
              </w:rPr>
            </w:pPr>
          </w:p>
        </w:tc>
        <w:tc>
          <w:tcPr>
            <w:tcW w:w="708" w:type="dxa"/>
            <w:vMerge/>
          </w:tcPr>
          <w:p w:rsidR="00030F34" w:rsidRPr="00F46AE8" w:rsidRDefault="00030F34" w:rsidP="00030F34">
            <w:pPr>
              <w:jc w:val="center"/>
              <w:rPr>
                <w:rFonts w:asciiTheme="minorHAnsi" w:hAnsiTheme="minorHAnsi" w:cstheme="minorHAnsi"/>
                <w:sz w:val="22"/>
                <w:szCs w:val="22"/>
                <w:lang w:val="en-US"/>
              </w:rPr>
            </w:pPr>
          </w:p>
        </w:tc>
        <w:tc>
          <w:tcPr>
            <w:tcW w:w="851" w:type="dxa"/>
            <w:vMerge/>
          </w:tcPr>
          <w:p w:rsidR="00030F34" w:rsidRPr="00F46AE8" w:rsidRDefault="00030F34" w:rsidP="00030F34">
            <w:pPr>
              <w:jc w:val="center"/>
              <w:rPr>
                <w:rFonts w:asciiTheme="minorHAnsi" w:hAnsiTheme="minorHAnsi" w:cstheme="minorHAnsi"/>
                <w:sz w:val="22"/>
                <w:szCs w:val="22"/>
                <w:lang w:val="en-US"/>
              </w:rPr>
            </w:pPr>
          </w:p>
        </w:tc>
        <w:tc>
          <w:tcPr>
            <w:tcW w:w="678" w:type="dxa"/>
            <w:vMerge/>
          </w:tcPr>
          <w:p w:rsidR="00030F34" w:rsidRPr="00F46AE8" w:rsidRDefault="00030F34" w:rsidP="00030F34">
            <w:pPr>
              <w:jc w:val="center"/>
              <w:rPr>
                <w:rFonts w:asciiTheme="minorHAnsi" w:hAnsiTheme="minorHAnsi" w:cstheme="minorHAnsi"/>
                <w:sz w:val="22"/>
                <w:szCs w:val="22"/>
                <w:lang w:val="en-US"/>
              </w:rPr>
            </w:pPr>
          </w:p>
        </w:tc>
        <w:tc>
          <w:tcPr>
            <w:tcW w:w="1023" w:type="dxa"/>
            <w:vMerge/>
          </w:tcPr>
          <w:p w:rsidR="00030F34" w:rsidRPr="00F46AE8" w:rsidRDefault="00030F34" w:rsidP="00030F34">
            <w:pPr>
              <w:jc w:val="center"/>
              <w:rPr>
                <w:rFonts w:asciiTheme="minorHAnsi" w:hAnsiTheme="minorHAnsi" w:cstheme="minorHAnsi"/>
                <w:sz w:val="22"/>
                <w:szCs w:val="22"/>
                <w:lang w:val="en-US"/>
              </w:rPr>
            </w:pPr>
          </w:p>
        </w:tc>
        <w:tc>
          <w:tcPr>
            <w:tcW w:w="992" w:type="dxa"/>
            <w:vMerge/>
          </w:tcPr>
          <w:p w:rsidR="00030F34" w:rsidRPr="00F46AE8" w:rsidRDefault="00030F34" w:rsidP="00030F34">
            <w:pPr>
              <w:jc w:val="center"/>
              <w:rPr>
                <w:rFonts w:asciiTheme="minorHAnsi" w:hAnsiTheme="minorHAnsi" w:cstheme="minorHAnsi"/>
                <w:sz w:val="22"/>
                <w:szCs w:val="22"/>
                <w:lang w:val="en-US"/>
              </w:rPr>
            </w:pPr>
          </w:p>
        </w:tc>
        <w:tc>
          <w:tcPr>
            <w:tcW w:w="992" w:type="dxa"/>
          </w:tcPr>
          <w:p w:rsidR="00030F34" w:rsidRPr="00F46AE8" w:rsidRDefault="00030F34" w:rsidP="00030F34">
            <w:pPr>
              <w:jc w:val="center"/>
              <w:rPr>
                <w:rFonts w:asciiTheme="minorHAnsi" w:hAnsiTheme="minorHAnsi" w:cstheme="minorHAnsi"/>
                <w:sz w:val="22"/>
                <w:szCs w:val="22"/>
              </w:rPr>
            </w:pPr>
            <w:r w:rsidRPr="00F46AE8">
              <w:rPr>
                <w:rFonts w:asciiTheme="minorHAnsi" w:hAnsiTheme="minorHAnsi" w:cstheme="minorHAnsi"/>
                <w:sz w:val="22"/>
                <w:szCs w:val="22"/>
                <w:lang w:val="en-US"/>
              </w:rPr>
              <w:t>Inf</w:t>
            </w:r>
            <w:r w:rsidR="00201F77" w:rsidRPr="00F46AE8">
              <w:rPr>
                <w:rFonts w:asciiTheme="minorHAnsi" w:hAnsiTheme="minorHAnsi" w:cstheme="minorHAnsi"/>
                <w:sz w:val="22"/>
                <w:szCs w:val="22"/>
                <w:lang w:val="en-US"/>
              </w:rPr>
              <w:t>e</w:t>
            </w:r>
            <w:r w:rsidRPr="00F46AE8">
              <w:rPr>
                <w:rFonts w:asciiTheme="minorHAnsi" w:hAnsiTheme="minorHAnsi" w:cstheme="minorHAnsi"/>
                <w:sz w:val="22"/>
                <w:szCs w:val="22"/>
                <w:lang w:val="en-US"/>
              </w:rPr>
              <w:t>rior</w:t>
            </w:r>
          </w:p>
        </w:tc>
        <w:tc>
          <w:tcPr>
            <w:tcW w:w="993" w:type="dxa"/>
          </w:tcPr>
          <w:p w:rsidR="00030F34" w:rsidRPr="00F46AE8" w:rsidRDefault="00030F34" w:rsidP="00030F34">
            <w:pPr>
              <w:jc w:val="center"/>
              <w:rPr>
                <w:rFonts w:asciiTheme="minorHAnsi" w:hAnsiTheme="minorHAnsi" w:cstheme="minorHAnsi"/>
                <w:sz w:val="22"/>
                <w:szCs w:val="22"/>
              </w:rPr>
            </w:pPr>
            <w:r w:rsidRPr="00F46AE8">
              <w:rPr>
                <w:rFonts w:asciiTheme="minorHAnsi" w:hAnsiTheme="minorHAnsi" w:cstheme="minorHAnsi"/>
                <w:sz w:val="22"/>
                <w:szCs w:val="22"/>
                <w:lang w:val="en-US"/>
              </w:rPr>
              <w:t>Sup</w:t>
            </w:r>
            <w:r w:rsidR="00201F77" w:rsidRPr="00F46AE8">
              <w:rPr>
                <w:rFonts w:asciiTheme="minorHAnsi" w:hAnsiTheme="minorHAnsi" w:cstheme="minorHAnsi"/>
                <w:sz w:val="22"/>
                <w:szCs w:val="22"/>
                <w:lang w:val="en-US"/>
              </w:rPr>
              <w:t>e</w:t>
            </w:r>
            <w:r w:rsidRPr="00F46AE8">
              <w:rPr>
                <w:rFonts w:asciiTheme="minorHAnsi" w:hAnsiTheme="minorHAnsi" w:cstheme="minorHAnsi"/>
                <w:sz w:val="22"/>
                <w:szCs w:val="22"/>
                <w:lang w:val="en-US"/>
              </w:rPr>
              <w:t>rior</w:t>
            </w:r>
          </w:p>
        </w:tc>
      </w:tr>
      <w:tr w:rsidR="007C6955" w:rsidRPr="00F46AE8" w:rsidTr="007C6955">
        <w:trPr>
          <w:jc w:val="center"/>
        </w:trPr>
        <w:tc>
          <w:tcPr>
            <w:tcW w:w="846" w:type="dxa"/>
            <w:vMerge w:val="restart"/>
          </w:tcPr>
          <w:p w:rsidR="007C6955" w:rsidRPr="00F46AE8" w:rsidRDefault="007C6955" w:rsidP="007C6955">
            <w:pPr>
              <w:rPr>
                <w:rFonts w:asciiTheme="minorHAnsi" w:hAnsiTheme="minorHAnsi" w:cstheme="minorHAnsi"/>
                <w:sz w:val="22"/>
                <w:szCs w:val="22"/>
              </w:rPr>
            </w:pPr>
          </w:p>
          <w:p w:rsidR="007C6955" w:rsidRPr="00F46AE8" w:rsidRDefault="007C6955" w:rsidP="007C6955">
            <w:pPr>
              <w:rPr>
                <w:rFonts w:asciiTheme="minorHAnsi" w:hAnsiTheme="minorHAnsi" w:cstheme="minorHAnsi"/>
                <w:sz w:val="22"/>
                <w:szCs w:val="22"/>
              </w:rPr>
            </w:pPr>
          </w:p>
          <w:p w:rsidR="00F46AE8" w:rsidRDefault="00F46AE8" w:rsidP="007C6955">
            <w:pPr>
              <w:rPr>
                <w:rFonts w:asciiTheme="minorHAnsi" w:hAnsiTheme="minorHAnsi" w:cstheme="minorHAnsi"/>
                <w:sz w:val="22"/>
                <w:szCs w:val="22"/>
              </w:rPr>
            </w:pPr>
          </w:p>
          <w:p w:rsidR="00F46AE8" w:rsidRDefault="00F46AE8" w:rsidP="007C6955">
            <w:pPr>
              <w:rPr>
                <w:rFonts w:asciiTheme="minorHAnsi" w:hAnsiTheme="minorHAnsi" w:cstheme="minorHAnsi"/>
                <w:sz w:val="22"/>
                <w:szCs w:val="22"/>
              </w:rPr>
            </w:pPr>
          </w:p>
          <w:p w:rsidR="00F46AE8" w:rsidRDefault="00F46AE8" w:rsidP="007C6955">
            <w:pPr>
              <w:rPr>
                <w:rFonts w:asciiTheme="minorHAnsi" w:hAnsiTheme="minorHAnsi" w:cstheme="minorHAnsi"/>
                <w:sz w:val="22"/>
                <w:szCs w:val="22"/>
              </w:rPr>
            </w:pPr>
          </w:p>
          <w:p w:rsidR="007C6955" w:rsidRPr="00F46AE8" w:rsidRDefault="007C6955" w:rsidP="007C6955">
            <w:pPr>
              <w:rPr>
                <w:rFonts w:asciiTheme="minorHAnsi" w:hAnsiTheme="minorHAnsi" w:cstheme="minorHAnsi"/>
                <w:sz w:val="22"/>
                <w:szCs w:val="22"/>
              </w:rPr>
            </w:pPr>
            <w:proofErr w:type="spellStart"/>
            <w:r w:rsidRPr="00F46AE8">
              <w:rPr>
                <w:rFonts w:asciiTheme="minorHAnsi" w:hAnsiTheme="minorHAnsi" w:cstheme="minorHAnsi"/>
                <w:sz w:val="22"/>
                <w:szCs w:val="22"/>
              </w:rPr>
              <w:t>Step</w:t>
            </w:r>
            <w:proofErr w:type="spellEnd"/>
            <w:r w:rsidRPr="00F46AE8">
              <w:rPr>
                <w:rFonts w:asciiTheme="minorHAnsi" w:hAnsiTheme="minorHAnsi" w:cstheme="minorHAnsi"/>
                <w:sz w:val="22"/>
                <w:szCs w:val="22"/>
              </w:rPr>
              <w:t xml:space="preserve"> </w:t>
            </w:r>
            <w:r w:rsidRPr="00F46AE8">
              <w:rPr>
                <w:rFonts w:asciiTheme="minorHAnsi" w:hAnsiTheme="minorHAnsi" w:cstheme="minorHAnsi"/>
                <w:sz w:val="22"/>
                <w:szCs w:val="22"/>
                <w:lang w:val="en-US"/>
              </w:rPr>
              <w:t>1</w:t>
            </w:r>
            <w:r w:rsidRPr="00F46AE8">
              <w:rPr>
                <w:rFonts w:asciiTheme="minorHAnsi" w:hAnsiTheme="minorHAnsi" w:cstheme="minorHAnsi"/>
                <w:sz w:val="22"/>
                <w:szCs w:val="22"/>
                <w:vertAlign w:val="superscript"/>
                <w:lang w:val="en-US"/>
              </w:rPr>
              <w:t>a</w:t>
            </w:r>
          </w:p>
        </w:tc>
        <w:tc>
          <w:tcPr>
            <w:tcW w:w="2410" w:type="dxa"/>
          </w:tcPr>
          <w:p w:rsidR="002D7C80" w:rsidRPr="00F46AE8" w:rsidRDefault="002D7C80" w:rsidP="007C6955">
            <w:pPr>
              <w:rPr>
                <w:rFonts w:asciiTheme="minorHAnsi" w:hAnsiTheme="minorHAnsi" w:cstheme="minorHAnsi"/>
                <w:sz w:val="22"/>
                <w:szCs w:val="22"/>
              </w:rPr>
            </w:pPr>
          </w:p>
          <w:p w:rsidR="007C6955" w:rsidRPr="00F46AE8" w:rsidRDefault="007C6955" w:rsidP="007C6955">
            <w:pPr>
              <w:rPr>
                <w:rFonts w:asciiTheme="minorHAnsi" w:hAnsiTheme="minorHAnsi" w:cstheme="minorHAnsi"/>
                <w:sz w:val="22"/>
                <w:szCs w:val="22"/>
              </w:rPr>
            </w:pPr>
            <w:proofErr w:type="spellStart"/>
            <w:proofErr w:type="gramStart"/>
            <w:r w:rsidRPr="00F46AE8">
              <w:rPr>
                <w:rFonts w:asciiTheme="minorHAnsi" w:hAnsiTheme="minorHAnsi" w:cstheme="minorHAnsi"/>
                <w:sz w:val="22"/>
                <w:szCs w:val="22"/>
              </w:rPr>
              <w:t>K.pneumonae</w:t>
            </w:r>
            <w:proofErr w:type="spellEnd"/>
            <w:proofErr w:type="gramEnd"/>
            <w:r w:rsidR="009C54EA">
              <w:rPr>
                <w:rFonts w:asciiTheme="minorHAnsi" w:hAnsiTheme="minorHAnsi" w:cstheme="minorHAnsi"/>
                <w:sz w:val="22"/>
                <w:szCs w:val="22"/>
              </w:rPr>
              <w:t xml:space="preserve"> </w:t>
            </w:r>
          </w:p>
        </w:tc>
        <w:tc>
          <w:tcPr>
            <w:tcW w:w="856"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2.294</w:t>
            </w:r>
          </w:p>
        </w:tc>
        <w:tc>
          <w:tcPr>
            <w:tcW w:w="708"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.667</w:t>
            </w:r>
          </w:p>
        </w:tc>
        <w:tc>
          <w:tcPr>
            <w:tcW w:w="851"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11.833</w:t>
            </w:r>
          </w:p>
        </w:tc>
        <w:tc>
          <w:tcPr>
            <w:tcW w:w="678"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1</w:t>
            </w:r>
          </w:p>
        </w:tc>
        <w:tc>
          <w:tcPr>
            <w:tcW w:w="1023" w:type="dxa"/>
            <w:vAlign w:val="center"/>
          </w:tcPr>
          <w:p w:rsidR="007C6955" w:rsidRPr="00F46AE8" w:rsidRDefault="007C6955" w:rsidP="007C6955">
            <w:pPr>
              <w:jc w:val="both"/>
              <w:rPr>
                <w:rFonts w:asciiTheme="minorHAnsi" w:hAnsiTheme="minorHAnsi" w:cstheme="minorHAnsi"/>
                <w:b/>
                <w:sz w:val="22"/>
                <w:szCs w:val="22"/>
              </w:rPr>
            </w:pPr>
            <w:r w:rsidRPr="00F46AE8">
              <w:rPr>
                <w:rFonts w:asciiTheme="minorHAnsi" w:hAnsiTheme="minorHAnsi" w:cstheme="minorHAnsi"/>
                <w:b/>
                <w:sz w:val="22"/>
                <w:szCs w:val="22"/>
                <w:lang w:val="en-US"/>
              </w:rPr>
              <w:t>.001</w:t>
            </w:r>
          </w:p>
        </w:tc>
        <w:tc>
          <w:tcPr>
            <w:tcW w:w="992" w:type="dxa"/>
            <w:vAlign w:val="center"/>
          </w:tcPr>
          <w:p w:rsidR="007C6955" w:rsidRPr="00F46AE8" w:rsidRDefault="007C6955" w:rsidP="007C6955">
            <w:pPr>
              <w:jc w:val="both"/>
              <w:rPr>
                <w:rFonts w:asciiTheme="minorHAnsi" w:hAnsiTheme="minorHAnsi" w:cstheme="minorHAnsi"/>
                <w:b/>
                <w:sz w:val="22"/>
                <w:szCs w:val="22"/>
              </w:rPr>
            </w:pPr>
            <w:r w:rsidRPr="00F46AE8">
              <w:rPr>
                <w:rFonts w:asciiTheme="minorHAnsi" w:hAnsiTheme="minorHAnsi" w:cstheme="minorHAnsi"/>
                <w:b/>
                <w:bCs/>
                <w:sz w:val="22"/>
                <w:szCs w:val="22"/>
                <w:lang w:val="en-US"/>
              </w:rPr>
              <w:t>9.9</w:t>
            </w:r>
            <w:r w:rsidR="00083215" w:rsidRPr="00F46AE8">
              <w:rPr>
                <w:rFonts w:asciiTheme="minorHAnsi" w:hAnsiTheme="minorHAnsi" w:cstheme="minorHAnsi"/>
                <w:b/>
                <w:bCs/>
                <w:sz w:val="22"/>
                <w:szCs w:val="22"/>
                <w:lang w:val="en-US"/>
              </w:rPr>
              <w:t>2</w:t>
            </w:r>
          </w:p>
        </w:tc>
        <w:tc>
          <w:tcPr>
            <w:tcW w:w="992" w:type="dxa"/>
            <w:vAlign w:val="center"/>
          </w:tcPr>
          <w:p w:rsidR="007C6955" w:rsidRPr="00F46AE8" w:rsidRDefault="007C6955" w:rsidP="007C6955">
            <w:pPr>
              <w:jc w:val="center"/>
              <w:rPr>
                <w:rFonts w:asciiTheme="minorHAnsi" w:hAnsiTheme="minorHAnsi" w:cstheme="minorHAnsi"/>
                <w:sz w:val="22"/>
                <w:szCs w:val="22"/>
              </w:rPr>
            </w:pPr>
            <w:r w:rsidRPr="00F46AE8">
              <w:rPr>
                <w:rFonts w:asciiTheme="minorHAnsi" w:hAnsiTheme="minorHAnsi" w:cstheme="minorHAnsi"/>
                <w:sz w:val="22"/>
                <w:szCs w:val="22"/>
                <w:lang w:val="en-US"/>
              </w:rPr>
              <w:t>2.684</w:t>
            </w:r>
          </w:p>
        </w:tc>
        <w:tc>
          <w:tcPr>
            <w:tcW w:w="993" w:type="dxa"/>
            <w:vAlign w:val="center"/>
          </w:tcPr>
          <w:p w:rsidR="007C6955" w:rsidRPr="00F46AE8" w:rsidRDefault="007C6955" w:rsidP="007C6955">
            <w:pPr>
              <w:jc w:val="center"/>
              <w:rPr>
                <w:rFonts w:asciiTheme="minorHAnsi" w:hAnsiTheme="minorHAnsi" w:cstheme="minorHAnsi"/>
                <w:sz w:val="22"/>
                <w:szCs w:val="22"/>
              </w:rPr>
            </w:pPr>
            <w:r w:rsidRPr="00F46AE8">
              <w:rPr>
                <w:rFonts w:asciiTheme="minorHAnsi" w:hAnsiTheme="minorHAnsi" w:cstheme="minorHAnsi"/>
                <w:sz w:val="22"/>
                <w:szCs w:val="22"/>
                <w:lang w:val="en-US"/>
              </w:rPr>
              <w:t>36.66</w:t>
            </w:r>
          </w:p>
        </w:tc>
      </w:tr>
      <w:tr w:rsidR="007C6955" w:rsidRPr="00F46AE8" w:rsidTr="007C6955">
        <w:trPr>
          <w:jc w:val="center"/>
        </w:trPr>
        <w:tc>
          <w:tcPr>
            <w:tcW w:w="846" w:type="dxa"/>
            <w:vMerge/>
          </w:tcPr>
          <w:p w:rsidR="007C6955" w:rsidRPr="00F46AE8" w:rsidRDefault="007C6955" w:rsidP="007C6955">
            <w:pPr>
              <w:rPr>
                <w:rFonts w:asciiTheme="minorHAnsi" w:hAnsiTheme="minorHAnsi" w:cstheme="minorHAnsi"/>
                <w:sz w:val="22"/>
                <w:szCs w:val="22"/>
              </w:rPr>
            </w:pPr>
          </w:p>
        </w:tc>
        <w:tc>
          <w:tcPr>
            <w:tcW w:w="2410" w:type="dxa"/>
          </w:tcPr>
          <w:p w:rsidR="002D7C80" w:rsidRPr="00F46AE8" w:rsidRDefault="002D7C80" w:rsidP="007C6955">
            <w:pPr>
              <w:rPr>
                <w:rFonts w:asciiTheme="minorHAnsi" w:hAnsiTheme="minorHAnsi" w:cstheme="minorHAnsi"/>
                <w:sz w:val="22"/>
                <w:szCs w:val="22"/>
              </w:rPr>
            </w:pPr>
          </w:p>
          <w:p w:rsidR="007C6955" w:rsidRPr="00F46AE8" w:rsidRDefault="007C6955" w:rsidP="007C6955">
            <w:pPr>
              <w:rPr>
                <w:rFonts w:asciiTheme="minorHAnsi" w:hAnsiTheme="minorHAnsi" w:cstheme="minorHAnsi"/>
                <w:sz w:val="22"/>
                <w:szCs w:val="22"/>
              </w:rPr>
            </w:pPr>
            <w:proofErr w:type="spellStart"/>
            <w:r w:rsidRPr="00F46AE8">
              <w:rPr>
                <w:rFonts w:asciiTheme="minorHAnsi" w:hAnsiTheme="minorHAnsi" w:cstheme="minorHAnsi"/>
                <w:sz w:val="22"/>
                <w:szCs w:val="22"/>
              </w:rPr>
              <w:t>Urinary</w:t>
            </w:r>
            <w:proofErr w:type="spellEnd"/>
            <w:r w:rsidRPr="00F46AE8">
              <w:rPr>
                <w:rFonts w:asciiTheme="minorHAnsi" w:hAnsiTheme="minorHAnsi" w:cstheme="minorHAnsi"/>
                <w:sz w:val="22"/>
                <w:szCs w:val="22"/>
              </w:rPr>
              <w:t xml:space="preserve"> sepsis</w:t>
            </w:r>
          </w:p>
        </w:tc>
        <w:tc>
          <w:tcPr>
            <w:tcW w:w="856"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1.710</w:t>
            </w:r>
          </w:p>
        </w:tc>
        <w:tc>
          <w:tcPr>
            <w:tcW w:w="708"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.634</w:t>
            </w:r>
          </w:p>
        </w:tc>
        <w:tc>
          <w:tcPr>
            <w:tcW w:w="851"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7.279</w:t>
            </w:r>
          </w:p>
        </w:tc>
        <w:tc>
          <w:tcPr>
            <w:tcW w:w="678"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1</w:t>
            </w:r>
          </w:p>
        </w:tc>
        <w:tc>
          <w:tcPr>
            <w:tcW w:w="1023" w:type="dxa"/>
            <w:vAlign w:val="center"/>
          </w:tcPr>
          <w:p w:rsidR="007C6955" w:rsidRPr="00F46AE8" w:rsidRDefault="007C6955" w:rsidP="007C6955">
            <w:pPr>
              <w:jc w:val="both"/>
              <w:rPr>
                <w:rFonts w:asciiTheme="minorHAnsi" w:hAnsiTheme="minorHAnsi" w:cstheme="minorHAnsi"/>
                <w:b/>
                <w:sz w:val="22"/>
                <w:szCs w:val="22"/>
              </w:rPr>
            </w:pPr>
            <w:r w:rsidRPr="00F46AE8">
              <w:rPr>
                <w:rFonts w:asciiTheme="minorHAnsi" w:hAnsiTheme="minorHAnsi" w:cstheme="minorHAnsi"/>
                <w:b/>
                <w:sz w:val="22"/>
                <w:szCs w:val="22"/>
                <w:lang w:val="en-US"/>
              </w:rPr>
              <w:t>.007</w:t>
            </w:r>
          </w:p>
        </w:tc>
        <w:tc>
          <w:tcPr>
            <w:tcW w:w="992" w:type="dxa"/>
            <w:vAlign w:val="center"/>
          </w:tcPr>
          <w:p w:rsidR="007C6955" w:rsidRPr="00F46AE8" w:rsidRDefault="007C6955" w:rsidP="007C6955">
            <w:pPr>
              <w:jc w:val="both"/>
              <w:rPr>
                <w:rFonts w:asciiTheme="minorHAnsi" w:hAnsiTheme="minorHAnsi" w:cstheme="minorHAnsi"/>
                <w:b/>
                <w:sz w:val="22"/>
                <w:szCs w:val="22"/>
              </w:rPr>
            </w:pPr>
            <w:r w:rsidRPr="00F46AE8">
              <w:rPr>
                <w:rFonts w:asciiTheme="minorHAnsi" w:hAnsiTheme="minorHAnsi" w:cstheme="minorHAnsi"/>
                <w:b/>
                <w:bCs/>
                <w:sz w:val="22"/>
                <w:szCs w:val="22"/>
                <w:lang w:val="en-US"/>
              </w:rPr>
              <w:t>5.53</w:t>
            </w:r>
          </w:p>
        </w:tc>
        <w:tc>
          <w:tcPr>
            <w:tcW w:w="992" w:type="dxa"/>
            <w:vAlign w:val="center"/>
          </w:tcPr>
          <w:p w:rsidR="007C6955" w:rsidRPr="00F46AE8" w:rsidRDefault="007C6955" w:rsidP="007C6955">
            <w:pPr>
              <w:jc w:val="center"/>
              <w:rPr>
                <w:rFonts w:asciiTheme="minorHAnsi" w:hAnsiTheme="minorHAnsi" w:cstheme="minorHAnsi"/>
                <w:sz w:val="22"/>
                <w:szCs w:val="22"/>
              </w:rPr>
            </w:pPr>
            <w:r w:rsidRPr="00F46AE8">
              <w:rPr>
                <w:rFonts w:asciiTheme="minorHAnsi" w:hAnsiTheme="minorHAnsi" w:cstheme="minorHAnsi"/>
                <w:sz w:val="22"/>
                <w:szCs w:val="22"/>
                <w:lang w:val="en-US"/>
              </w:rPr>
              <w:t>1.596</w:t>
            </w:r>
          </w:p>
        </w:tc>
        <w:tc>
          <w:tcPr>
            <w:tcW w:w="993" w:type="dxa"/>
            <w:vAlign w:val="center"/>
          </w:tcPr>
          <w:p w:rsidR="007C6955" w:rsidRPr="00F46AE8" w:rsidRDefault="007C6955" w:rsidP="007C6955">
            <w:pPr>
              <w:jc w:val="center"/>
              <w:rPr>
                <w:rFonts w:asciiTheme="minorHAnsi" w:hAnsiTheme="minorHAnsi" w:cstheme="minorHAnsi"/>
                <w:sz w:val="22"/>
                <w:szCs w:val="22"/>
              </w:rPr>
            </w:pPr>
            <w:r w:rsidRPr="00F46AE8">
              <w:rPr>
                <w:rFonts w:asciiTheme="minorHAnsi" w:hAnsiTheme="minorHAnsi" w:cstheme="minorHAnsi"/>
                <w:sz w:val="22"/>
                <w:szCs w:val="22"/>
                <w:lang w:val="en-US"/>
              </w:rPr>
              <w:t>19.15</w:t>
            </w:r>
          </w:p>
        </w:tc>
      </w:tr>
      <w:tr w:rsidR="007C6955" w:rsidRPr="00F46AE8" w:rsidTr="007C6955">
        <w:trPr>
          <w:jc w:val="center"/>
        </w:trPr>
        <w:tc>
          <w:tcPr>
            <w:tcW w:w="846" w:type="dxa"/>
            <w:vMerge/>
          </w:tcPr>
          <w:p w:rsidR="007C6955" w:rsidRPr="00F46AE8" w:rsidRDefault="007C6955" w:rsidP="007C6955">
            <w:pPr>
              <w:rPr>
                <w:rFonts w:asciiTheme="minorHAnsi" w:hAnsiTheme="minorHAnsi" w:cstheme="minorHAnsi"/>
                <w:sz w:val="22"/>
                <w:szCs w:val="22"/>
              </w:rPr>
            </w:pPr>
          </w:p>
        </w:tc>
        <w:tc>
          <w:tcPr>
            <w:tcW w:w="2410" w:type="dxa"/>
          </w:tcPr>
          <w:p w:rsidR="002D7C80" w:rsidRPr="00F46AE8" w:rsidRDefault="002D7C80" w:rsidP="007C6955">
            <w:pPr>
              <w:rPr>
                <w:rFonts w:asciiTheme="minorHAnsi" w:hAnsiTheme="minorHAnsi" w:cstheme="minorHAnsi"/>
                <w:sz w:val="22"/>
                <w:szCs w:val="22"/>
              </w:rPr>
            </w:pPr>
          </w:p>
          <w:p w:rsidR="007C6955" w:rsidRPr="00F46AE8" w:rsidRDefault="007C6955" w:rsidP="007C6955">
            <w:pPr>
              <w:rPr>
                <w:rFonts w:asciiTheme="minorHAnsi" w:hAnsiTheme="minorHAnsi" w:cstheme="minorHAnsi"/>
                <w:sz w:val="22"/>
                <w:szCs w:val="22"/>
              </w:rPr>
            </w:pPr>
            <w:proofErr w:type="spellStart"/>
            <w:r w:rsidRPr="00F46AE8">
              <w:rPr>
                <w:rFonts w:asciiTheme="minorHAnsi" w:hAnsiTheme="minorHAnsi" w:cstheme="minorHAnsi"/>
                <w:sz w:val="22"/>
                <w:szCs w:val="22"/>
              </w:rPr>
              <w:t>Hyperlactatemia</w:t>
            </w:r>
            <w:proofErr w:type="spellEnd"/>
          </w:p>
        </w:tc>
        <w:tc>
          <w:tcPr>
            <w:tcW w:w="856"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2.938</w:t>
            </w:r>
          </w:p>
        </w:tc>
        <w:tc>
          <w:tcPr>
            <w:tcW w:w="708"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.665</w:t>
            </w:r>
          </w:p>
        </w:tc>
        <w:tc>
          <w:tcPr>
            <w:tcW w:w="851"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19.523</w:t>
            </w:r>
          </w:p>
        </w:tc>
        <w:tc>
          <w:tcPr>
            <w:tcW w:w="678"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1</w:t>
            </w:r>
          </w:p>
        </w:tc>
        <w:tc>
          <w:tcPr>
            <w:tcW w:w="1023" w:type="dxa"/>
            <w:vAlign w:val="center"/>
          </w:tcPr>
          <w:p w:rsidR="007C6955" w:rsidRPr="00F46AE8" w:rsidRDefault="007C6955" w:rsidP="007C6955">
            <w:pPr>
              <w:jc w:val="both"/>
              <w:rPr>
                <w:rFonts w:asciiTheme="minorHAnsi" w:hAnsiTheme="minorHAnsi" w:cstheme="minorHAnsi"/>
                <w:b/>
                <w:sz w:val="22"/>
                <w:szCs w:val="22"/>
              </w:rPr>
            </w:pPr>
            <w:r w:rsidRPr="00F46AE8">
              <w:rPr>
                <w:rFonts w:asciiTheme="minorHAnsi" w:hAnsiTheme="minorHAnsi" w:cstheme="minorHAnsi"/>
                <w:b/>
                <w:sz w:val="22"/>
                <w:szCs w:val="22"/>
                <w:lang w:val="en-US"/>
              </w:rPr>
              <w:t>.000</w:t>
            </w:r>
          </w:p>
        </w:tc>
        <w:tc>
          <w:tcPr>
            <w:tcW w:w="992" w:type="dxa"/>
            <w:vAlign w:val="center"/>
          </w:tcPr>
          <w:p w:rsidR="007C6955" w:rsidRPr="00F46AE8" w:rsidRDefault="007C6955" w:rsidP="007C6955">
            <w:pPr>
              <w:jc w:val="both"/>
              <w:rPr>
                <w:rFonts w:asciiTheme="minorHAnsi" w:hAnsiTheme="minorHAnsi" w:cstheme="minorHAnsi"/>
                <w:b/>
                <w:sz w:val="22"/>
                <w:szCs w:val="22"/>
              </w:rPr>
            </w:pPr>
            <w:r w:rsidRPr="00F46AE8">
              <w:rPr>
                <w:rFonts w:asciiTheme="minorHAnsi" w:hAnsiTheme="minorHAnsi" w:cstheme="minorHAnsi"/>
                <w:b/>
                <w:bCs/>
                <w:sz w:val="22"/>
                <w:szCs w:val="22"/>
                <w:lang w:val="en-US"/>
              </w:rPr>
              <w:t>18.</w:t>
            </w:r>
            <w:r w:rsidR="00083215" w:rsidRPr="00F46AE8">
              <w:rPr>
                <w:rFonts w:asciiTheme="minorHAnsi" w:hAnsiTheme="minorHAnsi" w:cstheme="minorHAnsi"/>
                <w:b/>
                <w:bCs/>
                <w:sz w:val="22"/>
                <w:szCs w:val="22"/>
                <w:lang w:val="en-US"/>
              </w:rPr>
              <w:t>9</w:t>
            </w:r>
          </w:p>
        </w:tc>
        <w:tc>
          <w:tcPr>
            <w:tcW w:w="992" w:type="dxa"/>
            <w:vAlign w:val="center"/>
          </w:tcPr>
          <w:p w:rsidR="007C6955" w:rsidRPr="00F46AE8" w:rsidRDefault="007C6955" w:rsidP="007C6955">
            <w:pPr>
              <w:jc w:val="center"/>
              <w:rPr>
                <w:rFonts w:asciiTheme="minorHAnsi" w:hAnsiTheme="minorHAnsi" w:cstheme="minorHAnsi"/>
                <w:sz w:val="22"/>
                <w:szCs w:val="22"/>
              </w:rPr>
            </w:pPr>
            <w:r w:rsidRPr="00F46AE8">
              <w:rPr>
                <w:rFonts w:asciiTheme="minorHAnsi" w:hAnsiTheme="minorHAnsi" w:cstheme="minorHAnsi"/>
                <w:sz w:val="22"/>
                <w:szCs w:val="22"/>
                <w:lang w:val="en-US"/>
              </w:rPr>
              <w:t>5.129</w:t>
            </w:r>
          </w:p>
        </w:tc>
        <w:tc>
          <w:tcPr>
            <w:tcW w:w="993" w:type="dxa"/>
            <w:vAlign w:val="center"/>
          </w:tcPr>
          <w:p w:rsidR="007C6955" w:rsidRPr="00F46AE8" w:rsidRDefault="007C6955" w:rsidP="007C6955">
            <w:pPr>
              <w:jc w:val="center"/>
              <w:rPr>
                <w:rFonts w:asciiTheme="minorHAnsi" w:hAnsiTheme="minorHAnsi" w:cstheme="minorHAnsi"/>
                <w:sz w:val="22"/>
                <w:szCs w:val="22"/>
              </w:rPr>
            </w:pPr>
            <w:r w:rsidRPr="00F46AE8">
              <w:rPr>
                <w:rFonts w:asciiTheme="minorHAnsi" w:hAnsiTheme="minorHAnsi" w:cstheme="minorHAnsi"/>
                <w:sz w:val="22"/>
                <w:szCs w:val="22"/>
                <w:lang w:val="en-US"/>
              </w:rPr>
              <w:t>69.52</w:t>
            </w:r>
          </w:p>
        </w:tc>
      </w:tr>
      <w:tr w:rsidR="007C6955" w:rsidRPr="00F46AE8" w:rsidTr="007C6955">
        <w:trPr>
          <w:jc w:val="center"/>
        </w:trPr>
        <w:tc>
          <w:tcPr>
            <w:tcW w:w="846" w:type="dxa"/>
            <w:vMerge/>
          </w:tcPr>
          <w:p w:rsidR="007C6955" w:rsidRPr="00F46AE8" w:rsidRDefault="007C6955" w:rsidP="007C6955">
            <w:pPr>
              <w:rPr>
                <w:rFonts w:asciiTheme="minorHAnsi" w:hAnsiTheme="minorHAnsi" w:cstheme="minorHAnsi"/>
                <w:sz w:val="22"/>
                <w:szCs w:val="22"/>
              </w:rPr>
            </w:pPr>
          </w:p>
        </w:tc>
        <w:tc>
          <w:tcPr>
            <w:tcW w:w="2410" w:type="dxa"/>
          </w:tcPr>
          <w:p w:rsidR="002D7C80" w:rsidRPr="00F46AE8" w:rsidRDefault="002D7C80" w:rsidP="007C6955">
            <w:pPr>
              <w:rPr>
                <w:rFonts w:asciiTheme="minorHAnsi" w:hAnsiTheme="minorHAnsi" w:cstheme="minorHAnsi"/>
                <w:sz w:val="22"/>
                <w:szCs w:val="22"/>
              </w:rPr>
            </w:pPr>
          </w:p>
          <w:p w:rsidR="007C6955" w:rsidRPr="00F46AE8" w:rsidRDefault="007C6955" w:rsidP="007C6955">
            <w:pPr>
              <w:rPr>
                <w:rFonts w:asciiTheme="minorHAnsi" w:hAnsiTheme="minorHAnsi" w:cstheme="minorHAnsi"/>
                <w:sz w:val="22"/>
                <w:szCs w:val="22"/>
              </w:rPr>
            </w:pPr>
            <w:proofErr w:type="spellStart"/>
            <w:proofErr w:type="gramStart"/>
            <w:r w:rsidRPr="00F46AE8">
              <w:rPr>
                <w:rFonts w:asciiTheme="minorHAnsi" w:hAnsiTheme="minorHAnsi" w:cstheme="minorHAnsi"/>
                <w:sz w:val="22"/>
                <w:szCs w:val="22"/>
              </w:rPr>
              <w:t>A.Baumannii</w:t>
            </w:r>
            <w:proofErr w:type="spellEnd"/>
            <w:proofErr w:type="gramEnd"/>
            <w:r w:rsidRPr="00F46AE8">
              <w:rPr>
                <w:rFonts w:asciiTheme="minorHAnsi" w:hAnsiTheme="minorHAnsi" w:cstheme="minorHAnsi"/>
                <w:sz w:val="22"/>
                <w:szCs w:val="22"/>
              </w:rPr>
              <w:t xml:space="preserve"> </w:t>
            </w:r>
            <w:proofErr w:type="spellStart"/>
            <w:r w:rsidRPr="00F46AE8">
              <w:rPr>
                <w:rFonts w:asciiTheme="minorHAnsi" w:hAnsiTheme="minorHAnsi" w:cstheme="minorHAnsi"/>
                <w:sz w:val="22"/>
                <w:szCs w:val="22"/>
              </w:rPr>
              <w:t>resistance</w:t>
            </w:r>
            <w:proofErr w:type="spellEnd"/>
          </w:p>
        </w:tc>
        <w:tc>
          <w:tcPr>
            <w:tcW w:w="856"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1.815</w:t>
            </w:r>
          </w:p>
        </w:tc>
        <w:tc>
          <w:tcPr>
            <w:tcW w:w="708"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.790</w:t>
            </w:r>
          </w:p>
        </w:tc>
        <w:tc>
          <w:tcPr>
            <w:tcW w:w="851"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5.277</w:t>
            </w:r>
          </w:p>
        </w:tc>
        <w:tc>
          <w:tcPr>
            <w:tcW w:w="678"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1</w:t>
            </w:r>
          </w:p>
        </w:tc>
        <w:tc>
          <w:tcPr>
            <w:tcW w:w="1023" w:type="dxa"/>
            <w:vAlign w:val="center"/>
          </w:tcPr>
          <w:p w:rsidR="007C6955" w:rsidRPr="00F46AE8" w:rsidRDefault="007C6955" w:rsidP="007C6955">
            <w:pPr>
              <w:jc w:val="both"/>
              <w:rPr>
                <w:rFonts w:asciiTheme="minorHAnsi" w:hAnsiTheme="minorHAnsi" w:cstheme="minorHAnsi"/>
                <w:b/>
                <w:sz w:val="22"/>
                <w:szCs w:val="22"/>
              </w:rPr>
            </w:pPr>
            <w:r w:rsidRPr="00F46AE8">
              <w:rPr>
                <w:rFonts w:asciiTheme="minorHAnsi" w:hAnsiTheme="minorHAnsi" w:cstheme="minorHAnsi"/>
                <w:b/>
                <w:sz w:val="22"/>
                <w:szCs w:val="22"/>
                <w:lang w:val="en-US"/>
              </w:rPr>
              <w:t>.022</w:t>
            </w:r>
          </w:p>
        </w:tc>
        <w:tc>
          <w:tcPr>
            <w:tcW w:w="992" w:type="dxa"/>
            <w:vAlign w:val="center"/>
          </w:tcPr>
          <w:p w:rsidR="007C6955" w:rsidRPr="00F46AE8" w:rsidRDefault="007C6955" w:rsidP="007C6955">
            <w:pPr>
              <w:jc w:val="both"/>
              <w:rPr>
                <w:rFonts w:asciiTheme="minorHAnsi" w:hAnsiTheme="minorHAnsi" w:cstheme="minorHAnsi"/>
                <w:b/>
                <w:sz w:val="22"/>
                <w:szCs w:val="22"/>
              </w:rPr>
            </w:pPr>
            <w:r w:rsidRPr="00F46AE8">
              <w:rPr>
                <w:rFonts w:asciiTheme="minorHAnsi" w:hAnsiTheme="minorHAnsi" w:cstheme="minorHAnsi"/>
                <w:b/>
                <w:bCs/>
                <w:sz w:val="22"/>
                <w:szCs w:val="22"/>
                <w:lang w:val="en-US"/>
              </w:rPr>
              <w:t>6.14</w:t>
            </w:r>
          </w:p>
        </w:tc>
        <w:tc>
          <w:tcPr>
            <w:tcW w:w="992" w:type="dxa"/>
            <w:vAlign w:val="center"/>
          </w:tcPr>
          <w:p w:rsidR="007C6955" w:rsidRPr="00F46AE8" w:rsidRDefault="007C6955" w:rsidP="007C6955">
            <w:pPr>
              <w:jc w:val="center"/>
              <w:rPr>
                <w:rFonts w:asciiTheme="minorHAnsi" w:hAnsiTheme="minorHAnsi" w:cstheme="minorHAnsi"/>
                <w:sz w:val="22"/>
                <w:szCs w:val="22"/>
              </w:rPr>
            </w:pPr>
            <w:r w:rsidRPr="00F46AE8">
              <w:rPr>
                <w:rFonts w:asciiTheme="minorHAnsi" w:hAnsiTheme="minorHAnsi" w:cstheme="minorHAnsi"/>
                <w:sz w:val="22"/>
                <w:szCs w:val="22"/>
                <w:lang w:val="en-US"/>
              </w:rPr>
              <w:t>1.305</w:t>
            </w:r>
          </w:p>
        </w:tc>
        <w:tc>
          <w:tcPr>
            <w:tcW w:w="993" w:type="dxa"/>
            <w:vAlign w:val="center"/>
          </w:tcPr>
          <w:p w:rsidR="007C6955" w:rsidRPr="00F46AE8" w:rsidRDefault="007C6955" w:rsidP="007C6955">
            <w:pPr>
              <w:jc w:val="center"/>
              <w:rPr>
                <w:rFonts w:asciiTheme="minorHAnsi" w:hAnsiTheme="minorHAnsi" w:cstheme="minorHAnsi"/>
                <w:sz w:val="22"/>
                <w:szCs w:val="22"/>
              </w:rPr>
            </w:pPr>
            <w:r w:rsidRPr="00F46AE8">
              <w:rPr>
                <w:rFonts w:asciiTheme="minorHAnsi" w:hAnsiTheme="minorHAnsi" w:cstheme="minorHAnsi"/>
                <w:sz w:val="22"/>
                <w:szCs w:val="22"/>
                <w:lang w:val="en-US"/>
              </w:rPr>
              <w:t>28.88</w:t>
            </w:r>
          </w:p>
        </w:tc>
      </w:tr>
      <w:tr w:rsidR="007C6955" w:rsidRPr="00F46AE8" w:rsidTr="007C6955">
        <w:trPr>
          <w:jc w:val="center"/>
        </w:trPr>
        <w:tc>
          <w:tcPr>
            <w:tcW w:w="846" w:type="dxa"/>
            <w:vMerge/>
          </w:tcPr>
          <w:p w:rsidR="007C6955" w:rsidRPr="00F46AE8" w:rsidRDefault="007C6955" w:rsidP="007C6955">
            <w:pPr>
              <w:rPr>
                <w:rFonts w:asciiTheme="minorHAnsi" w:hAnsiTheme="minorHAnsi" w:cstheme="minorHAnsi"/>
                <w:sz w:val="22"/>
                <w:szCs w:val="22"/>
              </w:rPr>
            </w:pPr>
          </w:p>
        </w:tc>
        <w:tc>
          <w:tcPr>
            <w:tcW w:w="2410" w:type="dxa"/>
          </w:tcPr>
          <w:p w:rsidR="002D7C80" w:rsidRPr="00F46AE8" w:rsidRDefault="002D7C80" w:rsidP="007C6955">
            <w:pPr>
              <w:rPr>
                <w:rFonts w:asciiTheme="minorHAnsi" w:hAnsiTheme="minorHAnsi" w:cstheme="minorHAnsi"/>
                <w:sz w:val="22"/>
                <w:szCs w:val="22"/>
              </w:rPr>
            </w:pPr>
          </w:p>
          <w:p w:rsidR="007C6955" w:rsidRPr="00F46AE8" w:rsidRDefault="002D7C80" w:rsidP="007C6955">
            <w:pPr>
              <w:rPr>
                <w:rFonts w:asciiTheme="minorHAnsi" w:hAnsiTheme="minorHAnsi" w:cstheme="minorHAnsi"/>
                <w:sz w:val="22"/>
                <w:szCs w:val="22"/>
              </w:rPr>
            </w:pPr>
            <w:r w:rsidRPr="00F46AE8">
              <w:rPr>
                <w:rFonts w:asciiTheme="minorHAnsi" w:hAnsiTheme="minorHAnsi" w:cstheme="minorHAnsi"/>
                <w:sz w:val="22"/>
                <w:szCs w:val="22"/>
              </w:rPr>
              <w:t>C</w:t>
            </w:r>
            <w:r w:rsidR="007C6955" w:rsidRPr="00F46AE8">
              <w:rPr>
                <w:rFonts w:asciiTheme="minorHAnsi" w:hAnsiTheme="minorHAnsi" w:cstheme="minorHAnsi"/>
                <w:sz w:val="22"/>
                <w:szCs w:val="22"/>
              </w:rPr>
              <w:t>onstant</w:t>
            </w:r>
          </w:p>
          <w:p w:rsidR="002D7C80" w:rsidRPr="00F46AE8" w:rsidRDefault="002D7C80" w:rsidP="007C6955">
            <w:pPr>
              <w:rPr>
                <w:rFonts w:asciiTheme="minorHAnsi" w:hAnsiTheme="minorHAnsi" w:cstheme="minorHAnsi"/>
                <w:sz w:val="22"/>
                <w:szCs w:val="22"/>
              </w:rPr>
            </w:pPr>
          </w:p>
        </w:tc>
        <w:tc>
          <w:tcPr>
            <w:tcW w:w="856"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-5.671</w:t>
            </w:r>
          </w:p>
        </w:tc>
        <w:tc>
          <w:tcPr>
            <w:tcW w:w="708"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.997</w:t>
            </w:r>
          </w:p>
        </w:tc>
        <w:tc>
          <w:tcPr>
            <w:tcW w:w="851"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32.379</w:t>
            </w:r>
          </w:p>
        </w:tc>
        <w:tc>
          <w:tcPr>
            <w:tcW w:w="678"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1</w:t>
            </w:r>
          </w:p>
        </w:tc>
        <w:tc>
          <w:tcPr>
            <w:tcW w:w="1023"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.000</w:t>
            </w:r>
          </w:p>
        </w:tc>
        <w:tc>
          <w:tcPr>
            <w:tcW w:w="992" w:type="dxa"/>
            <w:vAlign w:val="center"/>
          </w:tcPr>
          <w:p w:rsidR="007C6955" w:rsidRPr="00F46AE8" w:rsidRDefault="007C6955" w:rsidP="007C6955">
            <w:pPr>
              <w:jc w:val="both"/>
              <w:rPr>
                <w:rFonts w:asciiTheme="minorHAnsi" w:hAnsiTheme="minorHAnsi" w:cstheme="minorHAnsi"/>
                <w:sz w:val="22"/>
                <w:szCs w:val="22"/>
              </w:rPr>
            </w:pPr>
            <w:r w:rsidRPr="00F46AE8">
              <w:rPr>
                <w:rFonts w:asciiTheme="minorHAnsi" w:hAnsiTheme="minorHAnsi" w:cstheme="minorHAnsi"/>
                <w:sz w:val="22"/>
                <w:szCs w:val="22"/>
                <w:lang w:val="en-US"/>
              </w:rPr>
              <w:t>.003</w:t>
            </w:r>
          </w:p>
        </w:tc>
        <w:tc>
          <w:tcPr>
            <w:tcW w:w="992" w:type="dxa"/>
            <w:vAlign w:val="center"/>
          </w:tcPr>
          <w:p w:rsidR="007C6955" w:rsidRPr="00F46AE8" w:rsidRDefault="007C6955" w:rsidP="007C6955">
            <w:pPr>
              <w:jc w:val="center"/>
              <w:rPr>
                <w:rFonts w:asciiTheme="minorHAnsi" w:hAnsiTheme="minorHAnsi" w:cstheme="minorHAnsi"/>
                <w:sz w:val="22"/>
                <w:szCs w:val="22"/>
              </w:rPr>
            </w:pPr>
            <w:r w:rsidRPr="00F46AE8">
              <w:rPr>
                <w:rFonts w:asciiTheme="minorHAnsi" w:hAnsiTheme="minorHAnsi" w:cstheme="minorHAnsi"/>
                <w:sz w:val="22"/>
                <w:szCs w:val="22"/>
                <w:lang w:val="en-US"/>
              </w:rPr>
              <w:t>2.684</w:t>
            </w:r>
          </w:p>
        </w:tc>
        <w:tc>
          <w:tcPr>
            <w:tcW w:w="993" w:type="dxa"/>
            <w:vAlign w:val="center"/>
          </w:tcPr>
          <w:p w:rsidR="007C6955" w:rsidRPr="00F46AE8" w:rsidRDefault="007C6955" w:rsidP="007C6955">
            <w:pPr>
              <w:jc w:val="center"/>
              <w:rPr>
                <w:rFonts w:asciiTheme="minorHAnsi" w:hAnsiTheme="minorHAnsi" w:cstheme="minorHAnsi"/>
                <w:sz w:val="22"/>
                <w:szCs w:val="22"/>
              </w:rPr>
            </w:pPr>
            <w:r w:rsidRPr="00F46AE8">
              <w:rPr>
                <w:rFonts w:asciiTheme="minorHAnsi" w:hAnsiTheme="minorHAnsi" w:cstheme="minorHAnsi"/>
                <w:sz w:val="22"/>
                <w:szCs w:val="22"/>
                <w:lang w:val="en-US"/>
              </w:rPr>
              <w:t>36.66</w:t>
            </w:r>
          </w:p>
        </w:tc>
      </w:tr>
    </w:tbl>
    <w:p w:rsidR="00030F34" w:rsidRPr="00FE52A2" w:rsidRDefault="007C6955" w:rsidP="00FE52A2">
      <w:pPr>
        <w:pStyle w:val="Paragraphedeliste"/>
        <w:numPr>
          <w:ilvl w:val="0"/>
          <w:numId w:val="1"/>
        </w:numPr>
        <w:rPr>
          <w:rFonts w:asciiTheme="minorHAnsi" w:hAnsiTheme="minorHAnsi" w:cstheme="minorHAnsi"/>
          <w:lang w:val="en-US"/>
        </w:rPr>
      </w:pPr>
      <w:r w:rsidRPr="00FE52A2">
        <w:rPr>
          <w:rFonts w:asciiTheme="minorHAnsi" w:hAnsiTheme="minorHAnsi" w:cstheme="minorHAnsi"/>
          <w:lang w:val="en-US"/>
        </w:rPr>
        <w:t xml:space="preserve">Variable(s) entered in step 1: </w:t>
      </w:r>
      <w:proofErr w:type="spellStart"/>
      <w:r w:rsidRPr="00FE52A2">
        <w:rPr>
          <w:rFonts w:asciiTheme="minorHAnsi" w:hAnsiTheme="minorHAnsi" w:cstheme="minorHAnsi"/>
          <w:lang w:val="en-US"/>
        </w:rPr>
        <w:t>K_pn</w:t>
      </w:r>
      <w:proofErr w:type="spellEnd"/>
      <w:r w:rsidRPr="00FE52A2">
        <w:rPr>
          <w:rFonts w:asciiTheme="minorHAnsi" w:hAnsiTheme="minorHAnsi" w:cstheme="minorHAnsi"/>
          <w:lang w:val="en-US"/>
        </w:rPr>
        <w:t xml:space="preserve">, </w:t>
      </w:r>
      <w:proofErr w:type="spellStart"/>
      <w:r w:rsidRPr="00FE52A2">
        <w:rPr>
          <w:rFonts w:asciiTheme="minorHAnsi" w:hAnsiTheme="minorHAnsi" w:cstheme="minorHAnsi"/>
          <w:lang w:val="en-US"/>
        </w:rPr>
        <w:t>S_uri</w:t>
      </w:r>
      <w:proofErr w:type="spellEnd"/>
      <w:r w:rsidRPr="00FE52A2">
        <w:rPr>
          <w:rFonts w:asciiTheme="minorHAnsi" w:hAnsiTheme="minorHAnsi" w:cstheme="minorHAnsi"/>
          <w:lang w:val="en-US"/>
        </w:rPr>
        <w:t xml:space="preserve">, </w:t>
      </w:r>
      <w:proofErr w:type="spellStart"/>
      <w:r w:rsidRPr="00FE52A2">
        <w:rPr>
          <w:rFonts w:asciiTheme="minorHAnsi" w:hAnsiTheme="minorHAnsi" w:cstheme="minorHAnsi"/>
          <w:lang w:val="en-US"/>
        </w:rPr>
        <w:t>H_lact</w:t>
      </w:r>
      <w:proofErr w:type="spellEnd"/>
      <w:r w:rsidRPr="00FE52A2">
        <w:rPr>
          <w:rFonts w:asciiTheme="minorHAnsi" w:hAnsiTheme="minorHAnsi" w:cstheme="minorHAnsi"/>
          <w:lang w:val="en-US"/>
        </w:rPr>
        <w:t xml:space="preserve">, </w:t>
      </w:r>
      <w:proofErr w:type="spellStart"/>
      <w:r w:rsidRPr="00FE52A2">
        <w:rPr>
          <w:rFonts w:asciiTheme="minorHAnsi" w:hAnsiTheme="minorHAnsi" w:cstheme="minorHAnsi"/>
          <w:lang w:val="en-US"/>
        </w:rPr>
        <w:t>B_Resist</w:t>
      </w:r>
      <w:proofErr w:type="spellEnd"/>
    </w:p>
    <w:p w:rsidR="00FE52A2" w:rsidRDefault="00FE52A2" w:rsidP="00FE52A2">
      <w:pPr>
        <w:pStyle w:val="Paragraphedeliste"/>
        <w:rPr>
          <w:rFonts w:asciiTheme="minorHAnsi" w:hAnsiTheme="minorHAnsi" w:cstheme="minorHAnsi"/>
          <w:lang w:val="en-US"/>
        </w:rPr>
      </w:pPr>
    </w:p>
    <w:p w:rsidR="00F83043" w:rsidRDefault="00F83043" w:rsidP="00FE52A2">
      <w:pPr>
        <w:ind w:right="-1"/>
        <w:jc w:val="both"/>
        <w:rPr>
          <w:rFonts w:asciiTheme="minorHAnsi" w:hAnsiTheme="minorHAnsi" w:cstheme="minorHAnsi"/>
          <w:lang w:val="en-US"/>
        </w:rPr>
      </w:pPr>
    </w:p>
    <w:p w:rsidR="00803289" w:rsidRDefault="00803289" w:rsidP="00803289">
      <w:pPr>
        <w:autoSpaceDE w:val="0"/>
        <w:autoSpaceDN w:val="0"/>
        <w:adjustRightInd w:val="0"/>
        <w:rPr>
          <w:rFonts w:asciiTheme="minorHAnsi" w:hAnsiTheme="minorHAnsi" w:cstheme="minorHAnsi"/>
          <w:bCs/>
          <w:color w:val="000000" w:themeColor="text1"/>
          <w:lang w:val="en-US"/>
        </w:rPr>
      </w:pPr>
      <w:r w:rsidRPr="00803289">
        <w:rPr>
          <w:rFonts w:asciiTheme="minorHAnsi" w:hAnsiTheme="minorHAnsi" w:cstheme="minorHAnsi"/>
          <w:bCs/>
          <w:color w:val="000000" w:themeColor="text1"/>
          <w:u w:val="single"/>
          <w:lang w:val="en-US"/>
        </w:rPr>
        <w:t>Tab 03:</w:t>
      </w:r>
      <w:r w:rsidRPr="00803289">
        <w:rPr>
          <w:rFonts w:asciiTheme="minorHAnsi" w:hAnsiTheme="minorHAnsi" w:cstheme="minorHAnsi"/>
          <w:bCs/>
          <w:color w:val="000000" w:themeColor="text1"/>
          <w:lang w:val="en-US"/>
        </w:rPr>
        <w:t xml:space="preserve"> Antibiotic resistance: Resistant + intermediate strains</w:t>
      </w:r>
    </w:p>
    <w:p w:rsidR="00803289" w:rsidRPr="00803289" w:rsidRDefault="00803289" w:rsidP="00803289">
      <w:pPr>
        <w:autoSpaceDE w:val="0"/>
        <w:autoSpaceDN w:val="0"/>
        <w:adjustRightInd w:val="0"/>
        <w:rPr>
          <w:rFonts w:asciiTheme="minorHAnsi" w:hAnsiTheme="minorHAnsi" w:cstheme="minorHAnsi"/>
          <w:color w:val="000000" w:themeColor="text1"/>
          <w:lang w:val="en-US"/>
        </w:rPr>
      </w:pPr>
    </w:p>
    <w:tbl>
      <w:tblPr>
        <w:tblStyle w:val="Grilledutableau"/>
        <w:tblW w:w="6739" w:type="dxa"/>
        <w:tblLook w:val="0420" w:firstRow="1" w:lastRow="0" w:firstColumn="0" w:lastColumn="0" w:noHBand="0" w:noVBand="1"/>
      </w:tblPr>
      <w:tblGrid>
        <w:gridCol w:w="1389"/>
        <w:gridCol w:w="1531"/>
        <w:gridCol w:w="2159"/>
        <w:gridCol w:w="1660"/>
      </w:tblGrid>
      <w:tr w:rsidR="00803289" w:rsidRPr="00B72262" w:rsidTr="00803289">
        <w:tc>
          <w:tcPr>
            <w:tcW w:w="1389" w:type="dxa"/>
            <w:hideMark/>
          </w:tcPr>
          <w:p w:rsidR="00803289" w:rsidRPr="00B72262" w:rsidRDefault="00803289" w:rsidP="00803289">
            <w:pPr>
              <w:autoSpaceDE w:val="0"/>
              <w:autoSpaceDN w:val="0"/>
              <w:adjustRightInd w:val="0"/>
              <w:rPr>
                <w:rFonts w:asciiTheme="minorHAnsi" w:hAnsiTheme="minorHAnsi" w:cstheme="minorHAnsi"/>
                <w:color w:val="000000" w:themeColor="text1"/>
                <w:sz w:val="20"/>
                <w:szCs w:val="20"/>
              </w:rPr>
            </w:pPr>
            <w:proofErr w:type="spellStart"/>
            <w:r w:rsidRPr="00B72262">
              <w:rPr>
                <w:rFonts w:asciiTheme="minorHAnsi" w:hAnsiTheme="minorHAnsi" w:cstheme="minorHAnsi"/>
                <w:bCs/>
                <w:color w:val="000000" w:themeColor="text1"/>
                <w:sz w:val="20"/>
                <w:szCs w:val="20"/>
              </w:rPr>
              <w:t>Antibiotics</w:t>
            </w:r>
            <w:proofErr w:type="spellEnd"/>
          </w:p>
        </w:tc>
        <w:tc>
          <w:tcPr>
            <w:tcW w:w="1531" w:type="dxa"/>
            <w:hideMark/>
          </w:tcPr>
          <w:p w:rsidR="00803289" w:rsidRPr="00B72262" w:rsidRDefault="00803289" w:rsidP="00803289">
            <w:pPr>
              <w:autoSpaceDE w:val="0"/>
              <w:autoSpaceDN w:val="0"/>
              <w:adjustRightInd w:val="0"/>
              <w:rPr>
                <w:rFonts w:asciiTheme="minorHAnsi" w:hAnsiTheme="minorHAnsi" w:cstheme="minorHAnsi"/>
                <w:b/>
                <w:bCs/>
                <w:color w:val="000000" w:themeColor="text1"/>
                <w:sz w:val="20"/>
                <w:szCs w:val="20"/>
              </w:rPr>
            </w:pPr>
            <w:proofErr w:type="spellStart"/>
            <w:r w:rsidRPr="00B72262">
              <w:rPr>
                <w:rFonts w:asciiTheme="minorHAnsi" w:hAnsiTheme="minorHAnsi" w:cstheme="minorHAnsi"/>
                <w:b/>
                <w:bCs/>
                <w:color w:val="000000" w:themeColor="text1"/>
                <w:sz w:val="20"/>
                <w:szCs w:val="20"/>
              </w:rPr>
              <w:t>Acinetobacter</w:t>
            </w:r>
            <w:proofErr w:type="spellEnd"/>
            <w:r w:rsidRPr="00B72262">
              <w:rPr>
                <w:rFonts w:asciiTheme="minorHAnsi" w:hAnsiTheme="minorHAnsi" w:cstheme="minorHAnsi"/>
                <w:b/>
                <w:bCs/>
                <w:color w:val="000000" w:themeColor="text1"/>
                <w:sz w:val="20"/>
                <w:szCs w:val="20"/>
              </w:rPr>
              <w:t xml:space="preserve"> </w:t>
            </w:r>
          </w:p>
          <w:p w:rsidR="00803289" w:rsidRPr="00B72262" w:rsidRDefault="00803289" w:rsidP="00803289">
            <w:pPr>
              <w:autoSpaceDE w:val="0"/>
              <w:autoSpaceDN w:val="0"/>
              <w:adjustRightInd w:val="0"/>
              <w:rPr>
                <w:rFonts w:asciiTheme="minorHAnsi" w:hAnsiTheme="minorHAnsi" w:cstheme="minorHAnsi"/>
                <w:color w:val="000000" w:themeColor="text1"/>
                <w:sz w:val="20"/>
                <w:szCs w:val="20"/>
              </w:rPr>
            </w:pPr>
            <w:proofErr w:type="spellStart"/>
            <w:proofErr w:type="gramStart"/>
            <w:r w:rsidRPr="00B72262">
              <w:rPr>
                <w:rFonts w:asciiTheme="minorHAnsi" w:hAnsiTheme="minorHAnsi" w:cstheme="minorHAnsi"/>
                <w:b/>
                <w:bCs/>
                <w:color w:val="000000" w:themeColor="text1"/>
                <w:sz w:val="20"/>
                <w:szCs w:val="20"/>
              </w:rPr>
              <w:t>baumanii</w:t>
            </w:r>
            <w:proofErr w:type="spellEnd"/>
            <w:proofErr w:type="gramEnd"/>
            <w:r w:rsidRPr="00B72262">
              <w:rPr>
                <w:rFonts w:asciiTheme="minorHAnsi" w:hAnsiTheme="minorHAnsi" w:cstheme="minorHAnsi"/>
                <w:b/>
                <w:bCs/>
                <w:color w:val="000000" w:themeColor="text1"/>
                <w:sz w:val="20"/>
                <w:szCs w:val="20"/>
              </w:rPr>
              <w:t>(n=74)</w:t>
            </w:r>
          </w:p>
        </w:tc>
        <w:tc>
          <w:tcPr>
            <w:tcW w:w="2159" w:type="dxa"/>
          </w:tcPr>
          <w:p w:rsidR="00803289" w:rsidRPr="00B72262" w:rsidRDefault="00803289" w:rsidP="00803289">
            <w:pPr>
              <w:pStyle w:val="NormalWeb"/>
              <w:spacing w:before="0" w:beforeAutospacing="0" w:after="0" w:afterAutospacing="0"/>
              <w:rPr>
                <w:rFonts w:asciiTheme="minorHAnsi" w:hAnsiTheme="minorHAnsi" w:cstheme="minorHAnsi"/>
                <w:sz w:val="20"/>
                <w:szCs w:val="20"/>
              </w:rPr>
            </w:pPr>
            <w:proofErr w:type="spellStart"/>
            <w:r w:rsidRPr="00B72262">
              <w:rPr>
                <w:rFonts w:asciiTheme="minorHAnsi" w:hAnsiTheme="minorHAnsi" w:cstheme="minorHAnsi"/>
                <w:bCs/>
                <w:color w:val="000000" w:themeColor="text1"/>
                <w:kern w:val="24"/>
                <w:sz w:val="20"/>
                <w:szCs w:val="20"/>
              </w:rPr>
              <w:t>Antibiotics</w:t>
            </w:r>
            <w:proofErr w:type="spellEnd"/>
          </w:p>
        </w:tc>
        <w:tc>
          <w:tcPr>
            <w:tcW w:w="1660" w:type="dxa"/>
          </w:tcPr>
          <w:p w:rsidR="00803289" w:rsidRPr="00B72262" w:rsidRDefault="00803289" w:rsidP="00803289">
            <w:pPr>
              <w:pStyle w:val="NormalWeb"/>
              <w:spacing w:before="0" w:beforeAutospacing="0" w:after="0" w:afterAutospacing="0"/>
              <w:jc w:val="center"/>
              <w:rPr>
                <w:rFonts w:asciiTheme="minorHAnsi" w:hAnsiTheme="minorHAnsi" w:cstheme="minorHAnsi"/>
                <w:b/>
                <w:sz w:val="22"/>
                <w:szCs w:val="22"/>
              </w:rPr>
            </w:pPr>
            <w:proofErr w:type="gramStart"/>
            <w:r w:rsidRPr="00B72262">
              <w:rPr>
                <w:rFonts w:asciiTheme="minorHAnsi" w:hAnsiTheme="minorHAnsi" w:cstheme="minorHAnsi"/>
                <w:b/>
                <w:bCs/>
                <w:color w:val="000000" w:themeColor="text1"/>
                <w:kern w:val="24"/>
                <w:sz w:val="22"/>
                <w:szCs w:val="22"/>
              </w:rPr>
              <w:t>K .</w:t>
            </w:r>
            <w:proofErr w:type="gramEnd"/>
            <w:r w:rsidRPr="00B72262">
              <w:rPr>
                <w:rFonts w:asciiTheme="minorHAnsi" w:hAnsiTheme="minorHAnsi" w:cstheme="minorHAnsi"/>
                <w:b/>
                <w:bCs/>
                <w:color w:val="000000" w:themeColor="text1"/>
                <w:kern w:val="24"/>
                <w:sz w:val="22"/>
                <w:szCs w:val="22"/>
              </w:rPr>
              <w:t xml:space="preserve"> </w:t>
            </w:r>
            <w:proofErr w:type="spellStart"/>
            <w:proofErr w:type="gramStart"/>
            <w:r w:rsidRPr="00B72262">
              <w:rPr>
                <w:rFonts w:asciiTheme="minorHAnsi" w:hAnsiTheme="minorHAnsi" w:cstheme="minorHAnsi"/>
                <w:b/>
                <w:bCs/>
                <w:color w:val="000000" w:themeColor="text1"/>
                <w:kern w:val="24"/>
                <w:sz w:val="22"/>
                <w:szCs w:val="22"/>
              </w:rPr>
              <w:t>pneumoniae</w:t>
            </w:r>
            <w:proofErr w:type="spellEnd"/>
            <w:proofErr w:type="gramEnd"/>
          </w:p>
          <w:p w:rsidR="00803289" w:rsidRPr="00B72262" w:rsidRDefault="00803289" w:rsidP="00803289">
            <w:pPr>
              <w:pStyle w:val="NormalWeb"/>
              <w:spacing w:before="0" w:beforeAutospacing="0" w:after="0" w:afterAutospacing="0"/>
              <w:jc w:val="center"/>
              <w:rPr>
                <w:rFonts w:asciiTheme="minorHAnsi" w:hAnsiTheme="minorHAnsi" w:cstheme="minorHAnsi"/>
                <w:b/>
                <w:sz w:val="22"/>
                <w:szCs w:val="22"/>
              </w:rPr>
            </w:pPr>
            <w:r w:rsidRPr="00B72262">
              <w:rPr>
                <w:rFonts w:asciiTheme="minorHAnsi" w:hAnsiTheme="minorHAnsi" w:cstheme="minorHAnsi"/>
                <w:b/>
                <w:bCs/>
                <w:color w:val="000000" w:themeColor="text1"/>
                <w:kern w:val="24"/>
                <w:sz w:val="22"/>
                <w:szCs w:val="22"/>
              </w:rPr>
              <w:t>(</w:t>
            </w:r>
            <w:proofErr w:type="gramStart"/>
            <w:r w:rsidRPr="00B72262">
              <w:rPr>
                <w:rFonts w:asciiTheme="minorHAnsi" w:hAnsiTheme="minorHAnsi" w:cstheme="minorHAnsi"/>
                <w:b/>
                <w:bCs/>
                <w:color w:val="000000" w:themeColor="text1"/>
                <w:kern w:val="24"/>
                <w:sz w:val="22"/>
                <w:szCs w:val="22"/>
              </w:rPr>
              <w:t>n</w:t>
            </w:r>
            <w:proofErr w:type="gramEnd"/>
            <w:r w:rsidRPr="00B72262">
              <w:rPr>
                <w:rFonts w:asciiTheme="minorHAnsi" w:hAnsiTheme="minorHAnsi" w:cstheme="minorHAnsi"/>
                <w:b/>
                <w:bCs/>
                <w:color w:val="000000" w:themeColor="text1"/>
                <w:kern w:val="24"/>
                <w:sz w:val="22"/>
                <w:szCs w:val="22"/>
              </w:rPr>
              <w:t>=52)</w:t>
            </w:r>
          </w:p>
        </w:tc>
      </w:tr>
      <w:tr w:rsidR="00803289" w:rsidRPr="00B72262" w:rsidTr="00803289">
        <w:trPr>
          <w:trHeight w:val="128"/>
        </w:trPr>
        <w:tc>
          <w:tcPr>
            <w:tcW w:w="1389" w:type="dxa"/>
            <w:hideMark/>
          </w:tcPr>
          <w:p w:rsidR="00803289" w:rsidRPr="00B72262" w:rsidRDefault="00803289" w:rsidP="00803289">
            <w:pPr>
              <w:autoSpaceDE w:val="0"/>
              <w:autoSpaceDN w:val="0"/>
              <w:adjustRightInd w:val="0"/>
              <w:rPr>
                <w:rFonts w:asciiTheme="minorHAnsi" w:hAnsiTheme="minorHAnsi" w:cstheme="minorHAnsi"/>
                <w:color w:val="000000" w:themeColor="text1"/>
                <w:sz w:val="20"/>
                <w:szCs w:val="20"/>
              </w:rPr>
            </w:pPr>
            <w:proofErr w:type="spellStart"/>
            <w:r w:rsidRPr="00B72262">
              <w:rPr>
                <w:rFonts w:asciiTheme="minorHAnsi" w:hAnsiTheme="minorHAnsi" w:cstheme="minorHAnsi"/>
                <w:bCs/>
                <w:color w:val="000000" w:themeColor="text1"/>
                <w:sz w:val="20"/>
                <w:szCs w:val="20"/>
              </w:rPr>
              <w:t>Ticarcilline</w:t>
            </w:r>
            <w:proofErr w:type="spellEnd"/>
          </w:p>
        </w:tc>
        <w:tc>
          <w:tcPr>
            <w:tcW w:w="1531" w:type="dxa"/>
            <w:hideMark/>
          </w:tcPr>
          <w:p w:rsidR="00803289" w:rsidRPr="00B72262" w:rsidRDefault="00803289" w:rsidP="00803289">
            <w:pPr>
              <w:autoSpaceDE w:val="0"/>
              <w:autoSpaceDN w:val="0"/>
              <w:adjustRightInd w:val="0"/>
              <w:jc w:val="center"/>
              <w:rPr>
                <w:rFonts w:asciiTheme="minorHAnsi" w:hAnsiTheme="minorHAnsi" w:cstheme="minorHAnsi"/>
                <w:color w:val="000000" w:themeColor="text1"/>
                <w:sz w:val="20"/>
                <w:szCs w:val="20"/>
              </w:rPr>
            </w:pPr>
            <w:r w:rsidRPr="00B72262">
              <w:rPr>
                <w:rFonts w:asciiTheme="minorHAnsi" w:hAnsiTheme="minorHAnsi" w:cstheme="minorHAnsi"/>
                <w:bCs/>
                <w:color w:val="000000" w:themeColor="text1"/>
                <w:sz w:val="20"/>
                <w:szCs w:val="20"/>
              </w:rPr>
              <w:t>65</w:t>
            </w:r>
          </w:p>
        </w:tc>
        <w:tc>
          <w:tcPr>
            <w:tcW w:w="2159" w:type="dxa"/>
          </w:tcPr>
          <w:p w:rsidR="00803289" w:rsidRPr="00B72262" w:rsidRDefault="00803289" w:rsidP="00803289">
            <w:pPr>
              <w:pStyle w:val="NormalWeb"/>
              <w:spacing w:before="0" w:beforeAutospacing="0" w:after="0" w:afterAutospacing="0"/>
              <w:rPr>
                <w:rFonts w:asciiTheme="minorHAnsi" w:hAnsiTheme="minorHAnsi" w:cstheme="minorHAnsi"/>
                <w:sz w:val="20"/>
                <w:szCs w:val="20"/>
              </w:rPr>
            </w:pPr>
            <w:r w:rsidRPr="00B72262">
              <w:rPr>
                <w:rFonts w:asciiTheme="minorHAnsi" w:hAnsiTheme="minorHAnsi" w:cstheme="minorHAnsi"/>
                <w:bCs/>
                <w:color w:val="000000" w:themeColor="text1"/>
                <w:kern w:val="24"/>
                <w:sz w:val="20"/>
                <w:szCs w:val="20"/>
              </w:rPr>
              <w:t>Ampicilline/amoxicilline</w:t>
            </w:r>
          </w:p>
        </w:tc>
        <w:tc>
          <w:tcPr>
            <w:tcW w:w="1660" w:type="dxa"/>
          </w:tcPr>
          <w:p w:rsidR="00803289" w:rsidRPr="00B72262" w:rsidRDefault="00803289" w:rsidP="00803289">
            <w:pPr>
              <w:pStyle w:val="NormalWeb"/>
              <w:spacing w:before="0" w:beforeAutospacing="0" w:after="0" w:afterAutospacing="0"/>
              <w:jc w:val="center"/>
              <w:rPr>
                <w:rFonts w:asciiTheme="minorHAnsi" w:hAnsiTheme="minorHAnsi" w:cstheme="minorHAnsi"/>
                <w:sz w:val="22"/>
                <w:szCs w:val="22"/>
              </w:rPr>
            </w:pPr>
            <w:r w:rsidRPr="00B72262">
              <w:rPr>
                <w:rFonts w:asciiTheme="minorHAnsi" w:hAnsiTheme="minorHAnsi" w:cstheme="minorHAnsi"/>
                <w:color w:val="000000" w:themeColor="text1"/>
                <w:kern w:val="24"/>
                <w:sz w:val="22"/>
                <w:szCs w:val="22"/>
              </w:rPr>
              <w:t>24</w:t>
            </w:r>
          </w:p>
        </w:tc>
      </w:tr>
      <w:tr w:rsidR="00803289" w:rsidRPr="00B72262" w:rsidTr="00803289">
        <w:trPr>
          <w:trHeight w:val="148"/>
        </w:trPr>
        <w:tc>
          <w:tcPr>
            <w:tcW w:w="1389" w:type="dxa"/>
            <w:hideMark/>
          </w:tcPr>
          <w:p w:rsidR="00803289" w:rsidRPr="00B72262" w:rsidRDefault="00803289" w:rsidP="00803289">
            <w:pPr>
              <w:autoSpaceDE w:val="0"/>
              <w:autoSpaceDN w:val="0"/>
              <w:adjustRightInd w:val="0"/>
              <w:rPr>
                <w:rFonts w:asciiTheme="minorHAnsi" w:hAnsiTheme="minorHAnsi" w:cstheme="minorHAnsi"/>
                <w:color w:val="000000" w:themeColor="text1"/>
                <w:sz w:val="20"/>
                <w:szCs w:val="20"/>
              </w:rPr>
            </w:pPr>
            <w:proofErr w:type="spellStart"/>
            <w:r w:rsidRPr="00B72262">
              <w:rPr>
                <w:rFonts w:asciiTheme="minorHAnsi" w:hAnsiTheme="minorHAnsi" w:cstheme="minorHAnsi"/>
                <w:bCs/>
                <w:color w:val="000000" w:themeColor="text1"/>
                <w:sz w:val="20"/>
                <w:szCs w:val="20"/>
              </w:rPr>
              <w:t>Ticarcilline</w:t>
            </w:r>
            <w:proofErr w:type="spellEnd"/>
            <w:r w:rsidRPr="00B72262">
              <w:rPr>
                <w:rFonts w:asciiTheme="minorHAnsi" w:hAnsiTheme="minorHAnsi" w:cstheme="minorHAnsi"/>
                <w:bCs/>
                <w:color w:val="000000" w:themeColor="text1"/>
                <w:sz w:val="20"/>
                <w:szCs w:val="20"/>
              </w:rPr>
              <w:t>+ Acide clavulanique</w:t>
            </w:r>
          </w:p>
        </w:tc>
        <w:tc>
          <w:tcPr>
            <w:tcW w:w="1531" w:type="dxa"/>
            <w:hideMark/>
          </w:tcPr>
          <w:p w:rsidR="00803289" w:rsidRPr="00B72262" w:rsidRDefault="00803289" w:rsidP="00803289">
            <w:pPr>
              <w:autoSpaceDE w:val="0"/>
              <w:autoSpaceDN w:val="0"/>
              <w:adjustRightInd w:val="0"/>
              <w:jc w:val="center"/>
              <w:rPr>
                <w:rFonts w:asciiTheme="minorHAnsi" w:hAnsiTheme="minorHAnsi" w:cstheme="minorHAnsi"/>
                <w:color w:val="000000" w:themeColor="text1"/>
                <w:sz w:val="20"/>
                <w:szCs w:val="20"/>
              </w:rPr>
            </w:pPr>
            <w:r w:rsidRPr="00B72262">
              <w:rPr>
                <w:rFonts w:asciiTheme="minorHAnsi" w:hAnsiTheme="minorHAnsi" w:cstheme="minorHAnsi"/>
                <w:bCs/>
                <w:color w:val="000000" w:themeColor="text1"/>
                <w:sz w:val="20"/>
                <w:szCs w:val="20"/>
              </w:rPr>
              <w:t>68</w:t>
            </w:r>
          </w:p>
        </w:tc>
        <w:tc>
          <w:tcPr>
            <w:tcW w:w="2159" w:type="dxa"/>
          </w:tcPr>
          <w:p w:rsidR="00803289" w:rsidRPr="00B72262" w:rsidRDefault="00803289" w:rsidP="00803289">
            <w:pPr>
              <w:pStyle w:val="NormalWeb"/>
              <w:spacing w:before="0" w:beforeAutospacing="0" w:after="0" w:afterAutospacing="0"/>
              <w:rPr>
                <w:rFonts w:asciiTheme="minorHAnsi" w:hAnsiTheme="minorHAnsi" w:cstheme="minorHAnsi"/>
                <w:sz w:val="20"/>
                <w:szCs w:val="20"/>
              </w:rPr>
            </w:pPr>
            <w:r w:rsidRPr="00B72262">
              <w:rPr>
                <w:rFonts w:asciiTheme="minorHAnsi" w:hAnsiTheme="minorHAnsi" w:cstheme="minorHAnsi"/>
                <w:bCs/>
                <w:color w:val="000000" w:themeColor="text1"/>
                <w:kern w:val="24"/>
                <w:sz w:val="20"/>
                <w:szCs w:val="20"/>
              </w:rPr>
              <w:t>Amoxicilline+ Acide clavulanique</w:t>
            </w:r>
          </w:p>
        </w:tc>
        <w:tc>
          <w:tcPr>
            <w:tcW w:w="1660" w:type="dxa"/>
          </w:tcPr>
          <w:p w:rsidR="00803289" w:rsidRPr="00B72262" w:rsidRDefault="00803289" w:rsidP="00803289">
            <w:pPr>
              <w:pStyle w:val="NormalWeb"/>
              <w:spacing w:before="0" w:beforeAutospacing="0" w:after="0" w:afterAutospacing="0"/>
              <w:jc w:val="center"/>
              <w:rPr>
                <w:rFonts w:asciiTheme="minorHAnsi" w:hAnsiTheme="minorHAnsi" w:cstheme="minorHAnsi"/>
                <w:sz w:val="22"/>
                <w:szCs w:val="22"/>
              </w:rPr>
            </w:pPr>
            <w:r w:rsidRPr="00B72262">
              <w:rPr>
                <w:rFonts w:asciiTheme="minorHAnsi" w:hAnsiTheme="minorHAnsi" w:cstheme="minorHAnsi"/>
                <w:color w:val="000000" w:themeColor="text1"/>
                <w:kern w:val="24"/>
                <w:sz w:val="22"/>
                <w:szCs w:val="22"/>
              </w:rPr>
              <w:t>28</w:t>
            </w:r>
          </w:p>
        </w:tc>
      </w:tr>
      <w:tr w:rsidR="00803289" w:rsidRPr="00B72262" w:rsidTr="00803289">
        <w:trPr>
          <w:trHeight w:val="26"/>
        </w:trPr>
        <w:tc>
          <w:tcPr>
            <w:tcW w:w="1389" w:type="dxa"/>
            <w:hideMark/>
          </w:tcPr>
          <w:p w:rsidR="00803289" w:rsidRPr="00B72262" w:rsidRDefault="00803289" w:rsidP="00803289">
            <w:pPr>
              <w:autoSpaceDE w:val="0"/>
              <w:autoSpaceDN w:val="0"/>
              <w:adjustRightInd w:val="0"/>
              <w:rPr>
                <w:rFonts w:asciiTheme="minorHAnsi" w:hAnsiTheme="minorHAnsi" w:cstheme="minorHAnsi"/>
                <w:color w:val="000000" w:themeColor="text1"/>
                <w:sz w:val="20"/>
                <w:szCs w:val="20"/>
              </w:rPr>
            </w:pPr>
            <w:proofErr w:type="spellStart"/>
            <w:r w:rsidRPr="00B72262">
              <w:rPr>
                <w:rFonts w:asciiTheme="minorHAnsi" w:hAnsiTheme="minorHAnsi" w:cstheme="minorHAnsi"/>
                <w:bCs/>
                <w:color w:val="000000" w:themeColor="text1"/>
                <w:sz w:val="20"/>
                <w:szCs w:val="20"/>
              </w:rPr>
              <w:t>Ceftazidime</w:t>
            </w:r>
            <w:proofErr w:type="spellEnd"/>
          </w:p>
        </w:tc>
        <w:tc>
          <w:tcPr>
            <w:tcW w:w="1531" w:type="dxa"/>
            <w:hideMark/>
          </w:tcPr>
          <w:p w:rsidR="00803289" w:rsidRPr="00B72262" w:rsidRDefault="00803289" w:rsidP="00803289">
            <w:pPr>
              <w:autoSpaceDE w:val="0"/>
              <w:autoSpaceDN w:val="0"/>
              <w:adjustRightInd w:val="0"/>
              <w:jc w:val="center"/>
              <w:rPr>
                <w:rFonts w:asciiTheme="minorHAnsi" w:hAnsiTheme="minorHAnsi" w:cstheme="minorHAnsi"/>
                <w:color w:val="000000" w:themeColor="text1"/>
                <w:sz w:val="20"/>
                <w:szCs w:val="20"/>
              </w:rPr>
            </w:pPr>
            <w:r w:rsidRPr="00B72262">
              <w:rPr>
                <w:rFonts w:asciiTheme="minorHAnsi" w:hAnsiTheme="minorHAnsi" w:cstheme="minorHAnsi"/>
                <w:bCs/>
                <w:color w:val="000000" w:themeColor="text1"/>
                <w:sz w:val="20"/>
                <w:szCs w:val="20"/>
              </w:rPr>
              <w:t>69</w:t>
            </w:r>
          </w:p>
        </w:tc>
        <w:tc>
          <w:tcPr>
            <w:tcW w:w="2159" w:type="dxa"/>
          </w:tcPr>
          <w:p w:rsidR="00803289" w:rsidRPr="00B72262" w:rsidRDefault="00803289" w:rsidP="00803289">
            <w:pPr>
              <w:pStyle w:val="NormalWeb"/>
              <w:spacing w:before="0" w:beforeAutospacing="0" w:after="0" w:afterAutospacing="0"/>
              <w:rPr>
                <w:rFonts w:asciiTheme="minorHAnsi" w:hAnsiTheme="minorHAnsi" w:cstheme="minorHAnsi"/>
                <w:sz w:val="20"/>
                <w:szCs w:val="20"/>
              </w:rPr>
            </w:pPr>
            <w:proofErr w:type="spellStart"/>
            <w:r w:rsidRPr="00B72262">
              <w:rPr>
                <w:rFonts w:asciiTheme="minorHAnsi" w:hAnsiTheme="minorHAnsi" w:cstheme="minorHAnsi"/>
                <w:bCs/>
                <w:color w:val="000000" w:themeColor="text1"/>
                <w:kern w:val="24"/>
                <w:sz w:val="20"/>
                <w:szCs w:val="20"/>
              </w:rPr>
              <w:t>Céfazoline</w:t>
            </w:r>
            <w:proofErr w:type="spellEnd"/>
          </w:p>
        </w:tc>
        <w:tc>
          <w:tcPr>
            <w:tcW w:w="1660" w:type="dxa"/>
          </w:tcPr>
          <w:p w:rsidR="00803289" w:rsidRPr="00B72262" w:rsidRDefault="00803289" w:rsidP="00803289">
            <w:pPr>
              <w:pStyle w:val="NormalWeb"/>
              <w:spacing w:before="0" w:beforeAutospacing="0" w:after="0" w:afterAutospacing="0"/>
              <w:jc w:val="center"/>
              <w:rPr>
                <w:rFonts w:asciiTheme="minorHAnsi" w:hAnsiTheme="minorHAnsi" w:cstheme="minorHAnsi"/>
                <w:sz w:val="22"/>
                <w:szCs w:val="22"/>
              </w:rPr>
            </w:pPr>
            <w:r w:rsidRPr="00B72262">
              <w:rPr>
                <w:rFonts w:asciiTheme="minorHAnsi" w:hAnsiTheme="minorHAnsi" w:cstheme="minorHAnsi"/>
                <w:color w:val="000000" w:themeColor="text1"/>
                <w:kern w:val="24"/>
                <w:sz w:val="22"/>
                <w:szCs w:val="22"/>
              </w:rPr>
              <w:t>38</w:t>
            </w:r>
          </w:p>
        </w:tc>
      </w:tr>
      <w:tr w:rsidR="00803289" w:rsidRPr="00B72262" w:rsidTr="00803289">
        <w:trPr>
          <w:trHeight w:val="47"/>
        </w:trPr>
        <w:tc>
          <w:tcPr>
            <w:tcW w:w="1389" w:type="dxa"/>
            <w:hideMark/>
          </w:tcPr>
          <w:p w:rsidR="00803289" w:rsidRPr="00B72262" w:rsidRDefault="00803289" w:rsidP="00803289">
            <w:pPr>
              <w:autoSpaceDE w:val="0"/>
              <w:autoSpaceDN w:val="0"/>
              <w:adjustRightInd w:val="0"/>
              <w:rPr>
                <w:rFonts w:asciiTheme="minorHAnsi" w:hAnsiTheme="minorHAnsi" w:cstheme="minorHAnsi"/>
                <w:color w:val="000000" w:themeColor="text1"/>
                <w:sz w:val="20"/>
                <w:szCs w:val="20"/>
              </w:rPr>
            </w:pPr>
            <w:proofErr w:type="gramStart"/>
            <w:r w:rsidRPr="00B72262">
              <w:rPr>
                <w:rFonts w:asciiTheme="minorHAnsi" w:hAnsiTheme="minorHAnsi" w:cstheme="minorHAnsi"/>
                <w:bCs/>
                <w:color w:val="000000" w:themeColor="text1"/>
                <w:sz w:val="20"/>
                <w:szCs w:val="20"/>
              </w:rPr>
              <w:t>imipenème</w:t>
            </w:r>
            <w:proofErr w:type="gramEnd"/>
          </w:p>
        </w:tc>
        <w:tc>
          <w:tcPr>
            <w:tcW w:w="1531" w:type="dxa"/>
            <w:hideMark/>
          </w:tcPr>
          <w:p w:rsidR="00803289" w:rsidRPr="00B72262" w:rsidRDefault="00803289" w:rsidP="00803289">
            <w:pPr>
              <w:autoSpaceDE w:val="0"/>
              <w:autoSpaceDN w:val="0"/>
              <w:adjustRightInd w:val="0"/>
              <w:jc w:val="center"/>
              <w:rPr>
                <w:rFonts w:asciiTheme="minorHAnsi" w:hAnsiTheme="minorHAnsi" w:cstheme="minorHAnsi"/>
                <w:color w:val="000000" w:themeColor="text1"/>
                <w:sz w:val="20"/>
                <w:szCs w:val="20"/>
              </w:rPr>
            </w:pPr>
            <w:r w:rsidRPr="00B72262">
              <w:rPr>
                <w:rFonts w:asciiTheme="minorHAnsi" w:hAnsiTheme="minorHAnsi" w:cstheme="minorHAnsi"/>
                <w:bCs/>
                <w:color w:val="000000" w:themeColor="text1"/>
                <w:sz w:val="20"/>
                <w:szCs w:val="20"/>
              </w:rPr>
              <w:t>68</w:t>
            </w:r>
          </w:p>
        </w:tc>
        <w:tc>
          <w:tcPr>
            <w:tcW w:w="2159" w:type="dxa"/>
          </w:tcPr>
          <w:p w:rsidR="00803289" w:rsidRPr="00B72262" w:rsidRDefault="00803289" w:rsidP="00803289">
            <w:pPr>
              <w:pStyle w:val="NormalWeb"/>
              <w:spacing w:before="0" w:beforeAutospacing="0" w:after="0" w:afterAutospacing="0"/>
              <w:rPr>
                <w:rFonts w:asciiTheme="minorHAnsi" w:hAnsiTheme="minorHAnsi" w:cstheme="minorHAnsi"/>
                <w:sz w:val="20"/>
                <w:szCs w:val="20"/>
              </w:rPr>
            </w:pPr>
            <w:proofErr w:type="spellStart"/>
            <w:r w:rsidRPr="00B72262">
              <w:rPr>
                <w:rFonts w:asciiTheme="minorHAnsi" w:hAnsiTheme="minorHAnsi" w:cstheme="minorHAnsi"/>
                <w:bCs/>
                <w:color w:val="000000" w:themeColor="text1"/>
                <w:kern w:val="24"/>
                <w:sz w:val="20"/>
                <w:szCs w:val="20"/>
              </w:rPr>
              <w:t>Céfotaxime</w:t>
            </w:r>
            <w:proofErr w:type="spellEnd"/>
          </w:p>
        </w:tc>
        <w:tc>
          <w:tcPr>
            <w:tcW w:w="1660" w:type="dxa"/>
          </w:tcPr>
          <w:p w:rsidR="00803289" w:rsidRPr="00B72262" w:rsidRDefault="00803289" w:rsidP="00803289">
            <w:pPr>
              <w:pStyle w:val="NormalWeb"/>
              <w:spacing w:before="0" w:beforeAutospacing="0" w:after="0" w:afterAutospacing="0"/>
              <w:jc w:val="center"/>
              <w:rPr>
                <w:rFonts w:asciiTheme="minorHAnsi" w:hAnsiTheme="minorHAnsi" w:cstheme="minorHAnsi"/>
                <w:sz w:val="22"/>
                <w:szCs w:val="22"/>
              </w:rPr>
            </w:pPr>
            <w:r w:rsidRPr="00B72262">
              <w:rPr>
                <w:rFonts w:asciiTheme="minorHAnsi" w:hAnsiTheme="minorHAnsi" w:cstheme="minorHAnsi"/>
                <w:color w:val="000000" w:themeColor="text1"/>
                <w:kern w:val="24"/>
                <w:sz w:val="22"/>
                <w:szCs w:val="22"/>
              </w:rPr>
              <w:t>36</w:t>
            </w:r>
          </w:p>
        </w:tc>
      </w:tr>
      <w:tr w:rsidR="00803289" w:rsidRPr="00B72262" w:rsidTr="00803289">
        <w:trPr>
          <w:trHeight w:val="208"/>
        </w:trPr>
        <w:tc>
          <w:tcPr>
            <w:tcW w:w="1389" w:type="dxa"/>
            <w:hideMark/>
          </w:tcPr>
          <w:p w:rsidR="00803289" w:rsidRPr="00B72262" w:rsidRDefault="00803289" w:rsidP="00803289">
            <w:pPr>
              <w:autoSpaceDE w:val="0"/>
              <w:autoSpaceDN w:val="0"/>
              <w:adjustRightInd w:val="0"/>
              <w:rPr>
                <w:rFonts w:asciiTheme="minorHAnsi" w:hAnsiTheme="minorHAnsi" w:cstheme="minorHAnsi"/>
                <w:color w:val="000000" w:themeColor="text1"/>
                <w:sz w:val="20"/>
                <w:szCs w:val="20"/>
              </w:rPr>
            </w:pPr>
            <w:r w:rsidRPr="00B72262">
              <w:rPr>
                <w:rFonts w:asciiTheme="minorHAnsi" w:hAnsiTheme="minorHAnsi" w:cstheme="minorHAnsi"/>
                <w:bCs/>
                <w:color w:val="000000" w:themeColor="text1"/>
                <w:sz w:val="20"/>
                <w:szCs w:val="20"/>
              </w:rPr>
              <w:t>Gentamycine</w:t>
            </w:r>
          </w:p>
        </w:tc>
        <w:tc>
          <w:tcPr>
            <w:tcW w:w="1531" w:type="dxa"/>
            <w:hideMark/>
          </w:tcPr>
          <w:p w:rsidR="00803289" w:rsidRPr="00B72262" w:rsidRDefault="00803289" w:rsidP="00803289">
            <w:pPr>
              <w:autoSpaceDE w:val="0"/>
              <w:autoSpaceDN w:val="0"/>
              <w:adjustRightInd w:val="0"/>
              <w:jc w:val="center"/>
              <w:rPr>
                <w:rFonts w:asciiTheme="minorHAnsi" w:hAnsiTheme="minorHAnsi" w:cstheme="minorHAnsi"/>
                <w:color w:val="000000" w:themeColor="text1"/>
                <w:sz w:val="20"/>
                <w:szCs w:val="20"/>
              </w:rPr>
            </w:pPr>
            <w:r w:rsidRPr="00B72262">
              <w:rPr>
                <w:rFonts w:asciiTheme="minorHAnsi" w:hAnsiTheme="minorHAnsi" w:cstheme="minorHAnsi"/>
                <w:bCs/>
                <w:color w:val="000000" w:themeColor="text1"/>
                <w:sz w:val="20"/>
                <w:szCs w:val="20"/>
              </w:rPr>
              <w:t>37</w:t>
            </w:r>
          </w:p>
        </w:tc>
        <w:tc>
          <w:tcPr>
            <w:tcW w:w="2159" w:type="dxa"/>
          </w:tcPr>
          <w:p w:rsidR="00803289" w:rsidRPr="00B72262" w:rsidRDefault="00803289" w:rsidP="00803289">
            <w:pPr>
              <w:pStyle w:val="NormalWeb"/>
              <w:spacing w:before="0" w:beforeAutospacing="0" w:after="0" w:afterAutospacing="0"/>
              <w:rPr>
                <w:rFonts w:asciiTheme="minorHAnsi" w:hAnsiTheme="minorHAnsi" w:cstheme="minorHAnsi"/>
                <w:sz w:val="20"/>
                <w:szCs w:val="20"/>
              </w:rPr>
            </w:pPr>
            <w:proofErr w:type="spellStart"/>
            <w:r w:rsidRPr="00B72262">
              <w:rPr>
                <w:rFonts w:asciiTheme="minorHAnsi" w:hAnsiTheme="minorHAnsi" w:cstheme="minorHAnsi"/>
                <w:color w:val="000000" w:themeColor="text1"/>
                <w:kern w:val="24"/>
                <w:sz w:val="20"/>
                <w:szCs w:val="20"/>
              </w:rPr>
              <w:t>Céfotaxime</w:t>
            </w:r>
            <w:proofErr w:type="spellEnd"/>
            <w:r w:rsidRPr="00B72262">
              <w:rPr>
                <w:rFonts w:asciiTheme="minorHAnsi" w:hAnsiTheme="minorHAnsi" w:cstheme="minorHAnsi"/>
                <w:color w:val="000000" w:themeColor="text1"/>
                <w:kern w:val="24"/>
                <w:sz w:val="20"/>
                <w:szCs w:val="20"/>
              </w:rPr>
              <w:t xml:space="preserve"> (BLSE confirmées)</w:t>
            </w:r>
          </w:p>
        </w:tc>
        <w:tc>
          <w:tcPr>
            <w:tcW w:w="1660" w:type="dxa"/>
          </w:tcPr>
          <w:p w:rsidR="00803289" w:rsidRPr="00B72262" w:rsidRDefault="00803289" w:rsidP="00803289">
            <w:pPr>
              <w:pStyle w:val="NormalWeb"/>
              <w:spacing w:before="0" w:beforeAutospacing="0" w:after="0" w:afterAutospacing="0"/>
              <w:jc w:val="center"/>
              <w:rPr>
                <w:rFonts w:asciiTheme="minorHAnsi" w:hAnsiTheme="minorHAnsi" w:cstheme="minorHAnsi"/>
                <w:sz w:val="22"/>
                <w:szCs w:val="22"/>
              </w:rPr>
            </w:pPr>
            <w:r w:rsidRPr="00B72262">
              <w:rPr>
                <w:rFonts w:asciiTheme="minorHAnsi" w:hAnsiTheme="minorHAnsi" w:cstheme="minorHAnsi"/>
                <w:color w:val="000000" w:themeColor="text1"/>
                <w:kern w:val="24"/>
                <w:sz w:val="22"/>
                <w:szCs w:val="22"/>
              </w:rPr>
              <w:t xml:space="preserve">15                 </w:t>
            </w:r>
          </w:p>
        </w:tc>
      </w:tr>
      <w:tr w:rsidR="00803289" w:rsidRPr="00B72262" w:rsidTr="00803289">
        <w:trPr>
          <w:trHeight w:val="15"/>
        </w:trPr>
        <w:tc>
          <w:tcPr>
            <w:tcW w:w="1389" w:type="dxa"/>
            <w:hideMark/>
          </w:tcPr>
          <w:p w:rsidR="00803289" w:rsidRPr="00B72262" w:rsidRDefault="00803289" w:rsidP="00803289">
            <w:pPr>
              <w:autoSpaceDE w:val="0"/>
              <w:autoSpaceDN w:val="0"/>
              <w:adjustRightInd w:val="0"/>
              <w:rPr>
                <w:rFonts w:asciiTheme="minorHAnsi" w:hAnsiTheme="minorHAnsi" w:cstheme="minorHAnsi"/>
                <w:color w:val="000000" w:themeColor="text1"/>
                <w:sz w:val="20"/>
                <w:szCs w:val="20"/>
              </w:rPr>
            </w:pPr>
            <w:proofErr w:type="spellStart"/>
            <w:r w:rsidRPr="00B72262">
              <w:rPr>
                <w:rFonts w:asciiTheme="minorHAnsi" w:hAnsiTheme="minorHAnsi" w:cstheme="minorHAnsi"/>
                <w:bCs/>
                <w:color w:val="000000" w:themeColor="text1"/>
                <w:sz w:val="20"/>
                <w:szCs w:val="20"/>
              </w:rPr>
              <w:t>Amikacine</w:t>
            </w:r>
            <w:proofErr w:type="spellEnd"/>
          </w:p>
        </w:tc>
        <w:tc>
          <w:tcPr>
            <w:tcW w:w="1531" w:type="dxa"/>
            <w:hideMark/>
          </w:tcPr>
          <w:p w:rsidR="00803289" w:rsidRPr="00B72262" w:rsidRDefault="00803289" w:rsidP="00803289">
            <w:pPr>
              <w:autoSpaceDE w:val="0"/>
              <w:autoSpaceDN w:val="0"/>
              <w:adjustRightInd w:val="0"/>
              <w:jc w:val="center"/>
              <w:rPr>
                <w:rFonts w:asciiTheme="minorHAnsi" w:hAnsiTheme="minorHAnsi" w:cstheme="minorHAnsi"/>
                <w:color w:val="000000" w:themeColor="text1"/>
                <w:sz w:val="20"/>
                <w:szCs w:val="20"/>
              </w:rPr>
            </w:pPr>
            <w:r w:rsidRPr="00B72262">
              <w:rPr>
                <w:rFonts w:asciiTheme="minorHAnsi" w:hAnsiTheme="minorHAnsi" w:cstheme="minorHAnsi"/>
                <w:bCs/>
                <w:color w:val="000000" w:themeColor="text1"/>
                <w:sz w:val="20"/>
                <w:szCs w:val="20"/>
              </w:rPr>
              <w:t>31</w:t>
            </w:r>
          </w:p>
        </w:tc>
        <w:tc>
          <w:tcPr>
            <w:tcW w:w="2159" w:type="dxa"/>
          </w:tcPr>
          <w:p w:rsidR="00803289" w:rsidRPr="00B72262" w:rsidRDefault="00803289" w:rsidP="00803289">
            <w:pPr>
              <w:pStyle w:val="NormalWeb"/>
              <w:spacing w:before="0" w:beforeAutospacing="0" w:after="0" w:afterAutospacing="0"/>
              <w:rPr>
                <w:rFonts w:asciiTheme="minorHAnsi" w:hAnsiTheme="minorHAnsi" w:cstheme="minorHAnsi"/>
                <w:sz w:val="20"/>
                <w:szCs w:val="20"/>
              </w:rPr>
            </w:pPr>
            <w:r w:rsidRPr="00B72262">
              <w:rPr>
                <w:rFonts w:asciiTheme="minorHAnsi" w:hAnsiTheme="minorHAnsi" w:cstheme="minorHAnsi"/>
                <w:bCs/>
                <w:color w:val="000000" w:themeColor="text1"/>
                <w:kern w:val="24"/>
                <w:sz w:val="20"/>
                <w:szCs w:val="20"/>
              </w:rPr>
              <w:t>Ciprofloxacine</w:t>
            </w:r>
          </w:p>
        </w:tc>
        <w:tc>
          <w:tcPr>
            <w:tcW w:w="1660" w:type="dxa"/>
          </w:tcPr>
          <w:p w:rsidR="00803289" w:rsidRPr="00B72262" w:rsidRDefault="00803289" w:rsidP="00803289">
            <w:pPr>
              <w:pStyle w:val="NormalWeb"/>
              <w:spacing w:before="0" w:beforeAutospacing="0" w:after="0" w:afterAutospacing="0"/>
              <w:jc w:val="center"/>
              <w:rPr>
                <w:rFonts w:asciiTheme="minorHAnsi" w:hAnsiTheme="minorHAnsi" w:cstheme="minorHAnsi"/>
                <w:sz w:val="22"/>
                <w:szCs w:val="22"/>
              </w:rPr>
            </w:pPr>
            <w:r w:rsidRPr="00B72262">
              <w:rPr>
                <w:rFonts w:asciiTheme="minorHAnsi" w:hAnsiTheme="minorHAnsi" w:cstheme="minorHAnsi"/>
                <w:bCs/>
                <w:color w:val="000000" w:themeColor="text1"/>
                <w:kern w:val="24"/>
                <w:sz w:val="22"/>
                <w:szCs w:val="22"/>
              </w:rPr>
              <w:t>19</w:t>
            </w:r>
          </w:p>
        </w:tc>
      </w:tr>
      <w:tr w:rsidR="00803289" w:rsidRPr="00B72262" w:rsidTr="00803289">
        <w:trPr>
          <w:trHeight w:val="15"/>
        </w:trPr>
        <w:tc>
          <w:tcPr>
            <w:tcW w:w="1389" w:type="dxa"/>
            <w:hideMark/>
          </w:tcPr>
          <w:p w:rsidR="00803289" w:rsidRPr="00B72262" w:rsidRDefault="00803289" w:rsidP="00803289">
            <w:pPr>
              <w:autoSpaceDE w:val="0"/>
              <w:autoSpaceDN w:val="0"/>
              <w:adjustRightInd w:val="0"/>
              <w:rPr>
                <w:rFonts w:asciiTheme="minorHAnsi" w:hAnsiTheme="minorHAnsi" w:cstheme="minorHAnsi"/>
                <w:color w:val="000000" w:themeColor="text1"/>
                <w:sz w:val="20"/>
                <w:szCs w:val="20"/>
              </w:rPr>
            </w:pPr>
            <w:r w:rsidRPr="00B72262">
              <w:rPr>
                <w:rFonts w:asciiTheme="minorHAnsi" w:hAnsiTheme="minorHAnsi" w:cstheme="minorHAnsi"/>
                <w:bCs/>
                <w:color w:val="000000" w:themeColor="text1"/>
                <w:sz w:val="20"/>
                <w:szCs w:val="20"/>
              </w:rPr>
              <w:t>Ciprofloxacine</w:t>
            </w:r>
          </w:p>
        </w:tc>
        <w:tc>
          <w:tcPr>
            <w:tcW w:w="1531" w:type="dxa"/>
            <w:hideMark/>
          </w:tcPr>
          <w:p w:rsidR="00803289" w:rsidRPr="00B72262" w:rsidRDefault="00803289" w:rsidP="00803289">
            <w:pPr>
              <w:autoSpaceDE w:val="0"/>
              <w:autoSpaceDN w:val="0"/>
              <w:adjustRightInd w:val="0"/>
              <w:jc w:val="center"/>
              <w:rPr>
                <w:rFonts w:asciiTheme="minorHAnsi" w:hAnsiTheme="minorHAnsi" w:cstheme="minorHAnsi"/>
                <w:color w:val="000000" w:themeColor="text1"/>
                <w:sz w:val="20"/>
                <w:szCs w:val="20"/>
              </w:rPr>
            </w:pPr>
            <w:r w:rsidRPr="00B72262">
              <w:rPr>
                <w:rFonts w:asciiTheme="minorHAnsi" w:hAnsiTheme="minorHAnsi" w:cstheme="minorHAnsi"/>
                <w:bCs/>
                <w:color w:val="000000" w:themeColor="text1"/>
                <w:sz w:val="20"/>
                <w:szCs w:val="20"/>
              </w:rPr>
              <w:t>36</w:t>
            </w:r>
          </w:p>
        </w:tc>
        <w:tc>
          <w:tcPr>
            <w:tcW w:w="2159" w:type="dxa"/>
          </w:tcPr>
          <w:p w:rsidR="00803289" w:rsidRPr="00B72262" w:rsidRDefault="00803289" w:rsidP="00803289">
            <w:pPr>
              <w:pStyle w:val="NormalWeb"/>
              <w:spacing w:before="0" w:beforeAutospacing="0" w:after="0" w:afterAutospacing="0"/>
              <w:rPr>
                <w:rFonts w:asciiTheme="minorHAnsi" w:hAnsiTheme="minorHAnsi" w:cstheme="minorHAnsi"/>
                <w:sz w:val="20"/>
                <w:szCs w:val="20"/>
              </w:rPr>
            </w:pPr>
            <w:proofErr w:type="spellStart"/>
            <w:r w:rsidRPr="00B72262">
              <w:rPr>
                <w:rFonts w:asciiTheme="minorHAnsi" w:hAnsiTheme="minorHAnsi" w:cstheme="minorHAnsi"/>
                <w:bCs/>
                <w:color w:val="000000" w:themeColor="text1"/>
                <w:kern w:val="24"/>
                <w:sz w:val="20"/>
                <w:szCs w:val="20"/>
              </w:rPr>
              <w:t>Cotrimoxazole</w:t>
            </w:r>
            <w:proofErr w:type="spellEnd"/>
          </w:p>
        </w:tc>
        <w:tc>
          <w:tcPr>
            <w:tcW w:w="1660" w:type="dxa"/>
          </w:tcPr>
          <w:p w:rsidR="00803289" w:rsidRPr="00B72262" w:rsidRDefault="00803289" w:rsidP="00803289">
            <w:pPr>
              <w:pStyle w:val="NormalWeb"/>
              <w:spacing w:before="0" w:beforeAutospacing="0" w:after="0" w:afterAutospacing="0"/>
              <w:jc w:val="center"/>
              <w:rPr>
                <w:rFonts w:asciiTheme="minorHAnsi" w:hAnsiTheme="minorHAnsi" w:cstheme="minorHAnsi"/>
                <w:sz w:val="22"/>
                <w:szCs w:val="22"/>
              </w:rPr>
            </w:pPr>
            <w:r w:rsidRPr="00B72262">
              <w:rPr>
                <w:rFonts w:asciiTheme="minorHAnsi" w:hAnsiTheme="minorHAnsi" w:cstheme="minorHAnsi"/>
                <w:bCs/>
                <w:color w:val="000000" w:themeColor="text1"/>
                <w:kern w:val="24"/>
                <w:sz w:val="22"/>
                <w:szCs w:val="22"/>
              </w:rPr>
              <w:t>31</w:t>
            </w:r>
          </w:p>
        </w:tc>
      </w:tr>
      <w:tr w:rsidR="00803289" w:rsidRPr="00B72262" w:rsidTr="00803289">
        <w:trPr>
          <w:trHeight w:val="80"/>
        </w:trPr>
        <w:tc>
          <w:tcPr>
            <w:tcW w:w="1389" w:type="dxa"/>
            <w:hideMark/>
          </w:tcPr>
          <w:p w:rsidR="00803289" w:rsidRPr="00B72262" w:rsidRDefault="00803289" w:rsidP="00803289">
            <w:pPr>
              <w:autoSpaceDE w:val="0"/>
              <w:autoSpaceDN w:val="0"/>
              <w:adjustRightInd w:val="0"/>
              <w:rPr>
                <w:rFonts w:asciiTheme="minorHAnsi" w:hAnsiTheme="minorHAnsi" w:cstheme="minorHAnsi"/>
                <w:color w:val="000000" w:themeColor="text1"/>
                <w:sz w:val="20"/>
                <w:szCs w:val="20"/>
              </w:rPr>
            </w:pPr>
            <w:proofErr w:type="spellStart"/>
            <w:r w:rsidRPr="00B72262">
              <w:rPr>
                <w:rFonts w:asciiTheme="minorHAnsi" w:hAnsiTheme="minorHAnsi" w:cstheme="minorHAnsi"/>
                <w:bCs/>
                <w:color w:val="000000" w:themeColor="text1"/>
                <w:sz w:val="20"/>
                <w:szCs w:val="20"/>
              </w:rPr>
              <w:t>Tobramycine</w:t>
            </w:r>
            <w:proofErr w:type="spellEnd"/>
          </w:p>
        </w:tc>
        <w:tc>
          <w:tcPr>
            <w:tcW w:w="1531" w:type="dxa"/>
            <w:hideMark/>
          </w:tcPr>
          <w:p w:rsidR="00803289" w:rsidRPr="00B72262" w:rsidRDefault="00803289" w:rsidP="00803289">
            <w:pPr>
              <w:autoSpaceDE w:val="0"/>
              <w:autoSpaceDN w:val="0"/>
              <w:adjustRightInd w:val="0"/>
              <w:jc w:val="center"/>
              <w:rPr>
                <w:rFonts w:asciiTheme="minorHAnsi" w:hAnsiTheme="minorHAnsi" w:cstheme="minorHAnsi"/>
                <w:color w:val="000000" w:themeColor="text1"/>
                <w:sz w:val="20"/>
                <w:szCs w:val="20"/>
              </w:rPr>
            </w:pPr>
            <w:r w:rsidRPr="00B72262">
              <w:rPr>
                <w:rFonts w:asciiTheme="minorHAnsi" w:hAnsiTheme="minorHAnsi" w:cstheme="minorHAnsi"/>
                <w:bCs/>
                <w:color w:val="000000" w:themeColor="text1"/>
                <w:sz w:val="20"/>
                <w:szCs w:val="20"/>
              </w:rPr>
              <w:t>34</w:t>
            </w:r>
          </w:p>
        </w:tc>
        <w:tc>
          <w:tcPr>
            <w:tcW w:w="2159" w:type="dxa"/>
          </w:tcPr>
          <w:p w:rsidR="00803289" w:rsidRPr="00B72262" w:rsidRDefault="00803289" w:rsidP="00803289">
            <w:pPr>
              <w:pStyle w:val="NormalWeb"/>
              <w:spacing w:before="0" w:beforeAutospacing="0" w:after="0" w:afterAutospacing="0"/>
              <w:rPr>
                <w:rFonts w:asciiTheme="minorHAnsi" w:hAnsiTheme="minorHAnsi" w:cstheme="minorHAnsi"/>
                <w:sz w:val="20"/>
                <w:szCs w:val="20"/>
              </w:rPr>
            </w:pPr>
            <w:proofErr w:type="gramStart"/>
            <w:r w:rsidRPr="00B72262">
              <w:rPr>
                <w:rFonts w:asciiTheme="minorHAnsi" w:hAnsiTheme="minorHAnsi" w:cstheme="minorHAnsi"/>
                <w:bCs/>
                <w:color w:val="000000" w:themeColor="text1"/>
                <w:kern w:val="24"/>
                <w:sz w:val="20"/>
                <w:szCs w:val="20"/>
              </w:rPr>
              <w:t>imipenème</w:t>
            </w:r>
            <w:proofErr w:type="gramEnd"/>
          </w:p>
        </w:tc>
        <w:tc>
          <w:tcPr>
            <w:tcW w:w="1660" w:type="dxa"/>
          </w:tcPr>
          <w:p w:rsidR="00803289" w:rsidRPr="00B72262" w:rsidRDefault="00803289" w:rsidP="00803289">
            <w:pPr>
              <w:pStyle w:val="NormalWeb"/>
              <w:spacing w:before="0" w:beforeAutospacing="0" w:after="0" w:afterAutospacing="0"/>
              <w:jc w:val="center"/>
              <w:rPr>
                <w:rFonts w:asciiTheme="minorHAnsi" w:hAnsiTheme="minorHAnsi" w:cstheme="minorHAnsi"/>
                <w:sz w:val="22"/>
                <w:szCs w:val="22"/>
              </w:rPr>
            </w:pPr>
            <w:r w:rsidRPr="00B72262">
              <w:rPr>
                <w:rFonts w:asciiTheme="minorHAnsi" w:hAnsiTheme="minorHAnsi" w:cstheme="minorHAnsi"/>
                <w:bCs/>
                <w:color w:val="000000" w:themeColor="text1"/>
                <w:kern w:val="24"/>
                <w:sz w:val="22"/>
                <w:szCs w:val="22"/>
              </w:rPr>
              <w:t>04</w:t>
            </w:r>
          </w:p>
        </w:tc>
      </w:tr>
      <w:tr w:rsidR="00803289" w:rsidRPr="00B72262" w:rsidTr="00803289">
        <w:trPr>
          <w:trHeight w:val="188"/>
        </w:trPr>
        <w:tc>
          <w:tcPr>
            <w:tcW w:w="1389" w:type="dxa"/>
            <w:hideMark/>
          </w:tcPr>
          <w:p w:rsidR="00803289" w:rsidRPr="00B72262" w:rsidRDefault="00803289" w:rsidP="00803289">
            <w:pPr>
              <w:autoSpaceDE w:val="0"/>
              <w:autoSpaceDN w:val="0"/>
              <w:adjustRightInd w:val="0"/>
              <w:rPr>
                <w:rFonts w:asciiTheme="minorHAnsi" w:hAnsiTheme="minorHAnsi" w:cstheme="minorHAnsi"/>
                <w:color w:val="000000" w:themeColor="text1"/>
                <w:sz w:val="20"/>
                <w:szCs w:val="20"/>
              </w:rPr>
            </w:pPr>
            <w:proofErr w:type="spellStart"/>
            <w:r w:rsidRPr="00B72262">
              <w:rPr>
                <w:rFonts w:asciiTheme="minorHAnsi" w:hAnsiTheme="minorHAnsi" w:cstheme="minorHAnsi"/>
                <w:bCs/>
                <w:color w:val="000000" w:themeColor="text1"/>
                <w:sz w:val="20"/>
                <w:szCs w:val="20"/>
              </w:rPr>
              <w:t>Cotrimoxazole</w:t>
            </w:r>
            <w:proofErr w:type="spellEnd"/>
          </w:p>
        </w:tc>
        <w:tc>
          <w:tcPr>
            <w:tcW w:w="1531" w:type="dxa"/>
            <w:hideMark/>
          </w:tcPr>
          <w:p w:rsidR="00803289" w:rsidRPr="00B72262" w:rsidRDefault="00803289" w:rsidP="00803289">
            <w:pPr>
              <w:autoSpaceDE w:val="0"/>
              <w:autoSpaceDN w:val="0"/>
              <w:adjustRightInd w:val="0"/>
              <w:jc w:val="center"/>
              <w:rPr>
                <w:rFonts w:asciiTheme="minorHAnsi" w:hAnsiTheme="minorHAnsi" w:cstheme="minorHAnsi"/>
                <w:color w:val="000000" w:themeColor="text1"/>
                <w:sz w:val="20"/>
                <w:szCs w:val="20"/>
              </w:rPr>
            </w:pPr>
            <w:r w:rsidRPr="00B72262">
              <w:rPr>
                <w:rFonts w:asciiTheme="minorHAnsi" w:hAnsiTheme="minorHAnsi" w:cstheme="minorHAnsi"/>
                <w:bCs/>
                <w:color w:val="000000" w:themeColor="text1"/>
                <w:sz w:val="20"/>
                <w:szCs w:val="20"/>
              </w:rPr>
              <w:t>39</w:t>
            </w:r>
          </w:p>
        </w:tc>
        <w:tc>
          <w:tcPr>
            <w:tcW w:w="2159" w:type="dxa"/>
          </w:tcPr>
          <w:p w:rsidR="00803289" w:rsidRPr="00B72262" w:rsidRDefault="00803289" w:rsidP="00803289">
            <w:pPr>
              <w:pStyle w:val="NormalWeb"/>
              <w:spacing w:before="0" w:beforeAutospacing="0" w:after="0" w:afterAutospacing="0"/>
              <w:rPr>
                <w:rFonts w:asciiTheme="minorHAnsi" w:hAnsiTheme="minorHAnsi" w:cstheme="minorHAnsi"/>
                <w:sz w:val="20"/>
                <w:szCs w:val="20"/>
              </w:rPr>
            </w:pPr>
            <w:proofErr w:type="spellStart"/>
            <w:r w:rsidRPr="00B72262">
              <w:rPr>
                <w:rFonts w:asciiTheme="minorHAnsi" w:hAnsiTheme="minorHAnsi" w:cstheme="minorHAnsi"/>
                <w:bCs/>
                <w:color w:val="000000" w:themeColor="text1"/>
                <w:kern w:val="24"/>
                <w:sz w:val="20"/>
                <w:szCs w:val="20"/>
              </w:rPr>
              <w:t>Ertapénème</w:t>
            </w:r>
            <w:proofErr w:type="spellEnd"/>
          </w:p>
        </w:tc>
        <w:tc>
          <w:tcPr>
            <w:tcW w:w="1660" w:type="dxa"/>
          </w:tcPr>
          <w:p w:rsidR="00803289" w:rsidRPr="00B72262" w:rsidRDefault="00803289" w:rsidP="00803289">
            <w:pPr>
              <w:pStyle w:val="NormalWeb"/>
              <w:spacing w:before="0" w:beforeAutospacing="0" w:after="0" w:afterAutospacing="0"/>
              <w:jc w:val="center"/>
              <w:rPr>
                <w:rFonts w:asciiTheme="minorHAnsi" w:hAnsiTheme="minorHAnsi" w:cstheme="minorHAnsi"/>
                <w:sz w:val="22"/>
                <w:szCs w:val="22"/>
              </w:rPr>
            </w:pPr>
            <w:r w:rsidRPr="00B72262">
              <w:rPr>
                <w:rFonts w:asciiTheme="minorHAnsi" w:hAnsiTheme="minorHAnsi" w:cstheme="minorHAnsi"/>
                <w:bCs/>
                <w:color w:val="000000" w:themeColor="text1"/>
                <w:kern w:val="24"/>
                <w:sz w:val="22"/>
                <w:szCs w:val="22"/>
              </w:rPr>
              <w:t>06</w:t>
            </w:r>
          </w:p>
        </w:tc>
      </w:tr>
      <w:tr w:rsidR="00803289" w:rsidRPr="00B72262" w:rsidTr="00803289">
        <w:trPr>
          <w:trHeight w:val="208"/>
        </w:trPr>
        <w:tc>
          <w:tcPr>
            <w:tcW w:w="1389" w:type="dxa"/>
            <w:hideMark/>
          </w:tcPr>
          <w:p w:rsidR="00803289" w:rsidRPr="00B72262" w:rsidRDefault="00803289" w:rsidP="00803289">
            <w:pPr>
              <w:autoSpaceDE w:val="0"/>
              <w:autoSpaceDN w:val="0"/>
              <w:adjustRightInd w:val="0"/>
              <w:rPr>
                <w:rFonts w:asciiTheme="minorHAnsi" w:hAnsiTheme="minorHAnsi" w:cstheme="minorHAnsi"/>
                <w:color w:val="000000" w:themeColor="text1"/>
                <w:sz w:val="20"/>
                <w:szCs w:val="20"/>
              </w:rPr>
            </w:pPr>
            <w:r w:rsidRPr="00B72262">
              <w:rPr>
                <w:rFonts w:asciiTheme="minorHAnsi" w:hAnsiTheme="minorHAnsi" w:cstheme="minorHAnsi"/>
                <w:bCs/>
                <w:color w:val="000000" w:themeColor="text1"/>
                <w:sz w:val="20"/>
                <w:szCs w:val="20"/>
              </w:rPr>
              <w:t>Colistine</w:t>
            </w:r>
          </w:p>
        </w:tc>
        <w:tc>
          <w:tcPr>
            <w:tcW w:w="1531" w:type="dxa"/>
            <w:hideMark/>
          </w:tcPr>
          <w:p w:rsidR="00803289" w:rsidRPr="00B72262" w:rsidRDefault="00803289" w:rsidP="00803289">
            <w:pPr>
              <w:autoSpaceDE w:val="0"/>
              <w:autoSpaceDN w:val="0"/>
              <w:adjustRightInd w:val="0"/>
              <w:jc w:val="center"/>
              <w:rPr>
                <w:rFonts w:asciiTheme="minorHAnsi" w:hAnsiTheme="minorHAnsi" w:cstheme="minorHAnsi"/>
                <w:color w:val="000000" w:themeColor="text1"/>
                <w:sz w:val="20"/>
                <w:szCs w:val="20"/>
              </w:rPr>
            </w:pPr>
            <w:r w:rsidRPr="00B72262">
              <w:rPr>
                <w:rFonts w:asciiTheme="minorHAnsi" w:hAnsiTheme="minorHAnsi" w:cstheme="minorHAnsi"/>
                <w:color w:val="000000" w:themeColor="text1"/>
                <w:sz w:val="20"/>
                <w:szCs w:val="20"/>
              </w:rPr>
              <w:t xml:space="preserve">No </w:t>
            </w:r>
            <w:proofErr w:type="spellStart"/>
            <w:r w:rsidRPr="00B72262">
              <w:rPr>
                <w:rFonts w:asciiTheme="minorHAnsi" w:hAnsiTheme="minorHAnsi" w:cstheme="minorHAnsi"/>
                <w:color w:val="000000" w:themeColor="text1"/>
                <w:sz w:val="20"/>
                <w:szCs w:val="20"/>
              </w:rPr>
              <w:t>tested</w:t>
            </w:r>
            <w:proofErr w:type="spellEnd"/>
          </w:p>
        </w:tc>
        <w:tc>
          <w:tcPr>
            <w:tcW w:w="2159" w:type="dxa"/>
          </w:tcPr>
          <w:p w:rsidR="00803289" w:rsidRPr="00B72262" w:rsidRDefault="00803289" w:rsidP="00803289">
            <w:pPr>
              <w:pStyle w:val="NormalWeb"/>
              <w:spacing w:before="0" w:beforeAutospacing="0" w:after="0" w:afterAutospacing="0"/>
              <w:rPr>
                <w:rFonts w:asciiTheme="minorHAnsi" w:hAnsiTheme="minorHAnsi" w:cstheme="minorHAnsi"/>
                <w:sz w:val="20"/>
                <w:szCs w:val="20"/>
              </w:rPr>
            </w:pPr>
            <w:r w:rsidRPr="00B72262">
              <w:rPr>
                <w:rFonts w:asciiTheme="minorHAnsi" w:hAnsiTheme="minorHAnsi" w:cstheme="minorHAnsi"/>
                <w:color w:val="000000" w:themeColor="text1"/>
                <w:kern w:val="24"/>
                <w:sz w:val="20"/>
                <w:szCs w:val="20"/>
              </w:rPr>
              <w:t>Gentamycine</w:t>
            </w:r>
          </w:p>
        </w:tc>
        <w:tc>
          <w:tcPr>
            <w:tcW w:w="1660" w:type="dxa"/>
          </w:tcPr>
          <w:p w:rsidR="00803289" w:rsidRPr="00B72262" w:rsidRDefault="00803289" w:rsidP="00803289">
            <w:pPr>
              <w:pStyle w:val="NormalWeb"/>
              <w:spacing w:before="0" w:beforeAutospacing="0" w:after="0" w:afterAutospacing="0"/>
              <w:jc w:val="center"/>
              <w:rPr>
                <w:rFonts w:asciiTheme="minorHAnsi" w:hAnsiTheme="minorHAnsi" w:cstheme="minorHAnsi"/>
                <w:sz w:val="22"/>
                <w:szCs w:val="22"/>
              </w:rPr>
            </w:pPr>
            <w:r w:rsidRPr="00B72262">
              <w:rPr>
                <w:rFonts w:asciiTheme="minorHAnsi" w:hAnsiTheme="minorHAnsi" w:cstheme="minorHAnsi"/>
                <w:color w:val="000000" w:themeColor="text1"/>
                <w:kern w:val="24"/>
                <w:sz w:val="22"/>
                <w:szCs w:val="22"/>
              </w:rPr>
              <w:t>18</w:t>
            </w:r>
          </w:p>
        </w:tc>
      </w:tr>
    </w:tbl>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803289" w:rsidRDefault="00803289" w:rsidP="00FE52A2">
      <w:pPr>
        <w:ind w:right="-1"/>
        <w:jc w:val="both"/>
        <w:rPr>
          <w:u w:val="single"/>
        </w:rPr>
      </w:pPr>
    </w:p>
    <w:p w:rsidR="00FE52A2" w:rsidRPr="00F83043" w:rsidRDefault="00FE52A2" w:rsidP="00FE52A2">
      <w:pPr>
        <w:ind w:right="-1"/>
        <w:jc w:val="both"/>
      </w:pPr>
      <w:r w:rsidRPr="001F0E8D">
        <w:rPr>
          <w:u w:val="single"/>
        </w:rPr>
        <w:t>Bibliographie</w:t>
      </w:r>
      <w:r w:rsidR="001F0E8D" w:rsidRPr="001F0E8D">
        <w:rPr>
          <w:u w:val="single"/>
        </w:rPr>
        <w:t> :</w:t>
      </w:r>
    </w:p>
    <w:p w:rsidR="00FE52A2" w:rsidRDefault="00FE52A2" w:rsidP="00FE52A2">
      <w:pPr>
        <w:ind w:right="-1"/>
        <w:jc w:val="both"/>
        <w:rPr>
          <w:b/>
          <w:sz w:val="28"/>
          <w:u w:val="double"/>
        </w:rPr>
      </w:pPr>
    </w:p>
    <w:p w:rsidR="00FE52A2" w:rsidRDefault="00FE52A2" w:rsidP="001F0E8D">
      <w:pPr>
        <w:pStyle w:val="Bibliographie1"/>
        <w:jc w:val="both"/>
        <w:rPr>
          <w:lang w:val="en-US"/>
        </w:rPr>
      </w:pPr>
      <w:r>
        <w:rPr>
          <w:lang w:val="en-US"/>
        </w:rPr>
        <w:t>[1]</w:t>
      </w:r>
      <w:r>
        <w:rPr>
          <w:lang w:val="en-US"/>
        </w:rPr>
        <w:tab/>
        <w:t>Angus DC, Linde-</w:t>
      </w:r>
      <w:proofErr w:type="spellStart"/>
      <w:r>
        <w:rPr>
          <w:lang w:val="en-US"/>
        </w:rPr>
        <w:t>Zwirble</w:t>
      </w:r>
      <w:proofErr w:type="spellEnd"/>
      <w:r>
        <w:rPr>
          <w:lang w:val="en-US"/>
        </w:rPr>
        <w:t xml:space="preserve"> WT, </w:t>
      </w:r>
      <w:proofErr w:type="spellStart"/>
      <w:r>
        <w:rPr>
          <w:lang w:val="en-US"/>
        </w:rPr>
        <w:t>Lidicker</w:t>
      </w:r>
      <w:proofErr w:type="spellEnd"/>
      <w:r>
        <w:rPr>
          <w:lang w:val="en-US"/>
        </w:rPr>
        <w:t xml:space="preserve"> J, Clermont G, </w:t>
      </w:r>
      <w:proofErr w:type="spellStart"/>
      <w:r>
        <w:rPr>
          <w:lang w:val="en-US"/>
        </w:rPr>
        <w:t>Carcillo</w:t>
      </w:r>
      <w:proofErr w:type="spellEnd"/>
      <w:r>
        <w:rPr>
          <w:lang w:val="en-US"/>
        </w:rPr>
        <w:t xml:space="preserve"> J, Pinsky MR. Epidemiology of severe sepsis in the United States: analysis of incidence, outcome, and associated costs of care. </w:t>
      </w:r>
      <w:proofErr w:type="spellStart"/>
      <w:r>
        <w:rPr>
          <w:lang w:val="en-US"/>
        </w:rPr>
        <w:t>Crit</w:t>
      </w:r>
      <w:proofErr w:type="spellEnd"/>
      <w:r>
        <w:rPr>
          <w:lang w:val="en-US"/>
        </w:rPr>
        <w:t xml:space="preserve"> Care Med </w:t>
      </w:r>
      <w:r w:rsidR="00F83043">
        <w:rPr>
          <w:lang w:val="en-US"/>
        </w:rPr>
        <w:t>2001; 29:1303</w:t>
      </w:r>
      <w:r>
        <w:rPr>
          <w:lang w:val="en-US"/>
        </w:rPr>
        <w:t>–10.</w:t>
      </w:r>
    </w:p>
    <w:p w:rsidR="00FE52A2" w:rsidRDefault="00FE52A2" w:rsidP="001F0E8D">
      <w:pPr>
        <w:pStyle w:val="Bibliographie1"/>
        <w:jc w:val="both"/>
        <w:rPr>
          <w:lang w:val="en-US"/>
        </w:rPr>
      </w:pPr>
      <w:r>
        <w:rPr>
          <w:lang w:val="en-US"/>
        </w:rPr>
        <w:t>[2]</w:t>
      </w:r>
      <w:r>
        <w:rPr>
          <w:lang w:val="en-US"/>
        </w:rPr>
        <w:tab/>
        <w:t xml:space="preserve">Vincent J-L, </w:t>
      </w:r>
      <w:proofErr w:type="spellStart"/>
      <w:r>
        <w:rPr>
          <w:lang w:val="en-US"/>
        </w:rPr>
        <w:t>Rello</w:t>
      </w:r>
      <w:proofErr w:type="spellEnd"/>
      <w:r>
        <w:rPr>
          <w:lang w:val="en-US"/>
        </w:rPr>
        <w:t xml:space="preserve"> J, Marshall J, Silva E, </w:t>
      </w:r>
      <w:proofErr w:type="spellStart"/>
      <w:r>
        <w:rPr>
          <w:lang w:val="en-US"/>
        </w:rPr>
        <w:t>Anzueto</w:t>
      </w:r>
      <w:proofErr w:type="spellEnd"/>
      <w:r>
        <w:rPr>
          <w:lang w:val="en-US"/>
        </w:rPr>
        <w:t xml:space="preserve"> A, Martin CD, et al. International study of the prevalence and outcomes of infection in intensive care units. Jama </w:t>
      </w:r>
      <w:r w:rsidR="00F83043">
        <w:rPr>
          <w:lang w:val="en-US"/>
        </w:rPr>
        <w:t>2009; 302:2323</w:t>
      </w:r>
      <w:r>
        <w:rPr>
          <w:lang w:val="en-US"/>
        </w:rPr>
        <w:t>–9.</w:t>
      </w:r>
    </w:p>
    <w:p w:rsidR="00FE52A2" w:rsidRDefault="00FE52A2" w:rsidP="001F0E8D">
      <w:pPr>
        <w:pStyle w:val="Bibliographie1"/>
        <w:jc w:val="both"/>
        <w:rPr>
          <w:lang w:val="en-US"/>
        </w:rPr>
      </w:pPr>
      <w:r>
        <w:rPr>
          <w:lang w:val="en-US"/>
        </w:rPr>
        <w:t>[3]</w:t>
      </w:r>
      <w:r>
        <w:rPr>
          <w:lang w:val="en-US"/>
        </w:rPr>
        <w:tab/>
        <w:t xml:space="preserve">Vincent J-L, Abraham E, </w:t>
      </w:r>
      <w:proofErr w:type="spellStart"/>
      <w:r>
        <w:rPr>
          <w:lang w:val="en-US"/>
        </w:rPr>
        <w:t>Annane</w:t>
      </w:r>
      <w:proofErr w:type="spellEnd"/>
      <w:r>
        <w:rPr>
          <w:lang w:val="en-US"/>
        </w:rPr>
        <w:t xml:space="preserve"> D, Bernard G, Rivers E, Van den </w:t>
      </w:r>
      <w:proofErr w:type="spellStart"/>
      <w:r>
        <w:rPr>
          <w:lang w:val="en-US"/>
        </w:rPr>
        <w:t>Berghe</w:t>
      </w:r>
      <w:proofErr w:type="spellEnd"/>
      <w:r>
        <w:rPr>
          <w:lang w:val="en-US"/>
        </w:rPr>
        <w:t xml:space="preserve"> G. Reducing mortality in sepsis: new directions. </w:t>
      </w:r>
      <w:proofErr w:type="spellStart"/>
      <w:r>
        <w:rPr>
          <w:lang w:val="en-US"/>
        </w:rPr>
        <w:t>Crit</w:t>
      </w:r>
      <w:proofErr w:type="spellEnd"/>
      <w:r>
        <w:rPr>
          <w:lang w:val="en-US"/>
        </w:rPr>
        <w:t xml:space="preserve"> Care 2002;</w:t>
      </w:r>
      <w:r w:rsidR="00F83043">
        <w:rPr>
          <w:lang w:val="en-US"/>
        </w:rPr>
        <w:t>6: S</w:t>
      </w:r>
      <w:r>
        <w:rPr>
          <w:lang w:val="en-US"/>
        </w:rPr>
        <w:t>1.</w:t>
      </w:r>
    </w:p>
    <w:p w:rsidR="00F8501E" w:rsidRDefault="00FE52A2" w:rsidP="00F8501E">
      <w:pPr>
        <w:pStyle w:val="Bibliographie1"/>
        <w:rPr>
          <w:lang w:val="en-US"/>
        </w:rPr>
      </w:pPr>
      <w:r>
        <w:rPr>
          <w:lang w:val="en-US"/>
        </w:rPr>
        <w:t>[4]</w:t>
      </w:r>
      <w:r>
        <w:rPr>
          <w:lang w:val="en-US"/>
        </w:rPr>
        <w:tab/>
        <w:t xml:space="preserve">Andre C. </w:t>
      </w:r>
      <w:proofErr w:type="spellStart"/>
      <w:r>
        <w:rPr>
          <w:lang w:val="en-US"/>
        </w:rPr>
        <w:t>Kalil</w:t>
      </w:r>
      <w:proofErr w:type="spellEnd"/>
      <w:r>
        <w:rPr>
          <w:lang w:val="en-US"/>
        </w:rPr>
        <w:t>,</w:t>
      </w:r>
      <w:r w:rsidR="00F83043">
        <w:rPr>
          <w:lang w:val="en-US"/>
        </w:rPr>
        <w:t xml:space="preserve"> </w:t>
      </w:r>
      <w:r>
        <w:rPr>
          <w:lang w:val="en-US"/>
        </w:rPr>
        <w:t xml:space="preserve">Management of Adults </w:t>
      </w:r>
      <w:r w:rsidR="00F83043">
        <w:rPr>
          <w:lang w:val="en-US"/>
        </w:rPr>
        <w:t>with</w:t>
      </w:r>
      <w:r>
        <w:rPr>
          <w:lang w:val="en-US"/>
        </w:rPr>
        <w:t xml:space="preserve"> Hospital-acquired and Ventilator-associated Pneumonia: 2016 Clinical Practice Guidelines by the Infectious Diseases Society of America and the American Thoracic Society n.d.</w:t>
      </w:r>
      <w:r w:rsidR="00F8501E" w:rsidRPr="00F8501E">
        <w:rPr>
          <w:lang w:val="en-US"/>
        </w:rPr>
        <w:t xml:space="preserve"> </w:t>
      </w:r>
    </w:p>
    <w:p w:rsidR="00FE52A2" w:rsidRPr="00F8501E" w:rsidRDefault="00F8501E" w:rsidP="00F8501E">
      <w:pPr>
        <w:pStyle w:val="Bibliographie1"/>
      </w:pPr>
      <w:r>
        <w:rPr>
          <w:lang w:val="en-US"/>
        </w:rPr>
        <w:t>[5]</w:t>
      </w:r>
      <w:r>
        <w:rPr>
          <w:lang w:val="en-US"/>
        </w:rPr>
        <w:tab/>
      </w:r>
      <w:proofErr w:type="spellStart"/>
      <w:r>
        <w:rPr>
          <w:lang w:val="en-US"/>
        </w:rPr>
        <w:t>Koulenti</w:t>
      </w:r>
      <w:proofErr w:type="spellEnd"/>
      <w:r>
        <w:rPr>
          <w:lang w:val="en-US"/>
        </w:rPr>
        <w:t xml:space="preserve"> D, </w:t>
      </w:r>
      <w:proofErr w:type="spellStart"/>
      <w:r>
        <w:rPr>
          <w:lang w:val="en-US"/>
        </w:rPr>
        <w:t>Tsigou</w:t>
      </w:r>
      <w:proofErr w:type="spellEnd"/>
      <w:r>
        <w:rPr>
          <w:lang w:val="en-US"/>
        </w:rPr>
        <w:t xml:space="preserve"> E, </w:t>
      </w:r>
      <w:proofErr w:type="spellStart"/>
      <w:r>
        <w:rPr>
          <w:lang w:val="en-US"/>
        </w:rPr>
        <w:t>Rello</w:t>
      </w:r>
      <w:proofErr w:type="spellEnd"/>
      <w:r>
        <w:rPr>
          <w:lang w:val="en-US"/>
        </w:rPr>
        <w:t xml:space="preserve"> J. Nosocomial pneumonia in 27 ICUs in Europe: perspectives from the EU-VAP/CAP study. </w:t>
      </w:r>
      <w:proofErr w:type="spellStart"/>
      <w:r>
        <w:t>Eur</w:t>
      </w:r>
      <w:proofErr w:type="spellEnd"/>
      <w:r>
        <w:t xml:space="preserve"> J Clin </w:t>
      </w:r>
      <w:proofErr w:type="spellStart"/>
      <w:r>
        <w:t>Microbiol</w:t>
      </w:r>
      <w:proofErr w:type="spellEnd"/>
      <w:r>
        <w:t xml:space="preserve"> Infect Dis 2017 ;36</w:t>
      </w:r>
      <w:r w:rsidR="00F83043">
        <w:t xml:space="preserve"> </w:t>
      </w:r>
      <w:r>
        <w:t>:1999–2006. https://doi.org/10.1007/s10096-016-2703-z.</w:t>
      </w:r>
    </w:p>
    <w:p w:rsidR="00FE52A2" w:rsidRDefault="00FE52A2" w:rsidP="002B5F24">
      <w:pPr>
        <w:pStyle w:val="Bibliographie1"/>
        <w:jc w:val="both"/>
      </w:pPr>
      <w:r w:rsidRPr="002B5F24">
        <w:t>[</w:t>
      </w:r>
      <w:r w:rsidR="00F8501E">
        <w:t>6</w:t>
      </w:r>
      <w:r w:rsidRPr="002B5F24">
        <w:t>]</w:t>
      </w:r>
      <w:r w:rsidRPr="002B5F24">
        <w:tab/>
      </w:r>
      <w:proofErr w:type="spellStart"/>
      <w:r>
        <w:t>Chastre</w:t>
      </w:r>
      <w:proofErr w:type="spellEnd"/>
      <w:r>
        <w:t xml:space="preserve"> J, Fagon J-Y. </w:t>
      </w:r>
      <w:proofErr w:type="spellStart"/>
      <w:r>
        <w:t>Ventilator-associated</w:t>
      </w:r>
      <w:proofErr w:type="spellEnd"/>
      <w:r>
        <w:t xml:space="preserve"> </w:t>
      </w:r>
      <w:proofErr w:type="spellStart"/>
      <w:r>
        <w:t>Pneumonia</w:t>
      </w:r>
      <w:proofErr w:type="spellEnd"/>
      <w:r>
        <w:t xml:space="preserve"> 2002</w:t>
      </w:r>
      <w:r w:rsidR="00F83043">
        <w:t xml:space="preserve"> </w:t>
      </w:r>
      <w:r>
        <w:t>;165</w:t>
      </w:r>
      <w:r w:rsidR="00F83043">
        <w:t xml:space="preserve"> </w:t>
      </w:r>
      <w:r>
        <w:t>:37.</w:t>
      </w:r>
    </w:p>
    <w:p w:rsidR="00FE52A2" w:rsidRDefault="00FE52A2" w:rsidP="001F0E8D">
      <w:pPr>
        <w:pStyle w:val="Bibliographie1"/>
        <w:jc w:val="both"/>
      </w:pPr>
      <w:r>
        <w:t>[7]</w:t>
      </w:r>
      <w:r>
        <w:tab/>
        <w:t xml:space="preserve">Enquête nationale de prévalence des infections nosocomiales et des traitements anti-infectieux en établissements de santé, France, mai-juin 2012 </w:t>
      </w:r>
      <w:proofErr w:type="spellStart"/>
      <w:r>
        <w:t>n.d</w:t>
      </w:r>
      <w:proofErr w:type="spellEnd"/>
      <w:r>
        <w:t>.</w:t>
      </w:r>
    </w:p>
    <w:p w:rsidR="00FE52A2" w:rsidRDefault="00FE52A2" w:rsidP="001F0E8D">
      <w:pPr>
        <w:pStyle w:val="Bibliographie1"/>
        <w:jc w:val="both"/>
        <w:rPr>
          <w:lang w:val="en-US"/>
        </w:rPr>
      </w:pPr>
      <w:r>
        <w:rPr>
          <w:lang w:val="en-US"/>
        </w:rPr>
        <w:t>[8]</w:t>
      </w:r>
      <w:r>
        <w:rPr>
          <w:lang w:val="en-US"/>
        </w:rPr>
        <w:tab/>
        <w:t xml:space="preserve">Richards MJ, Edwards JR, Culver DH, </w:t>
      </w:r>
      <w:proofErr w:type="spellStart"/>
      <w:r>
        <w:rPr>
          <w:lang w:val="en-US"/>
        </w:rPr>
        <w:t>Gaynes</w:t>
      </w:r>
      <w:proofErr w:type="spellEnd"/>
      <w:r>
        <w:rPr>
          <w:lang w:val="en-US"/>
        </w:rPr>
        <w:t xml:space="preserve"> RP, National Nosocomial Infections Surveillance System. Nosocomial Infections in Combined Medical-Surgical Intensive Care Units in the United States. Infect Control Hosp Epidemiol </w:t>
      </w:r>
      <w:r w:rsidR="00F8501E">
        <w:rPr>
          <w:lang w:val="en-US"/>
        </w:rPr>
        <w:t>2000; 21:510</w:t>
      </w:r>
      <w:r>
        <w:rPr>
          <w:lang w:val="en-US"/>
        </w:rPr>
        <w:t>–5. https://doi.org/10.1086/501795.</w:t>
      </w:r>
    </w:p>
    <w:p w:rsidR="00FE52A2" w:rsidRDefault="00FE52A2" w:rsidP="001F0E8D">
      <w:pPr>
        <w:pStyle w:val="Bibliographie1"/>
        <w:jc w:val="both"/>
        <w:rPr>
          <w:lang w:val="en-US"/>
        </w:rPr>
      </w:pPr>
      <w:r>
        <w:rPr>
          <w:lang w:val="en-US"/>
        </w:rPr>
        <w:t>[9]</w:t>
      </w:r>
      <w:r>
        <w:rPr>
          <w:lang w:val="en-US"/>
        </w:rPr>
        <w:tab/>
        <w:t xml:space="preserve">Shuman EK, Chenoweth CE. Recognition and prevention of healthcare-associated urinary tract infections in the intensive care unit: </w:t>
      </w:r>
      <w:proofErr w:type="spellStart"/>
      <w:r>
        <w:rPr>
          <w:lang w:val="en-US"/>
        </w:rPr>
        <w:t>Crit</w:t>
      </w:r>
      <w:proofErr w:type="spellEnd"/>
      <w:r>
        <w:rPr>
          <w:lang w:val="en-US"/>
        </w:rPr>
        <w:t xml:space="preserve"> Care Med 2010;</w:t>
      </w:r>
      <w:r w:rsidR="004B7DA5">
        <w:rPr>
          <w:lang w:val="en-US"/>
        </w:rPr>
        <w:t>38: S</w:t>
      </w:r>
      <w:r>
        <w:rPr>
          <w:lang w:val="en-US"/>
        </w:rPr>
        <w:t>373–9. https://doi.org/10.1097/CCM.0b013e3181e6ce8f.</w:t>
      </w:r>
    </w:p>
    <w:p w:rsidR="00FE52A2" w:rsidRDefault="00F8501E" w:rsidP="001F0E8D">
      <w:pPr>
        <w:pStyle w:val="Bibliographie1"/>
        <w:jc w:val="both"/>
        <w:rPr>
          <w:lang w:val="en-US"/>
        </w:rPr>
      </w:pPr>
      <w:r>
        <w:rPr>
          <w:lang w:val="en-US"/>
        </w:rPr>
        <w:t xml:space="preserve"> </w:t>
      </w:r>
      <w:r w:rsidR="00FE52A2">
        <w:rPr>
          <w:lang w:val="en-US"/>
        </w:rPr>
        <w:t>[1</w:t>
      </w:r>
      <w:r>
        <w:rPr>
          <w:lang w:val="en-US"/>
        </w:rPr>
        <w:t>0</w:t>
      </w:r>
      <w:r w:rsidR="00FE52A2">
        <w:rPr>
          <w:lang w:val="en-US"/>
        </w:rPr>
        <w:t>]</w:t>
      </w:r>
      <w:r w:rsidR="00FE52A2">
        <w:rPr>
          <w:lang w:val="en-US"/>
        </w:rPr>
        <w:tab/>
        <w:t>World Health Organization, editor. Antimicrobial resistance: global report on surveillance. Geneva, Switzerland: World Health Organization; 2014.</w:t>
      </w:r>
    </w:p>
    <w:p w:rsidR="00FE52A2" w:rsidRDefault="00FE52A2" w:rsidP="001F0E8D">
      <w:pPr>
        <w:pStyle w:val="Bibliographie1"/>
        <w:jc w:val="both"/>
        <w:rPr>
          <w:lang w:val="en-US"/>
        </w:rPr>
      </w:pPr>
      <w:r>
        <w:rPr>
          <w:lang w:val="en-US"/>
        </w:rPr>
        <w:t>[1</w:t>
      </w:r>
      <w:r w:rsidR="00F8501E">
        <w:rPr>
          <w:lang w:val="en-US"/>
        </w:rPr>
        <w:t>1</w:t>
      </w:r>
      <w:r>
        <w:rPr>
          <w:lang w:val="en-US"/>
        </w:rPr>
        <w:t>]</w:t>
      </w:r>
      <w:r>
        <w:rPr>
          <w:lang w:val="en-US"/>
        </w:rPr>
        <w:tab/>
      </w:r>
      <w:proofErr w:type="spellStart"/>
      <w:r>
        <w:rPr>
          <w:lang w:val="en-US"/>
        </w:rPr>
        <w:t>Spellberg</w:t>
      </w:r>
      <w:proofErr w:type="spellEnd"/>
      <w:r>
        <w:rPr>
          <w:lang w:val="en-US"/>
        </w:rPr>
        <w:t xml:space="preserve"> B, Gilbert DN. The Future of Antibiotics and Resistance: A Tribute to a Career of Leadership by John Bartlett n.d.:5.</w:t>
      </w:r>
    </w:p>
    <w:p w:rsidR="00F8501E" w:rsidRPr="00F8501E" w:rsidRDefault="00F8501E" w:rsidP="00F8501E">
      <w:pPr>
        <w:pStyle w:val="Bibliographie1"/>
        <w:rPr>
          <w:lang w:val="en-US"/>
        </w:rPr>
      </w:pPr>
      <w:r>
        <w:rPr>
          <w:lang w:val="en-US"/>
        </w:rPr>
        <w:t>[12]</w:t>
      </w:r>
      <w:r>
        <w:rPr>
          <w:lang w:val="en-US"/>
        </w:rPr>
        <w:tab/>
        <w:t xml:space="preserve">Hinsdale JG, Jaffe BM. Re-operation for Intra-abdominal Sepsis: Indications and Results in Modern Critical Care Setting. Ann </w:t>
      </w:r>
      <w:proofErr w:type="spellStart"/>
      <w:r>
        <w:rPr>
          <w:lang w:val="en-US"/>
        </w:rPr>
        <w:t>Surg</w:t>
      </w:r>
      <w:proofErr w:type="spellEnd"/>
      <w:r>
        <w:rPr>
          <w:lang w:val="en-US"/>
        </w:rPr>
        <w:t xml:space="preserve"> 1984; 199:31–6. https://doi.org/10.1097/00000658-198401000-00006.</w:t>
      </w:r>
    </w:p>
    <w:p w:rsidR="00FE52A2" w:rsidRDefault="00F8501E" w:rsidP="001F0E8D">
      <w:pPr>
        <w:pStyle w:val="Bibliographie1"/>
        <w:jc w:val="both"/>
        <w:rPr>
          <w:lang w:val="en-US"/>
        </w:rPr>
      </w:pPr>
      <w:r>
        <w:rPr>
          <w:lang w:val="en-US"/>
        </w:rPr>
        <w:t xml:space="preserve"> </w:t>
      </w:r>
      <w:r w:rsidR="00FE52A2">
        <w:rPr>
          <w:lang w:val="en-US"/>
        </w:rPr>
        <w:t>[1</w:t>
      </w:r>
      <w:r>
        <w:rPr>
          <w:lang w:val="en-US"/>
        </w:rPr>
        <w:t>3</w:t>
      </w:r>
      <w:r w:rsidR="00FE52A2">
        <w:rPr>
          <w:lang w:val="en-US"/>
        </w:rPr>
        <w:t>]</w:t>
      </w:r>
      <w:r w:rsidR="00FE52A2">
        <w:rPr>
          <w:lang w:val="en-US"/>
        </w:rPr>
        <w:tab/>
        <w:t xml:space="preserve">de </w:t>
      </w:r>
      <w:proofErr w:type="spellStart"/>
      <w:r w:rsidR="00FE52A2">
        <w:rPr>
          <w:lang w:val="en-US"/>
        </w:rPr>
        <w:t>Kraker</w:t>
      </w:r>
      <w:proofErr w:type="spellEnd"/>
      <w:r w:rsidR="00FE52A2">
        <w:rPr>
          <w:lang w:val="en-US"/>
        </w:rPr>
        <w:t xml:space="preserve"> MEA, Davey PG, </w:t>
      </w:r>
      <w:proofErr w:type="spellStart"/>
      <w:r w:rsidR="00FE52A2">
        <w:rPr>
          <w:lang w:val="en-US"/>
        </w:rPr>
        <w:t>Grundmann</w:t>
      </w:r>
      <w:proofErr w:type="spellEnd"/>
      <w:r w:rsidR="00FE52A2">
        <w:rPr>
          <w:lang w:val="en-US"/>
        </w:rPr>
        <w:t xml:space="preserve"> H, on behalf of the BURDEN study group. Mortality and Hospital Stay Associated with Resistant Staphylococcus aureus and Escherichia coli Bacteremia: Estimating the Burden of Antibiotic Resistance in Europe. </w:t>
      </w:r>
      <w:proofErr w:type="spellStart"/>
      <w:r w:rsidR="00FE52A2">
        <w:rPr>
          <w:lang w:val="en-US"/>
        </w:rPr>
        <w:t>PLoS</w:t>
      </w:r>
      <w:proofErr w:type="spellEnd"/>
      <w:r w:rsidR="00FE52A2">
        <w:rPr>
          <w:lang w:val="en-US"/>
        </w:rPr>
        <w:t xml:space="preserve"> Med 2011;</w:t>
      </w:r>
      <w:r w:rsidR="004B7DA5">
        <w:rPr>
          <w:lang w:val="en-US"/>
        </w:rPr>
        <w:t xml:space="preserve"> 8: e</w:t>
      </w:r>
      <w:r w:rsidR="00FE52A2">
        <w:rPr>
          <w:lang w:val="en-US"/>
        </w:rPr>
        <w:t>1001104. https://doi.org/10.1371/journal.pmed.1001104.</w:t>
      </w:r>
    </w:p>
    <w:p w:rsidR="00FE52A2" w:rsidRDefault="00FE52A2" w:rsidP="001F0E8D">
      <w:pPr>
        <w:pStyle w:val="Bibliographie1"/>
        <w:jc w:val="both"/>
        <w:rPr>
          <w:lang w:val="en-US"/>
        </w:rPr>
      </w:pPr>
      <w:r>
        <w:rPr>
          <w:lang w:val="en-US"/>
        </w:rPr>
        <w:t>[</w:t>
      </w:r>
      <w:r w:rsidR="00B62ACA">
        <w:rPr>
          <w:lang w:val="en-US"/>
        </w:rPr>
        <w:t>14</w:t>
      </w:r>
      <w:r>
        <w:rPr>
          <w:lang w:val="en-US"/>
        </w:rPr>
        <w:t>]</w:t>
      </w:r>
      <w:r>
        <w:rPr>
          <w:lang w:val="en-US"/>
        </w:rPr>
        <w:tab/>
        <w:t xml:space="preserve">Meyer E, Schwab F, </w:t>
      </w:r>
      <w:proofErr w:type="spellStart"/>
      <w:r>
        <w:rPr>
          <w:lang w:val="en-US"/>
        </w:rPr>
        <w:t>Schroeren-Boersch</w:t>
      </w:r>
      <w:proofErr w:type="spellEnd"/>
      <w:r>
        <w:rPr>
          <w:lang w:val="en-US"/>
        </w:rPr>
        <w:t xml:space="preserve"> B, </w:t>
      </w:r>
      <w:proofErr w:type="spellStart"/>
      <w:r>
        <w:rPr>
          <w:lang w:val="en-US"/>
        </w:rPr>
        <w:t>Gastmeier</w:t>
      </w:r>
      <w:proofErr w:type="spellEnd"/>
      <w:r>
        <w:rPr>
          <w:lang w:val="en-US"/>
        </w:rPr>
        <w:t xml:space="preserve"> P. Dramatic increase of third-generation cephalosporin-resistant E. coli in German intensive care units: secular trends in antibiotic drug use and bacterial resistance, 2001 to 2008. </w:t>
      </w:r>
      <w:proofErr w:type="spellStart"/>
      <w:r>
        <w:rPr>
          <w:lang w:val="en-US"/>
        </w:rPr>
        <w:t>Crit</w:t>
      </w:r>
      <w:proofErr w:type="spellEnd"/>
      <w:r>
        <w:rPr>
          <w:lang w:val="en-US"/>
        </w:rPr>
        <w:t xml:space="preserve"> Care 2010;</w:t>
      </w:r>
      <w:r w:rsidR="004B7DA5">
        <w:rPr>
          <w:lang w:val="en-US"/>
        </w:rPr>
        <w:t>14: R</w:t>
      </w:r>
      <w:r>
        <w:rPr>
          <w:lang w:val="en-US"/>
        </w:rPr>
        <w:t>113. https://doi.org/10.1186/cc9062.</w:t>
      </w:r>
    </w:p>
    <w:p w:rsidR="00FE52A2" w:rsidRDefault="00B62ACA" w:rsidP="001F0E8D">
      <w:pPr>
        <w:pStyle w:val="Bibliographie1"/>
        <w:jc w:val="both"/>
        <w:rPr>
          <w:lang w:val="en-US"/>
        </w:rPr>
      </w:pPr>
      <w:r>
        <w:rPr>
          <w:lang w:val="en-US"/>
        </w:rPr>
        <w:lastRenderedPageBreak/>
        <w:t xml:space="preserve"> </w:t>
      </w:r>
      <w:r w:rsidR="00FE52A2">
        <w:rPr>
          <w:lang w:val="en-US"/>
        </w:rPr>
        <w:t>[</w:t>
      </w:r>
      <w:r>
        <w:rPr>
          <w:lang w:val="en-US"/>
        </w:rPr>
        <w:t>15</w:t>
      </w:r>
      <w:r w:rsidR="00FE52A2">
        <w:rPr>
          <w:lang w:val="en-US"/>
        </w:rPr>
        <w:t>]</w:t>
      </w:r>
      <w:r w:rsidR="00FE52A2">
        <w:rPr>
          <w:lang w:val="en-US"/>
        </w:rPr>
        <w:tab/>
      </w:r>
      <w:proofErr w:type="spellStart"/>
      <w:r w:rsidR="00FE52A2">
        <w:rPr>
          <w:lang w:val="en-US"/>
        </w:rPr>
        <w:t>Poirel</w:t>
      </w:r>
      <w:proofErr w:type="spellEnd"/>
      <w:r w:rsidR="00FE52A2">
        <w:rPr>
          <w:lang w:val="en-US"/>
        </w:rPr>
        <w:t xml:space="preserve"> L, </w:t>
      </w:r>
      <w:proofErr w:type="spellStart"/>
      <w:r w:rsidR="00FE52A2">
        <w:rPr>
          <w:lang w:val="en-US"/>
        </w:rPr>
        <w:t>Nordmann</w:t>
      </w:r>
      <w:proofErr w:type="spellEnd"/>
      <w:r w:rsidR="00FE52A2">
        <w:rPr>
          <w:lang w:val="en-US"/>
        </w:rPr>
        <w:t xml:space="preserve"> P. Carbapenem resistance in Acinetobacter </w:t>
      </w:r>
      <w:proofErr w:type="spellStart"/>
      <w:r w:rsidR="00FE52A2">
        <w:rPr>
          <w:lang w:val="en-US"/>
        </w:rPr>
        <w:t>baumannii</w:t>
      </w:r>
      <w:proofErr w:type="spellEnd"/>
      <w:r w:rsidR="00FE52A2">
        <w:rPr>
          <w:lang w:val="en-US"/>
        </w:rPr>
        <w:t xml:space="preserve">: mechanisms and epidemiology. </w:t>
      </w:r>
      <w:proofErr w:type="spellStart"/>
      <w:r w:rsidR="00FE52A2">
        <w:rPr>
          <w:lang w:val="en-US"/>
        </w:rPr>
        <w:t>Clin</w:t>
      </w:r>
      <w:proofErr w:type="spellEnd"/>
      <w:r w:rsidR="00FE52A2">
        <w:rPr>
          <w:lang w:val="en-US"/>
        </w:rPr>
        <w:t xml:space="preserve"> </w:t>
      </w:r>
      <w:proofErr w:type="spellStart"/>
      <w:r w:rsidR="00FE52A2">
        <w:rPr>
          <w:lang w:val="en-US"/>
        </w:rPr>
        <w:t>Microbiol</w:t>
      </w:r>
      <w:proofErr w:type="spellEnd"/>
      <w:r w:rsidR="00FE52A2">
        <w:rPr>
          <w:lang w:val="en-US"/>
        </w:rPr>
        <w:t xml:space="preserve"> Infect </w:t>
      </w:r>
      <w:r>
        <w:rPr>
          <w:lang w:val="en-US"/>
        </w:rPr>
        <w:t>2006; 12:826</w:t>
      </w:r>
      <w:r w:rsidR="00FE52A2">
        <w:rPr>
          <w:lang w:val="en-US"/>
        </w:rPr>
        <w:t>–36. https://doi.org/10.1111/j.1469-0691.2006.01456.x.</w:t>
      </w:r>
    </w:p>
    <w:p w:rsidR="00FE52A2" w:rsidRDefault="00B62ACA" w:rsidP="001F0E8D">
      <w:pPr>
        <w:pStyle w:val="Bibliographie1"/>
        <w:jc w:val="both"/>
        <w:rPr>
          <w:lang w:val="en-US"/>
        </w:rPr>
      </w:pPr>
      <w:r>
        <w:rPr>
          <w:lang w:val="en-US"/>
        </w:rPr>
        <w:t xml:space="preserve"> </w:t>
      </w:r>
      <w:r w:rsidR="00FE52A2">
        <w:rPr>
          <w:lang w:val="en-US"/>
        </w:rPr>
        <w:t>[</w:t>
      </w:r>
      <w:r>
        <w:rPr>
          <w:lang w:val="en-US"/>
        </w:rPr>
        <w:t>16</w:t>
      </w:r>
      <w:r w:rsidR="00FE52A2">
        <w:rPr>
          <w:lang w:val="en-US"/>
        </w:rPr>
        <w:t>]</w:t>
      </w:r>
      <w:r w:rsidR="00FE52A2">
        <w:rPr>
          <w:lang w:val="en-US"/>
        </w:rPr>
        <w:tab/>
        <w:t>Solomon SL, Oliver B. Antibiotic Resistance Threats in the United States: Stepping Back from the Brink 2014;89:6.</w:t>
      </w:r>
    </w:p>
    <w:p w:rsidR="00FE52A2" w:rsidRDefault="00B62ACA" w:rsidP="001F0E8D">
      <w:pPr>
        <w:pStyle w:val="Bibliographie1"/>
        <w:jc w:val="both"/>
        <w:rPr>
          <w:lang w:val="en-US"/>
        </w:rPr>
      </w:pPr>
      <w:r>
        <w:rPr>
          <w:lang w:val="en-US"/>
        </w:rPr>
        <w:t xml:space="preserve"> </w:t>
      </w:r>
      <w:r w:rsidR="00FE52A2">
        <w:rPr>
          <w:lang w:val="en-US"/>
        </w:rPr>
        <w:t>[</w:t>
      </w:r>
      <w:r>
        <w:rPr>
          <w:lang w:val="en-US"/>
        </w:rPr>
        <w:t>17</w:t>
      </w:r>
      <w:r w:rsidR="00FE52A2">
        <w:rPr>
          <w:lang w:val="en-US"/>
        </w:rPr>
        <w:t>]</w:t>
      </w:r>
      <w:r w:rsidR="00FE52A2">
        <w:rPr>
          <w:lang w:val="en-US"/>
        </w:rPr>
        <w:tab/>
        <w:t xml:space="preserve">Sievert DM, Ricks P, Edwards JR, Schneider A, Patel J, Srinivasan A, et al. Antimicrobial-Resistant Pathogens Associated with Healthcare-Associated Infections Summary of Data Reported to the National Healthcare Safety Network at the Centers for Disease Control and Prevention, 2009–2010. Infect Control Hosp Epidemiol </w:t>
      </w:r>
      <w:r>
        <w:rPr>
          <w:lang w:val="en-US"/>
        </w:rPr>
        <w:t>2013; 34:1</w:t>
      </w:r>
      <w:r w:rsidR="00FE52A2">
        <w:rPr>
          <w:lang w:val="en-US"/>
        </w:rPr>
        <w:t>–14. https://doi.org/10.1086/668770.</w:t>
      </w:r>
    </w:p>
    <w:p w:rsidR="00FE52A2" w:rsidRDefault="00B62ACA" w:rsidP="001F0E8D">
      <w:pPr>
        <w:pStyle w:val="Bibliographie1"/>
        <w:jc w:val="both"/>
        <w:rPr>
          <w:lang w:val="en-US"/>
        </w:rPr>
      </w:pPr>
      <w:r>
        <w:rPr>
          <w:lang w:val="en-US"/>
        </w:rPr>
        <w:t xml:space="preserve"> </w:t>
      </w:r>
      <w:r w:rsidR="00FE52A2">
        <w:rPr>
          <w:lang w:val="en-US"/>
        </w:rPr>
        <w:t>[</w:t>
      </w:r>
      <w:r>
        <w:rPr>
          <w:lang w:val="en-US"/>
        </w:rPr>
        <w:t>18</w:t>
      </w:r>
      <w:r w:rsidR="00FE52A2">
        <w:rPr>
          <w:lang w:val="en-US"/>
        </w:rPr>
        <w:t>]</w:t>
      </w:r>
      <w:r w:rsidR="00FE52A2">
        <w:rPr>
          <w:lang w:val="en-US"/>
        </w:rPr>
        <w:tab/>
      </w:r>
      <w:proofErr w:type="spellStart"/>
      <w:r w:rsidR="00FE52A2">
        <w:rPr>
          <w:lang w:val="en-US"/>
        </w:rPr>
        <w:t>Laundy</w:t>
      </w:r>
      <w:proofErr w:type="spellEnd"/>
      <w:r w:rsidR="00FE52A2">
        <w:rPr>
          <w:lang w:val="en-US"/>
        </w:rPr>
        <w:t xml:space="preserve"> M, Gilchrist M, Whitney L, editors. Antimicrobial stewardship. First edition. Oxford: Oxford University Press; 2016.</w:t>
      </w:r>
    </w:p>
    <w:p w:rsidR="00FE52A2" w:rsidRDefault="00FE52A2" w:rsidP="001F0E8D">
      <w:pPr>
        <w:pStyle w:val="Bibliographie1"/>
        <w:jc w:val="both"/>
        <w:rPr>
          <w:lang w:val="en-US"/>
        </w:rPr>
      </w:pPr>
      <w:r>
        <w:rPr>
          <w:lang w:val="en-US"/>
        </w:rPr>
        <w:t>[</w:t>
      </w:r>
      <w:r w:rsidR="00B62ACA">
        <w:rPr>
          <w:lang w:val="en-US"/>
        </w:rPr>
        <w:t>19</w:t>
      </w:r>
      <w:r>
        <w:rPr>
          <w:lang w:val="en-US"/>
        </w:rPr>
        <w:t>]</w:t>
      </w:r>
      <w:r>
        <w:rPr>
          <w:lang w:val="en-US"/>
        </w:rPr>
        <w:tab/>
      </w:r>
      <w:proofErr w:type="spellStart"/>
      <w:r>
        <w:rPr>
          <w:lang w:val="en-US"/>
        </w:rPr>
        <w:t>Kon</w:t>
      </w:r>
      <w:proofErr w:type="spellEnd"/>
      <w:r>
        <w:rPr>
          <w:lang w:val="en-US"/>
        </w:rPr>
        <w:t xml:space="preserve"> KV, Rai M, editors. Antibiotic resistance: mechanisms and new antimicrobial approaches. Amsterdam: Elsevier, Academic Press; 2016.</w:t>
      </w:r>
    </w:p>
    <w:p w:rsidR="00B62ACA" w:rsidRPr="00B62ACA" w:rsidRDefault="00B62ACA" w:rsidP="00B62ACA">
      <w:pPr>
        <w:pStyle w:val="Bibliographie1"/>
        <w:rPr>
          <w:lang w:val="en-US"/>
        </w:rPr>
      </w:pPr>
      <w:r>
        <w:rPr>
          <w:lang w:val="en-US"/>
        </w:rPr>
        <w:t>[20]</w:t>
      </w:r>
      <w:r>
        <w:rPr>
          <w:lang w:val="en-US"/>
        </w:rPr>
        <w:tab/>
        <w:t xml:space="preserve">Arnold H, </w:t>
      </w:r>
      <w:proofErr w:type="spellStart"/>
      <w:r>
        <w:rPr>
          <w:lang w:val="en-US"/>
        </w:rPr>
        <w:t>Micek</w:t>
      </w:r>
      <w:proofErr w:type="spellEnd"/>
      <w:r>
        <w:rPr>
          <w:lang w:val="en-US"/>
        </w:rPr>
        <w:t xml:space="preserve"> S, </w:t>
      </w:r>
      <w:proofErr w:type="spellStart"/>
      <w:r>
        <w:rPr>
          <w:lang w:val="en-US"/>
        </w:rPr>
        <w:t>Skrupky</w:t>
      </w:r>
      <w:proofErr w:type="spellEnd"/>
      <w:r>
        <w:rPr>
          <w:lang w:val="en-US"/>
        </w:rPr>
        <w:t xml:space="preserve"> L, </w:t>
      </w:r>
      <w:proofErr w:type="spellStart"/>
      <w:r>
        <w:rPr>
          <w:lang w:val="en-US"/>
        </w:rPr>
        <w:t>Kollef</w:t>
      </w:r>
      <w:proofErr w:type="spellEnd"/>
      <w:r>
        <w:rPr>
          <w:lang w:val="en-US"/>
        </w:rPr>
        <w:t xml:space="preserve"> M. Antibiotic Stewardship in the Intensive Care Unit. </w:t>
      </w:r>
      <w:proofErr w:type="spellStart"/>
      <w:r>
        <w:rPr>
          <w:lang w:val="en-US"/>
        </w:rPr>
        <w:t>Semin</w:t>
      </w:r>
      <w:proofErr w:type="spellEnd"/>
      <w:r>
        <w:rPr>
          <w:lang w:val="en-US"/>
        </w:rPr>
        <w:t xml:space="preserve"> Respir </w:t>
      </w:r>
      <w:proofErr w:type="spellStart"/>
      <w:r>
        <w:rPr>
          <w:lang w:val="en-US"/>
        </w:rPr>
        <w:t>Crit</w:t>
      </w:r>
      <w:proofErr w:type="spellEnd"/>
      <w:r>
        <w:rPr>
          <w:lang w:val="en-US"/>
        </w:rPr>
        <w:t xml:space="preserve"> Care Med </w:t>
      </w:r>
      <w:r w:rsidR="00F83043">
        <w:rPr>
          <w:lang w:val="en-US"/>
        </w:rPr>
        <w:t>2011; 32:215</w:t>
      </w:r>
      <w:r>
        <w:rPr>
          <w:lang w:val="en-US"/>
        </w:rPr>
        <w:t>–27. https://doi.org/10.1055/s-0031-1275534.</w:t>
      </w:r>
    </w:p>
    <w:p w:rsidR="00FE52A2" w:rsidRDefault="00FE52A2" w:rsidP="001F0E8D">
      <w:pPr>
        <w:pStyle w:val="Bibliographie1"/>
        <w:jc w:val="both"/>
        <w:rPr>
          <w:lang w:val="en-US"/>
        </w:rPr>
      </w:pPr>
      <w:r>
        <w:rPr>
          <w:lang w:val="en-US"/>
        </w:rPr>
        <w:t>[</w:t>
      </w:r>
      <w:r w:rsidR="00B62ACA">
        <w:rPr>
          <w:lang w:val="en-US"/>
        </w:rPr>
        <w:t>21</w:t>
      </w:r>
      <w:r>
        <w:rPr>
          <w:lang w:val="en-US"/>
        </w:rPr>
        <w:t>]</w:t>
      </w:r>
      <w:r>
        <w:rPr>
          <w:lang w:val="en-US"/>
        </w:rPr>
        <w:tab/>
      </w:r>
      <w:proofErr w:type="spellStart"/>
      <w:r>
        <w:rPr>
          <w:lang w:val="en-US"/>
        </w:rPr>
        <w:t>Luyt</w:t>
      </w:r>
      <w:proofErr w:type="spellEnd"/>
      <w:r>
        <w:rPr>
          <w:lang w:val="en-US"/>
        </w:rPr>
        <w:t xml:space="preserve"> C-E, </w:t>
      </w:r>
      <w:proofErr w:type="spellStart"/>
      <w:r>
        <w:rPr>
          <w:lang w:val="en-US"/>
        </w:rPr>
        <w:t>Bréchot</w:t>
      </w:r>
      <w:proofErr w:type="spellEnd"/>
      <w:r>
        <w:rPr>
          <w:lang w:val="en-US"/>
        </w:rPr>
        <w:t xml:space="preserve"> N, </w:t>
      </w:r>
      <w:proofErr w:type="spellStart"/>
      <w:r>
        <w:rPr>
          <w:lang w:val="en-US"/>
        </w:rPr>
        <w:t>Trouillet</w:t>
      </w:r>
      <w:proofErr w:type="spellEnd"/>
      <w:r>
        <w:rPr>
          <w:lang w:val="en-US"/>
        </w:rPr>
        <w:t xml:space="preserve"> J-L, </w:t>
      </w:r>
      <w:proofErr w:type="spellStart"/>
      <w:r>
        <w:rPr>
          <w:lang w:val="en-US"/>
        </w:rPr>
        <w:t>Chastre</w:t>
      </w:r>
      <w:proofErr w:type="spellEnd"/>
      <w:r>
        <w:rPr>
          <w:lang w:val="en-US"/>
        </w:rPr>
        <w:t xml:space="preserve"> J. Antibiotic stewardship in the intensive care unit 2014:12.</w:t>
      </w:r>
    </w:p>
    <w:p w:rsidR="00B62ACA" w:rsidRPr="00B62ACA" w:rsidRDefault="00B62ACA" w:rsidP="00B62ACA">
      <w:pPr>
        <w:rPr>
          <w:rFonts w:asciiTheme="minorHAnsi" w:hAnsiTheme="minorHAnsi" w:cstheme="minorHAnsi"/>
          <w:color w:val="000000" w:themeColor="text1"/>
          <w:sz w:val="22"/>
          <w:szCs w:val="22"/>
          <w:lang w:val="en-US"/>
        </w:rPr>
      </w:pPr>
      <w:r w:rsidRPr="00B62ACA">
        <w:rPr>
          <w:rFonts w:asciiTheme="minorHAnsi" w:hAnsiTheme="minorHAnsi" w:cstheme="minorHAnsi"/>
          <w:color w:val="000000" w:themeColor="text1"/>
          <w:sz w:val="22"/>
          <w:szCs w:val="22"/>
          <w:lang w:val="en-US"/>
        </w:rPr>
        <w:t xml:space="preserve">[22] European Centre for Disease Prevention and Control (ECDC). Annual epidemiological report 2014. Antimicrobial resistance and healthcare-associated infections.2015.  Available at </w:t>
      </w:r>
      <w:hyperlink r:id="rId5" w:history="1">
        <w:r w:rsidRPr="00F66428">
          <w:rPr>
            <w:rStyle w:val="Lienhypertexte"/>
            <w:rFonts w:asciiTheme="minorHAnsi" w:hAnsiTheme="minorHAnsi" w:cstheme="minorHAnsi"/>
            <w:sz w:val="22"/>
            <w:szCs w:val="22"/>
            <w:lang w:val="en-US"/>
          </w:rPr>
          <w:t>http://ecdc.europa.eu/en/publications/Publications/antimicrobial-resistance-annual epidemiological-report.pdf</w:t>
        </w:r>
      </w:hyperlink>
    </w:p>
    <w:p w:rsidR="00FE52A2" w:rsidRDefault="00FE52A2" w:rsidP="001F0E8D">
      <w:pPr>
        <w:pStyle w:val="Bibliographie1"/>
        <w:jc w:val="both"/>
      </w:pPr>
      <w:r w:rsidRPr="00B62ACA">
        <w:t>[</w:t>
      </w:r>
      <w:r w:rsidR="00B62ACA">
        <w:t>23</w:t>
      </w:r>
      <w:r w:rsidRPr="00B62ACA">
        <w:t>]</w:t>
      </w:r>
      <w:r w:rsidRPr="00B62ACA">
        <w:tab/>
        <w:t xml:space="preserve">Huang H, Chen B, Liu G, </w:t>
      </w:r>
      <w:proofErr w:type="spellStart"/>
      <w:r w:rsidRPr="00B62ACA">
        <w:t>Ran</w:t>
      </w:r>
      <w:proofErr w:type="spellEnd"/>
      <w:r w:rsidRPr="00B62ACA">
        <w:t xml:space="preserve"> J, </w:t>
      </w:r>
      <w:proofErr w:type="spellStart"/>
      <w:r w:rsidRPr="00B62ACA">
        <w:t>Lian</w:t>
      </w:r>
      <w:proofErr w:type="spellEnd"/>
      <w:r w:rsidRPr="00B62ACA">
        <w:t xml:space="preserve"> X, Huang X, et al. </w:t>
      </w:r>
      <w:r>
        <w:rPr>
          <w:lang w:val="en-US"/>
        </w:rPr>
        <w:t xml:space="preserve">A multi-center study on the risk factors of infection caused by multi-drug resistant Acinetobacter </w:t>
      </w:r>
      <w:proofErr w:type="spellStart"/>
      <w:r>
        <w:rPr>
          <w:lang w:val="en-US"/>
        </w:rPr>
        <w:t>baumannii</w:t>
      </w:r>
      <w:proofErr w:type="spellEnd"/>
      <w:r>
        <w:rPr>
          <w:lang w:val="en-US"/>
        </w:rPr>
        <w:t xml:space="preserve">. </w:t>
      </w:r>
      <w:r>
        <w:t xml:space="preserve">BMC Infect Dis </w:t>
      </w:r>
      <w:r w:rsidR="004B7DA5">
        <w:t>2018 ;</w:t>
      </w:r>
      <w:r>
        <w:t>18. https://doi.org/10.1186/s12879-017-2932-5.</w:t>
      </w:r>
    </w:p>
    <w:p w:rsidR="00B62ACA" w:rsidRPr="00B62ACA" w:rsidRDefault="00FE52A2" w:rsidP="00B62ACA">
      <w:pPr>
        <w:pStyle w:val="Bibliographie1"/>
        <w:jc w:val="both"/>
        <w:rPr>
          <w:lang w:val="en-US"/>
        </w:rPr>
      </w:pPr>
      <w:r>
        <w:t>[</w:t>
      </w:r>
      <w:r w:rsidR="00B62ACA">
        <w:t>24</w:t>
      </w:r>
      <w:r>
        <w:t>]</w:t>
      </w:r>
      <w:r>
        <w:tab/>
        <w:t xml:space="preserve">Zheng Y, Wan Y, Zhou L, </w:t>
      </w:r>
      <w:proofErr w:type="spellStart"/>
      <w:r>
        <w:t>Ye</w:t>
      </w:r>
      <w:proofErr w:type="spellEnd"/>
      <w:r>
        <w:t xml:space="preserve"> M, Liu S, Xu C, et al. </w:t>
      </w:r>
      <w:r>
        <w:rPr>
          <w:lang w:val="en-US"/>
        </w:rPr>
        <w:t xml:space="preserve">Risk factors and mortality of patients with nosocomial carbapenem-resistant Acinetobacter </w:t>
      </w:r>
      <w:proofErr w:type="spellStart"/>
      <w:r>
        <w:rPr>
          <w:lang w:val="en-US"/>
        </w:rPr>
        <w:t>baumannii</w:t>
      </w:r>
      <w:proofErr w:type="spellEnd"/>
      <w:r>
        <w:rPr>
          <w:lang w:val="en-US"/>
        </w:rPr>
        <w:t xml:space="preserve"> pneumonia. Am J Infect Control 2013;</w:t>
      </w:r>
      <w:r w:rsidR="00F83043">
        <w:rPr>
          <w:lang w:val="en-US"/>
        </w:rPr>
        <w:t>41: e</w:t>
      </w:r>
      <w:r>
        <w:rPr>
          <w:lang w:val="en-US"/>
        </w:rPr>
        <w:t xml:space="preserve">59–63. </w:t>
      </w:r>
      <w:hyperlink r:id="rId6" w:history="1">
        <w:r w:rsidR="00B62ACA" w:rsidRPr="00F66428">
          <w:rPr>
            <w:rStyle w:val="Lienhypertexte"/>
            <w:lang w:val="en-US"/>
          </w:rPr>
          <w:t>https://doi.org/10.1016/j.ajic.2013.01.006</w:t>
        </w:r>
      </w:hyperlink>
      <w:r>
        <w:rPr>
          <w:lang w:val="en-US"/>
        </w:rPr>
        <w:t>.</w:t>
      </w:r>
    </w:p>
    <w:p w:rsidR="00B62ACA" w:rsidRDefault="00B62ACA" w:rsidP="004B7DA5">
      <w:pPr>
        <w:pStyle w:val="Bibliographie1"/>
        <w:jc w:val="both"/>
        <w:rPr>
          <w:rFonts w:asciiTheme="minorHAnsi" w:hAnsiTheme="minorHAnsi" w:cstheme="minorHAnsi"/>
          <w:color w:val="000000" w:themeColor="text1"/>
          <w:lang w:val="en-US"/>
        </w:rPr>
      </w:pPr>
      <w:r w:rsidRPr="00B62ACA">
        <w:rPr>
          <w:lang w:val="en-US"/>
        </w:rPr>
        <w:t xml:space="preserve">[25] </w:t>
      </w:r>
      <w:proofErr w:type="spellStart"/>
      <w:r>
        <w:rPr>
          <w:lang w:val="en-US"/>
        </w:rPr>
        <w:t>Yeşilbağ</w:t>
      </w:r>
      <w:proofErr w:type="spellEnd"/>
      <w:r w:rsidRPr="009343D1">
        <w:rPr>
          <w:rFonts w:asciiTheme="minorHAnsi" w:hAnsiTheme="minorHAnsi" w:cstheme="minorHAnsi"/>
          <w:color w:val="000000" w:themeColor="text1"/>
          <w:lang w:val="en-US"/>
        </w:rPr>
        <w:t xml:space="preserve"> Z, </w:t>
      </w:r>
      <w:proofErr w:type="spellStart"/>
      <w:r w:rsidRPr="009343D1">
        <w:rPr>
          <w:rFonts w:asciiTheme="minorHAnsi" w:hAnsiTheme="minorHAnsi" w:cstheme="minorHAnsi"/>
          <w:color w:val="000000" w:themeColor="text1"/>
          <w:lang w:val="en-US"/>
        </w:rPr>
        <w:t>Tekdöş-Şeker</w:t>
      </w:r>
      <w:proofErr w:type="spellEnd"/>
      <w:r w:rsidRPr="009343D1">
        <w:rPr>
          <w:rFonts w:asciiTheme="minorHAnsi" w:hAnsiTheme="minorHAnsi" w:cstheme="minorHAnsi"/>
          <w:color w:val="000000" w:themeColor="text1"/>
          <w:lang w:val="en-US"/>
        </w:rPr>
        <w:t xml:space="preserve"> Y, </w:t>
      </w:r>
      <w:proofErr w:type="spellStart"/>
      <w:r w:rsidRPr="009343D1">
        <w:rPr>
          <w:rFonts w:asciiTheme="minorHAnsi" w:hAnsiTheme="minorHAnsi" w:cstheme="minorHAnsi"/>
          <w:color w:val="000000" w:themeColor="text1"/>
          <w:lang w:val="en-US"/>
        </w:rPr>
        <w:t>Şenoğlu</w:t>
      </w:r>
      <w:proofErr w:type="spellEnd"/>
      <w:r w:rsidRPr="009343D1">
        <w:rPr>
          <w:rFonts w:asciiTheme="minorHAnsi" w:hAnsiTheme="minorHAnsi" w:cstheme="minorHAnsi"/>
          <w:color w:val="000000" w:themeColor="text1"/>
          <w:lang w:val="en-US"/>
        </w:rPr>
        <w:t xml:space="preserve"> Ş, </w:t>
      </w:r>
      <w:proofErr w:type="spellStart"/>
      <w:r w:rsidRPr="009343D1">
        <w:rPr>
          <w:rFonts w:asciiTheme="minorHAnsi" w:hAnsiTheme="minorHAnsi" w:cstheme="minorHAnsi"/>
          <w:color w:val="000000" w:themeColor="text1"/>
          <w:lang w:val="en-US"/>
        </w:rPr>
        <w:t>Hergünsel</w:t>
      </w:r>
      <w:proofErr w:type="spellEnd"/>
      <w:r w:rsidRPr="009343D1">
        <w:rPr>
          <w:rFonts w:asciiTheme="minorHAnsi" w:hAnsiTheme="minorHAnsi" w:cstheme="minorHAnsi"/>
          <w:color w:val="000000" w:themeColor="text1"/>
          <w:lang w:val="en-US"/>
        </w:rPr>
        <w:t xml:space="preserve"> GO. [</w:t>
      </w:r>
      <w:proofErr w:type="spellStart"/>
      <w:r w:rsidRPr="00B62ACA">
        <w:rPr>
          <w:rFonts w:asciiTheme="minorHAnsi" w:hAnsiTheme="minorHAnsi" w:cstheme="minorHAnsi"/>
          <w:i/>
          <w:iCs/>
          <w:color w:val="000000" w:themeColor="text1"/>
          <w:lang w:val="en-US"/>
        </w:rPr>
        <w:t>Klebsiella</w:t>
      </w:r>
      <w:proofErr w:type="spellEnd"/>
      <w:r w:rsidRPr="00B62ACA">
        <w:rPr>
          <w:rFonts w:asciiTheme="minorHAnsi" w:hAnsiTheme="minorHAnsi" w:cstheme="minorHAnsi"/>
          <w:i/>
          <w:iCs/>
          <w:color w:val="000000" w:themeColor="text1"/>
          <w:lang w:val="en-US"/>
        </w:rPr>
        <w:t xml:space="preserve"> </w:t>
      </w:r>
      <w:proofErr w:type="spellStart"/>
      <w:r w:rsidRPr="00B62ACA">
        <w:rPr>
          <w:rFonts w:asciiTheme="minorHAnsi" w:hAnsiTheme="minorHAnsi" w:cstheme="minorHAnsi"/>
          <w:i/>
          <w:iCs/>
          <w:color w:val="000000" w:themeColor="text1"/>
          <w:lang w:val="en-US"/>
        </w:rPr>
        <w:t>pneumoniae</w:t>
      </w:r>
      <w:r w:rsidRPr="009343D1">
        <w:rPr>
          <w:rFonts w:asciiTheme="minorHAnsi" w:hAnsiTheme="minorHAnsi" w:cstheme="minorHAnsi"/>
          <w:color w:val="000000" w:themeColor="text1"/>
          <w:lang w:val="en-US"/>
        </w:rPr>
        <w:t>infections</w:t>
      </w:r>
      <w:proofErr w:type="spellEnd"/>
      <w:r w:rsidRPr="009343D1">
        <w:rPr>
          <w:rFonts w:asciiTheme="minorHAnsi" w:hAnsiTheme="minorHAnsi" w:cstheme="minorHAnsi"/>
          <w:color w:val="000000" w:themeColor="text1"/>
          <w:lang w:val="en-US"/>
        </w:rPr>
        <w:t xml:space="preserve"> in intensive</w:t>
      </w:r>
    </w:p>
    <w:p w:rsidR="00B62ACA" w:rsidRPr="006363EF" w:rsidRDefault="00B62ACA" w:rsidP="004B7DA5">
      <w:pPr>
        <w:pStyle w:val="Bibliographie1"/>
        <w:jc w:val="both"/>
        <w:rPr>
          <w:rFonts w:asciiTheme="minorHAnsi" w:hAnsiTheme="minorHAnsi" w:cstheme="minorHAnsi"/>
          <w:color w:val="696D70"/>
        </w:rPr>
      </w:pPr>
      <w:r w:rsidRPr="009343D1">
        <w:rPr>
          <w:rFonts w:asciiTheme="minorHAnsi" w:hAnsiTheme="minorHAnsi" w:cstheme="minorHAnsi"/>
          <w:color w:val="000000" w:themeColor="text1"/>
          <w:lang w:val="en-US"/>
        </w:rPr>
        <w:t>care unit and risk factors for carbapenem resistance].</w:t>
      </w:r>
      <w:r w:rsidRPr="00B62ACA">
        <w:rPr>
          <w:rFonts w:asciiTheme="minorHAnsi" w:hAnsiTheme="minorHAnsi" w:cstheme="minorHAnsi"/>
          <w:color w:val="000000" w:themeColor="text1"/>
          <w:lang w:val="en-US"/>
        </w:rPr>
        <w:t> </w:t>
      </w:r>
      <w:proofErr w:type="spellStart"/>
      <w:r w:rsidRPr="006363EF">
        <w:rPr>
          <w:rFonts w:asciiTheme="minorHAnsi" w:hAnsiTheme="minorHAnsi" w:cstheme="minorHAnsi"/>
          <w:i/>
          <w:iCs/>
          <w:color w:val="000000" w:themeColor="text1"/>
        </w:rPr>
        <w:t>Klimik</w:t>
      </w:r>
      <w:proofErr w:type="spellEnd"/>
      <w:r w:rsidRPr="006363EF">
        <w:rPr>
          <w:rFonts w:asciiTheme="minorHAnsi" w:hAnsiTheme="minorHAnsi" w:cstheme="minorHAnsi"/>
          <w:i/>
          <w:iCs/>
          <w:color w:val="000000" w:themeColor="text1"/>
        </w:rPr>
        <w:t xml:space="preserve"> </w:t>
      </w:r>
      <w:proofErr w:type="spellStart"/>
      <w:r w:rsidRPr="006363EF">
        <w:rPr>
          <w:rFonts w:asciiTheme="minorHAnsi" w:hAnsiTheme="minorHAnsi" w:cstheme="minorHAnsi"/>
          <w:i/>
          <w:iCs/>
          <w:color w:val="000000" w:themeColor="text1"/>
        </w:rPr>
        <w:t>Derg</w:t>
      </w:r>
      <w:proofErr w:type="spellEnd"/>
      <w:r w:rsidRPr="006363EF">
        <w:rPr>
          <w:rFonts w:asciiTheme="minorHAnsi" w:hAnsiTheme="minorHAnsi" w:cstheme="minorHAnsi"/>
          <w:color w:val="000000" w:themeColor="text1"/>
        </w:rPr>
        <w:t xml:space="preserve">. </w:t>
      </w:r>
      <w:proofErr w:type="gramStart"/>
      <w:r w:rsidRPr="006363EF">
        <w:rPr>
          <w:rFonts w:asciiTheme="minorHAnsi" w:hAnsiTheme="minorHAnsi" w:cstheme="minorHAnsi"/>
          <w:color w:val="000000" w:themeColor="text1"/>
        </w:rPr>
        <w:t>2021;</w:t>
      </w:r>
      <w:proofErr w:type="gramEnd"/>
      <w:r w:rsidRPr="006363EF">
        <w:rPr>
          <w:rFonts w:asciiTheme="minorHAnsi" w:hAnsiTheme="minorHAnsi" w:cstheme="minorHAnsi"/>
          <w:color w:val="000000" w:themeColor="text1"/>
        </w:rPr>
        <w:t xml:space="preserve"> 34(1): 25-30.</w:t>
      </w:r>
      <w:r w:rsidRPr="006363EF">
        <w:rPr>
          <w:rFonts w:asciiTheme="minorHAnsi" w:hAnsiTheme="minorHAnsi" w:cstheme="minorHAnsi"/>
          <w:color w:val="696D70"/>
        </w:rPr>
        <w:t xml:space="preserve"> </w:t>
      </w:r>
    </w:p>
    <w:p w:rsidR="00B62ACA" w:rsidRPr="006363EF" w:rsidRDefault="00B62ACA" w:rsidP="004B7DA5">
      <w:pPr>
        <w:pStyle w:val="Bibliographie1"/>
        <w:jc w:val="both"/>
      </w:pPr>
      <w:proofErr w:type="gramStart"/>
      <w:r w:rsidRPr="006363EF">
        <w:rPr>
          <w:rFonts w:asciiTheme="minorHAnsi" w:hAnsiTheme="minorHAnsi" w:cstheme="minorHAnsi"/>
          <w:color w:val="000000" w:themeColor="text1"/>
          <w:shd w:val="clear" w:color="auto" w:fill="FFFFFF"/>
        </w:rPr>
        <w:t>DOI</w:t>
      </w:r>
      <w:r w:rsidRPr="006363EF">
        <w:rPr>
          <w:rStyle w:val="apple-converted-space"/>
          <w:rFonts w:asciiTheme="minorHAnsi" w:hAnsiTheme="minorHAnsi" w:cstheme="minorHAnsi"/>
          <w:color w:val="000000" w:themeColor="text1"/>
          <w:shd w:val="clear" w:color="auto" w:fill="FFFFFF"/>
        </w:rPr>
        <w:t>:</w:t>
      </w:r>
      <w:proofErr w:type="gramEnd"/>
      <w:r w:rsidRPr="006363EF">
        <w:rPr>
          <w:rStyle w:val="apple-converted-space"/>
          <w:rFonts w:asciiTheme="minorHAnsi" w:hAnsiTheme="minorHAnsi" w:cstheme="minorHAnsi"/>
          <w:color w:val="000000" w:themeColor="text1"/>
          <w:shd w:val="clear" w:color="auto" w:fill="FFFFFF"/>
        </w:rPr>
        <w:t xml:space="preserve"> </w:t>
      </w:r>
      <w:r w:rsidRPr="006363EF">
        <w:rPr>
          <w:rStyle w:val="Accentuation"/>
          <w:rFonts w:asciiTheme="minorHAnsi" w:hAnsiTheme="minorHAnsi" w:cstheme="minorHAnsi"/>
          <w:bCs/>
          <w:i w:val="0"/>
          <w:iCs w:val="0"/>
          <w:color w:val="000000" w:themeColor="text1"/>
        </w:rPr>
        <w:t>10.36519</w:t>
      </w:r>
      <w:r w:rsidRPr="006363EF">
        <w:rPr>
          <w:rFonts w:asciiTheme="minorHAnsi" w:hAnsiTheme="minorHAnsi" w:cstheme="minorHAnsi"/>
          <w:color w:val="000000" w:themeColor="text1"/>
          <w:shd w:val="clear" w:color="auto" w:fill="FFFFFF"/>
        </w:rPr>
        <w:t>/</w:t>
      </w:r>
      <w:r w:rsidRPr="006363EF">
        <w:rPr>
          <w:rStyle w:val="Accentuation"/>
          <w:rFonts w:asciiTheme="minorHAnsi" w:hAnsiTheme="minorHAnsi" w:cstheme="minorHAnsi"/>
          <w:bCs/>
          <w:i w:val="0"/>
          <w:iCs w:val="0"/>
          <w:color w:val="000000" w:themeColor="text1"/>
        </w:rPr>
        <w:t>kd</w:t>
      </w:r>
      <w:r w:rsidRPr="006363EF">
        <w:rPr>
          <w:rFonts w:asciiTheme="minorHAnsi" w:hAnsiTheme="minorHAnsi" w:cstheme="minorHAnsi"/>
          <w:color w:val="000000" w:themeColor="text1"/>
          <w:shd w:val="clear" w:color="auto" w:fill="FFFFFF"/>
        </w:rPr>
        <w:t>.</w:t>
      </w:r>
      <w:r w:rsidRPr="006363EF">
        <w:rPr>
          <w:rStyle w:val="Accentuation"/>
          <w:rFonts w:asciiTheme="minorHAnsi" w:hAnsiTheme="minorHAnsi" w:cstheme="minorHAnsi"/>
          <w:bCs/>
          <w:i w:val="0"/>
          <w:iCs w:val="0"/>
          <w:color w:val="000000" w:themeColor="text1"/>
        </w:rPr>
        <w:t>2021.05</w:t>
      </w:r>
      <w:r w:rsidRPr="006363EF">
        <w:rPr>
          <w:rStyle w:val="apple-converted-space"/>
          <w:rFonts w:asciiTheme="minorHAnsi" w:hAnsiTheme="minorHAnsi" w:cstheme="minorHAnsi"/>
          <w:color w:val="000000" w:themeColor="text1"/>
          <w:shd w:val="clear" w:color="auto" w:fill="FFFFFF"/>
        </w:rPr>
        <w:t> </w:t>
      </w:r>
    </w:p>
    <w:p w:rsidR="002C743A" w:rsidRDefault="004B7DA5" w:rsidP="004B7DA5">
      <w:pPr>
        <w:pStyle w:val="Bibliographie1"/>
        <w:jc w:val="both"/>
        <w:rPr>
          <w:lang w:val="en-US"/>
        </w:rPr>
      </w:pPr>
      <w:r>
        <w:t xml:space="preserve"> </w:t>
      </w:r>
      <w:r w:rsidR="002C743A">
        <w:t>[</w:t>
      </w:r>
      <w:r>
        <w:t>26</w:t>
      </w:r>
      <w:r w:rsidR="002C743A">
        <w:t>]</w:t>
      </w:r>
      <w:r w:rsidR="002C743A">
        <w:tab/>
        <w:t xml:space="preserve">Zheng Y, Wan Y, Zhou L, </w:t>
      </w:r>
      <w:proofErr w:type="spellStart"/>
      <w:r w:rsidR="002C743A">
        <w:t>Ye</w:t>
      </w:r>
      <w:proofErr w:type="spellEnd"/>
      <w:r w:rsidR="002C743A">
        <w:t xml:space="preserve"> M, Liu S, Xu C, et al. </w:t>
      </w:r>
      <w:r w:rsidR="002C743A">
        <w:rPr>
          <w:lang w:val="en-US"/>
        </w:rPr>
        <w:t xml:space="preserve">Risk factors and mortality of patients with nosocomial carbapenem-resistant Acinetobacter </w:t>
      </w:r>
      <w:proofErr w:type="spellStart"/>
      <w:r w:rsidR="002C743A">
        <w:rPr>
          <w:lang w:val="en-US"/>
        </w:rPr>
        <w:t>baumannii</w:t>
      </w:r>
      <w:proofErr w:type="spellEnd"/>
      <w:r w:rsidR="002C743A">
        <w:rPr>
          <w:lang w:val="en-US"/>
        </w:rPr>
        <w:t xml:space="preserve"> pneumonia. Am J Infect Control 2013;</w:t>
      </w:r>
      <w:r w:rsidR="00F83043">
        <w:rPr>
          <w:lang w:val="en-US"/>
        </w:rPr>
        <w:t>41: e</w:t>
      </w:r>
      <w:r w:rsidR="002C743A">
        <w:rPr>
          <w:lang w:val="en-US"/>
        </w:rPr>
        <w:t>59–63. https://doi.org/10.1016/j.ajic.2013.01.006.</w:t>
      </w:r>
    </w:p>
    <w:p w:rsidR="002C743A" w:rsidRDefault="002C743A" w:rsidP="004B7DA5">
      <w:pPr>
        <w:pStyle w:val="Bibliographie1"/>
        <w:jc w:val="both"/>
        <w:rPr>
          <w:lang w:val="en-US"/>
        </w:rPr>
      </w:pPr>
      <w:r>
        <w:rPr>
          <w:lang w:val="en-US"/>
        </w:rPr>
        <w:t>[2</w:t>
      </w:r>
      <w:r w:rsidR="004B7DA5">
        <w:rPr>
          <w:lang w:val="en-US"/>
        </w:rPr>
        <w:t>7</w:t>
      </w:r>
      <w:r>
        <w:rPr>
          <w:lang w:val="en-US"/>
        </w:rPr>
        <w:t>]</w:t>
      </w:r>
      <w:r>
        <w:rPr>
          <w:lang w:val="en-US"/>
        </w:rPr>
        <w:tab/>
      </w:r>
      <w:proofErr w:type="spellStart"/>
      <w:r>
        <w:rPr>
          <w:lang w:val="en-US"/>
        </w:rPr>
        <w:t>Kollef</w:t>
      </w:r>
      <w:proofErr w:type="spellEnd"/>
      <w:r>
        <w:rPr>
          <w:lang w:val="en-US"/>
        </w:rPr>
        <w:t xml:space="preserve"> MH, Sherman G, Ward S, Fraser VJ. Inadequate Antimicrobial Treatment of Infections. Chest </w:t>
      </w:r>
      <w:r w:rsidR="00F83043">
        <w:rPr>
          <w:lang w:val="en-US"/>
        </w:rPr>
        <w:t>1999; 115:462</w:t>
      </w:r>
      <w:r>
        <w:rPr>
          <w:lang w:val="en-US"/>
        </w:rPr>
        <w:t>–74. https://doi.org/10.1378/chest.115.2.462.</w:t>
      </w:r>
    </w:p>
    <w:p w:rsidR="002C743A" w:rsidRDefault="002C743A" w:rsidP="004B7DA5">
      <w:pPr>
        <w:pStyle w:val="Bibliographie1"/>
        <w:jc w:val="both"/>
        <w:rPr>
          <w:lang w:val="en-US"/>
        </w:rPr>
      </w:pPr>
      <w:r>
        <w:rPr>
          <w:lang w:val="en-US"/>
        </w:rPr>
        <w:t>[</w:t>
      </w:r>
      <w:r w:rsidR="004B7DA5">
        <w:rPr>
          <w:lang w:val="en-US"/>
        </w:rPr>
        <w:t>2</w:t>
      </w:r>
      <w:r w:rsidR="0034412F">
        <w:rPr>
          <w:lang w:val="en-US"/>
        </w:rPr>
        <w:t>8</w:t>
      </w:r>
      <w:r>
        <w:rPr>
          <w:lang w:val="en-US"/>
        </w:rPr>
        <w:t>]</w:t>
      </w:r>
      <w:r>
        <w:rPr>
          <w:lang w:val="en-US"/>
        </w:rPr>
        <w:tab/>
        <w:t xml:space="preserve">El </w:t>
      </w:r>
      <w:proofErr w:type="spellStart"/>
      <w:r>
        <w:rPr>
          <w:lang w:val="en-US"/>
        </w:rPr>
        <w:t>mekes</w:t>
      </w:r>
      <w:proofErr w:type="spellEnd"/>
      <w:r>
        <w:rPr>
          <w:lang w:val="en-US"/>
        </w:rPr>
        <w:t xml:space="preserve"> A, </w:t>
      </w:r>
      <w:proofErr w:type="spellStart"/>
      <w:r>
        <w:rPr>
          <w:lang w:val="en-US"/>
        </w:rPr>
        <w:t>Zahlane</w:t>
      </w:r>
      <w:proofErr w:type="spellEnd"/>
      <w:r>
        <w:rPr>
          <w:lang w:val="en-US"/>
        </w:rPr>
        <w:t xml:space="preserve"> K, </w:t>
      </w:r>
      <w:proofErr w:type="spellStart"/>
      <w:r>
        <w:rPr>
          <w:lang w:val="en-US"/>
        </w:rPr>
        <w:t>Ait</w:t>
      </w:r>
      <w:proofErr w:type="spellEnd"/>
      <w:r>
        <w:rPr>
          <w:lang w:val="en-US"/>
        </w:rPr>
        <w:t xml:space="preserve"> said L, </w:t>
      </w:r>
      <w:proofErr w:type="spellStart"/>
      <w:r>
        <w:rPr>
          <w:lang w:val="en-US"/>
        </w:rPr>
        <w:t>Tadlaoui</w:t>
      </w:r>
      <w:proofErr w:type="spellEnd"/>
      <w:r>
        <w:rPr>
          <w:lang w:val="en-US"/>
        </w:rPr>
        <w:t xml:space="preserve"> </w:t>
      </w:r>
      <w:proofErr w:type="spellStart"/>
      <w:r>
        <w:rPr>
          <w:lang w:val="en-US"/>
        </w:rPr>
        <w:t>Ouafi</w:t>
      </w:r>
      <w:proofErr w:type="spellEnd"/>
      <w:r>
        <w:rPr>
          <w:lang w:val="en-US"/>
        </w:rPr>
        <w:t xml:space="preserve"> A, </w:t>
      </w:r>
      <w:proofErr w:type="spellStart"/>
      <w:r>
        <w:rPr>
          <w:lang w:val="en-US"/>
        </w:rPr>
        <w:t>Barakate</w:t>
      </w:r>
      <w:proofErr w:type="spellEnd"/>
      <w:r>
        <w:rPr>
          <w:lang w:val="en-US"/>
        </w:rPr>
        <w:t xml:space="preserve"> M. The clinical and epidemiological risk factors of infections due to multi-drug resistant bacteria in an adult intensive care unit of University Hospital Center in Marrakesh-Morocco. J Infect Public Health </w:t>
      </w:r>
      <w:proofErr w:type="gramStart"/>
      <w:r>
        <w:rPr>
          <w:lang w:val="en-US"/>
        </w:rPr>
        <w:t>2020;13:637</w:t>
      </w:r>
      <w:proofErr w:type="gramEnd"/>
      <w:r>
        <w:rPr>
          <w:lang w:val="en-US"/>
        </w:rPr>
        <w:t>–43. https://doi.org/10.1016/j.jiph.2019.08.012.</w:t>
      </w:r>
    </w:p>
    <w:p w:rsidR="00FE52A2" w:rsidRPr="004B7DA5" w:rsidRDefault="00FE52A2" w:rsidP="001F0E8D">
      <w:pPr>
        <w:pStyle w:val="Paragraphedeliste"/>
        <w:jc w:val="both"/>
        <w:rPr>
          <w:rFonts w:asciiTheme="minorHAnsi" w:hAnsiTheme="minorHAnsi" w:cstheme="minorHAnsi"/>
          <w:lang w:val="en-US"/>
        </w:rPr>
      </w:pPr>
    </w:p>
    <w:sectPr w:rsidR="00FE52A2" w:rsidRPr="004B7DA5" w:rsidSect="00AB7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6A31CE"/>
    <w:multiLevelType w:val="hybridMultilevel"/>
    <w:tmpl w:val="69DC8C0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7D4B014D"/>
    <w:multiLevelType w:val="multilevel"/>
    <w:tmpl w:val="422A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doNotUseMarginsForDrawingGridOrigin/>
  <w:drawingGridHorizontalOrigin w:val="1418"/>
  <w:drawingGridVerticalOrigin w:val="141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80"/>
    <w:rsid w:val="00030F34"/>
    <w:rsid w:val="00061BB1"/>
    <w:rsid w:val="00083215"/>
    <w:rsid w:val="000939AA"/>
    <w:rsid w:val="001F0E8D"/>
    <w:rsid w:val="00201F77"/>
    <w:rsid w:val="0024371E"/>
    <w:rsid w:val="002836DA"/>
    <w:rsid w:val="00285F97"/>
    <w:rsid w:val="002B5F24"/>
    <w:rsid w:val="002C743A"/>
    <w:rsid w:val="002D7C80"/>
    <w:rsid w:val="00312502"/>
    <w:rsid w:val="0034412F"/>
    <w:rsid w:val="00366EF3"/>
    <w:rsid w:val="00411D44"/>
    <w:rsid w:val="00416286"/>
    <w:rsid w:val="00455A8F"/>
    <w:rsid w:val="004A6922"/>
    <w:rsid w:val="004B727B"/>
    <w:rsid w:val="004B7DA5"/>
    <w:rsid w:val="004C142F"/>
    <w:rsid w:val="004F7D06"/>
    <w:rsid w:val="005421CE"/>
    <w:rsid w:val="006363EF"/>
    <w:rsid w:val="006A5B1D"/>
    <w:rsid w:val="00745580"/>
    <w:rsid w:val="007539A9"/>
    <w:rsid w:val="00784E20"/>
    <w:rsid w:val="007C6955"/>
    <w:rsid w:val="007F5B17"/>
    <w:rsid w:val="00803289"/>
    <w:rsid w:val="008633BE"/>
    <w:rsid w:val="00886085"/>
    <w:rsid w:val="008C657A"/>
    <w:rsid w:val="009343D1"/>
    <w:rsid w:val="00952BDE"/>
    <w:rsid w:val="009547BB"/>
    <w:rsid w:val="009C54EA"/>
    <w:rsid w:val="00AB73D4"/>
    <w:rsid w:val="00B30721"/>
    <w:rsid w:val="00B62ACA"/>
    <w:rsid w:val="00B72262"/>
    <w:rsid w:val="00BC33D3"/>
    <w:rsid w:val="00BE6F50"/>
    <w:rsid w:val="00BF6833"/>
    <w:rsid w:val="00C17F3D"/>
    <w:rsid w:val="00C2113C"/>
    <w:rsid w:val="00C216FE"/>
    <w:rsid w:val="00C752DD"/>
    <w:rsid w:val="00C9741B"/>
    <w:rsid w:val="00CD6195"/>
    <w:rsid w:val="00CE2F82"/>
    <w:rsid w:val="00D469F2"/>
    <w:rsid w:val="00DB5361"/>
    <w:rsid w:val="00E023F7"/>
    <w:rsid w:val="00E264BE"/>
    <w:rsid w:val="00E66601"/>
    <w:rsid w:val="00E91646"/>
    <w:rsid w:val="00EB599B"/>
    <w:rsid w:val="00F02FC1"/>
    <w:rsid w:val="00F46AE8"/>
    <w:rsid w:val="00F83043"/>
    <w:rsid w:val="00F8501E"/>
    <w:rsid w:val="00FA2032"/>
    <w:rsid w:val="00FE52A2"/>
    <w:rsid w:val="00FF77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F783BE7"/>
  <w15:chartTrackingRefBased/>
  <w15:docId w15:val="{B943E083-5023-2A46-92EB-FEB1CF29E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3289"/>
    <w:rPr>
      <w:rFonts w:ascii="Times New Roman" w:eastAsia="Times New Roman" w:hAnsi="Times New Roman" w:cs="Times New Roman"/>
      <w:lang w:eastAsia="fr-FR"/>
    </w:rPr>
  </w:style>
  <w:style w:type="paragraph" w:styleId="Titre2">
    <w:name w:val="heading 2"/>
    <w:basedOn w:val="Normal"/>
    <w:next w:val="Normal"/>
    <w:link w:val="Titre2Car"/>
    <w:uiPriority w:val="9"/>
    <w:unhideWhenUsed/>
    <w:qFormat/>
    <w:rsid w:val="00C752DD"/>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GB" w:eastAsia="en-US"/>
    </w:rPr>
  </w:style>
  <w:style w:type="paragraph" w:styleId="Titre3">
    <w:name w:val="heading 3"/>
    <w:basedOn w:val="Normal"/>
    <w:next w:val="Normal"/>
    <w:link w:val="Titre3Car"/>
    <w:uiPriority w:val="9"/>
    <w:semiHidden/>
    <w:unhideWhenUsed/>
    <w:qFormat/>
    <w:rsid w:val="009343D1"/>
    <w:pPr>
      <w:keepNext/>
      <w:keepLines/>
      <w:spacing w:before="40"/>
      <w:outlineLvl w:val="2"/>
    </w:pPr>
    <w:rPr>
      <w:rFonts w:asciiTheme="majorHAnsi" w:eastAsiaTheme="majorEastAsia" w:hAnsiTheme="majorHAnsi" w:cstheme="majorBidi"/>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030F34"/>
    <w:rPr>
      <w:color w:val="808080"/>
    </w:rPr>
  </w:style>
  <w:style w:type="table" w:styleId="Grilledutableau">
    <w:name w:val="Table Grid"/>
    <w:basedOn w:val="TableauNormal"/>
    <w:uiPriority w:val="39"/>
    <w:rsid w:val="00030F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886085"/>
    <w:rPr>
      <w:color w:val="0563C1" w:themeColor="hyperlink"/>
      <w:u w:val="single"/>
    </w:rPr>
  </w:style>
  <w:style w:type="character" w:styleId="Mentionnonrsolue">
    <w:name w:val="Unresolved Mention"/>
    <w:basedOn w:val="Policepardfaut"/>
    <w:uiPriority w:val="99"/>
    <w:semiHidden/>
    <w:unhideWhenUsed/>
    <w:rsid w:val="00886085"/>
    <w:rPr>
      <w:color w:val="605E5C"/>
      <w:shd w:val="clear" w:color="auto" w:fill="E1DFDD"/>
    </w:rPr>
  </w:style>
  <w:style w:type="paragraph" w:styleId="NormalWeb">
    <w:name w:val="Normal (Web)"/>
    <w:basedOn w:val="Normal"/>
    <w:uiPriority w:val="99"/>
    <w:semiHidden/>
    <w:unhideWhenUsed/>
    <w:rsid w:val="00083215"/>
    <w:pPr>
      <w:spacing w:before="100" w:beforeAutospacing="1" w:after="100" w:afterAutospacing="1"/>
    </w:pPr>
  </w:style>
  <w:style w:type="character" w:styleId="Lienhypertextesuivivisit">
    <w:name w:val="FollowedHyperlink"/>
    <w:basedOn w:val="Policepardfaut"/>
    <w:uiPriority w:val="99"/>
    <w:semiHidden/>
    <w:unhideWhenUsed/>
    <w:rsid w:val="00C752DD"/>
    <w:rPr>
      <w:color w:val="954F72" w:themeColor="followedHyperlink"/>
      <w:u w:val="single"/>
    </w:rPr>
  </w:style>
  <w:style w:type="character" w:customStyle="1" w:styleId="Titre2Car">
    <w:name w:val="Titre 2 Car"/>
    <w:basedOn w:val="Policepardfaut"/>
    <w:link w:val="Titre2"/>
    <w:uiPriority w:val="9"/>
    <w:rsid w:val="00C752DD"/>
    <w:rPr>
      <w:rFonts w:asciiTheme="majorHAnsi" w:eastAsiaTheme="majorEastAsia" w:hAnsiTheme="majorHAnsi" w:cstheme="majorBidi"/>
      <w:color w:val="2F5496" w:themeColor="accent1" w:themeShade="BF"/>
      <w:sz w:val="26"/>
      <w:szCs w:val="26"/>
      <w:lang w:val="en-GB"/>
    </w:rPr>
  </w:style>
  <w:style w:type="paragraph" w:styleId="Paragraphedeliste">
    <w:name w:val="List Paragraph"/>
    <w:basedOn w:val="Normal"/>
    <w:uiPriority w:val="34"/>
    <w:qFormat/>
    <w:rsid w:val="00FE52A2"/>
    <w:pPr>
      <w:ind w:left="720"/>
      <w:contextualSpacing/>
    </w:pPr>
  </w:style>
  <w:style w:type="paragraph" w:customStyle="1" w:styleId="Bibliographie1">
    <w:name w:val="Bibliographie1"/>
    <w:basedOn w:val="Normal"/>
    <w:next w:val="Normal"/>
    <w:uiPriority w:val="37"/>
    <w:unhideWhenUsed/>
    <w:rsid w:val="00FE52A2"/>
    <w:pPr>
      <w:tabs>
        <w:tab w:val="left" w:pos="504"/>
      </w:tabs>
      <w:ind w:left="504" w:hanging="504"/>
    </w:pPr>
    <w:rPr>
      <w:rFonts w:ascii="Calibri" w:eastAsia="Calibri" w:hAnsi="Calibri" w:cs="Arial"/>
      <w:sz w:val="22"/>
      <w:szCs w:val="22"/>
      <w:lang w:eastAsia="en-US"/>
    </w:rPr>
  </w:style>
  <w:style w:type="character" w:customStyle="1" w:styleId="Titre3Car">
    <w:name w:val="Titre 3 Car"/>
    <w:basedOn w:val="Policepardfaut"/>
    <w:link w:val="Titre3"/>
    <w:uiPriority w:val="9"/>
    <w:semiHidden/>
    <w:rsid w:val="009343D1"/>
    <w:rPr>
      <w:rFonts w:asciiTheme="majorHAnsi" w:eastAsiaTheme="majorEastAsia" w:hAnsiTheme="majorHAnsi" w:cstheme="majorBidi"/>
      <w:color w:val="1F3763" w:themeColor="accent1" w:themeShade="7F"/>
      <w:lang w:eastAsia="fr-FR"/>
    </w:rPr>
  </w:style>
  <w:style w:type="character" w:customStyle="1" w:styleId="apple-converted-space">
    <w:name w:val="apple-converted-space"/>
    <w:basedOn w:val="Policepardfaut"/>
    <w:rsid w:val="009343D1"/>
  </w:style>
  <w:style w:type="character" w:customStyle="1" w:styleId="name">
    <w:name w:val="name"/>
    <w:basedOn w:val="Policepardfaut"/>
    <w:rsid w:val="009343D1"/>
  </w:style>
  <w:style w:type="character" w:styleId="Accentuation">
    <w:name w:val="Emphasis"/>
    <w:basedOn w:val="Policepardfaut"/>
    <w:uiPriority w:val="20"/>
    <w:qFormat/>
    <w:rsid w:val="009343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84767">
      <w:bodyDiv w:val="1"/>
      <w:marLeft w:val="0"/>
      <w:marRight w:val="0"/>
      <w:marTop w:val="0"/>
      <w:marBottom w:val="0"/>
      <w:divBdr>
        <w:top w:val="none" w:sz="0" w:space="0" w:color="auto"/>
        <w:left w:val="none" w:sz="0" w:space="0" w:color="auto"/>
        <w:bottom w:val="none" w:sz="0" w:space="0" w:color="auto"/>
        <w:right w:val="none" w:sz="0" w:space="0" w:color="auto"/>
      </w:divBdr>
    </w:div>
    <w:div w:id="52655505">
      <w:bodyDiv w:val="1"/>
      <w:marLeft w:val="0"/>
      <w:marRight w:val="0"/>
      <w:marTop w:val="0"/>
      <w:marBottom w:val="0"/>
      <w:divBdr>
        <w:top w:val="none" w:sz="0" w:space="0" w:color="auto"/>
        <w:left w:val="none" w:sz="0" w:space="0" w:color="auto"/>
        <w:bottom w:val="none" w:sz="0" w:space="0" w:color="auto"/>
        <w:right w:val="none" w:sz="0" w:space="0" w:color="auto"/>
      </w:divBdr>
    </w:div>
    <w:div w:id="76750928">
      <w:bodyDiv w:val="1"/>
      <w:marLeft w:val="0"/>
      <w:marRight w:val="0"/>
      <w:marTop w:val="0"/>
      <w:marBottom w:val="0"/>
      <w:divBdr>
        <w:top w:val="none" w:sz="0" w:space="0" w:color="auto"/>
        <w:left w:val="none" w:sz="0" w:space="0" w:color="auto"/>
        <w:bottom w:val="none" w:sz="0" w:space="0" w:color="auto"/>
        <w:right w:val="none" w:sz="0" w:space="0" w:color="auto"/>
      </w:divBdr>
    </w:div>
    <w:div w:id="80563608">
      <w:bodyDiv w:val="1"/>
      <w:marLeft w:val="0"/>
      <w:marRight w:val="0"/>
      <w:marTop w:val="0"/>
      <w:marBottom w:val="0"/>
      <w:divBdr>
        <w:top w:val="none" w:sz="0" w:space="0" w:color="auto"/>
        <w:left w:val="none" w:sz="0" w:space="0" w:color="auto"/>
        <w:bottom w:val="none" w:sz="0" w:space="0" w:color="auto"/>
        <w:right w:val="none" w:sz="0" w:space="0" w:color="auto"/>
      </w:divBdr>
      <w:divsChild>
        <w:div w:id="958409951">
          <w:marLeft w:val="0"/>
          <w:marRight w:val="0"/>
          <w:marTop w:val="0"/>
          <w:marBottom w:val="0"/>
          <w:divBdr>
            <w:top w:val="none" w:sz="0" w:space="0" w:color="auto"/>
            <w:left w:val="none" w:sz="0" w:space="0" w:color="auto"/>
            <w:bottom w:val="none" w:sz="0" w:space="0" w:color="auto"/>
            <w:right w:val="none" w:sz="0" w:space="0" w:color="auto"/>
          </w:divBdr>
          <w:divsChild>
            <w:div w:id="820775785">
              <w:marLeft w:val="0"/>
              <w:marRight w:val="0"/>
              <w:marTop w:val="0"/>
              <w:marBottom w:val="0"/>
              <w:divBdr>
                <w:top w:val="none" w:sz="0" w:space="0" w:color="auto"/>
                <w:left w:val="none" w:sz="0" w:space="0" w:color="auto"/>
                <w:bottom w:val="none" w:sz="0" w:space="0" w:color="auto"/>
                <w:right w:val="none" w:sz="0" w:space="0" w:color="auto"/>
              </w:divBdr>
              <w:divsChild>
                <w:div w:id="1656301162">
                  <w:marLeft w:val="0"/>
                  <w:marRight w:val="0"/>
                  <w:marTop w:val="0"/>
                  <w:marBottom w:val="0"/>
                  <w:divBdr>
                    <w:top w:val="none" w:sz="0" w:space="0" w:color="auto"/>
                    <w:left w:val="none" w:sz="0" w:space="0" w:color="auto"/>
                    <w:bottom w:val="none" w:sz="0" w:space="0" w:color="auto"/>
                    <w:right w:val="none" w:sz="0" w:space="0" w:color="auto"/>
                  </w:divBdr>
                  <w:divsChild>
                    <w:div w:id="186605327">
                      <w:marLeft w:val="0"/>
                      <w:marRight w:val="0"/>
                      <w:marTop w:val="0"/>
                      <w:marBottom w:val="0"/>
                      <w:divBdr>
                        <w:top w:val="none" w:sz="0" w:space="0" w:color="auto"/>
                        <w:left w:val="none" w:sz="0" w:space="0" w:color="auto"/>
                        <w:bottom w:val="none" w:sz="0" w:space="0" w:color="auto"/>
                        <w:right w:val="none" w:sz="0" w:space="0" w:color="auto"/>
                      </w:divBdr>
                      <w:divsChild>
                        <w:div w:id="769158485">
                          <w:marLeft w:val="0"/>
                          <w:marRight w:val="0"/>
                          <w:marTop w:val="0"/>
                          <w:marBottom w:val="0"/>
                          <w:divBdr>
                            <w:top w:val="none" w:sz="0" w:space="0" w:color="auto"/>
                            <w:left w:val="none" w:sz="0" w:space="0" w:color="auto"/>
                            <w:bottom w:val="none" w:sz="0" w:space="0" w:color="auto"/>
                            <w:right w:val="none" w:sz="0" w:space="0" w:color="auto"/>
                          </w:divBdr>
                          <w:divsChild>
                            <w:div w:id="1335379083">
                              <w:marLeft w:val="0"/>
                              <w:marRight w:val="0"/>
                              <w:marTop w:val="0"/>
                              <w:marBottom w:val="0"/>
                              <w:divBdr>
                                <w:top w:val="none" w:sz="0" w:space="0" w:color="auto"/>
                                <w:left w:val="none" w:sz="0" w:space="0" w:color="auto"/>
                                <w:bottom w:val="none" w:sz="0" w:space="0" w:color="auto"/>
                                <w:right w:val="none" w:sz="0" w:space="0" w:color="auto"/>
                              </w:divBdr>
                              <w:divsChild>
                                <w:div w:id="174784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2641064">
      <w:bodyDiv w:val="1"/>
      <w:marLeft w:val="0"/>
      <w:marRight w:val="0"/>
      <w:marTop w:val="0"/>
      <w:marBottom w:val="0"/>
      <w:divBdr>
        <w:top w:val="none" w:sz="0" w:space="0" w:color="auto"/>
        <w:left w:val="none" w:sz="0" w:space="0" w:color="auto"/>
        <w:bottom w:val="none" w:sz="0" w:space="0" w:color="auto"/>
        <w:right w:val="none" w:sz="0" w:space="0" w:color="auto"/>
      </w:divBdr>
    </w:div>
    <w:div w:id="254828447">
      <w:bodyDiv w:val="1"/>
      <w:marLeft w:val="0"/>
      <w:marRight w:val="0"/>
      <w:marTop w:val="0"/>
      <w:marBottom w:val="0"/>
      <w:divBdr>
        <w:top w:val="none" w:sz="0" w:space="0" w:color="auto"/>
        <w:left w:val="none" w:sz="0" w:space="0" w:color="auto"/>
        <w:bottom w:val="none" w:sz="0" w:space="0" w:color="auto"/>
        <w:right w:val="none" w:sz="0" w:space="0" w:color="auto"/>
      </w:divBdr>
    </w:div>
    <w:div w:id="299582156">
      <w:bodyDiv w:val="1"/>
      <w:marLeft w:val="0"/>
      <w:marRight w:val="0"/>
      <w:marTop w:val="0"/>
      <w:marBottom w:val="0"/>
      <w:divBdr>
        <w:top w:val="none" w:sz="0" w:space="0" w:color="auto"/>
        <w:left w:val="none" w:sz="0" w:space="0" w:color="auto"/>
        <w:bottom w:val="none" w:sz="0" w:space="0" w:color="auto"/>
        <w:right w:val="none" w:sz="0" w:space="0" w:color="auto"/>
      </w:divBdr>
    </w:div>
    <w:div w:id="313922249">
      <w:bodyDiv w:val="1"/>
      <w:marLeft w:val="0"/>
      <w:marRight w:val="0"/>
      <w:marTop w:val="0"/>
      <w:marBottom w:val="0"/>
      <w:divBdr>
        <w:top w:val="none" w:sz="0" w:space="0" w:color="auto"/>
        <w:left w:val="none" w:sz="0" w:space="0" w:color="auto"/>
        <w:bottom w:val="none" w:sz="0" w:space="0" w:color="auto"/>
        <w:right w:val="none" w:sz="0" w:space="0" w:color="auto"/>
      </w:divBdr>
    </w:div>
    <w:div w:id="397556290">
      <w:bodyDiv w:val="1"/>
      <w:marLeft w:val="0"/>
      <w:marRight w:val="0"/>
      <w:marTop w:val="0"/>
      <w:marBottom w:val="0"/>
      <w:divBdr>
        <w:top w:val="none" w:sz="0" w:space="0" w:color="auto"/>
        <w:left w:val="none" w:sz="0" w:space="0" w:color="auto"/>
        <w:bottom w:val="none" w:sz="0" w:space="0" w:color="auto"/>
        <w:right w:val="none" w:sz="0" w:space="0" w:color="auto"/>
      </w:divBdr>
    </w:div>
    <w:div w:id="718482771">
      <w:bodyDiv w:val="1"/>
      <w:marLeft w:val="0"/>
      <w:marRight w:val="0"/>
      <w:marTop w:val="0"/>
      <w:marBottom w:val="0"/>
      <w:divBdr>
        <w:top w:val="none" w:sz="0" w:space="0" w:color="auto"/>
        <w:left w:val="none" w:sz="0" w:space="0" w:color="auto"/>
        <w:bottom w:val="none" w:sz="0" w:space="0" w:color="auto"/>
        <w:right w:val="none" w:sz="0" w:space="0" w:color="auto"/>
      </w:divBdr>
    </w:div>
    <w:div w:id="1008024715">
      <w:bodyDiv w:val="1"/>
      <w:marLeft w:val="0"/>
      <w:marRight w:val="0"/>
      <w:marTop w:val="0"/>
      <w:marBottom w:val="0"/>
      <w:divBdr>
        <w:top w:val="none" w:sz="0" w:space="0" w:color="auto"/>
        <w:left w:val="none" w:sz="0" w:space="0" w:color="auto"/>
        <w:bottom w:val="none" w:sz="0" w:space="0" w:color="auto"/>
        <w:right w:val="none" w:sz="0" w:space="0" w:color="auto"/>
      </w:divBdr>
    </w:div>
    <w:div w:id="1324158904">
      <w:bodyDiv w:val="1"/>
      <w:marLeft w:val="0"/>
      <w:marRight w:val="0"/>
      <w:marTop w:val="0"/>
      <w:marBottom w:val="0"/>
      <w:divBdr>
        <w:top w:val="none" w:sz="0" w:space="0" w:color="auto"/>
        <w:left w:val="none" w:sz="0" w:space="0" w:color="auto"/>
        <w:bottom w:val="none" w:sz="0" w:space="0" w:color="auto"/>
        <w:right w:val="none" w:sz="0" w:space="0" w:color="auto"/>
      </w:divBdr>
    </w:div>
    <w:div w:id="1534416179">
      <w:bodyDiv w:val="1"/>
      <w:marLeft w:val="0"/>
      <w:marRight w:val="0"/>
      <w:marTop w:val="0"/>
      <w:marBottom w:val="0"/>
      <w:divBdr>
        <w:top w:val="none" w:sz="0" w:space="0" w:color="auto"/>
        <w:left w:val="none" w:sz="0" w:space="0" w:color="auto"/>
        <w:bottom w:val="none" w:sz="0" w:space="0" w:color="auto"/>
        <w:right w:val="none" w:sz="0" w:space="0" w:color="auto"/>
      </w:divBdr>
    </w:div>
    <w:div w:id="1587419630">
      <w:bodyDiv w:val="1"/>
      <w:marLeft w:val="0"/>
      <w:marRight w:val="0"/>
      <w:marTop w:val="0"/>
      <w:marBottom w:val="0"/>
      <w:divBdr>
        <w:top w:val="none" w:sz="0" w:space="0" w:color="auto"/>
        <w:left w:val="none" w:sz="0" w:space="0" w:color="auto"/>
        <w:bottom w:val="none" w:sz="0" w:space="0" w:color="auto"/>
        <w:right w:val="none" w:sz="0" w:space="0" w:color="auto"/>
      </w:divBdr>
    </w:div>
    <w:div w:id="1863012674">
      <w:bodyDiv w:val="1"/>
      <w:marLeft w:val="0"/>
      <w:marRight w:val="0"/>
      <w:marTop w:val="0"/>
      <w:marBottom w:val="0"/>
      <w:divBdr>
        <w:top w:val="none" w:sz="0" w:space="0" w:color="auto"/>
        <w:left w:val="none" w:sz="0" w:space="0" w:color="auto"/>
        <w:bottom w:val="none" w:sz="0" w:space="0" w:color="auto"/>
        <w:right w:val="none" w:sz="0" w:space="0" w:color="auto"/>
      </w:divBdr>
    </w:div>
    <w:div w:id="1945726566">
      <w:bodyDiv w:val="1"/>
      <w:marLeft w:val="0"/>
      <w:marRight w:val="0"/>
      <w:marTop w:val="0"/>
      <w:marBottom w:val="0"/>
      <w:divBdr>
        <w:top w:val="none" w:sz="0" w:space="0" w:color="auto"/>
        <w:left w:val="none" w:sz="0" w:space="0" w:color="auto"/>
        <w:bottom w:val="none" w:sz="0" w:space="0" w:color="auto"/>
        <w:right w:val="none" w:sz="0" w:space="0" w:color="auto"/>
      </w:divBdr>
    </w:div>
    <w:div w:id="2017684492">
      <w:bodyDiv w:val="1"/>
      <w:marLeft w:val="0"/>
      <w:marRight w:val="0"/>
      <w:marTop w:val="0"/>
      <w:marBottom w:val="0"/>
      <w:divBdr>
        <w:top w:val="none" w:sz="0" w:space="0" w:color="auto"/>
        <w:left w:val="none" w:sz="0" w:space="0" w:color="auto"/>
        <w:bottom w:val="none" w:sz="0" w:space="0" w:color="auto"/>
        <w:right w:val="none" w:sz="0" w:space="0" w:color="auto"/>
      </w:divBdr>
    </w:div>
    <w:div w:id="20666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ajic.2013.01.006" TargetMode="External"/><Relationship Id="rId5" Type="http://schemas.openxmlformats.org/officeDocument/2006/relationships/hyperlink" Target="http://ecdc.europa.eu/en/publications/Publications/antimicrobial-resistance-annual%20epidemiological-report.pd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2994</Words>
  <Characters>16469</Characters>
  <Application>Microsoft Office Word</Application>
  <DocSecurity>0</DocSecurity>
  <Lines>137</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cp:revision>
  <dcterms:created xsi:type="dcterms:W3CDTF">2024-05-19T17:29:00Z</dcterms:created>
  <dcterms:modified xsi:type="dcterms:W3CDTF">2024-05-19T17:29:00Z</dcterms:modified>
</cp:coreProperties>
</file>