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6D1" w:rsidRPr="00CE63D4" w:rsidRDefault="00AC06D1" w:rsidP="00CE63D4">
      <w:pPr>
        <w:jc w:val="center"/>
        <w:rPr>
          <w:rFonts w:ascii="Times New Roman" w:hAnsi="Times New Roman" w:cs="Times New Roman"/>
          <w:sz w:val="24"/>
          <w:szCs w:val="24"/>
        </w:rPr>
      </w:pPr>
    </w:p>
    <w:p w:rsidR="00AC06D1" w:rsidRPr="00CE63D4" w:rsidRDefault="00AC06D1" w:rsidP="00CE63D4">
      <w:pPr>
        <w:jc w:val="center"/>
        <w:rPr>
          <w:rFonts w:ascii="Times New Roman" w:hAnsi="Times New Roman" w:cs="Times New Roman"/>
          <w:b/>
          <w:sz w:val="28"/>
          <w:szCs w:val="24"/>
        </w:rPr>
      </w:pPr>
      <w:r w:rsidRPr="00CE63D4">
        <w:rPr>
          <w:rFonts w:ascii="Times New Roman" w:hAnsi="Times New Roman" w:cs="Times New Roman"/>
          <w:b/>
          <w:sz w:val="28"/>
          <w:szCs w:val="24"/>
        </w:rPr>
        <w:t>Corporate Governance Practices in Banking Sector: A Comparative study of selected banks</w:t>
      </w:r>
    </w:p>
    <w:p w:rsidR="00AC06D1" w:rsidRPr="00CE63D4" w:rsidRDefault="00AC06D1" w:rsidP="00CE63D4">
      <w:pPr>
        <w:jc w:val="center"/>
        <w:rPr>
          <w:rFonts w:ascii="Times New Roman" w:hAnsi="Times New Roman" w:cs="Times New Roman"/>
          <w:b/>
          <w:sz w:val="24"/>
          <w:szCs w:val="24"/>
        </w:rPr>
      </w:pPr>
      <w:r w:rsidRPr="00CE63D4">
        <w:rPr>
          <w:rFonts w:ascii="Times New Roman" w:hAnsi="Times New Roman" w:cs="Times New Roman"/>
          <w:b/>
          <w:sz w:val="24"/>
          <w:szCs w:val="24"/>
        </w:rPr>
        <w:t>Rohit Kumar &amp; Zeeshan *, Prof. Miss Vaishali Joshi</w:t>
      </w:r>
    </w:p>
    <w:p w:rsidR="00AC06D1" w:rsidRPr="00CE63D4" w:rsidRDefault="00CE63D4" w:rsidP="00CE63D4">
      <w:pPr>
        <w:jc w:val="both"/>
        <w:rPr>
          <w:rFonts w:ascii="Times New Roman" w:hAnsi="Times New Roman" w:cs="Times New Roman"/>
          <w:b/>
          <w:sz w:val="24"/>
          <w:szCs w:val="24"/>
        </w:rPr>
      </w:pPr>
      <w:r>
        <w:rPr>
          <w:rFonts w:ascii="Times New Roman" w:hAnsi="Times New Roman" w:cs="Times New Roman"/>
          <w:sz w:val="24"/>
          <w:szCs w:val="24"/>
        </w:rPr>
        <w:t xml:space="preserve">                  </w:t>
      </w:r>
      <w:r w:rsidR="00AC06D1" w:rsidRPr="00CE63D4">
        <w:rPr>
          <w:rFonts w:ascii="Times New Roman" w:hAnsi="Times New Roman" w:cs="Times New Roman"/>
          <w:sz w:val="24"/>
          <w:szCs w:val="24"/>
        </w:rPr>
        <w:t>SCHOOL OF FINANCE &amp; COMMERCE GALGOTIAS UNIVERSITY</w:t>
      </w:r>
    </w:p>
    <w:p w:rsidR="00AC06D1" w:rsidRPr="00CE63D4" w:rsidRDefault="00AC06D1" w:rsidP="00CE63D4">
      <w:pPr>
        <w:jc w:val="both"/>
        <w:rPr>
          <w:rFonts w:ascii="Times New Roman" w:hAnsi="Times New Roman" w:cs="Times New Roman"/>
          <w:sz w:val="24"/>
          <w:szCs w:val="24"/>
        </w:rPr>
      </w:pPr>
    </w:p>
    <w:p w:rsidR="00AC06D1" w:rsidRPr="00CE63D4" w:rsidRDefault="00172546" w:rsidP="00CE63D4">
      <w:pPr>
        <w:jc w:val="both"/>
        <w:rPr>
          <w:rFonts w:ascii="Times New Roman" w:hAnsi="Times New Roman" w:cs="Times New Roman"/>
          <w:sz w:val="24"/>
          <w:szCs w:val="24"/>
        </w:rPr>
      </w:pPr>
      <w:r w:rsidRPr="00CE63D4">
        <w:rPr>
          <w:rFonts w:ascii="Times New Roman" w:hAnsi="Times New Roman" w:cs="Times New Roman"/>
          <w:b/>
          <w:sz w:val="24"/>
          <w:szCs w:val="24"/>
        </w:rPr>
        <w:t xml:space="preserve">                                     </w:t>
      </w:r>
      <w:r w:rsidR="00CE63D4">
        <w:rPr>
          <w:rFonts w:ascii="Times New Roman" w:hAnsi="Times New Roman" w:cs="Times New Roman"/>
          <w:b/>
          <w:sz w:val="24"/>
          <w:szCs w:val="24"/>
        </w:rPr>
        <w:t xml:space="preserve">                 </w:t>
      </w:r>
      <w:r w:rsidRPr="00CE63D4">
        <w:rPr>
          <w:rFonts w:ascii="Times New Roman" w:hAnsi="Times New Roman" w:cs="Times New Roman"/>
          <w:b/>
          <w:sz w:val="24"/>
          <w:szCs w:val="24"/>
        </w:rPr>
        <w:t xml:space="preserve">    </w:t>
      </w:r>
      <w:r w:rsidR="00AC06D1" w:rsidRPr="00CE63D4">
        <w:rPr>
          <w:rFonts w:ascii="Times New Roman" w:hAnsi="Times New Roman" w:cs="Times New Roman"/>
          <w:b/>
          <w:sz w:val="28"/>
          <w:szCs w:val="24"/>
        </w:rPr>
        <w:t>ABSTRACT</w:t>
      </w:r>
    </w:p>
    <w:p w:rsidR="00172546" w:rsidRPr="00CE63D4" w:rsidRDefault="00172546" w:rsidP="00CE63D4">
      <w:pPr>
        <w:jc w:val="both"/>
        <w:rPr>
          <w:rFonts w:ascii="Times New Roman" w:eastAsia="Times New Roman" w:hAnsi="Times New Roman" w:cs="Times New Roman"/>
          <w:color w:val="000000"/>
          <w:sz w:val="24"/>
          <w:szCs w:val="24"/>
        </w:rPr>
      </w:pPr>
      <w:r w:rsidRPr="00CE63D4">
        <w:rPr>
          <w:rFonts w:ascii="Times New Roman" w:eastAsia="Times New Roman" w:hAnsi="Times New Roman" w:cs="Times New Roman"/>
          <w:color w:val="000000"/>
          <w:sz w:val="24"/>
          <w:szCs w:val="24"/>
        </w:rPr>
        <w:t xml:space="preserve">The abstract underscores the crucial role of corporate governance (CG) in maintaining corporate excellence and integrity, especially in light of past corporate crises and scandals. In India, the significance of CG was highlighted by incidents such as the </w:t>
      </w:r>
      <w:proofErr w:type="spellStart"/>
      <w:r w:rsidRPr="00CE63D4">
        <w:rPr>
          <w:rFonts w:ascii="Times New Roman" w:eastAsia="Times New Roman" w:hAnsi="Times New Roman" w:cs="Times New Roman"/>
          <w:color w:val="000000"/>
          <w:sz w:val="24"/>
          <w:szCs w:val="24"/>
        </w:rPr>
        <w:t>Harshad</w:t>
      </w:r>
      <w:proofErr w:type="spellEnd"/>
      <w:r w:rsidRPr="00CE63D4">
        <w:rPr>
          <w:rFonts w:ascii="Times New Roman" w:eastAsia="Times New Roman" w:hAnsi="Times New Roman" w:cs="Times New Roman"/>
          <w:color w:val="000000"/>
          <w:sz w:val="24"/>
          <w:szCs w:val="24"/>
        </w:rPr>
        <w:t xml:space="preserve"> Mehta stock scam in 1992 and the Satyam Software Services Ltd. fraud in 2009. Legislative measures, including the Companies Act of 2013, were introduced to strengthen CG mechanisms to prevent corporate mismanagement and scandals. This study focuses on analyzing and comparing the CG frameworks of eight major Indian banks, divided into Public Sector Banks (</w:t>
      </w:r>
      <w:proofErr w:type="spellStart"/>
      <w:r w:rsidRPr="00CE63D4">
        <w:rPr>
          <w:rFonts w:ascii="Times New Roman" w:eastAsia="Times New Roman" w:hAnsi="Times New Roman" w:cs="Times New Roman"/>
          <w:color w:val="000000"/>
          <w:sz w:val="24"/>
          <w:szCs w:val="24"/>
        </w:rPr>
        <w:t>PuSB</w:t>
      </w:r>
      <w:proofErr w:type="spellEnd"/>
      <w:r w:rsidRPr="00CE63D4">
        <w:rPr>
          <w:rFonts w:ascii="Times New Roman" w:eastAsia="Times New Roman" w:hAnsi="Times New Roman" w:cs="Times New Roman"/>
          <w:color w:val="000000"/>
          <w:sz w:val="24"/>
          <w:szCs w:val="24"/>
        </w:rPr>
        <w:t>) and Private Sector Banks (</w:t>
      </w:r>
      <w:proofErr w:type="spellStart"/>
      <w:r w:rsidRPr="00CE63D4">
        <w:rPr>
          <w:rFonts w:ascii="Times New Roman" w:eastAsia="Times New Roman" w:hAnsi="Times New Roman" w:cs="Times New Roman"/>
          <w:color w:val="000000"/>
          <w:sz w:val="24"/>
          <w:szCs w:val="24"/>
        </w:rPr>
        <w:t>PvSB</w:t>
      </w:r>
      <w:proofErr w:type="spellEnd"/>
      <w:r w:rsidRPr="00CE63D4">
        <w:rPr>
          <w:rFonts w:ascii="Times New Roman" w:eastAsia="Times New Roman" w:hAnsi="Times New Roman" w:cs="Times New Roman"/>
          <w:color w:val="000000"/>
          <w:sz w:val="24"/>
          <w:szCs w:val="24"/>
        </w:rPr>
        <w:t xml:space="preserve">). Data were sourced from the latest annual reports of these banks, examining parameters such as board composition, mandate, and committee activities. Findings reveal that ICICI Bank Ltd. showcases higher levels of independence and transparency among </w:t>
      </w:r>
      <w:proofErr w:type="spellStart"/>
      <w:r w:rsidRPr="00CE63D4">
        <w:rPr>
          <w:rFonts w:ascii="Times New Roman" w:eastAsia="Times New Roman" w:hAnsi="Times New Roman" w:cs="Times New Roman"/>
          <w:color w:val="000000"/>
          <w:sz w:val="24"/>
          <w:szCs w:val="24"/>
        </w:rPr>
        <w:t>PvSBs</w:t>
      </w:r>
      <w:proofErr w:type="spellEnd"/>
      <w:r w:rsidRPr="00CE63D4">
        <w:rPr>
          <w:rFonts w:ascii="Times New Roman" w:eastAsia="Times New Roman" w:hAnsi="Times New Roman" w:cs="Times New Roman"/>
          <w:color w:val="000000"/>
          <w:sz w:val="24"/>
          <w:szCs w:val="24"/>
        </w:rPr>
        <w:t xml:space="preserve">, while the State Bank of India (SBI) demonstrates proactive CG practices among </w:t>
      </w:r>
      <w:proofErr w:type="spellStart"/>
      <w:r w:rsidRPr="00CE63D4">
        <w:rPr>
          <w:rFonts w:ascii="Times New Roman" w:eastAsia="Times New Roman" w:hAnsi="Times New Roman" w:cs="Times New Roman"/>
          <w:color w:val="000000"/>
          <w:sz w:val="24"/>
          <w:szCs w:val="24"/>
        </w:rPr>
        <w:t>PuSBs</w:t>
      </w:r>
      <w:proofErr w:type="spellEnd"/>
      <w:r w:rsidRPr="00CE63D4">
        <w:rPr>
          <w:rFonts w:ascii="Times New Roman" w:eastAsia="Times New Roman" w:hAnsi="Times New Roman" w:cs="Times New Roman"/>
          <w:color w:val="000000"/>
          <w:sz w:val="24"/>
          <w:szCs w:val="24"/>
        </w:rPr>
        <w:t xml:space="preserve">, notably through the active involvement of non-executive independent directors in various board </w:t>
      </w:r>
      <w:proofErr w:type="spellStart"/>
      <w:r w:rsidRPr="00CE63D4">
        <w:rPr>
          <w:rFonts w:ascii="Times New Roman" w:eastAsia="Times New Roman" w:hAnsi="Times New Roman" w:cs="Times New Roman"/>
          <w:color w:val="000000"/>
          <w:sz w:val="24"/>
          <w:szCs w:val="24"/>
        </w:rPr>
        <w:t>committees.</w:t>
      </w:r>
      <w:proofErr w:type="spellEnd"/>
    </w:p>
    <w:p w:rsidR="00AC719D" w:rsidRPr="00CE63D4" w:rsidRDefault="00172546" w:rsidP="00CE63D4">
      <w:pPr>
        <w:jc w:val="both"/>
        <w:rPr>
          <w:rFonts w:ascii="Times New Roman" w:eastAsia="Times New Roman" w:hAnsi="Times New Roman" w:cs="Times New Roman"/>
          <w:b/>
          <w:color w:val="000000"/>
          <w:sz w:val="28"/>
          <w:szCs w:val="24"/>
        </w:rPr>
      </w:pPr>
      <w:r w:rsidRPr="00CE63D4">
        <w:rPr>
          <w:rFonts w:ascii="Times New Roman" w:eastAsia="Times New Roman" w:hAnsi="Times New Roman" w:cs="Times New Roman"/>
          <w:b/>
          <w:color w:val="000000"/>
          <w:sz w:val="28"/>
          <w:szCs w:val="24"/>
        </w:rPr>
        <w:t xml:space="preserve">                                         </w:t>
      </w:r>
      <w:r w:rsidR="00AC06D1" w:rsidRPr="00CE63D4">
        <w:rPr>
          <w:rFonts w:ascii="Times New Roman" w:eastAsia="Times New Roman" w:hAnsi="Times New Roman" w:cs="Times New Roman"/>
          <w:b/>
          <w:color w:val="000000"/>
          <w:sz w:val="28"/>
          <w:szCs w:val="24"/>
        </w:rPr>
        <w:t>Introduction</w:t>
      </w:r>
    </w:p>
    <w:p w:rsidR="00AC719D" w:rsidRPr="00CE63D4" w:rsidRDefault="00172546" w:rsidP="00CE63D4">
      <w:pPr>
        <w:jc w:val="both"/>
        <w:rPr>
          <w:rFonts w:ascii="Times New Roman" w:hAnsi="Times New Roman" w:cs="Times New Roman"/>
          <w:sz w:val="24"/>
          <w:szCs w:val="24"/>
        </w:rPr>
      </w:pPr>
      <w:r w:rsidRPr="00CE63D4">
        <w:rPr>
          <w:rFonts w:ascii="Times New Roman" w:hAnsi="Times New Roman" w:cs="Times New Roman"/>
          <w:sz w:val="24"/>
          <w:szCs w:val="24"/>
        </w:rPr>
        <w:t xml:space="preserve">The introduction explores the evolution and importance of corporate governance (CG), with a particular focus on the banking sector. CG is vital for achieving organizational objectives and safeguarding against failures and fraud. It includes internal aspects, such as board structure and governance, and external aspects, involving shareholders and stakeholders. Effective CG ensures robust controls, governance structures, performance measurement, and succession planning. Global experiences with corporate scandals, including Enron and Satyam, highlight the necessity for stringent CG regulations to avert future failures and frauds. The introduction also traces the historical development of CG worldwide and its growing significance in India, particularly following the </w:t>
      </w:r>
      <w:proofErr w:type="spellStart"/>
      <w:r w:rsidRPr="00CE63D4">
        <w:rPr>
          <w:rFonts w:ascii="Times New Roman" w:hAnsi="Times New Roman" w:cs="Times New Roman"/>
          <w:sz w:val="24"/>
          <w:szCs w:val="24"/>
        </w:rPr>
        <w:t>Harshad</w:t>
      </w:r>
      <w:proofErr w:type="spellEnd"/>
      <w:r w:rsidRPr="00CE63D4">
        <w:rPr>
          <w:rFonts w:ascii="Times New Roman" w:hAnsi="Times New Roman" w:cs="Times New Roman"/>
          <w:sz w:val="24"/>
          <w:szCs w:val="24"/>
        </w:rPr>
        <w:t xml:space="preserve"> Mehta scam and the Satyam fraud. Legislative measures like the Companies Act of 2013 in India were introduced to reinforce CG mechanisms in response to corporate mismanagement and scandals.</w:t>
      </w:r>
    </w:p>
    <w:p w:rsidR="00AC719D" w:rsidRPr="00CE63D4" w:rsidRDefault="00AC06D1" w:rsidP="00CE63D4">
      <w:pPr>
        <w:jc w:val="both"/>
        <w:rPr>
          <w:rFonts w:ascii="Times New Roman" w:hAnsi="Times New Roman" w:cs="Times New Roman"/>
          <w:b/>
          <w:bCs/>
          <w:sz w:val="28"/>
          <w:szCs w:val="24"/>
        </w:rPr>
      </w:pPr>
      <w:r w:rsidRPr="00CE63D4">
        <w:rPr>
          <w:rFonts w:ascii="Times New Roman" w:hAnsi="Times New Roman" w:cs="Times New Roman"/>
          <w:b/>
          <w:bCs/>
          <w:sz w:val="28"/>
          <w:szCs w:val="24"/>
        </w:rPr>
        <w:t>Need for research</w:t>
      </w:r>
    </w:p>
    <w:p w:rsidR="00AC719D" w:rsidRPr="00CE63D4" w:rsidRDefault="00AC719D" w:rsidP="00CE63D4">
      <w:pPr>
        <w:jc w:val="both"/>
        <w:rPr>
          <w:rFonts w:ascii="Times New Roman" w:hAnsi="Times New Roman" w:cs="Times New Roman"/>
          <w:sz w:val="24"/>
          <w:szCs w:val="24"/>
        </w:rPr>
      </w:pPr>
      <w:r w:rsidRPr="00CE63D4">
        <w:rPr>
          <w:rFonts w:ascii="Times New Roman" w:hAnsi="Times New Roman" w:cs="Times New Roman"/>
          <w:sz w:val="24"/>
          <w:szCs w:val="24"/>
        </w:rPr>
        <w:t>The need for research on bank corporate governance is crucial due to several reasons:</w:t>
      </w:r>
    </w:p>
    <w:p w:rsidR="008309E2" w:rsidRPr="00CE63D4" w:rsidRDefault="008309E2" w:rsidP="00CE63D4">
      <w:pPr>
        <w:jc w:val="both"/>
        <w:rPr>
          <w:rFonts w:ascii="Times New Roman" w:hAnsi="Times New Roman" w:cs="Times New Roman"/>
          <w:sz w:val="24"/>
          <w:szCs w:val="24"/>
        </w:rPr>
      </w:pPr>
      <w:r w:rsidRPr="00CE63D4">
        <w:rPr>
          <w:rFonts w:ascii="Times New Roman" w:hAnsi="Times New Roman" w:cs="Times New Roman"/>
          <w:sz w:val="24"/>
          <w:szCs w:val="24"/>
        </w:rPr>
        <w:t>1 Importance of Banking: Banks are fundamental to all economies, serving as the backbone of financial systems by facilitating financial transactions and resource allocation.</w:t>
      </w:r>
    </w:p>
    <w:p w:rsidR="008309E2" w:rsidRPr="00CE63D4" w:rsidRDefault="008309E2" w:rsidP="00CE63D4">
      <w:pPr>
        <w:jc w:val="both"/>
        <w:rPr>
          <w:rFonts w:ascii="Times New Roman" w:hAnsi="Times New Roman" w:cs="Times New Roman"/>
          <w:sz w:val="24"/>
          <w:szCs w:val="24"/>
        </w:rPr>
      </w:pPr>
      <w:r w:rsidRPr="00CE63D4">
        <w:rPr>
          <w:rFonts w:ascii="Times New Roman" w:hAnsi="Times New Roman" w:cs="Times New Roman"/>
          <w:sz w:val="24"/>
          <w:szCs w:val="24"/>
        </w:rPr>
        <w:t>2 Transparency and Public Trust: Banks hold public deposits and have social responsibilities. Strong governance practices enhance transparency and bolster public confidence in the banking system.</w:t>
      </w:r>
    </w:p>
    <w:p w:rsidR="008309E2" w:rsidRPr="00CE63D4" w:rsidRDefault="008309E2" w:rsidP="00CE63D4">
      <w:pPr>
        <w:jc w:val="both"/>
        <w:rPr>
          <w:rFonts w:ascii="Times New Roman" w:hAnsi="Times New Roman" w:cs="Times New Roman"/>
          <w:sz w:val="24"/>
          <w:szCs w:val="24"/>
        </w:rPr>
      </w:pPr>
      <w:r w:rsidRPr="00CE63D4">
        <w:rPr>
          <w:rFonts w:ascii="Times New Roman" w:hAnsi="Times New Roman" w:cs="Times New Roman"/>
          <w:sz w:val="24"/>
          <w:szCs w:val="24"/>
        </w:rPr>
        <w:lastRenderedPageBreak/>
        <w:t>3 Risk Reduction and Efficiency: Effective governance structures reduce risks such as fraud and mismanagement, protecting depositors' funds and promoting efficient resource allocation.</w:t>
      </w:r>
    </w:p>
    <w:p w:rsidR="008309E2" w:rsidRPr="00CE63D4" w:rsidRDefault="008309E2" w:rsidP="00CE63D4">
      <w:pPr>
        <w:jc w:val="both"/>
        <w:rPr>
          <w:rFonts w:ascii="Times New Roman" w:hAnsi="Times New Roman" w:cs="Times New Roman"/>
          <w:sz w:val="24"/>
          <w:szCs w:val="24"/>
        </w:rPr>
      </w:pPr>
      <w:r w:rsidRPr="00CE63D4">
        <w:rPr>
          <w:rFonts w:ascii="Times New Roman" w:hAnsi="Times New Roman" w:cs="Times New Roman"/>
          <w:sz w:val="24"/>
          <w:szCs w:val="24"/>
        </w:rPr>
        <w:t>4 Comparative Analysis: Comparing governance practices among public and private banks, or across different countries, reveals strengths and weaknesses, informing future strategies.</w:t>
      </w:r>
    </w:p>
    <w:p w:rsidR="00AC06D1" w:rsidRPr="00CE63D4" w:rsidRDefault="008309E2" w:rsidP="00CE63D4">
      <w:pPr>
        <w:jc w:val="both"/>
        <w:rPr>
          <w:rFonts w:ascii="Times New Roman" w:hAnsi="Times New Roman" w:cs="Times New Roman"/>
          <w:sz w:val="24"/>
          <w:szCs w:val="24"/>
        </w:rPr>
      </w:pPr>
      <w:r w:rsidRPr="00CE63D4">
        <w:rPr>
          <w:rFonts w:ascii="Times New Roman" w:hAnsi="Times New Roman" w:cs="Times New Roman"/>
          <w:sz w:val="24"/>
          <w:szCs w:val="24"/>
        </w:rPr>
        <w:t>5 Research Contribution: Research in this field offers valuable insights into how banks can adopt best practices, benchmarking them to identify areas for improvement and highlight successful approaches.</w:t>
      </w:r>
    </w:p>
    <w:p w:rsidR="00765102" w:rsidRPr="00CE63D4" w:rsidRDefault="00765102" w:rsidP="00CE63D4">
      <w:pPr>
        <w:jc w:val="both"/>
        <w:rPr>
          <w:rFonts w:ascii="Times New Roman" w:eastAsia="Times New Roman" w:hAnsi="Times New Roman" w:cs="Times New Roman"/>
          <w:b/>
          <w:color w:val="000000"/>
          <w:sz w:val="28"/>
          <w:szCs w:val="24"/>
        </w:rPr>
      </w:pPr>
      <w:r w:rsidRPr="00CE63D4">
        <w:rPr>
          <w:rFonts w:ascii="Times New Roman" w:eastAsia="Times New Roman" w:hAnsi="Times New Roman" w:cs="Times New Roman"/>
          <w:b/>
          <w:color w:val="000000"/>
          <w:sz w:val="28"/>
          <w:szCs w:val="24"/>
        </w:rPr>
        <w:t>Scope of your research</w:t>
      </w:r>
    </w:p>
    <w:p w:rsidR="008309E2" w:rsidRPr="00CE63D4" w:rsidRDefault="008309E2" w:rsidP="00CE63D4">
      <w:pPr>
        <w:jc w:val="both"/>
        <w:rPr>
          <w:rFonts w:ascii="Times New Roman" w:hAnsi="Times New Roman" w:cs="Times New Roman"/>
          <w:b/>
          <w:bCs/>
          <w:sz w:val="24"/>
          <w:szCs w:val="24"/>
        </w:rPr>
      </w:pPr>
      <w:r w:rsidRPr="00CE63D4">
        <w:rPr>
          <w:rFonts w:ascii="Times New Roman" w:hAnsi="Times New Roman" w:cs="Times New Roman"/>
          <w:b/>
          <w:bCs/>
          <w:sz w:val="24"/>
          <w:szCs w:val="24"/>
        </w:rPr>
        <w:t>Board Composition and Operations: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Cs/>
          <w:sz w:val="24"/>
          <w:szCs w:val="24"/>
        </w:rPr>
        <w:t>Examine the diversity, expertise, independence, roles, and meeting effectiveness of boards.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
          <w:bCs/>
          <w:sz w:val="24"/>
          <w:szCs w:val="24"/>
        </w:rPr>
        <w:t>Risk Management Practices</w:t>
      </w:r>
      <w:r w:rsidRPr="00CE63D4">
        <w:rPr>
          <w:rFonts w:ascii="Times New Roman" w:hAnsi="Times New Roman" w:cs="Times New Roman"/>
          <w:bCs/>
          <w:sz w:val="24"/>
          <w:szCs w:val="24"/>
        </w:rPr>
        <w:t>:</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Cs/>
          <w:sz w:val="24"/>
          <w:szCs w:val="24"/>
        </w:rPr>
        <w:t>Compare methods for identifying and mitigating risks, and evaluate internal controls and compliance.</w:t>
      </w:r>
    </w:p>
    <w:p w:rsidR="008309E2" w:rsidRPr="00CE63D4" w:rsidRDefault="008309E2" w:rsidP="00CE63D4">
      <w:pPr>
        <w:jc w:val="both"/>
        <w:rPr>
          <w:rFonts w:ascii="Times New Roman" w:hAnsi="Times New Roman" w:cs="Times New Roman"/>
          <w:b/>
          <w:bCs/>
          <w:sz w:val="24"/>
          <w:szCs w:val="24"/>
        </w:rPr>
      </w:pPr>
      <w:r w:rsidRPr="00CE63D4">
        <w:rPr>
          <w:rFonts w:ascii="Times New Roman" w:hAnsi="Times New Roman" w:cs="Times New Roman"/>
          <w:b/>
          <w:bCs/>
          <w:sz w:val="24"/>
          <w:szCs w:val="24"/>
        </w:rPr>
        <w:t>Transparency and Disclosure:</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Cs/>
          <w:sz w:val="24"/>
          <w:szCs w:val="24"/>
        </w:rPr>
        <w:t>Assess financial reporting transparency, clarity of stakeholder information, and communication channels.</w:t>
      </w:r>
    </w:p>
    <w:p w:rsidR="008309E2" w:rsidRPr="00CE63D4" w:rsidRDefault="008309E2" w:rsidP="00CE63D4">
      <w:pPr>
        <w:jc w:val="both"/>
        <w:rPr>
          <w:rFonts w:ascii="Times New Roman" w:hAnsi="Times New Roman" w:cs="Times New Roman"/>
          <w:b/>
          <w:bCs/>
          <w:sz w:val="24"/>
          <w:szCs w:val="24"/>
        </w:rPr>
      </w:pPr>
      <w:r w:rsidRPr="00CE63D4">
        <w:rPr>
          <w:rFonts w:ascii="Times New Roman" w:hAnsi="Times New Roman" w:cs="Times New Roman"/>
          <w:b/>
          <w:bCs/>
          <w:sz w:val="24"/>
          <w:szCs w:val="24"/>
        </w:rPr>
        <w:t>Compensation Practices: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Cs/>
          <w:sz w:val="24"/>
          <w:szCs w:val="24"/>
        </w:rPr>
        <w:t>Compare executive pay structures, risk-linked allowances, and the role of compensation committees.</w:t>
      </w:r>
    </w:p>
    <w:p w:rsidR="008309E2" w:rsidRPr="00CE63D4" w:rsidRDefault="008309E2" w:rsidP="00CE63D4">
      <w:pPr>
        <w:jc w:val="both"/>
        <w:rPr>
          <w:rFonts w:ascii="Times New Roman" w:hAnsi="Times New Roman" w:cs="Times New Roman"/>
          <w:b/>
          <w:bCs/>
          <w:sz w:val="24"/>
          <w:szCs w:val="24"/>
        </w:rPr>
      </w:pPr>
      <w:r w:rsidRPr="00CE63D4">
        <w:rPr>
          <w:rFonts w:ascii="Times New Roman" w:hAnsi="Times New Roman" w:cs="Times New Roman"/>
          <w:b/>
          <w:bCs/>
          <w:sz w:val="24"/>
          <w:szCs w:val="24"/>
        </w:rPr>
        <w:t>Comparative Analysis: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
          <w:bCs/>
          <w:sz w:val="24"/>
          <w:szCs w:val="24"/>
        </w:rPr>
        <w:t>Bank Selection</w:t>
      </w:r>
      <w:r w:rsidRPr="00CE63D4">
        <w:rPr>
          <w:rFonts w:ascii="Times New Roman" w:hAnsi="Times New Roman" w:cs="Times New Roman"/>
          <w:bCs/>
          <w:sz w:val="24"/>
          <w:szCs w:val="24"/>
        </w:rPr>
        <w:t>: Include public vs. private banks, banks from different regulatory environments, and various sizes and business models.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
          <w:bCs/>
          <w:sz w:val="24"/>
          <w:szCs w:val="24"/>
        </w:rPr>
        <w:t>Metrics and Methodology</w:t>
      </w:r>
      <w:r w:rsidRPr="00CE63D4">
        <w:rPr>
          <w:rFonts w:ascii="Times New Roman" w:hAnsi="Times New Roman" w:cs="Times New Roman"/>
          <w:bCs/>
          <w:sz w:val="24"/>
          <w:szCs w:val="24"/>
        </w:rPr>
        <w:t>: Use industry standards, quantitative data, and optional qualitative interviews to analyze governance strengths and weaknesses.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
          <w:bCs/>
          <w:sz w:val="24"/>
          <w:szCs w:val="24"/>
        </w:rPr>
        <w:t>Additional Considerations</w:t>
      </w:r>
      <w:r w:rsidRPr="00CE63D4">
        <w:rPr>
          <w:rFonts w:ascii="Times New Roman" w:hAnsi="Times New Roman" w:cs="Times New Roman"/>
          <w:bCs/>
          <w:sz w:val="24"/>
          <w:szCs w:val="24"/>
        </w:rPr>
        <w:t xml:space="preserve">: </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
          <w:bCs/>
          <w:sz w:val="24"/>
          <w:szCs w:val="24"/>
        </w:rPr>
        <w:t>Regulatory Landscape</w:t>
      </w:r>
      <w:r w:rsidRPr="00CE63D4">
        <w:rPr>
          <w:rFonts w:ascii="Times New Roman" w:hAnsi="Times New Roman" w:cs="Times New Roman"/>
          <w:bCs/>
          <w:sz w:val="24"/>
          <w:szCs w:val="24"/>
        </w:rPr>
        <w:t>: Provide an overview of governance regulations in selected regions.</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
          <w:bCs/>
          <w:sz w:val="24"/>
          <w:szCs w:val="24"/>
        </w:rPr>
        <w:t>Impact Analysis</w:t>
      </w:r>
      <w:r w:rsidRPr="00CE63D4">
        <w:rPr>
          <w:rFonts w:ascii="Times New Roman" w:hAnsi="Times New Roman" w:cs="Times New Roman"/>
          <w:bCs/>
          <w:sz w:val="24"/>
          <w:szCs w:val="24"/>
        </w:rPr>
        <w:t>: Investigate the impact of governance practices on performance and risk profile.</w:t>
      </w:r>
    </w:p>
    <w:p w:rsidR="008309E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Cs/>
          <w:sz w:val="24"/>
          <w:szCs w:val="24"/>
        </w:rPr>
        <w:t>Deliverables:</w:t>
      </w:r>
    </w:p>
    <w:p w:rsidR="00765102" w:rsidRPr="00CE63D4" w:rsidRDefault="008309E2" w:rsidP="00CE63D4">
      <w:pPr>
        <w:jc w:val="both"/>
        <w:rPr>
          <w:rFonts w:ascii="Times New Roman" w:hAnsi="Times New Roman" w:cs="Times New Roman"/>
          <w:bCs/>
          <w:sz w:val="24"/>
          <w:szCs w:val="24"/>
        </w:rPr>
      </w:pPr>
      <w:r w:rsidRPr="00CE63D4">
        <w:rPr>
          <w:rFonts w:ascii="Times New Roman" w:hAnsi="Times New Roman" w:cs="Times New Roman"/>
          <w:bCs/>
          <w:sz w:val="24"/>
          <w:szCs w:val="24"/>
        </w:rPr>
        <w:t>Provide a detailed comparative study with evidence-based arguments. Offer recommendations for improvements and highlight best practices.</w:t>
      </w:r>
    </w:p>
    <w:p w:rsidR="00CE63D4" w:rsidRPr="00CE63D4" w:rsidRDefault="00EB277C" w:rsidP="00CE63D4">
      <w:pPr>
        <w:jc w:val="both"/>
        <w:rPr>
          <w:rFonts w:ascii="Times New Roman" w:hAnsi="Times New Roman" w:cs="Times New Roman"/>
          <w:b/>
          <w:bCs/>
          <w:sz w:val="28"/>
          <w:szCs w:val="24"/>
        </w:rPr>
      </w:pPr>
      <w:r>
        <w:rPr>
          <w:rFonts w:ascii="Times New Roman" w:hAnsi="Times New Roman" w:cs="Times New Roman"/>
          <w:b/>
          <w:bCs/>
          <w:sz w:val="28"/>
          <w:szCs w:val="24"/>
        </w:rPr>
        <w:t xml:space="preserve">                                           </w:t>
      </w:r>
      <w:r w:rsidR="00CE63D4" w:rsidRPr="00CE63D4">
        <w:rPr>
          <w:rFonts w:ascii="Times New Roman" w:hAnsi="Times New Roman" w:cs="Times New Roman"/>
          <w:b/>
          <w:bCs/>
          <w:sz w:val="28"/>
          <w:szCs w:val="24"/>
        </w:rPr>
        <w:t xml:space="preserve">Research Methodology </w:t>
      </w:r>
    </w:p>
    <w:p w:rsidR="00CE63D4" w:rsidRPr="00CE63D4" w:rsidRDefault="00765102" w:rsidP="00CE63D4">
      <w:pPr>
        <w:jc w:val="both"/>
        <w:rPr>
          <w:rFonts w:ascii="Times New Roman" w:hAnsi="Times New Roman" w:cs="Times New Roman"/>
          <w:b/>
          <w:bCs/>
          <w:sz w:val="24"/>
          <w:szCs w:val="24"/>
        </w:rPr>
      </w:pPr>
      <w:r w:rsidRPr="00CE63D4">
        <w:rPr>
          <w:rFonts w:ascii="Times New Roman" w:hAnsi="Times New Roman" w:cs="Times New Roman"/>
          <w:sz w:val="24"/>
          <w:szCs w:val="24"/>
        </w:rPr>
        <w:t xml:space="preserve">This study analyzed eight major Indian banks: four public sector banks (SBI, Bank of Baroda, Punjab National Bank, and United Bank of India) and four private sector banks (Dhan Laxmi Bank, DCB Bank, ICICI Bank, and Lakshmi Vilas Bank). The sample was chosen based on </w:t>
      </w:r>
      <w:r w:rsidRPr="00CE63D4">
        <w:rPr>
          <w:rFonts w:ascii="Times New Roman" w:hAnsi="Times New Roman" w:cs="Times New Roman"/>
          <w:sz w:val="24"/>
          <w:szCs w:val="24"/>
        </w:rPr>
        <w:lastRenderedPageBreak/>
        <w:t xml:space="preserve">market value and founding year. The study period is 2015-16, using data from the financial year 2015-16 annual reports and bank </w:t>
      </w:r>
      <w:proofErr w:type="gramStart"/>
      <w:r w:rsidRPr="00CE63D4">
        <w:rPr>
          <w:rFonts w:ascii="Times New Roman" w:hAnsi="Times New Roman" w:cs="Times New Roman"/>
          <w:sz w:val="24"/>
          <w:szCs w:val="24"/>
        </w:rPr>
        <w:t>websites.</w:t>
      </w:r>
      <w:proofErr w:type="gramEnd"/>
      <w:r w:rsidRPr="00CE63D4">
        <w:rPr>
          <w:rFonts w:ascii="Times New Roman" w:hAnsi="Times New Roman" w:cs="Times New Roman"/>
          <w:sz w:val="24"/>
          <w:szCs w:val="24"/>
        </w:rPr>
        <w:t xml:space="preserve"> The focus was on the "governance" section of the annual reports, examining key parameters such as the composition, mandate, and meeting frequency of the Board, Risk Management Committee, Control Committee, Shareholders' Committee, Remuneration Committee, and CSR Committee.</w:t>
      </w:r>
    </w:p>
    <w:p w:rsidR="005F5224" w:rsidRPr="00CE63D4" w:rsidRDefault="005F5224" w:rsidP="00CE63D4">
      <w:pPr>
        <w:jc w:val="both"/>
        <w:rPr>
          <w:rFonts w:ascii="Times New Roman" w:hAnsi="Times New Roman" w:cs="Times New Roman"/>
        </w:rPr>
      </w:pPr>
      <w:r>
        <w:rPr>
          <w:rFonts w:ascii="Times New Roman" w:eastAsia="Times New Roman" w:hAnsi="Times New Roman" w:cs="Times New Roman"/>
          <w:b/>
          <w:sz w:val="32"/>
          <w:szCs w:val="32"/>
          <w:highlight w:val="white"/>
        </w:rPr>
        <w:t>Table-1: Brief Description of Sample Selected under the Study</w:t>
      </w:r>
    </w:p>
    <w:tbl>
      <w:tblPr>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07"/>
        <w:gridCol w:w="2921"/>
        <w:gridCol w:w="2928"/>
      </w:tblGrid>
      <w:tr w:rsidR="005F5224" w:rsidTr="00172546">
        <w:tc>
          <w:tcPr>
            <w:tcW w:w="2807"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Year of establishment</w:t>
            </w:r>
          </w:p>
        </w:tc>
        <w:tc>
          <w:tcPr>
            <w:tcW w:w="2928"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Market Capitalisation </w:t>
            </w:r>
            <w:r>
              <w:rPr>
                <w:rFonts w:ascii="Times New Roman" w:eastAsia="Times New Roman" w:hAnsi="Times New Roman" w:cs="Times New Roman"/>
                <w:sz w:val="20"/>
                <w:szCs w:val="20"/>
                <w:highlight w:val="white"/>
              </w:rPr>
              <w:t>(INR)</w:t>
            </w:r>
          </w:p>
        </w:tc>
      </w:tr>
      <w:tr w:rsidR="005F5224" w:rsidTr="00172546">
        <w:tc>
          <w:tcPr>
            <w:tcW w:w="2807"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2921" w:type="dxa"/>
          </w:tcPr>
          <w:p w:rsidR="005F5224" w:rsidRDefault="005F5224" w:rsidP="00172546">
            <w:pPr>
              <w:spacing w:line="360" w:lineRule="auto"/>
              <w:jc w:val="both"/>
              <w:rPr>
                <w:rFonts w:ascii="Times New Roman" w:eastAsia="Times New Roman" w:hAnsi="Times New Roman" w:cs="Times New Roman"/>
                <w:b/>
                <w:sz w:val="32"/>
                <w:szCs w:val="32"/>
                <w:highlight w:val="white"/>
              </w:rPr>
            </w:pPr>
          </w:p>
        </w:tc>
        <w:tc>
          <w:tcPr>
            <w:tcW w:w="2928" w:type="dxa"/>
          </w:tcPr>
          <w:p w:rsidR="005F5224" w:rsidRDefault="005F5224" w:rsidP="00172546">
            <w:pPr>
              <w:spacing w:line="360" w:lineRule="auto"/>
              <w:jc w:val="both"/>
              <w:rPr>
                <w:rFonts w:ascii="Times New Roman" w:eastAsia="Times New Roman" w:hAnsi="Times New Roman" w:cs="Times New Roman"/>
                <w:b/>
                <w:sz w:val="32"/>
                <w:szCs w:val="32"/>
                <w:highlight w:val="white"/>
              </w:rPr>
            </w:pP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Dhan Laxmi Bank ltd.</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August 1994</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11.77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1994</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7.70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DCB Bank Ltd.</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November 1985</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3.56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ICICI Bank Ltd.</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1993</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3.24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4"/>
                <w:szCs w:val="24"/>
              </w:rPr>
              <w:t>IndusInd Bank</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April, 1994</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1.20 Lakhs Crore</w:t>
            </w:r>
          </w:p>
        </w:tc>
      </w:tr>
      <w:tr w:rsidR="005F5224" w:rsidTr="00172546">
        <w:tc>
          <w:tcPr>
            <w:tcW w:w="2807" w:type="dxa"/>
          </w:tcPr>
          <w:p w:rsidR="005F5224" w:rsidRDefault="005F5224" w:rsidP="00172546">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Public Sector Bank</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bank of India</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July 1995</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6.75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July 1908</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May 1894</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1.38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Feb 1937</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1.13 Lakhs Crore</w:t>
            </w:r>
          </w:p>
        </w:tc>
      </w:tr>
      <w:tr w:rsidR="005F5224" w:rsidTr="00172546">
        <w:tc>
          <w:tcPr>
            <w:tcW w:w="2807" w:type="dxa"/>
          </w:tcPr>
          <w:p w:rsidR="005F5224" w:rsidRDefault="005F5224"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2921" w:type="dxa"/>
          </w:tcPr>
          <w:p w:rsidR="005F5224" w:rsidRDefault="005F5224"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Nov 1950</w:t>
            </w:r>
          </w:p>
        </w:tc>
        <w:tc>
          <w:tcPr>
            <w:tcW w:w="2928" w:type="dxa"/>
          </w:tcPr>
          <w:p w:rsidR="005F5224" w:rsidRDefault="005F5224"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Lakhs Crore</w:t>
            </w:r>
          </w:p>
        </w:tc>
      </w:tr>
    </w:tbl>
    <w:p w:rsidR="005F5224" w:rsidRDefault="005F5224" w:rsidP="005F5224">
      <w:pPr>
        <w:spacing w:line="360" w:lineRule="auto"/>
        <w:jc w:val="both"/>
        <w:rPr>
          <w:rFonts w:ascii="Times New Roman" w:eastAsia="Times New Roman" w:hAnsi="Times New Roman" w:cs="Times New Roman"/>
          <w:sz w:val="24"/>
          <w:szCs w:val="24"/>
          <w:highlight w:val="white"/>
        </w:rPr>
      </w:pPr>
      <w:r>
        <w:rPr>
          <w:sz w:val="23"/>
          <w:szCs w:val="23"/>
          <w:highlight w:val="white"/>
        </w:rPr>
        <w:t xml:space="preserve">                      </w:t>
      </w:r>
      <w:r>
        <w:rPr>
          <w:rFonts w:ascii="Times New Roman" w:eastAsia="Times New Roman" w:hAnsi="Times New Roman" w:cs="Times New Roman"/>
          <w:b/>
          <w:sz w:val="24"/>
          <w:szCs w:val="24"/>
          <w:highlight w:val="white"/>
        </w:rPr>
        <w:t>Source:</w:t>
      </w:r>
      <w:r>
        <w:rPr>
          <w:rFonts w:ascii="Times New Roman" w:eastAsia="Times New Roman" w:hAnsi="Times New Roman" w:cs="Times New Roman"/>
          <w:sz w:val="24"/>
          <w:szCs w:val="24"/>
          <w:highlight w:val="white"/>
        </w:rPr>
        <w:t xml:space="preserve"> From the official site of Bank and research firm like Money control</w:t>
      </w:r>
    </w:p>
    <w:p w:rsidR="005F5224" w:rsidRPr="005F5224" w:rsidRDefault="005F5224" w:rsidP="005F5224">
      <w:pPr>
        <w:jc w:val="both"/>
        <w:rPr>
          <w:rFonts w:ascii="Times New Roman" w:hAnsi="Times New Roman" w:cs="Times New Roman"/>
          <w:b/>
          <w:sz w:val="32"/>
          <w:szCs w:val="32"/>
        </w:rPr>
      </w:pPr>
      <w:r w:rsidRPr="005F5224">
        <w:rPr>
          <w:rFonts w:ascii="Times New Roman" w:hAnsi="Times New Roman" w:cs="Times New Roman"/>
          <w:b/>
          <w:sz w:val="32"/>
          <w:szCs w:val="32"/>
        </w:rPr>
        <w:t xml:space="preserve">Data Analysis and Results </w:t>
      </w:r>
    </w:p>
    <w:p w:rsidR="005F5224" w:rsidRDefault="005F5224" w:rsidP="005F5224">
      <w:pPr>
        <w:jc w:val="both"/>
        <w:rPr>
          <w:rFonts w:ascii="Times New Roman" w:hAnsi="Times New Roman" w:cs="Times New Roman"/>
        </w:rPr>
      </w:pPr>
      <w:r w:rsidRPr="005F5224">
        <w:rPr>
          <w:rFonts w:ascii="Times New Roman" w:hAnsi="Times New Roman" w:cs="Times New Roman"/>
        </w:rPr>
        <w:t>In order to understand the discharge practices and status of the selected banks, important parameters such as board structure, composition of key committees and frequency of meetings including audit committee, risk management committee, stakeholder committee, remuneration committee and board committee are analysed. The data analysis and results are explained below:</w:t>
      </w:r>
    </w:p>
    <w:p w:rsidR="00EA7C21" w:rsidRPr="00EA7C21" w:rsidRDefault="00EA7C21" w:rsidP="00EA7C21">
      <w:pPr>
        <w:jc w:val="both"/>
        <w:rPr>
          <w:rFonts w:ascii="Times New Roman" w:hAnsi="Times New Roman" w:cs="Times New Roman"/>
          <w:b/>
          <w:bCs/>
          <w:sz w:val="32"/>
          <w:szCs w:val="32"/>
        </w:rPr>
      </w:pPr>
      <w:r w:rsidRPr="00EA7C21">
        <w:rPr>
          <w:rFonts w:ascii="Times New Roman" w:hAnsi="Times New Roman" w:cs="Times New Roman"/>
          <w:b/>
          <w:bCs/>
          <w:sz w:val="32"/>
          <w:szCs w:val="32"/>
        </w:rPr>
        <w:t>Case Structure Summary</w:t>
      </w:r>
    </w:p>
    <w:p w:rsidR="00EA7C21" w:rsidRPr="00EA7C21" w:rsidRDefault="00EA7C21" w:rsidP="00B555FF">
      <w:pPr>
        <w:spacing w:line="240" w:lineRule="auto"/>
        <w:jc w:val="both"/>
        <w:rPr>
          <w:rFonts w:ascii="Times New Roman" w:hAnsi="Times New Roman" w:cs="Times New Roman"/>
        </w:rPr>
      </w:pPr>
      <w:r w:rsidRPr="00EA7C21">
        <w:rPr>
          <w:rFonts w:ascii="Times New Roman" w:hAnsi="Times New Roman" w:cs="Times New Roman"/>
        </w:rPr>
        <w:lastRenderedPageBreak/>
        <w:t>The study focuses on the role and composition of boards in corporate governance across eight major Indian banks, split between public sector banks (</w:t>
      </w:r>
      <w:proofErr w:type="spellStart"/>
      <w:r w:rsidRPr="00EA7C21">
        <w:rPr>
          <w:rFonts w:ascii="Times New Roman" w:hAnsi="Times New Roman" w:cs="Times New Roman"/>
        </w:rPr>
        <w:t>PuSB</w:t>
      </w:r>
      <w:proofErr w:type="spellEnd"/>
      <w:r w:rsidRPr="00EA7C21">
        <w:rPr>
          <w:rFonts w:ascii="Times New Roman" w:hAnsi="Times New Roman" w:cs="Times New Roman"/>
        </w:rPr>
        <w:t>) and private sector banks (</w:t>
      </w:r>
      <w:proofErr w:type="spellStart"/>
      <w:r w:rsidRPr="00EA7C21">
        <w:rPr>
          <w:rFonts w:ascii="Times New Roman" w:hAnsi="Times New Roman" w:cs="Times New Roman"/>
        </w:rPr>
        <w:t>PvSB</w:t>
      </w:r>
      <w:proofErr w:type="spellEnd"/>
      <w:r w:rsidRPr="00EA7C21">
        <w:rPr>
          <w:rFonts w:ascii="Times New Roman" w:hAnsi="Times New Roman" w:cs="Times New Roman"/>
        </w:rPr>
        <w:t>). Key points include:</w:t>
      </w:r>
    </w:p>
    <w:p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Board Composition:</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CEO:</w:t>
      </w:r>
      <w:r w:rsidRPr="00EA7C21">
        <w:rPr>
          <w:rFonts w:ascii="Times New Roman" w:hAnsi="Times New Roman" w:cs="Times New Roman"/>
        </w:rPr>
        <w:t xml:space="preserve"> Primary role is directing and managing the business.</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Non-Executive Director (NED):</w:t>
      </w:r>
      <w:r w:rsidRPr="00EA7C21">
        <w:rPr>
          <w:rFonts w:ascii="Times New Roman" w:hAnsi="Times New Roman" w:cs="Times New Roman"/>
        </w:rPr>
        <w:t xml:space="preserve"> External, not involved in daily management, acts as an overseer and whistle-blower.</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Independent Director (ID):</w:t>
      </w:r>
      <w:r w:rsidRPr="00EA7C21">
        <w:rPr>
          <w:rFonts w:ascii="Times New Roman" w:hAnsi="Times New Roman" w:cs="Times New Roman"/>
        </w:rPr>
        <w:t xml:space="preserve"> A type of NED with no ties to the company, ensuring good governance.</w:t>
      </w:r>
    </w:p>
    <w:p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Regulatory Requirements:</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rPr>
        <w:t>Clause 49 mandates that at least 50% of board members must be non-executives if the chairman is a NED; if the chairman is an ED, at least 50% must be independent directors.</w:t>
      </w:r>
    </w:p>
    <w:p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Board Composition in Selected Banks:</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Private Banks (</w:t>
      </w:r>
      <w:proofErr w:type="spellStart"/>
      <w:r w:rsidRPr="00EA7C21">
        <w:rPr>
          <w:rFonts w:ascii="Times New Roman" w:hAnsi="Times New Roman" w:cs="Times New Roman"/>
          <w:b/>
          <w:bCs/>
        </w:rPr>
        <w:t>PvSB</w:t>
      </w:r>
      <w:proofErr w:type="spellEnd"/>
      <w:r w:rsidRPr="00EA7C21">
        <w:rPr>
          <w:rFonts w:ascii="Times New Roman" w:hAnsi="Times New Roman" w:cs="Times New Roman"/>
          <w:b/>
          <w:bCs/>
        </w:rPr>
        <w:t>):</w:t>
      </w:r>
      <w:r w:rsidRPr="00EA7C21">
        <w:rPr>
          <w:rFonts w:ascii="Times New Roman" w:hAnsi="Times New Roman" w:cs="Times New Roman"/>
        </w:rPr>
        <w:t xml:space="preserve"> </w:t>
      </w:r>
      <w:proofErr w:type="spellStart"/>
      <w:r w:rsidRPr="00EA7C21">
        <w:rPr>
          <w:rFonts w:ascii="Times New Roman" w:hAnsi="Times New Roman" w:cs="Times New Roman"/>
        </w:rPr>
        <w:t>Lakshmi</w:t>
      </w:r>
      <w:proofErr w:type="spellEnd"/>
      <w:r w:rsidRPr="00EA7C21">
        <w:rPr>
          <w:rFonts w:ascii="Times New Roman" w:hAnsi="Times New Roman" w:cs="Times New Roman"/>
        </w:rPr>
        <w:t xml:space="preserve"> Vilas Bank (LVB) has the highest board independence with 92% NEDs.</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Public Banks (</w:t>
      </w:r>
      <w:proofErr w:type="spellStart"/>
      <w:r w:rsidRPr="00EA7C21">
        <w:rPr>
          <w:rFonts w:ascii="Times New Roman" w:hAnsi="Times New Roman" w:cs="Times New Roman"/>
          <w:b/>
          <w:bCs/>
        </w:rPr>
        <w:t>PuSB</w:t>
      </w:r>
      <w:proofErr w:type="spellEnd"/>
      <w:r w:rsidRPr="00EA7C21">
        <w:rPr>
          <w:rFonts w:ascii="Times New Roman" w:hAnsi="Times New Roman" w:cs="Times New Roman"/>
          <w:b/>
          <w:bCs/>
        </w:rPr>
        <w:t>):</w:t>
      </w:r>
      <w:r w:rsidRPr="00EA7C21">
        <w:rPr>
          <w:rFonts w:ascii="Times New Roman" w:hAnsi="Times New Roman" w:cs="Times New Roman"/>
        </w:rPr>
        <w:t xml:space="preserve"> United Bank of India leads with 67% NEDs; UBI has 44% IDs, while DCB has 77%.</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Highest Executive Directors (EDs):</w:t>
      </w:r>
      <w:r w:rsidRPr="00EA7C21">
        <w:rPr>
          <w:rFonts w:ascii="Times New Roman" w:hAnsi="Times New Roman" w:cs="Times New Roman"/>
        </w:rPr>
        <w:t xml:space="preserve"> ICICI (</w:t>
      </w:r>
      <w:proofErr w:type="spellStart"/>
      <w:r w:rsidRPr="00EA7C21">
        <w:rPr>
          <w:rFonts w:ascii="Times New Roman" w:hAnsi="Times New Roman" w:cs="Times New Roman"/>
        </w:rPr>
        <w:t>PvSB</w:t>
      </w:r>
      <w:proofErr w:type="spellEnd"/>
      <w:r w:rsidRPr="00EA7C21">
        <w:rPr>
          <w:rFonts w:ascii="Times New Roman" w:hAnsi="Times New Roman" w:cs="Times New Roman"/>
        </w:rPr>
        <w:t>) at 38%, and Bank of Baroda (</w:t>
      </w:r>
      <w:proofErr w:type="spellStart"/>
      <w:r w:rsidRPr="00EA7C21">
        <w:rPr>
          <w:rFonts w:ascii="Times New Roman" w:hAnsi="Times New Roman" w:cs="Times New Roman"/>
        </w:rPr>
        <w:t>PuSB</w:t>
      </w:r>
      <w:proofErr w:type="spellEnd"/>
      <w:r w:rsidRPr="00EA7C21">
        <w:rPr>
          <w:rFonts w:ascii="Times New Roman" w:hAnsi="Times New Roman" w:cs="Times New Roman"/>
        </w:rPr>
        <w:t>) at 30%.</w:t>
      </w:r>
    </w:p>
    <w:p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Board Meetings:</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Frequency:</w:t>
      </w:r>
      <w:r w:rsidRPr="00EA7C21">
        <w:rPr>
          <w:rFonts w:ascii="Times New Roman" w:hAnsi="Times New Roman" w:cs="Times New Roman"/>
        </w:rPr>
        <w:t xml:space="preserve"> DCB Bank held the fewest meetings (7 per year).</w:t>
      </w:r>
    </w:p>
    <w:p w:rsidR="00EA7C21" w:rsidRPr="00EA7C21" w:rsidRDefault="00EA7C21" w:rsidP="00B555FF">
      <w:pPr>
        <w:numPr>
          <w:ilvl w:val="1"/>
          <w:numId w:val="8"/>
        </w:numPr>
        <w:spacing w:line="240" w:lineRule="auto"/>
        <w:jc w:val="both"/>
        <w:rPr>
          <w:rFonts w:ascii="Times New Roman" w:hAnsi="Times New Roman" w:cs="Times New Roman"/>
        </w:rPr>
      </w:pPr>
      <w:proofErr w:type="spellStart"/>
      <w:r w:rsidRPr="00EA7C21">
        <w:rPr>
          <w:rFonts w:ascii="Times New Roman" w:hAnsi="Times New Roman" w:cs="Times New Roman"/>
        </w:rPr>
        <w:t>PvSB</w:t>
      </w:r>
      <w:proofErr w:type="spellEnd"/>
      <w:r w:rsidRPr="00EA7C21">
        <w:rPr>
          <w:rFonts w:ascii="Times New Roman" w:hAnsi="Times New Roman" w:cs="Times New Roman"/>
        </w:rPr>
        <w:t xml:space="preserve"> typically have NEDs as chairmen, while </w:t>
      </w:r>
      <w:proofErr w:type="spellStart"/>
      <w:r w:rsidRPr="00EA7C21">
        <w:rPr>
          <w:rFonts w:ascii="Times New Roman" w:hAnsi="Times New Roman" w:cs="Times New Roman"/>
        </w:rPr>
        <w:t>PuSB</w:t>
      </w:r>
      <w:proofErr w:type="spellEnd"/>
      <w:r w:rsidRPr="00EA7C21">
        <w:rPr>
          <w:rFonts w:ascii="Times New Roman" w:hAnsi="Times New Roman" w:cs="Times New Roman"/>
        </w:rPr>
        <w:t xml:space="preserve"> often have </w:t>
      </w:r>
      <w:proofErr w:type="spellStart"/>
      <w:r w:rsidRPr="00EA7C21">
        <w:rPr>
          <w:rFonts w:ascii="Times New Roman" w:hAnsi="Times New Roman" w:cs="Times New Roman"/>
        </w:rPr>
        <w:t>EDs.</w:t>
      </w:r>
      <w:proofErr w:type="spellEnd"/>
    </w:p>
    <w:p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Women Directors:</w:t>
      </w:r>
    </w:p>
    <w:p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rPr>
        <w:t>All banks meet the statutory requirement for women directors.</w:t>
      </w:r>
    </w:p>
    <w:p w:rsidR="00EA7C21" w:rsidRPr="00EA7C21" w:rsidRDefault="00EA7C21" w:rsidP="00B555FF">
      <w:pPr>
        <w:spacing w:line="240" w:lineRule="auto"/>
        <w:jc w:val="both"/>
        <w:rPr>
          <w:rFonts w:ascii="Times New Roman" w:hAnsi="Times New Roman" w:cs="Times New Roman"/>
        </w:rPr>
      </w:pPr>
      <w:r w:rsidRPr="00EA7C21">
        <w:rPr>
          <w:rFonts w:ascii="Times New Roman" w:hAnsi="Times New Roman" w:cs="Times New Roman"/>
        </w:rPr>
        <w:t>This analysis highlights the varied board structures and governance practices between public and private sector banks, reflecting their approaches to regulatory compliance and governance efficacy.</w:t>
      </w:r>
    </w:p>
    <w:p w:rsidR="00B555FF" w:rsidRDefault="00B555FF" w:rsidP="00B555FF">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Table-II: Analysis of Board Composition</w:t>
      </w:r>
    </w:p>
    <w:tbl>
      <w:tblPr>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68"/>
        <w:gridCol w:w="770"/>
        <w:gridCol w:w="1074"/>
        <w:gridCol w:w="834"/>
        <w:gridCol w:w="834"/>
        <w:gridCol w:w="1074"/>
        <w:gridCol w:w="834"/>
        <w:gridCol w:w="834"/>
        <w:gridCol w:w="834"/>
      </w:tblGrid>
      <w:tr w:rsidR="00B555FF" w:rsidTr="00172546">
        <w:trPr>
          <w:cantSplit/>
          <w:trHeight w:val="2961"/>
        </w:trPr>
        <w:tc>
          <w:tcPr>
            <w:tcW w:w="1568"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p w:rsidR="00B555FF" w:rsidRDefault="00B555FF" w:rsidP="00172546">
            <w:pPr>
              <w:spacing w:line="360" w:lineRule="auto"/>
              <w:jc w:val="both"/>
              <w:rPr>
                <w:rFonts w:ascii="Times New Roman" w:eastAsia="Times New Roman" w:hAnsi="Times New Roman" w:cs="Times New Roman"/>
                <w:b/>
                <w:sz w:val="24"/>
                <w:szCs w:val="24"/>
                <w:highlight w:val="white"/>
              </w:rPr>
            </w:pPr>
          </w:p>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770"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 Directors</w:t>
            </w:r>
          </w:p>
        </w:tc>
        <w:tc>
          <w:tcPr>
            <w:tcW w:w="107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Non-executive directors</w:t>
            </w:r>
          </w:p>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Excluding Chairman </w:t>
            </w:r>
          </w:p>
        </w:tc>
        <w:tc>
          <w:tcPr>
            <w:tcW w:w="83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Independent Non-Executive Director</w:t>
            </w:r>
          </w:p>
        </w:tc>
        <w:tc>
          <w:tcPr>
            <w:tcW w:w="83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Woman Non-Executive Directors</w:t>
            </w:r>
          </w:p>
        </w:tc>
        <w:tc>
          <w:tcPr>
            <w:tcW w:w="107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Executive Director</w:t>
            </w:r>
          </w:p>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Excluding Chairman</w:t>
            </w:r>
          </w:p>
        </w:tc>
        <w:tc>
          <w:tcPr>
            <w:tcW w:w="83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Woman Executive Director</w:t>
            </w:r>
          </w:p>
        </w:tc>
        <w:tc>
          <w:tcPr>
            <w:tcW w:w="83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 of Board Meeting</w:t>
            </w:r>
          </w:p>
        </w:tc>
        <w:tc>
          <w:tcPr>
            <w:tcW w:w="834" w:type="dxa"/>
          </w:tcPr>
          <w:p w:rsidR="00B555FF" w:rsidRDefault="00B555FF"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Is Chairman Executive</w:t>
            </w:r>
          </w:p>
        </w:tc>
      </w:tr>
      <w:tr w:rsidR="00B555FF" w:rsidTr="00172546">
        <w:tc>
          <w:tcPr>
            <w:tcW w:w="1568" w:type="dxa"/>
          </w:tcPr>
          <w:p w:rsidR="00B555FF" w:rsidRDefault="00B555FF" w:rsidP="00172546">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r>
      <w:tr w:rsidR="00B555FF" w:rsidTr="00172546">
        <w:tc>
          <w:tcPr>
            <w:tcW w:w="1568" w:type="dxa"/>
          </w:tcPr>
          <w:p w:rsidR="00B555FF" w:rsidRDefault="00B555FF"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Dhan Laxmi Bank Ltd</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rsidTr="00172546">
        <w:trPr>
          <w:trHeight w:val="345"/>
        </w:trPr>
        <w:tc>
          <w:tcPr>
            <w:tcW w:w="1568" w:type="dxa"/>
          </w:tcPr>
          <w:p w:rsidR="00B555FF" w:rsidRDefault="00B555FF"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DCB Bank Ltd.</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rsidTr="00172546">
        <w:tc>
          <w:tcPr>
            <w:tcW w:w="1568" w:type="dxa"/>
          </w:tcPr>
          <w:p w:rsidR="00B555FF" w:rsidRDefault="00B555FF"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ICICI Bank </w:t>
            </w:r>
            <w:proofErr w:type="spellStart"/>
            <w:r>
              <w:rPr>
                <w:rFonts w:ascii="Times New Roman" w:eastAsia="Times New Roman" w:hAnsi="Times New Roman" w:cs="Times New Roman"/>
                <w:sz w:val="24"/>
                <w:szCs w:val="24"/>
              </w:rPr>
              <w:t>Bank</w:t>
            </w:r>
            <w:proofErr w:type="spellEnd"/>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rsidTr="00172546">
        <w:trPr>
          <w:trHeight w:val="592"/>
        </w:trPr>
        <w:tc>
          <w:tcPr>
            <w:tcW w:w="1568" w:type="dxa"/>
          </w:tcPr>
          <w:p w:rsidR="00B555FF" w:rsidRDefault="00B555FF"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Axis Bank Ltd.</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rsidTr="00172546">
        <w:trPr>
          <w:trHeight w:val="612"/>
        </w:trPr>
        <w:tc>
          <w:tcPr>
            <w:tcW w:w="1568" w:type="dxa"/>
          </w:tcPr>
          <w:p w:rsidR="00B555FF" w:rsidRDefault="00B555FF" w:rsidP="00172546">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rsidTr="00172546">
        <w:tc>
          <w:tcPr>
            <w:tcW w:w="1568" w:type="dxa"/>
          </w:tcPr>
          <w:p w:rsidR="00B555FF" w:rsidRDefault="00B555FF"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Public Sector Bank</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p>
        </w:tc>
      </w:tr>
      <w:tr w:rsidR="00B555FF" w:rsidTr="00172546">
        <w:tc>
          <w:tcPr>
            <w:tcW w:w="1568" w:type="dxa"/>
          </w:tcPr>
          <w:p w:rsidR="00B555FF" w:rsidRDefault="00B555FF" w:rsidP="0017254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State bank of India</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14</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rsidTr="00172546">
        <w:trPr>
          <w:trHeight w:val="642"/>
        </w:trPr>
        <w:tc>
          <w:tcPr>
            <w:tcW w:w="1568" w:type="dxa"/>
          </w:tcPr>
          <w:p w:rsidR="00B555FF" w:rsidRDefault="00B555FF"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rsidTr="00172546">
        <w:tc>
          <w:tcPr>
            <w:tcW w:w="1568" w:type="dxa"/>
          </w:tcPr>
          <w:p w:rsidR="00B555FF" w:rsidRDefault="00B555FF"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rsidTr="00172546">
        <w:tc>
          <w:tcPr>
            <w:tcW w:w="1568" w:type="dxa"/>
          </w:tcPr>
          <w:p w:rsidR="00B555FF" w:rsidRDefault="00B555FF"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Indian Overseas</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rsidTr="00172546">
        <w:tc>
          <w:tcPr>
            <w:tcW w:w="1568" w:type="dxa"/>
          </w:tcPr>
          <w:p w:rsidR="00B555FF" w:rsidRDefault="00B555FF"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Union Bank of India</w:t>
            </w:r>
          </w:p>
        </w:tc>
        <w:tc>
          <w:tcPr>
            <w:tcW w:w="770"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rsidR="00B555FF" w:rsidRDefault="00B555FF"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bl>
    <w:p w:rsidR="00B555FF" w:rsidRDefault="00B555FF" w:rsidP="00B555FF">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Source:</w:t>
      </w:r>
      <w:r>
        <w:rPr>
          <w:rFonts w:ascii="Times New Roman" w:eastAsia="Times New Roman" w:hAnsi="Times New Roman" w:cs="Times New Roman"/>
          <w:sz w:val="24"/>
          <w:szCs w:val="24"/>
          <w:highlight w:val="white"/>
        </w:rPr>
        <w:t xml:space="preserve"> Compiled by author from Annual Report 2015-16 of respective Banks (2016)</w:t>
      </w:r>
    </w:p>
    <w:p w:rsidR="006A0D9D" w:rsidRPr="006A0D9D" w:rsidRDefault="006A0D9D" w:rsidP="006A0D9D">
      <w:pPr>
        <w:spacing w:line="360" w:lineRule="auto"/>
        <w:rPr>
          <w:rFonts w:ascii="Times New Roman" w:hAnsi="Times New Roman" w:cs="Times New Roman"/>
          <w:b/>
          <w:bCs/>
          <w:sz w:val="32"/>
          <w:szCs w:val="32"/>
        </w:rPr>
      </w:pPr>
      <w:r w:rsidRPr="006A0D9D">
        <w:rPr>
          <w:rFonts w:ascii="Times New Roman" w:hAnsi="Times New Roman" w:cs="Times New Roman"/>
          <w:b/>
          <w:bCs/>
          <w:sz w:val="32"/>
          <w:szCs w:val="32"/>
        </w:rPr>
        <w:t>Audit Committee Analysis (2015-16)</w:t>
      </w:r>
    </w:p>
    <w:p w:rsidR="006A0D9D" w:rsidRPr="006A0D9D" w:rsidRDefault="006A0D9D" w:rsidP="006A0D9D">
      <w:pPr>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Role: Ensures the accuracy, adequacy, and reliability of financial accounts.</w:t>
      </w:r>
    </w:p>
    <w:p w:rsidR="006A0D9D" w:rsidRPr="006A0D9D" w:rsidRDefault="006A0D9D" w:rsidP="006A0D9D">
      <w:pPr>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Meeting Requirement: At least four times a year.</w:t>
      </w:r>
    </w:p>
    <w:p w:rsidR="006A0D9D" w:rsidRPr="006A0D9D" w:rsidRDefault="006A0D9D" w:rsidP="006A0D9D">
      <w:pPr>
        <w:spacing w:line="276" w:lineRule="auto"/>
        <w:ind w:left="720"/>
        <w:jc w:val="both"/>
        <w:rPr>
          <w:rFonts w:ascii="Times New Roman" w:hAnsi="Times New Roman" w:cs="Times New Roman"/>
          <w:b/>
          <w:bCs/>
          <w:sz w:val="24"/>
          <w:szCs w:val="24"/>
        </w:rPr>
      </w:pPr>
      <w:r w:rsidRPr="006A0D9D">
        <w:rPr>
          <w:rFonts w:ascii="Times New Roman" w:hAnsi="Times New Roman" w:cs="Times New Roman"/>
          <w:b/>
          <w:bCs/>
          <w:sz w:val="24"/>
          <w:szCs w:val="24"/>
        </w:rPr>
        <w:t>Key Findings:</w:t>
      </w:r>
    </w:p>
    <w:p w:rsidR="006A0D9D" w:rsidRPr="006A0D9D" w:rsidRDefault="006A0D9D" w:rsidP="006A0D9D">
      <w:pPr>
        <w:pStyle w:val="ListParagraph"/>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Highest Independence: ICICI (100% independent directors), SBI (50%).</w:t>
      </w:r>
    </w:p>
    <w:p w:rsidR="006A0D9D" w:rsidRPr="006A0D9D" w:rsidRDefault="006A0D9D" w:rsidP="006A0D9D">
      <w:pPr>
        <w:pStyle w:val="ListParagraph"/>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Lowest Independence: LVB (50%), PNB (20%).</w:t>
      </w:r>
    </w:p>
    <w:p w:rsidR="006A0D9D" w:rsidRDefault="006A0D9D" w:rsidP="006A0D9D">
      <w:pPr>
        <w:pStyle w:val="ListParagraph"/>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Most Meetings: Bank of Baroda with 12 meetings per year.</w:t>
      </w:r>
    </w:p>
    <w:p w:rsidR="006A0D9D" w:rsidRPr="006A0D9D" w:rsidRDefault="006A0D9D" w:rsidP="006A0D9D">
      <w:pPr>
        <w:spacing w:line="276" w:lineRule="auto"/>
        <w:jc w:val="both"/>
        <w:rPr>
          <w:rFonts w:ascii="Times New Roman" w:hAnsi="Times New Roman" w:cs="Times New Roman"/>
          <w:b/>
          <w:bCs/>
          <w:sz w:val="32"/>
          <w:szCs w:val="32"/>
        </w:rPr>
      </w:pPr>
      <w:r w:rsidRPr="006A0D9D">
        <w:rPr>
          <w:rFonts w:ascii="Times New Roman" w:hAnsi="Times New Roman" w:cs="Times New Roman"/>
          <w:b/>
          <w:bCs/>
          <w:sz w:val="32"/>
          <w:szCs w:val="32"/>
        </w:rPr>
        <w:t>Risk Management Committee Analysis (2015-16)</w:t>
      </w:r>
    </w:p>
    <w:p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Role: Assists the board in identifying, assessing, and mitigating key, operational, and external risks.</w:t>
      </w:r>
    </w:p>
    <w:p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Key Findings:</w:t>
      </w:r>
    </w:p>
    <w:p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 xml:space="preserve">Highest Independence in </w:t>
      </w:r>
      <w:proofErr w:type="spellStart"/>
      <w:r w:rsidRPr="006A0D9D">
        <w:rPr>
          <w:rFonts w:ascii="Times New Roman" w:hAnsi="Times New Roman" w:cs="Times New Roman"/>
          <w:sz w:val="24"/>
          <w:szCs w:val="24"/>
        </w:rPr>
        <w:t>PvSB</w:t>
      </w:r>
      <w:proofErr w:type="spellEnd"/>
      <w:r w:rsidRPr="006A0D9D">
        <w:rPr>
          <w:rFonts w:ascii="Times New Roman" w:hAnsi="Times New Roman" w:cs="Times New Roman"/>
          <w:sz w:val="24"/>
          <w:szCs w:val="24"/>
        </w:rPr>
        <w:t>: DCBL with 80% independent directors.</w:t>
      </w:r>
    </w:p>
    <w:p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 xml:space="preserve">Highest Independence in </w:t>
      </w:r>
      <w:proofErr w:type="spellStart"/>
      <w:r w:rsidRPr="006A0D9D">
        <w:rPr>
          <w:rFonts w:ascii="Times New Roman" w:hAnsi="Times New Roman" w:cs="Times New Roman"/>
          <w:sz w:val="24"/>
          <w:szCs w:val="24"/>
        </w:rPr>
        <w:t>PuSB</w:t>
      </w:r>
      <w:proofErr w:type="spellEnd"/>
      <w:r w:rsidRPr="006A0D9D">
        <w:rPr>
          <w:rFonts w:ascii="Times New Roman" w:hAnsi="Times New Roman" w:cs="Times New Roman"/>
          <w:sz w:val="24"/>
          <w:szCs w:val="24"/>
        </w:rPr>
        <w:t>: SBI with 50% independent directors.</w:t>
      </w:r>
    </w:p>
    <w:p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Lowest Independence: LVB (33%), PNB (17%).</w:t>
      </w:r>
    </w:p>
    <w:p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Most Meetings: ICICI held the highest number of meetings during the year.</w:t>
      </w:r>
    </w:p>
    <w:p w:rsidR="008309E2" w:rsidRDefault="008309E2" w:rsidP="006A0D9D">
      <w:pPr>
        <w:spacing w:line="240" w:lineRule="auto"/>
        <w:jc w:val="both"/>
        <w:rPr>
          <w:rFonts w:ascii="Times New Roman" w:eastAsia="Times New Roman" w:hAnsi="Times New Roman" w:cs="Times New Roman"/>
          <w:b/>
          <w:sz w:val="32"/>
          <w:szCs w:val="32"/>
          <w:highlight w:val="white"/>
        </w:rPr>
      </w:pPr>
    </w:p>
    <w:p w:rsidR="008309E2" w:rsidRDefault="008309E2" w:rsidP="006A0D9D">
      <w:pPr>
        <w:spacing w:line="240" w:lineRule="auto"/>
        <w:jc w:val="both"/>
        <w:rPr>
          <w:rFonts w:ascii="Times New Roman" w:eastAsia="Times New Roman" w:hAnsi="Times New Roman" w:cs="Times New Roman"/>
          <w:b/>
          <w:sz w:val="32"/>
          <w:szCs w:val="32"/>
          <w:highlight w:val="white"/>
        </w:rPr>
      </w:pPr>
    </w:p>
    <w:p w:rsidR="008309E2" w:rsidRDefault="008309E2" w:rsidP="006A0D9D">
      <w:pPr>
        <w:spacing w:line="240" w:lineRule="auto"/>
        <w:jc w:val="both"/>
        <w:rPr>
          <w:rFonts w:ascii="Times New Roman" w:eastAsia="Times New Roman" w:hAnsi="Times New Roman" w:cs="Times New Roman"/>
          <w:b/>
          <w:sz w:val="32"/>
          <w:szCs w:val="32"/>
          <w:highlight w:val="white"/>
        </w:rPr>
      </w:pPr>
    </w:p>
    <w:p w:rsidR="008309E2" w:rsidRDefault="008309E2" w:rsidP="006A0D9D">
      <w:pPr>
        <w:spacing w:line="240" w:lineRule="auto"/>
        <w:jc w:val="both"/>
        <w:rPr>
          <w:rFonts w:ascii="Times New Roman" w:eastAsia="Times New Roman" w:hAnsi="Times New Roman" w:cs="Times New Roman"/>
          <w:b/>
          <w:sz w:val="32"/>
          <w:szCs w:val="32"/>
          <w:highlight w:val="white"/>
        </w:rPr>
      </w:pPr>
    </w:p>
    <w:p w:rsidR="008309E2" w:rsidRDefault="008309E2" w:rsidP="006A0D9D">
      <w:pPr>
        <w:spacing w:line="240" w:lineRule="auto"/>
        <w:jc w:val="both"/>
        <w:rPr>
          <w:rFonts w:ascii="Times New Roman" w:eastAsia="Times New Roman" w:hAnsi="Times New Roman" w:cs="Times New Roman"/>
          <w:b/>
          <w:sz w:val="32"/>
          <w:szCs w:val="32"/>
          <w:highlight w:val="white"/>
        </w:rPr>
      </w:pPr>
    </w:p>
    <w:p w:rsidR="006A0D9D" w:rsidRPr="006A0D9D" w:rsidRDefault="006A0D9D" w:rsidP="006A0D9D">
      <w:pPr>
        <w:spacing w:line="240" w:lineRule="auto"/>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Table-III: Analysis of Audit Committee and Risk Management Committee</w:t>
      </w:r>
    </w:p>
    <w:tbl>
      <w:tblPr>
        <w:tblpPr w:leftFromText="180" w:rightFromText="180" w:vertAnchor="text" w:tblpY="1161"/>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67"/>
        <w:gridCol w:w="1009"/>
        <w:gridCol w:w="1073"/>
        <w:gridCol w:w="840"/>
        <w:gridCol w:w="844"/>
        <w:gridCol w:w="1074"/>
        <w:gridCol w:w="840"/>
        <w:gridCol w:w="840"/>
        <w:gridCol w:w="840"/>
      </w:tblGrid>
      <w:tr w:rsidR="006A0D9D" w:rsidTr="00172546">
        <w:trPr>
          <w:cantSplit/>
          <w:trHeight w:val="600"/>
        </w:trPr>
        <w:tc>
          <w:tcPr>
            <w:tcW w:w="2467" w:type="dxa"/>
            <w:vMerge w:val="restart"/>
          </w:tcPr>
          <w:p w:rsidR="006A0D9D" w:rsidRDefault="006A0D9D" w:rsidP="00172546">
            <w:pPr>
              <w:spacing w:line="360" w:lineRule="auto"/>
              <w:jc w:val="both"/>
              <w:rPr>
                <w:rFonts w:ascii="Times New Roman" w:eastAsia="Times New Roman" w:hAnsi="Times New Roman" w:cs="Times New Roman"/>
                <w:b/>
                <w:sz w:val="24"/>
                <w:szCs w:val="24"/>
                <w:highlight w:val="white"/>
              </w:rPr>
            </w:pPr>
          </w:p>
          <w:p w:rsidR="006A0D9D" w:rsidRDefault="006A0D9D" w:rsidP="00172546">
            <w:pPr>
              <w:spacing w:line="360" w:lineRule="auto"/>
              <w:jc w:val="both"/>
              <w:rPr>
                <w:rFonts w:ascii="Times New Roman" w:eastAsia="Times New Roman" w:hAnsi="Times New Roman" w:cs="Times New Roman"/>
                <w:b/>
                <w:sz w:val="24"/>
                <w:szCs w:val="24"/>
                <w:highlight w:val="white"/>
              </w:rPr>
            </w:pPr>
          </w:p>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3766" w:type="dxa"/>
            <w:gridSpan w:val="4"/>
          </w:tcPr>
          <w:p w:rsidR="006A0D9D" w:rsidRDefault="006A0D9D"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Audit Committee</w:t>
            </w:r>
          </w:p>
        </w:tc>
        <w:tc>
          <w:tcPr>
            <w:tcW w:w="3594" w:type="dxa"/>
            <w:gridSpan w:val="4"/>
          </w:tcPr>
          <w:p w:rsidR="006A0D9D" w:rsidRDefault="006A0D9D"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Risk Management Committee</w:t>
            </w:r>
          </w:p>
        </w:tc>
      </w:tr>
      <w:tr w:rsidR="006A0D9D" w:rsidTr="00172546">
        <w:trPr>
          <w:cantSplit/>
          <w:trHeight w:val="600"/>
        </w:trPr>
        <w:tc>
          <w:tcPr>
            <w:tcW w:w="2467" w:type="dxa"/>
            <w:vMerge/>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3766" w:type="dxa"/>
            <w:gridSpan w:val="4"/>
          </w:tcPr>
          <w:p w:rsidR="006A0D9D" w:rsidRDefault="006A0D9D" w:rsidP="00172546">
            <w:pPr>
              <w:spacing w:line="360" w:lineRule="auto"/>
              <w:jc w:val="center"/>
              <w:rPr>
                <w:rFonts w:ascii="Times New Roman" w:eastAsia="Times New Roman" w:hAnsi="Times New Roman" w:cs="Times New Roman"/>
                <w:b/>
                <w:sz w:val="24"/>
                <w:szCs w:val="24"/>
                <w:highlight w:val="white"/>
              </w:rPr>
            </w:pPr>
          </w:p>
        </w:tc>
        <w:tc>
          <w:tcPr>
            <w:tcW w:w="3594" w:type="dxa"/>
            <w:gridSpan w:val="4"/>
          </w:tcPr>
          <w:p w:rsidR="006A0D9D" w:rsidRDefault="006A0D9D" w:rsidP="00172546">
            <w:pPr>
              <w:spacing w:line="360" w:lineRule="auto"/>
              <w:jc w:val="center"/>
              <w:rPr>
                <w:rFonts w:ascii="Times New Roman" w:eastAsia="Times New Roman" w:hAnsi="Times New Roman" w:cs="Times New Roman"/>
                <w:b/>
                <w:sz w:val="24"/>
                <w:szCs w:val="24"/>
                <w:highlight w:val="white"/>
              </w:rPr>
            </w:pPr>
          </w:p>
        </w:tc>
      </w:tr>
      <w:tr w:rsidR="006A0D9D" w:rsidTr="00172546">
        <w:trPr>
          <w:cantSplit/>
          <w:trHeight w:val="2344"/>
        </w:trPr>
        <w:tc>
          <w:tcPr>
            <w:tcW w:w="2467" w:type="dxa"/>
            <w:vMerge/>
          </w:tcPr>
          <w:p w:rsidR="006A0D9D" w:rsidRDefault="006A0D9D" w:rsidP="00172546">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1009" w:type="dxa"/>
          </w:tcPr>
          <w:p w:rsidR="006A0D9D" w:rsidRDefault="006A0D9D"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 Directors</w:t>
            </w:r>
          </w:p>
        </w:tc>
        <w:tc>
          <w:tcPr>
            <w:tcW w:w="1073" w:type="dxa"/>
          </w:tcPr>
          <w:p w:rsidR="006A0D9D" w:rsidRDefault="006A0D9D"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ID</w:t>
            </w:r>
          </w:p>
        </w:tc>
        <w:tc>
          <w:tcPr>
            <w:tcW w:w="840" w:type="dxa"/>
          </w:tcPr>
          <w:p w:rsidR="006A0D9D" w:rsidRDefault="006A0D9D"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ED</w:t>
            </w:r>
          </w:p>
        </w:tc>
        <w:tc>
          <w:tcPr>
            <w:tcW w:w="844" w:type="dxa"/>
          </w:tcPr>
          <w:p w:rsidR="006A0D9D" w:rsidRDefault="006A0D9D" w:rsidP="00172546">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Meeting</w:t>
            </w:r>
          </w:p>
        </w:tc>
        <w:tc>
          <w:tcPr>
            <w:tcW w:w="1074" w:type="dxa"/>
          </w:tcPr>
          <w:p w:rsidR="006A0D9D" w:rsidRDefault="006A0D9D" w:rsidP="00172546">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 xml:space="preserve">No of meeting </w:t>
            </w:r>
          </w:p>
        </w:tc>
        <w:tc>
          <w:tcPr>
            <w:tcW w:w="840" w:type="dxa"/>
          </w:tcPr>
          <w:p w:rsidR="006A0D9D" w:rsidRDefault="006A0D9D" w:rsidP="00172546">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No of meeting</w:t>
            </w:r>
          </w:p>
        </w:tc>
        <w:tc>
          <w:tcPr>
            <w:tcW w:w="840" w:type="dxa"/>
          </w:tcPr>
          <w:p w:rsidR="006A0D9D" w:rsidRDefault="006A0D9D" w:rsidP="00172546">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No of meeting</w:t>
            </w:r>
          </w:p>
        </w:tc>
        <w:tc>
          <w:tcPr>
            <w:tcW w:w="840" w:type="dxa"/>
          </w:tcPr>
          <w:p w:rsidR="006A0D9D" w:rsidRDefault="006A0D9D" w:rsidP="00172546">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No of meeting</w:t>
            </w:r>
          </w:p>
        </w:tc>
      </w:tr>
      <w:tr w:rsidR="006A0D9D" w:rsidTr="00172546">
        <w:tc>
          <w:tcPr>
            <w:tcW w:w="2467" w:type="dxa"/>
          </w:tcPr>
          <w:p w:rsidR="006A0D9D" w:rsidRDefault="006A0D9D" w:rsidP="00172546">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r>
      <w:tr w:rsidR="006A0D9D" w:rsidTr="00172546">
        <w:tc>
          <w:tcPr>
            <w:tcW w:w="2467" w:type="dxa"/>
          </w:tcPr>
          <w:p w:rsidR="006A0D9D" w:rsidRDefault="006A0D9D"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Dhan Laxmi Bank Ltd</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rsidTr="00172546">
        <w:trPr>
          <w:trHeight w:val="345"/>
        </w:trPr>
        <w:tc>
          <w:tcPr>
            <w:tcW w:w="2467" w:type="dxa"/>
          </w:tcPr>
          <w:p w:rsidR="006A0D9D" w:rsidRDefault="006A0D9D"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DCB Bank Ltd.</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rsidTr="00172546">
        <w:tc>
          <w:tcPr>
            <w:tcW w:w="2467" w:type="dxa"/>
          </w:tcPr>
          <w:p w:rsidR="006A0D9D" w:rsidRDefault="006A0D9D"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ICICI Bank </w:t>
            </w:r>
            <w:proofErr w:type="spellStart"/>
            <w:r>
              <w:rPr>
                <w:rFonts w:ascii="Times New Roman" w:eastAsia="Times New Roman" w:hAnsi="Times New Roman" w:cs="Times New Roman"/>
                <w:sz w:val="24"/>
                <w:szCs w:val="24"/>
              </w:rPr>
              <w:t>Bank</w:t>
            </w:r>
            <w:proofErr w:type="spellEnd"/>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r>
      <w:tr w:rsidR="006A0D9D" w:rsidTr="00172546">
        <w:trPr>
          <w:trHeight w:val="592"/>
        </w:trPr>
        <w:tc>
          <w:tcPr>
            <w:tcW w:w="2467" w:type="dxa"/>
          </w:tcPr>
          <w:p w:rsidR="006A0D9D" w:rsidRDefault="006A0D9D"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Axis Bank Ltd.</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r>
      <w:tr w:rsidR="006A0D9D" w:rsidTr="00172546">
        <w:trPr>
          <w:trHeight w:val="612"/>
        </w:trPr>
        <w:tc>
          <w:tcPr>
            <w:tcW w:w="2467" w:type="dxa"/>
          </w:tcPr>
          <w:p w:rsidR="006A0D9D" w:rsidRDefault="006A0D9D"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Laxmi Vilas Bank Ltd.</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rsidTr="00172546">
        <w:tc>
          <w:tcPr>
            <w:tcW w:w="2467" w:type="dxa"/>
          </w:tcPr>
          <w:p w:rsidR="006A0D9D" w:rsidRDefault="006A0D9D"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Public Sector Bank</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p>
        </w:tc>
      </w:tr>
      <w:tr w:rsidR="006A0D9D" w:rsidTr="00172546">
        <w:tc>
          <w:tcPr>
            <w:tcW w:w="2467" w:type="dxa"/>
          </w:tcPr>
          <w:p w:rsidR="006A0D9D" w:rsidRDefault="006A0D9D" w:rsidP="0017254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State bank of India</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rsidTr="00172546">
        <w:trPr>
          <w:trHeight w:val="642"/>
        </w:trPr>
        <w:tc>
          <w:tcPr>
            <w:tcW w:w="2467" w:type="dxa"/>
          </w:tcPr>
          <w:p w:rsidR="006A0D9D" w:rsidRDefault="006A0D9D"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r>
      <w:tr w:rsidR="006A0D9D" w:rsidTr="00172546">
        <w:tc>
          <w:tcPr>
            <w:tcW w:w="2467" w:type="dxa"/>
          </w:tcPr>
          <w:p w:rsidR="006A0D9D" w:rsidRDefault="006A0D9D"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rsidTr="00172546">
        <w:tc>
          <w:tcPr>
            <w:tcW w:w="2467" w:type="dxa"/>
          </w:tcPr>
          <w:p w:rsidR="006A0D9D" w:rsidRDefault="006A0D9D"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r>
      <w:tr w:rsidR="006A0D9D" w:rsidTr="00172546">
        <w:tc>
          <w:tcPr>
            <w:tcW w:w="2467" w:type="dxa"/>
          </w:tcPr>
          <w:p w:rsidR="006A0D9D" w:rsidRDefault="006A0D9D"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1009"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1073"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1074"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40" w:type="dxa"/>
          </w:tcPr>
          <w:p w:rsidR="006A0D9D" w:rsidRDefault="006A0D9D"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r>
    </w:tbl>
    <w:p w:rsidR="00EA7C21" w:rsidRPr="00EA7C21" w:rsidRDefault="00EA7C21" w:rsidP="006A0D9D">
      <w:pPr>
        <w:spacing w:line="240" w:lineRule="auto"/>
        <w:jc w:val="both"/>
        <w:rPr>
          <w:rFonts w:ascii="Times New Roman" w:hAnsi="Times New Roman" w:cs="Times New Roman"/>
          <w:vanish/>
        </w:rPr>
      </w:pPr>
    </w:p>
    <w:p w:rsidR="00EA7C21" w:rsidRPr="00EA7C21" w:rsidRDefault="00EA7C21" w:rsidP="006A0D9D">
      <w:pPr>
        <w:spacing w:line="240" w:lineRule="auto"/>
        <w:jc w:val="both"/>
        <w:rPr>
          <w:rFonts w:ascii="Times New Roman" w:hAnsi="Times New Roman" w:cs="Times New Roman"/>
        </w:rPr>
      </w:pPr>
    </w:p>
    <w:p w:rsidR="00EF20D1" w:rsidRPr="00EF20D1" w:rsidRDefault="00EF20D1" w:rsidP="00EF20D1">
      <w:pPr>
        <w:spacing w:line="240" w:lineRule="auto"/>
        <w:jc w:val="both"/>
        <w:rPr>
          <w:rFonts w:ascii="Times New Roman" w:hAnsi="Times New Roman" w:cs="Times New Roman"/>
          <w:b/>
          <w:bCs/>
          <w:sz w:val="32"/>
          <w:szCs w:val="32"/>
        </w:rPr>
      </w:pPr>
      <w:r w:rsidRPr="00EF20D1">
        <w:rPr>
          <w:rFonts w:ascii="Times New Roman" w:hAnsi="Times New Roman" w:cs="Times New Roman"/>
          <w:b/>
          <w:bCs/>
          <w:sz w:val="32"/>
          <w:szCs w:val="32"/>
        </w:rPr>
        <w:t>Stakeholder Relations Committee Analysis</w:t>
      </w:r>
    </w:p>
    <w:p w:rsidR="00EF20D1" w:rsidRPr="00EF20D1" w:rsidRDefault="00EF20D1" w:rsidP="00EF20D1">
      <w:pPr>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Role:</w:t>
      </w:r>
      <w:r w:rsidRPr="00EF20D1">
        <w:rPr>
          <w:rFonts w:ascii="Times New Roman" w:hAnsi="Times New Roman" w:cs="Times New Roman"/>
        </w:rPr>
        <w:t xml:space="preserve"> Manages shareholder relations, including share recognition, transfer, and handling shareholder queries/complaints.</w:t>
      </w:r>
    </w:p>
    <w:p w:rsidR="00EF20D1" w:rsidRPr="00EF20D1" w:rsidRDefault="00EF20D1" w:rsidP="00EF20D1">
      <w:pPr>
        <w:spacing w:line="240" w:lineRule="auto"/>
        <w:ind w:left="720"/>
        <w:jc w:val="both"/>
        <w:rPr>
          <w:rFonts w:ascii="Times New Roman" w:hAnsi="Times New Roman" w:cs="Times New Roman"/>
        </w:rPr>
      </w:pPr>
      <w:r w:rsidRPr="00EF20D1">
        <w:rPr>
          <w:rFonts w:ascii="Times New Roman" w:hAnsi="Times New Roman" w:cs="Times New Roman"/>
          <w:b/>
          <w:bCs/>
        </w:rPr>
        <w:t>Key Findings:</w:t>
      </w:r>
    </w:p>
    <w:p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 xml:space="preserve">Highest Independence in </w:t>
      </w:r>
      <w:proofErr w:type="spellStart"/>
      <w:r w:rsidRPr="00EF20D1">
        <w:rPr>
          <w:rFonts w:ascii="Times New Roman" w:hAnsi="Times New Roman" w:cs="Times New Roman"/>
          <w:b/>
          <w:bCs/>
        </w:rPr>
        <w:t>PvSB</w:t>
      </w:r>
      <w:proofErr w:type="spellEnd"/>
      <w:r w:rsidRPr="00EF20D1">
        <w:rPr>
          <w:rFonts w:ascii="Times New Roman" w:hAnsi="Times New Roman" w:cs="Times New Roman"/>
          <w:b/>
          <w:bCs/>
        </w:rPr>
        <w:t>:</w:t>
      </w:r>
      <w:r w:rsidRPr="00EF20D1">
        <w:rPr>
          <w:rFonts w:ascii="Times New Roman" w:hAnsi="Times New Roman" w:cs="Times New Roman"/>
        </w:rPr>
        <w:t xml:space="preserve"> DCBL with 100% independent directors.</w:t>
      </w:r>
    </w:p>
    <w:p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 xml:space="preserve">Highest Independence in </w:t>
      </w:r>
      <w:proofErr w:type="spellStart"/>
      <w:r w:rsidRPr="00EF20D1">
        <w:rPr>
          <w:rFonts w:ascii="Times New Roman" w:hAnsi="Times New Roman" w:cs="Times New Roman"/>
          <w:b/>
          <w:bCs/>
        </w:rPr>
        <w:t>PuSB</w:t>
      </w:r>
      <w:proofErr w:type="spellEnd"/>
      <w:r w:rsidRPr="00EF20D1">
        <w:rPr>
          <w:rFonts w:ascii="Times New Roman" w:hAnsi="Times New Roman" w:cs="Times New Roman"/>
          <w:b/>
          <w:bCs/>
        </w:rPr>
        <w:t>:</w:t>
      </w:r>
      <w:r w:rsidRPr="00EF20D1">
        <w:rPr>
          <w:rFonts w:ascii="Times New Roman" w:hAnsi="Times New Roman" w:cs="Times New Roman"/>
        </w:rPr>
        <w:t xml:space="preserve"> SBI and UBI, both with 60% independent directors.</w:t>
      </w:r>
    </w:p>
    <w:p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lastRenderedPageBreak/>
        <w:t>Lowest Independence:</w:t>
      </w:r>
      <w:r w:rsidRPr="00EF20D1">
        <w:rPr>
          <w:rFonts w:ascii="Times New Roman" w:hAnsi="Times New Roman" w:cs="Times New Roman"/>
        </w:rPr>
        <w:t xml:space="preserve"> DBL (33%), PNB (25%).</w:t>
      </w:r>
    </w:p>
    <w:p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Most Meetings:</w:t>
      </w:r>
      <w:r w:rsidRPr="00EF20D1">
        <w:rPr>
          <w:rFonts w:ascii="Times New Roman" w:hAnsi="Times New Roman" w:cs="Times New Roman"/>
        </w:rPr>
        <w:t xml:space="preserve"> PNB held the highest number of committee meetings among all the banks studied.</w:t>
      </w:r>
    </w:p>
    <w:p w:rsidR="00EF20D1" w:rsidRPr="00EF20D1" w:rsidRDefault="00EF20D1" w:rsidP="00EF20D1">
      <w:pPr>
        <w:spacing w:line="240" w:lineRule="auto"/>
        <w:jc w:val="both"/>
        <w:rPr>
          <w:rFonts w:ascii="Times New Roman" w:hAnsi="Times New Roman" w:cs="Times New Roman"/>
          <w:b/>
          <w:bCs/>
          <w:sz w:val="32"/>
          <w:szCs w:val="32"/>
        </w:rPr>
      </w:pPr>
      <w:r w:rsidRPr="00EF20D1">
        <w:rPr>
          <w:rFonts w:ascii="Times New Roman" w:hAnsi="Times New Roman" w:cs="Times New Roman"/>
          <w:b/>
          <w:bCs/>
          <w:sz w:val="32"/>
          <w:szCs w:val="32"/>
        </w:rPr>
        <w:t>Corporate Social Responsibility (CSR) Committee Analysis</w:t>
      </w:r>
    </w:p>
    <w:p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Role: Oversees social sector development activities, ensuring compliance with the CSR policy under the Companies Act, 2013. Tasks include reviewing social activities, formulating policies, and monitoring implementation and compliance.</w:t>
      </w:r>
    </w:p>
    <w:p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Key Findings:</w:t>
      </w:r>
    </w:p>
    <w:p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 xml:space="preserve">Highest Independence in </w:t>
      </w:r>
      <w:proofErr w:type="spellStart"/>
      <w:r w:rsidRPr="00EF20D1">
        <w:rPr>
          <w:rFonts w:ascii="Times New Roman" w:hAnsi="Times New Roman" w:cs="Times New Roman"/>
        </w:rPr>
        <w:t>PvSB</w:t>
      </w:r>
      <w:proofErr w:type="spellEnd"/>
      <w:r w:rsidRPr="00EF20D1">
        <w:rPr>
          <w:rFonts w:ascii="Times New Roman" w:hAnsi="Times New Roman" w:cs="Times New Roman"/>
        </w:rPr>
        <w:t>: DCBL with 60% independent directors.</w:t>
      </w:r>
    </w:p>
    <w:p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 xml:space="preserve">Highest Independence in </w:t>
      </w:r>
      <w:proofErr w:type="spellStart"/>
      <w:r w:rsidRPr="00EF20D1">
        <w:rPr>
          <w:rFonts w:ascii="Times New Roman" w:hAnsi="Times New Roman" w:cs="Times New Roman"/>
        </w:rPr>
        <w:t>PuSB</w:t>
      </w:r>
      <w:proofErr w:type="spellEnd"/>
      <w:r w:rsidRPr="00EF20D1">
        <w:rPr>
          <w:rFonts w:ascii="Times New Roman" w:hAnsi="Times New Roman" w:cs="Times New Roman"/>
        </w:rPr>
        <w:t>: Only SBI has a CSR committee with 67% independent directors.</w:t>
      </w:r>
    </w:p>
    <w:p w:rsidR="005F5224"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Most Meetings: SBI and LVB held the highest number of CSR committee meetings among the selected banks.</w:t>
      </w:r>
    </w:p>
    <w:p w:rsidR="00EF20D1" w:rsidRPr="00EF20D1" w:rsidRDefault="00EF20D1" w:rsidP="00EF20D1">
      <w:pPr>
        <w:spacing w:line="360" w:lineRule="auto"/>
        <w:jc w:val="both"/>
        <w:rPr>
          <w:rFonts w:ascii="Times New Roman" w:eastAsia="Times New Roman" w:hAnsi="Times New Roman" w:cs="Times New Roman"/>
          <w:b/>
          <w:sz w:val="32"/>
          <w:szCs w:val="32"/>
        </w:rPr>
      </w:pPr>
      <w:r w:rsidRPr="00EF20D1">
        <w:rPr>
          <w:rFonts w:ascii="Times New Roman" w:eastAsia="Times New Roman" w:hAnsi="Times New Roman" w:cs="Times New Roman"/>
          <w:b/>
          <w:sz w:val="32"/>
          <w:szCs w:val="32"/>
        </w:rPr>
        <w:t>Table-IV: Analysis of the Stakeholder Relationship Committee and CSR Committee</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097"/>
        <w:gridCol w:w="1001"/>
        <w:gridCol w:w="864"/>
        <w:gridCol w:w="851"/>
        <w:gridCol w:w="850"/>
        <w:gridCol w:w="992"/>
        <w:gridCol w:w="851"/>
        <w:gridCol w:w="850"/>
        <w:gridCol w:w="709"/>
      </w:tblGrid>
      <w:tr w:rsidR="00EF20D1" w:rsidTr="00EA4909">
        <w:trPr>
          <w:cantSplit/>
          <w:trHeight w:val="496"/>
        </w:trPr>
        <w:tc>
          <w:tcPr>
            <w:tcW w:w="3097" w:type="dxa"/>
            <w:vMerge w:val="restart"/>
          </w:tcPr>
          <w:p w:rsidR="00EF20D1" w:rsidRDefault="00EF20D1" w:rsidP="00172546">
            <w:pPr>
              <w:spacing w:line="360" w:lineRule="auto"/>
              <w:jc w:val="both"/>
              <w:rPr>
                <w:rFonts w:ascii="Times New Roman" w:eastAsia="Times New Roman" w:hAnsi="Times New Roman" w:cs="Times New Roman"/>
                <w:b/>
                <w:sz w:val="24"/>
                <w:szCs w:val="24"/>
                <w:highlight w:val="white"/>
              </w:rPr>
            </w:pPr>
          </w:p>
          <w:p w:rsidR="00EF20D1" w:rsidRDefault="00EF20D1" w:rsidP="00172546">
            <w:pPr>
              <w:spacing w:line="360" w:lineRule="auto"/>
              <w:jc w:val="both"/>
              <w:rPr>
                <w:rFonts w:ascii="Times New Roman" w:eastAsia="Times New Roman" w:hAnsi="Times New Roman" w:cs="Times New Roman"/>
                <w:b/>
                <w:sz w:val="24"/>
                <w:szCs w:val="24"/>
                <w:highlight w:val="white"/>
              </w:rPr>
            </w:pPr>
          </w:p>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3566" w:type="dxa"/>
            <w:gridSpan w:val="4"/>
          </w:tcPr>
          <w:p w:rsidR="00EF20D1" w:rsidRDefault="00EF20D1"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Stakeholder Relationship Committee</w:t>
            </w:r>
          </w:p>
        </w:tc>
        <w:tc>
          <w:tcPr>
            <w:tcW w:w="3402" w:type="dxa"/>
            <w:gridSpan w:val="4"/>
          </w:tcPr>
          <w:p w:rsidR="00EF20D1" w:rsidRDefault="00EF20D1"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CSR Committee</w:t>
            </w:r>
          </w:p>
        </w:tc>
      </w:tr>
      <w:tr w:rsidR="00EA4909" w:rsidTr="00EA4909">
        <w:trPr>
          <w:cantSplit/>
          <w:trHeight w:val="1938"/>
        </w:trPr>
        <w:tc>
          <w:tcPr>
            <w:tcW w:w="3097" w:type="dxa"/>
            <w:vMerge/>
          </w:tcPr>
          <w:p w:rsidR="00EF20D1" w:rsidRDefault="00EF20D1" w:rsidP="00172546">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1001"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Numbers of Members</w:t>
            </w:r>
          </w:p>
        </w:tc>
        <w:tc>
          <w:tcPr>
            <w:tcW w:w="864"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ID</w:t>
            </w:r>
          </w:p>
        </w:tc>
        <w:tc>
          <w:tcPr>
            <w:tcW w:w="851"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ED</w:t>
            </w:r>
          </w:p>
        </w:tc>
        <w:tc>
          <w:tcPr>
            <w:tcW w:w="850"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c>
          <w:tcPr>
            <w:tcW w:w="992"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 xml:space="preserve">No of meeting </w:t>
            </w:r>
          </w:p>
        </w:tc>
        <w:tc>
          <w:tcPr>
            <w:tcW w:w="851"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c>
          <w:tcPr>
            <w:tcW w:w="850"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c>
          <w:tcPr>
            <w:tcW w:w="709" w:type="dxa"/>
          </w:tcPr>
          <w:p w:rsidR="00EF20D1" w:rsidRPr="00EF20D1" w:rsidRDefault="00EF20D1" w:rsidP="00172546">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r>
      <w:tr w:rsidR="00EA4909" w:rsidTr="00EA4909">
        <w:trPr>
          <w:trHeight w:val="471"/>
        </w:trPr>
        <w:tc>
          <w:tcPr>
            <w:tcW w:w="3097" w:type="dxa"/>
          </w:tcPr>
          <w:p w:rsidR="00EF20D1" w:rsidRDefault="00EF20D1" w:rsidP="00172546">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r>
      <w:tr w:rsidR="00EA4909" w:rsidTr="00EA4909">
        <w:trPr>
          <w:trHeight w:val="471"/>
        </w:trPr>
        <w:tc>
          <w:tcPr>
            <w:tcW w:w="3097" w:type="dxa"/>
          </w:tcPr>
          <w:p w:rsidR="00EF20D1" w:rsidRDefault="00EF20D1"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Dhan Laxmi Bank Ltd</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r>
      <w:tr w:rsidR="00EA4909" w:rsidTr="00EA4909">
        <w:trPr>
          <w:trHeight w:val="285"/>
        </w:trPr>
        <w:tc>
          <w:tcPr>
            <w:tcW w:w="3097" w:type="dxa"/>
          </w:tcPr>
          <w:p w:rsidR="00EF20D1" w:rsidRDefault="00EF20D1"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DCB Bank Ltd.</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r>
      <w:tr w:rsidR="00EA4909" w:rsidTr="00EA4909">
        <w:trPr>
          <w:trHeight w:val="471"/>
        </w:trPr>
        <w:tc>
          <w:tcPr>
            <w:tcW w:w="3097" w:type="dxa"/>
          </w:tcPr>
          <w:p w:rsidR="00EF20D1" w:rsidRDefault="00EF20D1"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ICICI Bank </w:t>
            </w:r>
            <w:proofErr w:type="spellStart"/>
            <w:r>
              <w:rPr>
                <w:rFonts w:ascii="Times New Roman" w:eastAsia="Times New Roman" w:hAnsi="Times New Roman" w:cs="Times New Roman"/>
                <w:sz w:val="24"/>
                <w:szCs w:val="24"/>
              </w:rPr>
              <w:t>Bank</w:t>
            </w:r>
            <w:proofErr w:type="spellEnd"/>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r>
      <w:tr w:rsidR="00EA4909" w:rsidTr="00EA4909">
        <w:trPr>
          <w:trHeight w:val="489"/>
        </w:trPr>
        <w:tc>
          <w:tcPr>
            <w:tcW w:w="3097" w:type="dxa"/>
          </w:tcPr>
          <w:p w:rsidR="00EF20D1" w:rsidRDefault="00EF20D1"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Axis Bank Ltd.</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r>
      <w:tr w:rsidR="00EA4909" w:rsidTr="00EA4909">
        <w:trPr>
          <w:trHeight w:val="506"/>
        </w:trPr>
        <w:tc>
          <w:tcPr>
            <w:tcW w:w="3097" w:type="dxa"/>
          </w:tcPr>
          <w:p w:rsidR="00EF20D1" w:rsidRDefault="00EF20D1"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Laxmi Vilas Bank Ltd.</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EA4909" w:rsidTr="00EA4909">
        <w:trPr>
          <w:trHeight w:val="471"/>
        </w:trPr>
        <w:tc>
          <w:tcPr>
            <w:tcW w:w="3097" w:type="dxa"/>
          </w:tcPr>
          <w:p w:rsidR="00EF20D1" w:rsidRDefault="00EF20D1" w:rsidP="00172546">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Public Sector Bank</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r>
      <w:tr w:rsidR="00EA4909" w:rsidTr="00EA4909">
        <w:trPr>
          <w:trHeight w:val="471"/>
        </w:trPr>
        <w:tc>
          <w:tcPr>
            <w:tcW w:w="3097" w:type="dxa"/>
          </w:tcPr>
          <w:p w:rsidR="00EF20D1" w:rsidRDefault="00EF20D1" w:rsidP="00172546">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State bank of India</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EA4909" w:rsidTr="00EA4909">
        <w:trPr>
          <w:trHeight w:val="530"/>
        </w:trPr>
        <w:tc>
          <w:tcPr>
            <w:tcW w:w="3097" w:type="dxa"/>
          </w:tcPr>
          <w:p w:rsidR="00EF20D1" w:rsidRDefault="00EF20D1"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r>
      <w:tr w:rsidR="00EA4909" w:rsidTr="00EA4909">
        <w:trPr>
          <w:trHeight w:val="471"/>
        </w:trPr>
        <w:tc>
          <w:tcPr>
            <w:tcW w:w="3097" w:type="dxa"/>
          </w:tcPr>
          <w:p w:rsidR="00EF20D1" w:rsidRDefault="00EF20D1"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Punjab National Bank</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r>
      <w:tr w:rsidR="00EA4909" w:rsidTr="00EA4909">
        <w:trPr>
          <w:trHeight w:val="471"/>
        </w:trPr>
        <w:tc>
          <w:tcPr>
            <w:tcW w:w="3097" w:type="dxa"/>
          </w:tcPr>
          <w:p w:rsidR="00EF20D1" w:rsidRDefault="00EF20D1"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p>
        </w:tc>
      </w:tr>
      <w:tr w:rsidR="00EA4909" w:rsidTr="00EA4909">
        <w:trPr>
          <w:trHeight w:val="459"/>
        </w:trPr>
        <w:tc>
          <w:tcPr>
            <w:tcW w:w="3097" w:type="dxa"/>
          </w:tcPr>
          <w:p w:rsidR="00EF20D1" w:rsidRDefault="00EF20D1" w:rsidP="00172546">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100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50"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709" w:type="dxa"/>
          </w:tcPr>
          <w:p w:rsidR="00EF20D1" w:rsidRDefault="00EF20D1" w:rsidP="00172546">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r>
    </w:tbl>
    <w:p w:rsidR="005F5224" w:rsidRDefault="00EF20D1" w:rsidP="00EA4909">
      <w:pPr>
        <w:spacing w:line="360" w:lineRule="auto"/>
        <w:jc w:val="both"/>
        <w:rPr>
          <w:rFonts w:ascii="Times New Roman" w:eastAsia="Times New Roman" w:hAnsi="Times New Roman" w:cs="Times New Roman"/>
          <w:sz w:val="24"/>
          <w:szCs w:val="24"/>
        </w:rPr>
      </w:pPr>
      <w:r w:rsidRPr="00EA4909">
        <w:rPr>
          <w:rFonts w:ascii="Times New Roman" w:eastAsia="Times New Roman" w:hAnsi="Times New Roman" w:cs="Times New Roman"/>
          <w:b/>
          <w:sz w:val="24"/>
          <w:szCs w:val="24"/>
        </w:rPr>
        <w:t xml:space="preserve">Source: </w:t>
      </w:r>
      <w:r w:rsidRPr="00EA4909">
        <w:rPr>
          <w:rFonts w:ascii="Times New Roman" w:eastAsia="Times New Roman" w:hAnsi="Times New Roman" w:cs="Times New Roman"/>
          <w:sz w:val="24"/>
          <w:szCs w:val="24"/>
        </w:rPr>
        <w:t>Compiled by author from Annual Report 2015-16 of respective Banks (2016)</w:t>
      </w:r>
    </w:p>
    <w:p w:rsidR="00EA4909" w:rsidRPr="00EA4909" w:rsidRDefault="00EA4909" w:rsidP="00EA4909">
      <w:pPr>
        <w:spacing w:line="360" w:lineRule="auto"/>
        <w:jc w:val="both"/>
        <w:rPr>
          <w:rFonts w:ascii="Times New Roman" w:eastAsia="Times New Roman" w:hAnsi="Times New Roman" w:cs="Times New Roman"/>
          <w:b/>
          <w:sz w:val="32"/>
          <w:szCs w:val="32"/>
        </w:rPr>
      </w:pPr>
      <w:r w:rsidRPr="00EA4909">
        <w:rPr>
          <w:rFonts w:ascii="Times New Roman" w:eastAsia="Times New Roman" w:hAnsi="Times New Roman" w:cs="Times New Roman"/>
          <w:b/>
          <w:sz w:val="32"/>
          <w:szCs w:val="32"/>
        </w:rPr>
        <w:t>Compensation Committee</w:t>
      </w:r>
    </w:p>
    <w:p w:rsidR="00EA4909" w:rsidRDefault="00EA4909" w:rsidP="00EA4909">
      <w:pPr>
        <w:spacing w:line="360" w:lineRule="auto"/>
        <w:jc w:val="both"/>
        <w:rPr>
          <w:rFonts w:ascii="Times New Roman" w:eastAsia="Times New Roman" w:hAnsi="Times New Roman" w:cs="Times New Roman"/>
          <w:sz w:val="24"/>
          <w:szCs w:val="24"/>
        </w:rPr>
      </w:pPr>
      <w:r w:rsidRPr="00EA4909">
        <w:rPr>
          <w:rFonts w:ascii="Times New Roman" w:eastAsia="Times New Roman" w:hAnsi="Times New Roman" w:cs="Times New Roman"/>
          <w:sz w:val="24"/>
          <w:szCs w:val="24"/>
        </w:rPr>
        <w:t>The foremost imperative work of the Recompense Committee is to authorize official stipend, trade and other benefits. Examination of information from the chosen banks appears that ICICI and SBI are the foremost free, naming an autonomous chief for 100% and 50% of the committee composition. On the other hand, PNB's recompense committee has as it were 25% free executives, taking off small freedom (see Table 5).</w:t>
      </w:r>
    </w:p>
    <w:p w:rsidR="00EA4909" w:rsidRDefault="00EA4909" w:rsidP="00EA4909">
      <w:pPr>
        <w:spacing w:line="360" w:lineRule="auto"/>
        <w:jc w:val="both"/>
        <w:rPr>
          <w:rFonts w:ascii="Times New Roman" w:eastAsia="Times New Roman" w:hAnsi="Times New Roman" w:cs="Times New Roman"/>
          <w:sz w:val="24"/>
          <w:szCs w:val="24"/>
        </w:rPr>
      </w:pPr>
    </w:p>
    <w:p w:rsidR="00EA4909" w:rsidRPr="00EA4909" w:rsidRDefault="00EA4909" w:rsidP="00EA4909">
      <w:pPr>
        <w:spacing w:line="360" w:lineRule="auto"/>
        <w:jc w:val="both"/>
        <w:rPr>
          <w:rFonts w:ascii="Times New Roman" w:eastAsia="Times New Roman" w:hAnsi="Times New Roman" w:cs="Times New Roman"/>
          <w:sz w:val="24"/>
          <w:szCs w:val="24"/>
        </w:rPr>
      </w:pPr>
    </w:p>
    <w:p w:rsidR="00EA4909" w:rsidRPr="00EA4909" w:rsidRDefault="00EA4909" w:rsidP="00EA4909">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Table V: Remuneration Committee Analysis.</w:t>
      </w:r>
    </w:p>
    <w:tbl>
      <w:tblPr>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29"/>
        <w:gridCol w:w="1548"/>
        <w:gridCol w:w="1404"/>
        <w:gridCol w:w="1382"/>
        <w:gridCol w:w="1493"/>
      </w:tblGrid>
      <w:tr w:rsidR="00EA4909" w:rsidTr="00172546">
        <w:tc>
          <w:tcPr>
            <w:tcW w:w="2829"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Numbers of Member</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ID</w:t>
            </w:r>
          </w:p>
        </w:tc>
        <w:tc>
          <w:tcPr>
            <w:tcW w:w="1382"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ED</w:t>
            </w:r>
          </w:p>
        </w:tc>
        <w:tc>
          <w:tcPr>
            <w:tcW w:w="1493"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ED</w:t>
            </w:r>
          </w:p>
        </w:tc>
      </w:tr>
      <w:tr w:rsidR="00EA4909" w:rsidTr="00172546">
        <w:tc>
          <w:tcPr>
            <w:tcW w:w="2829"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1548" w:type="dxa"/>
          </w:tcPr>
          <w:p w:rsidR="00EA4909" w:rsidRDefault="00EA4909" w:rsidP="00172546">
            <w:pPr>
              <w:spacing w:line="360" w:lineRule="auto"/>
              <w:jc w:val="both"/>
              <w:rPr>
                <w:rFonts w:ascii="Times New Roman" w:eastAsia="Times New Roman" w:hAnsi="Times New Roman" w:cs="Times New Roman"/>
                <w:b/>
                <w:sz w:val="32"/>
                <w:szCs w:val="32"/>
                <w:highlight w:val="white"/>
              </w:rPr>
            </w:pPr>
          </w:p>
        </w:tc>
        <w:tc>
          <w:tcPr>
            <w:tcW w:w="1404" w:type="dxa"/>
          </w:tcPr>
          <w:p w:rsidR="00EA4909" w:rsidRDefault="00EA4909" w:rsidP="00172546">
            <w:pPr>
              <w:spacing w:line="360" w:lineRule="auto"/>
              <w:jc w:val="both"/>
              <w:rPr>
                <w:rFonts w:ascii="Times New Roman" w:eastAsia="Times New Roman" w:hAnsi="Times New Roman" w:cs="Times New Roman"/>
                <w:b/>
                <w:sz w:val="32"/>
                <w:szCs w:val="32"/>
                <w:highlight w:val="white"/>
              </w:rPr>
            </w:pPr>
          </w:p>
        </w:tc>
        <w:tc>
          <w:tcPr>
            <w:tcW w:w="1382" w:type="dxa"/>
          </w:tcPr>
          <w:p w:rsidR="00EA4909" w:rsidRDefault="00EA4909" w:rsidP="00172546">
            <w:pPr>
              <w:spacing w:line="360" w:lineRule="auto"/>
              <w:jc w:val="both"/>
              <w:rPr>
                <w:rFonts w:ascii="Times New Roman" w:eastAsia="Times New Roman" w:hAnsi="Times New Roman" w:cs="Times New Roman"/>
                <w:b/>
                <w:sz w:val="32"/>
                <w:szCs w:val="32"/>
                <w:highlight w:val="white"/>
              </w:rPr>
            </w:pPr>
          </w:p>
        </w:tc>
        <w:tc>
          <w:tcPr>
            <w:tcW w:w="1493" w:type="dxa"/>
          </w:tcPr>
          <w:p w:rsidR="00EA4909" w:rsidRDefault="00EA4909" w:rsidP="00172546">
            <w:pPr>
              <w:spacing w:line="360" w:lineRule="auto"/>
              <w:jc w:val="both"/>
              <w:rPr>
                <w:rFonts w:ascii="Times New Roman" w:eastAsia="Times New Roman" w:hAnsi="Times New Roman" w:cs="Times New Roman"/>
                <w:b/>
                <w:sz w:val="32"/>
                <w:szCs w:val="32"/>
                <w:highlight w:val="white"/>
              </w:rPr>
            </w:pP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Dhan Laxmi Bank ltd.</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DCB Bank Ltd.</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ICICI Bank Ltd.</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4"/>
                <w:szCs w:val="24"/>
              </w:rPr>
              <w:t>IndusInd Bank</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r>
      <w:tr w:rsidR="00EA4909" w:rsidTr="00172546">
        <w:tc>
          <w:tcPr>
            <w:tcW w:w="2829" w:type="dxa"/>
          </w:tcPr>
          <w:p w:rsidR="00EA4909" w:rsidRDefault="00EA4909" w:rsidP="00172546">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Public Sector Bank</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bank of India</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Punjab National Bank</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rsidTr="00172546">
        <w:tc>
          <w:tcPr>
            <w:tcW w:w="2829"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1548"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40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bl>
    <w:p w:rsidR="00EA4909" w:rsidRPr="00EA4909" w:rsidRDefault="00EA4909" w:rsidP="00EA49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4909">
        <w:rPr>
          <w:rFonts w:ascii="Times New Roman" w:eastAsia="Times New Roman" w:hAnsi="Times New Roman" w:cs="Times New Roman"/>
          <w:b/>
          <w:sz w:val="24"/>
          <w:szCs w:val="24"/>
        </w:rPr>
        <w:t xml:space="preserve">Source: </w:t>
      </w:r>
      <w:r w:rsidRPr="00EA4909">
        <w:rPr>
          <w:rFonts w:ascii="Times New Roman" w:eastAsia="Times New Roman" w:hAnsi="Times New Roman" w:cs="Times New Roman"/>
          <w:sz w:val="24"/>
          <w:szCs w:val="24"/>
        </w:rPr>
        <w:t>Compiled by author from Annual Report 2015-16 of respective Banks (2016)</w:t>
      </w:r>
    </w:p>
    <w:p w:rsidR="00EA4909" w:rsidRDefault="00EA4909" w:rsidP="00EA4909">
      <w:pP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Board </w:t>
      </w:r>
    </w:p>
    <w:p w:rsidR="00EA4909" w:rsidRDefault="00EA4909" w:rsidP="00EA490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usually deals with all matters within the competence of the central board. This may include real estate, insurance, commercial and </w:t>
      </w:r>
      <w:proofErr w:type="spellStart"/>
      <w:r>
        <w:rPr>
          <w:rFonts w:ascii="Times New Roman" w:eastAsia="Times New Roman" w:hAnsi="Times New Roman" w:cs="Times New Roman"/>
          <w:color w:val="000000"/>
          <w:sz w:val="24"/>
          <w:szCs w:val="24"/>
        </w:rPr>
        <w:t>PandL</w:t>
      </w:r>
      <w:proofErr w:type="spellEnd"/>
      <w:r>
        <w:rPr>
          <w:rFonts w:ascii="Times New Roman" w:eastAsia="Times New Roman" w:hAnsi="Times New Roman" w:cs="Times New Roman"/>
          <w:color w:val="000000"/>
          <w:sz w:val="24"/>
          <w:szCs w:val="24"/>
        </w:rPr>
        <w:t xml:space="preserve"> topics etc. Based on the available data of the selected banks, it is observed that SBI and LVB held the highest number of committee meetings in the respective group of banks during the year. banks (see Table 6). </w:t>
      </w:r>
    </w:p>
    <w:p w:rsidR="00EA4909" w:rsidRDefault="00EA4909" w:rsidP="00EA4909">
      <w:pP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Table VI: Board Committee Analysis: Board Management.</w:t>
      </w:r>
    </w:p>
    <w:tbl>
      <w:tblPr>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210"/>
        <w:gridCol w:w="2917"/>
        <w:gridCol w:w="2894"/>
      </w:tblGrid>
      <w:tr w:rsidR="00EA4909" w:rsidTr="00EA4909">
        <w:tc>
          <w:tcPr>
            <w:tcW w:w="3210"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Numbers of Members</w:t>
            </w:r>
          </w:p>
        </w:tc>
        <w:tc>
          <w:tcPr>
            <w:tcW w:w="2894"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Meetings</w:t>
            </w:r>
          </w:p>
        </w:tc>
      </w:tr>
      <w:tr w:rsidR="00EA4909" w:rsidTr="00EA4909">
        <w:tc>
          <w:tcPr>
            <w:tcW w:w="3210"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2917" w:type="dxa"/>
          </w:tcPr>
          <w:p w:rsidR="00EA4909" w:rsidRDefault="00EA4909" w:rsidP="00172546">
            <w:pPr>
              <w:spacing w:line="360" w:lineRule="auto"/>
              <w:jc w:val="both"/>
              <w:rPr>
                <w:rFonts w:ascii="Times New Roman" w:eastAsia="Times New Roman" w:hAnsi="Times New Roman" w:cs="Times New Roman"/>
                <w:b/>
                <w:sz w:val="32"/>
                <w:szCs w:val="32"/>
                <w:highlight w:val="white"/>
              </w:rPr>
            </w:pPr>
          </w:p>
        </w:tc>
        <w:tc>
          <w:tcPr>
            <w:tcW w:w="2894" w:type="dxa"/>
          </w:tcPr>
          <w:p w:rsidR="00EA4909" w:rsidRDefault="00EA4909" w:rsidP="00172546">
            <w:pPr>
              <w:spacing w:line="360" w:lineRule="auto"/>
              <w:jc w:val="both"/>
              <w:rPr>
                <w:rFonts w:ascii="Times New Roman" w:eastAsia="Times New Roman" w:hAnsi="Times New Roman" w:cs="Times New Roman"/>
                <w:b/>
                <w:sz w:val="32"/>
                <w:szCs w:val="32"/>
                <w:highlight w:val="white"/>
              </w:rPr>
            </w:pP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Dhan Laxmi Bank ltd.</w:t>
            </w:r>
          </w:p>
        </w:tc>
        <w:tc>
          <w:tcPr>
            <w:tcW w:w="2917" w:type="dxa"/>
          </w:tcPr>
          <w:p w:rsidR="00EA4909" w:rsidRDefault="00EA4909" w:rsidP="00172546">
            <w:pPr>
              <w:tabs>
                <w:tab w:val="left" w:pos="1139"/>
                <w:tab w:val="center" w:pos="14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t>4</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DCB Bank Ltd.</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ICICI Bank Ltd.</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4"/>
                <w:szCs w:val="24"/>
              </w:rPr>
              <w:t>IndusInd Bank</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rsidTr="00EA4909">
        <w:tc>
          <w:tcPr>
            <w:tcW w:w="3210" w:type="dxa"/>
          </w:tcPr>
          <w:p w:rsidR="00EA4909" w:rsidRDefault="00EA4909" w:rsidP="00172546">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Public Sector Bank</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bank of India</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r>
      <w:tr w:rsidR="00EA4909" w:rsidTr="00EA4909">
        <w:tc>
          <w:tcPr>
            <w:tcW w:w="3210" w:type="dxa"/>
          </w:tcPr>
          <w:p w:rsidR="00EA4909" w:rsidRDefault="00EA4909" w:rsidP="00172546">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2917" w:type="dxa"/>
          </w:tcPr>
          <w:p w:rsidR="00EA4909" w:rsidRDefault="00EA4909" w:rsidP="00172546">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2894" w:type="dxa"/>
          </w:tcPr>
          <w:p w:rsidR="00EA4909" w:rsidRDefault="00EA4909" w:rsidP="00172546">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w:t>
            </w:r>
          </w:p>
        </w:tc>
      </w:tr>
    </w:tbl>
    <w:p w:rsidR="00EA4909" w:rsidRPr="00EA4909" w:rsidRDefault="00EA4909" w:rsidP="00EA49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w:t>
      </w:r>
      <w:r w:rsidRPr="00EA4909">
        <w:rPr>
          <w:rFonts w:ascii="Times New Roman" w:eastAsia="Times New Roman" w:hAnsi="Times New Roman" w:cs="Times New Roman"/>
          <w:b/>
          <w:sz w:val="24"/>
          <w:szCs w:val="24"/>
        </w:rPr>
        <w:t xml:space="preserve">Source: </w:t>
      </w:r>
      <w:r w:rsidRPr="00EA4909">
        <w:rPr>
          <w:rFonts w:ascii="Times New Roman" w:eastAsia="Times New Roman" w:hAnsi="Times New Roman" w:cs="Times New Roman"/>
          <w:sz w:val="24"/>
          <w:szCs w:val="24"/>
        </w:rPr>
        <w:t>Compiled by author from Annual Report 2015-16 of respective Banks (2016)</w:t>
      </w:r>
    </w:p>
    <w:p w:rsidR="0039288A" w:rsidRPr="0039288A" w:rsidRDefault="0039288A" w:rsidP="0039288A">
      <w:pPr>
        <w:jc w:val="both"/>
        <w:rPr>
          <w:rFonts w:ascii="Times New Roman" w:hAnsi="Times New Roman" w:cs="Times New Roman"/>
          <w:b/>
          <w:bCs/>
          <w:sz w:val="32"/>
          <w:szCs w:val="32"/>
        </w:rPr>
      </w:pPr>
      <w:r w:rsidRPr="0039288A">
        <w:rPr>
          <w:rFonts w:ascii="Times New Roman" w:hAnsi="Times New Roman" w:cs="Times New Roman"/>
          <w:b/>
          <w:bCs/>
          <w:sz w:val="32"/>
          <w:szCs w:val="32"/>
        </w:rPr>
        <w:lastRenderedPageBreak/>
        <w:t>Corporate Governance Practices in the Indian Banking Sector:</w:t>
      </w:r>
    </w:p>
    <w:p w:rsidR="0039288A" w:rsidRPr="0039288A" w:rsidRDefault="0039288A" w:rsidP="0039288A">
      <w:pPr>
        <w:numPr>
          <w:ilvl w:val="0"/>
          <w:numId w:val="30"/>
        </w:numPr>
        <w:jc w:val="both"/>
        <w:rPr>
          <w:rFonts w:ascii="Times New Roman" w:hAnsi="Times New Roman" w:cs="Times New Roman"/>
        </w:rPr>
      </w:pPr>
      <w:r w:rsidRPr="0039288A">
        <w:rPr>
          <w:rFonts w:ascii="Times New Roman" w:hAnsi="Times New Roman" w:cs="Times New Roman"/>
          <w:b/>
          <w:bCs/>
        </w:rPr>
        <w:t>Composition and Structure of the Board:</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Boards comprise senior executives and external directors.</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Responsible for strategic direction, oversight, and compliance with laws and regulations.</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Appoints key personnel and evaluates their performance.</w:t>
      </w:r>
    </w:p>
    <w:p w:rsidR="0039288A" w:rsidRPr="0039288A" w:rsidRDefault="0039288A" w:rsidP="0039288A">
      <w:pPr>
        <w:numPr>
          <w:ilvl w:val="0"/>
          <w:numId w:val="30"/>
        </w:numPr>
        <w:jc w:val="both"/>
        <w:rPr>
          <w:rFonts w:ascii="Times New Roman" w:hAnsi="Times New Roman" w:cs="Times New Roman"/>
        </w:rPr>
      </w:pPr>
      <w:r w:rsidRPr="0039288A">
        <w:rPr>
          <w:rFonts w:ascii="Times New Roman" w:hAnsi="Times New Roman" w:cs="Times New Roman"/>
          <w:b/>
          <w:bCs/>
        </w:rPr>
        <w:t>Independent Directors:</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Play a crucial role in ensuring transparency, accountability, and objectivity.</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Regulated by the Companies Act, 2013, and SEBI regulations.</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Expected to bring diverse expertise and impartial monitoring, especially in risk management and compliance.</w:t>
      </w:r>
    </w:p>
    <w:p w:rsidR="0039288A" w:rsidRPr="0039288A" w:rsidRDefault="0039288A" w:rsidP="0039288A">
      <w:pPr>
        <w:numPr>
          <w:ilvl w:val="0"/>
          <w:numId w:val="30"/>
        </w:numPr>
        <w:jc w:val="both"/>
        <w:rPr>
          <w:rFonts w:ascii="Times New Roman" w:hAnsi="Times New Roman" w:cs="Times New Roman"/>
        </w:rPr>
      </w:pPr>
      <w:r w:rsidRPr="0039288A">
        <w:rPr>
          <w:rFonts w:ascii="Times New Roman" w:hAnsi="Times New Roman" w:cs="Times New Roman"/>
          <w:b/>
          <w:bCs/>
        </w:rPr>
        <w:t>Risk Management:</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Essential for the stability and sustainability of banks.</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Governed by comprehensive guidelines issued by the RBI.</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Banks must have robust risk management systems covering various risks such as credit, market, liquidity, and operational.</w:t>
      </w:r>
    </w:p>
    <w:p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Risk management committees oversee risk management practices and ensure compliance with regulatory requirements.</w:t>
      </w:r>
    </w:p>
    <w:p w:rsidR="00BE57BC" w:rsidRDefault="00BE57BC" w:rsidP="00BE57BC">
      <w:pPr>
        <w:jc w:val="both"/>
        <w:rPr>
          <w:rFonts w:ascii="Times New Roman" w:hAnsi="Times New Roman" w:cs="Times New Roman"/>
          <w:b/>
          <w:bCs/>
          <w:sz w:val="32"/>
          <w:szCs w:val="32"/>
        </w:rPr>
      </w:pPr>
    </w:p>
    <w:p w:rsidR="00BE57BC" w:rsidRDefault="00BE57BC" w:rsidP="00BE57BC">
      <w:pPr>
        <w:jc w:val="both"/>
        <w:rPr>
          <w:rFonts w:ascii="Times New Roman" w:hAnsi="Times New Roman" w:cs="Times New Roman"/>
          <w:b/>
          <w:bCs/>
          <w:sz w:val="32"/>
          <w:szCs w:val="32"/>
        </w:rPr>
      </w:pPr>
    </w:p>
    <w:p w:rsidR="00BE57BC" w:rsidRPr="00BE57BC" w:rsidRDefault="00BE57BC" w:rsidP="00BE57BC">
      <w:pPr>
        <w:jc w:val="both"/>
        <w:rPr>
          <w:rFonts w:ascii="Times New Roman" w:hAnsi="Times New Roman" w:cs="Times New Roman"/>
          <w:b/>
          <w:bCs/>
          <w:sz w:val="32"/>
          <w:szCs w:val="32"/>
        </w:rPr>
      </w:pPr>
      <w:r w:rsidRPr="00BE57BC">
        <w:rPr>
          <w:rFonts w:ascii="Times New Roman" w:hAnsi="Times New Roman" w:cs="Times New Roman"/>
          <w:b/>
          <w:bCs/>
          <w:sz w:val="32"/>
          <w:szCs w:val="32"/>
        </w:rPr>
        <w:t>Disclosure, Transparency, Internal Controls, and Audit:</w:t>
      </w:r>
    </w:p>
    <w:p w:rsidR="00BE57BC" w:rsidRPr="00BE57BC" w:rsidRDefault="00BE57BC" w:rsidP="00BE57BC">
      <w:pPr>
        <w:jc w:val="both"/>
        <w:rPr>
          <w:rFonts w:ascii="Times New Roman" w:hAnsi="Times New Roman" w:cs="Times New Roman"/>
          <w:b/>
          <w:bCs/>
        </w:rPr>
      </w:pPr>
      <w:r w:rsidRPr="00BE57BC">
        <w:rPr>
          <w:rFonts w:ascii="Times New Roman" w:hAnsi="Times New Roman" w:cs="Times New Roman"/>
          <w:b/>
          <w:bCs/>
        </w:rPr>
        <w:t>Disclosure and Transparency:</w:t>
      </w:r>
    </w:p>
    <w:p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Essential for maintaining trust and confidence in the banking sector.</w:t>
      </w:r>
    </w:p>
    <w:p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Banks must disclose important information to shareholders, regulators, and stakeholders in a timely and transparent manner.</w:t>
      </w:r>
    </w:p>
    <w:p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Disclosure requirements include financial statements, annual reports, and other material information affecting stakeholders.</w:t>
      </w:r>
    </w:p>
    <w:p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SEBI's disclosure standards mandate transparency in corporate governance practices and related-party transactions.</w:t>
      </w:r>
    </w:p>
    <w:p w:rsidR="00BE57BC" w:rsidRPr="00BE57BC" w:rsidRDefault="00BE57BC" w:rsidP="00BE57BC">
      <w:pPr>
        <w:ind w:left="360"/>
        <w:jc w:val="both"/>
        <w:rPr>
          <w:rFonts w:ascii="Times New Roman" w:hAnsi="Times New Roman" w:cs="Times New Roman"/>
          <w:b/>
          <w:bCs/>
        </w:rPr>
      </w:pPr>
      <w:r w:rsidRPr="00BE57BC">
        <w:rPr>
          <w:rFonts w:ascii="Times New Roman" w:hAnsi="Times New Roman" w:cs="Times New Roman"/>
          <w:b/>
          <w:bCs/>
        </w:rPr>
        <w:t>Internal Controls and Audit:</w:t>
      </w:r>
    </w:p>
    <w:p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Crucial for ensuring compliance, safeguarding assets, and preventing fraud.</w:t>
      </w:r>
    </w:p>
    <w:p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Banks must establish effective internal control mechanisms, including policies, procedures, and systems for financial reporting, risk management, and compliance.</w:t>
      </w:r>
    </w:p>
    <w:p w:rsidR="0039288A"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Internal audit functions independently evaluate the effectiveness of internal controls and provide assurance to the board and senior management.</w:t>
      </w:r>
    </w:p>
    <w:p w:rsidR="00EB277C" w:rsidRDefault="00EB277C" w:rsidP="00BE57BC">
      <w:pPr>
        <w:ind w:left="360"/>
        <w:jc w:val="both"/>
        <w:rPr>
          <w:rFonts w:ascii="Times New Roman" w:hAnsi="Times New Roman" w:cs="Times New Roman"/>
          <w:b/>
          <w:bCs/>
          <w:sz w:val="32"/>
          <w:szCs w:val="32"/>
        </w:rPr>
      </w:pPr>
    </w:p>
    <w:p w:rsidR="00BE57BC" w:rsidRDefault="00EB277C" w:rsidP="00BE57BC">
      <w:pPr>
        <w:ind w:left="360"/>
        <w:jc w:val="both"/>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BE57BC" w:rsidRPr="00BE57BC">
        <w:rPr>
          <w:rFonts w:ascii="Times New Roman" w:hAnsi="Times New Roman" w:cs="Times New Roman"/>
          <w:b/>
          <w:bCs/>
          <w:sz w:val="32"/>
          <w:szCs w:val="32"/>
        </w:rPr>
        <w:t xml:space="preserve">Conclusion </w:t>
      </w:r>
    </w:p>
    <w:p w:rsidR="00EB277C" w:rsidRPr="00EB277C" w:rsidRDefault="00EB277C" w:rsidP="00EB277C">
      <w:pPr>
        <w:jc w:val="both"/>
        <w:rPr>
          <w:rFonts w:ascii="Times New Roman" w:hAnsi="Times New Roman" w:cs="Times New Roman"/>
          <w:bCs/>
          <w:sz w:val="24"/>
          <w:szCs w:val="32"/>
        </w:rPr>
      </w:pPr>
      <w:r w:rsidRPr="00EB277C">
        <w:rPr>
          <w:rFonts w:ascii="Times New Roman" w:hAnsi="Times New Roman" w:cs="Times New Roman"/>
          <w:bCs/>
          <w:sz w:val="24"/>
          <w:szCs w:val="32"/>
        </w:rPr>
        <w:t>This study focused on the composition of the board and the autonomy of various key committees, including the risk management committee, corporate responsibility committee, audit committee, compensation committee, and stakeholder grievance committee. Results were analyzed from the perspectives of both Public Sector Banks (</w:t>
      </w:r>
      <w:proofErr w:type="spellStart"/>
      <w:r w:rsidRPr="00EB277C">
        <w:rPr>
          <w:rFonts w:ascii="Times New Roman" w:hAnsi="Times New Roman" w:cs="Times New Roman"/>
          <w:bCs/>
          <w:sz w:val="24"/>
          <w:szCs w:val="32"/>
        </w:rPr>
        <w:t>PuSB</w:t>
      </w:r>
      <w:proofErr w:type="spellEnd"/>
      <w:r w:rsidRPr="00EB277C">
        <w:rPr>
          <w:rFonts w:ascii="Times New Roman" w:hAnsi="Times New Roman" w:cs="Times New Roman"/>
          <w:bCs/>
          <w:sz w:val="24"/>
          <w:szCs w:val="32"/>
        </w:rPr>
        <w:t>) and Private Sector Banks (</w:t>
      </w:r>
      <w:proofErr w:type="spellStart"/>
      <w:r w:rsidRPr="00EB277C">
        <w:rPr>
          <w:rFonts w:ascii="Times New Roman" w:hAnsi="Times New Roman" w:cs="Times New Roman"/>
          <w:bCs/>
          <w:sz w:val="24"/>
          <w:szCs w:val="32"/>
        </w:rPr>
        <w:t>PvSB</w:t>
      </w:r>
      <w:proofErr w:type="spellEnd"/>
      <w:r w:rsidRPr="00EB277C">
        <w:rPr>
          <w:rFonts w:ascii="Times New Roman" w:hAnsi="Times New Roman" w:cs="Times New Roman"/>
          <w:bCs/>
          <w:sz w:val="24"/>
          <w:szCs w:val="32"/>
        </w:rPr>
        <w:t>).</w:t>
      </w:r>
    </w:p>
    <w:p w:rsidR="00EB277C" w:rsidRPr="00EB277C" w:rsidRDefault="00EB277C" w:rsidP="00EB277C">
      <w:pPr>
        <w:jc w:val="both"/>
        <w:rPr>
          <w:rFonts w:ascii="Times New Roman" w:hAnsi="Times New Roman" w:cs="Times New Roman"/>
          <w:bCs/>
          <w:sz w:val="24"/>
          <w:szCs w:val="32"/>
        </w:rPr>
      </w:pPr>
      <w:r w:rsidRPr="00EB277C">
        <w:rPr>
          <w:rFonts w:ascii="Times New Roman" w:hAnsi="Times New Roman" w:cs="Times New Roman"/>
          <w:bCs/>
          <w:sz w:val="24"/>
          <w:szCs w:val="32"/>
        </w:rPr>
        <w:t xml:space="preserve">Among </w:t>
      </w:r>
      <w:proofErr w:type="spellStart"/>
      <w:r w:rsidRPr="00EB277C">
        <w:rPr>
          <w:rFonts w:ascii="Times New Roman" w:hAnsi="Times New Roman" w:cs="Times New Roman"/>
          <w:bCs/>
          <w:sz w:val="24"/>
          <w:szCs w:val="32"/>
        </w:rPr>
        <w:t>PvSBs</w:t>
      </w:r>
      <w:proofErr w:type="spellEnd"/>
      <w:r w:rsidRPr="00EB277C">
        <w:rPr>
          <w:rFonts w:ascii="Times New Roman" w:hAnsi="Times New Roman" w:cs="Times New Roman"/>
          <w:bCs/>
          <w:sz w:val="24"/>
          <w:szCs w:val="32"/>
        </w:rPr>
        <w:t xml:space="preserve">, ICICI Bank has been a key player in maintaining a high degree of autonomy compared to other selected </w:t>
      </w:r>
      <w:proofErr w:type="spellStart"/>
      <w:r w:rsidRPr="00EB277C">
        <w:rPr>
          <w:rFonts w:ascii="Times New Roman" w:hAnsi="Times New Roman" w:cs="Times New Roman"/>
          <w:bCs/>
          <w:sz w:val="24"/>
          <w:szCs w:val="32"/>
        </w:rPr>
        <w:t>PvSBs</w:t>
      </w:r>
      <w:proofErr w:type="spellEnd"/>
      <w:r w:rsidRPr="00EB277C">
        <w:rPr>
          <w:rFonts w:ascii="Times New Roman" w:hAnsi="Times New Roman" w:cs="Times New Roman"/>
          <w:bCs/>
          <w:sz w:val="24"/>
          <w:szCs w:val="32"/>
        </w:rPr>
        <w:t xml:space="preserve">. In contrast, DBL did not exhibit significant autonomy within its board committees. For </w:t>
      </w:r>
      <w:proofErr w:type="spellStart"/>
      <w:r w:rsidRPr="00EB277C">
        <w:rPr>
          <w:rFonts w:ascii="Times New Roman" w:hAnsi="Times New Roman" w:cs="Times New Roman"/>
          <w:bCs/>
          <w:sz w:val="24"/>
          <w:szCs w:val="32"/>
        </w:rPr>
        <w:t>PuSBs</w:t>
      </w:r>
      <w:proofErr w:type="spellEnd"/>
      <w:r w:rsidRPr="00EB277C">
        <w:rPr>
          <w:rFonts w:ascii="Times New Roman" w:hAnsi="Times New Roman" w:cs="Times New Roman"/>
          <w:bCs/>
          <w:sz w:val="24"/>
          <w:szCs w:val="32"/>
        </w:rPr>
        <w:t>, the State Bank of India (SBI) was identified as the most proactive, with extensive involvement of non-executive independent directors across various board committees. On the other hand, Punjab National Bank (PNB) demonstrated a lack of independence due to a high proportion of CEOs participating in various board committees.</w:t>
      </w:r>
    </w:p>
    <w:p w:rsidR="00EB277C" w:rsidRDefault="00EB277C" w:rsidP="00EB277C">
      <w:pPr>
        <w:jc w:val="both"/>
        <w:rPr>
          <w:rFonts w:ascii="Times New Roman" w:hAnsi="Times New Roman" w:cs="Times New Roman"/>
          <w:bCs/>
          <w:sz w:val="24"/>
          <w:szCs w:val="32"/>
        </w:rPr>
      </w:pPr>
      <w:r w:rsidRPr="00EB277C">
        <w:rPr>
          <w:rFonts w:ascii="Times New Roman" w:hAnsi="Times New Roman" w:cs="Times New Roman"/>
          <w:bCs/>
          <w:sz w:val="24"/>
          <w:szCs w:val="32"/>
        </w:rPr>
        <w:t>In terms of meeting frequency, ICICI and SBI were the most diligent, regularly holding meetings of their respective board committees. These findings suggest that other selected banks should re-evaluate their board structures in light of the new Companies Act of 2013 and create more opportunities for the inclusion of expertise through independent directors.</w:t>
      </w:r>
    </w:p>
    <w:p w:rsidR="00EB277C" w:rsidRDefault="00EB277C" w:rsidP="00EB277C">
      <w:pPr>
        <w:jc w:val="both"/>
        <w:rPr>
          <w:rFonts w:ascii="Times New Roman" w:hAnsi="Times New Roman" w:cs="Times New Roman"/>
          <w:bCs/>
          <w:sz w:val="24"/>
          <w:szCs w:val="32"/>
        </w:rPr>
      </w:pPr>
    </w:p>
    <w:p w:rsidR="00EB277C" w:rsidRPr="00EB277C" w:rsidRDefault="00EB277C" w:rsidP="00EB277C">
      <w:pPr>
        <w:jc w:val="both"/>
        <w:rPr>
          <w:rFonts w:ascii="Times New Roman" w:hAnsi="Times New Roman" w:cs="Times New Roman"/>
          <w:b/>
          <w:bCs/>
          <w:sz w:val="24"/>
          <w:szCs w:val="32"/>
        </w:rPr>
      </w:pPr>
      <w:r>
        <w:rPr>
          <w:rFonts w:ascii="Times New Roman" w:hAnsi="Times New Roman" w:cs="Times New Roman"/>
          <w:bCs/>
          <w:sz w:val="24"/>
          <w:szCs w:val="32"/>
        </w:rPr>
        <w:t xml:space="preserve">                                                              </w:t>
      </w:r>
      <w:r w:rsidRPr="00EB277C">
        <w:rPr>
          <w:rFonts w:ascii="Times New Roman" w:hAnsi="Times New Roman" w:cs="Times New Roman"/>
          <w:b/>
          <w:bCs/>
          <w:sz w:val="28"/>
          <w:szCs w:val="32"/>
        </w:rPr>
        <w:t>References</w:t>
      </w:r>
    </w:p>
    <w:p w:rsidR="00EB277C" w:rsidRPr="00EB277C" w:rsidRDefault="00EB277C" w:rsidP="00EB277C">
      <w:pPr>
        <w:jc w:val="both"/>
        <w:rPr>
          <w:rFonts w:ascii="Times New Roman" w:hAnsi="Times New Roman" w:cs="Times New Roman"/>
          <w:bCs/>
          <w:sz w:val="24"/>
          <w:szCs w:val="32"/>
        </w:rPr>
      </w:pP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Abdullah, S.</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N. (2006).</w:t>
      </w:r>
      <w:proofErr w:type="gramEnd"/>
      <w:r w:rsidRPr="00EB277C">
        <w:rPr>
          <w:rFonts w:ascii="Times New Roman" w:hAnsi="Times New Roman" w:cs="Times New Roman"/>
          <w:bCs/>
          <w:sz w:val="24"/>
          <w:szCs w:val="32"/>
        </w:rPr>
        <w:t xml:space="preserve">  Directors’ remuneration, firm's performance and corporate governance in Malaysia among distressed companies. Corporate Governance: The international Journal of Business in Society, 6,162 - 174.</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Adnan</w:t>
      </w:r>
      <w:proofErr w:type="spellEnd"/>
      <w:r w:rsidRPr="00EB277C">
        <w:rPr>
          <w:rFonts w:ascii="Times New Roman" w:hAnsi="Times New Roman" w:cs="Times New Roman"/>
          <w:bCs/>
          <w:sz w:val="24"/>
          <w:szCs w:val="32"/>
        </w:rPr>
        <w:t xml:space="preserve">, M. A., </w:t>
      </w:r>
      <w:proofErr w:type="spellStart"/>
      <w:r w:rsidRPr="00EB277C">
        <w:rPr>
          <w:rFonts w:ascii="Times New Roman" w:hAnsi="Times New Roman" w:cs="Times New Roman"/>
          <w:bCs/>
          <w:sz w:val="24"/>
          <w:szCs w:val="32"/>
        </w:rPr>
        <w:t>Htay</w:t>
      </w:r>
      <w:proofErr w:type="spellEnd"/>
      <w:r w:rsidRPr="00EB277C">
        <w:rPr>
          <w:rFonts w:ascii="Times New Roman" w:hAnsi="Times New Roman" w:cs="Times New Roman"/>
          <w:bCs/>
          <w:sz w:val="24"/>
          <w:szCs w:val="32"/>
        </w:rPr>
        <w:t xml:space="preserve">, S.N.N., Rashid, H.M.A. &amp; </w:t>
      </w:r>
      <w:proofErr w:type="spellStart"/>
      <w:r w:rsidRPr="00EB277C">
        <w:rPr>
          <w:rFonts w:ascii="Times New Roman" w:hAnsi="Times New Roman" w:cs="Times New Roman"/>
          <w:bCs/>
          <w:sz w:val="24"/>
          <w:szCs w:val="32"/>
        </w:rPr>
        <w:t>Meera</w:t>
      </w:r>
      <w:proofErr w:type="spellEnd"/>
      <w:r w:rsidRPr="00EB277C">
        <w:rPr>
          <w:rFonts w:ascii="Times New Roman" w:hAnsi="Times New Roman" w:cs="Times New Roman"/>
          <w:bCs/>
          <w:sz w:val="24"/>
          <w:szCs w:val="32"/>
        </w:rPr>
        <w:t>, A.K.M. (2011).</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A Panel Data Analysis on the Relationship between Corporate Governance and Bank Efficiency.</w:t>
      </w:r>
      <w:proofErr w:type="gramEnd"/>
      <w:r w:rsidRPr="00EB277C">
        <w:rPr>
          <w:rFonts w:ascii="Times New Roman" w:hAnsi="Times New Roman" w:cs="Times New Roman"/>
          <w:bCs/>
          <w:sz w:val="24"/>
          <w:szCs w:val="32"/>
        </w:rPr>
        <w:t xml:space="preserve"> Journal of Accounting, Finance and Economics, 1 (1), 1-15</w:t>
      </w:r>
    </w:p>
    <w:p w:rsidR="00EB277C" w:rsidRPr="00EB277C" w:rsidRDefault="00EB277C" w:rsidP="00EB277C">
      <w:pPr>
        <w:jc w:val="both"/>
        <w:rPr>
          <w:rFonts w:ascii="Times New Roman" w:hAnsi="Times New Roman" w:cs="Times New Roman"/>
          <w:bCs/>
          <w:sz w:val="24"/>
          <w:szCs w:val="32"/>
        </w:rPr>
      </w:pPr>
      <w:proofErr w:type="spellStart"/>
      <w:r w:rsidRPr="00EB277C">
        <w:rPr>
          <w:rFonts w:ascii="Times New Roman" w:hAnsi="Times New Roman" w:cs="Times New Roman"/>
          <w:bCs/>
          <w:sz w:val="24"/>
          <w:szCs w:val="32"/>
        </w:rPr>
        <w:t>Aggarwal</w:t>
      </w:r>
      <w:proofErr w:type="spellEnd"/>
      <w:r w:rsidRPr="00EB277C">
        <w:rPr>
          <w:rFonts w:ascii="Times New Roman" w:hAnsi="Times New Roman" w:cs="Times New Roman"/>
          <w:bCs/>
          <w:sz w:val="24"/>
          <w:szCs w:val="32"/>
        </w:rPr>
        <w:t xml:space="preserve">, P. (2013). </w:t>
      </w:r>
      <w:proofErr w:type="gramStart"/>
      <w:r w:rsidRPr="00EB277C">
        <w:rPr>
          <w:rFonts w:ascii="Times New Roman" w:hAnsi="Times New Roman" w:cs="Times New Roman"/>
          <w:bCs/>
          <w:sz w:val="24"/>
          <w:szCs w:val="32"/>
        </w:rPr>
        <w:t>Impact of Corporate Governance on Corporate Financial Performance.</w:t>
      </w:r>
      <w:proofErr w:type="gramEnd"/>
      <w:r w:rsidRPr="00EB277C">
        <w:rPr>
          <w:rFonts w:ascii="Times New Roman" w:hAnsi="Times New Roman" w:cs="Times New Roman"/>
          <w:bCs/>
          <w:sz w:val="24"/>
          <w:szCs w:val="32"/>
        </w:rPr>
        <w:t xml:space="preserve"> IOSR Journal of Business and Management (IOSR-JBM), 13 (3), 1-5.</w:t>
      </w: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Al-</w:t>
      </w:r>
      <w:proofErr w:type="spellStart"/>
      <w:r w:rsidRPr="00EB277C">
        <w:rPr>
          <w:rFonts w:ascii="Times New Roman" w:hAnsi="Times New Roman" w:cs="Times New Roman"/>
          <w:bCs/>
          <w:sz w:val="24"/>
          <w:szCs w:val="32"/>
        </w:rPr>
        <w:t>Musalli</w:t>
      </w:r>
      <w:proofErr w:type="spellEnd"/>
      <w:r w:rsidRPr="00EB277C">
        <w:rPr>
          <w:rFonts w:ascii="Times New Roman" w:hAnsi="Times New Roman" w:cs="Times New Roman"/>
          <w:bCs/>
          <w:sz w:val="24"/>
          <w:szCs w:val="32"/>
        </w:rPr>
        <w:t>, M. A. K. &amp; Ismail, K.N.I.K. (2012).</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Corporate Governance, Bank Specific Characteristics, Banking Industry Characteristics and Intellectual Capital (IC) Performance of Banks in Arab Gulf Cooperation Council (GCC) Countries.</w:t>
      </w:r>
      <w:proofErr w:type="gramEnd"/>
      <w:r w:rsidRPr="00EB277C">
        <w:rPr>
          <w:rFonts w:ascii="Times New Roman" w:hAnsi="Times New Roman" w:cs="Times New Roman"/>
          <w:bCs/>
          <w:sz w:val="24"/>
          <w:szCs w:val="32"/>
        </w:rPr>
        <w:t xml:space="preserve"> Asian Academy of Management Journal of Accounting and Finance</w:t>
      </w:r>
      <w:proofErr w:type="gramStart"/>
      <w:r w:rsidRPr="00EB277C">
        <w:rPr>
          <w:rFonts w:ascii="Times New Roman" w:hAnsi="Times New Roman" w:cs="Times New Roman"/>
          <w:bCs/>
          <w:sz w:val="24"/>
          <w:szCs w:val="32"/>
        </w:rPr>
        <w:t>,8</w:t>
      </w:r>
      <w:proofErr w:type="gramEnd"/>
      <w:r w:rsidRPr="00EB277C">
        <w:rPr>
          <w:rFonts w:ascii="Times New Roman" w:hAnsi="Times New Roman" w:cs="Times New Roman"/>
          <w:bCs/>
          <w:sz w:val="24"/>
          <w:szCs w:val="32"/>
        </w:rPr>
        <w:t>(1), 115-135.</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Arya</w:t>
      </w:r>
      <w:proofErr w:type="spellEnd"/>
      <w:r w:rsidRPr="00EB277C">
        <w:rPr>
          <w:rFonts w:ascii="Times New Roman" w:hAnsi="Times New Roman" w:cs="Times New Roman"/>
          <w:bCs/>
          <w:sz w:val="24"/>
          <w:szCs w:val="32"/>
        </w:rPr>
        <w:t>, V.V., Singh, A.K. &amp; Gupta, M. (2013).</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 xml:space="preserve">Companies Bill, 2011 as a Wakeup Response for Corporate </w:t>
      </w:r>
      <w:proofErr w:type="spellStart"/>
      <w:r w:rsidRPr="00EB277C">
        <w:rPr>
          <w:rFonts w:ascii="Times New Roman" w:hAnsi="Times New Roman" w:cs="Times New Roman"/>
          <w:bCs/>
          <w:sz w:val="24"/>
          <w:szCs w:val="32"/>
        </w:rPr>
        <w:t>Misgovernance</w:t>
      </w:r>
      <w:proofErr w:type="spellEnd"/>
      <w:r w:rsidRPr="00EB277C">
        <w:rPr>
          <w:rFonts w:ascii="Times New Roman" w:hAnsi="Times New Roman" w:cs="Times New Roman"/>
          <w:bCs/>
          <w:sz w:val="24"/>
          <w:szCs w:val="32"/>
        </w:rPr>
        <w:t xml:space="preserve"> and Scandal in Indian Corporate Sector.</w:t>
      </w:r>
      <w:proofErr w:type="gramEnd"/>
      <w:r w:rsidRPr="00EB277C">
        <w:rPr>
          <w:rFonts w:ascii="Times New Roman" w:hAnsi="Times New Roman" w:cs="Times New Roman"/>
          <w:bCs/>
          <w:sz w:val="24"/>
          <w:szCs w:val="32"/>
        </w:rPr>
        <w:t xml:space="preserve"> GGGI Management Review, 3(2), 159-167.</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Chugh</w:t>
      </w:r>
      <w:proofErr w:type="spellEnd"/>
      <w:r w:rsidRPr="00EB277C">
        <w:rPr>
          <w:rFonts w:ascii="Times New Roman" w:hAnsi="Times New Roman" w:cs="Times New Roman"/>
          <w:bCs/>
          <w:sz w:val="24"/>
          <w:szCs w:val="32"/>
        </w:rPr>
        <w:t>, L.C., Meador, J.W. &amp; Kumar, A.S. (2011).</w:t>
      </w:r>
      <w:proofErr w:type="gramEnd"/>
      <w:r w:rsidRPr="00EB277C">
        <w:rPr>
          <w:rFonts w:ascii="Times New Roman" w:hAnsi="Times New Roman" w:cs="Times New Roman"/>
          <w:bCs/>
          <w:sz w:val="24"/>
          <w:szCs w:val="32"/>
        </w:rPr>
        <w:t xml:space="preserve"> Corporate Governance and Firm Performance: Evidence from India. </w:t>
      </w:r>
      <w:proofErr w:type="gramStart"/>
      <w:r w:rsidRPr="00EB277C">
        <w:rPr>
          <w:rFonts w:ascii="Times New Roman" w:hAnsi="Times New Roman" w:cs="Times New Roman"/>
          <w:bCs/>
          <w:sz w:val="24"/>
          <w:szCs w:val="32"/>
        </w:rPr>
        <w:t>Journal of Finance and Accountancy.</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Retrieved from http://www.aabri.com/manuscripts/11832.</w:t>
      </w:r>
      <w:proofErr w:type="gramEnd"/>
      <w:r w:rsidRPr="00EB277C">
        <w:rPr>
          <w:rFonts w:ascii="Times New Roman" w:hAnsi="Times New Roman" w:cs="Times New Roman"/>
          <w:bCs/>
          <w:sz w:val="24"/>
          <w:szCs w:val="32"/>
        </w:rPr>
        <w:t xml:space="preserve"> </w:t>
      </w:r>
      <w:proofErr w:type="spellStart"/>
      <w:proofErr w:type="gramStart"/>
      <w:r w:rsidRPr="00EB277C">
        <w:rPr>
          <w:rFonts w:ascii="Times New Roman" w:hAnsi="Times New Roman" w:cs="Times New Roman"/>
          <w:bCs/>
          <w:sz w:val="24"/>
          <w:szCs w:val="32"/>
        </w:rPr>
        <w:t>pdf</w:t>
      </w:r>
      <w:proofErr w:type="spellEnd"/>
      <w:proofErr w:type="gramEnd"/>
      <w:r w:rsidRPr="00EB277C">
        <w:rPr>
          <w:rFonts w:ascii="Times New Roman" w:hAnsi="Times New Roman" w:cs="Times New Roman"/>
          <w:bCs/>
          <w:sz w:val="24"/>
          <w:szCs w:val="32"/>
        </w:rPr>
        <w:t>.</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lastRenderedPageBreak/>
        <w:t>Dwivedi</w:t>
      </w:r>
      <w:proofErr w:type="spellEnd"/>
      <w:r w:rsidRPr="00EB277C">
        <w:rPr>
          <w:rFonts w:ascii="Times New Roman" w:hAnsi="Times New Roman" w:cs="Times New Roman"/>
          <w:bCs/>
          <w:sz w:val="24"/>
          <w:szCs w:val="32"/>
        </w:rPr>
        <w:t>, N. &amp; Jain, A.K. (2005).</w:t>
      </w:r>
      <w:proofErr w:type="gramEnd"/>
      <w:r w:rsidRPr="00EB277C">
        <w:rPr>
          <w:rFonts w:ascii="Times New Roman" w:hAnsi="Times New Roman" w:cs="Times New Roman"/>
          <w:bCs/>
          <w:sz w:val="24"/>
          <w:szCs w:val="32"/>
        </w:rPr>
        <w:t xml:space="preserve"> Corporate Governance and Performance of Indian Firms: The Effect of Board Size and Ownership. Employee Responsibilities and Rights Journal</w:t>
      </w:r>
      <w:proofErr w:type="gramStart"/>
      <w:r w:rsidRPr="00EB277C">
        <w:rPr>
          <w:rFonts w:ascii="Times New Roman" w:hAnsi="Times New Roman" w:cs="Times New Roman"/>
          <w:bCs/>
          <w:sz w:val="24"/>
          <w:szCs w:val="32"/>
        </w:rPr>
        <w:t>,17</w:t>
      </w:r>
      <w:proofErr w:type="gramEnd"/>
      <w:r w:rsidRPr="00EB277C">
        <w:rPr>
          <w:rFonts w:ascii="Times New Roman" w:hAnsi="Times New Roman" w:cs="Times New Roman"/>
          <w:bCs/>
          <w:sz w:val="24"/>
          <w:szCs w:val="32"/>
        </w:rPr>
        <w:t>(3), 161-172</w:t>
      </w: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Emmanuel, S.A. &amp; Hodo, B.R. (2012).</w:t>
      </w:r>
      <w:proofErr w:type="gramEnd"/>
      <w:r w:rsidRPr="00EB277C">
        <w:rPr>
          <w:rFonts w:ascii="Times New Roman" w:hAnsi="Times New Roman" w:cs="Times New Roman"/>
          <w:bCs/>
          <w:sz w:val="24"/>
          <w:szCs w:val="32"/>
        </w:rPr>
        <w:t xml:space="preserve"> Does Corporate Governance Affect Bank Profitability? </w:t>
      </w:r>
      <w:proofErr w:type="gramStart"/>
      <w:r w:rsidRPr="00EB277C">
        <w:rPr>
          <w:rFonts w:ascii="Times New Roman" w:hAnsi="Times New Roman" w:cs="Times New Roman"/>
          <w:bCs/>
          <w:sz w:val="24"/>
          <w:szCs w:val="32"/>
        </w:rPr>
        <w:t>Evidence from Nigeria.</w:t>
      </w:r>
      <w:proofErr w:type="gramEnd"/>
      <w:r w:rsidRPr="00EB277C">
        <w:rPr>
          <w:rFonts w:ascii="Times New Roman" w:hAnsi="Times New Roman" w:cs="Times New Roman"/>
          <w:bCs/>
          <w:sz w:val="24"/>
          <w:szCs w:val="32"/>
        </w:rPr>
        <w:t xml:space="preserve"> American International Journal of Contemporary Research</w:t>
      </w:r>
      <w:proofErr w:type="gramStart"/>
      <w:r w:rsidRPr="00EB277C">
        <w:rPr>
          <w:rFonts w:ascii="Times New Roman" w:hAnsi="Times New Roman" w:cs="Times New Roman"/>
          <w:bCs/>
          <w:sz w:val="24"/>
          <w:szCs w:val="32"/>
        </w:rPr>
        <w:t>,2</w:t>
      </w:r>
      <w:proofErr w:type="gramEnd"/>
      <w:r w:rsidRPr="00EB277C">
        <w:rPr>
          <w:rFonts w:ascii="Times New Roman" w:hAnsi="Times New Roman" w:cs="Times New Roman"/>
          <w:bCs/>
          <w:sz w:val="24"/>
          <w:szCs w:val="32"/>
        </w:rPr>
        <w:t>, 135-145</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Gowd</w:t>
      </w:r>
      <w:proofErr w:type="spellEnd"/>
      <w:r w:rsidRPr="00EB277C">
        <w:rPr>
          <w:rFonts w:ascii="Times New Roman" w:hAnsi="Times New Roman" w:cs="Times New Roman"/>
          <w:bCs/>
          <w:sz w:val="24"/>
          <w:szCs w:val="32"/>
        </w:rPr>
        <w:t xml:space="preserve">, T. N., </w:t>
      </w:r>
      <w:proofErr w:type="spellStart"/>
      <w:r w:rsidRPr="00EB277C">
        <w:rPr>
          <w:rFonts w:ascii="Times New Roman" w:hAnsi="Times New Roman" w:cs="Times New Roman"/>
          <w:bCs/>
          <w:sz w:val="24"/>
          <w:szCs w:val="32"/>
        </w:rPr>
        <w:t>Kiran</w:t>
      </w:r>
      <w:proofErr w:type="spellEnd"/>
      <w:r w:rsidRPr="00EB277C">
        <w:rPr>
          <w:rFonts w:ascii="Times New Roman" w:hAnsi="Times New Roman" w:cs="Times New Roman"/>
          <w:bCs/>
          <w:sz w:val="24"/>
          <w:szCs w:val="32"/>
        </w:rPr>
        <w:t xml:space="preserve">, C. B. &amp; </w:t>
      </w:r>
      <w:proofErr w:type="spellStart"/>
      <w:r w:rsidRPr="00EB277C">
        <w:rPr>
          <w:rFonts w:ascii="Times New Roman" w:hAnsi="Times New Roman" w:cs="Times New Roman"/>
          <w:bCs/>
          <w:sz w:val="24"/>
          <w:szCs w:val="32"/>
        </w:rPr>
        <w:t>Rao</w:t>
      </w:r>
      <w:proofErr w:type="spellEnd"/>
      <w:r w:rsidRPr="00EB277C">
        <w:rPr>
          <w:rFonts w:ascii="Times New Roman" w:hAnsi="Times New Roman" w:cs="Times New Roman"/>
          <w:bCs/>
          <w:sz w:val="24"/>
          <w:szCs w:val="32"/>
        </w:rPr>
        <w:t>, C.R.P. (2013).</w:t>
      </w:r>
      <w:proofErr w:type="gramEnd"/>
      <w:r w:rsidRPr="00EB277C">
        <w:rPr>
          <w:rFonts w:ascii="Times New Roman" w:hAnsi="Times New Roman" w:cs="Times New Roman"/>
          <w:bCs/>
          <w:sz w:val="24"/>
          <w:szCs w:val="32"/>
        </w:rPr>
        <w:t xml:space="preserve"> Empirical Study on Corporate Governance Practices in State Bank of India.Abhinav</w:t>
      </w:r>
      <w:proofErr w:type="gramStart"/>
      <w:r w:rsidRPr="00EB277C">
        <w:rPr>
          <w:rFonts w:ascii="Times New Roman" w:hAnsi="Times New Roman" w:cs="Times New Roman"/>
          <w:bCs/>
          <w:sz w:val="24"/>
          <w:szCs w:val="32"/>
        </w:rPr>
        <w:t>,2</w:t>
      </w:r>
      <w:proofErr w:type="gramEnd"/>
      <w:r w:rsidRPr="00EB277C">
        <w:rPr>
          <w:rFonts w:ascii="Times New Roman" w:hAnsi="Times New Roman" w:cs="Times New Roman"/>
          <w:bCs/>
          <w:sz w:val="24"/>
          <w:szCs w:val="32"/>
        </w:rPr>
        <w:t xml:space="preserve"> (6), 66-77.</w:t>
      </w: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 xml:space="preserve">Hussein, S.K. &amp; </w:t>
      </w:r>
      <w:proofErr w:type="spellStart"/>
      <w:r w:rsidRPr="00EB277C">
        <w:rPr>
          <w:rFonts w:ascii="Times New Roman" w:hAnsi="Times New Roman" w:cs="Times New Roman"/>
          <w:bCs/>
          <w:sz w:val="24"/>
          <w:szCs w:val="32"/>
        </w:rPr>
        <w:t>Venkatram</w:t>
      </w:r>
      <w:proofErr w:type="spellEnd"/>
      <w:r w:rsidRPr="00EB277C">
        <w:rPr>
          <w:rFonts w:ascii="Times New Roman" w:hAnsi="Times New Roman" w:cs="Times New Roman"/>
          <w:bCs/>
          <w:sz w:val="24"/>
          <w:szCs w:val="32"/>
        </w:rPr>
        <w:t>, R. (2013).</w:t>
      </w:r>
      <w:proofErr w:type="gramEnd"/>
      <w:r w:rsidRPr="00EB277C">
        <w:rPr>
          <w:rFonts w:ascii="Times New Roman" w:hAnsi="Times New Roman" w:cs="Times New Roman"/>
          <w:bCs/>
          <w:sz w:val="24"/>
          <w:szCs w:val="32"/>
        </w:rPr>
        <w:t xml:space="preserve"> Corporate Governance and Firm's Value: An Empirical Analysis of </w:t>
      </w:r>
      <w:proofErr w:type="spellStart"/>
      <w:r w:rsidRPr="00EB277C">
        <w:rPr>
          <w:rFonts w:ascii="Times New Roman" w:hAnsi="Times New Roman" w:cs="Times New Roman"/>
          <w:bCs/>
          <w:sz w:val="24"/>
          <w:szCs w:val="32"/>
        </w:rPr>
        <w:t>Agri</w:t>
      </w:r>
      <w:proofErr w:type="spellEnd"/>
      <w:r w:rsidRPr="00EB277C">
        <w:rPr>
          <w:rFonts w:ascii="Times New Roman" w:hAnsi="Times New Roman" w:cs="Times New Roman"/>
          <w:bCs/>
          <w:sz w:val="24"/>
          <w:szCs w:val="32"/>
        </w:rPr>
        <w:t>-input firms in India. IRACST- International Journal of Commerce, Business and Management, 2 (6), 353-362.</w:t>
      </w:r>
    </w:p>
    <w:p w:rsidR="00EB277C" w:rsidRPr="00EB277C" w:rsidRDefault="00EB277C" w:rsidP="00EB277C">
      <w:pPr>
        <w:jc w:val="both"/>
        <w:rPr>
          <w:rFonts w:ascii="Times New Roman" w:hAnsi="Times New Roman" w:cs="Times New Roman"/>
          <w:bCs/>
          <w:sz w:val="24"/>
          <w:szCs w:val="32"/>
        </w:rPr>
      </w:pPr>
      <w:proofErr w:type="spellStart"/>
      <w:r w:rsidRPr="00EB277C">
        <w:rPr>
          <w:rFonts w:ascii="Times New Roman" w:hAnsi="Times New Roman" w:cs="Times New Roman"/>
          <w:bCs/>
          <w:sz w:val="24"/>
          <w:szCs w:val="32"/>
        </w:rPr>
        <w:t>Kathuria</w:t>
      </w:r>
      <w:proofErr w:type="spellEnd"/>
      <w:r w:rsidRPr="00EB277C">
        <w:rPr>
          <w:rFonts w:ascii="Times New Roman" w:hAnsi="Times New Roman" w:cs="Times New Roman"/>
          <w:bCs/>
          <w:sz w:val="24"/>
          <w:szCs w:val="32"/>
        </w:rPr>
        <w:t xml:space="preserve">, V. &amp; Dash, S. (1999). Board Size and Corporate Financial Performance: An Investigation. </w:t>
      </w:r>
      <w:proofErr w:type="spellStart"/>
      <w:r w:rsidRPr="00EB277C">
        <w:rPr>
          <w:rFonts w:ascii="Times New Roman" w:hAnsi="Times New Roman" w:cs="Times New Roman"/>
          <w:bCs/>
          <w:sz w:val="24"/>
          <w:szCs w:val="32"/>
        </w:rPr>
        <w:t>Vikalpa</w:t>
      </w:r>
      <w:proofErr w:type="spellEnd"/>
      <w:r w:rsidRPr="00EB277C">
        <w:rPr>
          <w:rFonts w:ascii="Times New Roman" w:hAnsi="Times New Roman" w:cs="Times New Roman"/>
          <w:bCs/>
          <w:sz w:val="24"/>
          <w:szCs w:val="32"/>
        </w:rPr>
        <w:t>, 24(3), 11-17.</w:t>
      </w:r>
    </w:p>
    <w:p w:rsidR="00EB277C" w:rsidRPr="00EB277C" w:rsidRDefault="00EB277C" w:rsidP="00EB277C">
      <w:pPr>
        <w:jc w:val="both"/>
        <w:rPr>
          <w:rFonts w:ascii="Times New Roman" w:hAnsi="Times New Roman" w:cs="Times New Roman"/>
          <w:bCs/>
          <w:sz w:val="24"/>
          <w:szCs w:val="32"/>
        </w:rPr>
      </w:pPr>
      <w:r w:rsidRPr="00EB277C">
        <w:rPr>
          <w:rFonts w:ascii="Times New Roman" w:hAnsi="Times New Roman" w:cs="Times New Roman"/>
          <w:bCs/>
          <w:sz w:val="24"/>
          <w:szCs w:val="32"/>
        </w:rPr>
        <w:t xml:space="preserve">Kumar, J. (2004). Does Corporate Governance Influence Firm Value? </w:t>
      </w:r>
      <w:proofErr w:type="gramStart"/>
      <w:r w:rsidRPr="00EB277C">
        <w:rPr>
          <w:rFonts w:ascii="Times New Roman" w:hAnsi="Times New Roman" w:cs="Times New Roman"/>
          <w:bCs/>
          <w:sz w:val="24"/>
          <w:szCs w:val="32"/>
        </w:rPr>
        <w:t>Evidence from Indian Firms.</w:t>
      </w:r>
      <w:proofErr w:type="gramEnd"/>
      <w:r w:rsidRPr="00EB277C">
        <w:rPr>
          <w:rFonts w:ascii="Times New Roman" w:hAnsi="Times New Roman" w:cs="Times New Roman"/>
          <w:bCs/>
          <w:sz w:val="24"/>
          <w:szCs w:val="32"/>
        </w:rPr>
        <w:t xml:space="preserve"> Journal of Entrepreneurial Finance and Business Ventures, 9(2), 61-92.</w:t>
      </w:r>
    </w:p>
    <w:p w:rsidR="00EB277C" w:rsidRPr="00EB277C" w:rsidRDefault="00EB277C" w:rsidP="00EB277C">
      <w:pPr>
        <w:jc w:val="both"/>
        <w:rPr>
          <w:rFonts w:ascii="Times New Roman" w:hAnsi="Times New Roman" w:cs="Times New Roman"/>
          <w:bCs/>
          <w:sz w:val="24"/>
          <w:szCs w:val="32"/>
        </w:rPr>
      </w:pPr>
      <w:proofErr w:type="spellStart"/>
      <w:r w:rsidRPr="00EB277C">
        <w:rPr>
          <w:rFonts w:ascii="Times New Roman" w:hAnsi="Times New Roman" w:cs="Times New Roman"/>
          <w:bCs/>
          <w:sz w:val="24"/>
          <w:szCs w:val="32"/>
        </w:rPr>
        <w:t>Mang'unyi</w:t>
      </w:r>
      <w:proofErr w:type="spellEnd"/>
      <w:r w:rsidRPr="00EB277C">
        <w:rPr>
          <w:rFonts w:ascii="Times New Roman" w:hAnsi="Times New Roman" w:cs="Times New Roman"/>
          <w:bCs/>
          <w:sz w:val="24"/>
          <w:szCs w:val="32"/>
        </w:rPr>
        <w:t>, E.E. (2011). Ownership structure and Corporate Governance and its effects on performance: A case of selected Banks in Kenya. International Journal of Business Administration</w:t>
      </w:r>
      <w:proofErr w:type="gramStart"/>
      <w:r w:rsidRPr="00EB277C">
        <w:rPr>
          <w:rFonts w:ascii="Times New Roman" w:hAnsi="Times New Roman" w:cs="Times New Roman"/>
          <w:bCs/>
          <w:sz w:val="24"/>
          <w:szCs w:val="32"/>
        </w:rPr>
        <w:t>,2</w:t>
      </w:r>
      <w:proofErr w:type="gramEnd"/>
      <w:r w:rsidRPr="00EB277C">
        <w:rPr>
          <w:rFonts w:ascii="Times New Roman" w:hAnsi="Times New Roman" w:cs="Times New Roman"/>
          <w:bCs/>
          <w:sz w:val="24"/>
          <w:szCs w:val="32"/>
        </w:rPr>
        <w:t>(3), 2-18.</w:t>
      </w: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Mohammed, F. (2012).</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Impact of Corporate Governance on Banks Performance in Nigeria.</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Journal of Emerging Trends in Economics and Management Sciences, 3(3), 257-260.</w:t>
      </w:r>
      <w:proofErr w:type="gramEnd"/>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Mohd</w:t>
      </w:r>
      <w:proofErr w:type="spellEnd"/>
      <w:r w:rsidRPr="00EB277C">
        <w:rPr>
          <w:rFonts w:ascii="Times New Roman" w:hAnsi="Times New Roman" w:cs="Times New Roman"/>
          <w:bCs/>
          <w:sz w:val="24"/>
          <w:szCs w:val="32"/>
        </w:rPr>
        <w:t>.,</w:t>
      </w:r>
      <w:proofErr w:type="gramEnd"/>
      <w:r w:rsidRPr="00EB277C">
        <w:rPr>
          <w:rFonts w:ascii="Times New Roman" w:hAnsi="Times New Roman" w:cs="Times New Roman"/>
          <w:bCs/>
          <w:sz w:val="24"/>
          <w:szCs w:val="32"/>
        </w:rPr>
        <w:t xml:space="preserve"> A.A.K. &amp; Fatima, F. (2009). Corporate Governance: A Focus on Disclosure and Transparency Practices of National Mineral Development Corporation Ltd. (NMDC). Indian Journal of Finance, 3(5), 39-47.</w:t>
      </w:r>
    </w:p>
    <w:p w:rsidR="00EB277C" w:rsidRPr="00EB277C" w:rsidRDefault="00EB277C" w:rsidP="00EB277C">
      <w:pPr>
        <w:jc w:val="both"/>
        <w:rPr>
          <w:rFonts w:ascii="Times New Roman" w:hAnsi="Times New Roman" w:cs="Times New Roman"/>
          <w:bCs/>
          <w:sz w:val="24"/>
          <w:szCs w:val="32"/>
        </w:rPr>
      </w:pPr>
      <w:proofErr w:type="spellStart"/>
      <w:r w:rsidRPr="00EB277C">
        <w:rPr>
          <w:rFonts w:ascii="Times New Roman" w:hAnsi="Times New Roman" w:cs="Times New Roman"/>
          <w:bCs/>
          <w:sz w:val="24"/>
          <w:szCs w:val="32"/>
        </w:rPr>
        <w:t>Narwal</w:t>
      </w:r>
      <w:proofErr w:type="spellEnd"/>
      <w:r w:rsidRPr="00EB277C">
        <w:rPr>
          <w:rFonts w:ascii="Times New Roman" w:hAnsi="Times New Roman" w:cs="Times New Roman"/>
          <w:bCs/>
          <w:sz w:val="24"/>
          <w:szCs w:val="32"/>
        </w:rPr>
        <w:t xml:space="preserve">, K.P. &amp; </w:t>
      </w:r>
      <w:proofErr w:type="spellStart"/>
      <w:r w:rsidRPr="00EB277C">
        <w:rPr>
          <w:rFonts w:ascii="Times New Roman" w:hAnsi="Times New Roman" w:cs="Times New Roman"/>
          <w:bCs/>
          <w:sz w:val="24"/>
          <w:szCs w:val="32"/>
        </w:rPr>
        <w:t>Jindal</w:t>
      </w:r>
      <w:proofErr w:type="spellEnd"/>
      <w:r w:rsidRPr="00EB277C">
        <w:rPr>
          <w:rFonts w:ascii="Times New Roman" w:hAnsi="Times New Roman" w:cs="Times New Roman"/>
          <w:bCs/>
          <w:sz w:val="24"/>
          <w:szCs w:val="32"/>
        </w:rPr>
        <w:t>, S. (2015). The Impact of Corporate Governance on Profitability: An Empirical Study of the Indian Textile Industry. International Journal of Research in Management, Science &amp; Technology, 3(2), 81-85.</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Olubukunola</w:t>
      </w:r>
      <w:proofErr w:type="spellEnd"/>
      <w:r w:rsidRPr="00EB277C">
        <w:rPr>
          <w:rFonts w:ascii="Times New Roman" w:hAnsi="Times New Roman" w:cs="Times New Roman"/>
          <w:bCs/>
          <w:sz w:val="24"/>
          <w:szCs w:val="32"/>
        </w:rPr>
        <w:t>, O. &amp; Stephen, O. (2011).</w:t>
      </w:r>
      <w:proofErr w:type="gramEnd"/>
      <w:r w:rsidRPr="00EB277C">
        <w:rPr>
          <w:rFonts w:ascii="Times New Roman" w:hAnsi="Times New Roman" w:cs="Times New Roman"/>
          <w:bCs/>
          <w:sz w:val="24"/>
          <w:szCs w:val="32"/>
        </w:rPr>
        <w:t xml:space="preserve"> The Role of Non-Executive Directors in the Profitability of Banks: A Study of Universal Banks in Nigeria. International Journal of Business and Management, 6(2), 248-257.</w:t>
      </w:r>
    </w:p>
    <w:p w:rsidR="00EB277C" w:rsidRPr="00EB277C" w:rsidRDefault="00EB277C" w:rsidP="00EB277C">
      <w:pPr>
        <w:jc w:val="both"/>
        <w:rPr>
          <w:rFonts w:ascii="Times New Roman" w:hAnsi="Times New Roman" w:cs="Times New Roman"/>
          <w:bCs/>
          <w:sz w:val="24"/>
          <w:szCs w:val="32"/>
        </w:rPr>
      </w:pPr>
      <w:proofErr w:type="spellStart"/>
      <w:r w:rsidRPr="00EB277C">
        <w:rPr>
          <w:rFonts w:ascii="Times New Roman" w:hAnsi="Times New Roman" w:cs="Times New Roman"/>
          <w:bCs/>
          <w:sz w:val="24"/>
          <w:szCs w:val="32"/>
        </w:rPr>
        <w:t>Pandya</w:t>
      </w:r>
      <w:proofErr w:type="spellEnd"/>
      <w:r w:rsidRPr="00EB277C">
        <w:rPr>
          <w:rFonts w:ascii="Times New Roman" w:hAnsi="Times New Roman" w:cs="Times New Roman"/>
          <w:bCs/>
          <w:sz w:val="24"/>
          <w:szCs w:val="32"/>
        </w:rPr>
        <w:t xml:space="preserve">, H. (2011). </w:t>
      </w:r>
      <w:proofErr w:type="gramStart"/>
      <w:r w:rsidRPr="00EB277C">
        <w:rPr>
          <w:rFonts w:ascii="Times New Roman" w:hAnsi="Times New Roman" w:cs="Times New Roman"/>
          <w:bCs/>
          <w:sz w:val="24"/>
          <w:szCs w:val="32"/>
        </w:rPr>
        <w:t>Corporate Governance Structures and Financial Performance of Selected Indian Banks.</w:t>
      </w:r>
      <w:proofErr w:type="gramEnd"/>
      <w:r w:rsidRPr="00EB277C">
        <w:rPr>
          <w:rFonts w:ascii="Times New Roman" w:hAnsi="Times New Roman" w:cs="Times New Roman"/>
          <w:bCs/>
          <w:sz w:val="24"/>
          <w:szCs w:val="32"/>
        </w:rPr>
        <w:t xml:space="preserve"> Journal of Management &amp; Public Policy, 2(2), 4-21.</w:t>
      </w: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 xml:space="preserve">Sridhar, V.R. &amp; </w:t>
      </w:r>
      <w:proofErr w:type="spellStart"/>
      <w:r w:rsidRPr="00EB277C">
        <w:rPr>
          <w:rFonts w:ascii="Times New Roman" w:hAnsi="Times New Roman" w:cs="Times New Roman"/>
          <w:bCs/>
          <w:sz w:val="24"/>
          <w:szCs w:val="32"/>
        </w:rPr>
        <w:t>Murugan</w:t>
      </w:r>
      <w:proofErr w:type="spellEnd"/>
      <w:r w:rsidRPr="00EB277C">
        <w:rPr>
          <w:rFonts w:ascii="Times New Roman" w:hAnsi="Times New Roman" w:cs="Times New Roman"/>
          <w:bCs/>
          <w:sz w:val="24"/>
          <w:szCs w:val="32"/>
        </w:rPr>
        <w:t>, M.S. (2015).</w:t>
      </w:r>
      <w:proofErr w:type="gramEnd"/>
      <w:r w:rsidRPr="00EB277C">
        <w:rPr>
          <w:rFonts w:ascii="Times New Roman" w:hAnsi="Times New Roman" w:cs="Times New Roman"/>
          <w:bCs/>
          <w:sz w:val="24"/>
          <w:szCs w:val="32"/>
        </w:rPr>
        <w:t xml:space="preserve"> </w:t>
      </w:r>
      <w:proofErr w:type="gramStart"/>
      <w:r w:rsidRPr="00EB277C">
        <w:rPr>
          <w:rFonts w:ascii="Times New Roman" w:hAnsi="Times New Roman" w:cs="Times New Roman"/>
          <w:bCs/>
          <w:sz w:val="24"/>
          <w:szCs w:val="32"/>
        </w:rPr>
        <w:t>Impact of Corporate Governance on financial performance of companies – A study with reference to select corporate sectors.</w:t>
      </w:r>
      <w:proofErr w:type="gramEnd"/>
      <w:r w:rsidRPr="00EB277C">
        <w:rPr>
          <w:rFonts w:ascii="Times New Roman" w:hAnsi="Times New Roman" w:cs="Times New Roman"/>
          <w:bCs/>
          <w:sz w:val="24"/>
          <w:szCs w:val="32"/>
        </w:rPr>
        <w:t xml:space="preserve"> International Journal in Commerce, IT &amp; Social Sciences</w:t>
      </w:r>
      <w:proofErr w:type="gramStart"/>
      <w:r w:rsidRPr="00EB277C">
        <w:rPr>
          <w:rFonts w:ascii="Times New Roman" w:hAnsi="Times New Roman" w:cs="Times New Roman"/>
          <w:bCs/>
          <w:sz w:val="24"/>
          <w:szCs w:val="32"/>
        </w:rPr>
        <w:t>,2</w:t>
      </w:r>
      <w:proofErr w:type="gramEnd"/>
      <w:r w:rsidRPr="00EB277C">
        <w:rPr>
          <w:rFonts w:ascii="Times New Roman" w:hAnsi="Times New Roman" w:cs="Times New Roman"/>
          <w:bCs/>
          <w:sz w:val="24"/>
          <w:szCs w:val="32"/>
        </w:rPr>
        <w:t>(8), 10-23.</w:t>
      </w:r>
    </w:p>
    <w:p w:rsidR="00EB277C" w:rsidRPr="00EB277C" w:rsidRDefault="00EB277C" w:rsidP="00EB277C">
      <w:pPr>
        <w:jc w:val="both"/>
        <w:rPr>
          <w:rFonts w:ascii="Times New Roman" w:hAnsi="Times New Roman" w:cs="Times New Roman"/>
          <w:bCs/>
          <w:sz w:val="24"/>
          <w:szCs w:val="32"/>
        </w:rPr>
      </w:pPr>
      <w:proofErr w:type="gramStart"/>
      <w:r w:rsidRPr="00EB277C">
        <w:rPr>
          <w:rFonts w:ascii="Times New Roman" w:hAnsi="Times New Roman" w:cs="Times New Roman"/>
          <w:bCs/>
          <w:sz w:val="24"/>
          <w:szCs w:val="32"/>
        </w:rPr>
        <w:t xml:space="preserve">Thomas, R. &amp; </w:t>
      </w:r>
      <w:proofErr w:type="spellStart"/>
      <w:r w:rsidRPr="00EB277C">
        <w:rPr>
          <w:rFonts w:ascii="Times New Roman" w:hAnsi="Times New Roman" w:cs="Times New Roman"/>
          <w:bCs/>
          <w:sz w:val="24"/>
          <w:szCs w:val="32"/>
        </w:rPr>
        <w:t>Thakur</w:t>
      </w:r>
      <w:proofErr w:type="spellEnd"/>
      <w:r w:rsidRPr="00EB277C">
        <w:rPr>
          <w:rFonts w:ascii="Times New Roman" w:hAnsi="Times New Roman" w:cs="Times New Roman"/>
          <w:bCs/>
          <w:sz w:val="24"/>
          <w:szCs w:val="32"/>
        </w:rPr>
        <w:t>, S.S. (2014).</w:t>
      </w:r>
      <w:proofErr w:type="gramEnd"/>
      <w:r w:rsidRPr="00EB277C">
        <w:rPr>
          <w:rFonts w:ascii="Times New Roman" w:hAnsi="Times New Roman" w:cs="Times New Roman"/>
          <w:bCs/>
          <w:sz w:val="24"/>
          <w:szCs w:val="32"/>
        </w:rPr>
        <w:t xml:space="preserve"> Analysis of Corporate Governance and Performance of Indian </w:t>
      </w:r>
      <w:proofErr w:type="spellStart"/>
      <w:r w:rsidRPr="00EB277C">
        <w:rPr>
          <w:rFonts w:ascii="Times New Roman" w:hAnsi="Times New Roman" w:cs="Times New Roman"/>
          <w:bCs/>
          <w:sz w:val="24"/>
          <w:szCs w:val="32"/>
        </w:rPr>
        <w:t>Bankshot</w:t>
      </w:r>
      <w:proofErr w:type="spellEnd"/>
      <w:r w:rsidRPr="00EB277C">
        <w:rPr>
          <w:rFonts w:ascii="Times New Roman" w:hAnsi="Times New Roman" w:cs="Times New Roman"/>
          <w:bCs/>
          <w:sz w:val="24"/>
          <w:szCs w:val="32"/>
        </w:rPr>
        <w:t xml:space="preserve"> </w:t>
      </w:r>
      <w:proofErr w:type="spellStart"/>
      <w:r w:rsidRPr="00EB277C">
        <w:rPr>
          <w:rFonts w:ascii="Times New Roman" w:hAnsi="Times New Roman" w:cs="Times New Roman"/>
          <w:bCs/>
          <w:sz w:val="24"/>
          <w:szCs w:val="32"/>
        </w:rPr>
        <w:t>Ganga</w:t>
      </w:r>
      <w:proofErr w:type="spellEnd"/>
      <w:r w:rsidRPr="00EB277C">
        <w:rPr>
          <w:rFonts w:ascii="Times New Roman" w:hAnsi="Times New Roman" w:cs="Times New Roman"/>
          <w:bCs/>
          <w:sz w:val="24"/>
          <w:szCs w:val="32"/>
        </w:rPr>
        <w:t>, 4(1), 5-12.</w:t>
      </w:r>
    </w:p>
    <w:p w:rsidR="00EB277C" w:rsidRPr="00EB277C" w:rsidRDefault="00EB277C" w:rsidP="00EB277C">
      <w:pPr>
        <w:jc w:val="both"/>
        <w:rPr>
          <w:rFonts w:ascii="Times New Roman" w:hAnsi="Times New Roman" w:cs="Times New Roman"/>
          <w:bCs/>
          <w:sz w:val="24"/>
          <w:szCs w:val="32"/>
        </w:rPr>
      </w:pPr>
      <w:proofErr w:type="spellStart"/>
      <w:proofErr w:type="gramStart"/>
      <w:r w:rsidRPr="00EB277C">
        <w:rPr>
          <w:rFonts w:ascii="Times New Roman" w:hAnsi="Times New Roman" w:cs="Times New Roman"/>
          <w:bCs/>
          <w:sz w:val="24"/>
          <w:szCs w:val="32"/>
        </w:rPr>
        <w:t>Vishwakarma</w:t>
      </w:r>
      <w:proofErr w:type="spellEnd"/>
      <w:r w:rsidRPr="00EB277C">
        <w:rPr>
          <w:rFonts w:ascii="Times New Roman" w:hAnsi="Times New Roman" w:cs="Times New Roman"/>
          <w:bCs/>
          <w:sz w:val="24"/>
          <w:szCs w:val="32"/>
        </w:rPr>
        <w:t xml:space="preserve">, R. &amp; </w:t>
      </w:r>
      <w:proofErr w:type="spellStart"/>
      <w:r w:rsidRPr="00EB277C">
        <w:rPr>
          <w:rFonts w:ascii="Times New Roman" w:hAnsi="Times New Roman" w:cs="Times New Roman"/>
          <w:bCs/>
          <w:sz w:val="24"/>
          <w:szCs w:val="32"/>
        </w:rPr>
        <w:t>Alok</w:t>
      </w:r>
      <w:proofErr w:type="spellEnd"/>
      <w:r w:rsidRPr="00EB277C">
        <w:rPr>
          <w:rFonts w:ascii="Times New Roman" w:hAnsi="Times New Roman" w:cs="Times New Roman"/>
          <w:bCs/>
          <w:sz w:val="24"/>
          <w:szCs w:val="32"/>
        </w:rPr>
        <w:t>, K. (2015).</w:t>
      </w:r>
      <w:proofErr w:type="gramEnd"/>
      <w:r w:rsidRPr="00EB277C">
        <w:rPr>
          <w:rFonts w:ascii="Times New Roman" w:hAnsi="Times New Roman" w:cs="Times New Roman"/>
          <w:bCs/>
          <w:sz w:val="24"/>
          <w:szCs w:val="32"/>
        </w:rPr>
        <w:t xml:space="preserve"> Does Corporate Governance Increase Firm Performance in its Industry? </w:t>
      </w:r>
      <w:proofErr w:type="gramStart"/>
      <w:r w:rsidRPr="00EB277C">
        <w:rPr>
          <w:rFonts w:ascii="Times New Roman" w:hAnsi="Times New Roman" w:cs="Times New Roman"/>
          <w:bCs/>
          <w:sz w:val="24"/>
          <w:szCs w:val="32"/>
        </w:rPr>
        <w:t>An Empirical Analysis.</w:t>
      </w:r>
      <w:proofErr w:type="gramEnd"/>
      <w:r w:rsidRPr="00EB277C">
        <w:rPr>
          <w:rFonts w:ascii="Times New Roman" w:hAnsi="Times New Roman" w:cs="Times New Roman"/>
          <w:bCs/>
          <w:sz w:val="24"/>
          <w:szCs w:val="32"/>
        </w:rPr>
        <w:t xml:space="preserve"> BVIMSR's Journal of Management Research, 7(2), 82-90</w:t>
      </w:r>
    </w:p>
    <w:sectPr w:rsidR="00EB277C" w:rsidRPr="00EB277C" w:rsidSect="00DB2CE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B1C7A"/>
    <w:multiLevelType w:val="multilevel"/>
    <w:tmpl w:val="4A983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5F1431"/>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B14C6A"/>
    <w:multiLevelType w:val="multilevel"/>
    <w:tmpl w:val="9830D1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8A7F51"/>
    <w:multiLevelType w:val="hybridMultilevel"/>
    <w:tmpl w:val="530AF6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5382B47"/>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8A655BC"/>
    <w:multiLevelType w:val="hybridMultilevel"/>
    <w:tmpl w:val="AD0E65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14512C4"/>
    <w:multiLevelType w:val="multilevel"/>
    <w:tmpl w:val="586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5450F90"/>
    <w:multiLevelType w:val="hybridMultilevel"/>
    <w:tmpl w:val="712E86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7B87651"/>
    <w:multiLevelType w:val="hybridMultilevel"/>
    <w:tmpl w:val="ADBEC4A4"/>
    <w:lvl w:ilvl="0" w:tplc="A6A44B14">
      <w:start w:val="2"/>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23976EC"/>
    <w:multiLevelType w:val="hybridMultilevel"/>
    <w:tmpl w:val="06041DB6"/>
    <w:lvl w:ilvl="0" w:tplc="A6A44B14">
      <w:start w:val="2"/>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3A1B5C50"/>
    <w:multiLevelType w:val="hybridMultilevel"/>
    <w:tmpl w:val="620CBAFC"/>
    <w:lvl w:ilvl="0" w:tplc="A588D4C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23B0CC7"/>
    <w:multiLevelType w:val="multilevel"/>
    <w:tmpl w:val="B1B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79D2224"/>
    <w:multiLevelType w:val="hybridMultilevel"/>
    <w:tmpl w:val="FBE088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8D00C09"/>
    <w:multiLevelType w:val="multilevel"/>
    <w:tmpl w:val="DC96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2138CD"/>
    <w:multiLevelType w:val="multilevel"/>
    <w:tmpl w:val="B016E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DC36F9F"/>
    <w:multiLevelType w:val="multilevel"/>
    <w:tmpl w:val="0CE63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1254A17"/>
    <w:multiLevelType w:val="hybridMultilevel"/>
    <w:tmpl w:val="2BC8FF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16F4777"/>
    <w:multiLevelType w:val="hybridMultilevel"/>
    <w:tmpl w:val="C63C8106"/>
    <w:lvl w:ilvl="0" w:tplc="40090001">
      <w:start w:val="1"/>
      <w:numFmt w:val="bullet"/>
      <w:lvlText w:val=""/>
      <w:lvlJc w:val="left"/>
      <w:pPr>
        <w:ind w:left="720" w:hanging="360"/>
      </w:pPr>
      <w:rPr>
        <w:rFonts w:ascii="Symbol" w:hAnsi="Symbol" w:hint="default"/>
      </w:rPr>
    </w:lvl>
    <w:lvl w:ilvl="1" w:tplc="BEC89A6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1B260B9"/>
    <w:multiLevelType w:val="hybridMultilevel"/>
    <w:tmpl w:val="A28A14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FA155E"/>
    <w:multiLevelType w:val="multilevel"/>
    <w:tmpl w:val="FB128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890ABF"/>
    <w:multiLevelType w:val="multilevel"/>
    <w:tmpl w:val="046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9991087"/>
    <w:multiLevelType w:val="hybridMultilevel"/>
    <w:tmpl w:val="71625522"/>
    <w:lvl w:ilvl="0" w:tplc="A6A44B14">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A581C30"/>
    <w:multiLevelType w:val="hybridMultilevel"/>
    <w:tmpl w:val="380E011E"/>
    <w:lvl w:ilvl="0" w:tplc="A6A44B14">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B744891"/>
    <w:multiLevelType w:val="hybridMultilevel"/>
    <w:tmpl w:val="CB88D936"/>
    <w:lvl w:ilvl="0" w:tplc="A6A44B14">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0C8254C"/>
    <w:multiLevelType w:val="multilevel"/>
    <w:tmpl w:val="0706E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8FA0729"/>
    <w:multiLevelType w:val="multilevel"/>
    <w:tmpl w:val="C21A0C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9F1F5A"/>
    <w:multiLevelType w:val="multilevel"/>
    <w:tmpl w:val="F0C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63E068E"/>
    <w:multiLevelType w:val="hybridMultilevel"/>
    <w:tmpl w:val="28049670"/>
    <w:lvl w:ilvl="0" w:tplc="A6A44B14">
      <w:start w:val="2"/>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790160DC"/>
    <w:multiLevelType w:val="hybridMultilevel"/>
    <w:tmpl w:val="2AE4C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B6D46B8"/>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6233E3"/>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26"/>
  </w:num>
  <w:num w:numId="4">
    <w:abstractNumId w:val="6"/>
  </w:num>
  <w:num w:numId="5">
    <w:abstractNumId w:val="11"/>
  </w:num>
  <w:num w:numId="6">
    <w:abstractNumId w:val="25"/>
  </w:num>
  <w:num w:numId="7">
    <w:abstractNumId w:val="20"/>
  </w:num>
  <w:num w:numId="8">
    <w:abstractNumId w:val="14"/>
  </w:num>
  <w:num w:numId="9">
    <w:abstractNumId w:val="0"/>
  </w:num>
  <w:num w:numId="10">
    <w:abstractNumId w:val="24"/>
  </w:num>
  <w:num w:numId="11">
    <w:abstractNumId w:val="7"/>
  </w:num>
  <w:num w:numId="12">
    <w:abstractNumId w:val="18"/>
  </w:num>
  <w:num w:numId="13">
    <w:abstractNumId w:val="3"/>
  </w:num>
  <w:num w:numId="14">
    <w:abstractNumId w:val="29"/>
  </w:num>
  <w:num w:numId="15">
    <w:abstractNumId w:val="4"/>
  </w:num>
  <w:num w:numId="16">
    <w:abstractNumId w:val="1"/>
  </w:num>
  <w:num w:numId="17">
    <w:abstractNumId w:val="30"/>
  </w:num>
  <w:num w:numId="18">
    <w:abstractNumId w:val="10"/>
  </w:num>
  <w:num w:numId="19">
    <w:abstractNumId w:val="12"/>
  </w:num>
  <w:num w:numId="20">
    <w:abstractNumId w:val="17"/>
  </w:num>
  <w:num w:numId="21">
    <w:abstractNumId w:val="15"/>
  </w:num>
  <w:num w:numId="22">
    <w:abstractNumId w:val="16"/>
  </w:num>
  <w:num w:numId="23">
    <w:abstractNumId w:val="28"/>
  </w:num>
  <w:num w:numId="24">
    <w:abstractNumId w:val="5"/>
  </w:num>
  <w:num w:numId="25">
    <w:abstractNumId w:val="23"/>
  </w:num>
  <w:num w:numId="26">
    <w:abstractNumId w:val="9"/>
  </w:num>
  <w:num w:numId="27">
    <w:abstractNumId w:val="27"/>
  </w:num>
  <w:num w:numId="28">
    <w:abstractNumId w:val="8"/>
  </w:num>
  <w:num w:numId="29">
    <w:abstractNumId w:val="21"/>
  </w:num>
  <w:num w:numId="30">
    <w:abstractNumId w:val="2"/>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C719D"/>
    <w:rsid w:val="000C25CD"/>
    <w:rsid w:val="00172546"/>
    <w:rsid w:val="00252A67"/>
    <w:rsid w:val="003462E7"/>
    <w:rsid w:val="0039288A"/>
    <w:rsid w:val="003C542C"/>
    <w:rsid w:val="005F5224"/>
    <w:rsid w:val="006A0D9D"/>
    <w:rsid w:val="00765102"/>
    <w:rsid w:val="008309E2"/>
    <w:rsid w:val="00AC06D1"/>
    <w:rsid w:val="00AC719D"/>
    <w:rsid w:val="00B555FF"/>
    <w:rsid w:val="00BE57BC"/>
    <w:rsid w:val="00CE63D4"/>
    <w:rsid w:val="00DB2CE8"/>
    <w:rsid w:val="00EA4909"/>
    <w:rsid w:val="00EA7C21"/>
    <w:rsid w:val="00EB277C"/>
    <w:rsid w:val="00EF20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E8"/>
  </w:style>
  <w:style w:type="paragraph" w:styleId="Heading1">
    <w:name w:val="heading 1"/>
    <w:basedOn w:val="Normal"/>
    <w:next w:val="Normal"/>
    <w:link w:val="Heading1Char"/>
    <w:uiPriority w:val="9"/>
    <w:qFormat/>
    <w:rsid w:val="00AC06D1"/>
    <w:pPr>
      <w:widowControl w:val="0"/>
      <w:spacing w:before="85" w:after="0" w:line="240" w:lineRule="auto"/>
      <w:ind w:left="1365"/>
      <w:jc w:val="center"/>
      <w:outlineLvl w:val="0"/>
    </w:pPr>
    <w:rPr>
      <w:rFonts w:ascii="Arial" w:eastAsia="Arial" w:hAnsi="Arial" w:cs="Arial"/>
      <w:b/>
      <w:sz w:val="36"/>
      <w:szCs w:val="36"/>
      <w:u w:val="single"/>
      <w:lang w:eastAsia="en-IN"/>
    </w:rPr>
  </w:style>
  <w:style w:type="paragraph" w:styleId="Heading3">
    <w:name w:val="heading 3"/>
    <w:basedOn w:val="Normal"/>
    <w:next w:val="Normal"/>
    <w:link w:val="Heading3Char"/>
    <w:uiPriority w:val="9"/>
    <w:semiHidden/>
    <w:unhideWhenUsed/>
    <w:qFormat/>
    <w:rsid w:val="007651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06D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C06D1"/>
    <w:rPr>
      <w:rFonts w:ascii="Arial" w:eastAsia="Arial" w:hAnsi="Arial" w:cs="Arial"/>
      <w:b/>
      <w:sz w:val="36"/>
      <w:szCs w:val="36"/>
      <w:u w:val="single"/>
      <w:lang w:eastAsia="en-IN"/>
    </w:rPr>
  </w:style>
  <w:style w:type="character" w:customStyle="1" w:styleId="Heading3Char">
    <w:name w:val="Heading 3 Char"/>
    <w:basedOn w:val="DefaultParagraphFont"/>
    <w:link w:val="Heading3"/>
    <w:uiPriority w:val="9"/>
    <w:semiHidden/>
    <w:rsid w:val="0076510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555FF"/>
    <w:pPr>
      <w:ind w:left="720"/>
      <w:contextualSpacing/>
    </w:pPr>
  </w:style>
  <w:style w:type="character" w:styleId="Strong">
    <w:name w:val="Strong"/>
    <w:basedOn w:val="DefaultParagraphFont"/>
    <w:uiPriority w:val="22"/>
    <w:qFormat/>
    <w:rsid w:val="00EF20D1"/>
    <w:rPr>
      <w:b/>
      <w:bCs/>
    </w:rPr>
  </w:style>
</w:styles>
</file>

<file path=word/webSettings.xml><?xml version="1.0" encoding="utf-8"?>
<w:webSettings xmlns:r="http://schemas.openxmlformats.org/officeDocument/2006/relationships" xmlns:w="http://schemas.openxmlformats.org/wordprocessingml/2006/main">
  <w:divs>
    <w:div w:id="731392328">
      <w:bodyDiv w:val="1"/>
      <w:marLeft w:val="0"/>
      <w:marRight w:val="0"/>
      <w:marTop w:val="0"/>
      <w:marBottom w:val="0"/>
      <w:divBdr>
        <w:top w:val="none" w:sz="0" w:space="0" w:color="auto"/>
        <w:left w:val="none" w:sz="0" w:space="0" w:color="auto"/>
        <w:bottom w:val="none" w:sz="0" w:space="0" w:color="auto"/>
        <w:right w:val="none" w:sz="0" w:space="0" w:color="auto"/>
      </w:divBdr>
      <w:divsChild>
        <w:div w:id="721247787">
          <w:marLeft w:val="0"/>
          <w:marRight w:val="0"/>
          <w:marTop w:val="0"/>
          <w:marBottom w:val="0"/>
          <w:divBdr>
            <w:top w:val="single" w:sz="2" w:space="0" w:color="E3E3E3"/>
            <w:left w:val="single" w:sz="2" w:space="0" w:color="E3E3E3"/>
            <w:bottom w:val="single" w:sz="2" w:space="0" w:color="E3E3E3"/>
            <w:right w:val="single" w:sz="2" w:space="0" w:color="E3E3E3"/>
          </w:divBdr>
          <w:divsChild>
            <w:div w:id="1087650764">
              <w:marLeft w:val="0"/>
              <w:marRight w:val="0"/>
              <w:marTop w:val="0"/>
              <w:marBottom w:val="0"/>
              <w:divBdr>
                <w:top w:val="single" w:sz="2" w:space="0" w:color="E3E3E3"/>
                <w:left w:val="single" w:sz="2" w:space="0" w:color="E3E3E3"/>
                <w:bottom w:val="single" w:sz="2" w:space="0" w:color="E3E3E3"/>
                <w:right w:val="single" w:sz="2" w:space="0" w:color="E3E3E3"/>
              </w:divBdr>
              <w:divsChild>
                <w:div w:id="1362128455">
                  <w:marLeft w:val="0"/>
                  <w:marRight w:val="0"/>
                  <w:marTop w:val="0"/>
                  <w:marBottom w:val="0"/>
                  <w:divBdr>
                    <w:top w:val="single" w:sz="2" w:space="2" w:color="E3E3E3"/>
                    <w:left w:val="single" w:sz="2" w:space="0" w:color="E3E3E3"/>
                    <w:bottom w:val="single" w:sz="2" w:space="0" w:color="E3E3E3"/>
                    <w:right w:val="single" w:sz="2" w:space="0" w:color="E3E3E3"/>
                  </w:divBdr>
                  <w:divsChild>
                    <w:div w:id="1488472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3141</Words>
  <Characters>17908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kumar</dc:creator>
  <cp:lastModifiedBy>HP</cp:lastModifiedBy>
  <cp:revision>2</cp:revision>
  <dcterms:created xsi:type="dcterms:W3CDTF">2024-05-19T08:39:00Z</dcterms:created>
  <dcterms:modified xsi:type="dcterms:W3CDTF">2024-05-19T08:39:00Z</dcterms:modified>
</cp:coreProperties>
</file>