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4B678" w14:textId="7E601A74" w:rsidR="0091607B" w:rsidRDefault="0091607B"/>
    <w:p w14:paraId="0D28F336" w14:textId="77777777" w:rsidR="005257D8" w:rsidRDefault="00F71FBC" w:rsidP="00F71FBC">
      <w:pPr>
        <w:pStyle w:val="NormalWeb"/>
        <w:shd w:val="clear" w:color="auto" w:fill="FFFFFF"/>
        <w:contextualSpacing/>
        <w:jc w:val="center"/>
        <w:rPr>
          <w:b/>
          <w:sz w:val="32"/>
        </w:rPr>
      </w:pPr>
      <w:r w:rsidRPr="00F71FBC">
        <w:rPr>
          <w:b/>
          <w:sz w:val="32"/>
        </w:rPr>
        <w:t>Literature review article on preeclampsia</w:t>
      </w:r>
    </w:p>
    <w:p w14:paraId="770726D8" w14:textId="77777777" w:rsidR="00F71FBC" w:rsidRPr="00F71FBC" w:rsidRDefault="00F71FBC" w:rsidP="00F71FBC">
      <w:pPr>
        <w:pStyle w:val="NormalWeb"/>
        <w:shd w:val="clear" w:color="auto" w:fill="FFFFFF"/>
        <w:contextualSpacing/>
        <w:jc w:val="center"/>
        <w:rPr>
          <w:b/>
          <w:sz w:val="32"/>
        </w:rPr>
      </w:pPr>
    </w:p>
    <w:p w14:paraId="686A3091" w14:textId="5B393EC8" w:rsidR="007475BA" w:rsidRDefault="00C959E0" w:rsidP="002211CA">
      <w:pPr>
        <w:pStyle w:val="NormalWeb"/>
        <w:shd w:val="clear" w:color="auto" w:fill="FFFFFF"/>
        <w:contextualSpacing/>
        <w:jc w:val="both"/>
      </w:pPr>
      <w:r w:rsidRPr="00C959E0">
        <w:rPr>
          <w:b/>
        </w:rPr>
        <w:t>T</w:t>
      </w:r>
      <w:r w:rsidR="00CD1976">
        <w:rPr>
          <w:b/>
        </w:rPr>
        <w:t xml:space="preserve">ahar </w:t>
      </w:r>
      <w:r w:rsidRPr="00C959E0">
        <w:rPr>
          <w:b/>
        </w:rPr>
        <w:t>Ait mouheb</w:t>
      </w:r>
      <w:r w:rsidRPr="00C959E0">
        <w:t xml:space="preserve">, </w:t>
      </w:r>
      <w:proofErr w:type="spellStart"/>
      <w:r w:rsidRPr="00C959E0">
        <w:t>N</w:t>
      </w:r>
      <w:r w:rsidR="00CD1976">
        <w:t>acira</w:t>
      </w:r>
      <w:proofErr w:type="spellEnd"/>
      <w:r w:rsidR="00CD1976">
        <w:t xml:space="preserve"> </w:t>
      </w:r>
      <w:proofErr w:type="spellStart"/>
      <w:r w:rsidR="00CD1976">
        <w:t>B</w:t>
      </w:r>
      <w:r w:rsidRPr="00C959E0">
        <w:t>enmouhoub</w:t>
      </w:r>
      <w:proofErr w:type="spellEnd"/>
      <w:r w:rsidRPr="00C959E0">
        <w:t>, L</w:t>
      </w:r>
      <w:r w:rsidR="00CD1976">
        <w:t xml:space="preserve">ynda </w:t>
      </w:r>
      <w:r w:rsidRPr="00C959E0">
        <w:t xml:space="preserve">Ait </w:t>
      </w:r>
      <w:proofErr w:type="spellStart"/>
      <w:r w:rsidRPr="00C959E0">
        <w:t>mokhtar</w:t>
      </w:r>
      <w:proofErr w:type="spellEnd"/>
      <w:r w:rsidRPr="00C959E0">
        <w:t>, S</w:t>
      </w:r>
      <w:r w:rsidR="00CD1976">
        <w:t xml:space="preserve">ana </w:t>
      </w:r>
      <w:r w:rsidRPr="00C959E0">
        <w:t>Guedaoura</w:t>
      </w:r>
    </w:p>
    <w:p w14:paraId="4CD60D81" w14:textId="77777777" w:rsidR="00C959E0" w:rsidRPr="00C959E0" w:rsidRDefault="00C959E0" w:rsidP="002211CA">
      <w:pPr>
        <w:pStyle w:val="NormalWeb"/>
        <w:shd w:val="clear" w:color="auto" w:fill="FFFFFF"/>
        <w:contextualSpacing/>
        <w:jc w:val="both"/>
      </w:pPr>
      <w:r>
        <w:t>Faculty of Medicine of Algiers</w:t>
      </w:r>
    </w:p>
    <w:p w14:paraId="4AD0FE1B" w14:textId="77777777" w:rsidR="00C959E0" w:rsidRPr="00C959E0" w:rsidRDefault="00C959E0" w:rsidP="002211CA">
      <w:pPr>
        <w:pStyle w:val="NormalWeb"/>
        <w:shd w:val="clear" w:color="auto" w:fill="FFFFFF"/>
        <w:contextualSpacing/>
        <w:jc w:val="both"/>
      </w:pPr>
    </w:p>
    <w:p w14:paraId="4EB12F65" w14:textId="77777777" w:rsidR="00BE3C1C" w:rsidRPr="009A263F" w:rsidRDefault="00C205A1" w:rsidP="007475BA">
      <w:pPr>
        <w:pStyle w:val="NormalWeb"/>
        <w:shd w:val="clear" w:color="auto" w:fill="FFFFFF"/>
        <w:contextualSpacing/>
        <w:jc w:val="both"/>
        <w:rPr>
          <w:b/>
          <w:u w:val="single"/>
        </w:rPr>
      </w:pPr>
      <w:r w:rsidRPr="009A263F">
        <w:rPr>
          <w:b/>
          <w:u w:val="single"/>
        </w:rPr>
        <w:t>Summary :</w:t>
      </w:r>
    </w:p>
    <w:p w14:paraId="7E740A82" w14:textId="77777777" w:rsidR="007475BA" w:rsidRPr="009A263F" w:rsidRDefault="00BE3C1C" w:rsidP="007475BA">
      <w:pPr>
        <w:pStyle w:val="NormalWeb"/>
        <w:shd w:val="clear" w:color="auto" w:fill="FFFFFF"/>
        <w:contextualSpacing/>
        <w:jc w:val="both"/>
      </w:pPr>
      <w:r w:rsidRPr="009A263F">
        <w:t>Preeclampsia is a multi-system disorder of pregnancy characterized by varying degrees of impaired placental perfusion, with release of soluble factors into the circulation. These factors cause maternal vascular endothelial damage, which leads to hypertension and multiorgan damage. Placental disease can cause fetal growth restriction and result in stillbirth. Preeclampsia is a major cause of maternal and perinatal mortality and morbidity, particularly in low- and middle-income countries. Prophylactic low-dose aspirin may reduce the risk of early preeclampsia, but once preeclampsia is diagnosed, there is no cure except for childbirth, and no drugs have been shown to be effective on the progression of the disease. Timing of delivery is planned to optimize fetal and maternal outcomes. Clinical trials have reported diagnostic and prognostic strategies that may improve fetal and maternal outcomes and evaluated the optimal timing of delivery in women with early-onset preeclampsia. Ongoing studies are evaluating the effectiveness, dose, and timing of aspirin and calcium to prevent preeclampsia and evaluating other medications to control hypertension or improve disease progression.</w:t>
      </w:r>
    </w:p>
    <w:p w14:paraId="44C40EBE" w14:textId="77777777" w:rsidR="00BE3C1C" w:rsidRPr="009A263F" w:rsidRDefault="00BE3C1C" w:rsidP="007475BA">
      <w:pPr>
        <w:pStyle w:val="NormalWeb"/>
        <w:shd w:val="clear" w:color="auto" w:fill="FFFFFF"/>
        <w:contextualSpacing/>
        <w:jc w:val="both"/>
        <w:rPr>
          <w:b/>
          <w:u w:val="single"/>
        </w:rPr>
      </w:pPr>
    </w:p>
    <w:p w14:paraId="3076700F" w14:textId="77777777" w:rsidR="00587A23" w:rsidRPr="009A263F" w:rsidRDefault="003E75FC" w:rsidP="00587A23">
      <w:pPr>
        <w:pStyle w:val="NormalWeb"/>
        <w:numPr>
          <w:ilvl w:val="0"/>
          <w:numId w:val="9"/>
        </w:numPr>
        <w:shd w:val="clear" w:color="auto" w:fill="FFFFFF"/>
        <w:contextualSpacing/>
        <w:jc w:val="both"/>
        <w:rPr>
          <w:b/>
          <w:u w:val="single"/>
        </w:rPr>
      </w:pPr>
      <w:r w:rsidRPr="009A263F">
        <w:rPr>
          <w:b/>
          <w:u w:val="single"/>
        </w:rPr>
        <w:t>Introduction :</w:t>
      </w:r>
    </w:p>
    <w:p w14:paraId="4AB5AB8B" w14:textId="77777777" w:rsidR="00587A23" w:rsidRPr="009A263F" w:rsidRDefault="00587A23" w:rsidP="00587A23">
      <w:pPr>
        <w:pStyle w:val="NormalWeb"/>
        <w:shd w:val="clear" w:color="auto" w:fill="FFFFFF"/>
        <w:contextualSpacing/>
        <w:jc w:val="both"/>
        <w:rPr>
          <w:b/>
          <w:u w:val="single"/>
        </w:rPr>
      </w:pPr>
    </w:p>
    <w:p w14:paraId="3682C0E6" w14:textId="77777777" w:rsidR="00F569C2" w:rsidRPr="009A263F" w:rsidRDefault="003E75FC" w:rsidP="00B3587D">
      <w:pPr>
        <w:pStyle w:val="NormalWeb"/>
        <w:shd w:val="clear" w:color="auto" w:fill="FFFFFF"/>
        <w:contextualSpacing/>
        <w:jc w:val="both"/>
        <w:rPr>
          <w:u w:val="single"/>
        </w:rPr>
      </w:pPr>
      <w:r w:rsidRPr="009A263F">
        <w:t>Preeclampsia (PE) is a specific multi-system pathology that complicates 2 to 8% of pregnancies</w:t>
      </w:r>
      <w:r w:rsidRPr="009A263F">
        <w:rPr>
          <w:color w:val="FF0000"/>
        </w:rPr>
        <w:sym w:font="Symbol" w:char="F05B"/>
      </w:r>
      <w:r w:rsidRPr="009A263F">
        <w:rPr>
          <w:color w:val="FF0000"/>
        </w:rPr>
        <w:t>1</w:t>
      </w:r>
      <w:r w:rsidRPr="009A263F">
        <w:rPr>
          <w:color w:val="FF0000"/>
        </w:rPr>
        <w:sym w:font="Symbol" w:char="F05D"/>
      </w:r>
      <w:r w:rsidRPr="009A263F">
        <w:rPr>
          <w:color w:val="000000" w:themeColor="text1"/>
        </w:rPr>
        <w:t>.Her</w:t>
      </w:r>
      <w:r w:rsidR="00F569C2" w:rsidRPr="009A263F">
        <w:t>Incidence is very variable due to the ethnic, geographic and socio-economic differences of the populations studied, and especially the multiplicity of definitions and the frequency of diagnostic errors. It is 3 to 7% among nulliparous women and 1 to 3% among multiparous women in Anglo-Saxon countries.</w:t>
      </w:r>
      <w:r w:rsidR="00F569C2" w:rsidRPr="009A263F">
        <w:rPr>
          <w:color w:val="FF0000"/>
        </w:rPr>
        <w:t>[2]</w:t>
      </w:r>
      <w:r w:rsidR="00F569C2" w:rsidRPr="009A263F">
        <w:t>.</w:t>
      </w:r>
    </w:p>
    <w:p w14:paraId="512F0362" w14:textId="77777777" w:rsidR="00D362C6" w:rsidRPr="009A263F" w:rsidRDefault="00943437" w:rsidP="00B3587D">
      <w:pPr>
        <w:pStyle w:val="NormalWeb"/>
        <w:shd w:val="clear" w:color="auto" w:fill="FFFFFF"/>
        <w:contextualSpacing/>
        <w:jc w:val="both"/>
        <w:rPr>
          <w:color w:val="000000" w:themeColor="text1"/>
        </w:rPr>
      </w:pPr>
      <w:r w:rsidRPr="009A263F">
        <w:t>The gold standard of definition is high blood pressure associated with proteinuria</w:t>
      </w:r>
      <w:r w:rsidR="00091CC8" w:rsidRPr="009A263F">
        <w:rPr>
          <w:color w:val="FF0000"/>
        </w:rPr>
        <w:t>[3]</w:t>
      </w:r>
      <w:r w:rsidR="00091CC8" w:rsidRPr="009A263F">
        <w:t>. PE significantly increases maternal morbidity and mortality</w:t>
      </w:r>
      <w:r w:rsidR="00091CC8" w:rsidRPr="009A263F">
        <w:rPr>
          <w:color w:val="FF0000"/>
        </w:rPr>
        <w:t>[4]</w:t>
      </w:r>
      <w:r w:rsidR="00091CC8" w:rsidRPr="009A263F">
        <w:t>, and perinatal</w:t>
      </w:r>
      <w:r w:rsidR="00091CC8" w:rsidRPr="009A263F">
        <w:rPr>
          <w:color w:val="FF0000"/>
        </w:rPr>
        <w:t>[5]</w:t>
      </w:r>
      <w:r w:rsidR="00091CC8" w:rsidRPr="009A263F">
        <w:t>. In addition to the risk of severe complications such as retroplacental hematoma, thrombocytopenia, disseminated intravascular coagulation,</w:t>
      </w:r>
      <w:r w:rsidR="00817C61" w:rsidRPr="009A263F">
        <w:rPr>
          <w:color w:val="000000"/>
        </w:rPr>
        <w:t>œ</w:t>
      </w:r>
      <w:r w:rsidR="00817C61" w:rsidRPr="009A263F">
        <w:t>pulmonary edema and bronchial inhalation</w:t>
      </w:r>
      <w:r w:rsidR="00817C61" w:rsidRPr="009A263F">
        <w:rPr>
          <w:color w:val="FF0000"/>
        </w:rPr>
        <w:sym w:font="Symbol" w:char="F05B"/>
      </w:r>
      <w:r w:rsidR="00091CC8" w:rsidRPr="009A263F">
        <w:rPr>
          <w:color w:val="FF0000"/>
        </w:rPr>
        <w:t>6</w:t>
      </w:r>
      <w:r w:rsidR="00817C61" w:rsidRPr="009A263F">
        <w:rPr>
          <w:color w:val="FF0000"/>
        </w:rPr>
        <w:sym w:font="Symbol" w:char="F05D"/>
      </w:r>
      <w:r w:rsidR="00552C29" w:rsidRPr="009A263F">
        <w:rPr>
          <w:color w:val="FF0000"/>
        </w:rPr>
        <w:t>,</w:t>
      </w:r>
      <w:r w:rsidR="00552C29" w:rsidRPr="009A263F">
        <w:t>the impact on different organs liver, lung, kidneys and brain, coagulation abnormalities</w:t>
      </w:r>
      <w:r w:rsidR="00091CC8" w:rsidRPr="009A263F">
        <w:rPr>
          <w:color w:val="FF0000"/>
        </w:rPr>
        <w:sym w:font="Symbol" w:char="F05B"/>
      </w:r>
      <w:r w:rsidR="00091CC8" w:rsidRPr="009A263F">
        <w:rPr>
          <w:color w:val="FF0000"/>
        </w:rPr>
        <w:t>7</w:t>
      </w:r>
      <w:r w:rsidR="00091CC8" w:rsidRPr="009A263F">
        <w:rPr>
          <w:color w:val="FF0000"/>
        </w:rPr>
        <w:sym w:font="Symbol" w:char="F05D"/>
      </w:r>
      <w:r w:rsidR="00091CC8" w:rsidRPr="009A263F">
        <w:rPr>
          <w:color w:val="FF0000"/>
        </w:rPr>
        <w:t>,</w:t>
      </w:r>
      <w:r w:rsidR="00552C29" w:rsidRPr="009A263F">
        <w:t>as well as unfortunate consequences on newborns are increased</w:t>
      </w:r>
      <w:r w:rsidR="00091CC8" w:rsidRPr="009A263F">
        <w:rPr>
          <w:color w:val="FF0000"/>
        </w:rPr>
        <w:sym w:font="Symbol" w:char="F05B"/>
      </w:r>
      <w:r w:rsidR="00091CC8" w:rsidRPr="009A263F">
        <w:rPr>
          <w:color w:val="FF0000"/>
        </w:rPr>
        <w:t>7</w:t>
      </w:r>
      <w:r w:rsidR="00091CC8" w:rsidRPr="009A263F">
        <w:rPr>
          <w:color w:val="FF0000"/>
        </w:rPr>
        <w:sym w:font="Symbol" w:char="F05D"/>
      </w:r>
      <w:r w:rsidR="00091CC8" w:rsidRPr="009A263F">
        <w:rPr>
          <w:color w:val="FF0000"/>
        </w:rPr>
        <w:t>,</w:t>
      </w:r>
      <w:r w:rsidR="00B53F61" w:rsidRPr="009A263F">
        <w:t>including growth retardation and prematurity</w:t>
      </w:r>
      <w:r w:rsidR="00091CC8" w:rsidRPr="009A263F">
        <w:rPr>
          <w:color w:val="FF0000"/>
        </w:rPr>
        <w:sym w:font="Symbol" w:char="F05B"/>
      </w:r>
      <w:r w:rsidR="00091CC8" w:rsidRPr="009A263F">
        <w:rPr>
          <w:color w:val="FF0000"/>
        </w:rPr>
        <w:t>8</w:t>
      </w:r>
      <w:r w:rsidR="00091CC8" w:rsidRPr="009A263F">
        <w:rPr>
          <w:color w:val="FF0000"/>
        </w:rPr>
        <w:sym w:font="Symbol" w:char="F05D"/>
      </w:r>
      <w:r w:rsidR="00091CC8" w:rsidRPr="009A263F">
        <w:rPr>
          <w:color w:val="FF0000"/>
        </w:rPr>
        <w:t>,</w:t>
      </w:r>
      <w:r w:rsidR="00B53F61" w:rsidRPr="009A263F">
        <w:t>The currently accepted pathophysiological mechanisms have allowed a broad definition of PE, associating pregnancy-related hypertension in the absence of proteinuria with one of the following circumstances: A platelet level PLQ ˂ 100,000, liver enzymes (ALT and/or AST ˃ 2x normal), Acute renal failure (creatinine ˃ 11 mg/l) without any previous renal damage, acute lung edema and neurosensory disorders.</w:t>
      </w:r>
      <w:r w:rsidR="004F0861" w:rsidRPr="009A263F">
        <w:rPr>
          <w:color w:val="000000" w:themeColor="text1"/>
        </w:rPr>
        <w:t>Certain risk factors may play a major role in the etiology of preeclampsia. These risk factors include diabetes mellitus, obesity, overweight, maternal age, Nulliparity, high blood pressure, hypothyroidism, kidney disease and family history of preeclampsia</w:t>
      </w:r>
      <w:r w:rsidR="00B3587D" w:rsidRPr="009A263F">
        <w:rPr>
          <w:color w:val="FF0000"/>
        </w:rPr>
        <w:sym w:font="Symbol" w:char="F05B"/>
      </w:r>
      <w:r w:rsidR="00B3587D" w:rsidRPr="009A263F">
        <w:rPr>
          <w:color w:val="FF0000"/>
        </w:rPr>
        <w:t>9</w:t>
      </w:r>
      <w:r w:rsidR="00B3587D" w:rsidRPr="009A263F">
        <w:rPr>
          <w:color w:val="FF0000"/>
        </w:rPr>
        <w:sym w:font="Symbol" w:char="F05D"/>
      </w:r>
      <w:r w:rsidR="00B3587D" w:rsidRPr="009A263F">
        <w:rPr>
          <w:color w:val="FF0000"/>
        </w:rPr>
        <w:t>,</w:t>
      </w:r>
      <w:r w:rsidR="004F0861" w:rsidRPr="009A263F">
        <w:rPr>
          <w:color w:val="000000" w:themeColor="text1"/>
        </w:rPr>
        <w:t>The etiology of the pathogenesis of preeclampsia is not yet fully understood</w:t>
      </w:r>
      <w:r w:rsidR="00B3587D" w:rsidRPr="009A263F">
        <w:rPr>
          <w:color w:val="FF0000"/>
        </w:rPr>
        <w:sym w:font="Symbol" w:char="F05B"/>
      </w:r>
      <w:r w:rsidR="00B3587D" w:rsidRPr="009A263F">
        <w:rPr>
          <w:color w:val="FF0000"/>
        </w:rPr>
        <w:t>10</w:t>
      </w:r>
      <w:r w:rsidR="00B3587D" w:rsidRPr="009A263F">
        <w:rPr>
          <w:color w:val="FF0000"/>
        </w:rPr>
        <w:sym w:font="Symbol" w:char="F05D"/>
      </w:r>
      <w:r w:rsidR="00B3587D" w:rsidRPr="009A263F">
        <w:rPr>
          <w:color w:val="FF0000"/>
        </w:rPr>
        <w:t>,</w:t>
      </w:r>
      <w:r w:rsidR="004F0861" w:rsidRPr="009A263F">
        <w:rPr>
          <w:color w:val="000000" w:themeColor="text1"/>
        </w:rPr>
        <w:t xml:space="preserve">Some studies have proposed that the placenta releases soluble angiogenic factors, which play a crucial role in endothelial dysfunction and the development of preeclampsia-related symptoms before the clinical manifestation of preeclampsia. Soluble fms-like tyrosine kinase-1 (sFlt-1) is one such factor. It binds vascular endothelial growth factor </w:t>
      </w:r>
      <w:r w:rsidR="004F0861" w:rsidRPr="009A263F">
        <w:rPr>
          <w:color w:val="000000" w:themeColor="text1"/>
        </w:rPr>
        <w:lastRenderedPageBreak/>
        <w:t>(VEGF)A and placental growth factor (PlGF). These are the main angiogenic factors responsible for placental vascular development and maternal endothelial function.</w:t>
      </w:r>
      <w:r w:rsidR="00B3587D" w:rsidRPr="009A263F">
        <w:rPr>
          <w:color w:val="FF0000"/>
        </w:rPr>
        <w:sym w:font="Symbol" w:char="F05B"/>
      </w:r>
      <w:r w:rsidR="00B3587D" w:rsidRPr="009A263F">
        <w:rPr>
          <w:color w:val="FF0000"/>
        </w:rPr>
        <w:t>11</w:t>
      </w:r>
      <w:r w:rsidR="00B3587D" w:rsidRPr="009A263F">
        <w:rPr>
          <w:color w:val="FF0000"/>
        </w:rPr>
        <w:sym w:font="Symbol" w:char="F05D"/>
      </w:r>
    </w:p>
    <w:p w14:paraId="13A1998D" w14:textId="77777777" w:rsidR="00BF1ECB" w:rsidRPr="009A263F" w:rsidRDefault="00BF1ECB" w:rsidP="00B3587D">
      <w:pPr>
        <w:pStyle w:val="NormalWeb"/>
        <w:shd w:val="clear" w:color="auto" w:fill="FFFFFF"/>
        <w:contextualSpacing/>
        <w:jc w:val="both"/>
      </w:pPr>
      <w:r w:rsidRPr="009A263F">
        <w:rPr>
          <w:color w:val="000000" w:themeColor="text1"/>
        </w:rPr>
        <w:t>To date, there is no test that reliably predicts which women with gestational hypertension will later develop preeclampsia.</w:t>
      </w:r>
      <w:r w:rsidRPr="009A263F">
        <w:t>.</w:t>
      </w:r>
      <w:r w:rsidR="00B3587D" w:rsidRPr="009A263F">
        <w:rPr>
          <w:color w:val="FF0000"/>
        </w:rPr>
        <w:t xml:space="preserve"> </w:t>
      </w:r>
      <w:r w:rsidR="00B3587D" w:rsidRPr="009A263F">
        <w:rPr>
          <w:color w:val="FF0000"/>
        </w:rPr>
        <w:sym w:font="Symbol" w:char="F05B"/>
      </w:r>
      <w:r w:rsidR="00B3587D" w:rsidRPr="009A263F">
        <w:rPr>
          <w:color w:val="FF0000"/>
        </w:rPr>
        <w:t>12</w:t>
      </w:r>
      <w:r w:rsidR="00B3587D" w:rsidRPr="009A263F">
        <w:rPr>
          <w:color w:val="FF0000"/>
        </w:rPr>
        <w:sym w:font="Symbol" w:char="F05D"/>
      </w:r>
      <w:r w:rsidR="00B3587D" w:rsidRPr="009A263F">
        <w:rPr>
          <w:color w:val="FF0000"/>
        </w:rPr>
        <w:t>,</w:t>
      </w:r>
    </w:p>
    <w:p w14:paraId="398C6C9F" w14:textId="77777777" w:rsidR="00BF1ECB" w:rsidRPr="009A263F" w:rsidRDefault="00BF1ECB" w:rsidP="00B3587D">
      <w:pPr>
        <w:pStyle w:val="NormalWeb"/>
        <w:shd w:val="clear" w:color="auto" w:fill="FFFFFF"/>
        <w:contextualSpacing/>
        <w:jc w:val="both"/>
        <w:rPr>
          <w:color w:val="FF0000"/>
        </w:rPr>
      </w:pPr>
      <w:r w:rsidRPr="009A263F">
        <w:t>Preeclampsia is also associated with long-term cardiovascular disease.</w:t>
      </w:r>
      <w:r w:rsidR="00B3587D" w:rsidRPr="009A263F">
        <w:rPr>
          <w:color w:val="FF0000"/>
        </w:rPr>
        <w:t xml:space="preserve"> </w:t>
      </w:r>
      <w:r w:rsidR="00B3587D" w:rsidRPr="009A263F">
        <w:rPr>
          <w:color w:val="FF0000"/>
        </w:rPr>
        <w:sym w:font="Symbol" w:char="F05B"/>
      </w:r>
      <w:r w:rsidR="00B3587D" w:rsidRPr="009A263F">
        <w:rPr>
          <w:color w:val="FF0000"/>
        </w:rPr>
        <w:t>13-14</w:t>
      </w:r>
      <w:r w:rsidR="00B3587D" w:rsidRPr="009A263F">
        <w:rPr>
          <w:color w:val="FF0000"/>
        </w:rPr>
        <w:sym w:font="Symbol" w:char="F05D"/>
      </w:r>
    </w:p>
    <w:p w14:paraId="5B2FE4A7" w14:textId="77777777" w:rsidR="00D5707F" w:rsidRPr="009A263F" w:rsidRDefault="00D5707F" w:rsidP="00B3587D">
      <w:pPr>
        <w:pStyle w:val="NormalWeb"/>
        <w:shd w:val="clear" w:color="auto" w:fill="FFFFFF"/>
        <w:contextualSpacing/>
        <w:jc w:val="both"/>
      </w:pPr>
    </w:p>
    <w:p w14:paraId="5763D327" w14:textId="77777777" w:rsidR="009A3789" w:rsidRPr="009A263F" w:rsidRDefault="009A3789" w:rsidP="007C7AC3">
      <w:pPr>
        <w:pStyle w:val="NormalWeb"/>
        <w:numPr>
          <w:ilvl w:val="0"/>
          <w:numId w:val="9"/>
        </w:numPr>
        <w:shd w:val="clear" w:color="auto" w:fill="FFFFFF"/>
        <w:contextualSpacing/>
        <w:jc w:val="both"/>
        <w:rPr>
          <w:b/>
          <w:color w:val="000000" w:themeColor="text1"/>
          <w:u w:val="single"/>
        </w:rPr>
      </w:pPr>
      <w:r w:rsidRPr="009A263F">
        <w:rPr>
          <w:b/>
          <w:bCs/>
          <w:color w:val="000000" w:themeColor="text1"/>
          <w:u w:val="single"/>
        </w:rPr>
        <w:t>What are the currently recognized definitions?</w:t>
      </w:r>
    </w:p>
    <w:p w14:paraId="2BA85C01" w14:textId="77777777" w:rsidR="00587A23" w:rsidRPr="009A263F" w:rsidRDefault="009A3789" w:rsidP="007C7AC3">
      <w:pPr>
        <w:pStyle w:val="NormalWeb"/>
        <w:shd w:val="clear" w:color="auto" w:fill="FFFFFF"/>
        <w:contextualSpacing/>
        <w:jc w:val="both"/>
      </w:pPr>
      <w:r w:rsidRPr="009A263F">
        <w:t>Preeclampsia is a progressive disease of pregnancy involving multiple organs.</w:t>
      </w:r>
    </w:p>
    <w:p w14:paraId="74DE6E39" w14:textId="77777777" w:rsidR="00FD5247" w:rsidRPr="009A263F" w:rsidRDefault="009A3789" w:rsidP="00FD5247">
      <w:pPr>
        <w:pStyle w:val="NormalWeb"/>
        <w:shd w:val="clear" w:color="auto" w:fill="FFFFFF"/>
        <w:contextualSpacing/>
        <w:jc w:val="both"/>
      </w:pPr>
      <w:r w:rsidRPr="009A263F">
        <w:t>The clinical definition has evolved over time from simply hypertension and proteinuria to a broader classification that recognizes the multi-system involvement of multiple organs caused by the disease.</w:t>
      </w:r>
    </w:p>
    <w:p w14:paraId="14377513" w14:textId="77777777" w:rsidR="00FD5247" w:rsidRPr="009A263F" w:rsidRDefault="00FD5247" w:rsidP="00FD5247">
      <w:pPr>
        <w:pStyle w:val="NormalWeb"/>
        <w:shd w:val="clear" w:color="auto" w:fill="FFFFFF"/>
        <w:contextualSpacing/>
        <w:jc w:val="both"/>
      </w:pPr>
      <w:r w:rsidRPr="009A263F">
        <w:t>It is defined as the onset of hypertension during pregnancy (according to International</w:t>
      </w:r>
    </w:p>
    <w:p w14:paraId="2E9310D4" w14:textId="77777777" w:rsidR="009A3789" w:rsidRPr="009A263F" w:rsidRDefault="00FD5247" w:rsidP="00FD5247">
      <w:pPr>
        <w:pStyle w:val="NormalWeb"/>
        <w:shd w:val="clear" w:color="auto" w:fill="FFFFFF"/>
        <w:contextualSpacing/>
        <w:jc w:val="both"/>
      </w:pPr>
      <w:r w:rsidRPr="009A263F">
        <w:t xml:space="preserve">Society for the Study of Hypertension in Pregnancy (ISSHP) in 2014), which is characterized by persistently high systolic/diastolic blood pressure ≥ 140/90 mm Hg as well as proteinuria ≥ 300 mg/24 h after 20 weeks of gestation in women whose blood pressure was previously normal. According to new recommendations (2013) from the American Congress of Obstetricians and Gynecologists (ACOG), preeclampsia may or may not </w:t>
      </w:r>
      <w:proofErr w:type="spellStart"/>
      <w:r w:rsidRPr="009A263F">
        <w:t>be</w:t>
      </w:r>
      <w:proofErr w:type="spellEnd"/>
      <w:r w:rsidRPr="009A263F">
        <w:t xml:space="preserve"> </w:t>
      </w:r>
      <w:proofErr w:type="spellStart"/>
      <w:r w:rsidRPr="009A263F">
        <w:t>accompanied</w:t>
      </w:r>
      <w:proofErr w:type="spellEnd"/>
      <w:r w:rsidRPr="009A263F">
        <w:t xml:space="preserve"> by </w:t>
      </w:r>
      <w:proofErr w:type="spellStart"/>
      <w:r w:rsidRPr="009A263F">
        <w:t>proteinuria</w:t>
      </w:r>
      <w:proofErr w:type="spellEnd"/>
      <w:r w:rsidRPr="009A263F">
        <w:t>.</w:t>
      </w:r>
    </w:p>
    <w:p w14:paraId="5AF94DF6" w14:textId="77777777" w:rsidR="00587A23" w:rsidRPr="009A263F" w:rsidRDefault="009A3789" w:rsidP="00587A23">
      <w:pPr>
        <w:pStyle w:val="NormalWeb"/>
        <w:shd w:val="clear" w:color="auto" w:fill="FFFFFF"/>
        <w:contextualSpacing/>
        <w:jc w:val="both"/>
      </w:pPr>
      <w:r w:rsidRPr="009A263F">
        <w:t>International recommendations agree that preeclampsia can be defined as gestational hypertension (GAH) associated with one or more of the following conditions from 20 weeks of gestation:</w:t>
      </w:r>
    </w:p>
    <w:p w14:paraId="2930B202" w14:textId="77777777" w:rsidR="00587A23" w:rsidRPr="009A263F" w:rsidRDefault="00587A23" w:rsidP="00587A23">
      <w:pPr>
        <w:pStyle w:val="NormalWeb"/>
        <w:shd w:val="clear" w:color="auto" w:fill="FFFFFF"/>
        <w:contextualSpacing/>
        <w:jc w:val="both"/>
        <w:rPr>
          <w:b/>
        </w:rPr>
      </w:pPr>
      <w:r w:rsidRPr="009A263F">
        <w:rPr>
          <w:b/>
        </w:rPr>
        <w:t>1. Proteinuria</w:t>
      </w:r>
      <w:r w:rsidRPr="009A263F">
        <w:t>(</w:t>
      </w:r>
      <m:oMath>
        <m:r>
          <m:rPr>
            <m:sty m:val="p"/>
          </m:rPr>
          <w:rPr>
            <w:rFonts w:ascii="Cambria Math" w:hAnsi="Cambria Math"/>
          </w:rPr>
          <m:t>≥300mg/24h)</m:t>
        </m:r>
      </m:oMath>
      <w:r w:rsidR="007730F5" w:rsidRPr="009A263F">
        <w:rPr>
          <w:color w:val="FF0000"/>
        </w:rPr>
        <w:t xml:space="preserve"> </w:t>
      </w:r>
      <w:r w:rsidR="007730F5" w:rsidRPr="009A263F">
        <w:rPr>
          <w:color w:val="FF0000"/>
        </w:rPr>
        <w:sym w:font="Symbol" w:char="F05B"/>
      </w:r>
      <w:r w:rsidR="007730F5" w:rsidRPr="009A263F">
        <w:rPr>
          <w:color w:val="FF0000"/>
        </w:rPr>
        <w:t>15-16</w:t>
      </w:r>
      <w:r w:rsidR="007730F5" w:rsidRPr="009A263F">
        <w:rPr>
          <w:color w:val="FF0000"/>
        </w:rPr>
        <w:sym w:font="Symbol" w:char="F05D"/>
      </w:r>
    </w:p>
    <w:p w14:paraId="4C29AFD2" w14:textId="77777777" w:rsidR="00587A23" w:rsidRPr="009A263F" w:rsidRDefault="00587A23" w:rsidP="00587A23">
      <w:pPr>
        <w:pStyle w:val="NormalWeb"/>
        <w:shd w:val="clear" w:color="auto" w:fill="FFFFFF"/>
        <w:contextualSpacing/>
        <w:jc w:val="both"/>
        <w:rPr>
          <w:b/>
        </w:rPr>
      </w:pPr>
      <w:r w:rsidRPr="009A263F">
        <w:rPr>
          <w:b/>
        </w:rPr>
        <w:t>2. Other maternal organ dysfunction, including:</w:t>
      </w:r>
      <w:r w:rsidR="007730F5" w:rsidRPr="009A263F">
        <w:rPr>
          <w:color w:val="FF0000"/>
        </w:rPr>
        <w:t xml:space="preserve"> </w:t>
      </w:r>
      <w:r w:rsidR="007730F5" w:rsidRPr="009A263F">
        <w:rPr>
          <w:color w:val="FF0000"/>
        </w:rPr>
        <w:sym w:font="Symbol" w:char="F05B"/>
      </w:r>
      <w:r w:rsidR="007730F5" w:rsidRPr="009A263F">
        <w:rPr>
          <w:color w:val="FF0000"/>
        </w:rPr>
        <w:t>15-17</w:t>
      </w:r>
      <w:r w:rsidR="007730F5" w:rsidRPr="009A263F">
        <w:rPr>
          <w:color w:val="FF0000"/>
        </w:rPr>
        <w:sym w:font="Symbol" w:char="F05D"/>
      </w:r>
    </w:p>
    <w:p w14:paraId="764AF4DC" w14:textId="77777777" w:rsidR="00587A23" w:rsidRPr="009A263F" w:rsidRDefault="00587A23" w:rsidP="00587A23">
      <w:pPr>
        <w:pStyle w:val="NormalWeb"/>
        <w:numPr>
          <w:ilvl w:val="0"/>
          <w:numId w:val="5"/>
        </w:numPr>
        <w:shd w:val="clear" w:color="auto" w:fill="FFFFFF"/>
        <w:contextualSpacing/>
        <w:jc w:val="both"/>
      </w:pPr>
      <w:r w:rsidRPr="009A263F">
        <w:t>Acute kidney injury (AKI) (creatinine ≥ 90 μmol/L; 1 mg/dL)</w:t>
      </w:r>
    </w:p>
    <w:p w14:paraId="34A09981" w14:textId="77777777" w:rsidR="00587A23" w:rsidRPr="009A263F" w:rsidRDefault="00587A23" w:rsidP="00587A23">
      <w:pPr>
        <w:pStyle w:val="NormalWeb"/>
        <w:numPr>
          <w:ilvl w:val="0"/>
          <w:numId w:val="5"/>
        </w:numPr>
        <w:shd w:val="clear" w:color="auto" w:fill="FFFFFF"/>
        <w:contextualSpacing/>
        <w:jc w:val="both"/>
      </w:pPr>
      <w:r w:rsidRPr="009A263F">
        <w:t>Liver involvement (elevated transaminases, e.g. ALT or AST &gt; 40 IU/L) with or without right upper quadrant or epigastric abdominal pain)</w:t>
      </w:r>
    </w:p>
    <w:p w14:paraId="102DADD4" w14:textId="77777777" w:rsidR="00587A23" w:rsidRPr="009A263F" w:rsidRDefault="00587A23" w:rsidP="00587A23">
      <w:pPr>
        <w:pStyle w:val="NormalWeb"/>
        <w:numPr>
          <w:ilvl w:val="0"/>
          <w:numId w:val="5"/>
        </w:numPr>
        <w:shd w:val="clear" w:color="auto" w:fill="FFFFFF"/>
        <w:contextualSpacing/>
        <w:jc w:val="both"/>
      </w:pPr>
      <w:r w:rsidRPr="009A263F">
        <w:t>Neurological complications (e.g., eclampsia, altered mental status, blindness, stroke, clonus, headache, and persistent visual scotomas)</w:t>
      </w:r>
    </w:p>
    <w:p w14:paraId="437247D3" w14:textId="77777777" w:rsidR="00587A23" w:rsidRPr="009A263F" w:rsidRDefault="00587A23" w:rsidP="00587A23">
      <w:pPr>
        <w:pStyle w:val="NormalWeb"/>
        <w:numPr>
          <w:ilvl w:val="0"/>
          <w:numId w:val="5"/>
        </w:numPr>
        <w:shd w:val="clear" w:color="auto" w:fill="FFFFFF"/>
        <w:contextualSpacing/>
        <w:jc w:val="both"/>
      </w:pPr>
      <w:r w:rsidRPr="009A263F">
        <w:t>Hematological complications (thrombocytopenia – platelet counts below 150,000/μL, DIC, hemolysis)</w:t>
      </w:r>
    </w:p>
    <w:p w14:paraId="123A5122" w14:textId="77777777" w:rsidR="00587A23" w:rsidRPr="009A263F" w:rsidRDefault="00587A23" w:rsidP="00587A23">
      <w:pPr>
        <w:pStyle w:val="NormalWeb"/>
        <w:shd w:val="clear" w:color="auto" w:fill="FFFFFF"/>
        <w:contextualSpacing/>
        <w:jc w:val="both"/>
      </w:pPr>
      <w:r w:rsidRPr="009A263F">
        <w:rPr>
          <w:b/>
        </w:rPr>
        <w:t>3. Uteroplacental dysfunction</w:t>
      </w:r>
      <w:r w:rsidRPr="009A263F">
        <w:t>(such as fetal growth restriction, abnormal umbilical artery Doppler waveform analysis or stillbirth)</w:t>
      </w:r>
    </w:p>
    <w:p w14:paraId="624732E8" w14:textId="77777777" w:rsidR="007C7AC3" w:rsidRPr="009A263F" w:rsidRDefault="007C7AC3" w:rsidP="007730F5">
      <w:pPr>
        <w:pStyle w:val="NormalWeb"/>
        <w:shd w:val="clear" w:color="auto" w:fill="FFFFFF"/>
        <w:contextualSpacing/>
        <w:jc w:val="both"/>
      </w:pPr>
    </w:p>
    <w:p w14:paraId="6078D8E7" w14:textId="77777777" w:rsidR="00587A23" w:rsidRPr="009A263F" w:rsidRDefault="00587A23" w:rsidP="00587A23">
      <w:pPr>
        <w:pStyle w:val="NormalWeb"/>
        <w:shd w:val="clear" w:color="auto" w:fill="FFFFFF"/>
        <w:contextualSpacing/>
        <w:jc w:val="both"/>
        <w:rPr>
          <w:color w:val="000000" w:themeColor="text1"/>
          <w:u w:val="single"/>
        </w:rPr>
      </w:pPr>
    </w:p>
    <w:p w14:paraId="172601F8" w14:textId="77777777" w:rsidR="009225BA" w:rsidRPr="009A263F" w:rsidRDefault="009A3789" w:rsidP="00587A23">
      <w:pPr>
        <w:pStyle w:val="NormalWeb"/>
        <w:numPr>
          <w:ilvl w:val="0"/>
          <w:numId w:val="9"/>
        </w:numPr>
        <w:shd w:val="clear" w:color="auto" w:fill="FFFFFF"/>
        <w:contextualSpacing/>
        <w:jc w:val="both"/>
        <w:rPr>
          <w:b/>
          <w:u w:val="single"/>
        </w:rPr>
      </w:pPr>
      <w:r w:rsidRPr="009A263F">
        <w:rPr>
          <w:b/>
          <w:bCs/>
          <w:color w:val="000000" w:themeColor="text1"/>
          <w:u w:val="single"/>
        </w:rPr>
        <w:t>What are the</w:t>
      </w:r>
      <w:r w:rsidRPr="009A263F">
        <w:rPr>
          <w:b/>
          <w:u w:val="single"/>
        </w:rPr>
        <w:t>risk factors for the occurrence of preeclamapsia?</w:t>
      </w:r>
    </w:p>
    <w:p w14:paraId="282637B9" w14:textId="77777777" w:rsidR="009A3789" w:rsidRPr="009A263F" w:rsidRDefault="009A3789" w:rsidP="009225BA">
      <w:pPr>
        <w:pStyle w:val="NormalWeb"/>
        <w:shd w:val="clear" w:color="auto" w:fill="FFFFFF"/>
        <w:contextualSpacing/>
        <w:jc w:val="both"/>
        <w:rPr>
          <w:b/>
          <w:u w:val="single"/>
        </w:rPr>
      </w:pPr>
    </w:p>
    <w:p w14:paraId="5D3489A0" w14:textId="77777777" w:rsidR="009225BA" w:rsidRPr="009A263F" w:rsidRDefault="009225BA" w:rsidP="009225BA">
      <w:pPr>
        <w:pStyle w:val="NormalWeb"/>
        <w:shd w:val="clear" w:color="auto" w:fill="FFFFFF"/>
        <w:contextualSpacing/>
        <w:jc w:val="both"/>
      </w:pPr>
      <w:r w:rsidRPr="009A263F">
        <w:t>Clinical risk factors for preeclampsia are summarized in Table 1</w:t>
      </w:r>
      <w:r w:rsidR="007730F5" w:rsidRPr="009A263F">
        <w:rPr>
          <w:color w:val="FF0000"/>
        </w:rPr>
        <w:sym w:font="Symbol" w:char="F05B"/>
      </w:r>
      <w:r w:rsidR="007730F5" w:rsidRPr="009A263F">
        <w:rPr>
          <w:color w:val="FF0000"/>
        </w:rPr>
        <w:t>18-19</w:t>
      </w:r>
      <w:r w:rsidR="007730F5" w:rsidRPr="009A263F">
        <w:rPr>
          <w:color w:val="FF0000"/>
        </w:rPr>
        <w:sym w:font="Symbol" w:char="F05D"/>
      </w:r>
      <w:r w:rsidR="007730F5" w:rsidRPr="009A263F">
        <w:rPr>
          <w:color w:val="FF0000"/>
        </w:rPr>
        <w:t>,</w:t>
      </w:r>
      <w:r w:rsidRPr="009A263F">
        <w:t>the highest risk factors being a history of preeclampsia (an 8-fold risk), although the risk may be lower for people with preeclampsia in a first pregnancy but not in the next pregnancy) and hypertension chronic (risk multiplied by 5). A history of premature preeclampsia carries the greatest risk of developing preeclampsia, with approximately 25-30% of women experiencing recurrent disease.</w:t>
      </w:r>
      <w:r w:rsidR="007730F5" w:rsidRPr="009A263F">
        <w:rPr>
          <w:color w:val="FF0000"/>
        </w:rPr>
        <w:t xml:space="preserve"> </w:t>
      </w:r>
      <w:r w:rsidR="007730F5" w:rsidRPr="009A263F">
        <w:rPr>
          <w:color w:val="FF0000"/>
        </w:rPr>
        <w:sym w:font="Symbol" w:char="F05B"/>
      </w:r>
      <w:r w:rsidR="007730F5" w:rsidRPr="009A263F">
        <w:rPr>
          <w:color w:val="FF0000"/>
        </w:rPr>
        <w:t>20-21</w:t>
      </w:r>
      <w:r w:rsidR="007730F5" w:rsidRPr="009A263F">
        <w:rPr>
          <w:color w:val="FF0000"/>
        </w:rPr>
        <w:sym w:font="Symbol" w:char="F05D"/>
      </w:r>
      <w:r w:rsidR="007730F5" w:rsidRPr="009A263F">
        <w:rPr>
          <w:color w:val="FF0000"/>
        </w:rPr>
        <w:t>,</w:t>
      </w:r>
      <w:r w:rsidRPr="009A263F">
        <w:t>Obstetric complications in a previous pregnancy, such as fetal growth restriction, stillbirth, and placental abruption, also pose an increased risk of preeclampsia, reflecting the potentially shared pathophysiology of clinical phenotypes related to placental dysfunction.</w:t>
      </w:r>
    </w:p>
    <w:p w14:paraId="43909BA9" w14:textId="77777777" w:rsidR="00D5707F" w:rsidRPr="009A263F" w:rsidRDefault="009225BA" w:rsidP="00225A6A">
      <w:pPr>
        <w:pStyle w:val="NormalWeb"/>
        <w:shd w:val="clear" w:color="auto" w:fill="FFFFFF"/>
        <w:contextualSpacing/>
        <w:jc w:val="both"/>
      </w:pPr>
      <w:r w:rsidRPr="009A263F">
        <w:t>Some risk factors for developing preeclampsia may be more easily modifiable than others before pregnancy; interventions such as weight reduction, prevention of multi-fetal pregnancies through assisted reproductive technologies, increased societal awareness of adverse pregnancy outcomes associated with the age of</w:t>
      </w:r>
    </w:p>
    <w:p w14:paraId="1DB088C0" w14:textId="77777777" w:rsidR="00D42401" w:rsidRPr="009A263F" w:rsidRDefault="009225BA" w:rsidP="00225A6A">
      <w:pPr>
        <w:pStyle w:val="NormalWeb"/>
        <w:shd w:val="clear" w:color="auto" w:fill="FFFFFF"/>
        <w:contextualSpacing/>
        <w:jc w:val="both"/>
      </w:pPr>
      <w:r w:rsidRPr="009A263F">
        <w:t>Maternal and optimal treatment of chronic medical conditions (eg, systemic lupus erythematosus and chronic hypertension) could all be beneficial in reducing the risk of preeclampsia.</w:t>
      </w:r>
    </w:p>
    <w:p w14:paraId="187AE5E0" w14:textId="77777777" w:rsidR="00104545" w:rsidRPr="009A263F" w:rsidRDefault="00104545" w:rsidP="009225BA">
      <w:pPr>
        <w:spacing w:before="100" w:beforeAutospacing="1" w:after="100" w:afterAutospacing="1"/>
      </w:pPr>
      <w:r w:rsidRPr="009A263F">
        <w:rPr>
          <w:b/>
        </w:rPr>
        <w:t>Table 1:</w:t>
      </w:r>
      <w:r w:rsidRPr="009A263F">
        <w:t>Risk factors for preeclampsia with unadjusted relative risks from two systematic reviews (listed in descending order of risk)</w:t>
      </w:r>
    </w:p>
    <w:tbl>
      <w:tblPr>
        <w:tblStyle w:val="Grilledutableau"/>
        <w:tblW w:w="0" w:type="auto"/>
        <w:tblLook w:val="04A0" w:firstRow="1" w:lastRow="0" w:firstColumn="1" w:lastColumn="0" w:noHBand="0" w:noVBand="1"/>
      </w:tblPr>
      <w:tblGrid>
        <w:gridCol w:w="2595"/>
        <w:gridCol w:w="3433"/>
        <w:gridCol w:w="3028"/>
      </w:tblGrid>
      <w:tr w:rsidR="00FD161D" w:rsidRPr="009A263F" w14:paraId="5C78ADED" w14:textId="77777777" w:rsidTr="00B32F89">
        <w:tc>
          <w:tcPr>
            <w:tcW w:w="0" w:type="auto"/>
          </w:tcPr>
          <w:p w14:paraId="3DD177B9" w14:textId="77777777" w:rsidR="00FD161D" w:rsidRPr="009A263F" w:rsidRDefault="00FD161D" w:rsidP="009225BA">
            <w:pPr>
              <w:pStyle w:val="NormalWeb"/>
            </w:pPr>
          </w:p>
        </w:tc>
        <w:tc>
          <w:tcPr>
            <w:tcW w:w="0" w:type="auto"/>
          </w:tcPr>
          <w:p w14:paraId="27EADAA3" w14:textId="77777777" w:rsidR="00FD161D" w:rsidRPr="009A263F" w:rsidRDefault="00104545" w:rsidP="009225BA">
            <w:pPr>
              <w:pStyle w:val="NormalWeb"/>
            </w:pPr>
            <w:r w:rsidRPr="009A263F">
              <w:t>Pooled unadjusted relative risk (95% CI)</w:t>
            </w:r>
            <w:r w:rsidR="007730F5" w:rsidRPr="009A263F">
              <w:rPr>
                <w:color w:val="FF0000"/>
              </w:rPr>
              <w:sym w:font="Symbol" w:char="F05B"/>
            </w:r>
            <w:r w:rsidR="007730F5" w:rsidRPr="009A263F">
              <w:rPr>
                <w:color w:val="FF0000"/>
              </w:rPr>
              <w:t>18</w:t>
            </w:r>
            <w:r w:rsidR="007730F5" w:rsidRPr="009A263F">
              <w:rPr>
                <w:color w:val="FF0000"/>
              </w:rPr>
              <w:sym w:font="Symbol" w:char="F05D"/>
            </w:r>
          </w:p>
        </w:tc>
        <w:tc>
          <w:tcPr>
            <w:tcW w:w="0" w:type="auto"/>
          </w:tcPr>
          <w:p w14:paraId="77D25E4D" w14:textId="77777777" w:rsidR="00FD161D" w:rsidRPr="009A263F" w:rsidRDefault="00104545" w:rsidP="009225BA">
            <w:pPr>
              <w:pStyle w:val="NormalWeb"/>
            </w:pPr>
            <w:r w:rsidRPr="009A263F">
              <w:t>Unadjusted relative risk (95% CI)</w:t>
            </w:r>
            <w:r w:rsidR="007730F5" w:rsidRPr="009A263F">
              <w:rPr>
                <w:color w:val="FF0000"/>
              </w:rPr>
              <w:sym w:font="Symbol" w:char="F05B"/>
            </w:r>
            <w:r w:rsidR="007730F5" w:rsidRPr="009A263F">
              <w:rPr>
                <w:color w:val="FF0000"/>
              </w:rPr>
              <w:t>19</w:t>
            </w:r>
            <w:r w:rsidR="007730F5" w:rsidRPr="009A263F">
              <w:rPr>
                <w:color w:val="FF0000"/>
              </w:rPr>
              <w:sym w:font="Symbol" w:char="F05D"/>
            </w:r>
          </w:p>
        </w:tc>
      </w:tr>
      <w:tr w:rsidR="00FD161D" w:rsidRPr="009A263F" w14:paraId="3E5151A5" w14:textId="77777777" w:rsidTr="00B32F89">
        <w:tc>
          <w:tcPr>
            <w:tcW w:w="0" w:type="auto"/>
            <w:shd w:val="clear" w:color="auto" w:fill="auto"/>
          </w:tcPr>
          <w:p w14:paraId="1CB543FA" w14:textId="77777777" w:rsidR="00FD161D" w:rsidRPr="009A263F" w:rsidRDefault="00FD161D" w:rsidP="009225BA">
            <w:pPr>
              <w:pStyle w:val="NormalWeb"/>
            </w:pPr>
            <w:r w:rsidRPr="009A263F">
              <w:t>History of PE</w:t>
            </w:r>
          </w:p>
        </w:tc>
        <w:tc>
          <w:tcPr>
            <w:tcW w:w="0" w:type="auto"/>
            <w:shd w:val="clear" w:color="auto" w:fill="auto"/>
          </w:tcPr>
          <w:p w14:paraId="70FD905B" w14:textId="77777777" w:rsidR="00FD161D" w:rsidRPr="009A263F" w:rsidRDefault="00F569C2" w:rsidP="009225BA">
            <w:pPr>
              <w:pStyle w:val="NormalWeb"/>
            </w:pPr>
            <w:r w:rsidRPr="009A263F">
              <w:t>8.4 (7.1-9.9)</w:t>
            </w:r>
          </w:p>
        </w:tc>
        <w:tc>
          <w:tcPr>
            <w:tcW w:w="0" w:type="auto"/>
            <w:shd w:val="clear" w:color="auto" w:fill="auto"/>
          </w:tcPr>
          <w:p w14:paraId="4A97D849" w14:textId="77777777" w:rsidR="00FD161D" w:rsidRPr="009A263F" w:rsidRDefault="008149A7" w:rsidP="009225BA">
            <w:pPr>
              <w:pStyle w:val="NormalWeb"/>
            </w:pPr>
            <w:r w:rsidRPr="009A263F">
              <w:t>7.19 (5.85-8.83)</w:t>
            </w:r>
          </w:p>
        </w:tc>
      </w:tr>
      <w:tr w:rsidR="00FD161D" w:rsidRPr="009A263F" w14:paraId="140A1F16" w14:textId="77777777" w:rsidTr="00B32F89">
        <w:tc>
          <w:tcPr>
            <w:tcW w:w="0" w:type="auto"/>
          </w:tcPr>
          <w:p w14:paraId="50B5FAB6" w14:textId="77777777" w:rsidR="00FD161D" w:rsidRPr="009A263F" w:rsidRDefault="00FD161D" w:rsidP="009225BA">
            <w:pPr>
              <w:pStyle w:val="NormalWeb"/>
            </w:pPr>
            <w:r w:rsidRPr="009A263F">
              <w:t>Chronic hypertension</w:t>
            </w:r>
          </w:p>
        </w:tc>
        <w:tc>
          <w:tcPr>
            <w:tcW w:w="0" w:type="auto"/>
          </w:tcPr>
          <w:p w14:paraId="705FF4CD" w14:textId="77777777" w:rsidR="00FD161D" w:rsidRPr="009A263F" w:rsidRDefault="00F569C2" w:rsidP="009225BA">
            <w:pPr>
              <w:pStyle w:val="NormalWeb"/>
            </w:pPr>
            <w:r w:rsidRPr="009A263F">
              <w:t>5.1 (4.0-6.5)</w:t>
            </w:r>
          </w:p>
        </w:tc>
        <w:tc>
          <w:tcPr>
            <w:tcW w:w="0" w:type="auto"/>
          </w:tcPr>
          <w:p w14:paraId="2C3F50C3" w14:textId="77777777" w:rsidR="00FD161D" w:rsidRPr="009A263F" w:rsidRDefault="008149A7" w:rsidP="009225BA">
            <w:pPr>
              <w:pStyle w:val="NormalWeb"/>
            </w:pPr>
            <w:r w:rsidRPr="009A263F">
              <w:t>..</w:t>
            </w:r>
          </w:p>
        </w:tc>
      </w:tr>
      <w:tr w:rsidR="00FD161D" w:rsidRPr="009A263F" w14:paraId="4F263F0A" w14:textId="77777777" w:rsidTr="00B32F89">
        <w:tc>
          <w:tcPr>
            <w:tcW w:w="0" w:type="auto"/>
          </w:tcPr>
          <w:p w14:paraId="63574517" w14:textId="77777777" w:rsidR="00FD161D" w:rsidRPr="009A263F" w:rsidRDefault="00FD161D" w:rsidP="009225BA">
            <w:pPr>
              <w:pStyle w:val="NormalWeb"/>
            </w:pPr>
            <w:r w:rsidRPr="009A263F">
              <w:t>Pre-gestational diabetes</w:t>
            </w:r>
          </w:p>
        </w:tc>
        <w:tc>
          <w:tcPr>
            <w:tcW w:w="0" w:type="auto"/>
          </w:tcPr>
          <w:p w14:paraId="260262BE" w14:textId="77777777" w:rsidR="00FD161D" w:rsidRPr="009A263F" w:rsidRDefault="00F569C2" w:rsidP="009225BA">
            <w:pPr>
              <w:pStyle w:val="NormalWeb"/>
            </w:pPr>
            <w:r w:rsidRPr="009A263F">
              <w:t>3.7 (3.1-4.3)</w:t>
            </w:r>
          </w:p>
        </w:tc>
        <w:tc>
          <w:tcPr>
            <w:tcW w:w="0" w:type="auto"/>
          </w:tcPr>
          <w:p w14:paraId="4492CF44" w14:textId="77777777" w:rsidR="00FD161D" w:rsidRPr="009A263F" w:rsidRDefault="008149A7" w:rsidP="009225BA">
            <w:pPr>
              <w:pStyle w:val="NormalWeb"/>
            </w:pPr>
            <w:r w:rsidRPr="009A263F">
              <w:t>3.56 (2.54-4.99)</w:t>
            </w:r>
          </w:p>
        </w:tc>
      </w:tr>
      <w:tr w:rsidR="00FD161D" w:rsidRPr="009A263F" w14:paraId="24C04D8F" w14:textId="77777777" w:rsidTr="00B32F89">
        <w:tc>
          <w:tcPr>
            <w:tcW w:w="0" w:type="auto"/>
          </w:tcPr>
          <w:p w14:paraId="094D4C96" w14:textId="77777777" w:rsidR="00FD161D" w:rsidRPr="009A263F" w:rsidRDefault="00FD161D" w:rsidP="009225BA">
            <w:pPr>
              <w:pStyle w:val="NormalWeb"/>
            </w:pPr>
            <w:r w:rsidRPr="009A263F">
              <w:t>Maternal Age</w:t>
            </w:r>
            <m:oMath>
              <m:r>
                <w:rPr>
                  <w:rFonts w:ascii="Cambria Math" w:hAnsi="Cambria Math"/>
                </w:rPr>
                <m:t xml:space="preserve">&lt;17ans </m:t>
              </m:r>
            </m:oMath>
          </w:p>
        </w:tc>
        <w:tc>
          <w:tcPr>
            <w:tcW w:w="0" w:type="auto"/>
          </w:tcPr>
          <w:p w14:paraId="757FC3D2" w14:textId="77777777" w:rsidR="00FD161D" w:rsidRPr="009A263F" w:rsidRDefault="008149A7" w:rsidP="009225BA">
            <w:pPr>
              <w:pStyle w:val="NormalWeb"/>
            </w:pPr>
            <w:r w:rsidRPr="009A263F">
              <w:t>..</w:t>
            </w:r>
          </w:p>
        </w:tc>
        <w:tc>
          <w:tcPr>
            <w:tcW w:w="0" w:type="auto"/>
          </w:tcPr>
          <w:p w14:paraId="41884B5F" w14:textId="77777777" w:rsidR="00FD161D" w:rsidRPr="009A263F" w:rsidRDefault="008149A7" w:rsidP="009225BA">
            <w:pPr>
              <w:pStyle w:val="NormalWeb"/>
            </w:pPr>
            <w:r w:rsidRPr="009A263F">
              <w:t>2.98 (0.39-22.76)</w:t>
            </w:r>
          </w:p>
        </w:tc>
      </w:tr>
      <w:tr w:rsidR="00FD161D" w:rsidRPr="009A263F" w14:paraId="1771AF45" w14:textId="77777777" w:rsidTr="00B32F89">
        <w:tc>
          <w:tcPr>
            <w:tcW w:w="0" w:type="auto"/>
          </w:tcPr>
          <w:p w14:paraId="006C3CD2" w14:textId="77777777" w:rsidR="00FD161D" w:rsidRPr="009A263F" w:rsidRDefault="00B97E9C" w:rsidP="009225BA">
            <w:pPr>
              <w:pStyle w:val="NormalWeb"/>
            </w:pPr>
            <w:r w:rsidRPr="009A263F">
              <w:t>Multiple pregnancy</w:t>
            </w:r>
          </w:p>
        </w:tc>
        <w:tc>
          <w:tcPr>
            <w:tcW w:w="0" w:type="auto"/>
          </w:tcPr>
          <w:p w14:paraId="5365FDE8" w14:textId="77777777" w:rsidR="00FD161D" w:rsidRPr="009A263F" w:rsidRDefault="00A572E8" w:rsidP="009225BA">
            <w:pPr>
              <w:pStyle w:val="NormalWeb"/>
            </w:pPr>
            <w:r w:rsidRPr="009A263F">
              <w:t>2.9 (2.6-3.1)</w:t>
            </w:r>
          </w:p>
        </w:tc>
        <w:tc>
          <w:tcPr>
            <w:tcW w:w="0" w:type="auto"/>
          </w:tcPr>
          <w:p w14:paraId="0ACAA146" w14:textId="77777777" w:rsidR="00FD161D" w:rsidRPr="009A263F" w:rsidRDefault="00A572E8" w:rsidP="00104545">
            <w:pPr>
              <w:pStyle w:val="NormalWeb"/>
              <w:contextualSpacing/>
            </w:pPr>
            <w:r w:rsidRPr="009A263F">
              <w:t>2.93 (2.04-4.21) g. twin</w:t>
            </w:r>
          </w:p>
          <w:p w14:paraId="1A99C044" w14:textId="77777777" w:rsidR="00A572E8" w:rsidRPr="009A263F" w:rsidRDefault="00A572E8" w:rsidP="00104545">
            <w:pPr>
              <w:pStyle w:val="NormalWeb"/>
              <w:contextualSpacing/>
            </w:pPr>
            <w:r w:rsidRPr="009A263F">
              <w:t>2.83 (125.-6.40) g. triplet</w:t>
            </w:r>
          </w:p>
        </w:tc>
      </w:tr>
      <w:tr w:rsidR="00FD161D" w:rsidRPr="009A263F" w14:paraId="3EE93CBC" w14:textId="77777777" w:rsidTr="00B32F89">
        <w:tc>
          <w:tcPr>
            <w:tcW w:w="0" w:type="auto"/>
          </w:tcPr>
          <w:p w14:paraId="7F5DB73D" w14:textId="77777777" w:rsidR="00FD161D" w:rsidRPr="009A263F" w:rsidRDefault="00B97E9C" w:rsidP="009225BA">
            <w:pPr>
              <w:pStyle w:val="NormalWeb"/>
            </w:pPr>
            <w:r w:rsidRPr="009A263F">
              <w:t>Family history of PE</w:t>
            </w:r>
          </w:p>
        </w:tc>
        <w:tc>
          <w:tcPr>
            <w:tcW w:w="0" w:type="auto"/>
          </w:tcPr>
          <w:p w14:paraId="494BA2CF" w14:textId="77777777" w:rsidR="00FD161D" w:rsidRPr="009A263F" w:rsidRDefault="00D004DE" w:rsidP="009225BA">
            <w:pPr>
              <w:pStyle w:val="NormalWeb"/>
            </w:pPr>
            <w:r w:rsidRPr="009A263F">
              <w:t>..</w:t>
            </w:r>
          </w:p>
        </w:tc>
        <w:tc>
          <w:tcPr>
            <w:tcW w:w="0" w:type="auto"/>
          </w:tcPr>
          <w:p w14:paraId="75B1BE94" w14:textId="77777777" w:rsidR="00FD161D" w:rsidRPr="009A263F" w:rsidRDefault="00D004DE" w:rsidP="009225BA">
            <w:pPr>
              <w:pStyle w:val="NormalWeb"/>
            </w:pPr>
            <w:r w:rsidRPr="009A263F">
              <w:t>2.9 (1.7-4.93)</w:t>
            </w:r>
          </w:p>
        </w:tc>
      </w:tr>
      <w:tr w:rsidR="00FD161D" w:rsidRPr="009A263F" w14:paraId="1322F258" w14:textId="77777777" w:rsidTr="00B32F89">
        <w:tc>
          <w:tcPr>
            <w:tcW w:w="0" w:type="auto"/>
          </w:tcPr>
          <w:p w14:paraId="14CBD3A3" w14:textId="77777777" w:rsidR="00FD161D" w:rsidRPr="009A263F" w:rsidRDefault="00B97E9C" w:rsidP="009225BA">
            <w:pPr>
              <w:pStyle w:val="NormalWeb"/>
            </w:pPr>
            <w:r w:rsidRPr="009A263F">
              <w:t>SAPL</w:t>
            </w:r>
          </w:p>
        </w:tc>
        <w:tc>
          <w:tcPr>
            <w:tcW w:w="0" w:type="auto"/>
          </w:tcPr>
          <w:p w14:paraId="6A82D7CC" w14:textId="77777777" w:rsidR="00FD161D" w:rsidRPr="009A263F" w:rsidRDefault="00D004DE" w:rsidP="009225BA">
            <w:pPr>
              <w:pStyle w:val="NormalWeb"/>
            </w:pPr>
            <w:r w:rsidRPr="009A263F">
              <w:t>2.8 (1.8-4.3)</w:t>
            </w:r>
          </w:p>
        </w:tc>
        <w:tc>
          <w:tcPr>
            <w:tcW w:w="0" w:type="auto"/>
          </w:tcPr>
          <w:p w14:paraId="389DA72B" w14:textId="77777777" w:rsidR="00D004DE" w:rsidRPr="009A263F" w:rsidRDefault="00D004DE" w:rsidP="009225BA">
            <w:pPr>
              <w:pStyle w:val="NormalWeb"/>
            </w:pPr>
            <w:r w:rsidRPr="009A263F">
              <w:t>9.72 (4.43-21.75)</w:t>
            </w:r>
          </w:p>
        </w:tc>
      </w:tr>
      <w:tr w:rsidR="00D004DE" w:rsidRPr="009A263F" w14:paraId="7E3AB9BC" w14:textId="77777777" w:rsidTr="00B32F89">
        <w:tc>
          <w:tcPr>
            <w:tcW w:w="0" w:type="auto"/>
          </w:tcPr>
          <w:p w14:paraId="3EB7C5A7" w14:textId="77777777" w:rsidR="00D004DE" w:rsidRPr="009A263F" w:rsidRDefault="00D004DE" w:rsidP="009225BA">
            <w:pPr>
              <w:pStyle w:val="NormalWeb"/>
            </w:pPr>
            <w:r w:rsidRPr="009A263F">
              <w:t>BMI</w:t>
            </w:r>
            <m:oMath>
              <m:r>
                <w:rPr>
                  <w:rFonts w:ascii="Cambria Math" w:hAnsi="Cambria Math"/>
                </w:rPr>
                <m:t>&gt;30kg/m2</m:t>
              </m:r>
            </m:oMath>
          </w:p>
        </w:tc>
        <w:tc>
          <w:tcPr>
            <w:tcW w:w="0" w:type="auto"/>
          </w:tcPr>
          <w:p w14:paraId="2B266D8A" w14:textId="77777777" w:rsidR="00D004DE" w:rsidRPr="009A263F" w:rsidRDefault="005555FB" w:rsidP="009225BA">
            <w:pPr>
              <w:pStyle w:val="NormalWeb"/>
            </w:pPr>
            <w:r w:rsidRPr="009A263F">
              <w:t>2.8 (2.6-3.1)</w:t>
            </w:r>
          </w:p>
        </w:tc>
        <w:tc>
          <w:tcPr>
            <w:tcW w:w="0" w:type="auto"/>
          </w:tcPr>
          <w:p w14:paraId="7C4500C0" w14:textId="77777777" w:rsidR="00D004DE" w:rsidRPr="009A263F" w:rsidRDefault="005555FB" w:rsidP="009225BA">
            <w:pPr>
              <w:pStyle w:val="NormalWeb"/>
            </w:pPr>
            <w:r w:rsidRPr="009A263F">
              <w:t>..</w:t>
            </w:r>
          </w:p>
        </w:tc>
      </w:tr>
      <w:tr w:rsidR="00B97E9C" w:rsidRPr="009A263F" w14:paraId="22525FA6" w14:textId="77777777" w:rsidTr="00B32F89">
        <w:tc>
          <w:tcPr>
            <w:tcW w:w="0" w:type="auto"/>
          </w:tcPr>
          <w:p w14:paraId="2DF46865" w14:textId="77777777" w:rsidR="00B97E9C" w:rsidRPr="009A263F" w:rsidRDefault="00B97E9C" w:rsidP="009225BA">
            <w:pPr>
              <w:pStyle w:val="NormalWeb"/>
            </w:pPr>
            <w:r w:rsidRPr="009A263F">
              <w:t>LED</w:t>
            </w:r>
          </w:p>
        </w:tc>
        <w:tc>
          <w:tcPr>
            <w:tcW w:w="0" w:type="auto"/>
          </w:tcPr>
          <w:p w14:paraId="1455B15A" w14:textId="77777777" w:rsidR="00B97E9C" w:rsidRPr="009A263F" w:rsidRDefault="00D004DE" w:rsidP="009225BA">
            <w:pPr>
              <w:pStyle w:val="NormalWeb"/>
            </w:pPr>
            <w:r w:rsidRPr="009A263F">
              <w:t>2.5 (1.0-6.3)</w:t>
            </w:r>
          </w:p>
        </w:tc>
        <w:tc>
          <w:tcPr>
            <w:tcW w:w="0" w:type="auto"/>
          </w:tcPr>
          <w:p w14:paraId="36818830" w14:textId="77777777" w:rsidR="00B97E9C" w:rsidRPr="009A263F" w:rsidRDefault="005555FB" w:rsidP="009225BA">
            <w:pPr>
              <w:pStyle w:val="NormalWeb"/>
            </w:pPr>
            <w:r w:rsidRPr="009A263F">
              <w:t>..</w:t>
            </w:r>
          </w:p>
        </w:tc>
      </w:tr>
      <w:tr w:rsidR="00B97E9C" w:rsidRPr="009A263F" w14:paraId="3DC991FC" w14:textId="77777777" w:rsidTr="00B32F89">
        <w:tc>
          <w:tcPr>
            <w:tcW w:w="0" w:type="auto"/>
          </w:tcPr>
          <w:p w14:paraId="4D2C1E59" w14:textId="77777777" w:rsidR="00B97E9C" w:rsidRPr="009A263F" w:rsidRDefault="00200524" w:rsidP="009225BA">
            <w:pPr>
              <w:pStyle w:val="NormalWeb"/>
            </w:pPr>
            <w:r w:rsidRPr="009A263F">
              <w:t>History of stillbirth</w:t>
            </w:r>
          </w:p>
        </w:tc>
        <w:tc>
          <w:tcPr>
            <w:tcW w:w="0" w:type="auto"/>
          </w:tcPr>
          <w:p w14:paraId="30951B44" w14:textId="77777777" w:rsidR="00B97E9C" w:rsidRPr="009A263F" w:rsidRDefault="005555FB" w:rsidP="009225BA">
            <w:pPr>
              <w:pStyle w:val="NormalWeb"/>
            </w:pPr>
            <w:r w:rsidRPr="009A263F">
              <w:t>2.4 (1.7-3.4)</w:t>
            </w:r>
          </w:p>
        </w:tc>
        <w:tc>
          <w:tcPr>
            <w:tcW w:w="0" w:type="auto"/>
          </w:tcPr>
          <w:p w14:paraId="6343DEDC" w14:textId="77777777" w:rsidR="00B97E9C" w:rsidRPr="009A263F" w:rsidRDefault="005555FB" w:rsidP="009225BA">
            <w:pPr>
              <w:pStyle w:val="NormalWeb"/>
            </w:pPr>
            <w:r w:rsidRPr="009A263F">
              <w:t>..</w:t>
            </w:r>
          </w:p>
        </w:tc>
      </w:tr>
      <w:tr w:rsidR="00B97E9C" w:rsidRPr="009A263F" w14:paraId="52C7DCEA" w14:textId="77777777" w:rsidTr="00B32F89">
        <w:tc>
          <w:tcPr>
            <w:tcW w:w="0" w:type="auto"/>
          </w:tcPr>
          <w:p w14:paraId="78F2583F" w14:textId="77777777" w:rsidR="00B97E9C" w:rsidRPr="009A263F" w:rsidRDefault="00A45624" w:rsidP="009225BA">
            <w:pPr>
              <w:pStyle w:val="NormalWeb"/>
            </w:pPr>
            <w:r w:rsidRPr="009A263F">
              <w:t>Nulliparity</w:t>
            </w:r>
          </w:p>
        </w:tc>
        <w:tc>
          <w:tcPr>
            <w:tcW w:w="0" w:type="auto"/>
          </w:tcPr>
          <w:p w14:paraId="043051B7" w14:textId="77777777" w:rsidR="00B97E9C" w:rsidRPr="009A263F" w:rsidRDefault="005555FB" w:rsidP="009225BA">
            <w:pPr>
              <w:pStyle w:val="NormalWeb"/>
            </w:pPr>
            <w:r w:rsidRPr="009A263F">
              <w:t>2.1 (1.2-2.4)</w:t>
            </w:r>
          </w:p>
        </w:tc>
        <w:tc>
          <w:tcPr>
            <w:tcW w:w="0" w:type="auto"/>
          </w:tcPr>
          <w:p w14:paraId="4CBB9174" w14:textId="77777777" w:rsidR="00B97E9C" w:rsidRPr="009A263F" w:rsidRDefault="005555FB" w:rsidP="009225BA">
            <w:pPr>
              <w:pStyle w:val="NormalWeb"/>
            </w:pPr>
            <w:r w:rsidRPr="009A263F">
              <w:t>2.91(1.28-6.61)</w:t>
            </w:r>
          </w:p>
        </w:tc>
      </w:tr>
      <w:tr w:rsidR="00B97E9C" w:rsidRPr="009A263F" w14:paraId="1DFF0E36" w14:textId="77777777" w:rsidTr="00B32F89">
        <w:tc>
          <w:tcPr>
            <w:tcW w:w="0" w:type="auto"/>
          </w:tcPr>
          <w:p w14:paraId="5872EBAD" w14:textId="77777777" w:rsidR="00B97E9C" w:rsidRPr="009A263F" w:rsidRDefault="00A45624" w:rsidP="009225BA">
            <w:pPr>
              <w:pStyle w:val="NormalWeb"/>
            </w:pPr>
            <w:r w:rsidRPr="009A263F">
              <w:t>Previous placental abortion</w:t>
            </w:r>
          </w:p>
        </w:tc>
        <w:tc>
          <w:tcPr>
            <w:tcW w:w="0" w:type="auto"/>
          </w:tcPr>
          <w:p w14:paraId="4BC8308D" w14:textId="77777777" w:rsidR="00B97E9C" w:rsidRPr="009A263F" w:rsidRDefault="005555FB" w:rsidP="009225BA">
            <w:pPr>
              <w:pStyle w:val="NormalWeb"/>
            </w:pPr>
            <w:r w:rsidRPr="009A263F">
              <w:t>2.0 (1.4-2.7)</w:t>
            </w:r>
          </w:p>
        </w:tc>
        <w:tc>
          <w:tcPr>
            <w:tcW w:w="0" w:type="auto"/>
          </w:tcPr>
          <w:p w14:paraId="59FB6FDB" w14:textId="77777777" w:rsidR="00B97E9C" w:rsidRPr="009A263F" w:rsidRDefault="005555FB" w:rsidP="009225BA">
            <w:pPr>
              <w:pStyle w:val="NormalWeb"/>
            </w:pPr>
            <w:r w:rsidRPr="009A263F">
              <w:t>..</w:t>
            </w:r>
          </w:p>
        </w:tc>
      </w:tr>
      <w:tr w:rsidR="00B97E9C" w:rsidRPr="009A263F" w14:paraId="3C2E8CD4" w14:textId="77777777" w:rsidTr="00B32F89">
        <w:tc>
          <w:tcPr>
            <w:tcW w:w="0" w:type="auto"/>
          </w:tcPr>
          <w:p w14:paraId="5CD0E570" w14:textId="77777777" w:rsidR="00B97E9C" w:rsidRPr="009A263F" w:rsidRDefault="00F569C2" w:rsidP="009225BA">
            <w:pPr>
              <w:pStyle w:val="NormalWeb"/>
            </w:pPr>
            <w:r w:rsidRPr="009A263F">
              <w:t>PMA</w:t>
            </w:r>
          </w:p>
        </w:tc>
        <w:tc>
          <w:tcPr>
            <w:tcW w:w="0" w:type="auto"/>
          </w:tcPr>
          <w:p w14:paraId="54FEDFE4" w14:textId="77777777" w:rsidR="00B97E9C" w:rsidRPr="009A263F" w:rsidRDefault="005555FB" w:rsidP="009225BA">
            <w:pPr>
              <w:pStyle w:val="NormalWeb"/>
            </w:pPr>
            <w:r w:rsidRPr="009A263F">
              <w:t>1.8 (1.6-2.1)</w:t>
            </w:r>
          </w:p>
        </w:tc>
        <w:tc>
          <w:tcPr>
            <w:tcW w:w="0" w:type="auto"/>
          </w:tcPr>
          <w:p w14:paraId="50DFFE60" w14:textId="77777777" w:rsidR="00B97E9C" w:rsidRPr="009A263F" w:rsidRDefault="005555FB" w:rsidP="009225BA">
            <w:pPr>
              <w:pStyle w:val="NormalWeb"/>
            </w:pPr>
            <w:r w:rsidRPr="009A263F">
              <w:t>..</w:t>
            </w:r>
          </w:p>
        </w:tc>
      </w:tr>
      <w:tr w:rsidR="00B97E9C" w:rsidRPr="009A263F" w14:paraId="521639EA" w14:textId="77777777" w:rsidTr="00B32F89">
        <w:tc>
          <w:tcPr>
            <w:tcW w:w="0" w:type="auto"/>
          </w:tcPr>
          <w:p w14:paraId="60DD86B1" w14:textId="77777777" w:rsidR="00B97E9C" w:rsidRPr="009A263F" w:rsidRDefault="00F569C2" w:rsidP="009225BA">
            <w:pPr>
              <w:pStyle w:val="NormalWeb"/>
            </w:pPr>
            <w:r w:rsidRPr="009A263F">
              <w:t>Chronic renal failure</w:t>
            </w:r>
          </w:p>
        </w:tc>
        <w:tc>
          <w:tcPr>
            <w:tcW w:w="0" w:type="auto"/>
          </w:tcPr>
          <w:p w14:paraId="2D8520CC" w14:textId="77777777" w:rsidR="00B97E9C" w:rsidRPr="009A263F" w:rsidRDefault="005555FB" w:rsidP="009225BA">
            <w:pPr>
              <w:pStyle w:val="NormalWeb"/>
            </w:pPr>
            <w:r w:rsidRPr="009A263F">
              <w:t>1.8 (1.5-2.1)</w:t>
            </w:r>
          </w:p>
        </w:tc>
        <w:tc>
          <w:tcPr>
            <w:tcW w:w="0" w:type="auto"/>
          </w:tcPr>
          <w:p w14:paraId="67480C8C" w14:textId="77777777" w:rsidR="00B97E9C" w:rsidRPr="009A263F" w:rsidRDefault="005555FB" w:rsidP="009225BA">
            <w:pPr>
              <w:pStyle w:val="NormalWeb"/>
            </w:pPr>
            <w:r w:rsidRPr="009A263F">
              <w:t>..</w:t>
            </w:r>
          </w:p>
        </w:tc>
      </w:tr>
      <w:tr w:rsidR="00B97E9C" w:rsidRPr="009A263F" w14:paraId="7D798414" w14:textId="77777777" w:rsidTr="00B32F89">
        <w:tc>
          <w:tcPr>
            <w:tcW w:w="0" w:type="auto"/>
          </w:tcPr>
          <w:p w14:paraId="39B8A4CB" w14:textId="77777777" w:rsidR="00B97E9C" w:rsidRPr="009A263F" w:rsidRDefault="00F569C2" w:rsidP="009225BA">
            <w:pPr>
              <w:pStyle w:val="NormalWeb"/>
            </w:pPr>
            <w:r w:rsidRPr="009A263F">
              <w:t>Maternal Age</w:t>
            </w:r>
            <m:oMath>
              <m:r>
                <w:rPr>
                  <w:rFonts w:ascii="Cambria Math" w:hAnsi="Cambria Math"/>
                </w:rPr>
                <m:t>&gt;40 ans</m:t>
              </m:r>
            </m:oMath>
          </w:p>
        </w:tc>
        <w:tc>
          <w:tcPr>
            <w:tcW w:w="0" w:type="auto"/>
          </w:tcPr>
          <w:p w14:paraId="7B96D0F7" w14:textId="77777777" w:rsidR="00B97E9C" w:rsidRPr="009A263F" w:rsidRDefault="005555FB" w:rsidP="009225BA">
            <w:pPr>
              <w:pStyle w:val="NormalWeb"/>
            </w:pPr>
            <w:r w:rsidRPr="009A263F">
              <w:t>1.5(1.2-2.0)</w:t>
            </w:r>
          </w:p>
        </w:tc>
        <w:tc>
          <w:tcPr>
            <w:tcW w:w="0" w:type="auto"/>
          </w:tcPr>
          <w:p w14:paraId="63DB9009" w14:textId="77777777" w:rsidR="00B97E9C" w:rsidRPr="009A263F" w:rsidRDefault="005555FB" w:rsidP="00104545">
            <w:pPr>
              <w:pStyle w:val="NormalWeb"/>
              <w:contextualSpacing/>
            </w:pPr>
            <w:r w:rsidRPr="009A263F">
              <w:t>1.68 (1.23-2.29) if primiparous</w:t>
            </w:r>
          </w:p>
          <w:p w14:paraId="7931904B" w14:textId="77777777" w:rsidR="005555FB" w:rsidRPr="009A263F" w:rsidRDefault="005555FB" w:rsidP="00104545">
            <w:pPr>
              <w:pStyle w:val="NormalWeb"/>
              <w:contextualSpacing/>
            </w:pPr>
            <w:r w:rsidRPr="009A263F">
              <w:t>1.96 (1.34-2.87) if multiparous</w:t>
            </w:r>
          </w:p>
        </w:tc>
      </w:tr>
      <w:tr w:rsidR="005555FB" w:rsidRPr="009A263F" w14:paraId="60AFEFC1" w14:textId="77777777" w:rsidTr="00B32F89">
        <w:tc>
          <w:tcPr>
            <w:tcW w:w="0" w:type="auto"/>
          </w:tcPr>
          <w:p w14:paraId="39CCF6C4" w14:textId="77777777" w:rsidR="005555FB" w:rsidRPr="009A263F" w:rsidRDefault="005555FB" w:rsidP="009225BA">
            <w:pPr>
              <w:pStyle w:val="NormalWeb"/>
            </w:pPr>
            <w:r w:rsidRPr="009A263F">
              <w:t>Intrauterine growth retardation</w:t>
            </w:r>
          </w:p>
        </w:tc>
        <w:tc>
          <w:tcPr>
            <w:tcW w:w="0" w:type="auto"/>
          </w:tcPr>
          <w:p w14:paraId="07238EA7" w14:textId="77777777" w:rsidR="005555FB" w:rsidRPr="009A263F" w:rsidRDefault="00104545" w:rsidP="009225BA">
            <w:pPr>
              <w:pStyle w:val="NormalWeb"/>
            </w:pPr>
            <w:r w:rsidRPr="009A263F">
              <w:t>1.4 (0.6-3.0)</w:t>
            </w:r>
          </w:p>
        </w:tc>
        <w:tc>
          <w:tcPr>
            <w:tcW w:w="0" w:type="auto"/>
          </w:tcPr>
          <w:p w14:paraId="7A246126" w14:textId="77777777" w:rsidR="005555FB" w:rsidRPr="009A263F" w:rsidRDefault="00104545" w:rsidP="009225BA">
            <w:pPr>
              <w:pStyle w:val="NormalWeb"/>
            </w:pPr>
            <w:r w:rsidRPr="009A263F">
              <w:t>..</w:t>
            </w:r>
          </w:p>
        </w:tc>
      </w:tr>
      <w:tr w:rsidR="005555FB" w:rsidRPr="009A263F" w14:paraId="2FF4F73A" w14:textId="77777777" w:rsidTr="00B32F89">
        <w:tc>
          <w:tcPr>
            <w:tcW w:w="0" w:type="auto"/>
          </w:tcPr>
          <w:p w14:paraId="588DB02E" w14:textId="77777777" w:rsidR="005555FB" w:rsidRPr="009A263F" w:rsidRDefault="00104545" w:rsidP="009225BA">
            <w:pPr>
              <w:pStyle w:val="NormalWeb"/>
            </w:pPr>
            <w:r w:rsidRPr="009A263F">
              <w:t>Maternal Age</w:t>
            </w:r>
            <m:oMath>
              <m:r>
                <w:rPr>
                  <w:rFonts w:ascii="Cambria Math" w:hAnsi="Cambria Math"/>
                </w:rPr>
                <m:t xml:space="preserve">&gt;35 ans </m:t>
              </m:r>
            </m:oMath>
          </w:p>
        </w:tc>
        <w:tc>
          <w:tcPr>
            <w:tcW w:w="0" w:type="auto"/>
          </w:tcPr>
          <w:p w14:paraId="4EACB239" w14:textId="77777777" w:rsidR="005555FB" w:rsidRPr="009A263F" w:rsidRDefault="005555FB" w:rsidP="009225BA">
            <w:pPr>
              <w:pStyle w:val="NormalWeb"/>
            </w:pPr>
            <w:r w:rsidRPr="009A263F">
              <w:t>(1.2-2.4)</w:t>
            </w:r>
          </w:p>
        </w:tc>
        <w:tc>
          <w:tcPr>
            <w:tcW w:w="0" w:type="auto"/>
          </w:tcPr>
          <w:p w14:paraId="523E028F" w14:textId="77777777" w:rsidR="005555FB" w:rsidRPr="009A263F" w:rsidRDefault="00104545" w:rsidP="009225BA">
            <w:pPr>
              <w:pStyle w:val="NormalWeb"/>
            </w:pPr>
            <w:r w:rsidRPr="009A263F">
              <w:t>..</w:t>
            </w:r>
          </w:p>
        </w:tc>
      </w:tr>
    </w:tbl>
    <w:p w14:paraId="63BD264A" w14:textId="77777777" w:rsidR="007730F5" w:rsidRPr="009A263F" w:rsidRDefault="007730F5" w:rsidP="00D5707F">
      <w:pPr>
        <w:spacing w:before="100" w:beforeAutospacing="1" w:after="100" w:afterAutospacing="1"/>
        <w:jc w:val="both"/>
        <w:rPr>
          <w:lang w:val="en-US"/>
        </w:rPr>
      </w:pPr>
    </w:p>
    <w:p w14:paraId="6A72C3E4" w14:textId="77777777" w:rsidR="00545E7C" w:rsidRPr="009A263F" w:rsidRDefault="00545E7C" w:rsidP="00587A23">
      <w:pPr>
        <w:pStyle w:val="Paragraphedeliste"/>
        <w:numPr>
          <w:ilvl w:val="0"/>
          <w:numId w:val="9"/>
        </w:numPr>
        <w:spacing w:before="100" w:beforeAutospacing="1" w:after="100" w:afterAutospacing="1"/>
        <w:jc w:val="both"/>
        <w:rPr>
          <w:b/>
        </w:rPr>
      </w:pPr>
      <w:r w:rsidRPr="009A263F">
        <w:rPr>
          <w:b/>
        </w:rPr>
        <w:t>What are the pathophysiological mechanisms of preeclamasia?</w:t>
      </w:r>
    </w:p>
    <w:p w14:paraId="4FD1E7F4" w14:textId="77777777" w:rsidR="00B27C10" w:rsidRPr="009A263F" w:rsidRDefault="00BF1ECB" w:rsidP="00B27C10">
      <w:pPr>
        <w:spacing w:before="100" w:beforeAutospacing="1" w:after="100" w:afterAutospacing="1"/>
        <w:contextualSpacing/>
        <w:jc w:val="both"/>
      </w:pPr>
      <w:r w:rsidRPr="009A263F">
        <w:t>Early in a normal pregnancy, the placenta remodels the local uterine vasculature, creating optimal conditions for nutrient and oxygen exchange throughout the pregnancy. Extra villous placental trophoblast cells migrate through the inner third of the myometrium of the uterus and remove smooth muscle from maternal spiral arterioles</w:t>
      </w:r>
      <w:r w:rsidR="007730F5" w:rsidRPr="009A263F">
        <w:rPr>
          <w:color w:val="FF0000"/>
        </w:rPr>
        <w:sym w:font="Symbol" w:char="F05B"/>
      </w:r>
      <w:r w:rsidR="007730F5" w:rsidRPr="009A263F">
        <w:rPr>
          <w:color w:val="FF0000"/>
        </w:rPr>
        <w:t>22</w:t>
      </w:r>
      <w:r w:rsidR="007730F5" w:rsidRPr="009A263F">
        <w:rPr>
          <w:color w:val="FF0000"/>
        </w:rPr>
        <w:sym w:font="Symbol" w:char="F05D"/>
      </w:r>
      <w:r w:rsidR="007730F5" w:rsidRPr="009A263F">
        <w:rPr>
          <w:color w:val="FF0000"/>
        </w:rPr>
        <w:t>,</w:t>
      </w:r>
      <w:r w:rsidRPr="009A263F">
        <w:t>rendering the ends of the vessels unable to contract. Therefore, the terminal portion of the spiral arterioles remains wide open and the net result is a high capacitance, low resistance system at the maternal-fetal interface. The maternal-fetal interface promotes abundant blood flow to the implantation site, allowing for efficient exchange of nutrients between mother and fetus. Deficient remodeling of the spiral arteriole is observed in some women who develop preeclampsia,</w:t>
      </w:r>
      <w:r w:rsidR="007730F5" w:rsidRPr="009A263F">
        <w:rPr>
          <w:color w:val="FF0000"/>
        </w:rPr>
        <w:sym w:font="Symbol" w:char="F05B"/>
      </w:r>
      <w:r w:rsidR="007730F5" w:rsidRPr="009A263F">
        <w:rPr>
          <w:color w:val="FF0000"/>
        </w:rPr>
        <w:t>23</w:t>
      </w:r>
      <w:r w:rsidR="007730F5" w:rsidRPr="009A263F">
        <w:rPr>
          <w:color w:val="FF0000"/>
        </w:rPr>
        <w:sym w:font="Symbol" w:char="F05D"/>
      </w:r>
      <w:r w:rsidR="007730F5" w:rsidRPr="009A263F">
        <w:rPr>
          <w:color w:val="FF0000"/>
        </w:rPr>
        <w:t>,</w:t>
      </w:r>
      <w:r w:rsidR="00FE091D" w:rsidRPr="009A263F">
        <w:t>especially with premature birth with fetal growth retardation.</w:t>
      </w:r>
      <w:r w:rsidR="007730F5" w:rsidRPr="009A263F">
        <w:rPr>
          <w:color w:val="FF0000"/>
        </w:rPr>
        <w:sym w:font="Symbol" w:char="F05B"/>
      </w:r>
      <w:r w:rsidR="007730F5" w:rsidRPr="009A263F">
        <w:rPr>
          <w:color w:val="FF0000"/>
        </w:rPr>
        <w:t>24</w:t>
      </w:r>
      <w:r w:rsidR="007730F5" w:rsidRPr="009A263F">
        <w:rPr>
          <w:color w:val="FF0000"/>
        </w:rPr>
        <w:sym w:font="Symbol" w:char="F05D"/>
      </w:r>
      <w:r w:rsidR="007730F5" w:rsidRPr="009A263F">
        <w:rPr>
          <w:color w:val="FF0000"/>
        </w:rPr>
        <w:t>,</w:t>
      </w:r>
      <w:r w:rsidRPr="009A263F">
        <w:t>The resulting decreased perfusion, high velocity, and turbulent blood flow (emanating from spiral arterioles) causes placental ischemia</w:t>
      </w:r>
      <w:r w:rsidR="007730F5" w:rsidRPr="009A263F">
        <w:rPr>
          <w:color w:val="FF0000"/>
        </w:rPr>
        <w:sym w:font="Symbol" w:char="F05B"/>
      </w:r>
      <w:r w:rsidR="007730F5" w:rsidRPr="009A263F">
        <w:rPr>
          <w:color w:val="FF0000"/>
        </w:rPr>
        <w:t>25</w:t>
      </w:r>
      <w:r w:rsidR="007730F5" w:rsidRPr="009A263F">
        <w:rPr>
          <w:color w:val="FF0000"/>
        </w:rPr>
        <w:sym w:font="Symbol" w:char="F05D"/>
      </w:r>
      <w:r w:rsidR="007730F5" w:rsidRPr="009A263F">
        <w:rPr>
          <w:color w:val="000000" w:themeColor="text1"/>
        </w:rPr>
        <w:t>,</w:t>
      </w:r>
      <w:r w:rsidR="00B27C10" w:rsidRPr="009A263F">
        <w:rPr>
          <w:color w:val="FF0000"/>
        </w:rPr>
        <w:t xml:space="preserve"> </w:t>
      </w:r>
      <w:r w:rsidRPr="009A263F">
        <w:t>and oxidative stress,</w:t>
      </w:r>
      <w:r w:rsidR="007730F5" w:rsidRPr="009A263F">
        <w:rPr>
          <w:color w:val="FF0000"/>
        </w:rPr>
        <w:sym w:font="Symbol" w:char="F05B"/>
      </w:r>
      <w:r w:rsidR="007730F5" w:rsidRPr="009A263F">
        <w:rPr>
          <w:color w:val="FF0000"/>
        </w:rPr>
        <w:t>26-27</w:t>
      </w:r>
      <w:r w:rsidR="007730F5" w:rsidRPr="009A263F">
        <w:rPr>
          <w:color w:val="FF0000"/>
        </w:rPr>
        <w:sym w:font="Symbol" w:char="F05D"/>
      </w:r>
      <w:r w:rsidR="007730F5" w:rsidRPr="009A263F">
        <w:rPr>
          <w:color w:val="FF0000"/>
        </w:rPr>
        <w:t>,</w:t>
      </w:r>
      <w:r w:rsidRPr="009A263F">
        <w:t>damages placental villi and leads to abnormal levels of angiogenic proteins in maternal blood</w:t>
      </w:r>
      <w:r w:rsidR="00A92E49" w:rsidRPr="009A263F">
        <w:rPr>
          <w:color w:val="FF0000"/>
        </w:rPr>
        <w:sym w:font="Symbol" w:char="F05B"/>
      </w:r>
      <w:r w:rsidR="00A92E49" w:rsidRPr="009A263F">
        <w:rPr>
          <w:color w:val="FF0000"/>
        </w:rPr>
        <w:t>28</w:t>
      </w:r>
      <w:r w:rsidR="00A92E49" w:rsidRPr="009A263F">
        <w:rPr>
          <w:color w:val="FF0000"/>
        </w:rPr>
        <w:sym w:font="Symbol" w:char="F05D"/>
      </w:r>
      <w:r w:rsidR="00B27C10" w:rsidRPr="009A263F">
        <w:rPr>
          <w:color w:val="000000" w:themeColor="text1"/>
        </w:rPr>
        <w:t>.</w:t>
      </w:r>
      <w:r w:rsidRPr="009A263F">
        <w:t>This pathology of the maternal blood supply has been incorrectly renamed maternal vascular perfusion,</w:t>
      </w:r>
      <w:r w:rsidR="00A92E49" w:rsidRPr="009A263F">
        <w:rPr>
          <w:color w:val="FF0000"/>
        </w:rPr>
        <w:sym w:font="Symbol" w:char="F05B"/>
      </w:r>
      <w:r w:rsidR="00A92E49" w:rsidRPr="009A263F">
        <w:rPr>
          <w:color w:val="FF0000"/>
        </w:rPr>
        <w:t>22-29</w:t>
      </w:r>
      <w:r w:rsidR="00A92E49" w:rsidRPr="009A263F">
        <w:rPr>
          <w:color w:val="FF0000"/>
        </w:rPr>
        <w:sym w:font="Symbol" w:char="F05D"/>
      </w:r>
      <w:r w:rsidR="00A92E49" w:rsidRPr="009A263F">
        <w:rPr>
          <w:color w:val="FF0000"/>
        </w:rPr>
        <w:t xml:space="preserve"> </w:t>
      </w:r>
      <w:r w:rsidRPr="009A263F">
        <w:t>and is characterized histologically by reduced placental size, infarction, abnormal development of placental villi, and paucity of transformation of maternal deciduous spiral arterioles.</w:t>
      </w:r>
      <w:r w:rsidR="00A92E49" w:rsidRPr="009A263F">
        <w:rPr>
          <w:color w:val="FF0000"/>
        </w:rPr>
        <w:t xml:space="preserve"> </w:t>
      </w:r>
      <w:r w:rsidR="00A92E49" w:rsidRPr="009A263F">
        <w:rPr>
          <w:color w:val="FF0000"/>
        </w:rPr>
        <w:sym w:font="Symbol" w:char="F05B"/>
      </w:r>
      <w:r w:rsidR="00A92E49" w:rsidRPr="009A263F">
        <w:rPr>
          <w:color w:val="FF0000"/>
        </w:rPr>
        <w:t>22</w:t>
      </w:r>
      <w:r w:rsidR="00A92E49" w:rsidRPr="009A263F">
        <w:rPr>
          <w:color w:val="FF0000"/>
        </w:rPr>
        <w:sym w:font="Symbol" w:char="F05D"/>
      </w:r>
      <w:r w:rsidR="00B27C10" w:rsidRPr="009A263F">
        <w:rPr>
          <w:b/>
        </w:rPr>
        <w:t xml:space="preserve"> </w:t>
      </w:r>
      <w:r w:rsidR="00B27C10" w:rsidRPr="009A263F">
        <w:t>(Figure 1).</w:t>
      </w:r>
    </w:p>
    <w:p w14:paraId="42BC6B95" w14:textId="77777777" w:rsidR="00FE091D" w:rsidRPr="009A263F" w:rsidRDefault="00BF1ECB" w:rsidP="00A92E49">
      <w:pPr>
        <w:spacing w:before="100" w:beforeAutospacing="1" w:after="100" w:afterAutospacing="1"/>
        <w:contextualSpacing/>
        <w:jc w:val="both"/>
      </w:pPr>
      <w:r w:rsidRPr="009A263F">
        <w:t>The histological severity of maternal vascular malperfusion disease correlates with the clinical severity of preeclampsia and inversely correlates with gestational age at delivery.</w:t>
      </w:r>
      <w:r w:rsidR="00A92E49" w:rsidRPr="009A263F">
        <w:rPr>
          <w:color w:val="FF0000"/>
        </w:rPr>
        <w:t xml:space="preserve"> </w:t>
      </w:r>
      <w:r w:rsidR="00A92E49" w:rsidRPr="009A263F">
        <w:rPr>
          <w:color w:val="FF0000"/>
        </w:rPr>
        <w:sym w:font="Symbol" w:char="F05B"/>
      </w:r>
      <w:r w:rsidR="00A92E49" w:rsidRPr="009A263F">
        <w:rPr>
          <w:color w:val="FF0000"/>
        </w:rPr>
        <w:t>30-31</w:t>
      </w:r>
      <w:r w:rsidR="00A92E49" w:rsidRPr="009A263F">
        <w:rPr>
          <w:color w:val="FF0000"/>
        </w:rPr>
        <w:sym w:font="Symbol" w:char="F05D"/>
      </w:r>
      <w:r w:rsidR="00B27C10" w:rsidRPr="009A263F">
        <w:t>. The immune system plays an active role in the pathological interactions between extra villous trophoblast cells and the host decidua, and abnormal cellular interactions occurring early in the first trimester could increase the risk of developing preeclampsia.</w:t>
      </w:r>
      <w:r w:rsidR="00A92E49" w:rsidRPr="009A263F">
        <w:rPr>
          <w:color w:val="FF0000"/>
        </w:rPr>
        <w:t xml:space="preserve"> </w:t>
      </w:r>
      <w:r w:rsidR="00A92E49" w:rsidRPr="009A263F">
        <w:rPr>
          <w:color w:val="FF0000"/>
        </w:rPr>
        <w:sym w:font="Symbol" w:char="F05B"/>
      </w:r>
      <w:r w:rsidR="00A92E49" w:rsidRPr="009A263F">
        <w:rPr>
          <w:color w:val="FF0000"/>
        </w:rPr>
        <w:t>32</w:t>
      </w:r>
      <w:r w:rsidR="00A92E49" w:rsidRPr="009A263F">
        <w:rPr>
          <w:color w:val="FF0000"/>
        </w:rPr>
        <w:sym w:font="Symbol" w:char="F05D"/>
      </w:r>
      <w:r w:rsidR="00A92E49" w:rsidRPr="009A263F">
        <w:rPr>
          <w:color w:val="FF0000"/>
        </w:rPr>
        <w:t>,</w:t>
      </w:r>
    </w:p>
    <w:p w14:paraId="51781B34" w14:textId="77777777" w:rsidR="004E7A35" w:rsidRPr="009A263F" w:rsidRDefault="004E7A35" w:rsidP="00FE091D">
      <w:pPr>
        <w:spacing w:before="100" w:beforeAutospacing="1" w:after="100" w:afterAutospacing="1"/>
        <w:contextualSpacing/>
        <w:jc w:val="both"/>
        <w:rPr>
          <w:lang w:val="en-US"/>
        </w:rPr>
      </w:pPr>
    </w:p>
    <w:p w14:paraId="07B87F33" w14:textId="77777777" w:rsidR="00B66206" w:rsidRPr="009A263F" w:rsidRDefault="0079584E" w:rsidP="0079584E">
      <w:r w:rsidRPr="009A263F">
        <w:rPr>
          <w:b/>
        </w:rPr>
        <w:t>Figure 1</w:t>
      </w:r>
      <w:r w:rsidRPr="009A263F">
        <w:t>. Abnormal placentation in preeclampsia.</w:t>
      </w:r>
    </w:p>
    <w:p w14:paraId="4BF46AD1" w14:textId="77777777" w:rsidR="0079584E" w:rsidRPr="009A263F" w:rsidRDefault="00B27C10" w:rsidP="0079584E">
      <w:r w:rsidRPr="009A263F">
        <w:rPr>
          <w:noProof/>
          <w:lang w:val="en-US"/>
        </w:rPr>
        <mc:AlternateContent>
          <mc:Choice Requires="wps">
            <w:drawing>
              <wp:anchor distT="0" distB="0" distL="114300" distR="114300" simplePos="0" relativeHeight="251660288" behindDoc="0" locked="0" layoutInCell="1" allowOverlap="1" wp14:anchorId="61F49B46" wp14:editId="7FF5B075">
                <wp:simplePos x="0" y="0"/>
                <wp:positionH relativeFrom="column">
                  <wp:posOffset>2083435</wp:posOffset>
                </wp:positionH>
                <wp:positionV relativeFrom="paragraph">
                  <wp:posOffset>2006600</wp:posOffset>
                </wp:positionV>
                <wp:extent cx="3600000" cy="432000"/>
                <wp:effectExtent l="0" t="0" r="6985" b="12700"/>
                <wp:wrapNone/>
                <wp:docPr id="15" name="Zone de texte 15"/>
                <wp:cNvGraphicFramePr/>
                <a:graphic xmlns:a="http://schemas.openxmlformats.org/drawingml/2006/main">
                  <a:graphicData uri="http://schemas.microsoft.com/office/word/2010/wordprocessingShape">
                    <wps:wsp>
                      <wps:cNvSpPr txBox="1"/>
                      <wps:spPr>
                        <a:xfrm>
                          <a:off x="0" y="0"/>
                          <a:ext cx="3600000" cy="432000"/>
                        </a:xfrm>
                        <a:prstGeom prst="rect">
                          <a:avLst/>
                        </a:prstGeom>
                        <a:solidFill>
                          <a:schemeClr val="lt1"/>
                        </a:solidFill>
                        <a:ln w="6350">
                          <a:solidFill>
                            <a:prstClr val="black"/>
                          </a:solidFill>
                        </a:ln>
                      </wps:spPr>
                      <wps:txbx>
                        <w:txbxContent>
                          <w:p w14:paraId="2D6E49B8" w14:textId="77777777" w:rsidR="00B27C10" w:rsidRPr="00B27C10" w:rsidRDefault="00B27C10" w:rsidP="00B27C10">
                            <w:pPr>
                              <w:jc w:val="both"/>
                              <w:rPr>
                                <w:sz w:val="16"/>
                                <w:szCs w:val="16"/>
                              </w:rPr>
                            </w:pPr>
                            <w:r w:rsidRPr="00B27C10">
                              <w:rPr>
                                <w:sz w:val="16"/>
                                <w:szCs w:val="16"/>
                              </w:rPr>
                              <w:t>In preeclampsia, cytotrophoblasts fail to adopt an invasive endothelial phenotype. Instead, invasion of the spiral arteries is shallow and they remain small-caliber resistant vessels (lower panel).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49B46" id="_x0000_t202" coordsize="21600,21600" o:spt="202" path="m,l,21600r21600,l21600,xe">
                <v:stroke joinstyle="miter"/>
                <v:path gradientshapeok="t" o:connecttype="rect"/>
              </v:shapetype>
              <v:shape id="Zone de texte 15" o:spid="_x0000_s1026" type="#_x0000_t202" style="position:absolute;margin-left:164.05pt;margin-top:158pt;width:283.4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" fillcolor="white [3201]" strokeweight=".5pt">
                <v:textbox>
                  <w:txbxContent>
                    <w:p w14:paraId="2D6E49B8" w14:textId="77777777" w:rsidR="00B27C10" w:rsidRPr="00B27C10" w:rsidRDefault="00B27C10" w:rsidP="00B27C10">
                      <w:pPr>
                        <w:jc w:val="both"/>
                        <w:rPr>
                          <w:sz w:val="16"/>
                          <w:szCs w:val="16"/>
                        </w:rPr>
                      </w:pPr>
                      <w:r w:rsidRPr="00B27C10">
                        <w:rPr>
                          <w:sz w:val="16"/>
                          <w:szCs w:val="16"/>
                        </w:rPr>
                        <w:t>In preeclampsia, cytotrophoblasts fail to adopt an invasive endothelial phenotype. Instead, invasion of the spiral arteries is shallow and they remain small-caliber resistant vessels (lower panel).</w:t>
                      </w:r>
                    </w:p>
                  </w:txbxContent>
                </v:textbox>
              </v:shape>
            </w:pict>
          </mc:Fallback>
        </mc:AlternateContent>
      </w:r>
      <w:r w:rsidRPr="009A263F">
        <w:rPr>
          <w:noProof/>
          <w:lang w:val="en-US"/>
        </w:rPr>
        <mc:AlternateContent>
          <mc:Choice Requires="wps">
            <w:drawing>
              <wp:anchor distT="0" distB="0" distL="114300" distR="114300" simplePos="0" relativeHeight="251659264" behindDoc="0" locked="0" layoutInCell="1" allowOverlap="1" wp14:anchorId="0F7F6527" wp14:editId="25584B55">
                <wp:simplePos x="0" y="0"/>
                <wp:positionH relativeFrom="column">
                  <wp:posOffset>2084070</wp:posOffset>
                </wp:positionH>
                <wp:positionV relativeFrom="paragraph">
                  <wp:posOffset>223520</wp:posOffset>
                </wp:positionV>
                <wp:extent cx="3600000" cy="936000"/>
                <wp:effectExtent l="0" t="0" r="6985" b="16510"/>
                <wp:wrapNone/>
                <wp:docPr id="11" name="Zone de texte 11"/>
                <wp:cNvGraphicFramePr/>
                <a:graphic xmlns:a="http://schemas.openxmlformats.org/drawingml/2006/main">
                  <a:graphicData uri="http://schemas.microsoft.com/office/word/2010/wordprocessingShape">
                    <wps:wsp>
                      <wps:cNvSpPr txBox="1"/>
                      <wps:spPr>
                        <a:xfrm>
                          <a:off x="0" y="0"/>
                          <a:ext cx="3600000" cy="936000"/>
                        </a:xfrm>
                        <a:prstGeom prst="rect">
                          <a:avLst/>
                        </a:prstGeom>
                        <a:solidFill>
                          <a:schemeClr val="lt1"/>
                        </a:solidFill>
                        <a:ln w="6350">
                          <a:solidFill>
                            <a:prstClr val="black"/>
                          </a:solidFill>
                        </a:ln>
                      </wps:spPr>
                      <wps:txbx>
                        <w:txbxContent>
                          <w:p w14:paraId="05E4E910" w14:textId="77777777" w:rsidR="00B27C10" w:rsidRPr="00B27C10" w:rsidRDefault="006C136B" w:rsidP="00B27C10">
                            <w:pPr>
                              <w:jc w:val="both"/>
                              <w:rPr>
                                <w:sz w:val="16"/>
                                <w:szCs w:val="16"/>
                              </w:rPr>
                            </w:pPr>
                            <w:r w:rsidRPr="00B27C10">
                              <w:rPr>
                                <w:sz w:val="16"/>
                                <w:szCs w:val="16"/>
                              </w:rPr>
                              <w:t>In normal placental development, invasive cytotrophoblasts of fetal origin invade maternal spiral arteries, transforming them from small-caliber resistance vessels to high-caliber capacity vessels capable of providing adequate placental perfusion to support fetal growth.</w:t>
                            </w:r>
                          </w:p>
                          <w:p w14:paraId="39CDBC7E" w14:textId="77777777" w:rsidR="006C136B" w:rsidRPr="00B27C10" w:rsidRDefault="006C136B" w:rsidP="00B27C10">
                            <w:pPr>
                              <w:jc w:val="both"/>
                              <w:rPr>
                                <w:sz w:val="16"/>
                                <w:szCs w:val="16"/>
                              </w:rPr>
                            </w:pPr>
                            <w:r w:rsidRPr="00B27C10">
                              <w:rPr>
                                <w:sz w:val="16"/>
                                <w:szCs w:val="16"/>
                              </w:rPr>
                              <w:t>During the process of vascular invasion, cytotrophoblasts differentiate from an epithelial phenotype to an endothelial phenotype, a process termed “pseudovasculogenesis” or “vascular mimicry” (top panel).</w:t>
                            </w:r>
                          </w:p>
                          <w:p w14:paraId="24C4F1A9" w14:textId="77777777" w:rsidR="00B27C10" w:rsidRPr="00B27C10" w:rsidRDefault="00B27C10" w:rsidP="00B27C10">
                            <w:pPr>
                              <w:jc w:val="both"/>
                              <w:rPr>
                                <w:sz w:val="16"/>
                                <w:szCs w:val="16"/>
                              </w:rPr>
                            </w:pPr>
                          </w:p>
                          <w:p w14:paraId="3277A99A" w14:textId="77777777" w:rsidR="00B27C10" w:rsidRPr="00B27C10" w:rsidRDefault="00B27C10" w:rsidP="00B27C10">
                            <w:pPr>
                              <w:jc w:val="both"/>
                              <w:rPr>
                                <w:sz w:val="16"/>
                                <w:szCs w:val="16"/>
                              </w:rPr>
                            </w:pPr>
                          </w:p>
                          <w:p w14:paraId="33B23E2E" w14:textId="77777777" w:rsidR="006C136B" w:rsidRPr="00B27C10" w:rsidRDefault="006C136B" w:rsidP="00B27C10">
                            <w:pPr>
                              <w:jc w:val="both"/>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F6527" id="Zone de texte 11" o:spid="_x0000_s1027" type="#_x0000_t202" style="position:absolute;margin-left:164.1pt;margin-top:17.6pt;width:283.45pt;height:7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" fillcolor="white [3201]" strokeweight=".5pt">
                <v:textbox>
                  <w:txbxContent>
                    <w:p w14:paraId="05E4E910" w14:textId="77777777" w:rsidR="00B27C10" w:rsidRPr="00B27C10" w:rsidRDefault="006C136B" w:rsidP="00B27C10">
                      <w:pPr>
                        <w:jc w:val="both"/>
                        <w:rPr>
                          <w:sz w:val="16"/>
                          <w:szCs w:val="16"/>
                        </w:rPr>
                      </w:pPr>
                      <w:r w:rsidRPr="00B27C10">
                        <w:rPr>
                          <w:sz w:val="16"/>
                          <w:szCs w:val="16"/>
                        </w:rPr>
                        <w:t>In normal placental development, invasive cytotrophoblasts of fetal origin invade maternal spiral arteries, transforming them from small-caliber resistance vessels to high-caliber capacity vessels capable of providing adequate placental perfusion to support fetal growth.</w:t>
                      </w:r>
                    </w:p>
                    <w:p w14:paraId="39CDBC7E" w14:textId="77777777" w:rsidR="006C136B" w:rsidRPr="00B27C10" w:rsidRDefault="006C136B" w:rsidP="00B27C10">
                      <w:pPr>
                        <w:jc w:val="both"/>
                        <w:rPr>
                          <w:sz w:val="16"/>
                          <w:szCs w:val="16"/>
                        </w:rPr>
                      </w:pPr>
                      <w:r w:rsidRPr="00B27C10">
                        <w:rPr>
                          <w:sz w:val="16"/>
                          <w:szCs w:val="16"/>
                        </w:rPr>
                        <w:t>During the process of vascular invasion, cytotrophoblasts differentiate from an epithelial phenotype to an endothelial phenotype, a process termed “pseudovasculogenesis” or “vascular mimicry” (top panel).</w:t>
                      </w:r>
                    </w:p>
                    <w:p w14:paraId="24C4F1A9" w14:textId="77777777" w:rsidR="00B27C10" w:rsidRPr="00B27C10" w:rsidRDefault="00B27C10" w:rsidP="00B27C10">
                      <w:pPr>
                        <w:jc w:val="both"/>
                        <w:rPr>
                          <w:sz w:val="16"/>
                          <w:szCs w:val="16"/>
                        </w:rPr>
                      </w:pPr>
                    </w:p>
                    <w:p w14:paraId="3277A99A" w14:textId="77777777" w:rsidR="00B27C10" w:rsidRPr="00B27C10" w:rsidRDefault="00B27C10" w:rsidP="00B27C10">
                      <w:pPr>
                        <w:jc w:val="both"/>
                        <w:rPr>
                          <w:sz w:val="16"/>
                          <w:szCs w:val="16"/>
                        </w:rPr>
                      </w:pPr>
                    </w:p>
                    <w:p w14:paraId="33B23E2E" w14:textId="77777777" w:rsidR="006C136B" w:rsidRPr="00B27C10" w:rsidRDefault="006C136B" w:rsidP="00B27C10">
                      <w:pPr>
                        <w:jc w:val="both"/>
                        <w:rPr>
                          <w:sz w:val="16"/>
                          <w:szCs w:val="16"/>
                        </w:rPr>
                      </w:pPr>
                    </w:p>
                  </w:txbxContent>
                </v:textbox>
              </v:shape>
            </w:pict>
          </mc:Fallback>
        </mc:AlternateContent>
      </w:r>
      <w:r w:rsidRPr="009A263F">
        <w:fldChar w:fldCharType="begin"/>
      </w:r>
      <w:r w:rsidRPr="009A263F">
        <w:instrText xml:space="preserve"> INCLUDEPICTURE "/var/folders/x9/rqc7bn5d4gxbgp767ktrbwnh0000gn/T/com.microsoft.Word/WebArchiveCopyPasteTempFiles/page3image3486059440" \* MERGEFORMATINET </w:instrText>
      </w:r>
      <w:r w:rsidRPr="009A263F">
        <w:fldChar w:fldCharType="separate"/>
      </w:r>
      <w:r w:rsidRPr="009A263F">
        <w:rPr>
          <w:noProof/>
        </w:rPr>
        <w:drawing>
          <wp:inline distT="0" distB="0" distL="0" distR="0" wp14:anchorId="474EBE44" wp14:editId="32E60DFF">
            <wp:extent cx="1789531" cy="2552065"/>
            <wp:effectExtent l="0" t="0" r="1270" b="635"/>
            <wp:docPr id="12" name="Image 12" descr="page3image348605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3image34860594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979" cy="2595487"/>
                    </a:xfrm>
                    <a:prstGeom prst="rect">
                      <a:avLst/>
                    </a:prstGeom>
                    <a:noFill/>
                    <a:ln>
                      <a:noFill/>
                    </a:ln>
                  </pic:spPr>
                </pic:pic>
              </a:graphicData>
            </a:graphic>
          </wp:inline>
        </w:drawing>
      </w:r>
      <w:r w:rsidRPr="009A263F">
        <w:fldChar w:fldCharType="end"/>
      </w:r>
    </w:p>
    <w:p w14:paraId="7AB2C2F7" w14:textId="77777777" w:rsidR="0079584E" w:rsidRPr="009A263F" w:rsidRDefault="0079584E" w:rsidP="00FE091D">
      <w:pPr>
        <w:spacing w:before="100" w:beforeAutospacing="1" w:after="100" w:afterAutospacing="1"/>
        <w:contextualSpacing/>
        <w:jc w:val="both"/>
        <w:rPr>
          <w:lang w:val="en-US"/>
        </w:rPr>
      </w:pPr>
    </w:p>
    <w:p w14:paraId="36EE8547" w14:textId="77777777" w:rsidR="004E7A35" w:rsidRPr="009A263F" w:rsidRDefault="004E7A35" w:rsidP="004E7A35">
      <w:pPr>
        <w:pStyle w:val="Paragraphedeliste"/>
        <w:numPr>
          <w:ilvl w:val="0"/>
          <w:numId w:val="9"/>
        </w:numPr>
        <w:spacing w:before="100" w:beforeAutospacing="1" w:after="100" w:afterAutospacing="1"/>
        <w:jc w:val="both"/>
        <w:rPr>
          <w:b/>
        </w:rPr>
      </w:pPr>
      <w:r w:rsidRPr="009A263F">
        <w:rPr>
          <w:b/>
        </w:rPr>
        <w:t>What is the role of biomarkers?</w:t>
      </w:r>
    </w:p>
    <w:p w14:paraId="777BBEE5" w14:textId="77777777" w:rsidR="004E7A35" w:rsidRPr="009A263F" w:rsidRDefault="004E7A35" w:rsidP="00BF1ECB">
      <w:pPr>
        <w:pStyle w:val="Paragraphedeliste"/>
        <w:numPr>
          <w:ilvl w:val="0"/>
          <w:numId w:val="6"/>
        </w:numPr>
        <w:spacing w:before="100" w:beforeAutospacing="1" w:after="100" w:afterAutospacing="1"/>
        <w:jc w:val="both"/>
        <w:rPr>
          <w:b/>
        </w:rPr>
      </w:pPr>
      <w:r w:rsidRPr="009A263F">
        <w:rPr>
          <w:b/>
        </w:rPr>
        <w:t>In the pathogenesis of PE?</w:t>
      </w:r>
    </w:p>
    <w:p w14:paraId="615749AE" w14:textId="77777777" w:rsidR="00D5707F" w:rsidRPr="009A263F" w:rsidRDefault="00BF1ECB" w:rsidP="00D5707F">
      <w:pPr>
        <w:spacing w:before="100" w:beforeAutospacing="1" w:after="100" w:afterAutospacing="1"/>
        <w:contextualSpacing/>
        <w:jc w:val="both"/>
      </w:pPr>
      <w:r w:rsidRPr="009A263F">
        <w:t>As pregnancy continues into the second trimester, the diseased placenta gradually secretes high amounts of antiangiogenic factors that cause vascular inflammation, endothelial dysfunction, and maternal vascular damage.</w:t>
      </w:r>
      <w:r w:rsidR="00F52C78" w:rsidRPr="009A263F">
        <w:rPr>
          <w:color w:val="FF0000"/>
        </w:rPr>
        <w:sym w:font="Symbol" w:char="F05B"/>
      </w:r>
      <w:r w:rsidR="00F52C78" w:rsidRPr="009A263F">
        <w:rPr>
          <w:color w:val="FF0000"/>
        </w:rPr>
        <w:t>33</w:t>
      </w:r>
      <w:r w:rsidR="00F52C78" w:rsidRPr="009A263F">
        <w:rPr>
          <w:color w:val="FF0000"/>
        </w:rPr>
        <w:sym w:font="Symbol" w:char="F05D"/>
      </w:r>
      <w:r w:rsidR="00F52C78" w:rsidRPr="009A263F">
        <w:rPr>
          <w:color w:val="FF0000"/>
        </w:rPr>
        <w:t>.</w:t>
      </w:r>
      <w:r w:rsidRPr="009A263F">
        <w:t>The net result of this altered angiogenic profile is the clinical manifestation of maternal hypertension and multiple organ damage (Figure 1). Two-step process poor early placental development followed by multi-systemic endothelial dysfunction and severe maternal organ injury.</w:t>
      </w:r>
    </w:p>
    <w:p w14:paraId="6CB28707" w14:textId="77777777" w:rsidR="00D5707F" w:rsidRPr="009A263F" w:rsidRDefault="00BF1ECB" w:rsidP="00D5707F">
      <w:pPr>
        <w:spacing w:before="100" w:beforeAutospacing="1" w:after="100" w:afterAutospacing="1"/>
        <w:contextualSpacing/>
        <w:jc w:val="both"/>
      </w:pPr>
      <w:r w:rsidRPr="009A263F">
        <w:t>There are many candidate factors secreted in excess by the preeclamptic placenta that could contribute to endothelial dysfunction: proinflammatory cytokines, exosomes 41 and extracellular vesicles;</w:t>
      </w:r>
      <w:r w:rsidR="00F52C78" w:rsidRPr="009A263F">
        <w:rPr>
          <w:color w:val="FF0000"/>
        </w:rPr>
        <w:sym w:font="Symbol" w:char="F05B"/>
      </w:r>
      <w:r w:rsidR="00F52C78" w:rsidRPr="009A263F">
        <w:rPr>
          <w:color w:val="FF0000"/>
        </w:rPr>
        <w:t>34</w:t>
      </w:r>
      <w:r w:rsidR="00F52C78" w:rsidRPr="009A263F">
        <w:rPr>
          <w:color w:val="FF0000"/>
        </w:rPr>
        <w:sym w:font="Symbol" w:char="F05D"/>
      </w:r>
      <w:r w:rsidR="00F52C78" w:rsidRPr="009A263F">
        <w:rPr>
          <w:color w:val="FF0000"/>
        </w:rPr>
        <w:t xml:space="preserve"> </w:t>
      </w:r>
      <w:r w:rsidRPr="009A263F">
        <w:t>and anti-angiogenic molecules such as soluble fms-like tyrosine kinase-1 (sFlt1)</w:t>
      </w:r>
      <w:r w:rsidR="00F52C78" w:rsidRPr="009A263F">
        <w:rPr>
          <w:color w:val="FF0000"/>
        </w:rPr>
        <w:sym w:font="Symbol" w:char="F05B"/>
      </w:r>
      <w:r w:rsidR="00F52C78" w:rsidRPr="009A263F">
        <w:rPr>
          <w:color w:val="FF0000"/>
        </w:rPr>
        <w:t>35.36</w:t>
      </w:r>
      <w:r w:rsidR="00F52C78" w:rsidRPr="009A263F">
        <w:rPr>
          <w:color w:val="FF0000"/>
        </w:rPr>
        <w:sym w:font="Symbol" w:char="F05D"/>
      </w:r>
      <w:r w:rsidR="00F52C78" w:rsidRPr="009A263F">
        <w:rPr>
          <w:color w:val="FF0000"/>
        </w:rPr>
        <w:t xml:space="preserve"> </w:t>
      </w:r>
      <w:r w:rsidRPr="009A263F">
        <w:t>and soluble endoglin.</w:t>
      </w:r>
      <w:r w:rsidR="00F52C78" w:rsidRPr="009A263F">
        <w:rPr>
          <w:color w:val="FF0000"/>
        </w:rPr>
        <w:sym w:font="Symbol" w:char="F05B"/>
      </w:r>
      <w:r w:rsidR="00F52C78" w:rsidRPr="009A263F">
        <w:rPr>
          <w:color w:val="FF0000"/>
        </w:rPr>
        <w:t>37</w:t>
      </w:r>
      <w:r w:rsidR="00F52C78" w:rsidRPr="009A263F">
        <w:rPr>
          <w:color w:val="FF0000"/>
        </w:rPr>
        <w:sym w:font="Symbol" w:char="F05D"/>
      </w:r>
      <w:r w:rsidR="00F52C78" w:rsidRPr="009A263F">
        <w:rPr>
          <w:color w:val="FF0000"/>
        </w:rPr>
        <w:t>.</w:t>
      </w:r>
      <w:r w:rsidRPr="009A263F">
        <w:t>These placenta-derived factors may act on maternal vascular endothelium to induce local endothelial release of other factors that worsen dysfunction, such as thromboxane, pro-inflammatory cytokines, and possibly sFlt-1 itself.</w:t>
      </w:r>
      <w:r w:rsidR="00F52C78" w:rsidRPr="009A263F">
        <w:rPr>
          <w:color w:val="FF0000"/>
        </w:rPr>
        <w:sym w:font="Symbol" w:char="F05B"/>
      </w:r>
      <w:r w:rsidR="00F52C78" w:rsidRPr="009A263F">
        <w:rPr>
          <w:color w:val="FF0000"/>
        </w:rPr>
        <w:t>38</w:t>
      </w:r>
      <w:r w:rsidR="00F52C78" w:rsidRPr="009A263F">
        <w:rPr>
          <w:color w:val="FF0000"/>
        </w:rPr>
        <w:sym w:font="Symbol" w:char="F05D"/>
      </w:r>
      <w:r w:rsidRPr="009A263F">
        <w:t xml:space="preserve">This event is associated with the suppression of the release of pro-angiogenic </w:t>
      </w:r>
      <w:proofErr w:type="spellStart"/>
      <w:r w:rsidRPr="009A263F">
        <w:t>placental</w:t>
      </w:r>
      <w:proofErr w:type="spellEnd"/>
      <w:r w:rsidRPr="009A263F">
        <w:t xml:space="preserve"> </w:t>
      </w:r>
      <w:proofErr w:type="spellStart"/>
      <w:r w:rsidRPr="009A263F">
        <w:t>growth</w:t>
      </w:r>
      <w:proofErr w:type="spellEnd"/>
      <w:r w:rsidRPr="009A263F">
        <w:t xml:space="preserve"> factor (</w:t>
      </w:r>
      <w:proofErr w:type="spellStart"/>
      <w:r w:rsidRPr="009A263F">
        <w:t>PlGF</w:t>
      </w:r>
      <w:proofErr w:type="spellEnd"/>
      <w:r w:rsidRPr="009A263F">
        <w:t>).</w:t>
      </w:r>
    </w:p>
    <w:p w14:paraId="17F30A30" w14:textId="77777777" w:rsidR="004E7A35" w:rsidRPr="009A263F" w:rsidRDefault="003472AC" w:rsidP="004E7A35">
      <w:pPr>
        <w:spacing w:before="100" w:beforeAutospacing="1" w:after="100" w:afterAutospacing="1"/>
        <w:contextualSpacing/>
        <w:jc w:val="both"/>
      </w:pPr>
      <w:r w:rsidRPr="009A263F">
        <w:t>sFlt-1 is an anti-angiogenic protein that binds to the functional receptor binding domain of vascular endothelial growth factor (VEGF), neutralizing the ability of VEGF to signal to endothelial cells that line arterioles, blood vessels to maintain vasorelaxation. Although sFlt-1 binding to VEGF is not the primary pathogenic event triggering preeclampsia, sFlt-1 has many features implicating it as a major factor in the disease. For example, elevated concentrations of sFlt-1 are observed weeks before the clinical onset of pre-eclampsia44 and during pre-eclampsia;</w:t>
      </w:r>
      <w:r w:rsidR="00F52C78" w:rsidRPr="009A263F">
        <w:rPr>
          <w:color w:val="FF0000"/>
        </w:rPr>
        <w:sym w:font="Symbol" w:char="F05B"/>
      </w:r>
      <w:r w:rsidR="00F52C78" w:rsidRPr="009A263F">
        <w:rPr>
          <w:color w:val="FF0000"/>
        </w:rPr>
        <w:t>36.39</w:t>
      </w:r>
      <w:r w:rsidR="00F52C78" w:rsidRPr="009A263F">
        <w:rPr>
          <w:color w:val="FF0000"/>
        </w:rPr>
        <w:sym w:font="Symbol" w:char="F05D"/>
      </w:r>
      <w:r w:rsidR="00F52C78" w:rsidRPr="009A263F">
        <w:rPr>
          <w:color w:val="FF0000"/>
        </w:rPr>
        <w:t xml:space="preserve"> </w:t>
      </w:r>
      <w:r w:rsidR="00BF1ECB" w:rsidRPr="009A263F">
        <w:t>given that sFlt-1 is anti-angiogenic, a pathogenic role is biologically plausible</w:t>
      </w:r>
      <w:r w:rsidR="00F52C78" w:rsidRPr="009A263F">
        <w:rPr>
          <w:color w:val="FF0000"/>
        </w:rPr>
        <w:sym w:font="Symbol" w:char="F05B"/>
      </w:r>
      <w:r w:rsidR="00F52C78" w:rsidRPr="009A263F">
        <w:rPr>
          <w:color w:val="FF0000"/>
        </w:rPr>
        <w:t>33</w:t>
      </w:r>
      <w:r w:rsidR="00F52C78" w:rsidRPr="009A263F">
        <w:rPr>
          <w:color w:val="FF0000"/>
        </w:rPr>
        <w:sym w:font="Symbol" w:char="F05D"/>
      </w:r>
    </w:p>
    <w:p w14:paraId="61DA839D" w14:textId="77777777" w:rsidR="00B6015C" w:rsidRPr="009A263F" w:rsidRDefault="00545E7C" w:rsidP="00B6015C">
      <w:pPr>
        <w:pStyle w:val="Paragraphedeliste"/>
        <w:numPr>
          <w:ilvl w:val="0"/>
          <w:numId w:val="6"/>
        </w:numPr>
        <w:spacing w:before="100" w:beforeAutospacing="1" w:after="100" w:afterAutospacing="1"/>
        <w:jc w:val="both"/>
        <w:rPr>
          <w:b/>
        </w:rPr>
      </w:pPr>
      <w:r w:rsidRPr="009A263F">
        <w:rPr>
          <w:b/>
        </w:rPr>
        <w:t>In predicting preeclampsia?</w:t>
      </w:r>
    </w:p>
    <w:p w14:paraId="16F8165F" w14:textId="77777777" w:rsidR="00B5505E" w:rsidRPr="009A263F" w:rsidRDefault="00E00F3C" w:rsidP="00D5707F">
      <w:pPr>
        <w:spacing w:before="100" w:beforeAutospacing="1" w:after="100" w:afterAutospacing="1"/>
        <w:contextualSpacing/>
        <w:jc w:val="both"/>
      </w:pPr>
      <w:r w:rsidRPr="009A263F">
        <w:t>The use of biomarkers as diagnostic adjuncts in women with suspected preeclampsia may help clarify the likelihood of preeclampsia when the clinical picture is uncertain. In normal pregnancies, the concentration of PlGF (a pro-angiogenic protein secreted by the placenta) in the circulation increases as gestation advances before decreasing towards term and decreases in women with preeclampsia.</w:t>
      </w:r>
      <w:r w:rsidR="0004679A" w:rsidRPr="009A263F">
        <w:rPr>
          <w:color w:val="FF0000"/>
        </w:rPr>
        <w:sym w:font="Symbol" w:char="F05B"/>
      </w:r>
      <w:r w:rsidR="0004679A" w:rsidRPr="009A263F">
        <w:rPr>
          <w:color w:val="FF0000"/>
        </w:rPr>
        <w:t>36.40</w:t>
      </w:r>
      <w:r w:rsidR="0004679A" w:rsidRPr="009A263F">
        <w:rPr>
          <w:color w:val="FF0000"/>
        </w:rPr>
        <w:sym w:font="Symbol" w:char="F05D"/>
      </w:r>
      <w:r w:rsidR="0004679A" w:rsidRPr="009A263F">
        <w:rPr>
          <w:color w:val="FF0000"/>
        </w:rPr>
        <w:t xml:space="preserve"> </w:t>
      </w:r>
      <w:r w:rsidRPr="009A263F">
        <w:t>In contrast, circulating concentrations of sFlt-1, which increase toward term in normal pregnancies, are elevated in the circulation of women with preeclampsia. The discovery that low concentrations of PlGF and high concentrations of sFlt-1 predate the clinical diagnosis of preeclampsia by a few weeks</w:t>
      </w:r>
      <w:r w:rsidR="0004679A" w:rsidRPr="009A263F">
        <w:rPr>
          <w:color w:val="FF0000"/>
        </w:rPr>
        <w:sym w:font="Symbol" w:char="F05B"/>
      </w:r>
      <w:r w:rsidR="0004679A" w:rsidRPr="009A263F">
        <w:rPr>
          <w:color w:val="FF0000"/>
        </w:rPr>
        <w:t>36</w:t>
      </w:r>
      <w:r w:rsidR="0004679A" w:rsidRPr="009A263F">
        <w:rPr>
          <w:color w:val="FF0000"/>
        </w:rPr>
        <w:sym w:font="Symbol" w:char="F05D"/>
      </w:r>
      <w:r w:rsidR="0004679A" w:rsidRPr="009A263F">
        <w:rPr>
          <w:color w:val="FF0000"/>
        </w:rPr>
        <w:t xml:space="preserve"> </w:t>
      </w:r>
      <w:r w:rsidRPr="009A263F">
        <w:t>allows their potential use as diagnostic adjuncts. Prospective multicenter cohort studies evaluated the sFlt-1/PlGF58 ratio and PlGF alone</w:t>
      </w:r>
      <w:r w:rsidR="0004679A" w:rsidRPr="009A263F">
        <w:rPr>
          <w:color w:val="FF0000"/>
        </w:rPr>
        <w:sym w:font="Symbol" w:char="F05B"/>
      </w:r>
      <w:r w:rsidR="0004679A" w:rsidRPr="009A263F">
        <w:rPr>
          <w:color w:val="FF0000"/>
        </w:rPr>
        <w:t>41</w:t>
      </w:r>
      <w:r w:rsidR="0004679A" w:rsidRPr="009A263F">
        <w:rPr>
          <w:color w:val="FF0000"/>
        </w:rPr>
        <w:sym w:font="Symbol" w:char="F05D"/>
      </w:r>
      <w:r w:rsidR="0004679A" w:rsidRPr="009A263F">
        <w:rPr>
          <w:color w:val="FF0000"/>
        </w:rPr>
        <w:t xml:space="preserve"> </w:t>
      </w:r>
      <w:r w:rsidRPr="009A263F">
        <w:t>in women with suspected preeclampsia, primarily to predict adverse pregnancy outcomes</w:t>
      </w:r>
      <w:r w:rsidR="0004679A" w:rsidRPr="009A263F">
        <w:rPr>
          <w:color w:val="FF0000"/>
        </w:rPr>
        <w:sym w:font="Symbol" w:char="F05B"/>
      </w:r>
      <w:r w:rsidR="0004679A" w:rsidRPr="009A263F">
        <w:rPr>
          <w:color w:val="FF0000"/>
        </w:rPr>
        <w:t>42</w:t>
      </w:r>
      <w:r w:rsidR="0004679A" w:rsidRPr="009A263F">
        <w:rPr>
          <w:color w:val="FF0000"/>
        </w:rPr>
        <w:sym w:font="Symbol" w:char="F05D"/>
      </w:r>
      <w:r w:rsidR="0004679A" w:rsidRPr="009A263F">
        <w:rPr>
          <w:color w:val="FF0000"/>
        </w:rPr>
        <w:t xml:space="preserve"> </w:t>
      </w:r>
      <w:r w:rsidRPr="009A263F">
        <w:t>or preeclampsia requiring delivery within 2 weeks.</w:t>
      </w:r>
      <w:r w:rsidR="0004679A" w:rsidRPr="009A263F">
        <w:rPr>
          <w:color w:val="FF0000"/>
        </w:rPr>
        <w:sym w:font="Symbol" w:char="F05B"/>
      </w:r>
      <w:r w:rsidR="0004679A" w:rsidRPr="009A263F">
        <w:rPr>
          <w:color w:val="FF0000"/>
        </w:rPr>
        <w:t>41</w:t>
      </w:r>
      <w:r w:rsidR="0004679A" w:rsidRPr="009A263F">
        <w:rPr>
          <w:color w:val="FF0000"/>
        </w:rPr>
        <w:sym w:font="Symbol" w:char="F05D"/>
      </w:r>
    </w:p>
    <w:p w14:paraId="467F0969" w14:textId="77777777" w:rsidR="00B6015C" w:rsidRPr="009A263F" w:rsidRDefault="00E00F3C" w:rsidP="00D5707F">
      <w:pPr>
        <w:spacing w:before="100" w:beforeAutospacing="1" w:after="100" w:afterAutospacing="1"/>
        <w:contextualSpacing/>
        <w:jc w:val="both"/>
        <w:rPr>
          <w:highlight w:val="red"/>
        </w:rPr>
      </w:pPr>
      <w:r w:rsidRPr="009A263F">
        <w:t>In a multicenter randomized controlled trial, use of the PlGF test halved the time it took clinicians to diagnose preeclampsia compared with covert testing, from 4·1 to 1·9 days (time ratio 0·36; CI 95% 0·15–0·87) and significantly reduced a composite of serious maternal adverse events (adjusted odds ratio [aOR] 0·32; 95% CI 0·11–0·96) , with no significant differences in the incidence of preterm birth, birth weight percentiles or neonatal unit admission rate.62. In the United Kingdom, British guidelines recommend the use of the PlGF-based test for women suspected of preeclampsia before 35 weeks of amenorrhea</w:t>
      </w:r>
      <w:r w:rsidR="0004679A" w:rsidRPr="009A263F">
        <w:rPr>
          <w:color w:val="FF0000"/>
        </w:rPr>
        <w:sym w:font="Symbol" w:char="F05B"/>
      </w:r>
      <w:r w:rsidR="0004679A" w:rsidRPr="009A263F">
        <w:rPr>
          <w:color w:val="FF0000"/>
        </w:rPr>
        <w:t>43</w:t>
      </w:r>
      <w:r w:rsidR="0004679A" w:rsidRPr="009A263F">
        <w:rPr>
          <w:color w:val="FF0000"/>
        </w:rPr>
        <w:sym w:font="Symbol" w:char="F05D"/>
      </w:r>
      <w:r w:rsidR="0004679A" w:rsidRPr="009A263F">
        <w:rPr>
          <w:color w:val="FF0000"/>
        </w:rPr>
        <w:t xml:space="preserve"> </w:t>
      </w:r>
      <w:r w:rsidRPr="009A263F">
        <w:t>and its integration into the overall clinical assessment of the woman to guide monitoring strategies for future management</w:t>
      </w:r>
      <w:r w:rsidR="0004679A" w:rsidRPr="009A263F">
        <w:rPr>
          <w:color w:val="FF0000"/>
        </w:rPr>
        <w:sym w:font="Symbol" w:char="F05B"/>
      </w:r>
      <w:r w:rsidR="0004679A" w:rsidRPr="009A263F">
        <w:rPr>
          <w:color w:val="FF0000"/>
        </w:rPr>
        <w:t>44</w:t>
      </w:r>
      <w:r w:rsidR="0004679A" w:rsidRPr="009A263F">
        <w:rPr>
          <w:color w:val="FF0000"/>
        </w:rPr>
        <w:sym w:font="Symbol" w:char="F05D"/>
      </w:r>
    </w:p>
    <w:p w14:paraId="1298E540" w14:textId="77777777" w:rsidR="00B66206" w:rsidRPr="009A263F" w:rsidRDefault="00B6015C" w:rsidP="003F4C2B">
      <w:pPr>
        <w:pStyle w:val="Paragraphedeliste"/>
        <w:numPr>
          <w:ilvl w:val="0"/>
          <w:numId w:val="9"/>
        </w:numPr>
        <w:spacing w:before="100" w:beforeAutospacing="1" w:after="100" w:afterAutospacing="1"/>
        <w:jc w:val="both"/>
        <w:rPr>
          <w:b/>
        </w:rPr>
      </w:pPr>
      <w:r w:rsidRPr="009A263F">
        <w:rPr>
          <w:b/>
        </w:rPr>
        <w:t>What is the role of uterine and ophthalmic ultrasound in preeclamapsia?</w:t>
      </w:r>
    </w:p>
    <w:p w14:paraId="0E9F9581" w14:textId="77777777" w:rsidR="003F4C2B" w:rsidRPr="00A07385" w:rsidRDefault="00B66206" w:rsidP="00A07385">
      <w:pPr>
        <w:spacing w:before="100" w:beforeAutospacing="1" w:after="100" w:afterAutospacing="1"/>
        <w:jc w:val="both"/>
      </w:pPr>
      <w:r w:rsidRPr="009A263F">
        <w:rPr>
          <w:b/>
        </w:rPr>
        <w:t>- Uterine Doppler</w:t>
      </w:r>
      <w:r w:rsidR="00230849" w:rsidRPr="009A263F">
        <w:t>: Several studies, which combine different markers, have focused on the blood flow of the uterine artery in particular, its waveform. A pathological waveform identified by a high resistance index as well as an early diastolic notch (Figure 2). Evaluated during the second trimester, these abnormal Doppler results indicate a significantly increased risk of developing preeclampsia</w:t>
      </w:r>
      <w:r w:rsidR="001336B7" w:rsidRPr="009A263F">
        <w:rPr>
          <w:color w:val="FF0000"/>
        </w:rPr>
        <w:sym w:font="Symbol" w:char="F05B"/>
      </w:r>
      <w:r w:rsidR="001336B7" w:rsidRPr="009A263F">
        <w:rPr>
          <w:color w:val="FF0000"/>
        </w:rPr>
        <w:t>45</w:t>
      </w:r>
      <w:r w:rsidR="001336B7" w:rsidRPr="009A263F">
        <w:rPr>
          <w:color w:val="FF0000"/>
        </w:rPr>
        <w:sym w:font="Symbol" w:char="F05D"/>
      </w:r>
    </w:p>
    <w:p w14:paraId="1B3733C2" w14:textId="77777777" w:rsidR="00152C68" w:rsidRPr="00272AE7" w:rsidRDefault="00B66206" w:rsidP="00272AE7">
      <w:pPr>
        <w:jc w:val="both"/>
      </w:pPr>
      <w:r w:rsidRPr="009A263F">
        <w:rPr>
          <w:b/>
        </w:rPr>
        <w:t>- Ophthalmic Doppler:</w:t>
      </w:r>
      <w:r w:rsidR="00966AD7" w:rsidRPr="009A263F">
        <w:t>The ophthalmic artery, which is the first branch of the internal carotid artery and has embryologic, anatomical, and functional similarities to the intracranial vasculature, is an easily accessible vessel for Doppler evaluation that provides information about the intracranial circulation less accessible; Cross-sectional studies reported that compared with normal pregnancy, preeclamapsia was accompanied by a decrease in flow impedance and an increase in velocities in the flow velocity waveforms of the ophthalmic arteries.</w:t>
      </w:r>
      <w:r w:rsidR="00415FCC" w:rsidRPr="009A263F">
        <w:rPr>
          <w:color w:val="FF0000"/>
        </w:rPr>
        <w:sym w:font="Symbol" w:char="F05B"/>
      </w:r>
      <w:r w:rsidR="00415FCC" w:rsidRPr="009A263F">
        <w:rPr>
          <w:color w:val="FF0000"/>
        </w:rPr>
        <w:t>46.47</w:t>
      </w:r>
      <w:r w:rsidR="00415FCC" w:rsidRPr="009A263F">
        <w:rPr>
          <w:color w:val="FF0000"/>
        </w:rPr>
        <w:sym w:font="Symbol" w:char="F05D"/>
      </w:r>
      <w:r w:rsidR="00415FCC" w:rsidRPr="009A263F">
        <w:rPr>
          <w:color w:val="FF0000"/>
        </w:rPr>
        <w:t xml:space="preserve"> </w:t>
      </w:r>
      <w:r w:rsidR="00966AD7" w:rsidRPr="009A263F">
        <w:t>There is also evidence that the occurrence of preeclamapsia is preceded by a decrease in flow impedance in the cerebral circulation.</w:t>
      </w:r>
      <w:r w:rsidR="00415FCC" w:rsidRPr="009A263F">
        <w:rPr>
          <w:color w:val="FF0000"/>
        </w:rPr>
        <w:sym w:font="Symbol" w:char="F05B"/>
      </w:r>
      <w:r w:rsidR="00415FCC" w:rsidRPr="009A263F">
        <w:rPr>
          <w:color w:val="FF0000"/>
        </w:rPr>
        <w:t>48.49</w:t>
      </w:r>
      <w:r w:rsidR="00415FCC" w:rsidRPr="009A263F">
        <w:rPr>
          <w:color w:val="FF0000"/>
        </w:rPr>
        <w:sym w:font="Symbol" w:char="F05D"/>
      </w:r>
      <w:r w:rsidR="00415FCC" w:rsidRPr="009A263F">
        <w:rPr>
          <w:color w:val="FF0000"/>
        </w:rPr>
        <w:t xml:space="preserve"> </w:t>
      </w:r>
      <w:r w:rsidR="00966AD7" w:rsidRPr="009A263F">
        <w:t>Three small prospective studies, involving &lt;450 patients each, examined the potential value of ophthalmic arterial Doppler in predicting preeclamapsia during the first or second trimester of pregnancy; two of the studies reported that ophthalmic arterial Doppler was useful and one that it was not.</w:t>
      </w:r>
      <w:r w:rsidR="00415FCC" w:rsidRPr="009A263F">
        <w:rPr>
          <w:color w:val="FF0000"/>
        </w:rPr>
        <w:sym w:font="Symbol" w:char="F05B"/>
      </w:r>
      <w:r w:rsidR="00415FCC" w:rsidRPr="009A263F">
        <w:rPr>
          <w:color w:val="FF0000"/>
        </w:rPr>
        <w:t>50.51</w:t>
      </w:r>
      <w:r w:rsidR="00415FCC" w:rsidRPr="009A263F">
        <w:rPr>
          <w:color w:val="FF0000"/>
        </w:rPr>
        <w:sym w:font="Symbol" w:char="F05D"/>
      </w:r>
    </w:p>
    <w:p w14:paraId="2FC94E4D" w14:textId="77777777" w:rsidR="00152C68" w:rsidRPr="009A263F" w:rsidRDefault="00272AE7" w:rsidP="00B66206">
      <w:pPr>
        <w:rPr>
          <w:highlight w:val="red"/>
        </w:rPr>
      </w:pPr>
      <w:r w:rsidRPr="009A263F">
        <w:rPr>
          <w:noProof/>
        </w:rPr>
        <mc:AlternateContent>
          <mc:Choice Requires="wps">
            <w:drawing>
              <wp:anchor distT="0" distB="0" distL="114300" distR="114300" simplePos="0" relativeHeight="251658240" behindDoc="0" locked="0" layoutInCell="1" allowOverlap="1" wp14:anchorId="3EB3BA91" wp14:editId="100918BB">
                <wp:simplePos x="0" y="0"/>
                <wp:positionH relativeFrom="column">
                  <wp:posOffset>8890</wp:posOffset>
                </wp:positionH>
                <wp:positionV relativeFrom="paragraph">
                  <wp:posOffset>19050</wp:posOffset>
                </wp:positionV>
                <wp:extent cx="641985" cy="252000"/>
                <wp:effectExtent l="0" t="0" r="18415" b="15240"/>
                <wp:wrapNone/>
                <wp:docPr id="8" name="Zone de texte 8"/>
                <wp:cNvGraphicFramePr/>
                <a:graphic xmlns:a="http://schemas.openxmlformats.org/drawingml/2006/main">
                  <a:graphicData uri="http://schemas.microsoft.com/office/word/2010/wordprocessingShape">
                    <wps:wsp>
                      <wps:cNvSpPr txBox="1"/>
                      <wps:spPr>
                        <a:xfrm>
                          <a:off x="0" y="0"/>
                          <a:ext cx="641985" cy="252000"/>
                        </a:xfrm>
                        <a:prstGeom prst="rect">
                          <a:avLst/>
                        </a:prstGeom>
                        <a:solidFill>
                          <a:schemeClr val="lt1"/>
                        </a:solidFill>
                        <a:ln w="6350">
                          <a:solidFill>
                            <a:prstClr val="black"/>
                          </a:solidFill>
                        </a:ln>
                      </wps:spPr>
                      <wps:txbx>
                        <w:txbxContent>
                          <w:p w14:paraId="4F4931C2" w14:textId="77777777" w:rsidR="006C136B" w:rsidRPr="00152C68" w:rsidRDefault="006C136B" w:rsidP="00152C68">
                            <w:pPr>
                              <w:jc w:val="both"/>
                              <w:rPr>
                                <w:sz w:val="20"/>
                                <w:szCs w:val="20"/>
                              </w:rPr>
                            </w:pPr>
                            <w:r w:rsidRPr="00152C68">
                              <w:rPr>
                                <w:b/>
                                <w:sz w:val="20"/>
                                <w:szCs w:val="20"/>
                              </w:rPr>
                              <w:t>Figure 2</w:t>
                            </w:r>
                          </w:p>
                          <w:p w14:paraId="4606B9C4" w14:textId="77777777" w:rsidR="006C136B" w:rsidRPr="00152C68" w:rsidRDefault="006C136B" w:rsidP="00152C68">
                            <w:pPr>
                              <w:jc w:val="both"/>
                              <w:rPr>
                                <w:sz w:val="20"/>
                                <w:szCs w:val="20"/>
                              </w:rPr>
                            </w:pPr>
                          </w:p>
                          <w:p w14:paraId="0B116953" w14:textId="77777777" w:rsidR="006C136B" w:rsidRPr="00152C68" w:rsidRDefault="006C136B" w:rsidP="00152C68">
                            <w:pPr>
                              <w:jc w:val="both"/>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3BA91" id="Zone de texte 8" o:spid="_x0000_s1028" type="#_x0000_t202" style="position:absolute;margin-left:.7pt;margin-top:1.5pt;width:50.55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" fillcolor="white [3201]" strokeweight=".5pt">
                <v:textbox>
                  <w:txbxContent>
                    <w:p w14:paraId="4F4931C2" w14:textId="77777777" w:rsidR="006C136B" w:rsidRPr="00152C68" w:rsidRDefault="006C136B" w:rsidP="00152C68">
                      <w:pPr>
                        <w:jc w:val="both"/>
                        <w:rPr>
                          <w:sz w:val="20"/>
                          <w:szCs w:val="20"/>
                        </w:rPr>
                      </w:pPr>
                      <w:r w:rsidRPr="00152C68">
                        <w:rPr>
                          <w:b/>
                          <w:sz w:val="20"/>
                          <w:szCs w:val="20"/>
                        </w:rPr>
                        <w:t>Figure 2</w:t>
                      </w:r>
                    </w:p>
                    <w:p w14:paraId="4606B9C4" w14:textId="77777777" w:rsidR="006C136B" w:rsidRPr="00152C68" w:rsidRDefault="006C136B" w:rsidP="00152C68">
                      <w:pPr>
                        <w:jc w:val="both"/>
                        <w:rPr>
                          <w:sz w:val="20"/>
                          <w:szCs w:val="20"/>
                        </w:rPr>
                      </w:pPr>
                    </w:p>
                    <w:p w14:paraId="0B116953" w14:textId="77777777" w:rsidR="006C136B" w:rsidRPr="00152C68" w:rsidRDefault="006C136B" w:rsidP="00152C68">
                      <w:pPr>
                        <w:jc w:val="both"/>
                        <w:rPr>
                          <w:sz w:val="20"/>
                          <w:szCs w:val="20"/>
                        </w:rPr>
                      </w:pPr>
                    </w:p>
                  </w:txbxContent>
                </v:textbox>
              </v:shape>
            </w:pict>
          </mc:Fallback>
        </mc:AlternateContent>
      </w:r>
    </w:p>
    <w:p w14:paraId="58CDBBFC" w14:textId="77777777" w:rsidR="00272AE7" w:rsidRPr="009A263F" w:rsidRDefault="00272AE7" w:rsidP="00152C68">
      <w:pPr>
        <w:shd w:val="clear" w:color="auto" w:fill="FFFFFF"/>
      </w:pPr>
    </w:p>
    <w:p w14:paraId="67B18E7B" w14:textId="77777777" w:rsidR="00152C68" w:rsidRPr="009A263F" w:rsidRDefault="00272AE7" w:rsidP="00152C68">
      <w:pPr>
        <w:shd w:val="clear" w:color="auto" w:fill="FFFFFF"/>
      </w:pPr>
      <w:r w:rsidRPr="009A263F">
        <w:rPr>
          <w:noProof/>
        </w:rPr>
        <mc:AlternateContent>
          <mc:Choice Requires="wps">
            <w:drawing>
              <wp:anchor distT="0" distB="0" distL="114300" distR="114300" simplePos="0" relativeHeight="251655168" behindDoc="0" locked="0" layoutInCell="1" allowOverlap="1" wp14:anchorId="48067F6C" wp14:editId="3C5322A2">
                <wp:simplePos x="0" y="0"/>
                <wp:positionH relativeFrom="column">
                  <wp:posOffset>2127005</wp:posOffset>
                </wp:positionH>
                <wp:positionV relativeFrom="paragraph">
                  <wp:posOffset>606393</wp:posOffset>
                </wp:positionV>
                <wp:extent cx="3509645" cy="266937"/>
                <wp:effectExtent l="0" t="0" r="8255" b="12700"/>
                <wp:wrapNone/>
                <wp:docPr id="6" name="Zone de texte 6"/>
                <wp:cNvGraphicFramePr/>
                <a:graphic xmlns:a="http://schemas.openxmlformats.org/drawingml/2006/main">
                  <a:graphicData uri="http://schemas.microsoft.com/office/word/2010/wordprocessingShape">
                    <wps:wsp>
                      <wps:cNvSpPr txBox="1"/>
                      <wps:spPr>
                        <a:xfrm>
                          <a:off x="0" y="0"/>
                          <a:ext cx="3509645" cy="266937"/>
                        </a:xfrm>
                        <a:prstGeom prst="rect">
                          <a:avLst/>
                        </a:prstGeom>
                        <a:solidFill>
                          <a:schemeClr val="lt1"/>
                        </a:solidFill>
                        <a:ln w="6350">
                          <a:solidFill>
                            <a:prstClr val="black"/>
                          </a:solidFill>
                        </a:ln>
                      </wps:spPr>
                      <wps:txbx>
                        <w:txbxContent>
                          <w:p w14:paraId="12A30367" w14:textId="77777777" w:rsidR="006C136B" w:rsidRPr="00A07385" w:rsidRDefault="006C136B" w:rsidP="00A07385">
                            <w:pPr>
                              <w:rPr>
                                <w:sz w:val="20"/>
                                <w:szCs w:val="20"/>
                              </w:rPr>
                            </w:pPr>
                            <w:r w:rsidRPr="00A07385">
                              <w:rPr>
                                <w:sz w:val="20"/>
                                <w:szCs w:val="20"/>
                              </w:rPr>
                              <w:t>Left Ophthalmic Artery Color Flow Demonstration</w:t>
                            </w:r>
                          </w:p>
                          <w:p w14:paraId="12C63D0B" w14:textId="77777777" w:rsidR="006C136B" w:rsidRPr="00A07385" w:rsidRDefault="006C136B" w:rsidP="00A07385">
                            <w:pPr>
                              <w:rPr>
                                <w:sz w:val="20"/>
                                <w:szCs w:val="20"/>
                              </w:rPr>
                            </w:pPr>
                          </w:p>
                          <w:p w14:paraId="5A20926E" w14:textId="77777777" w:rsidR="006C136B" w:rsidRPr="00A07385" w:rsidRDefault="006C136B" w:rsidP="00A07385">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67F6C" id="Zone de texte 6" o:spid="_x0000_s1029" type="#_x0000_t202" style="position:absolute;margin-left:167.5pt;margin-top:47.75pt;width:276.35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" fillcolor="white [3201]" strokeweight=".5pt">
                <v:textbox>
                  <w:txbxContent>
                    <w:p w14:paraId="12A30367" w14:textId="77777777" w:rsidR="006C136B" w:rsidRPr="00A07385" w:rsidRDefault="006C136B" w:rsidP="00A07385">
                      <w:pPr>
                        <w:rPr>
                          <w:sz w:val="20"/>
                          <w:szCs w:val="20"/>
                        </w:rPr>
                      </w:pPr>
                      <w:r w:rsidRPr="00A07385">
                        <w:rPr>
                          <w:sz w:val="20"/>
                          <w:szCs w:val="20"/>
                        </w:rPr>
                        <w:t>Left Ophthalmic Artery Color Flow Demonstration</w:t>
                      </w:r>
                    </w:p>
                    <w:p w14:paraId="12C63D0B" w14:textId="77777777" w:rsidR="006C136B" w:rsidRPr="00A07385" w:rsidRDefault="006C136B" w:rsidP="00A07385">
                      <w:pPr>
                        <w:rPr>
                          <w:sz w:val="20"/>
                          <w:szCs w:val="20"/>
                        </w:rPr>
                      </w:pPr>
                    </w:p>
                    <w:p w14:paraId="5A20926E" w14:textId="77777777" w:rsidR="006C136B" w:rsidRPr="00A07385" w:rsidRDefault="006C136B" w:rsidP="00A07385">
                      <w:pPr>
                        <w:rPr>
                          <w:sz w:val="20"/>
                          <w:szCs w:val="20"/>
                        </w:rPr>
                      </w:pPr>
                    </w:p>
                  </w:txbxContent>
                </v:textbox>
              </v:shape>
            </w:pict>
          </mc:Fallback>
        </mc:AlternateContent>
      </w:r>
      <w:r w:rsidRPr="009A263F">
        <w:rPr>
          <w:noProof/>
        </w:rPr>
        <mc:AlternateContent>
          <mc:Choice Requires="wps">
            <w:drawing>
              <wp:anchor distT="0" distB="0" distL="114300" distR="114300" simplePos="0" relativeHeight="251657216" behindDoc="0" locked="0" layoutInCell="1" allowOverlap="1" wp14:anchorId="5C6476DE" wp14:editId="15311092">
                <wp:simplePos x="0" y="0"/>
                <wp:positionH relativeFrom="column">
                  <wp:posOffset>2126370</wp:posOffset>
                </wp:positionH>
                <wp:positionV relativeFrom="paragraph">
                  <wp:posOffset>1429886</wp:posOffset>
                </wp:positionV>
                <wp:extent cx="3509645" cy="669926"/>
                <wp:effectExtent l="0" t="0" r="8255" b="15875"/>
                <wp:wrapNone/>
                <wp:docPr id="7" name="Zone de texte 7"/>
                <wp:cNvGraphicFramePr/>
                <a:graphic xmlns:a="http://schemas.openxmlformats.org/drawingml/2006/main">
                  <a:graphicData uri="http://schemas.microsoft.com/office/word/2010/wordprocessingShape">
                    <wps:wsp>
                      <wps:cNvSpPr txBox="1"/>
                      <wps:spPr>
                        <a:xfrm rot="10800000" flipV="1">
                          <a:off x="0" y="0"/>
                          <a:ext cx="3509645" cy="669926"/>
                        </a:xfrm>
                        <a:prstGeom prst="rect">
                          <a:avLst/>
                        </a:prstGeom>
                        <a:solidFill>
                          <a:schemeClr val="lt1"/>
                        </a:solidFill>
                        <a:ln w="6350">
                          <a:solidFill>
                            <a:prstClr val="black"/>
                          </a:solidFill>
                        </a:ln>
                      </wps:spPr>
                      <wps:txbx>
                        <w:txbxContent>
                          <w:p w14:paraId="0F8B6D98" w14:textId="77777777" w:rsidR="006C136B" w:rsidRPr="00A07385" w:rsidRDefault="006C136B" w:rsidP="00A07385">
                            <w:pPr>
                              <w:jc w:val="both"/>
                              <w:rPr>
                                <w:sz w:val="20"/>
                                <w:szCs w:val="20"/>
                              </w:rPr>
                            </w:pPr>
                            <w:r w:rsidRPr="00A07385">
                              <w:rPr>
                                <w:sz w:val="20"/>
                                <w:szCs w:val="20"/>
                              </w:rPr>
                              <w:t>At the bottom is the ophthalmic artery flow velocity waveform obtained by pulsed-wave Doppler illustrating first and second systolic velocity and end-diastolic velocity.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476DE" id="Zone de texte 7" o:spid="_x0000_s1030" type="#_x0000_t202" style="position:absolute;margin-left:167.45pt;margin-top:112.6pt;width:276.35pt;height:52.75pt;rotation:180;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" fillcolor="white [3201]" strokeweight=".5pt">
                <v:textbox>
                  <w:txbxContent>
                    <w:p w14:paraId="0F8B6D98" w14:textId="77777777" w:rsidR="006C136B" w:rsidRPr="00A07385" w:rsidRDefault="006C136B" w:rsidP="00A07385">
                      <w:pPr>
                        <w:jc w:val="both"/>
                        <w:rPr>
                          <w:sz w:val="20"/>
                          <w:szCs w:val="20"/>
                        </w:rPr>
                      </w:pPr>
                      <w:r w:rsidRPr="00A07385">
                        <w:rPr>
                          <w:sz w:val="20"/>
                          <w:szCs w:val="20"/>
                        </w:rPr>
                        <w:t>At the bottom is the ophthalmic artery flow velocity waveform obtained by pulsed-wave Doppler illustrating first and second systolic velocity and end-diastolic velocity.</w:t>
                      </w:r>
                    </w:p>
                  </w:txbxContent>
                </v:textbox>
              </v:shape>
            </w:pict>
          </mc:Fallback>
        </mc:AlternateContent>
      </w:r>
      <w:r w:rsidR="00152C68" w:rsidRPr="009A263F">
        <w:rPr>
          <w:noProof/>
        </w:rPr>
        <w:drawing>
          <wp:inline distT="0" distB="0" distL="0" distR="0" wp14:anchorId="1655766D" wp14:editId="67ACEEB7">
            <wp:extent cx="1809115" cy="2254763"/>
            <wp:effectExtent l="12700" t="12700" r="6985" b="190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31864" cy="2283116"/>
                    </a:xfrm>
                    <a:prstGeom prst="rect">
                      <a:avLst/>
                    </a:prstGeom>
                    <a:ln>
                      <a:solidFill>
                        <a:schemeClr val="tx1"/>
                      </a:solidFill>
                    </a:ln>
                  </pic:spPr>
                </pic:pic>
              </a:graphicData>
            </a:graphic>
          </wp:inline>
        </w:drawing>
      </w:r>
    </w:p>
    <w:p w14:paraId="21B40005" w14:textId="77777777" w:rsidR="00152C68" w:rsidRPr="009A263F" w:rsidRDefault="00152C68" w:rsidP="00B66206">
      <w:pPr>
        <w:rPr>
          <w:highlight w:val="red"/>
        </w:rPr>
      </w:pPr>
    </w:p>
    <w:p w14:paraId="1171728C" w14:textId="77777777" w:rsidR="00D5707F" w:rsidRPr="009A263F" w:rsidRDefault="0032749A" w:rsidP="00C17007">
      <w:pPr>
        <w:pStyle w:val="Paragraphedeliste"/>
        <w:numPr>
          <w:ilvl w:val="0"/>
          <w:numId w:val="6"/>
        </w:numPr>
        <w:spacing w:before="100" w:beforeAutospacing="1" w:after="100" w:afterAutospacing="1"/>
        <w:jc w:val="both"/>
        <w:rPr>
          <w:b/>
          <w:color w:val="000000" w:themeColor="text1"/>
        </w:rPr>
      </w:pPr>
      <w:r w:rsidRPr="009A263F">
        <w:rPr>
          <w:b/>
          <w:color w:val="000000" w:themeColor="text1"/>
        </w:rPr>
        <w:t>Combination of biochemical markers on uterine artery Doppler</w:t>
      </w:r>
    </w:p>
    <w:p w14:paraId="48441736" w14:textId="77777777" w:rsidR="0032749A" w:rsidRPr="009A263F" w:rsidRDefault="0032749A" w:rsidP="00230849">
      <w:pPr>
        <w:spacing w:before="100" w:beforeAutospacing="1" w:after="100" w:afterAutospacing="1"/>
        <w:jc w:val="both"/>
        <w:rPr>
          <w:b/>
          <w:color w:val="000000" w:themeColor="text1"/>
        </w:rPr>
      </w:pPr>
      <w:r w:rsidRPr="009A263F">
        <w:t>In recent years, none of the biomarkers evaluated to predict preeclampsia have yet been proven to have clinical value. Much effort has been made to evaluate their potential and their combination with other screening methods such as ultrasound. The most promising biochemical markers to date are PP 13 as well as sflt-1, PLGF and Seng. They allow the screening of PE and its complications, showing relatively high predictive values. Diagnostic performance is improved if these markers are combined with first trimester Doppler ultrasound. Further studies are important to justify their clinical use, always with the aim of reducing maternal and perinatal morbidity and relieving the “heavy burden” of pre-eclampsia.</w:t>
      </w:r>
      <w:r w:rsidR="00D5707F" w:rsidRPr="009A263F">
        <w:rPr>
          <w:color w:val="FF0000"/>
        </w:rPr>
        <w:sym w:font="Symbol" w:char="F05B"/>
      </w:r>
      <w:r w:rsidR="00D5707F" w:rsidRPr="009A263F">
        <w:rPr>
          <w:color w:val="FF0000"/>
        </w:rPr>
        <w:t>52</w:t>
      </w:r>
      <w:r w:rsidR="00D5707F" w:rsidRPr="009A263F">
        <w:rPr>
          <w:color w:val="FF0000"/>
        </w:rPr>
        <w:sym w:font="Symbol" w:char="F05D"/>
      </w:r>
    </w:p>
    <w:p w14:paraId="773B4EDA" w14:textId="77777777" w:rsidR="00545E7C" w:rsidRPr="009A263F" w:rsidRDefault="00C17007" w:rsidP="00B6015C">
      <w:pPr>
        <w:pStyle w:val="Paragraphedeliste"/>
        <w:numPr>
          <w:ilvl w:val="0"/>
          <w:numId w:val="9"/>
        </w:numPr>
        <w:spacing w:before="100" w:beforeAutospacing="1" w:after="100" w:afterAutospacing="1"/>
        <w:jc w:val="both"/>
        <w:rPr>
          <w:b/>
        </w:rPr>
      </w:pPr>
      <w:r w:rsidRPr="009A263F">
        <w:rPr>
          <w:b/>
        </w:rPr>
        <w:t>How to Predict and Prevent Preeclampsia:</w:t>
      </w:r>
    </w:p>
    <w:p w14:paraId="394CF20A" w14:textId="77777777" w:rsidR="00E00F3C" w:rsidRPr="009A263F" w:rsidRDefault="00E00F3C" w:rsidP="00C17007">
      <w:pPr>
        <w:pStyle w:val="Paragraphedeliste"/>
        <w:numPr>
          <w:ilvl w:val="0"/>
          <w:numId w:val="6"/>
        </w:numPr>
        <w:spacing w:before="100" w:beforeAutospacing="1" w:after="100" w:afterAutospacing="1"/>
        <w:jc w:val="both"/>
        <w:rPr>
          <w:b/>
        </w:rPr>
      </w:pPr>
      <w:r w:rsidRPr="009A263F">
        <w:rPr>
          <w:b/>
        </w:rPr>
        <w:t>Screening at the start of pregnancy:</w:t>
      </w:r>
    </w:p>
    <w:p w14:paraId="57EE3263" w14:textId="77777777" w:rsidR="00FA6EA5" w:rsidRPr="009A263F" w:rsidRDefault="00E00F3C" w:rsidP="00C17007">
      <w:pPr>
        <w:spacing w:before="100" w:beforeAutospacing="1" w:after="100" w:afterAutospacing="1"/>
        <w:contextualSpacing/>
        <w:jc w:val="both"/>
      </w:pPr>
      <w:r w:rsidRPr="009A263F">
        <w:t>Current screening strategies rely on the combined use of clinical risk factors, maternal plasma or serum biomarkers, and imaging modalities such as uterine artery Doppler flow velocity waveform analysis. These methods are variably integrated into predictive algorithms used to stratify prenatal care monitoring and identify women most suitable for prophylactic aspirin treatment. A 2019 general review reported the identification of 90 predictors and 52 prediction models.</w:t>
      </w:r>
    </w:p>
    <w:p w14:paraId="680FE81D" w14:textId="77777777" w:rsidR="004619B7" w:rsidRPr="009A263F" w:rsidRDefault="00FA6EA5" w:rsidP="00C17007">
      <w:pPr>
        <w:spacing w:before="100" w:beforeAutospacing="1" w:after="100" w:afterAutospacing="1"/>
        <w:contextualSpacing/>
        <w:jc w:val="both"/>
      </w:pPr>
      <w:r w:rsidRPr="009A263F">
        <w:t>In one algorithm, researchers attempted to improve predictive ability by combining variables, maternal demographics, comorbidity and pregnancy-related, circulating levels of biomarkers (usually PlGF and pregnancy-associated plasma protein A), and uterine artery waveform on arterial Doppler (measured at approximately 13 weeks of gestation). Such an algorithm has been reported to have a higher detection rate for subsequent preeclampsia (detection rate 42.5%; 95% CI 38·0–46·9) than using clinical risk factors alone (30.4%; 95% CI 26·3–34·6).</w:t>
      </w:r>
      <w:r w:rsidR="006607D6" w:rsidRPr="009A263F">
        <w:rPr>
          <w:color w:val="FF0000"/>
        </w:rPr>
        <w:sym w:font="Symbol" w:char="F05B"/>
      </w:r>
      <w:r w:rsidR="006607D6" w:rsidRPr="009A263F">
        <w:rPr>
          <w:color w:val="FF0000"/>
        </w:rPr>
        <w:t>53</w:t>
      </w:r>
      <w:r w:rsidR="006607D6" w:rsidRPr="009A263F">
        <w:rPr>
          <w:color w:val="FF0000"/>
        </w:rPr>
        <w:sym w:font="Symbol" w:char="F05D"/>
      </w:r>
    </w:p>
    <w:p w14:paraId="45488CCE" w14:textId="77777777" w:rsidR="00B100C8" w:rsidRPr="009A263F" w:rsidRDefault="00E00F3C" w:rsidP="004619B7">
      <w:pPr>
        <w:spacing w:before="100" w:beforeAutospacing="1" w:after="100" w:afterAutospacing="1"/>
        <w:contextualSpacing/>
        <w:jc w:val="both"/>
      </w:pPr>
      <w:r w:rsidRPr="009A263F">
        <w:t>These multivariable prediction algorithms have higher test performance for preeclampsia requiring early delivery (usually before 34 weeks of gestation) than for late-onset preeclampsia, however, as the prevalence of early-onset disease is less than 1% of pregnancies, the positive predictive values ​​are low although they can be considered high enough to initiate prophylactic treatment. The clinical implications and cost of implementing such a screening strategy require further investigation.</w:t>
      </w:r>
      <w:r w:rsidR="006607D6" w:rsidRPr="009A263F">
        <w:rPr>
          <w:color w:val="FF0000"/>
        </w:rPr>
        <w:sym w:font="Symbol" w:char="F05B"/>
      </w:r>
      <w:r w:rsidR="006607D6" w:rsidRPr="009A263F">
        <w:rPr>
          <w:color w:val="FF0000"/>
        </w:rPr>
        <w:t>54</w:t>
      </w:r>
      <w:r w:rsidR="006607D6" w:rsidRPr="009A263F">
        <w:rPr>
          <w:color w:val="FF0000"/>
        </w:rPr>
        <w:sym w:font="Symbol" w:char="F05D"/>
      </w:r>
      <w:r w:rsidRPr="009A263F">
        <w:t>Although this first trimester screening and treatment approach is already approved in some international recommendations</w:t>
      </w:r>
      <w:r w:rsidR="006607D6" w:rsidRPr="009A263F">
        <w:rPr>
          <w:color w:val="FF0000"/>
        </w:rPr>
        <w:sym w:font="Symbol" w:char="F05B"/>
      </w:r>
      <w:r w:rsidR="006607D6" w:rsidRPr="009A263F">
        <w:rPr>
          <w:color w:val="FF0000"/>
        </w:rPr>
        <w:t>55.56</w:t>
      </w:r>
      <w:r w:rsidR="006607D6" w:rsidRPr="009A263F">
        <w:rPr>
          <w:color w:val="FF0000"/>
        </w:rPr>
        <w:sym w:font="Symbol" w:char="F05D"/>
      </w:r>
      <w:r w:rsidR="00E074D8" w:rsidRPr="009A263F">
        <w:t>but its cost-effectiveness compared to screening approaches based on clinical risk factors alone is unclear.</w:t>
      </w:r>
    </w:p>
    <w:p w14:paraId="0B4EA6BC" w14:textId="77777777" w:rsidR="009A263F" w:rsidRDefault="00C17007" w:rsidP="004C3E5E">
      <w:pPr>
        <w:pStyle w:val="Paragraphedeliste"/>
        <w:numPr>
          <w:ilvl w:val="0"/>
          <w:numId w:val="6"/>
        </w:numPr>
        <w:spacing w:before="100" w:beforeAutospacing="1" w:after="100" w:afterAutospacing="1"/>
        <w:jc w:val="both"/>
        <w:rPr>
          <w:b/>
        </w:rPr>
      </w:pPr>
      <w:r w:rsidRPr="009A263F">
        <w:rPr>
          <w:b/>
        </w:rPr>
        <w:t>Prevention of preeclamapsia:</w:t>
      </w:r>
    </w:p>
    <w:p w14:paraId="635F435A" w14:textId="77777777" w:rsidR="009A263F" w:rsidRDefault="004C3E5E" w:rsidP="004C3E5E">
      <w:pPr>
        <w:pStyle w:val="Paragraphedeliste"/>
        <w:numPr>
          <w:ilvl w:val="0"/>
          <w:numId w:val="6"/>
        </w:numPr>
        <w:spacing w:before="100" w:beforeAutospacing="1" w:after="100" w:afterAutospacing="1"/>
        <w:jc w:val="both"/>
        <w:rPr>
          <w:b/>
        </w:rPr>
      </w:pPr>
      <w:r w:rsidRPr="009A263F">
        <w:rPr>
          <w:b/>
        </w:rPr>
        <w:t>Aspirin:</w:t>
      </w:r>
    </w:p>
    <w:p w14:paraId="58A7B15B" w14:textId="77777777" w:rsidR="00CC7F15" w:rsidRPr="009A263F" w:rsidRDefault="004C3E5E" w:rsidP="004C3E5E">
      <w:pPr>
        <w:spacing w:before="100" w:beforeAutospacing="1" w:after="100" w:afterAutospacing="1"/>
        <w:jc w:val="both"/>
        <w:rPr>
          <w:b/>
        </w:rPr>
      </w:pPr>
      <w:r w:rsidRPr="009A263F">
        <w:t>Aspirin is the only preventive drug treatment for preeclampsia supported by solid evidence. A 2019 Cochrane review concluded that low-dose aspirin taken daily from the end of the first trimester through 36 weeks of gestation reduces the risk of preeclampsia by approximately 18% (relative risk 0.82; 95% CI 0·77–0·82).</w:t>
      </w:r>
      <w:r w:rsidR="001079E2" w:rsidRPr="009A263F">
        <w:rPr>
          <w:color w:val="FF0000"/>
        </w:rPr>
        <w:sym w:font="Symbol" w:char="F05B"/>
      </w:r>
      <w:r w:rsidR="001079E2" w:rsidRPr="009A263F">
        <w:rPr>
          <w:color w:val="FF0000"/>
        </w:rPr>
        <w:t>57</w:t>
      </w:r>
      <w:r w:rsidR="001079E2" w:rsidRPr="009A263F">
        <w:rPr>
          <w:color w:val="FF0000"/>
        </w:rPr>
        <w:sym w:font="Symbol" w:char="F05D"/>
      </w:r>
      <w:r w:rsidRPr="009A263F">
        <w:t>How aspirin prevents preeclampsia is unclear. Theories include: that aspirin improves placental implantation, and protects the maternal vasculature by decreasing platelet reactivity, thromboxane concentrations, and increasing prostacyclin production,</w:t>
      </w:r>
      <w:r w:rsidR="001079E2" w:rsidRPr="009A263F">
        <w:rPr>
          <w:color w:val="FF0000"/>
        </w:rPr>
        <w:sym w:font="Symbol" w:char="F05B"/>
      </w:r>
      <w:r w:rsidR="001079E2" w:rsidRPr="009A263F">
        <w:rPr>
          <w:color w:val="FF0000"/>
        </w:rPr>
        <w:t>58</w:t>
      </w:r>
      <w:r w:rsidR="001079E2" w:rsidRPr="009A263F">
        <w:rPr>
          <w:color w:val="FF0000"/>
        </w:rPr>
        <w:sym w:font="Symbol" w:char="F05D"/>
      </w:r>
      <w:r w:rsidRPr="009A263F">
        <w:t>which would involve continuing aspirin treatment throughout pregnancy. Screening approaches to selecting individuals who are offered aspirin prophylaxis typically involve the use of clinical risk factors*, such as treating people with two moderate risk factors or one high risk factor for preeclampsia.</w:t>
      </w:r>
      <w:r w:rsidR="001079E2" w:rsidRPr="009A263F">
        <w:rPr>
          <w:color w:val="FF0000"/>
        </w:rPr>
        <w:sym w:font="Symbol" w:char="F05B"/>
      </w:r>
      <w:r w:rsidR="001079E2" w:rsidRPr="009A263F">
        <w:rPr>
          <w:color w:val="FF0000"/>
        </w:rPr>
        <w:t>59.60</w:t>
      </w:r>
      <w:r w:rsidR="001079E2" w:rsidRPr="009A263F">
        <w:rPr>
          <w:color w:val="FF0000"/>
        </w:rPr>
        <w:sym w:font="Symbol" w:char="F05D"/>
      </w:r>
      <w:r w:rsidR="00B076BC" w:rsidRPr="009A263F">
        <w:t>Most recommendations use a dose of 75 to 100 mg of aspirin per day.</w:t>
      </w:r>
      <w:r w:rsidR="001079E2" w:rsidRPr="009A263F">
        <w:rPr>
          <w:color w:val="FF0000"/>
        </w:rPr>
        <w:sym w:font="Symbol" w:char="F05B"/>
      </w:r>
      <w:r w:rsidR="001079E2" w:rsidRPr="009A263F">
        <w:rPr>
          <w:color w:val="FF0000"/>
        </w:rPr>
        <w:t>59.60</w:t>
      </w:r>
      <w:r w:rsidR="001079E2" w:rsidRPr="009A263F">
        <w:rPr>
          <w:color w:val="FF0000"/>
        </w:rPr>
        <w:sym w:font="Symbol" w:char="F05D"/>
      </w:r>
    </w:p>
    <w:p w14:paraId="344BCBD9" w14:textId="77777777" w:rsidR="00B076BC" w:rsidRPr="009A263F" w:rsidRDefault="00CC7F15" w:rsidP="004C3E5E">
      <w:pPr>
        <w:spacing w:before="100" w:beforeAutospacing="1" w:after="100" w:afterAutospacing="1"/>
        <w:contextualSpacing/>
        <w:jc w:val="both"/>
        <w:rPr>
          <w:u w:val="single"/>
        </w:rPr>
      </w:pPr>
      <w:r w:rsidRPr="009A263F">
        <w:t>*Clinical risk factors used by different scientific societies: (ACOG = American College of Obstetricians and Gynecologists. NICE = National Institute for Health and Care Excellence. ISSHP = International Society for the Study of Hypertension during pregnancy FIGO = International Federation of Gynecology and Obstetrics) are as follows:</w:t>
      </w:r>
    </w:p>
    <w:p w14:paraId="5AD80ADD" w14:textId="77777777" w:rsidR="009B235B" w:rsidRDefault="009B235B" w:rsidP="009B235B">
      <w:pPr>
        <w:spacing w:before="100" w:beforeAutospacing="1" w:after="100" w:afterAutospacing="1"/>
        <w:jc w:val="both"/>
      </w:pPr>
    </w:p>
    <w:p w14:paraId="2D25A19E" w14:textId="77777777" w:rsidR="009B235B" w:rsidRDefault="00B076BC" w:rsidP="009B235B">
      <w:pPr>
        <w:pStyle w:val="Paragraphedeliste"/>
        <w:numPr>
          <w:ilvl w:val="0"/>
          <w:numId w:val="6"/>
        </w:numPr>
        <w:spacing w:before="100" w:beforeAutospacing="1" w:after="100" w:afterAutospacing="1"/>
        <w:jc w:val="both"/>
      </w:pPr>
      <w:r w:rsidRPr="009A263F">
        <w:t>Chronic hypertension,</w:t>
      </w:r>
    </w:p>
    <w:p w14:paraId="17B6025E" w14:textId="77777777" w:rsidR="009B235B" w:rsidRDefault="009B235B" w:rsidP="009B235B">
      <w:pPr>
        <w:pStyle w:val="Paragraphedeliste"/>
        <w:numPr>
          <w:ilvl w:val="0"/>
          <w:numId w:val="6"/>
        </w:numPr>
        <w:spacing w:before="100" w:beforeAutospacing="1" w:after="100" w:afterAutospacing="1"/>
        <w:jc w:val="both"/>
      </w:pPr>
      <w:r w:rsidRPr="009A263F">
        <w:t>Type 1 or type 2 diabetes</w:t>
      </w:r>
    </w:p>
    <w:p w14:paraId="3C858D11" w14:textId="77777777" w:rsidR="009B235B" w:rsidRDefault="009B235B" w:rsidP="009B235B">
      <w:pPr>
        <w:pStyle w:val="Paragraphedeliste"/>
        <w:numPr>
          <w:ilvl w:val="0"/>
          <w:numId w:val="6"/>
        </w:numPr>
        <w:spacing w:before="100" w:beforeAutospacing="1" w:after="100" w:afterAutospacing="1"/>
        <w:jc w:val="both"/>
      </w:pPr>
      <w:r w:rsidRPr="009A263F">
        <w:t>Kidney disease</w:t>
      </w:r>
    </w:p>
    <w:p w14:paraId="6A819280" w14:textId="77777777" w:rsidR="009B235B" w:rsidRDefault="009B235B" w:rsidP="009B235B">
      <w:pPr>
        <w:pStyle w:val="Paragraphedeliste"/>
        <w:numPr>
          <w:ilvl w:val="0"/>
          <w:numId w:val="6"/>
        </w:numPr>
        <w:spacing w:before="100" w:beforeAutospacing="1" w:after="100" w:afterAutospacing="1"/>
        <w:jc w:val="both"/>
      </w:pPr>
      <w:r w:rsidRPr="009A263F">
        <w:t>Autoimmune disease (SLE, APLS)</w:t>
      </w:r>
    </w:p>
    <w:p w14:paraId="07DE23BA" w14:textId="77777777" w:rsidR="009B235B" w:rsidRDefault="00B076BC" w:rsidP="009B235B">
      <w:pPr>
        <w:pStyle w:val="Paragraphedeliste"/>
        <w:numPr>
          <w:ilvl w:val="0"/>
          <w:numId w:val="6"/>
        </w:numPr>
        <w:spacing w:before="100" w:beforeAutospacing="1" w:after="100" w:afterAutospacing="1"/>
        <w:jc w:val="both"/>
      </w:pPr>
      <w:r w:rsidRPr="009A263F">
        <w:t>History of preeclampsia</w:t>
      </w:r>
    </w:p>
    <w:p w14:paraId="700D4745" w14:textId="77777777" w:rsidR="009B235B" w:rsidRDefault="009B235B" w:rsidP="009B235B">
      <w:pPr>
        <w:pStyle w:val="Paragraphedeliste"/>
        <w:numPr>
          <w:ilvl w:val="0"/>
          <w:numId w:val="6"/>
        </w:numPr>
        <w:spacing w:before="100" w:beforeAutospacing="1" w:after="100" w:afterAutospacing="1"/>
        <w:jc w:val="both"/>
      </w:pPr>
      <w:r>
        <w:t>Multi-fetal pregnancy</w:t>
      </w:r>
    </w:p>
    <w:p w14:paraId="487424D1" w14:textId="77777777" w:rsidR="009B235B" w:rsidRDefault="009B235B" w:rsidP="009B235B">
      <w:pPr>
        <w:pStyle w:val="Paragraphedeliste"/>
        <w:numPr>
          <w:ilvl w:val="0"/>
          <w:numId w:val="6"/>
        </w:numPr>
        <w:spacing w:before="100" w:beforeAutospacing="1" w:after="100" w:afterAutospacing="1"/>
        <w:jc w:val="both"/>
      </w:pPr>
      <w:r>
        <w:t>History of other hypertensive disorder of pregnancy</w:t>
      </w:r>
    </w:p>
    <w:p w14:paraId="2AB53E6B" w14:textId="77777777" w:rsidR="009B235B" w:rsidRDefault="009B235B" w:rsidP="00B076BC">
      <w:pPr>
        <w:pStyle w:val="Paragraphedeliste"/>
        <w:numPr>
          <w:ilvl w:val="0"/>
          <w:numId w:val="6"/>
        </w:numPr>
        <w:spacing w:before="100" w:beforeAutospacing="1" w:after="100" w:afterAutospacing="1"/>
        <w:jc w:val="both"/>
      </w:pPr>
      <w:r>
        <w:t>Use of PMA</w:t>
      </w:r>
    </w:p>
    <w:p w14:paraId="06285635" w14:textId="77777777" w:rsidR="009B235B" w:rsidRDefault="00B076BC" w:rsidP="009B235B">
      <w:pPr>
        <w:pStyle w:val="Paragraphedeliste"/>
        <w:numPr>
          <w:ilvl w:val="0"/>
          <w:numId w:val="6"/>
        </w:numPr>
        <w:spacing w:before="100" w:beforeAutospacing="1" w:after="100" w:afterAutospacing="1"/>
        <w:jc w:val="both"/>
      </w:pPr>
      <w:r w:rsidRPr="009A263F">
        <w:t>High BMI</w:t>
      </w:r>
    </w:p>
    <w:p w14:paraId="547FDFBB" w14:textId="77777777" w:rsidR="009B235B" w:rsidRDefault="009B235B" w:rsidP="009B235B">
      <w:pPr>
        <w:pStyle w:val="Paragraphedeliste"/>
        <w:numPr>
          <w:ilvl w:val="0"/>
          <w:numId w:val="6"/>
        </w:numPr>
        <w:spacing w:before="100" w:beforeAutospacing="1" w:after="100" w:afterAutospacing="1"/>
        <w:jc w:val="both"/>
      </w:pPr>
      <w:r>
        <w:t>Nulliparity</w:t>
      </w:r>
    </w:p>
    <w:p w14:paraId="48B6F6C7" w14:textId="77777777" w:rsidR="009B235B" w:rsidRDefault="009B235B" w:rsidP="009B235B">
      <w:pPr>
        <w:pStyle w:val="Paragraphedeliste"/>
        <w:numPr>
          <w:ilvl w:val="0"/>
          <w:numId w:val="6"/>
        </w:numPr>
        <w:spacing w:before="100" w:beforeAutospacing="1" w:after="100" w:afterAutospacing="1"/>
        <w:jc w:val="both"/>
      </w:pPr>
      <w:r>
        <w:t>Family history of preeclampsia</w:t>
      </w:r>
    </w:p>
    <w:p w14:paraId="2E261513" w14:textId="77777777" w:rsidR="009B235B" w:rsidRDefault="009B235B" w:rsidP="00B076BC">
      <w:pPr>
        <w:pStyle w:val="Paragraphedeliste"/>
        <w:numPr>
          <w:ilvl w:val="0"/>
          <w:numId w:val="6"/>
        </w:numPr>
        <w:spacing w:before="100" w:beforeAutospacing="1" w:after="100" w:afterAutospacing="1"/>
        <w:jc w:val="both"/>
      </w:pPr>
      <w:r>
        <w:t>More than 10 years apart in pregnancy</w:t>
      </w:r>
    </w:p>
    <w:p w14:paraId="06033925" w14:textId="77777777" w:rsidR="009B235B" w:rsidRDefault="00CC7F15" w:rsidP="00B076BC">
      <w:pPr>
        <w:pStyle w:val="Paragraphedeliste"/>
        <w:numPr>
          <w:ilvl w:val="0"/>
          <w:numId w:val="6"/>
        </w:numPr>
        <w:spacing w:before="100" w:beforeAutospacing="1" w:after="100" w:afterAutospacing="1"/>
        <w:jc w:val="both"/>
      </w:pPr>
      <w:r w:rsidRPr="009A263F">
        <w:t>Maternal age (&gt;35 years)</w:t>
      </w:r>
    </w:p>
    <w:p w14:paraId="44B3FF9B" w14:textId="77777777" w:rsidR="009B235B" w:rsidRDefault="009B235B" w:rsidP="00B076BC">
      <w:pPr>
        <w:pStyle w:val="Paragraphedeliste"/>
        <w:numPr>
          <w:ilvl w:val="0"/>
          <w:numId w:val="6"/>
        </w:numPr>
        <w:spacing w:before="100" w:beforeAutospacing="1" w:after="100" w:afterAutospacing="1"/>
        <w:jc w:val="both"/>
      </w:pPr>
      <w:r>
        <w:t>Maternal size</w:t>
      </w:r>
    </w:p>
    <w:p w14:paraId="4861BBDE" w14:textId="77777777" w:rsidR="009B235B" w:rsidRDefault="009B235B" w:rsidP="00B076BC">
      <w:pPr>
        <w:pStyle w:val="Paragraphedeliste"/>
        <w:numPr>
          <w:ilvl w:val="0"/>
          <w:numId w:val="6"/>
        </w:numPr>
        <w:spacing w:before="100" w:beforeAutospacing="1" w:after="100" w:afterAutospacing="1"/>
        <w:jc w:val="both"/>
      </w:pPr>
      <w:r>
        <w:t>Obstetric history (low birth weight)</w:t>
      </w:r>
    </w:p>
    <w:p w14:paraId="68711654" w14:textId="77777777" w:rsidR="009A263F" w:rsidRDefault="009B235B" w:rsidP="00724E9F">
      <w:pPr>
        <w:pStyle w:val="Paragraphedeliste"/>
        <w:numPr>
          <w:ilvl w:val="0"/>
          <w:numId w:val="6"/>
        </w:numPr>
        <w:spacing w:before="100" w:beforeAutospacing="1" w:after="100" w:afterAutospacing="1"/>
        <w:jc w:val="both"/>
      </w:pPr>
      <w:r>
        <w:t>Low socioeconomic</w:t>
      </w:r>
    </w:p>
    <w:p w14:paraId="557276D2" w14:textId="77777777" w:rsidR="009B235B" w:rsidRPr="009B235B" w:rsidRDefault="009B235B" w:rsidP="009B235B">
      <w:pPr>
        <w:pStyle w:val="Paragraphedeliste"/>
        <w:spacing w:before="100" w:beforeAutospacing="1" w:after="100" w:afterAutospacing="1"/>
        <w:ind w:left="360"/>
        <w:jc w:val="both"/>
      </w:pPr>
    </w:p>
    <w:p w14:paraId="23453C1E" w14:textId="77777777" w:rsidR="009A263F" w:rsidRPr="009B235B" w:rsidRDefault="00724E9F" w:rsidP="009B235B">
      <w:pPr>
        <w:pStyle w:val="Paragraphedeliste"/>
        <w:numPr>
          <w:ilvl w:val="0"/>
          <w:numId w:val="9"/>
        </w:numPr>
        <w:spacing w:before="100" w:beforeAutospacing="1" w:after="100" w:afterAutospacing="1"/>
        <w:jc w:val="both"/>
        <w:rPr>
          <w:b/>
        </w:rPr>
      </w:pPr>
      <w:r w:rsidRPr="009A263F">
        <w:rPr>
          <w:b/>
        </w:rPr>
        <w:t>What are the therapeutic axes for the management of preeclamapsia?</w:t>
      </w:r>
    </w:p>
    <w:p w14:paraId="32201EF8" w14:textId="77777777" w:rsidR="009A263F" w:rsidRDefault="00724E9F" w:rsidP="009A263F">
      <w:pPr>
        <w:pStyle w:val="Paragraphedeliste"/>
        <w:numPr>
          <w:ilvl w:val="0"/>
          <w:numId w:val="6"/>
        </w:numPr>
        <w:spacing w:before="100" w:beforeAutospacing="1" w:after="100" w:afterAutospacing="1"/>
        <w:jc w:val="both"/>
        <w:rPr>
          <w:b/>
        </w:rPr>
      </w:pPr>
      <w:r w:rsidRPr="009A263F">
        <w:rPr>
          <w:b/>
        </w:rPr>
        <w:t>Pharmacological treatment of hypertension:</w:t>
      </w:r>
    </w:p>
    <w:p w14:paraId="1550E24B" w14:textId="77777777" w:rsidR="00724E9F" w:rsidRPr="009A263F" w:rsidRDefault="00724E9F" w:rsidP="009A263F">
      <w:pPr>
        <w:spacing w:before="100" w:beforeAutospacing="1" w:after="100" w:afterAutospacing="1"/>
        <w:contextualSpacing/>
        <w:jc w:val="both"/>
        <w:rPr>
          <w:b/>
        </w:rPr>
      </w:pPr>
      <w:r w:rsidRPr="009A263F">
        <w:t>Various antihypertensive agents have been used in the treatment of PE, without reaching consensus in the management of mild to moderate hypertension. Sodium restriction, bed rest, and restriction of physical activity are not recommended for the prevention or treatment of PE without serious features.</w:t>
      </w:r>
      <w:r w:rsidR="00780523" w:rsidRPr="009A263F">
        <w:rPr>
          <w:color w:val="FF0000"/>
        </w:rPr>
        <w:sym w:font="Symbol" w:char="F05B"/>
      </w:r>
      <w:r w:rsidR="00780523" w:rsidRPr="009A263F">
        <w:rPr>
          <w:color w:val="FF0000"/>
        </w:rPr>
        <w:t>61</w:t>
      </w:r>
      <w:r w:rsidR="00780523" w:rsidRPr="009A263F">
        <w:rPr>
          <w:color w:val="FF0000"/>
        </w:rPr>
        <w:sym w:font="Symbol" w:char="F05D"/>
      </w:r>
      <w:r w:rsidRPr="009A263F">
        <w:t>. At present, there is no recommendation for the use of one antihypertensive agent over another; the choice of treatment depends on the acuity and severity of hypertension. All antihypertensive medications have the potential to cross the placenta.</w:t>
      </w:r>
    </w:p>
    <w:p w14:paraId="5B0614B0" w14:textId="77777777" w:rsidR="00724E9F" w:rsidRPr="009A263F" w:rsidRDefault="00724E9F" w:rsidP="009A263F">
      <w:pPr>
        <w:spacing w:before="100" w:beforeAutospacing="1" w:after="100" w:afterAutospacing="1"/>
        <w:contextualSpacing/>
        <w:jc w:val="both"/>
      </w:pPr>
      <w:r w:rsidRPr="009A263F">
        <w:t>Methyl dopa has been widely used in the management of high blood pressure in pregnant women. It stimulates central alpha-adrenergic receptors through a false neurotransmitter (α-methyl-norepinephrine), resulting in decreased sympathetic flow of norepinephrine to the heart, kidneys, and peripheral vasculature. Its long-term safety for the fetus has been demonstrated.</w:t>
      </w:r>
    </w:p>
    <w:p w14:paraId="13547BAE" w14:textId="77777777" w:rsidR="00724E9F" w:rsidRPr="009A263F" w:rsidRDefault="00724E9F" w:rsidP="009A263F">
      <w:pPr>
        <w:spacing w:before="100" w:beforeAutospacing="1" w:after="100" w:afterAutospacing="1"/>
        <w:contextualSpacing/>
        <w:jc w:val="both"/>
      </w:pPr>
      <w:r w:rsidRPr="009A263F">
        <w:t>Labetalol lowers blood pressure by blocking β- and α-adrenergic receptors. It better preserves uteroplacental blood flow compared to other β-blockers. Its onset of action is rapid (2 hours) compared to methyldopa. Randomized clinical trials comparing Labetolol to methyldopa or nifedipine showed that labetalol was safe during pregnancy</w:t>
      </w:r>
      <w:r w:rsidR="00780523" w:rsidRPr="009A263F">
        <w:rPr>
          <w:color w:val="FF0000"/>
        </w:rPr>
        <w:sym w:font="Symbol" w:char="F05B"/>
      </w:r>
      <w:r w:rsidR="00780523" w:rsidRPr="009A263F">
        <w:rPr>
          <w:color w:val="FF0000"/>
        </w:rPr>
        <w:t>62.63</w:t>
      </w:r>
      <w:r w:rsidR="00780523" w:rsidRPr="009A263F">
        <w:rPr>
          <w:color w:val="FF0000"/>
        </w:rPr>
        <w:sym w:font="Symbol" w:char="F05D"/>
      </w:r>
      <w:r w:rsidRPr="009A263F">
        <w:t>On the other hand, studies have demonstrated that labetolol causes maternal hepatotoxicity. It is important to recognize this side effect because it can be confused with HELLP syndrome (hemolysis, elevated liver enzymes, and low platelet count). Most cases of Labetolol-induced hepatotoxicity are reversible, but deaths have been reported.</w:t>
      </w:r>
      <w:r w:rsidR="00780523" w:rsidRPr="009A263F">
        <w:rPr>
          <w:color w:val="FF0000"/>
        </w:rPr>
        <w:sym w:font="Symbol" w:char="F05B"/>
      </w:r>
      <w:r w:rsidR="00780523" w:rsidRPr="009A263F">
        <w:rPr>
          <w:color w:val="FF0000"/>
        </w:rPr>
        <w:t>64</w:t>
      </w:r>
      <w:r w:rsidR="00780523" w:rsidRPr="009A263F">
        <w:rPr>
          <w:color w:val="FF0000"/>
        </w:rPr>
        <w:sym w:font="Symbol" w:char="F05D"/>
      </w:r>
    </w:p>
    <w:p w14:paraId="2B199096" w14:textId="77777777" w:rsidR="00724E9F" w:rsidRPr="009A263F" w:rsidRDefault="00724E9F" w:rsidP="009A263F">
      <w:pPr>
        <w:spacing w:before="100" w:beforeAutospacing="1" w:after="100" w:afterAutospacing="1"/>
        <w:contextualSpacing/>
        <w:jc w:val="both"/>
      </w:pPr>
      <w:r w:rsidRPr="009A263F">
        <w:t>Nifedipine is a calcium channel blocker that has been used during pregnancy without major problems. Long-acting nifedipine is preferred over short-acting nifedipine because the short-acting version of the drug can cause a significant drop in blood pressure, possibly resulting in reduced uteroplacental perfusion. However, as discussed below, more recent evidence suggests that immediate-release oral nifedipine, under certain conditions, may be considered for safe BP reduction. Long-acting nifedipine may be administered as a sustained-release tablet in doses of 30 to 90 mg once daily. The dosage can be increased at intervals of 7 to 14 days, reaching a maximum dose of 120 mg per day</w:t>
      </w:r>
      <w:r w:rsidR="00780523" w:rsidRPr="009A263F">
        <w:rPr>
          <w:color w:val="FF0000"/>
        </w:rPr>
        <w:sym w:font="Symbol" w:char="F05B"/>
      </w:r>
      <w:r w:rsidR="00780523" w:rsidRPr="009A263F">
        <w:rPr>
          <w:color w:val="FF0000"/>
        </w:rPr>
        <w:t>65</w:t>
      </w:r>
      <w:r w:rsidR="00780523" w:rsidRPr="009A263F">
        <w:rPr>
          <w:color w:val="FF0000"/>
        </w:rPr>
        <w:sym w:font="Symbol" w:char="F05D"/>
      </w:r>
    </w:p>
    <w:p w14:paraId="0ECCA42F" w14:textId="77777777" w:rsidR="00724E9F" w:rsidRPr="009A263F" w:rsidRDefault="00724E9F" w:rsidP="009A263F">
      <w:pPr>
        <w:spacing w:before="100" w:beforeAutospacing="1" w:after="100" w:afterAutospacing="1"/>
        <w:contextualSpacing/>
        <w:jc w:val="both"/>
      </w:pPr>
      <w:r w:rsidRPr="009A263F">
        <w:t>Hydralazine is a direct vasodilator of arterioles. Its use is limited by its side effects, including lower extremity swelling and reflex tachycardia. Its hypotensive effect is less predictable than that of other parenteral agents.</w:t>
      </w:r>
    </w:p>
    <w:p w14:paraId="5BC362CF" w14:textId="77777777" w:rsidR="00724E9F" w:rsidRPr="009A263F" w:rsidRDefault="00724E9F" w:rsidP="009A263F">
      <w:pPr>
        <w:spacing w:before="100" w:beforeAutospacing="1" w:after="100" w:afterAutospacing="1"/>
        <w:contextualSpacing/>
        <w:jc w:val="both"/>
      </w:pPr>
      <w:r w:rsidRPr="009A263F">
        <w:t>In case of PE with severe hypertension (sustained systolic blood pressure of at least 160 mm Hg or diastolic blood pressure of at least 110 mm Hg), the use of an antihypertensive</w:t>
      </w:r>
      <w:r w:rsidR="00780523" w:rsidRPr="009A263F">
        <w:rPr>
          <w:color w:val="FF0000"/>
        </w:rPr>
        <w:sym w:font="Symbol" w:char="F05B"/>
      </w:r>
      <w:r w:rsidR="00780523" w:rsidRPr="009A263F">
        <w:rPr>
          <w:color w:val="FF0000"/>
        </w:rPr>
        <w:t>61</w:t>
      </w:r>
      <w:r w:rsidR="00780523" w:rsidRPr="009A263F">
        <w:rPr>
          <w:color w:val="FF0000"/>
        </w:rPr>
        <w:sym w:font="Symbol" w:char="F05D"/>
      </w:r>
      <w:r w:rsidR="00780523" w:rsidRPr="009A263F">
        <w:t>. Labetalol, nifedipine, or methyldopa are recommended as first-line treatment. Relatively recent studies suggest that the calcium channel blocker nifedipine, in its immediate oral release form, may also be considered as a first-line treatment</w:t>
      </w:r>
      <w:r w:rsidR="00780523" w:rsidRPr="009A263F">
        <w:rPr>
          <w:color w:val="FF0000"/>
        </w:rPr>
        <w:sym w:font="Symbol" w:char="F05B"/>
      </w:r>
      <w:r w:rsidR="00780523" w:rsidRPr="009A263F">
        <w:rPr>
          <w:color w:val="FF0000"/>
        </w:rPr>
        <w:t>66.67</w:t>
      </w:r>
      <w:r w:rsidR="00780523" w:rsidRPr="009A263F">
        <w:rPr>
          <w:color w:val="FF0000"/>
        </w:rPr>
        <w:sym w:font="Symbol" w:char="F05D"/>
      </w:r>
    </w:p>
    <w:p w14:paraId="71B280D4" w14:textId="77777777" w:rsidR="00724E9F" w:rsidRPr="009A263F" w:rsidRDefault="00724E9F" w:rsidP="009A263F">
      <w:pPr>
        <w:spacing w:before="100" w:beforeAutospacing="1" w:after="100" w:afterAutospacing="1"/>
        <w:contextualSpacing/>
        <w:jc w:val="both"/>
      </w:pPr>
      <w:r w:rsidRPr="009A263F">
        <w:t>In 2017, The American College of Gynecologists and Obstetricians recommended that the use of immediate-release oral nifedipine be considered first-line treatment, particularly when the intravenous route is not available. Blockers of the renin-angiotensin-aldosterone system, such as angiotensin-converting enzyme inhibitors, angiotensin receptor blockers, renin inhibitors, and mineralo-corticosteroid receptors should be avoided</w:t>
      </w:r>
    </w:p>
    <w:p w14:paraId="680538DA" w14:textId="77777777" w:rsidR="00780523" w:rsidRPr="009A263F" w:rsidRDefault="00724E9F" w:rsidP="009A263F">
      <w:pPr>
        <w:tabs>
          <w:tab w:val="left" w:pos="2765"/>
        </w:tabs>
        <w:spacing w:before="100" w:beforeAutospacing="1" w:after="100" w:afterAutospacing="1"/>
        <w:contextualSpacing/>
        <w:jc w:val="both"/>
      </w:pPr>
      <w:r w:rsidRPr="009A263F">
        <w:t>Although magnesium sulfate is not recommended as an antihypertensive agent, it has been used over the years for the prevention of seizures in women with severe preeclampsia and for the management of recurrent seizures in eclampsia. ACOG limits its use for the prevention of eclampsia if BP is 160/110 or greater, or if blood pressure is less than 160/110, associated with other serious symptoms. Studies have shown that magnesium sulfate is more effective in preventing recurrent attacks of eclampsia than other traditional anticonvulsants, including phenytoin and diazepam, or lytic cocktails.</w:t>
      </w:r>
      <w:r w:rsidR="00780523" w:rsidRPr="009A263F">
        <w:rPr>
          <w:color w:val="FF0000"/>
        </w:rPr>
        <w:sym w:font="Symbol" w:char="F05B"/>
      </w:r>
      <w:r w:rsidR="00780523" w:rsidRPr="009A263F">
        <w:rPr>
          <w:color w:val="FF0000"/>
        </w:rPr>
        <w:t>68.69</w:t>
      </w:r>
      <w:r w:rsidR="00780523" w:rsidRPr="009A263F">
        <w:rPr>
          <w:color w:val="FF0000"/>
        </w:rPr>
        <w:sym w:font="Symbol" w:char="F05D"/>
      </w:r>
      <w:r w:rsidR="00780523" w:rsidRPr="009A263F">
        <w:rPr>
          <w:color w:val="FF0000"/>
        </w:rPr>
        <w:t>.</w:t>
      </w:r>
      <w:r w:rsidRPr="009A263F">
        <w:t>The mechanism of action of magnesium sulfate in preventing seizures is not completely understood, but is thought to be due to its effect on the central nervous system, perhaps due to its effect on N receptors -methyl D-aspartate (NMDA), calcium channels, and acetylcholine. Although data are limited, concerns that concurrent use of magnesium sulfate and nefidipine may result in serious side effects, including hypotension and neuromuscular inhibition, have not been supported by available evidence.</w:t>
      </w:r>
      <w:r w:rsidR="00780523" w:rsidRPr="009A263F">
        <w:rPr>
          <w:color w:val="FF0000"/>
        </w:rPr>
        <w:sym w:font="Symbol" w:char="F05B"/>
      </w:r>
      <w:r w:rsidR="00780523" w:rsidRPr="009A263F">
        <w:rPr>
          <w:color w:val="FF0000"/>
        </w:rPr>
        <w:t>70</w:t>
      </w:r>
      <w:r w:rsidR="00780523" w:rsidRPr="009A263F">
        <w:rPr>
          <w:color w:val="FF0000"/>
        </w:rPr>
        <w:sym w:font="Symbol" w:char="F05D"/>
      </w:r>
    </w:p>
    <w:p w14:paraId="2B62FC81" w14:textId="77777777" w:rsidR="009B235B" w:rsidRPr="009B235B" w:rsidRDefault="009A263F" w:rsidP="009B235B">
      <w:pPr>
        <w:pStyle w:val="Paragraphedeliste"/>
        <w:numPr>
          <w:ilvl w:val="0"/>
          <w:numId w:val="6"/>
        </w:numPr>
        <w:spacing w:before="100" w:beforeAutospacing="1" w:after="100" w:afterAutospacing="1"/>
        <w:jc w:val="both"/>
      </w:pPr>
      <w:r w:rsidRPr="009A263F">
        <w:rPr>
          <w:b/>
        </w:rPr>
        <w:t>When is the delivery time?</w:t>
      </w:r>
    </w:p>
    <w:p w14:paraId="0F7DBDA1" w14:textId="77777777" w:rsidR="009A263F" w:rsidRPr="009A263F" w:rsidRDefault="009A263F" w:rsidP="009B235B">
      <w:pPr>
        <w:spacing w:before="100" w:beforeAutospacing="1" w:after="100" w:afterAutospacing="1"/>
        <w:contextualSpacing/>
        <w:jc w:val="both"/>
      </w:pPr>
      <w:r w:rsidRPr="009A263F">
        <w:t>Childbirth is the only treatment for PE. The decision to deliver immediately versus expectantly depends on:</w:t>
      </w:r>
    </w:p>
    <w:p w14:paraId="65E07804" w14:textId="77777777" w:rsidR="009A263F" w:rsidRPr="009A263F" w:rsidRDefault="009A263F" w:rsidP="009B235B">
      <w:pPr>
        <w:contextualSpacing/>
        <w:jc w:val="both"/>
      </w:pPr>
      <w:r w:rsidRPr="009A263F">
        <w:t>1. Rate and severity of disease progression</w:t>
      </w:r>
    </w:p>
    <w:p w14:paraId="6F6929EF" w14:textId="77777777" w:rsidR="009A263F" w:rsidRPr="009A263F" w:rsidRDefault="009A263F" w:rsidP="009B235B">
      <w:pPr>
        <w:contextualSpacing/>
        <w:jc w:val="both"/>
      </w:pPr>
      <w:r w:rsidRPr="009A263F">
        <w:t>2. Gestational age</w:t>
      </w:r>
    </w:p>
    <w:p w14:paraId="307AB906" w14:textId="77777777" w:rsidR="009A263F" w:rsidRDefault="009A263F" w:rsidP="009B235B">
      <w:pPr>
        <w:contextualSpacing/>
        <w:jc w:val="both"/>
      </w:pPr>
      <w:r w:rsidRPr="009A263F">
        <w:t>3. Maternal and fetal condition</w:t>
      </w:r>
    </w:p>
    <w:p w14:paraId="6F18F71D" w14:textId="77777777" w:rsidR="009A263F" w:rsidRPr="009A263F" w:rsidRDefault="009A263F" w:rsidP="009A263F">
      <w:pPr>
        <w:jc w:val="both"/>
      </w:pPr>
      <w:r w:rsidRPr="009A263F">
        <w:t>NICE and ACOG recommendations recommend that women with preeclampsia give birth at 37 weeks gestation (SA).</w:t>
      </w:r>
      <w:r w:rsidRPr="009A263F">
        <w:rPr>
          <w:color w:val="FF0000"/>
        </w:rPr>
        <w:sym w:font="Symbol" w:char="F05B"/>
      </w:r>
      <w:r w:rsidRPr="009A263F">
        <w:rPr>
          <w:color w:val="FF0000"/>
        </w:rPr>
        <w:t>71</w:t>
      </w:r>
      <w:r w:rsidRPr="009A263F">
        <w:rPr>
          <w:color w:val="FF0000"/>
        </w:rPr>
        <w:sym w:font="Symbol" w:char="F05D"/>
      </w:r>
      <w:r w:rsidRPr="009A263F">
        <w:t>. Before 34 (SA), management is expectant and planned delivery is not considered due to a worsening of unfavorable neonatal outcomes (respiratory distress syndrome, RR = 2.3-95 CI % (1.39-3.81) and necrotizing enterocolitis, RR = 5.54, 95% CI (1.04-29.56)</w:t>
      </w:r>
      <w:r w:rsidRPr="009A263F">
        <w:rPr>
          <w:color w:val="FF0000"/>
        </w:rPr>
        <w:sym w:font="Symbol" w:char="F05B"/>
      </w:r>
      <w:r w:rsidRPr="009A263F">
        <w:rPr>
          <w:color w:val="FF0000"/>
        </w:rPr>
        <w:t>72</w:t>
      </w:r>
      <w:r w:rsidRPr="009A263F">
        <w:rPr>
          <w:color w:val="FF0000"/>
        </w:rPr>
        <w:sym w:font="Symbol" w:char="F05D"/>
      </w:r>
      <w:r w:rsidRPr="009A263F">
        <w:rPr>
          <w:color w:val="FF0000"/>
        </w:rPr>
        <w:t>.</w:t>
      </w:r>
      <w:r w:rsidRPr="009A263F">
        <w:t>Between 34 and 37 (SA), the optimal time to give birth to prevent morbidity for mother and baby remains unknown.</w:t>
      </w:r>
    </w:p>
    <w:p w14:paraId="2BCD0EDE" w14:textId="77777777" w:rsidR="009A263F" w:rsidRPr="009A263F" w:rsidRDefault="009A263F" w:rsidP="009A263F">
      <w:r w:rsidRPr="009A263F">
        <w:rPr>
          <w:b/>
        </w:rPr>
        <w:t>The indications are maternal and fetal:</w:t>
      </w:r>
    </w:p>
    <w:p w14:paraId="74C033E3" w14:textId="77777777" w:rsidR="009A263F" w:rsidRPr="009A263F" w:rsidRDefault="009A263F" w:rsidP="009A263F">
      <w:pPr>
        <w:pStyle w:val="Paragraphedeliste"/>
        <w:numPr>
          <w:ilvl w:val="0"/>
          <w:numId w:val="28"/>
        </w:numPr>
        <w:rPr>
          <w:b/>
        </w:rPr>
      </w:pPr>
      <w:r w:rsidRPr="009A263F">
        <w:rPr>
          <w:b/>
        </w:rPr>
        <w:t>Kindergarten:</w:t>
      </w:r>
      <w:r w:rsidRPr="009A263F">
        <w:rPr>
          <w:color w:val="FF0000"/>
        </w:rPr>
        <w:sym w:font="Symbol" w:char="F05B"/>
      </w:r>
      <w:r w:rsidRPr="009A263F">
        <w:rPr>
          <w:color w:val="FF0000"/>
        </w:rPr>
        <w:t>73</w:t>
      </w:r>
      <w:r w:rsidRPr="009A263F">
        <w:rPr>
          <w:color w:val="FF0000"/>
        </w:rPr>
        <w:sym w:font="Symbol" w:char="F05D"/>
      </w:r>
      <w:r w:rsidRPr="009A263F">
        <w:rPr>
          <w:color w:val="FF0000"/>
        </w:rPr>
        <w:t>.</w:t>
      </w:r>
    </w:p>
    <w:p w14:paraId="0C93721F" w14:textId="77777777" w:rsidR="009A263F" w:rsidRPr="009A263F" w:rsidRDefault="009A263F" w:rsidP="009B235B">
      <w:pPr>
        <w:pStyle w:val="Paragraphedeliste"/>
        <w:numPr>
          <w:ilvl w:val="0"/>
          <w:numId w:val="27"/>
        </w:numPr>
        <w:jc w:val="both"/>
      </w:pPr>
      <w:r w:rsidRPr="009A263F">
        <w:t>Severe uncontrolled blood pressure (persistent systolic blood pressure of 160 mm Hg or greater or diastolic blood pressure of 110 mm Hg or greater not responding to antihypertensive medications)</w:t>
      </w:r>
    </w:p>
    <w:p w14:paraId="0F8DBD0C" w14:textId="77777777" w:rsidR="009A263F" w:rsidRPr="009A263F" w:rsidRDefault="009A263F" w:rsidP="009B235B">
      <w:pPr>
        <w:pStyle w:val="Paragraphedeliste"/>
        <w:numPr>
          <w:ilvl w:val="0"/>
          <w:numId w:val="27"/>
        </w:numPr>
        <w:jc w:val="both"/>
      </w:pPr>
      <w:r w:rsidRPr="009A263F">
        <w:t>Persistent, refractory and treatment-resistant headaches</w:t>
      </w:r>
    </w:p>
    <w:p w14:paraId="4B9A2829" w14:textId="77777777" w:rsidR="009A263F" w:rsidRPr="009A263F" w:rsidRDefault="009A263F" w:rsidP="009B235B">
      <w:pPr>
        <w:pStyle w:val="Paragraphedeliste"/>
        <w:numPr>
          <w:ilvl w:val="0"/>
          <w:numId w:val="27"/>
        </w:numPr>
        <w:jc w:val="both"/>
      </w:pPr>
      <w:r w:rsidRPr="009A263F">
        <w:t>Epigastric pain not responding to repeated analgesics</w:t>
      </w:r>
    </w:p>
    <w:p w14:paraId="74038C93" w14:textId="77777777" w:rsidR="009A263F" w:rsidRPr="009A263F" w:rsidRDefault="009A263F" w:rsidP="009B235B">
      <w:pPr>
        <w:pStyle w:val="Paragraphedeliste"/>
        <w:numPr>
          <w:ilvl w:val="0"/>
          <w:numId w:val="27"/>
        </w:numPr>
        <w:jc w:val="both"/>
      </w:pPr>
      <w:r w:rsidRPr="009A263F">
        <w:t>Neurosensory disorders, motor or sensory deficit</w:t>
      </w:r>
    </w:p>
    <w:p w14:paraId="4734E1E2" w14:textId="77777777" w:rsidR="009A263F" w:rsidRPr="009A263F" w:rsidRDefault="009A263F" w:rsidP="009B235B">
      <w:pPr>
        <w:pStyle w:val="Paragraphedeliste"/>
        <w:numPr>
          <w:ilvl w:val="0"/>
          <w:numId w:val="27"/>
        </w:numPr>
        <w:jc w:val="both"/>
      </w:pPr>
      <w:r w:rsidRPr="009A263F">
        <w:t>Stroke</w:t>
      </w:r>
    </w:p>
    <w:p w14:paraId="52CA65F4" w14:textId="77777777" w:rsidR="009A263F" w:rsidRPr="009A263F" w:rsidRDefault="009A263F" w:rsidP="009B235B">
      <w:pPr>
        <w:pStyle w:val="Paragraphedeliste"/>
        <w:numPr>
          <w:ilvl w:val="0"/>
          <w:numId w:val="27"/>
        </w:numPr>
        <w:jc w:val="both"/>
      </w:pPr>
      <w:r w:rsidRPr="009A263F">
        <w:t>HELLP syndrome</w:t>
      </w:r>
    </w:p>
    <w:p w14:paraId="39B62D17" w14:textId="77777777" w:rsidR="009A263F" w:rsidRPr="009A263F" w:rsidRDefault="009A263F" w:rsidP="009B235B">
      <w:pPr>
        <w:pStyle w:val="Paragraphedeliste"/>
        <w:numPr>
          <w:ilvl w:val="0"/>
          <w:numId w:val="27"/>
        </w:numPr>
        <w:jc w:val="both"/>
      </w:pPr>
      <w:r w:rsidRPr="009A263F">
        <w:t>Recent or worsening renal dysfunction (serum creatinine greater than 11 mg/dl)</w:t>
      </w:r>
    </w:p>
    <w:p w14:paraId="1CEC90F7" w14:textId="77777777" w:rsidR="009A263F" w:rsidRPr="009A263F" w:rsidRDefault="009A263F" w:rsidP="009B235B">
      <w:pPr>
        <w:pStyle w:val="Paragraphedeliste"/>
        <w:numPr>
          <w:ilvl w:val="0"/>
          <w:numId w:val="27"/>
        </w:numPr>
        <w:jc w:val="both"/>
      </w:pPr>
      <w:r w:rsidRPr="009A263F">
        <w:t>Pulmonary edema</w:t>
      </w:r>
    </w:p>
    <w:p w14:paraId="3A8223C1" w14:textId="77777777" w:rsidR="009A263F" w:rsidRPr="009A263F" w:rsidRDefault="009A263F" w:rsidP="009B235B">
      <w:pPr>
        <w:pStyle w:val="Paragraphedeliste"/>
        <w:numPr>
          <w:ilvl w:val="0"/>
          <w:numId w:val="27"/>
        </w:numPr>
        <w:jc w:val="both"/>
      </w:pPr>
      <w:r w:rsidRPr="009A263F">
        <w:t>Eclampsia</w:t>
      </w:r>
    </w:p>
    <w:p w14:paraId="2DA27CA7" w14:textId="77777777" w:rsidR="009A263F" w:rsidRPr="009A263F" w:rsidRDefault="009A263F" w:rsidP="009B235B">
      <w:pPr>
        <w:pStyle w:val="Paragraphedeliste"/>
        <w:numPr>
          <w:ilvl w:val="0"/>
          <w:numId w:val="27"/>
        </w:numPr>
        <w:jc w:val="both"/>
      </w:pPr>
      <w:r w:rsidRPr="009A263F">
        <w:t>Suspected acute placental abruption or vaginal bleeding in the absence of a placenta</w:t>
      </w:r>
    </w:p>
    <w:p w14:paraId="4D94EED4" w14:textId="77777777" w:rsidR="009A263F" w:rsidRPr="009A263F" w:rsidRDefault="001C3642" w:rsidP="009B235B">
      <w:pPr>
        <w:jc w:val="both"/>
      </w:pPr>
      <w:r w:rsidRPr="009A263F">
        <w:t>Praevia</w:t>
      </w:r>
    </w:p>
    <w:p w14:paraId="659B24E3" w14:textId="77777777" w:rsidR="009A263F" w:rsidRPr="009A263F" w:rsidRDefault="009A263F" w:rsidP="009B235B">
      <w:pPr>
        <w:pStyle w:val="Paragraphedeliste"/>
        <w:numPr>
          <w:ilvl w:val="0"/>
          <w:numId w:val="28"/>
        </w:numPr>
        <w:jc w:val="both"/>
        <w:rPr>
          <w:b/>
        </w:rPr>
      </w:pPr>
      <w:r w:rsidRPr="009A263F">
        <w:rPr>
          <w:b/>
        </w:rPr>
        <w:t>Fetal:</w:t>
      </w:r>
      <w:r w:rsidRPr="009A263F">
        <w:rPr>
          <w:color w:val="FF0000"/>
        </w:rPr>
        <w:sym w:font="Symbol" w:char="F05B"/>
      </w:r>
      <w:r w:rsidRPr="009A263F">
        <w:rPr>
          <w:color w:val="FF0000"/>
        </w:rPr>
        <w:t>74</w:t>
      </w:r>
      <w:r w:rsidRPr="009A263F">
        <w:rPr>
          <w:color w:val="FF0000"/>
        </w:rPr>
        <w:sym w:font="Symbol" w:char="F05D"/>
      </w:r>
      <w:r w:rsidRPr="009A263F">
        <w:rPr>
          <w:color w:val="FF0000"/>
        </w:rPr>
        <w:t>.</w:t>
      </w:r>
    </w:p>
    <w:p w14:paraId="0BE30B8F" w14:textId="77777777" w:rsidR="009A263F" w:rsidRPr="009A263F" w:rsidRDefault="009A263F" w:rsidP="009A263F">
      <w:pPr>
        <w:pStyle w:val="Paragraphedeliste"/>
        <w:numPr>
          <w:ilvl w:val="0"/>
          <w:numId w:val="29"/>
        </w:numPr>
      </w:pPr>
      <w:r w:rsidRPr="009A263F">
        <w:t>Abnormal fetal FHR</w:t>
      </w:r>
    </w:p>
    <w:p w14:paraId="203F206D" w14:textId="77777777" w:rsidR="009A263F" w:rsidRPr="009A263F" w:rsidRDefault="009A263F" w:rsidP="009A263F">
      <w:pPr>
        <w:pStyle w:val="Paragraphedeliste"/>
        <w:numPr>
          <w:ilvl w:val="0"/>
          <w:numId w:val="29"/>
        </w:numPr>
      </w:pPr>
      <w:r w:rsidRPr="009A263F">
        <w:t>Fetal death</w:t>
      </w:r>
    </w:p>
    <w:p w14:paraId="30CBC745" w14:textId="77777777" w:rsidR="009A263F" w:rsidRPr="009A263F" w:rsidRDefault="009A263F" w:rsidP="009A263F">
      <w:pPr>
        <w:pStyle w:val="Paragraphedeliste"/>
        <w:numPr>
          <w:ilvl w:val="0"/>
          <w:numId w:val="29"/>
        </w:numPr>
      </w:pPr>
      <w:r w:rsidRPr="009A263F">
        <w:t>Fetus with no expectation of survival at the time of maternal diagnosis (extreme prematurity)</w:t>
      </w:r>
    </w:p>
    <w:p w14:paraId="14A87B75" w14:textId="77777777" w:rsidR="009A263F" w:rsidRPr="009A263F" w:rsidRDefault="009A263F" w:rsidP="009A263F">
      <w:pPr>
        <w:pStyle w:val="Paragraphedeliste"/>
        <w:numPr>
          <w:ilvl w:val="0"/>
          <w:numId w:val="29"/>
        </w:numPr>
      </w:pPr>
      <w:r w:rsidRPr="009A263F">
        <w:t>Persistent reversed end-diastolic flow in the umbilical artery</w:t>
      </w:r>
    </w:p>
    <w:p w14:paraId="1E9505BB" w14:textId="77777777" w:rsidR="009A263F" w:rsidRPr="009A263F" w:rsidRDefault="009A263F" w:rsidP="009A263F"/>
    <w:p w14:paraId="5609A2AF" w14:textId="77777777" w:rsidR="009A263F" w:rsidRPr="009A263F" w:rsidRDefault="009A263F" w:rsidP="009A263F">
      <w:pPr>
        <w:pStyle w:val="Paragraphedeliste"/>
        <w:numPr>
          <w:ilvl w:val="0"/>
          <w:numId w:val="9"/>
        </w:numPr>
        <w:rPr>
          <w:b/>
        </w:rPr>
      </w:pPr>
      <w:r w:rsidRPr="009A263F">
        <w:rPr>
          <w:b/>
        </w:rPr>
        <w:t>What are the recommendations to recommend in the postpartum period?</w:t>
      </w:r>
    </w:p>
    <w:p w14:paraId="4AB305EA" w14:textId="77777777" w:rsidR="009A263F" w:rsidRPr="009A263F" w:rsidRDefault="009A263F" w:rsidP="009B235B">
      <w:pPr>
        <w:jc w:val="both"/>
      </w:pPr>
      <w:r w:rsidRPr="009A263F">
        <w:t>Postpartum patient education prior to discharge should include information on the signs and symptoms of severe hypertension with instructions on when and where to seek care. Patients with severe hypertension should be evaluated within 7 to 14 days of discharge or sooner as clinically indicated. Follow-up verification should take place in the high-risk pregnancy clinic that provided the antenatal care.</w:t>
      </w:r>
      <w:r w:rsidRPr="009A263F">
        <w:rPr>
          <w:color w:val="FF0000"/>
        </w:rPr>
        <w:t xml:space="preserve"> </w:t>
      </w:r>
      <w:r w:rsidRPr="009A263F">
        <w:rPr>
          <w:color w:val="FF0000"/>
        </w:rPr>
        <w:sym w:font="Symbol" w:char="F05B"/>
      </w:r>
      <w:r w:rsidRPr="009A263F">
        <w:rPr>
          <w:color w:val="FF0000"/>
        </w:rPr>
        <w:t>75</w:t>
      </w:r>
      <w:r w:rsidRPr="009A263F">
        <w:rPr>
          <w:color w:val="FF0000"/>
        </w:rPr>
        <w:sym w:font="Symbol" w:char="F05D"/>
      </w:r>
      <w:r w:rsidRPr="009A263F">
        <w:rPr>
          <w:color w:val="FF0000"/>
        </w:rPr>
        <w:t>.</w:t>
      </w:r>
    </w:p>
    <w:p w14:paraId="50F6C2E4" w14:textId="77777777" w:rsidR="009A263F" w:rsidRPr="009A263F" w:rsidRDefault="009A263F" w:rsidP="009B235B">
      <w:pPr>
        <w:jc w:val="both"/>
        <w:rPr>
          <w:lang w:val="en-US"/>
        </w:rPr>
      </w:pPr>
    </w:p>
    <w:p w14:paraId="259F7959" w14:textId="77777777" w:rsidR="009A263F" w:rsidRPr="009A263F" w:rsidRDefault="009A263F" w:rsidP="009A263F">
      <w:pPr>
        <w:pStyle w:val="Paragraphedeliste"/>
        <w:numPr>
          <w:ilvl w:val="0"/>
          <w:numId w:val="9"/>
        </w:numPr>
        <w:rPr>
          <w:b/>
          <w:bCs/>
          <w:color w:val="000000" w:themeColor="text1"/>
        </w:rPr>
      </w:pPr>
      <w:r w:rsidRPr="009A263F">
        <w:rPr>
          <w:b/>
          <w:bCs/>
          <w:color w:val="000000" w:themeColor="text1"/>
        </w:rPr>
        <w:t>What are the long-term complications of preeclampsia?</w:t>
      </w:r>
    </w:p>
    <w:p w14:paraId="71FF20F9" w14:textId="77777777" w:rsidR="009A263F" w:rsidRDefault="0086675D" w:rsidP="009B235B">
      <w:pPr>
        <w:jc w:val="both"/>
        <w:rPr>
          <w:color w:val="000000" w:themeColor="text1"/>
        </w:rPr>
      </w:pPr>
      <w:r w:rsidRPr="009A263F">
        <w:rPr>
          <w:color w:val="000000" w:themeColor="text1"/>
        </w:rPr>
        <w:t>Preeclampsia is responsible for both short and long term maternal morbidity and mortality. Endothelial dysfunction, a constant and early element of preeclampsia, promotes the development of atherosclerosis</w:t>
      </w:r>
      <w:r w:rsidR="009A263F" w:rsidRPr="009A263F">
        <w:rPr>
          <w:color w:val="FF0000"/>
        </w:rPr>
        <w:sym w:font="Symbol" w:char="F05B"/>
      </w:r>
      <w:r w:rsidR="009A263F" w:rsidRPr="009A263F">
        <w:rPr>
          <w:color w:val="FF0000"/>
        </w:rPr>
        <w:t>76</w:t>
      </w:r>
      <w:r w:rsidR="009A263F" w:rsidRPr="009A263F">
        <w:rPr>
          <w:color w:val="FF0000"/>
        </w:rPr>
        <w:sym w:font="Symbol" w:char="F05D"/>
      </w:r>
      <w:r w:rsidR="009A263F" w:rsidRPr="009A263F">
        <w:rPr>
          <w:color w:val="FF0000"/>
        </w:rPr>
        <w:t>.</w:t>
      </w:r>
      <w:r w:rsidRPr="009A263F">
        <w:rPr>
          <w:color w:val="000000" w:themeColor="text1"/>
        </w:rPr>
        <w:t>PE is a risk factor for cardiovascular and cerebrovascular events; twenty percent of women develop hypertension or microalbuminuria seven years later.</w:t>
      </w:r>
      <w:r w:rsidR="009A263F" w:rsidRPr="009A263F">
        <w:rPr>
          <w:color w:val="FF0000"/>
        </w:rPr>
        <w:sym w:font="Symbol" w:char="F05B"/>
      </w:r>
      <w:r w:rsidR="009A263F" w:rsidRPr="009A263F">
        <w:rPr>
          <w:color w:val="FF0000"/>
        </w:rPr>
        <w:t>77</w:t>
      </w:r>
      <w:r w:rsidR="009A263F" w:rsidRPr="009A263F">
        <w:rPr>
          <w:color w:val="FF0000"/>
        </w:rPr>
        <w:sym w:font="Symbol" w:char="F05D"/>
      </w:r>
      <w:r w:rsidRPr="009A263F">
        <w:rPr>
          <w:color w:val="000000" w:themeColor="text1"/>
        </w:rPr>
        <w:t>. In a meta-analysis, Bellamy showed after a pregnancy complicated by preeclampsia, that there was a high risk of chronic arterial hypertension, RR= 3.7-95% CI (2.70-5.05), coronary ischemia, RR= 2.16-95% CI (1.86-2.52), stroke, RR= 1.81(1.45-2.27) 95% CI, and thromboembolic accident RR= 1.19-95% CI (1.37-2.33). This risk is all the greater the earlier the preeclampsia occurs.</w:t>
      </w:r>
      <w:r w:rsidR="009A263F" w:rsidRPr="009A263F">
        <w:rPr>
          <w:color w:val="FF0000"/>
        </w:rPr>
        <w:sym w:font="Symbol" w:char="F05B"/>
      </w:r>
      <w:r w:rsidR="009A263F" w:rsidRPr="009A263F">
        <w:rPr>
          <w:color w:val="FF0000"/>
        </w:rPr>
        <w:t>78</w:t>
      </w:r>
      <w:r w:rsidR="009A263F" w:rsidRPr="009A263F">
        <w:rPr>
          <w:color w:val="FF0000"/>
        </w:rPr>
        <w:sym w:font="Symbol" w:char="F05D"/>
      </w:r>
      <w:r w:rsidRPr="009A263F">
        <w:rPr>
          <w:color w:val="000000" w:themeColor="text1"/>
        </w:rPr>
        <w:t>. In a systematic review and meta-analysis, Morven CB et al, reported that women with a history of PE or eclampsia were at high risk of cardiovascular events Odds Ratio, OR=2.28-95% CI (1 .87-2.78) of cerebrovascular events, OR =1.76-95% CI (1.43-2.21) and chronic arterial hypertension with a relative risk, RR =3.13-CI at 95%, (2.51-3.89)</w:t>
      </w:r>
      <w:r w:rsidR="009A263F" w:rsidRPr="009A263F">
        <w:rPr>
          <w:color w:val="FF0000"/>
        </w:rPr>
        <w:sym w:font="Symbol" w:char="F05B"/>
      </w:r>
      <w:r w:rsidR="009A263F" w:rsidRPr="009A263F">
        <w:rPr>
          <w:color w:val="FF0000"/>
        </w:rPr>
        <w:t>79</w:t>
      </w:r>
      <w:r w:rsidR="009A263F" w:rsidRPr="009A263F">
        <w:rPr>
          <w:color w:val="FF0000"/>
        </w:rPr>
        <w:sym w:font="Symbol" w:char="F05D"/>
      </w:r>
      <w:r w:rsidR="009A263F" w:rsidRPr="009B235B">
        <w:rPr>
          <w:color w:val="000000" w:themeColor="text1"/>
        </w:rPr>
        <w:t>.</w:t>
      </w:r>
    </w:p>
    <w:p w14:paraId="63A0E1E6" w14:textId="77777777" w:rsidR="00376C0A" w:rsidRDefault="00376C0A" w:rsidP="009B235B">
      <w:pPr>
        <w:jc w:val="both"/>
        <w:rPr>
          <w:b/>
          <w:bCs/>
          <w:color w:val="000000" w:themeColor="text1"/>
        </w:rPr>
      </w:pPr>
    </w:p>
    <w:p w14:paraId="2E070EB2" w14:textId="77777777" w:rsidR="00376C0A" w:rsidRPr="00376C0A" w:rsidRDefault="00376C0A" w:rsidP="00376C0A">
      <w:pPr>
        <w:spacing w:line="276" w:lineRule="auto"/>
        <w:jc w:val="both"/>
        <w:rPr>
          <w:b/>
        </w:rPr>
      </w:pPr>
      <w:r w:rsidRPr="00376C0A">
        <w:rPr>
          <w:b/>
        </w:rPr>
        <w:t>Maternal morbidity</w:t>
      </w:r>
    </w:p>
    <w:p w14:paraId="5FCB89D8" w14:textId="77777777" w:rsidR="00376C0A" w:rsidRPr="00376C0A" w:rsidRDefault="00376C0A" w:rsidP="00376C0A">
      <w:pPr>
        <w:spacing w:line="276" w:lineRule="auto"/>
        <w:jc w:val="both"/>
        <w:rPr>
          <w:lang w:val="en-US"/>
        </w:rPr>
      </w:pPr>
      <w:r w:rsidRPr="00376C0A">
        <w:t>Preeclampsia is responsible for a 5% increase in maternal morbidity, including seizures, pulmonary edema, renal failure, hepatic failure and stroke. They occur most often in preeclamptic women before 32 weeks and those with a predisposing pathology.</w:t>
      </w:r>
      <w:r w:rsidRPr="00376C0A">
        <w:rPr>
          <w:color w:val="FF0000"/>
        </w:rPr>
        <w:t xml:space="preserve"> </w:t>
      </w:r>
      <w:r w:rsidRPr="009A263F">
        <w:rPr>
          <w:color w:val="FF0000"/>
        </w:rPr>
        <w:sym w:font="Symbol" w:char="F05B"/>
      </w:r>
      <w:r w:rsidRPr="00376C0A">
        <w:rPr>
          <w:color w:val="FF0000"/>
          <w:lang w:val="en-US"/>
        </w:rPr>
        <w:t>80,81,82</w:t>
      </w:r>
      <w:r w:rsidRPr="009A263F">
        <w:rPr>
          <w:color w:val="FF0000"/>
        </w:rPr>
        <w:sym w:font="Symbol" w:char="F05D"/>
      </w:r>
    </w:p>
    <w:p w14:paraId="1E7412BD" w14:textId="77777777" w:rsidR="00376C0A" w:rsidRPr="00376C0A" w:rsidRDefault="00376C0A" w:rsidP="00376C0A">
      <w:pPr>
        <w:spacing w:line="276" w:lineRule="auto"/>
        <w:jc w:val="both"/>
        <w:rPr>
          <w:color w:val="0070C0"/>
          <w:lang w:val="en-US"/>
        </w:rPr>
      </w:pPr>
    </w:p>
    <w:p w14:paraId="65FFAC62" w14:textId="77777777" w:rsidR="00376C0A" w:rsidRPr="00376C0A" w:rsidRDefault="00376C0A" w:rsidP="00376C0A">
      <w:pPr>
        <w:spacing w:line="276" w:lineRule="auto"/>
        <w:jc w:val="both"/>
        <w:rPr>
          <w:color w:val="000000" w:themeColor="text1"/>
          <w:sz w:val="20"/>
          <w:szCs w:val="20"/>
          <w:lang w:val="en-US"/>
        </w:rPr>
      </w:pPr>
      <w:r w:rsidRPr="00376C0A">
        <w:rPr>
          <w:color w:val="000000" w:themeColor="text1"/>
          <w:sz w:val="20"/>
          <w:szCs w:val="20"/>
          <w:lang w:val="en-US"/>
        </w:rPr>
        <w:t>80. Martin JN Jr, Thigpen BD, Moore RC, et al: Stroke and severe pre-eclampsia and eclampsia: A paradigm shift focusing on systolic blood pressure. Obstet Gynecol 105:246-254, 2005)</w:t>
      </w:r>
    </w:p>
    <w:p w14:paraId="1C850FA2" w14:textId="77777777" w:rsidR="00376C0A" w:rsidRPr="00376C0A" w:rsidRDefault="00376C0A" w:rsidP="00376C0A">
      <w:pPr>
        <w:spacing w:line="276" w:lineRule="auto"/>
        <w:jc w:val="both"/>
        <w:rPr>
          <w:color w:val="000000" w:themeColor="text1"/>
          <w:sz w:val="20"/>
          <w:szCs w:val="20"/>
          <w:lang w:val="en-US"/>
        </w:rPr>
      </w:pPr>
      <w:r w:rsidRPr="00376C0A">
        <w:rPr>
          <w:color w:val="000000" w:themeColor="text1"/>
          <w:sz w:val="20"/>
          <w:szCs w:val="20"/>
          <w:lang w:val="en-US"/>
        </w:rPr>
        <w:t>81. Kuklina EV, Ayala C, Callaghan WM: Hypertensive disorders and severe obstetric morbidity in the United States. Obstet Gynecol 113:1299-1306, 2009)</w:t>
      </w:r>
    </w:p>
    <w:p w14:paraId="37B58023" w14:textId="77777777" w:rsidR="00376C0A" w:rsidRPr="00376C0A" w:rsidRDefault="00376C0A" w:rsidP="00376C0A">
      <w:pPr>
        <w:spacing w:line="276" w:lineRule="auto"/>
        <w:jc w:val="both"/>
        <w:rPr>
          <w:b/>
          <w:color w:val="000000" w:themeColor="text1"/>
          <w:sz w:val="20"/>
          <w:szCs w:val="20"/>
        </w:rPr>
      </w:pPr>
      <w:r w:rsidRPr="00376C0A">
        <w:rPr>
          <w:color w:val="000000" w:themeColor="text1"/>
          <w:sz w:val="20"/>
          <w:szCs w:val="20"/>
          <w:lang w:val="en-US"/>
        </w:rPr>
        <w:t>82. Sibai BM: Diagnosis, controversies, and management of the syndrome of hemolysis, elevated liver enzymes, and low platelet count. Obstet Gynecol 103:981-999, 2004)</w:t>
      </w:r>
    </w:p>
    <w:p w14:paraId="490180BA" w14:textId="77777777" w:rsidR="00376C0A" w:rsidRPr="00376C0A" w:rsidRDefault="00376C0A" w:rsidP="00376C0A">
      <w:pPr>
        <w:spacing w:line="276" w:lineRule="auto"/>
        <w:jc w:val="both"/>
        <w:rPr>
          <w:b/>
        </w:rPr>
      </w:pPr>
      <w:r w:rsidRPr="00376C0A">
        <w:rPr>
          <w:b/>
        </w:rPr>
        <w:t>1. Eclampsia</w:t>
      </w:r>
    </w:p>
    <w:p w14:paraId="59B43A62" w14:textId="77777777" w:rsidR="00376C0A" w:rsidRPr="00376C0A" w:rsidRDefault="00376C0A" w:rsidP="00376C0A">
      <w:pPr>
        <w:jc w:val="both"/>
      </w:pPr>
      <w:r w:rsidRPr="00376C0A">
        <w:t>Eclampsia is a major neurological complication of PE, defined by the appearance of a generalized tonic-clonic seizure in the absence of any previous neurological pathology. It occurs following a pregnancy complicated by preeclampsia but it can be inaugural and precedes arterial hypertension and PE. It complicates severe preeclampsia in 0.5% of cases</w:t>
      </w:r>
      <w:r w:rsidRPr="009A263F">
        <w:rPr>
          <w:color w:val="FF0000"/>
        </w:rPr>
        <w:sym w:font="Symbol" w:char="F05B"/>
      </w:r>
      <w:r w:rsidRPr="00376C0A">
        <w:rPr>
          <w:color w:val="FF0000"/>
        </w:rPr>
        <w:t>83</w:t>
      </w:r>
      <w:r w:rsidRPr="009A263F">
        <w:rPr>
          <w:color w:val="FF0000"/>
        </w:rPr>
        <w:sym w:font="Symbol" w:char="F05D"/>
      </w:r>
      <w:r w:rsidRPr="00376C0A">
        <w:t>. The prevalence of eclampsia has significantly decreased in industrialized countries, due to better monitoring of pregnant women and the implementation of prevention measures. However, it remains very common in developing countries; the lack of monitoring of pregnancies is the main factor in this increase. Its occurrence is concomitant with significant morbidity and maternal-fetal mortality. Maternal risk is represented by hypoxia and bronchial aspiration.</w:t>
      </w:r>
    </w:p>
    <w:p w14:paraId="7230A122" w14:textId="77777777" w:rsidR="00376C0A" w:rsidRDefault="00376C0A" w:rsidP="00376C0A">
      <w:pPr>
        <w:jc w:val="both"/>
      </w:pPr>
      <w:r w:rsidRPr="00376C0A">
        <w:t>In an American study</w:t>
      </w:r>
      <w:r w:rsidRPr="009A263F">
        <w:rPr>
          <w:color w:val="FF0000"/>
        </w:rPr>
        <w:sym w:font="Symbol" w:char="F05B"/>
      </w:r>
      <w:r w:rsidRPr="00376C0A">
        <w:rPr>
          <w:color w:val="FF0000"/>
        </w:rPr>
        <w:t>84</w:t>
      </w:r>
      <w:r w:rsidRPr="009A263F">
        <w:rPr>
          <w:color w:val="FF0000"/>
        </w:rPr>
        <w:sym w:font="Symbol" w:char="F05D"/>
      </w:r>
      <w:r w:rsidR="00006892">
        <w:rPr>
          <w:color w:val="FF0000"/>
        </w:rPr>
        <w:t xml:space="preserve"> </w:t>
      </w:r>
      <w:r w:rsidRPr="00376C0A">
        <w:t>out of a total of 4024 maternal deaths, 790 (19.6%) were due to pre-eclampsia, and 49% of which were directly attributable to eclampsia. The risk factors reported in this study were age over 30 years and failure to monitor the pregnancy.</w:t>
      </w:r>
    </w:p>
    <w:p w14:paraId="4EA285E5" w14:textId="77777777" w:rsidR="00006892" w:rsidRDefault="00376C0A" w:rsidP="00006892">
      <w:pPr>
        <w:jc w:val="both"/>
        <w:rPr>
          <w:color w:val="FF0000"/>
        </w:rPr>
      </w:pPr>
      <w:r w:rsidRPr="00376C0A">
        <w:t>PE being an organ failure, other morbidities can be associated such as retroplacental hematoma, disseminated vascular coagulopathy,</w:t>
      </w:r>
      <w:r w:rsidRPr="00376C0A">
        <w:rPr>
          <w:color w:val="000000"/>
        </w:rPr>
        <w:t>œ</w:t>
      </w:r>
      <w:r w:rsidRPr="00376C0A">
        <w:t>pulmonary edema, inhalation of gastric fluid and in utero fetal death due to hypoxia. Adult respiratory distress syndrome and cerebral hemorrhage are complications rarely observed in studies from industrialized countries.</w:t>
      </w:r>
      <w:r w:rsidRPr="00376C0A">
        <w:rPr>
          <w:color w:val="000000" w:themeColor="text1"/>
        </w:rPr>
        <w:t>The radiological lesions found in eclampsia are similar to those found in hypertensive encephalopathy: cerebral edema, infarction and hemorrhage.</w:t>
      </w:r>
      <w:r w:rsidRPr="009A263F">
        <w:rPr>
          <w:color w:val="FF0000"/>
        </w:rPr>
        <w:sym w:font="Symbol" w:char="F05B"/>
      </w:r>
      <w:r w:rsidRPr="00376C0A">
        <w:rPr>
          <w:color w:val="FF0000"/>
        </w:rPr>
        <w:t>85</w:t>
      </w:r>
      <w:r w:rsidRPr="009A263F">
        <w:rPr>
          <w:color w:val="FF0000"/>
        </w:rPr>
        <w:sym w:font="Symbol" w:char="F05D"/>
      </w:r>
    </w:p>
    <w:p w14:paraId="4BF77570" w14:textId="77777777" w:rsidR="00006892" w:rsidRDefault="00376C0A" w:rsidP="00006892">
      <w:pPr>
        <w:jc w:val="both"/>
      </w:pPr>
      <w:r>
        <w:t>Posterior reversible encephalopathy syndrome (PRES) is often found after an eclamptic attack. (PRES) is a reversible neurological disorder manifested by headache, visual disturbances, altered consciousness, confusion, and seizures.</w:t>
      </w:r>
      <w:r w:rsidRPr="009A263F">
        <w:rPr>
          <w:color w:val="FF0000"/>
        </w:rPr>
        <w:sym w:font="Symbol" w:char="F05B"/>
      </w:r>
      <w:r w:rsidRPr="00376C0A">
        <w:rPr>
          <w:color w:val="FF0000"/>
        </w:rPr>
        <w:t>86</w:t>
      </w:r>
      <w:r w:rsidRPr="009A263F">
        <w:rPr>
          <w:color w:val="FF0000"/>
        </w:rPr>
        <w:sym w:font="Symbol" w:char="F05D"/>
      </w:r>
      <w:r w:rsidRPr="00376C0A">
        <w:t xml:space="preserve"> </w:t>
      </w:r>
      <w:r w:rsidRPr="00376C0A">
        <w:rPr>
          <w:color w:val="000000" w:themeColor="text1"/>
          <w:sz w:val="20"/>
          <w:szCs w:val="20"/>
        </w:rPr>
        <w:t>.</w:t>
      </w:r>
      <w:r w:rsidRPr="00376C0A">
        <w:t>The pathophysiological mechanism is represented by vasogenic edema localized in the posterior parietal and occipital regions.</w:t>
      </w:r>
      <w:r w:rsidRPr="009A263F">
        <w:rPr>
          <w:color w:val="FF0000"/>
        </w:rPr>
        <w:sym w:font="Symbol" w:char="F05B"/>
      </w:r>
      <w:r w:rsidRPr="00376C0A">
        <w:rPr>
          <w:color w:val="FF0000"/>
        </w:rPr>
        <w:t>87</w:t>
      </w:r>
      <w:r w:rsidRPr="009A263F">
        <w:rPr>
          <w:color w:val="FF0000"/>
        </w:rPr>
        <w:sym w:font="Symbol" w:char="F05D"/>
      </w:r>
      <w:r w:rsidRPr="00376C0A">
        <w:t xml:space="preserve"> </w:t>
      </w:r>
    </w:p>
    <w:p w14:paraId="6F611BF5" w14:textId="77777777" w:rsidR="00006892" w:rsidRDefault="00376C0A" w:rsidP="00006892">
      <w:pPr>
        <w:jc w:val="both"/>
        <w:rPr>
          <w:color w:val="000000" w:themeColor="text1"/>
        </w:rPr>
      </w:pPr>
      <w:r w:rsidRPr="00376C0A">
        <w:rPr>
          <w:color w:val="000000" w:themeColor="text1"/>
        </w:rPr>
        <w:t>Seizure alone is not an indication for systematic neuroradiological examination. Indeed, brain computed tomography (CT) and magnetic resonance imaging (MRI) are not routine examinations. Imaging is indicated in the presence of prolonged coma</w:t>
      </w:r>
      <w:r w:rsidRPr="00376C0A">
        <w:rPr>
          <w:color w:val="FF0000"/>
        </w:rPr>
        <w:t xml:space="preserve"> </w:t>
      </w:r>
      <w:r w:rsidRPr="00376C0A">
        <w:rPr>
          <w:color w:val="000000" w:themeColor="text1"/>
        </w:rPr>
        <w:t>and signs of focus looking for intracranial hemorrhage or venous thrombosis requiring specific therapy. Imaging is of great help in the diagnosis of atypical forms of eclampsia, especially those occurring before 20 weeks of amenorrhea and those occurring after 48 hours postpartum and those refractory despite adequate treatment with magnesium sulfate.</w:t>
      </w:r>
      <w:r w:rsidRPr="009A263F">
        <w:rPr>
          <w:color w:val="FF0000"/>
        </w:rPr>
        <w:sym w:font="Symbol" w:char="F05B"/>
      </w:r>
      <w:r w:rsidRPr="00376C0A">
        <w:rPr>
          <w:color w:val="FF0000"/>
        </w:rPr>
        <w:t>88.89</w:t>
      </w:r>
      <w:r w:rsidRPr="009A263F">
        <w:rPr>
          <w:color w:val="FF0000"/>
        </w:rPr>
        <w:sym w:font="Symbol" w:char="F05D"/>
      </w:r>
      <w:r w:rsidR="00006892">
        <w:rPr>
          <w:color w:val="000000" w:themeColor="text1"/>
        </w:rPr>
        <w:t>;</w:t>
      </w:r>
    </w:p>
    <w:p w14:paraId="7B7A70C6" w14:textId="77777777" w:rsidR="00006892" w:rsidRDefault="00376C0A" w:rsidP="00006892">
      <w:pPr>
        <w:jc w:val="both"/>
        <w:rPr>
          <w:color w:val="FF0000"/>
        </w:rPr>
      </w:pPr>
      <w:r w:rsidRPr="00376C0A">
        <w:rPr>
          <w:color w:val="000000" w:themeColor="text1"/>
        </w:rPr>
        <w:t>Electroencephalography (EEG) recording shows diffuse abnormalities in 70% of cases and localized slowing in 30% of cases</w:t>
      </w:r>
      <w:r w:rsidRPr="009A263F">
        <w:rPr>
          <w:color w:val="FF0000"/>
        </w:rPr>
        <w:sym w:font="Symbol" w:char="F05B"/>
      </w:r>
      <w:r>
        <w:rPr>
          <w:color w:val="FF0000"/>
        </w:rPr>
        <w:t>90</w:t>
      </w:r>
      <w:r w:rsidRPr="009A263F">
        <w:rPr>
          <w:color w:val="FF0000"/>
        </w:rPr>
        <w:sym w:font="Symbol" w:char="F05D"/>
      </w:r>
    </w:p>
    <w:p w14:paraId="234555FD" w14:textId="77777777" w:rsidR="00364745" w:rsidRDefault="00376C0A" w:rsidP="00006892">
      <w:pPr>
        <w:jc w:val="both"/>
        <w:rPr>
          <w:color w:val="FF0000"/>
        </w:rPr>
      </w:pPr>
      <w:r w:rsidRPr="00376C0A">
        <w:t>The standard treatment remains magnesium sulfate at a dose of 4 grams as a slow infusion over twenty minutes followed by a continuous infusion for maintenance.</w:t>
      </w:r>
      <w:r w:rsidRPr="009A263F">
        <w:rPr>
          <w:color w:val="FF0000"/>
        </w:rPr>
        <w:sym w:font="Symbol" w:char="F05B"/>
      </w:r>
      <w:r>
        <w:rPr>
          <w:color w:val="FF0000"/>
        </w:rPr>
        <w:t>91</w:t>
      </w:r>
      <w:r w:rsidRPr="009A263F">
        <w:rPr>
          <w:color w:val="FF0000"/>
        </w:rPr>
        <w:sym w:font="Symbol" w:char="F05D"/>
      </w:r>
      <w:r w:rsidRPr="00376C0A">
        <w:t>If the attack recurs, an additional dose of two grams is administered. Given that the margin between the therapeutic and toxic dose is narrow, it is necessary to monitor the Magnesemia which must be between 2 and 4 mmol/l. The alteration of renal function, common in this context of preeclampsia, makes it possible to maintain the loading dose and to reduce the maintenance dose as much as possible or even to stop it. At the same time, blood pressure control is imperative.</w:t>
      </w:r>
      <w:r w:rsidRPr="009A263F">
        <w:rPr>
          <w:color w:val="FF0000"/>
        </w:rPr>
        <w:sym w:font="Symbol" w:char="F05B"/>
      </w:r>
      <w:r>
        <w:rPr>
          <w:color w:val="FF0000"/>
        </w:rPr>
        <w:t>93</w:t>
      </w:r>
      <w:r w:rsidRPr="009A263F">
        <w:rPr>
          <w:color w:val="FF0000"/>
        </w:rPr>
        <w:sym w:font="Symbol" w:char="F05D"/>
      </w:r>
      <w:r>
        <w:rPr>
          <w:color w:val="FF0000"/>
        </w:rPr>
        <w:t xml:space="preserve"> </w:t>
      </w:r>
    </w:p>
    <w:p w14:paraId="3600A0B4" w14:textId="77777777" w:rsidR="00364745" w:rsidRDefault="00364745" w:rsidP="00364745">
      <w:pPr>
        <w:spacing w:line="276" w:lineRule="auto"/>
        <w:jc w:val="both"/>
        <w:rPr>
          <w:b/>
        </w:rPr>
      </w:pPr>
      <w:r w:rsidRPr="003A54C8">
        <w:rPr>
          <w:b/>
        </w:rPr>
        <w:t>2. HELLP syndrome</w:t>
      </w:r>
    </w:p>
    <w:p w14:paraId="5121F268" w14:textId="77777777" w:rsidR="00364745" w:rsidRPr="003A54C8" w:rsidRDefault="00364745" w:rsidP="00364745">
      <w:pPr>
        <w:spacing w:line="276" w:lineRule="auto"/>
        <w:jc w:val="both"/>
        <w:rPr>
          <w:rFonts w:eastAsiaTheme="minorEastAsia"/>
          <w:b/>
        </w:rPr>
      </w:pPr>
      <w:r w:rsidRPr="003A54C8">
        <w:rPr>
          <w:color w:val="000000" w:themeColor="text1"/>
        </w:rPr>
        <w:t>HELLP syndrome (Hemolysis, Elevated Liver enzymes, Low Platelets) is a particular form of preeclampsia. According to ACOG, the diagnosis of HELLP is based on the following biological elements: elevated lactate dehydrogenase (LDH) greater than 600 IU/L, aspartate aminotransferase (ASAT) or alanine aminotransferase (ALT) elevated more than twice the upper limit of normal, and platelet count less than 100,000 109/l.</w:t>
      </w:r>
      <w:r w:rsidRPr="009A263F">
        <w:rPr>
          <w:color w:val="FF0000"/>
        </w:rPr>
        <w:sym w:font="Symbol" w:char="F05B"/>
      </w:r>
      <w:r>
        <w:rPr>
          <w:color w:val="FF0000"/>
        </w:rPr>
        <w:t>94</w:t>
      </w:r>
      <w:r w:rsidRPr="009A263F">
        <w:rPr>
          <w:color w:val="FF0000"/>
        </w:rPr>
        <w:sym w:font="Symbol" w:char="F05D"/>
      </w:r>
      <w:r>
        <w:rPr>
          <w:color w:val="FF0000"/>
        </w:rPr>
        <w:t xml:space="preserve"> </w:t>
      </w:r>
    </w:p>
    <w:p w14:paraId="1E5D5188" w14:textId="77777777" w:rsidR="00364745" w:rsidRPr="00364745" w:rsidRDefault="00364745" w:rsidP="00364745">
      <w:pPr>
        <w:pStyle w:val="Corpsdetexte3"/>
        <w:tabs>
          <w:tab w:val="left" w:pos="284"/>
          <w:tab w:val="left" w:pos="1701"/>
          <w:tab w:val="left" w:pos="1985"/>
          <w:tab w:val="left" w:pos="2268"/>
          <w:tab w:val="left" w:pos="2835"/>
          <w:tab w:val="left" w:pos="3402"/>
        </w:tabs>
        <w:spacing w:after="0" w:line="276" w:lineRule="auto"/>
        <w:jc w:val="both"/>
        <w:rPr>
          <w:color w:val="000000" w:themeColor="text1"/>
          <w:sz w:val="24"/>
          <w:szCs w:val="24"/>
          <w:shd w:val="clear" w:color="auto" w:fill="FFFFFF"/>
        </w:rPr>
      </w:pPr>
      <w:r w:rsidRPr="003A54C8">
        <w:rPr>
          <w:sz w:val="24"/>
          <w:szCs w:val="24"/>
        </w:rPr>
        <w:t>It is serious when the platelet count ≤ 50,000/mm3, complicates 5-20% of serious pre-eclampsia and occurs more often in older women (compared to the average of pre-eclamptic women), multiparous and white. In 70% of cases, HELLP occurs prepartum and in 30% of cases after delivery, most often within 48 hours (range from a few hours to six days postpartum).</w:t>
      </w:r>
      <w:r w:rsidRPr="00364745">
        <w:rPr>
          <w:color w:val="000000" w:themeColor="text1"/>
          <w:sz w:val="24"/>
          <w:szCs w:val="24"/>
          <w:shd w:val="clear" w:color="auto" w:fill="FFFFFF"/>
        </w:rPr>
        <w:t>.</w:t>
      </w:r>
      <w:r w:rsidRPr="00364745">
        <w:rPr>
          <w:color w:val="FF0000"/>
          <w:sz w:val="24"/>
          <w:szCs w:val="24"/>
        </w:rPr>
        <w:sym w:font="Symbol" w:char="F05B"/>
      </w:r>
      <w:r w:rsidRPr="00364745">
        <w:rPr>
          <w:color w:val="FF0000"/>
          <w:sz w:val="24"/>
          <w:szCs w:val="24"/>
        </w:rPr>
        <w:t>95</w:t>
      </w:r>
      <w:r w:rsidRPr="00364745">
        <w:rPr>
          <w:color w:val="FF0000"/>
          <w:sz w:val="24"/>
          <w:szCs w:val="24"/>
        </w:rPr>
        <w:sym w:font="Symbol" w:char="F05D"/>
      </w:r>
      <w:r w:rsidRPr="00364745">
        <w:rPr>
          <w:color w:val="FF0000"/>
        </w:rPr>
        <w:t xml:space="preserve"> </w:t>
      </w:r>
    </w:p>
    <w:p w14:paraId="7D0D8866" w14:textId="77777777" w:rsidR="00364745" w:rsidRPr="00364745" w:rsidRDefault="00364745" w:rsidP="00364745">
      <w:pPr>
        <w:pStyle w:val="Corpsdetexte3"/>
        <w:tabs>
          <w:tab w:val="left" w:pos="284"/>
          <w:tab w:val="left" w:pos="1701"/>
          <w:tab w:val="left" w:pos="1985"/>
          <w:tab w:val="left" w:pos="2268"/>
          <w:tab w:val="left" w:pos="2835"/>
          <w:tab w:val="left" w:pos="3402"/>
        </w:tabs>
        <w:spacing w:after="0" w:line="276" w:lineRule="auto"/>
        <w:jc w:val="both"/>
        <w:rPr>
          <w:sz w:val="24"/>
          <w:szCs w:val="24"/>
        </w:rPr>
      </w:pPr>
      <w:r w:rsidRPr="003A54C8">
        <w:rPr>
          <w:sz w:val="24"/>
          <w:szCs w:val="24"/>
        </w:rPr>
        <w:t>The existence of a HELLP syndrome increases the risk of occurrence of convulsions by a factor of 3 compared to women with severe preeclampsia without HELLP</w:t>
      </w:r>
      <w:r w:rsidRPr="00364745">
        <w:rPr>
          <w:color w:val="000000" w:themeColor="text1"/>
          <w:sz w:val="24"/>
          <w:szCs w:val="24"/>
          <w:shd w:val="clear" w:color="auto" w:fill="FFFFFF"/>
        </w:rPr>
        <w:t>.</w:t>
      </w:r>
      <w:r w:rsidRPr="00364745">
        <w:rPr>
          <w:color w:val="FF0000"/>
          <w:sz w:val="24"/>
          <w:szCs w:val="24"/>
        </w:rPr>
        <w:sym w:font="Symbol" w:char="F05B"/>
      </w:r>
      <w:r w:rsidRPr="00364745">
        <w:rPr>
          <w:color w:val="FF0000"/>
          <w:sz w:val="24"/>
          <w:szCs w:val="24"/>
        </w:rPr>
        <w:t>96.97</w:t>
      </w:r>
      <w:r w:rsidRPr="00364745">
        <w:rPr>
          <w:color w:val="FF0000"/>
          <w:sz w:val="24"/>
          <w:szCs w:val="24"/>
        </w:rPr>
        <w:sym w:font="Symbol" w:char="F05D"/>
      </w:r>
      <w:r w:rsidRPr="00364745">
        <w:rPr>
          <w:color w:val="FF0000"/>
        </w:rPr>
        <w:t xml:space="preserve"> </w:t>
      </w:r>
    </w:p>
    <w:p w14:paraId="0B36A187" w14:textId="77777777" w:rsidR="00364745" w:rsidRPr="00C959E0" w:rsidRDefault="00364745" w:rsidP="00364745">
      <w:pPr>
        <w:pStyle w:val="Corpsdetexte3"/>
        <w:tabs>
          <w:tab w:val="left" w:pos="284"/>
          <w:tab w:val="left" w:pos="1701"/>
          <w:tab w:val="left" w:pos="1985"/>
          <w:tab w:val="left" w:pos="2268"/>
          <w:tab w:val="left" w:pos="2835"/>
          <w:tab w:val="left" w:pos="3402"/>
        </w:tabs>
        <w:spacing w:after="0" w:line="276" w:lineRule="auto"/>
        <w:jc w:val="both"/>
        <w:rPr>
          <w:sz w:val="24"/>
          <w:szCs w:val="24"/>
        </w:rPr>
      </w:pPr>
      <w:r w:rsidRPr="003A54C8">
        <w:rPr>
          <w:sz w:val="24"/>
          <w:szCs w:val="24"/>
        </w:rPr>
        <w:t>HELLP syndrome manifests itself clinically by variable and non-specific signs, predominantly digestive. Epigastric bar pain and/or pain in the right hypochondrium are the most frequently found clinical sign (65 to 86% of cases). This pain is the result of obstruction of blood flow in the sinusoids and hepatocyte necrosis. Any epigastric pain occurring in the second or third trimester of pregnancy should raise suspicion of HELLP syndrome. Other symptoms may be encountered, nausea and vomiting in 36-84% of cases, malaise in 90% of cases and jaundice in 5% of cases. The fever should suggest a hepatic infarction. Ascites is sometimes observed during cesarean section, it is an excellent predictive factor for the occurrence of cardiac and respiratory complications in the postpartum period.</w:t>
      </w:r>
      <w:r w:rsidRPr="00364745">
        <w:rPr>
          <w:color w:val="000000" w:themeColor="text1"/>
          <w:sz w:val="24"/>
          <w:szCs w:val="24"/>
          <w:shd w:val="clear" w:color="auto" w:fill="FFFFFF"/>
        </w:rPr>
        <w:t>.</w:t>
      </w:r>
      <w:r w:rsidRPr="00364745">
        <w:rPr>
          <w:color w:val="FF0000"/>
          <w:sz w:val="24"/>
          <w:szCs w:val="24"/>
        </w:rPr>
        <w:sym w:font="Symbol" w:char="F05B"/>
      </w:r>
      <w:r w:rsidRPr="00C959E0">
        <w:rPr>
          <w:color w:val="FF0000"/>
          <w:sz w:val="24"/>
          <w:szCs w:val="24"/>
        </w:rPr>
        <w:t>95.98</w:t>
      </w:r>
      <w:r w:rsidRPr="00364745">
        <w:rPr>
          <w:color w:val="FF0000"/>
          <w:sz w:val="24"/>
          <w:szCs w:val="24"/>
        </w:rPr>
        <w:sym w:font="Symbol" w:char="F05D"/>
      </w:r>
      <w:r w:rsidRPr="00C959E0">
        <w:rPr>
          <w:color w:val="FF0000"/>
        </w:rPr>
        <w:t xml:space="preserve"> </w:t>
      </w:r>
    </w:p>
    <w:p w14:paraId="49DF5DE2" w14:textId="77777777" w:rsidR="00364745" w:rsidRDefault="00364745" w:rsidP="00364745">
      <w:pPr>
        <w:pStyle w:val="Corpsdetexte3"/>
        <w:tabs>
          <w:tab w:val="left" w:pos="284"/>
          <w:tab w:val="left" w:pos="1701"/>
          <w:tab w:val="left" w:pos="1985"/>
          <w:tab w:val="left" w:pos="2268"/>
          <w:tab w:val="left" w:pos="2835"/>
          <w:tab w:val="left" w:pos="3402"/>
        </w:tabs>
        <w:spacing w:after="0" w:line="276" w:lineRule="auto"/>
        <w:jc w:val="both"/>
        <w:rPr>
          <w:sz w:val="24"/>
          <w:szCs w:val="24"/>
        </w:rPr>
      </w:pPr>
      <w:r w:rsidRPr="003A54C8">
        <w:rPr>
          <w:sz w:val="24"/>
          <w:szCs w:val="24"/>
        </w:rPr>
        <w:t>Maternal morbidity is all the more severe the later the diagnosis is made.</w:t>
      </w:r>
    </w:p>
    <w:p w14:paraId="19217687" w14:textId="77777777" w:rsidR="00364745" w:rsidRPr="003A54C8" w:rsidRDefault="00364745" w:rsidP="00364745">
      <w:pPr>
        <w:pStyle w:val="Corpsdetexte3"/>
        <w:tabs>
          <w:tab w:val="left" w:pos="284"/>
          <w:tab w:val="left" w:pos="1701"/>
          <w:tab w:val="left" w:pos="1985"/>
          <w:tab w:val="left" w:pos="2268"/>
          <w:tab w:val="left" w:pos="2835"/>
          <w:tab w:val="left" w:pos="3402"/>
        </w:tabs>
        <w:spacing w:after="0" w:line="276" w:lineRule="auto"/>
        <w:jc w:val="both"/>
        <w:rPr>
          <w:sz w:val="24"/>
          <w:szCs w:val="24"/>
        </w:rPr>
      </w:pPr>
      <w:r w:rsidRPr="003A54C8">
        <w:rPr>
          <w:sz w:val="24"/>
          <w:szCs w:val="24"/>
        </w:rPr>
        <w:t>The complications found by Sibaï in the absence of conservative treatment include 21% of DIC, 16% of retroplacental hematoma (RPH), 8% of acute renal failure (ARI), 6% of acute lung edema ( OAP), 2% laparotomies for hemorrhage, 1% subcapsular hematoma of the liver and retinal detachment. HELLP also places patients at increased risk of postpartum hemorrhage. This risk is essentially due to DIC and not to thrombocytopenia even if it is severe. Transfusion of platelet pellets does not prevent its occurrence.</w:t>
      </w:r>
      <w:r w:rsidRPr="00364745">
        <w:rPr>
          <w:color w:val="FF0000"/>
          <w:sz w:val="24"/>
          <w:szCs w:val="24"/>
        </w:rPr>
        <w:sym w:font="Symbol" w:char="F05B"/>
      </w:r>
      <w:r w:rsidRPr="00364745">
        <w:rPr>
          <w:color w:val="FF0000"/>
          <w:sz w:val="24"/>
          <w:szCs w:val="24"/>
        </w:rPr>
        <w:t>95.98</w:t>
      </w:r>
      <w:r w:rsidRPr="00364745">
        <w:rPr>
          <w:color w:val="FF0000"/>
          <w:sz w:val="24"/>
          <w:szCs w:val="24"/>
        </w:rPr>
        <w:sym w:font="Symbol" w:char="F05D"/>
      </w:r>
      <w:r w:rsidRPr="00364745">
        <w:rPr>
          <w:color w:val="FF0000"/>
        </w:rPr>
        <w:t xml:space="preserve"> </w:t>
      </w:r>
    </w:p>
    <w:p w14:paraId="33CCE133" w14:textId="77777777" w:rsidR="00364745" w:rsidRDefault="00364745" w:rsidP="00364745">
      <w:pPr>
        <w:spacing w:line="276" w:lineRule="auto"/>
        <w:jc w:val="both"/>
      </w:pPr>
      <w:r w:rsidRPr="003A54C8">
        <w:t>HELLP syndrome is evidence of multiorgan failure, its discovery is always synonymous with seriousness, requiring hospitalization of parturients in a structure including both maternal and neonatal intensive care. Its one and only treatment remains the termination of the pregnancy. However, it is the delay of this interruption which remains a subject of great divergence between practitioners. In all cases, two possibilities present themselves to us: the first, when the term of the pregnancy is &gt; 34 weeks in which case the termination of the pregnancy is necessary as soon as possible. The second, when the term is &lt; 34 weeks, the risk of fetal complications linked to prematurity is significant.</w:t>
      </w:r>
    </w:p>
    <w:p w14:paraId="55E8384B" w14:textId="77777777" w:rsidR="00364745" w:rsidRPr="003A54C8" w:rsidRDefault="00364745" w:rsidP="00364745">
      <w:pPr>
        <w:spacing w:line="276" w:lineRule="auto"/>
        <w:jc w:val="both"/>
      </w:pPr>
      <w:r w:rsidRPr="003A54C8">
        <w:t>In this case, most authors propose a therapeutic approach involving several stages essentially combining the usual treatment of preeclampsia and corticosteroid therapy under the cover of intensive maternal and fetal monitoring.</w:t>
      </w:r>
    </w:p>
    <w:p w14:paraId="48C47C1F" w14:textId="77777777" w:rsidR="00364745" w:rsidRPr="003A54C8" w:rsidRDefault="00364745" w:rsidP="00364745">
      <w:pPr>
        <w:pStyle w:val="Paragraphedeliste"/>
        <w:numPr>
          <w:ilvl w:val="0"/>
          <w:numId w:val="32"/>
        </w:numPr>
        <w:spacing w:line="276" w:lineRule="auto"/>
        <w:jc w:val="both"/>
      </w:pPr>
      <w:r w:rsidRPr="003A54C8">
        <w:t>Control of any severe blood pressure (SBP≥160 mm Hg and/or DBP≥110 mm Hg) with vasodilators, mainly calcium channel blockers (Nicardipine) and/or labetalol can prevent maternal complications including heart failure. congestive disease, hypertensive encephalopathy, stroke, and PHR.</w:t>
      </w:r>
    </w:p>
    <w:p w14:paraId="34DA9A2A" w14:textId="77777777" w:rsidR="00364745" w:rsidRDefault="00364745" w:rsidP="00364745">
      <w:pPr>
        <w:pStyle w:val="Paragraphedeliste"/>
        <w:numPr>
          <w:ilvl w:val="0"/>
          <w:numId w:val="32"/>
        </w:numPr>
        <w:spacing w:line="276" w:lineRule="auto"/>
        <w:jc w:val="both"/>
      </w:pPr>
      <w:r w:rsidRPr="003A54C8">
        <w:t>Transfusion of packed red blood cells in cases of severe or poorly tolerated anemia.</w:t>
      </w:r>
    </w:p>
    <w:p w14:paraId="4158FC1F" w14:textId="77777777" w:rsidR="00364745" w:rsidRDefault="00364745" w:rsidP="00364745">
      <w:pPr>
        <w:pStyle w:val="Paragraphedeliste"/>
        <w:numPr>
          <w:ilvl w:val="0"/>
          <w:numId w:val="32"/>
        </w:numPr>
        <w:spacing w:line="276" w:lineRule="auto"/>
        <w:jc w:val="both"/>
      </w:pPr>
      <w:r w:rsidRPr="003A54C8">
        <w:t>Similarly, coagulation disorders should be corrected with fresh frozen plasma.</w:t>
      </w:r>
    </w:p>
    <w:p w14:paraId="0DCD1A51" w14:textId="77777777" w:rsidR="00364745" w:rsidRDefault="00364745" w:rsidP="00364745">
      <w:pPr>
        <w:pStyle w:val="Paragraphedeliste"/>
        <w:numPr>
          <w:ilvl w:val="0"/>
          <w:numId w:val="32"/>
        </w:numPr>
        <w:spacing w:line="276" w:lineRule="auto"/>
        <w:jc w:val="both"/>
      </w:pPr>
      <w:r w:rsidRPr="003A54C8">
        <w:t>Platelet transfusion is only indicated in cases of significant hemorrhagic syndrome and severe thrombocytopenia (&lt;50,000 per cubic millimeter).</w:t>
      </w:r>
    </w:p>
    <w:p w14:paraId="10773BDE" w14:textId="77777777" w:rsidR="00364745" w:rsidRPr="003A54C8" w:rsidRDefault="00364745" w:rsidP="00364745">
      <w:pPr>
        <w:pStyle w:val="Paragraphedeliste"/>
        <w:numPr>
          <w:ilvl w:val="0"/>
          <w:numId w:val="32"/>
        </w:numPr>
        <w:spacing w:line="276" w:lineRule="auto"/>
        <w:jc w:val="both"/>
      </w:pPr>
      <w:r w:rsidRPr="003A54C8">
        <w:t>Any repeated transfusion is illusory due to the process of platelet consumption, or even dangerous due to the thrombotic risk. Platelet concentrates are administered at the time of delivery, generally in the event of a cesarean section under general anesthesia, in order to reduce the risk of operative bleeding.</w:t>
      </w:r>
    </w:p>
    <w:p w14:paraId="49406E18" w14:textId="77777777" w:rsidR="00364745" w:rsidRDefault="00364745" w:rsidP="00364745">
      <w:pPr>
        <w:spacing w:line="276" w:lineRule="auto"/>
        <w:jc w:val="both"/>
        <w:rPr>
          <w:color w:val="000000" w:themeColor="text1"/>
        </w:rPr>
      </w:pPr>
      <w:r w:rsidRPr="003A54C8">
        <w:rPr>
          <w:color w:val="000000" w:themeColor="text1"/>
          <w:u w:val="single"/>
        </w:rPr>
        <w:t>Special case of hepatic hematomas</w:t>
      </w:r>
      <w:r w:rsidRPr="003A54C8">
        <w:rPr>
          <w:color w:val="000000" w:themeColor="text1"/>
        </w:rPr>
        <w:t>:</w:t>
      </w:r>
    </w:p>
    <w:p w14:paraId="47CC5C45" w14:textId="77777777" w:rsidR="00364745" w:rsidRPr="003A54C8" w:rsidRDefault="00364745" w:rsidP="00364745">
      <w:pPr>
        <w:spacing w:line="276" w:lineRule="auto"/>
        <w:jc w:val="both"/>
      </w:pPr>
      <w:r w:rsidRPr="003A54C8">
        <w:t>The management of subcapsular hematoma of the liver (HSCF) seems to be more consensual. In cases of unruptured HSCF, it is important to correct hemostasis disorders by transfusions of fresh frozen plasma and ultrasound monitoring. If this is broken, correct hemodynamics must be maintained, hemostasis disorders corrected and hepatic surgical hemostasis performed.</w:t>
      </w:r>
    </w:p>
    <w:p w14:paraId="05FC9CD6" w14:textId="77777777" w:rsidR="00364745" w:rsidRPr="003A54C8" w:rsidRDefault="00364745" w:rsidP="00364745">
      <w:pPr>
        <w:spacing w:line="276" w:lineRule="auto"/>
        <w:jc w:val="both"/>
      </w:pPr>
      <w:r w:rsidRPr="003A54C8">
        <w:t>We must never lose sight of the fact that in order to gain fetal maturity, waiting exposes in addition to the usual complications of severe PE (PAO, eclampsia, HRP) the risk of liver rupture. These hematomas are rare (1/45,000 pregnancies), predominantly in the right lobe. The clinical picture is that of violent abdominal pain with hypovolemic shock.</w:t>
      </w:r>
    </w:p>
    <w:p w14:paraId="47196215" w14:textId="77777777" w:rsidR="00364745" w:rsidRPr="003A54C8" w:rsidRDefault="00364745" w:rsidP="00364745">
      <w:pPr>
        <w:spacing w:line="276" w:lineRule="auto"/>
        <w:jc w:val="both"/>
      </w:pPr>
      <w:r w:rsidRPr="003A54C8">
        <w:t>The fetomaternal mortality of this hepatic rupture (80 and 50% respectively) has prompted more aggressive management. Embolization, ligation of the hepatic artery, and packing have been successively proposed without the small number of series making it possible to conclude the superiority of one or the other technique.</w:t>
      </w:r>
    </w:p>
    <w:p w14:paraId="33D49D24" w14:textId="77777777" w:rsidR="00364745" w:rsidRDefault="00364745" w:rsidP="00364745">
      <w:pPr>
        <w:pStyle w:val="auteurarticle"/>
        <w:spacing w:before="0" w:beforeAutospacing="0" w:after="0" w:afterAutospacing="0"/>
        <w:jc w:val="both"/>
      </w:pPr>
      <w:r w:rsidRPr="003A54C8">
        <w:t>Liver transplantation was performed in patients with HELLP syndrome refractory to treatment, with uncontrollable hemorrhage from hepatic necrosis.</w:t>
      </w:r>
      <w:r w:rsidRPr="00364745">
        <w:rPr>
          <w:color w:val="FF0000"/>
        </w:rPr>
        <w:sym w:font="Symbol" w:char="F05B"/>
      </w:r>
      <w:r w:rsidRPr="00364745">
        <w:rPr>
          <w:color w:val="FF0000"/>
        </w:rPr>
        <w:t>99,100,101</w:t>
      </w:r>
      <w:r w:rsidRPr="00364745">
        <w:rPr>
          <w:color w:val="FF0000"/>
        </w:rPr>
        <w:sym w:font="Symbol" w:char="F05D"/>
      </w:r>
      <w:r w:rsidRPr="00364745">
        <w:rPr>
          <w:color w:val="FF0000"/>
        </w:rPr>
        <w:t xml:space="preserve"> </w:t>
      </w:r>
    </w:p>
    <w:p w14:paraId="7E9D3BED" w14:textId="77777777" w:rsidR="00364745" w:rsidRDefault="00364745" w:rsidP="00364745">
      <w:pPr>
        <w:spacing w:line="276" w:lineRule="auto"/>
        <w:jc w:val="both"/>
      </w:pPr>
      <w:r w:rsidRPr="003A54C8">
        <w:t>Regardless of the type of treatment considered, no author recommends a systematic cesarean section. The low route is authorized because there is no correlation between the platelet counts of the fetus and those of the mother, even if the thrombocytopenia is less than 50,000/mm3. Regional anesthesia is always preferred to general anesthesia in preeclamptic patients. During childbirth, transfusions of platelet concentrates should not be systematic because the destruction of platelets is rapid. When cesarean section is indicated, it is essential to have 6 to 10 units of platelet pellets, just before intubation. During the cesarean section, the surgeon does not attempt to check the liver and manipulation of the liver mass is not recommended. Thus, cesarean section does not exempt from liver ultrasound, which if not performed before the cesarean section, must be done after it in order to rule out HSCF.</w:t>
      </w:r>
      <w:r w:rsidRPr="00364745">
        <w:rPr>
          <w:color w:val="FF0000"/>
        </w:rPr>
        <w:sym w:font="Symbol" w:char="F05B"/>
      </w:r>
      <w:r>
        <w:rPr>
          <w:color w:val="FF0000"/>
        </w:rPr>
        <w:t>102</w:t>
      </w:r>
      <w:r w:rsidRPr="00364745">
        <w:rPr>
          <w:color w:val="FF0000"/>
        </w:rPr>
        <w:sym w:font="Symbol" w:char="F05D"/>
      </w:r>
      <w:r w:rsidRPr="00364745">
        <w:rPr>
          <w:color w:val="FF0000"/>
        </w:rPr>
        <w:t xml:space="preserve"> </w:t>
      </w:r>
    </w:p>
    <w:p w14:paraId="7110E8BB" w14:textId="77777777" w:rsidR="00364745" w:rsidRPr="003A54C8" w:rsidRDefault="00364745" w:rsidP="00364745">
      <w:pPr>
        <w:spacing w:line="276" w:lineRule="auto"/>
        <w:jc w:val="both"/>
      </w:pPr>
      <w:r w:rsidRPr="003A54C8">
        <w:t>Postpartum, monitoring in an intensive care unit for at least 48 hours is essential. Resolution is usually spontaneous within 36 to 72 hours.</w:t>
      </w:r>
    </w:p>
    <w:p w14:paraId="30BD5508" w14:textId="77777777" w:rsidR="00364745" w:rsidRDefault="00364745" w:rsidP="00364745">
      <w:pPr>
        <w:spacing w:line="276" w:lineRule="auto"/>
        <w:jc w:val="both"/>
      </w:pPr>
      <w:r w:rsidRPr="003A54C8">
        <w:t>The recurrence of HELLP syndrome is low for some (4%), a little more frequent (20%) for others, but it increases to 60% when HELLP appears before 32 weeks. These figures highlight the importance of disease prevention and monitoring of patients with a history of HELLP syndrome.</w:t>
      </w:r>
      <w:r w:rsidRPr="00364745">
        <w:rPr>
          <w:color w:val="FF0000"/>
        </w:rPr>
        <w:sym w:font="Symbol" w:char="F05B"/>
      </w:r>
      <w:r>
        <w:rPr>
          <w:color w:val="FF0000"/>
        </w:rPr>
        <w:t>95</w:t>
      </w:r>
      <w:r w:rsidRPr="00364745">
        <w:rPr>
          <w:color w:val="FF0000"/>
        </w:rPr>
        <w:sym w:font="Symbol" w:char="F05D"/>
      </w:r>
      <w:r w:rsidRPr="00364745">
        <w:rPr>
          <w:color w:val="FF0000"/>
        </w:rPr>
        <w:t xml:space="preserve"> </w:t>
      </w:r>
    </w:p>
    <w:p w14:paraId="6A73DA90" w14:textId="77777777" w:rsidR="00364745" w:rsidRPr="003421A3" w:rsidRDefault="00364745" w:rsidP="00364745">
      <w:pPr>
        <w:spacing w:line="276" w:lineRule="auto"/>
        <w:jc w:val="both"/>
        <w:rPr>
          <w:b/>
        </w:rPr>
      </w:pPr>
      <w:r w:rsidRPr="003421A3">
        <w:rPr>
          <w:b/>
        </w:rPr>
        <w:t>3. Acute renal failure</w:t>
      </w:r>
    </w:p>
    <w:p w14:paraId="7994AB2A" w14:textId="77777777" w:rsidR="00364745" w:rsidRDefault="00364745" w:rsidP="00364745">
      <w:pPr>
        <w:spacing w:line="276" w:lineRule="auto"/>
        <w:jc w:val="both"/>
        <w:rPr>
          <w:bCs/>
          <w:iCs/>
        </w:rPr>
      </w:pPr>
      <w:r w:rsidRPr="003421A3">
        <w:t>AKI is a rare complication of severe PE. In this context, it reflects multiorgan damage, and is often associated with HELLP syndrome, retroplacental hematoma (RPH), and coagulopathy in 50% of cases.</w:t>
      </w:r>
      <w:r w:rsidRPr="00364745">
        <w:rPr>
          <w:color w:val="FF0000"/>
        </w:rPr>
        <w:sym w:font="Symbol" w:char="F05B"/>
      </w:r>
      <w:r>
        <w:rPr>
          <w:color w:val="FF0000"/>
        </w:rPr>
        <w:t>103</w:t>
      </w:r>
      <w:r w:rsidRPr="00364745">
        <w:rPr>
          <w:color w:val="FF0000"/>
        </w:rPr>
        <w:sym w:font="Symbol" w:char="F05D"/>
      </w:r>
      <w:r w:rsidRPr="00364745">
        <w:rPr>
          <w:color w:val="FF0000"/>
        </w:rPr>
        <w:t xml:space="preserve"> </w:t>
      </w:r>
      <w:r w:rsidRPr="003421A3">
        <w:rPr>
          <w:b/>
          <w:bCs/>
          <w:i/>
          <w:iCs/>
          <w:color w:val="FFFFFF" w:themeColor="background1"/>
          <w:kern w:val="24"/>
        </w:rPr>
        <w:t xml:space="preserve"> </w:t>
      </w:r>
      <w:r w:rsidRPr="003421A3">
        <w:rPr>
          <w:b/>
          <w:bCs/>
          <w:i/>
          <w:iCs/>
        </w:rPr>
        <w:t xml:space="preserve"> </w:t>
      </w:r>
    </w:p>
    <w:p w14:paraId="577756D4" w14:textId="77777777" w:rsidR="00364745" w:rsidRDefault="00364745" w:rsidP="00364745">
      <w:pPr>
        <w:spacing w:line="276" w:lineRule="auto"/>
        <w:jc w:val="both"/>
        <w:rPr>
          <w:color w:val="FF0000"/>
        </w:rPr>
      </w:pPr>
      <w:r w:rsidRPr="003421A3">
        <w:t>The occurrence of AKI always worsens the maternal prognosis. There is a relative reduction in renal plasma flow and glomerular filtration responsible for an increase in plasma creatinine and urea as well as serum uric acid, correlated with the increase in renal vascular resistance and/or the volume. Proteinuria indicates glomerular damage. It is usually moderate, of the order of 1–2 g/24 h, but can be more abundant (&gt; 5 g/d), leading to nephrotic syndrome which is an indicator of poor prognosis.</w:t>
      </w:r>
      <w:r w:rsidRPr="00364745">
        <w:rPr>
          <w:color w:val="FF0000"/>
        </w:rPr>
        <w:sym w:font="Symbol" w:char="F05B"/>
      </w:r>
      <w:r w:rsidRPr="00364745">
        <w:rPr>
          <w:color w:val="FF0000"/>
        </w:rPr>
        <w:t>104</w:t>
      </w:r>
      <w:r w:rsidRPr="00364745">
        <w:rPr>
          <w:color w:val="FF0000"/>
        </w:rPr>
        <w:sym w:font="Symbol" w:char="F05D"/>
      </w:r>
      <w:r w:rsidRPr="00364745">
        <w:rPr>
          <w:color w:val="FF0000"/>
        </w:rPr>
        <w:t xml:space="preserve"> </w:t>
      </w:r>
    </w:p>
    <w:p w14:paraId="184AE480" w14:textId="77777777" w:rsidR="00376C0A" w:rsidRPr="00364745" w:rsidRDefault="00364745" w:rsidP="00364745">
      <w:pPr>
        <w:spacing w:line="276" w:lineRule="auto"/>
        <w:jc w:val="both"/>
        <w:rPr>
          <w:lang w:val="en-US"/>
        </w:rPr>
      </w:pPr>
      <w:r w:rsidRPr="003421A3">
        <w:t>Renal failure during PE is defined by concentrations of creatinine exceeding 90 mmol/l and urea exceeding 7 mmol/l. The renal histological abnormalities correspond to acute tubular necrosis associated with glomerular endotheliosis lesions suggestive of renal damage in severe PE. Recovery of renal function is usually complete.</w:t>
      </w:r>
      <w:r w:rsidRPr="00364745">
        <w:rPr>
          <w:color w:val="FF0000"/>
        </w:rPr>
        <w:sym w:font="Symbol" w:char="F05B"/>
      </w:r>
      <w:r w:rsidRPr="00364745">
        <w:rPr>
          <w:color w:val="FF0000"/>
        </w:rPr>
        <w:t>105</w:t>
      </w:r>
      <w:r w:rsidRPr="00364745">
        <w:rPr>
          <w:color w:val="FF0000"/>
        </w:rPr>
        <w:sym w:font="Symbol" w:char="F05D"/>
      </w:r>
      <w:r w:rsidRPr="00364745">
        <w:rPr>
          <w:color w:val="FF0000"/>
        </w:rPr>
        <w:t xml:space="preserve"> </w:t>
      </w:r>
    </w:p>
    <w:p w14:paraId="0C2CC20B" w14:textId="77777777" w:rsidR="009A263F" w:rsidRDefault="00E05B40" w:rsidP="009A263F">
      <w:pPr>
        <w:pStyle w:val="NormalWeb"/>
        <w:numPr>
          <w:ilvl w:val="0"/>
          <w:numId w:val="28"/>
        </w:numPr>
        <w:contextualSpacing/>
        <w:jc w:val="both"/>
        <w:rPr>
          <w:b/>
          <w:color w:val="000000" w:themeColor="text1"/>
        </w:rPr>
      </w:pPr>
      <w:r w:rsidRPr="009A263F">
        <w:rPr>
          <w:b/>
          <w:color w:val="000000" w:themeColor="text1"/>
        </w:rPr>
        <w:t>Maternal mortality linked to preeclampsia</w:t>
      </w:r>
    </w:p>
    <w:p w14:paraId="2C1CD4AC" w14:textId="77777777" w:rsidR="00364745" w:rsidRDefault="00E05B40" w:rsidP="001C3642">
      <w:pPr>
        <w:pStyle w:val="NormalWeb"/>
        <w:contextualSpacing/>
        <w:jc w:val="both"/>
        <w:rPr>
          <w:color w:val="000000" w:themeColor="text1"/>
        </w:rPr>
      </w:pPr>
      <w:r w:rsidRPr="009A263F">
        <w:rPr>
          <w:color w:val="000000" w:themeColor="text1"/>
        </w:rPr>
        <w:t>Although the maternal mortality rate has declined in recent years, there are still cases of deaths considered preventable. The majority of the 600,000 cases of maternal deaths/year occur in low-resource countries, explained by the high number of severe forms of preeclampsia observed</w:t>
      </w:r>
      <w:r w:rsidR="009A263F" w:rsidRPr="009A263F">
        <w:rPr>
          <w:color w:val="FF0000"/>
        </w:rPr>
        <w:sym w:font="Symbol" w:char="F05B"/>
      </w:r>
      <w:r w:rsidR="00364745">
        <w:rPr>
          <w:color w:val="FF0000"/>
        </w:rPr>
        <w:t>106, 107, 108, 109</w:t>
      </w:r>
      <w:r w:rsidR="009A263F" w:rsidRPr="009A263F">
        <w:rPr>
          <w:color w:val="FF0000"/>
        </w:rPr>
        <w:sym w:font="Symbol" w:char="F05D"/>
      </w:r>
      <w:r w:rsidR="009A263F" w:rsidRPr="009B235B">
        <w:rPr>
          <w:color w:val="000000" w:themeColor="text1"/>
        </w:rPr>
        <w:t>.The danger of elevated SBP, especially if it is associated with thrombocytopenia, is the occurrence of a cerebral hemorrhage.</w:t>
      </w:r>
      <w:r w:rsidR="009A263F" w:rsidRPr="009A263F">
        <w:rPr>
          <w:color w:val="FF0000"/>
        </w:rPr>
        <w:sym w:font="Symbol" w:char="F05B"/>
      </w:r>
      <w:r w:rsidR="00364745">
        <w:rPr>
          <w:color w:val="FF0000"/>
        </w:rPr>
        <w:t>110</w:t>
      </w:r>
      <w:r w:rsidR="009A263F" w:rsidRPr="009A263F">
        <w:rPr>
          <w:color w:val="FF0000"/>
        </w:rPr>
        <w:sym w:font="Symbol" w:char="F05D"/>
      </w:r>
      <w:r w:rsidR="009A263F" w:rsidRPr="009B235B">
        <w:rPr>
          <w:color w:val="000000" w:themeColor="text1"/>
        </w:rPr>
        <w:t>.</w:t>
      </w:r>
    </w:p>
    <w:p w14:paraId="6917988F" w14:textId="77777777" w:rsidR="001C3642" w:rsidRDefault="00E05B40" w:rsidP="001C3642">
      <w:pPr>
        <w:pStyle w:val="NormalWeb"/>
        <w:contextualSpacing/>
        <w:jc w:val="both"/>
        <w:rPr>
          <w:color w:val="000000" w:themeColor="text1"/>
        </w:rPr>
      </w:pPr>
      <w:r w:rsidRPr="009A263F">
        <w:rPr>
          <w:color w:val="000000" w:themeColor="text1"/>
        </w:rPr>
        <w:t>Endothelial dysfunction, thrombocytopenia and sudden changes in blood pressure lead to a high risk of cerebral complications in preeclamptics.</w:t>
      </w:r>
      <w:r w:rsidR="009A263F" w:rsidRPr="009A263F">
        <w:rPr>
          <w:color w:val="FF0000"/>
        </w:rPr>
        <w:sym w:font="Symbol" w:char="F05B"/>
      </w:r>
      <w:r w:rsidR="00364745">
        <w:rPr>
          <w:color w:val="FF0000"/>
        </w:rPr>
        <w:t>110,111</w:t>
      </w:r>
      <w:r w:rsidR="009A263F" w:rsidRPr="009A263F">
        <w:rPr>
          <w:color w:val="FF0000"/>
        </w:rPr>
        <w:sym w:font="Symbol" w:char="F05D"/>
      </w:r>
      <w:r w:rsidR="009A263F" w:rsidRPr="009B235B">
        <w:rPr>
          <w:color w:val="000000" w:themeColor="text1"/>
        </w:rPr>
        <w:t>.</w:t>
      </w:r>
    </w:p>
    <w:p w14:paraId="49448A21" w14:textId="77777777" w:rsidR="00364745" w:rsidRDefault="00364745" w:rsidP="001C3642">
      <w:pPr>
        <w:pStyle w:val="NormalWeb"/>
        <w:contextualSpacing/>
        <w:jc w:val="both"/>
        <w:rPr>
          <w:b/>
          <w:u w:val="single"/>
        </w:rPr>
      </w:pPr>
    </w:p>
    <w:p w14:paraId="6573E835" w14:textId="77777777" w:rsidR="00364745" w:rsidRPr="00364745" w:rsidRDefault="00364745" w:rsidP="001C3642">
      <w:pPr>
        <w:pStyle w:val="NormalWeb"/>
        <w:contextualSpacing/>
        <w:jc w:val="both"/>
        <w:rPr>
          <w:b/>
        </w:rPr>
      </w:pPr>
      <w:r w:rsidRPr="00364745">
        <w:rPr>
          <w:b/>
        </w:rPr>
        <w:t>Conclusion :</w:t>
      </w:r>
    </w:p>
    <w:p w14:paraId="2AA01963" w14:textId="77777777" w:rsidR="00364745" w:rsidRDefault="00364745" w:rsidP="001C3642">
      <w:pPr>
        <w:pStyle w:val="NormalWeb"/>
        <w:contextualSpacing/>
        <w:jc w:val="both"/>
        <w:rPr>
          <w:b/>
          <w:u w:val="single"/>
        </w:rPr>
      </w:pPr>
    </w:p>
    <w:p w14:paraId="5AFAC687" w14:textId="77777777" w:rsidR="00364745" w:rsidRDefault="00364745" w:rsidP="001C3642">
      <w:pPr>
        <w:pStyle w:val="NormalWeb"/>
        <w:contextualSpacing/>
        <w:jc w:val="both"/>
        <w:rPr>
          <w:b/>
          <w:u w:val="single"/>
        </w:rPr>
      </w:pPr>
    </w:p>
    <w:p w14:paraId="619F0188" w14:textId="77777777" w:rsidR="00364745" w:rsidRDefault="00364745" w:rsidP="001C3642">
      <w:pPr>
        <w:pStyle w:val="NormalWeb"/>
        <w:contextualSpacing/>
        <w:jc w:val="both"/>
        <w:rPr>
          <w:b/>
          <w:u w:val="single"/>
        </w:rPr>
      </w:pPr>
    </w:p>
    <w:p w14:paraId="2C0AAC1A" w14:textId="77777777" w:rsidR="00364745" w:rsidRDefault="00364745" w:rsidP="001C3642">
      <w:pPr>
        <w:pStyle w:val="NormalWeb"/>
        <w:contextualSpacing/>
        <w:jc w:val="both"/>
        <w:rPr>
          <w:b/>
          <w:u w:val="single"/>
        </w:rPr>
      </w:pPr>
    </w:p>
    <w:p w14:paraId="3079384A" w14:textId="77777777" w:rsidR="00364745" w:rsidRDefault="00364745" w:rsidP="001C3642">
      <w:pPr>
        <w:pStyle w:val="NormalWeb"/>
        <w:contextualSpacing/>
        <w:jc w:val="both"/>
        <w:rPr>
          <w:b/>
          <w:u w:val="single"/>
        </w:rPr>
      </w:pPr>
    </w:p>
    <w:p w14:paraId="3571365E" w14:textId="77777777" w:rsidR="00364745" w:rsidRDefault="00364745" w:rsidP="001C3642">
      <w:pPr>
        <w:pStyle w:val="NormalWeb"/>
        <w:contextualSpacing/>
        <w:jc w:val="both"/>
        <w:rPr>
          <w:b/>
          <w:u w:val="single"/>
        </w:rPr>
      </w:pPr>
    </w:p>
    <w:p w14:paraId="533F7290" w14:textId="77777777" w:rsidR="00364745" w:rsidRDefault="00364745" w:rsidP="001C3642">
      <w:pPr>
        <w:pStyle w:val="NormalWeb"/>
        <w:contextualSpacing/>
        <w:jc w:val="both"/>
        <w:rPr>
          <w:b/>
          <w:u w:val="single"/>
        </w:rPr>
      </w:pPr>
    </w:p>
    <w:p w14:paraId="441AE3EA" w14:textId="77777777" w:rsidR="00364745" w:rsidRDefault="00364745" w:rsidP="001C3642">
      <w:pPr>
        <w:pStyle w:val="NormalWeb"/>
        <w:contextualSpacing/>
        <w:jc w:val="both"/>
        <w:rPr>
          <w:b/>
          <w:u w:val="single"/>
        </w:rPr>
      </w:pPr>
    </w:p>
    <w:p w14:paraId="56A66D89" w14:textId="77777777" w:rsidR="00364745" w:rsidRDefault="00364745" w:rsidP="001C3642">
      <w:pPr>
        <w:pStyle w:val="NormalWeb"/>
        <w:contextualSpacing/>
        <w:jc w:val="both"/>
        <w:rPr>
          <w:b/>
          <w:u w:val="single"/>
        </w:rPr>
      </w:pPr>
    </w:p>
    <w:p w14:paraId="49C4FF54" w14:textId="77777777" w:rsidR="00364745" w:rsidRDefault="00364745" w:rsidP="001C3642">
      <w:pPr>
        <w:pStyle w:val="NormalWeb"/>
        <w:contextualSpacing/>
        <w:jc w:val="both"/>
        <w:rPr>
          <w:b/>
          <w:u w:val="single"/>
        </w:rPr>
      </w:pPr>
    </w:p>
    <w:p w14:paraId="25841C33" w14:textId="77777777" w:rsidR="00364745" w:rsidRDefault="00364745" w:rsidP="001C3642">
      <w:pPr>
        <w:pStyle w:val="NormalWeb"/>
        <w:contextualSpacing/>
        <w:jc w:val="both"/>
        <w:rPr>
          <w:b/>
          <w:u w:val="single"/>
        </w:rPr>
      </w:pPr>
    </w:p>
    <w:p w14:paraId="583A8C78" w14:textId="77777777" w:rsidR="00364745" w:rsidRDefault="00364745" w:rsidP="001C3642">
      <w:pPr>
        <w:pStyle w:val="NormalWeb"/>
        <w:contextualSpacing/>
        <w:jc w:val="both"/>
        <w:rPr>
          <w:b/>
          <w:u w:val="single"/>
        </w:rPr>
      </w:pPr>
    </w:p>
    <w:p w14:paraId="592BBD6C" w14:textId="77777777" w:rsidR="00364745" w:rsidRDefault="00364745" w:rsidP="001C3642">
      <w:pPr>
        <w:pStyle w:val="NormalWeb"/>
        <w:contextualSpacing/>
        <w:jc w:val="both"/>
        <w:rPr>
          <w:b/>
          <w:u w:val="single"/>
        </w:rPr>
      </w:pPr>
    </w:p>
    <w:p w14:paraId="7E0EAC4D" w14:textId="77777777" w:rsidR="00364745" w:rsidRDefault="00364745" w:rsidP="001C3642">
      <w:pPr>
        <w:pStyle w:val="NormalWeb"/>
        <w:contextualSpacing/>
        <w:jc w:val="both"/>
        <w:rPr>
          <w:b/>
          <w:u w:val="single"/>
        </w:rPr>
      </w:pPr>
    </w:p>
    <w:p w14:paraId="13F4FE89" w14:textId="77777777" w:rsidR="00364745" w:rsidRDefault="00364745" w:rsidP="001C3642">
      <w:pPr>
        <w:pStyle w:val="NormalWeb"/>
        <w:contextualSpacing/>
        <w:jc w:val="both"/>
        <w:rPr>
          <w:b/>
          <w:u w:val="single"/>
        </w:rPr>
      </w:pPr>
    </w:p>
    <w:p w14:paraId="38D58B49" w14:textId="77777777" w:rsidR="00364745" w:rsidRDefault="00364745" w:rsidP="001C3642">
      <w:pPr>
        <w:pStyle w:val="NormalWeb"/>
        <w:contextualSpacing/>
        <w:jc w:val="both"/>
        <w:rPr>
          <w:b/>
          <w:u w:val="single"/>
        </w:rPr>
      </w:pPr>
    </w:p>
    <w:p w14:paraId="734D4E3A" w14:textId="77777777" w:rsidR="00364745" w:rsidRDefault="00364745" w:rsidP="001C3642">
      <w:pPr>
        <w:pStyle w:val="NormalWeb"/>
        <w:contextualSpacing/>
        <w:jc w:val="both"/>
        <w:rPr>
          <w:b/>
          <w:u w:val="single"/>
        </w:rPr>
      </w:pPr>
    </w:p>
    <w:p w14:paraId="77BEF7AF" w14:textId="77777777" w:rsidR="00364745" w:rsidRDefault="00364745" w:rsidP="001C3642">
      <w:pPr>
        <w:pStyle w:val="NormalWeb"/>
        <w:contextualSpacing/>
        <w:jc w:val="both"/>
        <w:rPr>
          <w:b/>
          <w:u w:val="single"/>
        </w:rPr>
      </w:pPr>
    </w:p>
    <w:p w14:paraId="7430F513" w14:textId="77777777" w:rsidR="00364745" w:rsidRDefault="00364745" w:rsidP="001C3642">
      <w:pPr>
        <w:pStyle w:val="NormalWeb"/>
        <w:contextualSpacing/>
        <w:jc w:val="both"/>
        <w:rPr>
          <w:b/>
          <w:u w:val="single"/>
        </w:rPr>
      </w:pPr>
    </w:p>
    <w:p w14:paraId="1536C786" w14:textId="77777777" w:rsidR="00364745" w:rsidRDefault="00364745" w:rsidP="001C3642">
      <w:pPr>
        <w:pStyle w:val="NormalWeb"/>
        <w:contextualSpacing/>
        <w:jc w:val="both"/>
        <w:rPr>
          <w:b/>
          <w:u w:val="single"/>
        </w:rPr>
      </w:pPr>
    </w:p>
    <w:p w14:paraId="71912FA0" w14:textId="77777777" w:rsidR="00364745" w:rsidRDefault="00364745" w:rsidP="001C3642">
      <w:pPr>
        <w:pStyle w:val="NormalWeb"/>
        <w:contextualSpacing/>
        <w:jc w:val="both"/>
        <w:rPr>
          <w:b/>
          <w:u w:val="single"/>
        </w:rPr>
      </w:pPr>
    </w:p>
    <w:p w14:paraId="69DD060F" w14:textId="77777777" w:rsidR="00364745" w:rsidRDefault="00364745" w:rsidP="001C3642">
      <w:pPr>
        <w:pStyle w:val="NormalWeb"/>
        <w:contextualSpacing/>
        <w:jc w:val="both"/>
        <w:rPr>
          <w:b/>
          <w:u w:val="single"/>
        </w:rPr>
      </w:pPr>
    </w:p>
    <w:p w14:paraId="5F3E4DE1" w14:textId="77777777" w:rsidR="00364745" w:rsidRDefault="00364745" w:rsidP="001C3642">
      <w:pPr>
        <w:pStyle w:val="NormalWeb"/>
        <w:contextualSpacing/>
        <w:jc w:val="both"/>
        <w:rPr>
          <w:b/>
          <w:u w:val="single"/>
        </w:rPr>
      </w:pPr>
    </w:p>
    <w:p w14:paraId="743EA82C" w14:textId="77777777" w:rsidR="00364745" w:rsidRDefault="00364745" w:rsidP="001C3642">
      <w:pPr>
        <w:pStyle w:val="NormalWeb"/>
        <w:contextualSpacing/>
        <w:jc w:val="both"/>
        <w:rPr>
          <w:b/>
          <w:u w:val="single"/>
        </w:rPr>
      </w:pPr>
    </w:p>
    <w:p w14:paraId="22C68E5B" w14:textId="77777777" w:rsidR="00E91EB3" w:rsidRPr="001C3642" w:rsidRDefault="00B32F89" w:rsidP="001C3642">
      <w:pPr>
        <w:pStyle w:val="NormalWeb"/>
        <w:contextualSpacing/>
        <w:jc w:val="both"/>
        <w:rPr>
          <w:b/>
          <w:color w:val="000000" w:themeColor="text1"/>
        </w:rPr>
      </w:pPr>
      <w:r w:rsidRPr="00272AE7">
        <w:rPr>
          <w:b/>
          <w:u w:val="single"/>
        </w:rPr>
        <w:t>Bibliography:</w:t>
      </w:r>
    </w:p>
    <w:p w14:paraId="365001F7" w14:textId="77777777" w:rsidR="00E91EB3" w:rsidRPr="00272AE7" w:rsidRDefault="00E91EB3" w:rsidP="001C3642">
      <w:pPr>
        <w:pStyle w:val="NormalWeb"/>
        <w:numPr>
          <w:ilvl w:val="0"/>
          <w:numId w:val="18"/>
        </w:numPr>
        <w:jc w:val="both"/>
        <w:rPr>
          <w:sz w:val="20"/>
          <w:szCs w:val="20"/>
          <w:lang w:val="en-US"/>
        </w:rPr>
      </w:pPr>
      <w:r w:rsidRPr="00272AE7">
        <w:rPr>
          <w:sz w:val="20"/>
          <w:szCs w:val="20"/>
          <w:lang w:val="en-US"/>
        </w:rPr>
        <w:t>Ananth CV, Keyes KM, Wapner RJ. Pre-eclampsia rates in the United States, 1980–2010: age-period-cohort analysis. BMJ 2013;347:f6564.</w:t>
      </w:r>
    </w:p>
    <w:p w14:paraId="36683075" w14:textId="77777777" w:rsidR="00E91EB3" w:rsidRPr="00272AE7" w:rsidRDefault="00E91EB3" w:rsidP="001C3642">
      <w:pPr>
        <w:pStyle w:val="NormalWeb"/>
        <w:numPr>
          <w:ilvl w:val="0"/>
          <w:numId w:val="18"/>
        </w:numPr>
        <w:jc w:val="both"/>
        <w:rPr>
          <w:sz w:val="20"/>
          <w:szCs w:val="20"/>
          <w:lang w:val="en-US"/>
        </w:rPr>
      </w:pPr>
      <w:r w:rsidRPr="00272AE7">
        <w:rPr>
          <w:sz w:val="20"/>
          <w:szCs w:val="20"/>
          <w:lang w:val="en-US"/>
        </w:rPr>
        <w:t>Zhang J, Zeisler J, Hatch Mc, Berkowitz G. Epidemiology of Pregnancy-Induced Hypertension. Epidemiol Rev 1997; 19:218–232.</w:t>
      </w:r>
    </w:p>
    <w:p w14:paraId="5617B62B" w14:textId="77777777" w:rsidR="00E91EB3" w:rsidRPr="00272AE7" w:rsidRDefault="00E91EB3" w:rsidP="001C3642">
      <w:pPr>
        <w:pStyle w:val="NormalWeb"/>
        <w:numPr>
          <w:ilvl w:val="0"/>
          <w:numId w:val="18"/>
        </w:numPr>
        <w:jc w:val="both"/>
        <w:rPr>
          <w:sz w:val="20"/>
          <w:szCs w:val="20"/>
          <w:lang w:val="en-US"/>
        </w:rPr>
      </w:pPr>
      <w:r w:rsidRPr="00272AE7">
        <w:rPr>
          <w:sz w:val="20"/>
          <w:szCs w:val="20"/>
          <w:lang w:val="en-US"/>
        </w:rPr>
        <w:t>Gifford RW Jr, August PA, Cunningham G, Green LA, Lindhemier MD, McNellis D, et al. Report of the national high blood pressure education program working group on high blood pressure in pregnancy. American Journal of Obstetrics and Gynecology 2000;183(Suppl):1-22.</w:t>
      </w:r>
    </w:p>
    <w:p w14:paraId="66B47C44" w14:textId="77777777" w:rsidR="00E91EB3" w:rsidRPr="00272AE7" w:rsidRDefault="00E91EB3" w:rsidP="001C3642">
      <w:pPr>
        <w:pStyle w:val="NormalWeb"/>
        <w:numPr>
          <w:ilvl w:val="0"/>
          <w:numId w:val="18"/>
        </w:numPr>
        <w:jc w:val="both"/>
        <w:rPr>
          <w:sz w:val="20"/>
          <w:szCs w:val="20"/>
          <w:lang w:val="en-US"/>
        </w:rPr>
      </w:pPr>
      <w:r w:rsidRPr="00272AE7">
        <w:rPr>
          <w:sz w:val="20"/>
          <w:szCs w:val="20"/>
          <w:lang w:val="en-US"/>
        </w:rPr>
        <w:t>Say L, Chou D, Gemmill A, Tunçalp Ö, Moller AB, Daniels J, et al. Global causes of maternal death: a WHO systematic analysis. Lancet Global Health 2014;2(6): e323-e333.</w:t>
      </w:r>
    </w:p>
    <w:p w14:paraId="35102514" w14:textId="77777777" w:rsidR="00E91EB3" w:rsidRPr="00272AE7" w:rsidRDefault="00E91EB3" w:rsidP="001C3642">
      <w:pPr>
        <w:pStyle w:val="NormalWeb"/>
        <w:numPr>
          <w:ilvl w:val="0"/>
          <w:numId w:val="18"/>
        </w:numPr>
        <w:jc w:val="both"/>
        <w:rPr>
          <w:sz w:val="20"/>
          <w:szCs w:val="20"/>
          <w:lang w:val="en-US"/>
        </w:rPr>
      </w:pPr>
      <w:r w:rsidRPr="00272AE7">
        <w:rPr>
          <w:sz w:val="20"/>
          <w:szCs w:val="20"/>
          <w:lang w:val="en-US"/>
        </w:rPr>
        <w:t xml:space="preserve">Ananth CV, Savitz DA, Bowes WA. Hypertensive disorders of pregnancy and stillbirth in North Carolina, 1988-1991. Acta Obstetricia et </w:t>
      </w:r>
      <w:proofErr w:type="spellStart"/>
      <w:r w:rsidRPr="00272AE7">
        <w:rPr>
          <w:sz w:val="20"/>
          <w:szCs w:val="20"/>
          <w:lang w:val="en-US"/>
        </w:rPr>
        <w:t>Gynecologica</w:t>
      </w:r>
      <w:proofErr w:type="spellEnd"/>
      <w:r w:rsidRPr="00272AE7">
        <w:rPr>
          <w:sz w:val="20"/>
          <w:szCs w:val="20"/>
          <w:lang w:val="en-US"/>
        </w:rPr>
        <w:t xml:space="preserve"> Scandinavica 1995;74:788-93.</w:t>
      </w:r>
    </w:p>
    <w:p w14:paraId="476B4B14" w14:textId="77777777" w:rsidR="00E91EB3" w:rsidRPr="00272AE7" w:rsidRDefault="00E91EB3" w:rsidP="001C3642">
      <w:pPr>
        <w:pStyle w:val="NormalWeb"/>
        <w:numPr>
          <w:ilvl w:val="0"/>
          <w:numId w:val="18"/>
        </w:numPr>
        <w:jc w:val="both"/>
        <w:rPr>
          <w:sz w:val="20"/>
          <w:szCs w:val="20"/>
          <w:lang w:val="en-US"/>
        </w:rPr>
      </w:pPr>
      <w:r w:rsidRPr="00272AE7">
        <w:rPr>
          <w:sz w:val="20"/>
          <w:szCs w:val="20"/>
          <w:lang w:val="en-US"/>
        </w:rPr>
        <w:t>Labib Ghulmiyyah, and Baha Sibai. Maternal Mortality from Preeclampsia/Eclampsia. Semin Perinatol 2012. 36:56-59</w:t>
      </w:r>
    </w:p>
    <w:p w14:paraId="7A2C1DCC" w14:textId="77777777" w:rsidR="00E91EB3" w:rsidRPr="00272AE7" w:rsidRDefault="00E91EB3" w:rsidP="001C3642">
      <w:pPr>
        <w:pStyle w:val="NormalWeb"/>
        <w:numPr>
          <w:ilvl w:val="0"/>
          <w:numId w:val="18"/>
        </w:numPr>
        <w:jc w:val="both"/>
        <w:rPr>
          <w:sz w:val="20"/>
          <w:szCs w:val="20"/>
          <w:lang w:val="en-US"/>
        </w:rPr>
      </w:pPr>
      <w:r w:rsidRPr="00272AE7">
        <w:rPr>
          <w:sz w:val="20"/>
          <w:szCs w:val="20"/>
          <w:lang w:val="en-US"/>
        </w:rPr>
        <w:t>Mol BW, Roberts CT, Thangaratinam S, Magee LA, de Groot CJM, Hofmeyr GJ. Pre-eclampsia. Lancet 2016;387(10022):999-1011.</w:t>
      </w:r>
    </w:p>
    <w:p w14:paraId="09800BA8" w14:textId="77777777" w:rsidR="00E91EB3" w:rsidRPr="00272AE7" w:rsidRDefault="00E91EB3" w:rsidP="001C3642">
      <w:pPr>
        <w:pStyle w:val="NormalWeb"/>
        <w:numPr>
          <w:ilvl w:val="0"/>
          <w:numId w:val="18"/>
        </w:numPr>
        <w:jc w:val="both"/>
        <w:rPr>
          <w:sz w:val="20"/>
          <w:szCs w:val="20"/>
          <w:lang w:val="en-US"/>
        </w:rPr>
      </w:pPr>
      <w:r w:rsidRPr="00272AE7">
        <w:rPr>
          <w:sz w:val="20"/>
          <w:szCs w:val="20"/>
          <w:lang w:val="en-US"/>
        </w:rPr>
        <w:t>Saigal S, Doyle LW. An overview of mortality and sequelae of preterm birth from infancy to adulthood. Lancet 2008;371(9608):261-9.</w:t>
      </w:r>
    </w:p>
    <w:p w14:paraId="104BD8EB" w14:textId="77777777" w:rsidR="00E91EB3" w:rsidRPr="00272AE7" w:rsidRDefault="00E91EB3" w:rsidP="001C3642">
      <w:pPr>
        <w:pStyle w:val="NormalWeb"/>
        <w:numPr>
          <w:ilvl w:val="0"/>
          <w:numId w:val="18"/>
        </w:numPr>
        <w:jc w:val="both"/>
        <w:rPr>
          <w:sz w:val="20"/>
          <w:szCs w:val="20"/>
          <w:lang w:val="en-US"/>
        </w:rPr>
      </w:pPr>
      <w:proofErr w:type="spellStart"/>
      <w:r w:rsidRPr="00272AE7">
        <w:rPr>
          <w:sz w:val="20"/>
          <w:szCs w:val="20"/>
          <w:lang w:val="en-US"/>
        </w:rPr>
        <w:t>Poorolajal</w:t>
      </w:r>
      <w:proofErr w:type="spellEnd"/>
      <w:r w:rsidRPr="00272AE7">
        <w:rPr>
          <w:sz w:val="20"/>
          <w:szCs w:val="20"/>
          <w:lang w:val="en-US"/>
        </w:rPr>
        <w:t xml:space="preserve"> J, </w:t>
      </w:r>
      <w:proofErr w:type="spellStart"/>
      <w:r w:rsidRPr="00272AE7">
        <w:rPr>
          <w:sz w:val="20"/>
          <w:szCs w:val="20"/>
          <w:lang w:val="en-US"/>
        </w:rPr>
        <w:t>Jenabi</w:t>
      </w:r>
      <w:proofErr w:type="spellEnd"/>
      <w:r w:rsidRPr="00272AE7">
        <w:rPr>
          <w:sz w:val="20"/>
          <w:szCs w:val="20"/>
          <w:lang w:val="en-US"/>
        </w:rPr>
        <w:t xml:space="preserve"> E. The association between body mass index and preeclampsia: a meta-analysis. J Matern Fetal Neonatal Med 2016; 29:3670–3676.</w:t>
      </w:r>
    </w:p>
    <w:p w14:paraId="48CD5B47" w14:textId="77777777" w:rsidR="00E91EB3" w:rsidRPr="00272AE7" w:rsidRDefault="00E91EB3" w:rsidP="001C3642">
      <w:pPr>
        <w:pStyle w:val="NormalWeb"/>
        <w:numPr>
          <w:ilvl w:val="0"/>
          <w:numId w:val="18"/>
        </w:numPr>
        <w:jc w:val="both"/>
        <w:rPr>
          <w:sz w:val="20"/>
          <w:szCs w:val="20"/>
          <w:lang w:val="en-US"/>
        </w:rPr>
      </w:pPr>
      <w:proofErr w:type="spellStart"/>
      <w:r w:rsidRPr="00272AE7">
        <w:rPr>
          <w:sz w:val="20"/>
          <w:szCs w:val="20"/>
        </w:rPr>
        <w:t>Powe</w:t>
      </w:r>
      <w:proofErr w:type="spellEnd"/>
      <w:r w:rsidRPr="00272AE7">
        <w:rPr>
          <w:sz w:val="20"/>
          <w:szCs w:val="20"/>
        </w:rPr>
        <w:t xml:space="preserve"> CE, Levine RJ, </w:t>
      </w:r>
      <w:proofErr w:type="spellStart"/>
      <w:r w:rsidRPr="00272AE7">
        <w:rPr>
          <w:sz w:val="20"/>
          <w:szCs w:val="20"/>
        </w:rPr>
        <w:t>Karumanchi</w:t>
      </w:r>
      <w:proofErr w:type="spellEnd"/>
      <w:r w:rsidRPr="00272AE7">
        <w:rPr>
          <w:sz w:val="20"/>
          <w:szCs w:val="20"/>
        </w:rPr>
        <w:t xml:space="preserve"> SA. </w:t>
      </w:r>
      <w:proofErr w:type="spellStart"/>
      <w:r w:rsidRPr="00272AE7">
        <w:rPr>
          <w:sz w:val="20"/>
          <w:szCs w:val="20"/>
        </w:rPr>
        <w:t>Preeclampsia</w:t>
      </w:r>
      <w:proofErr w:type="spellEnd"/>
      <w:r w:rsidRPr="00272AE7">
        <w:rPr>
          <w:sz w:val="20"/>
          <w:szCs w:val="20"/>
        </w:rPr>
        <w:t xml:space="preserve">, a </w:t>
      </w:r>
      <w:proofErr w:type="spellStart"/>
      <w:r w:rsidRPr="00272AE7">
        <w:rPr>
          <w:sz w:val="20"/>
          <w:szCs w:val="20"/>
        </w:rPr>
        <w:t>disease</w:t>
      </w:r>
      <w:proofErr w:type="spellEnd"/>
      <w:r w:rsidRPr="00272AE7">
        <w:rPr>
          <w:sz w:val="20"/>
          <w:szCs w:val="20"/>
        </w:rPr>
        <w:t xml:space="preserve"> of the </w:t>
      </w:r>
      <w:proofErr w:type="spellStart"/>
      <w:r w:rsidRPr="00272AE7">
        <w:rPr>
          <w:sz w:val="20"/>
          <w:szCs w:val="20"/>
        </w:rPr>
        <w:t>maternal</w:t>
      </w:r>
      <w:proofErr w:type="spellEnd"/>
      <w:r w:rsidRPr="00272AE7">
        <w:rPr>
          <w:sz w:val="20"/>
          <w:szCs w:val="20"/>
        </w:rPr>
        <w:t xml:space="preserve"> </w:t>
      </w:r>
      <w:proofErr w:type="spellStart"/>
      <w:r w:rsidRPr="00272AE7">
        <w:rPr>
          <w:sz w:val="20"/>
          <w:szCs w:val="20"/>
        </w:rPr>
        <w:t>endothelium</w:t>
      </w:r>
      <w:proofErr w:type="spellEnd"/>
      <w:r w:rsidRPr="00272AE7">
        <w:rPr>
          <w:sz w:val="20"/>
          <w:szCs w:val="20"/>
        </w:rPr>
        <w:t xml:space="preserve">: the </w:t>
      </w:r>
      <w:proofErr w:type="spellStart"/>
      <w:r w:rsidRPr="00272AE7">
        <w:rPr>
          <w:sz w:val="20"/>
          <w:szCs w:val="20"/>
        </w:rPr>
        <w:t>role</w:t>
      </w:r>
      <w:proofErr w:type="spellEnd"/>
      <w:r w:rsidRPr="00272AE7">
        <w:rPr>
          <w:sz w:val="20"/>
          <w:szCs w:val="20"/>
        </w:rPr>
        <w:t xml:space="preserve"> of </w:t>
      </w:r>
      <w:proofErr w:type="spellStart"/>
      <w:r w:rsidRPr="00272AE7">
        <w:rPr>
          <w:sz w:val="20"/>
          <w:szCs w:val="20"/>
        </w:rPr>
        <w:t>antiangiogenic</w:t>
      </w:r>
      <w:proofErr w:type="spellEnd"/>
      <w:r w:rsidRPr="00272AE7">
        <w:rPr>
          <w:sz w:val="20"/>
          <w:szCs w:val="20"/>
        </w:rPr>
        <w:t xml:space="preserve"> </w:t>
      </w:r>
      <w:proofErr w:type="spellStart"/>
      <w:r w:rsidRPr="00272AE7">
        <w:rPr>
          <w:sz w:val="20"/>
          <w:szCs w:val="20"/>
        </w:rPr>
        <w:t>factors</w:t>
      </w:r>
      <w:proofErr w:type="spellEnd"/>
      <w:r w:rsidRPr="00272AE7">
        <w:rPr>
          <w:sz w:val="20"/>
          <w:szCs w:val="20"/>
        </w:rPr>
        <w:t xml:space="preserve"> and implications for </w:t>
      </w:r>
      <w:proofErr w:type="spellStart"/>
      <w:r w:rsidRPr="00272AE7">
        <w:rPr>
          <w:sz w:val="20"/>
          <w:szCs w:val="20"/>
        </w:rPr>
        <w:t>later</w:t>
      </w:r>
      <w:proofErr w:type="spellEnd"/>
      <w:r w:rsidRPr="00272AE7">
        <w:rPr>
          <w:sz w:val="20"/>
          <w:szCs w:val="20"/>
        </w:rPr>
        <w:t xml:space="preserve"> </w:t>
      </w:r>
      <w:proofErr w:type="spellStart"/>
      <w:r w:rsidRPr="00272AE7">
        <w:rPr>
          <w:sz w:val="20"/>
          <w:szCs w:val="20"/>
        </w:rPr>
        <w:t>cardiovascular</w:t>
      </w:r>
      <w:proofErr w:type="spellEnd"/>
      <w:r w:rsidRPr="00272AE7">
        <w:rPr>
          <w:sz w:val="20"/>
          <w:szCs w:val="20"/>
        </w:rPr>
        <w:t xml:space="preserve"> </w:t>
      </w:r>
      <w:proofErr w:type="spellStart"/>
      <w:r w:rsidRPr="00272AE7">
        <w:rPr>
          <w:sz w:val="20"/>
          <w:szCs w:val="20"/>
        </w:rPr>
        <w:t>disease</w:t>
      </w:r>
      <w:proofErr w:type="spellEnd"/>
      <w:r w:rsidRPr="00272AE7">
        <w:rPr>
          <w:sz w:val="20"/>
          <w:szCs w:val="20"/>
        </w:rPr>
        <w:t>. Traffic 2011; 123:2856–2869.</w:t>
      </w:r>
    </w:p>
    <w:p w14:paraId="09339D92" w14:textId="77777777" w:rsidR="00E91EB3" w:rsidRPr="00272AE7" w:rsidRDefault="00E91EB3" w:rsidP="001C3642">
      <w:pPr>
        <w:pStyle w:val="NormalWeb"/>
        <w:numPr>
          <w:ilvl w:val="0"/>
          <w:numId w:val="18"/>
        </w:numPr>
        <w:jc w:val="both"/>
        <w:rPr>
          <w:sz w:val="20"/>
          <w:szCs w:val="20"/>
          <w:lang w:val="en-US"/>
        </w:rPr>
      </w:pPr>
      <w:proofErr w:type="spellStart"/>
      <w:r w:rsidRPr="00272AE7">
        <w:rPr>
          <w:sz w:val="20"/>
          <w:szCs w:val="20"/>
          <w:lang w:val="en-US"/>
        </w:rPr>
        <w:t>Tarasevičienė</w:t>
      </w:r>
      <w:proofErr w:type="spellEnd"/>
      <w:r w:rsidRPr="00272AE7">
        <w:rPr>
          <w:sz w:val="20"/>
          <w:szCs w:val="20"/>
          <w:lang w:val="en-US"/>
        </w:rPr>
        <w:t xml:space="preserve"> V, </w:t>
      </w:r>
      <w:proofErr w:type="spellStart"/>
      <w:r w:rsidRPr="00272AE7">
        <w:rPr>
          <w:sz w:val="20"/>
          <w:szCs w:val="20"/>
          <w:lang w:val="en-US"/>
        </w:rPr>
        <w:t>Grybauskienė</w:t>
      </w:r>
      <w:proofErr w:type="spellEnd"/>
      <w:r w:rsidRPr="00272AE7">
        <w:rPr>
          <w:sz w:val="20"/>
          <w:szCs w:val="20"/>
          <w:lang w:val="en-US"/>
        </w:rPr>
        <w:t xml:space="preserve"> R, </w:t>
      </w:r>
      <w:proofErr w:type="spellStart"/>
      <w:r w:rsidRPr="00272AE7">
        <w:rPr>
          <w:sz w:val="20"/>
          <w:szCs w:val="20"/>
          <w:lang w:val="en-US"/>
        </w:rPr>
        <w:t>Mačiulevičienė</w:t>
      </w:r>
      <w:proofErr w:type="spellEnd"/>
      <w:r w:rsidRPr="00272AE7">
        <w:rPr>
          <w:sz w:val="20"/>
          <w:szCs w:val="20"/>
          <w:lang w:val="en-US"/>
        </w:rPr>
        <w:t xml:space="preserve"> R. sFlt-1, </w:t>
      </w:r>
      <w:proofErr w:type="spellStart"/>
      <w:r w:rsidRPr="00272AE7">
        <w:rPr>
          <w:sz w:val="20"/>
          <w:szCs w:val="20"/>
          <w:lang w:val="en-US"/>
        </w:rPr>
        <w:t>PlGF</w:t>
      </w:r>
      <w:proofErr w:type="spellEnd"/>
      <w:r w:rsidRPr="00272AE7">
        <w:rPr>
          <w:sz w:val="20"/>
          <w:szCs w:val="20"/>
          <w:lang w:val="en-US"/>
        </w:rPr>
        <w:t>, sFlt-1/</w:t>
      </w:r>
      <w:proofErr w:type="spellStart"/>
      <w:r w:rsidRPr="00272AE7">
        <w:rPr>
          <w:sz w:val="20"/>
          <w:szCs w:val="20"/>
          <w:lang w:val="en-US"/>
        </w:rPr>
        <w:t>PlGF</w:t>
      </w:r>
      <w:proofErr w:type="spellEnd"/>
      <w:r w:rsidRPr="00272AE7">
        <w:rPr>
          <w:sz w:val="20"/>
          <w:szCs w:val="20"/>
          <w:lang w:val="en-US"/>
        </w:rPr>
        <w:t xml:space="preserve"> ratio and uterine artery Doppler for preeclampsia diagnoses. </w:t>
      </w:r>
      <w:proofErr w:type="spellStart"/>
      <w:r w:rsidRPr="00272AE7">
        <w:rPr>
          <w:sz w:val="20"/>
          <w:szCs w:val="20"/>
          <w:lang w:val="en-US"/>
        </w:rPr>
        <w:t>Medicina</w:t>
      </w:r>
      <w:proofErr w:type="spellEnd"/>
      <w:r w:rsidRPr="00272AE7">
        <w:rPr>
          <w:sz w:val="20"/>
          <w:szCs w:val="20"/>
          <w:lang w:val="en-US"/>
        </w:rPr>
        <w:t xml:space="preserve"> (Kaunas) 2016; 52:349–353.</w:t>
      </w:r>
    </w:p>
    <w:p w14:paraId="1C30974C" w14:textId="77777777" w:rsidR="00E91EB3" w:rsidRPr="00272AE7" w:rsidRDefault="00E91EB3" w:rsidP="001C3642">
      <w:pPr>
        <w:pStyle w:val="NormalWeb"/>
        <w:numPr>
          <w:ilvl w:val="0"/>
          <w:numId w:val="18"/>
        </w:numPr>
        <w:jc w:val="both"/>
        <w:rPr>
          <w:rStyle w:val="citation"/>
          <w:sz w:val="20"/>
          <w:szCs w:val="20"/>
          <w:lang w:val="en-US"/>
        </w:rPr>
      </w:pPr>
      <w:r w:rsidRPr="00272AE7">
        <w:rPr>
          <w:rStyle w:val="citation"/>
          <w:bCs/>
          <w:color w:val="000000" w:themeColor="text1"/>
          <w:sz w:val="20"/>
          <w:szCs w:val="20"/>
          <w:lang w:val="en-US"/>
        </w:rPr>
        <w:t>Davis GK, Mackenzie C, Brown MA, Homer CS, Holt J, McHugh L, Mangos G. Predicting transformation from gestational hypertension to preeclampsia in clinical practice: a possible role for 24-hour ambulatory blood pressure monitoring. Hypertensive Pregnancy. 2007; 26:77 87. doi:10.1080/10641950601147952.</w:t>
      </w:r>
      <w:hyperlink r:id="rId8" w:history="1">
        <w:r w:rsidRPr="00272AE7">
          <w:rPr>
            <w:rStyle w:val="Lienhypertexte"/>
            <w:bCs/>
            <w:color w:val="000000" w:themeColor="text1"/>
            <w:sz w:val="20"/>
            <w:szCs w:val="20"/>
            <w:lang w:val="en-US"/>
          </w:rPr>
          <w:t>Crossref</w:t>
        </w:r>
      </w:hyperlink>
      <w:r w:rsidRPr="00272AE7">
        <w:rPr>
          <w:rStyle w:val="citation"/>
          <w:bCs/>
          <w:color w:val="000000" w:themeColor="text1"/>
          <w:sz w:val="20"/>
          <w:szCs w:val="20"/>
          <w:lang w:val="en-US"/>
        </w:rPr>
        <w:t>.</w:t>
      </w:r>
      <w:hyperlink r:id="rId9" w:history="1">
        <w:r w:rsidRPr="00272AE7">
          <w:rPr>
            <w:rStyle w:val="Lienhypertexte"/>
            <w:bCs/>
            <w:color w:val="000000" w:themeColor="text1"/>
            <w:sz w:val="20"/>
            <w:szCs w:val="20"/>
            <w:lang w:val="en-US"/>
          </w:rPr>
          <w:t>PubMed</w:t>
        </w:r>
      </w:hyperlink>
      <w:r w:rsidRPr="00272AE7">
        <w:rPr>
          <w:rStyle w:val="citation"/>
          <w:bCs/>
          <w:color w:val="000000" w:themeColor="text1"/>
          <w:sz w:val="20"/>
          <w:szCs w:val="20"/>
          <w:lang w:val="en-US"/>
        </w:rPr>
        <w:t>.</w:t>
      </w:r>
    </w:p>
    <w:p w14:paraId="0F290D5D" w14:textId="77777777" w:rsidR="00E91EB3" w:rsidRPr="00272AE7" w:rsidRDefault="00E91EB3" w:rsidP="001C3642">
      <w:pPr>
        <w:pStyle w:val="NormalWeb"/>
        <w:numPr>
          <w:ilvl w:val="0"/>
          <w:numId w:val="18"/>
        </w:numPr>
        <w:jc w:val="both"/>
        <w:rPr>
          <w:sz w:val="20"/>
          <w:szCs w:val="20"/>
          <w:lang w:val="en-US"/>
        </w:rPr>
      </w:pPr>
      <w:r w:rsidRPr="00272AE7">
        <w:rPr>
          <w:bCs/>
          <w:color w:val="000000" w:themeColor="text1"/>
          <w:sz w:val="20"/>
          <w:szCs w:val="20"/>
          <w:shd w:val="clear" w:color="auto" w:fill="FFFFFF"/>
          <w:lang w:val="en-US"/>
        </w:rPr>
        <w:t xml:space="preserve">Theilen LH, Fraser A, </w:t>
      </w:r>
      <w:proofErr w:type="spellStart"/>
      <w:r w:rsidRPr="00272AE7">
        <w:rPr>
          <w:bCs/>
          <w:color w:val="000000" w:themeColor="text1"/>
          <w:sz w:val="20"/>
          <w:szCs w:val="20"/>
          <w:shd w:val="clear" w:color="auto" w:fill="FFFFFF"/>
          <w:lang w:val="en-US"/>
        </w:rPr>
        <w:t>Hollingshaus</w:t>
      </w:r>
      <w:proofErr w:type="spellEnd"/>
      <w:r w:rsidRPr="00272AE7">
        <w:rPr>
          <w:bCs/>
          <w:color w:val="000000" w:themeColor="text1"/>
          <w:sz w:val="20"/>
          <w:szCs w:val="20"/>
          <w:shd w:val="clear" w:color="auto" w:fill="FFFFFF"/>
          <w:lang w:val="en-US"/>
        </w:rPr>
        <w:t xml:space="preserve"> MS, Schliep KC, Varner MW, Smith KR, Esplin MS. All-cause and cause-specific mortality after hypertensive disease of </w:t>
      </w:r>
      <w:proofErr w:type="spellStart"/>
      <w:r w:rsidRPr="00272AE7">
        <w:rPr>
          <w:bCs/>
          <w:color w:val="000000" w:themeColor="text1"/>
          <w:sz w:val="20"/>
          <w:szCs w:val="20"/>
          <w:shd w:val="clear" w:color="auto" w:fill="FFFFFF"/>
          <w:lang w:val="en-US"/>
        </w:rPr>
        <w:t>pregnancy.</w:t>
      </w:r>
      <w:r w:rsidRPr="00272AE7">
        <w:rPr>
          <w:rStyle w:val="Accentuation"/>
          <w:bCs/>
          <w:color w:val="000000" w:themeColor="text1"/>
          <w:sz w:val="20"/>
          <w:szCs w:val="20"/>
          <w:lang w:val="en-US"/>
        </w:rPr>
        <w:t>Obstet</w:t>
      </w:r>
      <w:proofErr w:type="spellEnd"/>
      <w:r w:rsidRPr="00272AE7">
        <w:rPr>
          <w:rStyle w:val="Accentuation"/>
          <w:bCs/>
          <w:color w:val="000000" w:themeColor="text1"/>
          <w:sz w:val="20"/>
          <w:szCs w:val="20"/>
          <w:lang w:val="en-US"/>
        </w:rPr>
        <w:t xml:space="preserve"> Gynecol</w:t>
      </w:r>
      <w:r w:rsidRPr="00272AE7">
        <w:rPr>
          <w:bCs/>
          <w:color w:val="000000" w:themeColor="text1"/>
          <w:sz w:val="20"/>
          <w:szCs w:val="20"/>
          <w:shd w:val="clear" w:color="auto" w:fill="FFFFFF"/>
          <w:lang w:val="en-US"/>
        </w:rPr>
        <w:t>. 2016;</w:t>
      </w:r>
      <w:r w:rsidRPr="00272AE7">
        <w:rPr>
          <w:bCs/>
          <w:i/>
          <w:iCs/>
          <w:color w:val="000000" w:themeColor="text1"/>
          <w:sz w:val="20"/>
          <w:szCs w:val="20"/>
          <w:lang w:val="en-US"/>
        </w:rPr>
        <w:t>128</w:t>
      </w:r>
      <w:r w:rsidRPr="00272AE7">
        <w:rPr>
          <w:bCs/>
          <w:color w:val="000000" w:themeColor="text1"/>
          <w:sz w:val="20"/>
          <w:szCs w:val="20"/>
          <w:shd w:val="clear" w:color="auto" w:fill="FFFFFF"/>
          <w:lang w:val="en-US"/>
        </w:rPr>
        <w:t>:238–244. doi: 10.1097/AOG.0000000000001534.</w:t>
      </w:r>
      <w:hyperlink r:id="rId10" w:history="1">
        <w:r w:rsidRPr="00272AE7">
          <w:rPr>
            <w:rStyle w:val="Lienhypertexte"/>
            <w:bCs/>
            <w:color w:val="000000" w:themeColor="text1"/>
            <w:sz w:val="20"/>
            <w:szCs w:val="20"/>
            <w:lang w:val="en-US"/>
          </w:rPr>
          <w:t>Crossref</w:t>
        </w:r>
      </w:hyperlink>
      <w:r w:rsidRPr="00272AE7">
        <w:rPr>
          <w:bCs/>
          <w:color w:val="000000" w:themeColor="text1"/>
          <w:sz w:val="20"/>
          <w:szCs w:val="20"/>
          <w:shd w:val="clear" w:color="auto" w:fill="FFFFFF"/>
          <w:lang w:val="en-US"/>
        </w:rPr>
        <w:t>.</w:t>
      </w:r>
      <w:hyperlink r:id="rId11" w:history="1">
        <w:r w:rsidRPr="00272AE7">
          <w:rPr>
            <w:rStyle w:val="Lienhypertexte"/>
            <w:bCs/>
            <w:color w:val="000000" w:themeColor="text1"/>
            <w:sz w:val="20"/>
            <w:szCs w:val="20"/>
            <w:lang w:val="en-US"/>
          </w:rPr>
          <w:t>PubMed</w:t>
        </w:r>
      </w:hyperlink>
      <w:r w:rsidRPr="00272AE7">
        <w:rPr>
          <w:bCs/>
          <w:color w:val="000000" w:themeColor="text1"/>
          <w:sz w:val="20"/>
          <w:szCs w:val="20"/>
          <w:shd w:val="clear" w:color="auto" w:fill="FFFFFF"/>
          <w:lang w:val="en-US"/>
        </w:rPr>
        <w:t>.</w:t>
      </w:r>
    </w:p>
    <w:p w14:paraId="34F25897" w14:textId="77777777" w:rsidR="00E91EB3" w:rsidRPr="00272AE7" w:rsidRDefault="00E91EB3" w:rsidP="001C3642">
      <w:pPr>
        <w:pStyle w:val="NormalWeb"/>
        <w:numPr>
          <w:ilvl w:val="0"/>
          <w:numId w:val="18"/>
        </w:numPr>
        <w:jc w:val="both"/>
        <w:rPr>
          <w:sz w:val="20"/>
          <w:szCs w:val="20"/>
          <w:lang w:val="en-US"/>
        </w:rPr>
      </w:pPr>
      <w:r w:rsidRPr="00272AE7">
        <w:rPr>
          <w:bCs/>
          <w:color w:val="000000" w:themeColor="text1"/>
          <w:sz w:val="20"/>
          <w:szCs w:val="20"/>
          <w:shd w:val="clear" w:color="auto" w:fill="FFFFFF"/>
          <w:lang w:val="en-US"/>
        </w:rPr>
        <w:t>Lykke JA, Langhoff-</w:t>
      </w:r>
      <w:proofErr w:type="spellStart"/>
      <w:r w:rsidRPr="00272AE7">
        <w:rPr>
          <w:bCs/>
          <w:color w:val="000000" w:themeColor="text1"/>
          <w:sz w:val="20"/>
          <w:szCs w:val="20"/>
          <w:shd w:val="clear" w:color="auto" w:fill="FFFFFF"/>
          <w:lang w:val="en-US"/>
        </w:rPr>
        <w:t>Roos</w:t>
      </w:r>
      <w:proofErr w:type="spellEnd"/>
      <w:r w:rsidRPr="00272AE7">
        <w:rPr>
          <w:bCs/>
          <w:color w:val="000000" w:themeColor="text1"/>
          <w:sz w:val="20"/>
          <w:szCs w:val="20"/>
          <w:shd w:val="clear" w:color="auto" w:fill="FFFFFF"/>
          <w:lang w:val="en-US"/>
        </w:rPr>
        <w:t xml:space="preserve"> J, </w:t>
      </w:r>
      <w:proofErr w:type="spellStart"/>
      <w:r w:rsidRPr="00272AE7">
        <w:rPr>
          <w:bCs/>
          <w:color w:val="000000" w:themeColor="text1"/>
          <w:sz w:val="20"/>
          <w:szCs w:val="20"/>
          <w:shd w:val="clear" w:color="auto" w:fill="FFFFFF"/>
          <w:lang w:val="en-US"/>
        </w:rPr>
        <w:t>Sibai</w:t>
      </w:r>
      <w:proofErr w:type="spellEnd"/>
      <w:r w:rsidRPr="00272AE7">
        <w:rPr>
          <w:bCs/>
          <w:color w:val="000000" w:themeColor="text1"/>
          <w:sz w:val="20"/>
          <w:szCs w:val="20"/>
          <w:shd w:val="clear" w:color="auto" w:fill="FFFFFF"/>
          <w:lang w:val="en-US"/>
        </w:rPr>
        <w:t xml:space="preserve"> BM, Funai EF, Triche EW, </w:t>
      </w:r>
      <w:proofErr w:type="spellStart"/>
      <w:r w:rsidRPr="00272AE7">
        <w:rPr>
          <w:bCs/>
          <w:color w:val="000000" w:themeColor="text1"/>
          <w:sz w:val="20"/>
          <w:szCs w:val="20"/>
          <w:shd w:val="clear" w:color="auto" w:fill="FFFFFF"/>
          <w:lang w:val="en-US"/>
        </w:rPr>
        <w:t>Paidas</w:t>
      </w:r>
      <w:proofErr w:type="spellEnd"/>
      <w:r w:rsidRPr="00272AE7">
        <w:rPr>
          <w:bCs/>
          <w:color w:val="000000" w:themeColor="text1"/>
          <w:sz w:val="20"/>
          <w:szCs w:val="20"/>
          <w:shd w:val="clear" w:color="auto" w:fill="FFFFFF"/>
          <w:lang w:val="en-US"/>
        </w:rPr>
        <w:t xml:space="preserve"> MJ. Hypertensive pregnancy disorders and subsequent cardiovascular morbidity and type 2 diabetes mellitus in the mother.</w:t>
      </w:r>
      <w:r w:rsidRPr="00272AE7">
        <w:rPr>
          <w:rStyle w:val="Accentuation"/>
          <w:bCs/>
          <w:color w:val="000000" w:themeColor="text1"/>
          <w:sz w:val="20"/>
          <w:szCs w:val="20"/>
        </w:rPr>
        <w:t>Hypertension</w:t>
      </w:r>
      <w:r w:rsidRPr="00272AE7">
        <w:rPr>
          <w:bCs/>
          <w:color w:val="000000" w:themeColor="text1"/>
          <w:sz w:val="20"/>
          <w:szCs w:val="20"/>
          <w:shd w:val="clear" w:color="auto" w:fill="FFFFFF"/>
        </w:rPr>
        <w:t xml:space="preserve">. </w:t>
      </w:r>
      <w:proofErr w:type="gramStart"/>
      <w:r w:rsidRPr="00272AE7">
        <w:rPr>
          <w:bCs/>
          <w:color w:val="000000" w:themeColor="text1"/>
          <w:sz w:val="20"/>
          <w:szCs w:val="20"/>
          <w:shd w:val="clear" w:color="auto" w:fill="FFFFFF"/>
        </w:rPr>
        <w:t>2009;</w:t>
      </w:r>
      <w:proofErr w:type="gramEnd"/>
      <w:r w:rsidRPr="00272AE7">
        <w:rPr>
          <w:bCs/>
          <w:i/>
          <w:iCs/>
          <w:color w:val="000000" w:themeColor="text1"/>
          <w:sz w:val="20"/>
          <w:szCs w:val="20"/>
        </w:rPr>
        <w:t>53</w:t>
      </w:r>
      <w:r w:rsidRPr="00272AE7">
        <w:rPr>
          <w:bCs/>
          <w:color w:val="000000" w:themeColor="text1"/>
          <w:sz w:val="20"/>
          <w:szCs w:val="20"/>
          <w:shd w:val="clear" w:color="auto" w:fill="FFFFFF"/>
        </w:rPr>
        <w:t>:944–951.HYPERTENSION AHA.109.130765.</w:t>
      </w:r>
      <w:hyperlink r:id="rId12" w:history="1">
        <w:r w:rsidRPr="00272AE7">
          <w:rPr>
            <w:rStyle w:val="Lienhypertexte"/>
            <w:bCs/>
            <w:color w:val="000000" w:themeColor="text1"/>
            <w:sz w:val="20"/>
            <w:szCs w:val="20"/>
          </w:rPr>
          <w:t>Crossref</w:t>
        </w:r>
      </w:hyperlink>
      <w:r w:rsidRPr="00272AE7">
        <w:rPr>
          <w:bCs/>
          <w:color w:val="000000" w:themeColor="text1"/>
          <w:sz w:val="20"/>
          <w:szCs w:val="20"/>
          <w:shd w:val="clear" w:color="auto" w:fill="FFFFFF"/>
        </w:rPr>
        <w:t>.</w:t>
      </w:r>
      <w:hyperlink r:id="rId13" w:history="1">
        <w:r w:rsidRPr="00272AE7">
          <w:rPr>
            <w:rStyle w:val="Lienhypertexte"/>
            <w:bCs/>
            <w:color w:val="000000" w:themeColor="text1"/>
            <w:sz w:val="20"/>
            <w:szCs w:val="20"/>
          </w:rPr>
          <w:t>PubMed</w:t>
        </w:r>
      </w:hyperlink>
      <w:r w:rsidRPr="00272AE7">
        <w:rPr>
          <w:bCs/>
          <w:color w:val="000000" w:themeColor="text1"/>
          <w:sz w:val="20"/>
          <w:szCs w:val="20"/>
          <w:shd w:val="clear" w:color="auto" w:fill="FFFFFF"/>
        </w:rPr>
        <w:t>.</w:t>
      </w:r>
    </w:p>
    <w:p w14:paraId="503D6E59" w14:textId="77777777" w:rsidR="00E91EB3" w:rsidRPr="00272AE7" w:rsidRDefault="00E91EB3" w:rsidP="001C3642">
      <w:pPr>
        <w:pStyle w:val="NormalWeb"/>
        <w:numPr>
          <w:ilvl w:val="0"/>
          <w:numId w:val="18"/>
        </w:numPr>
        <w:jc w:val="both"/>
        <w:rPr>
          <w:sz w:val="20"/>
          <w:szCs w:val="20"/>
          <w:lang w:val="en-US"/>
        </w:rPr>
      </w:pPr>
      <w:r w:rsidRPr="00272AE7">
        <w:rPr>
          <w:sz w:val="20"/>
          <w:szCs w:val="20"/>
          <w:lang w:val="en-US"/>
        </w:rPr>
        <w:t>ACOG. Gestational hypertension and preeclampsia: ACOG practice bulletin, number 222. Obstet Gynecol 2020; 135:e237–60.</w:t>
      </w:r>
    </w:p>
    <w:p w14:paraId="5FBF2FD6" w14:textId="77777777" w:rsidR="00E91EB3" w:rsidRPr="00272AE7" w:rsidRDefault="00E91EB3" w:rsidP="001C3642">
      <w:pPr>
        <w:pStyle w:val="NormalWeb"/>
        <w:numPr>
          <w:ilvl w:val="0"/>
          <w:numId w:val="18"/>
        </w:numPr>
        <w:jc w:val="both"/>
        <w:rPr>
          <w:sz w:val="20"/>
          <w:szCs w:val="20"/>
          <w:lang w:val="en-US"/>
        </w:rPr>
      </w:pPr>
      <w:r w:rsidRPr="00272AE7">
        <w:rPr>
          <w:sz w:val="20"/>
          <w:szCs w:val="20"/>
          <w:lang w:val="en-US"/>
        </w:rPr>
        <w:t>Magee LA, Pels A, Helewa M, Rey E, von Dadelszen P. Diagnosis, evaluation, and management of the hypertensive disorders of pregnancy: executive summary. J Obstet Gynaecol Can 2014; 36:575–76.</w:t>
      </w:r>
    </w:p>
    <w:p w14:paraId="449B06F9" w14:textId="77777777" w:rsidR="00E91EB3" w:rsidRPr="00272AE7" w:rsidRDefault="00E91EB3" w:rsidP="001C3642">
      <w:pPr>
        <w:pStyle w:val="NormalWeb"/>
        <w:numPr>
          <w:ilvl w:val="0"/>
          <w:numId w:val="18"/>
        </w:numPr>
        <w:jc w:val="both"/>
        <w:rPr>
          <w:sz w:val="20"/>
          <w:szCs w:val="20"/>
          <w:lang w:val="en-US"/>
        </w:rPr>
      </w:pPr>
      <w:proofErr w:type="spellStart"/>
      <w:r w:rsidRPr="00272AE7">
        <w:rPr>
          <w:sz w:val="20"/>
          <w:szCs w:val="20"/>
          <w:lang w:val="en-US"/>
        </w:rPr>
        <w:t>Levytska</w:t>
      </w:r>
      <w:proofErr w:type="spellEnd"/>
      <w:r w:rsidRPr="00272AE7">
        <w:rPr>
          <w:sz w:val="20"/>
          <w:szCs w:val="20"/>
          <w:lang w:val="en-US"/>
        </w:rPr>
        <w:t xml:space="preserve"> K, Higgins M, Keating S, et al. Placental pathology in relation to uterine artery Doppler findings in pregnancies with severe intrauterine growth restriction and abnormal umbilical artery Doppler changes. Am J Perinatol 2017; 34:451–57.</w:t>
      </w:r>
    </w:p>
    <w:p w14:paraId="0A675D52" w14:textId="77777777" w:rsidR="00E91EB3" w:rsidRPr="00272AE7" w:rsidRDefault="00E91EB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Bartsch E, Medcalf KE, Park AL, Ray JG. Clinical risk factors for pre-eclampsia determined in early pregnancy: systematic review and meta-analysis of large cohort studies. BMJ 2016; 353: i1753.</w:t>
      </w:r>
    </w:p>
    <w:p w14:paraId="3A73C49E" w14:textId="77777777" w:rsidR="00E91EB3" w:rsidRPr="00272AE7" w:rsidRDefault="00E91EB3" w:rsidP="001C3642">
      <w:pPr>
        <w:pStyle w:val="Paragraphedeliste"/>
        <w:numPr>
          <w:ilvl w:val="0"/>
          <w:numId w:val="18"/>
        </w:numPr>
        <w:spacing w:before="100" w:beforeAutospacing="1" w:after="100" w:afterAutospacing="1"/>
        <w:jc w:val="both"/>
        <w:rPr>
          <w:sz w:val="20"/>
          <w:szCs w:val="20"/>
          <w:lang w:val="en-US"/>
        </w:rPr>
      </w:pPr>
      <w:proofErr w:type="spellStart"/>
      <w:r w:rsidRPr="00272AE7">
        <w:rPr>
          <w:sz w:val="20"/>
          <w:szCs w:val="20"/>
          <w:lang w:val="en-US"/>
        </w:rPr>
        <w:t>Duckitt</w:t>
      </w:r>
      <w:proofErr w:type="spellEnd"/>
      <w:r w:rsidRPr="00272AE7">
        <w:rPr>
          <w:sz w:val="20"/>
          <w:szCs w:val="20"/>
          <w:lang w:val="en-US"/>
        </w:rPr>
        <w:t xml:space="preserve"> K, Harrington D. Risk factors for pre-eclampsia at antenatal booking: systematic review of controlled studies. BMJ 2005; 330:565.</w:t>
      </w:r>
    </w:p>
    <w:p w14:paraId="064AB339" w14:textId="77777777" w:rsidR="00E91EB3" w:rsidRPr="00272AE7" w:rsidRDefault="00E91EB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 xml:space="preserve">Dildy GA 3rd, Belfort MA, </w:t>
      </w:r>
      <w:proofErr w:type="spellStart"/>
      <w:r w:rsidRPr="00272AE7">
        <w:rPr>
          <w:sz w:val="20"/>
          <w:szCs w:val="20"/>
          <w:lang w:val="en-US"/>
        </w:rPr>
        <w:t>Smulian</w:t>
      </w:r>
      <w:proofErr w:type="spellEnd"/>
      <w:r w:rsidRPr="00272AE7">
        <w:rPr>
          <w:sz w:val="20"/>
          <w:szCs w:val="20"/>
          <w:lang w:val="en-US"/>
        </w:rPr>
        <w:t xml:space="preserve"> JC. Preeclampsia recurrence and prevention. Semin Perinatol 2007; 31:135–41.</w:t>
      </w:r>
    </w:p>
    <w:p w14:paraId="7ACA52AB" w14:textId="77777777" w:rsidR="00E91EB3" w:rsidRPr="00272AE7" w:rsidRDefault="00E91EB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 xml:space="preserve">Hofmeyr GJ, </w:t>
      </w:r>
      <w:proofErr w:type="spellStart"/>
      <w:r w:rsidRPr="00272AE7">
        <w:rPr>
          <w:sz w:val="20"/>
          <w:szCs w:val="20"/>
          <w:lang w:val="en-US"/>
        </w:rPr>
        <w:t>Betrán</w:t>
      </w:r>
      <w:proofErr w:type="spellEnd"/>
      <w:r w:rsidRPr="00272AE7">
        <w:rPr>
          <w:sz w:val="20"/>
          <w:szCs w:val="20"/>
          <w:lang w:val="en-US"/>
        </w:rPr>
        <w:t xml:space="preserve"> AP, </w:t>
      </w:r>
      <w:proofErr w:type="spellStart"/>
      <w:r w:rsidRPr="00272AE7">
        <w:rPr>
          <w:sz w:val="20"/>
          <w:szCs w:val="20"/>
          <w:lang w:val="en-US"/>
        </w:rPr>
        <w:t>Singata-Madliki</w:t>
      </w:r>
      <w:proofErr w:type="spellEnd"/>
      <w:r w:rsidRPr="00272AE7">
        <w:rPr>
          <w:sz w:val="20"/>
          <w:szCs w:val="20"/>
          <w:lang w:val="en-US"/>
        </w:rPr>
        <w:t xml:space="preserve"> M, et al. </w:t>
      </w:r>
      <w:proofErr w:type="spellStart"/>
      <w:r w:rsidRPr="00272AE7">
        <w:rPr>
          <w:sz w:val="20"/>
          <w:szCs w:val="20"/>
          <w:lang w:val="en-US"/>
        </w:rPr>
        <w:t>Prepregnancy</w:t>
      </w:r>
      <w:proofErr w:type="spellEnd"/>
      <w:r w:rsidRPr="00272AE7">
        <w:rPr>
          <w:sz w:val="20"/>
          <w:szCs w:val="20"/>
          <w:lang w:val="en-US"/>
        </w:rPr>
        <w:t xml:space="preserve"> and early pregnancy calcium supplementation among women at high risk of pre-eclampsia: a multicenter, double-blind, randomized, placebo-controlled trial. Lancet 2019; 393:330–39.</w:t>
      </w:r>
    </w:p>
    <w:p w14:paraId="3ED25678" w14:textId="77777777" w:rsidR="00E91EB3" w:rsidRPr="00272AE7" w:rsidRDefault="00E91EB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Ernst LM. Maternal vascular malperfusion of the placental bed. APMIS 2018; 126:551–60.</w:t>
      </w:r>
    </w:p>
    <w:p w14:paraId="264C063F" w14:textId="77777777" w:rsidR="00E91EB3" w:rsidRPr="00272AE7" w:rsidRDefault="00E91EB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Wright E, Audette MC, Ye XY, et al. Maternal vascular malperfusion and adverse perinatal outcomes in low-risk nulliparous women. Obstet Gynecol 2017; 130:1112–20.</w:t>
      </w:r>
    </w:p>
    <w:p w14:paraId="4D9871C2" w14:textId="77777777" w:rsidR="00E91EB3" w:rsidRPr="00272AE7" w:rsidRDefault="00E91EB3" w:rsidP="001C3642">
      <w:pPr>
        <w:pStyle w:val="Paragraphedeliste"/>
        <w:numPr>
          <w:ilvl w:val="0"/>
          <w:numId w:val="18"/>
        </w:numPr>
        <w:spacing w:before="100" w:beforeAutospacing="1" w:after="100" w:afterAutospacing="1"/>
        <w:jc w:val="both"/>
        <w:rPr>
          <w:sz w:val="20"/>
          <w:szCs w:val="20"/>
          <w:lang w:val="en-US"/>
        </w:rPr>
      </w:pPr>
      <w:proofErr w:type="spellStart"/>
      <w:r w:rsidRPr="00272AE7">
        <w:rPr>
          <w:sz w:val="20"/>
          <w:szCs w:val="20"/>
          <w:lang w:val="en-US"/>
        </w:rPr>
        <w:t>Levytska</w:t>
      </w:r>
      <w:proofErr w:type="spellEnd"/>
      <w:r w:rsidRPr="00272AE7">
        <w:rPr>
          <w:sz w:val="20"/>
          <w:szCs w:val="20"/>
          <w:lang w:val="en-US"/>
        </w:rPr>
        <w:t xml:space="preserve"> K, Higgins M, Keating S, et al. Placental pathology in relation to uterine artery Doppler findings in pregnancies with severe intrauterine growth restriction and abnormal umbilical artery Doppler changes. Am J Perinatol 2017; 34:451–57</w:t>
      </w:r>
    </w:p>
    <w:p w14:paraId="6C50F544" w14:textId="77777777" w:rsidR="00E91EB3" w:rsidRPr="00272AE7" w:rsidRDefault="00E91EB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Burton GJ, Woods AW, Jauniaux E, Kingdom JC. Rheological and physiological consequences of conversion of the maternal spiral arteries for uteroplacental blood flow during human pregnancy. Placenta 2009; 30:473–82.</w:t>
      </w:r>
    </w:p>
    <w:p w14:paraId="78DE3114" w14:textId="77777777" w:rsidR="00E91EB3" w:rsidRPr="00272AE7" w:rsidRDefault="00E91EB3" w:rsidP="001C3642">
      <w:pPr>
        <w:pStyle w:val="Paragraphedeliste"/>
        <w:numPr>
          <w:ilvl w:val="0"/>
          <w:numId w:val="18"/>
        </w:numPr>
        <w:spacing w:before="100" w:beforeAutospacing="1" w:after="100" w:afterAutospacing="1"/>
        <w:jc w:val="both"/>
        <w:rPr>
          <w:sz w:val="20"/>
          <w:szCs w:val="20"/>
          <w:lang w:val="en-US"/>
        </w:rPr>
      </w:pPr>
      <w:r w:rsidRPr="00272AE7">
        <w:rPr>
          <w:sz w:val="20"/>
          <w:szCs w:val="20"/>
        </w:rPr>
        <w:t xml:space="preserve">Rana S, Lemoine E, Granger JP, Karumanchi SA. Preeclampsia: pathophysiology, challenges, and perspectives. </w:t>
      </w:r>
      <w:proofErr w:type="spellStart"/>
      <w:r w:rsidRPr="00272AE7">
        <w:rPr>
          <w:sz w:val="20"/>
          <w:szCs w:val="20"/>
        </w:rPr>
        <w:t>Circ</w:t>
      </w:r>
      <w:proofErr w:type="spellEnd"/>
      <w:r w:rsidRPr="00272AE7">
        <w:rPr>
          <w:sz w:val="20"/>
          <w:szCs w:val="20"/>
        </w:rPr>
        <w:t xml:space="preserve"> </w:t>
      </w:r>
      <w:proofErr w:type="spellStart"/>
      <w:r w:rsidRPr="00272AE7">
        <w:rPr>
          <w:sz w:val="20"/>
          <w:szCs w:val="20"/>
        </w:rPr>
        <w:t>Res</w:t>
      </w:r>
      <w:proofErr w:type="spellEnd"/>
      <w:r w:rsidRPr="00272AE7">
        <w:rPr>
          <w:sz w:val="20"/>
          <w:szCs w:val="20"/>
        </w:rPr>
        <w:t xml:space="preserve"> 2019; 124:1094–112.</w:t>
      </w:r>
    </w:p>
    <w:p w14:paraId="7F0DC45F" w14:textId="77777777" w:rsidR="00E91EB3" w:rsidRPr="00272AE7" w:rsidRDefault="00E91EB3" w:rsidP="001C3642">
      <w:pPr>
        <w:pStyle w:val="Paragraphedeliste"/>
        <w:numPr>
          <w:ilvl w:val="0"/>
          <w:numId w:val="18"/>
        </w:numPr>
        <w:spacing w:before="100" w:beforeAutospacing="1" w:after="100" w:afterAutospacing="1"/>
        <w:jc w:val="both"/>
        <w:rPr>
          <w:sz w:val="20"/>
          <w:szCs w:val="20"/>
          <w:lang w:val="en-US"/>
        </w:rPr>
      </w:pPr>
      <w:r w:rsidRPr="00272AE7">
        <w:rPr>
          <w:sz w:val="20"/>
          <w:szCs w:val="20"/>
        </w:rPr>
        <w:t>Burton GJ, Yung HW, Cindrova-Davies T, Charnock-Jones DS. Placental endoplasmic reticulum stress and oxidative stress in the pathophysiology of unexplained intrauterine growth restriction and early onset preeclampsia. Placenta 2009; 30 (</w:t>
      </w:r>
      <w:proofErr w:type="spellStart"/>
      <w:r w:rsidRPr="00272AE7">
        <w:rPr>
          <w:sz w:val="20"/>
          <w:szCs w:val="20"/>
        </w:rPr>
        <w:t>suppl</w:t>
      </w:r>
      <w:proofErr w:type="spellEnd"/>
      <w:r w:rsidRPr="00272AE7">
        <w:rPr>
          <w:sz w:val="20"/>
          <w:szCs w:val="20"/>
        </w:rPr>
        <w:t xml:space="preserve"> A): 43–48.</w:t>
      </w:r>
    </w:p>
    <w:p w14:paraId="4E33774F" w14:textId="77777777" w:rsidR="00E91EB3" w:rsidRPr="00272AE7" w:rsidRDefault="00E91EB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Zur RL, Kingdom JC, Parks WT, Hobson SR. The placental basis of fetal growth restriction. Obstet Gynecol Clin North Am 2020; 47:81–98.</w:t>
      </w:r>
    </w:p>
    <w:p w14:paraId="2774E2D9" w14:textId="77777777" w:rsidR="00E91EB3" w:rsidRPr="00272AE7" w:rsidRDefault="00E91EB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 xml:space="preserve">Khong TY, Mooney EE, Ariel I, et al. Sampling and definitions of placental lesions: Amsterdam Placental Workshop Group consensus statement. Arch </w:t>
      </w:r>
      <w:proofErr w:type="spellStart"/>
      <w:r w:rsidRPr="00272AE7">
        <w:rPr>
          <w:sz w:val="20"/>
          <w:szCs w:val="20"/>
          <w:lang w:val="en-US"/>
        </w:rPr>
        <w:t>Pathol</w:t>
      </w:r>
      <w:proofErr w:type="spellEnd"/>
      <w:r w:rsidRPr="00272AE7">
        <w:rPr>
          <w:sz w:val="20"/>
          <w:szCs w:val="20"/>
          <w:lang w:val="en-US"/>
        </w:rPr>
        <w:t xml:space="preserve"> Lab Med 2016; 140:698–713.</w:t>
      </w:r>
    </w:p>
    <w:p w14:paraId="4A2F6DCE" w14:textId="77777777" w:rsidR="00E91EB3" w:rsidRPr="00272AE7" w:rsidRDefault="00E91EB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Stevens DU, Al-Nasiry S, Bulten J, Spaanderman ME. Decidual vasculopathy in preeclampsia: lesion characteristics relate to disease severity and perinatal outcome. Placenta 2013; 34:805–09.</w:t>
      </w:r>
    </w:p>
    <w:p w14:paraId="189462E9" w14:textId="77777777" w:rsidR="00E91EB3" w:rsidRPr="00272AE7" w:rsidRDefault="00E91EB3" w:rsidP="001C3642">
      <w:pPr>
        <w:pStyle w:val="Paragraphedeliste"/>
        <w:numPr>
          <w:ilvl w:val="0"/>
          <w:numId w:val="18"/>
        </w:numPr>
        <w:spacing w:before="100" w:beforeAutospacing="1" w:after="100" w:afterAutospacing="1"/>
        <w:jc w:val="both"/>
        <w:rPr>
          <w:sz w:val="20"/>
          <w:szCs w:val="20"/>
          <w:lang w:val="en-US"/>
        </w:rPr>
      </w:pPr>
      <w:r w:rsidRPr="00272AE7">
        <w:rPr>
          <w:sz w:val="20"/>
          <w:szCs w:val="20"/>
        </w:rPr>
        <w:t xml:space="preserve">Weiner E, Feldstein O, </w:t>
      </w:r>
      <w:proofErr w:type="spellStart"/>
      <w:r w:rsidRPr="00272AE7">
        <w:rPr>
          <w:sz w:val="20"/>
          <w:szCs w:val="20"/>
        </w:rPr>
        <w:t>Tamayev</w:t>
      </w:r>
      <w:proofErr w:type="spellEnd"/>
      <w:r w:rsidRPr="00272AE7">
        <w:rPr>
          <w:sz w:val="20"/>
          <w:szCs w:val="20"/>
        </w:rPr>
        <w:t xml:space="preserve"> L, et al. </w:t>
      </w:r>
      <w:proofErr w:type="spellStart"/>
      <w:r w:rsidRPr="00272AE7">
        <w:rPr>
          <w:sz w:val="20"/>
          <w:szCs w:val="20"/>
        </w:rPr>
        <w:t>Placental</w:t>
      </w:r>
      <w:proofErr w:type="spellEnd"/>
      <w:r w:rsidRPr="00272AE7">
        <w:rPr>
          <w:sz w:val="20"/>
          <w:szCs w:val="20"/>
        </w:rPr>
        <w:t xml:space="preserve"> </w:t>
      </w:r>
      <w:proofErr w:type="spellStart"/>
      <w:r w:rsidRPr="00272AE7">
        <w:rPr>
          <w:sz w:val="20"/>
          <w:szCs w:val="20"/>
        </w:rPr>
        <w:t>histopathological</w:t>
      </w:r>
      <w:proofErr w:type="spellEnd"/>
      <w:r w:rsidRPr="00272AE7">
        <w:rPr>
          <w:sz w:val="20"/>
          <w:szCs w:val="20"/>
        </w:rPr>
        <w:t xml:space="preserve"> </w:t>
      </w:r>
      <w:proofErr w:type="spellStart"/>
      <w:r w:rsidRPr="00272AE7">
        <w:rPr>
          <w:sz w:val="20"/>
          <w:szCs w:val="20"/>
        </w:rPr>
        <w:t>lesions</w:t>
      </w:r>
      <w:proofErr w:type="spellEnd"/>
      <w:r w:rsidRPr="00272AE7">
        <w:rPr>
          <w:sz w:val="20"/>
          <w:szCs w:val="20"/>
        </w:rPr>
        <w:t xml:space="preserve"> in </w:t>
      </w:r>
      <w:proofErr w:type="spellStart"/>
      <w:r w:rsidRPr="00272AE7">
        <w:rPr>
          <w:sz w:val="20"/>
          <w:szCs w:val="20"/>
        </w:rPr>
        <w:t>correlation</w:t>
      </w:r>
      <w:proofErr w:type="spellEnd"/>
      <w:r w:rsidRPr="00272AE7">
        <w:rPr>
          <w:sz w:val="20"/>
          <w:szCs w:val="20"/>
        </w:rPr>
        <w:t xml:space="preserve"> </w:t>
      </w:r>
      <w:proofErr w:type="spellStart"/>
      <w:r w:rsidRPr="00272AE7">
        <w:rPr>
          <w:sz w:val="20"/>
          <w:szCs w:val="20"/>
        </w:rPr>
        <w:t>with</w:t>
      </w:r>
      <w:proofErr w:type="spellEnd"/>
      <w:r w:rsidRPr="00272AE7">
        <w:rPr>
          <w:sz w:val="20"/>
          <w:szCs w:val="20"/>
        </w:rPr>
        <w:t xml:space="preserve"> </w:t>
      </w:r>
      <w:proofErr w:type="spellStart"/>
      <w:r w:rsidRPr="00272AE7">
        <w:rPr>
          <w:sz w:val="20"/>
          <w:szCs w:val="20"/>
        </w:rPr>
        <w:t>neonatal</w:t>
      </w:r>
      <w:proofErr w:type="spellEnd"/>
      <w:r w:rsidRPr="00272AE7">
        <w:rPr>
          <w:sz w:val="20"/>
          <w:szCs w:val="20"/>
        </w:rPr>
        <w:t xml:space="preserve"> </w:t>
      </w:r>
      <w:proofErr w:type="spellStart"/>
      <w:r w:rsidRPr="00272AE7">
        <w:rPr>
          <w:sz w:val="20"/>
          <w:szCs w:val="20"/>
        </w:rPr>
        <w:t>outcome</w:t>
      </w:r>
      <w:proofErr w:type="spellEnd"/>
      <w:r w:rsidRPr="00272AE7">
        <w:rPr>
          <w:sz w:val="20"/>
          <w:szCs w:val="20"/>
        </w:rPr>
        <w:t xml:space="preserve"> in </w:t>
      </w:r>
      <w:proofErr w:type="spellStart"/>
      <w:r w:rsidRPr="00272AE7">
        <w:rPr>
          <w:sz w:val="20"/>
          <w:szCs w:val="20"/>
        </w:rPr>
        <w:t>preeclampsia</w:t>
      </w:r>
      <w:proofErr w:type="spellEnd"/>
      <w:r w:rsidRPr="00272AE7">
        <w:rPr>
          <w:sz w:val="20"/>
          <w:szCs w:val="20"/>
        </w:rPr>
        <w:t xml:space="preserve"> </w:t>
      </w:r>
      <w:proofErr w:type="spellStart"/>
      <w:r w:rsidRPr="00272AE7">
        <w:rPr>
          <w:sz w:val="20"/>
          <w:szCs w:val="20"/>
        </w:rPr>
        <w:t>with</w:t>
      </w:r>
      <w:proofErr w:type="spellEnd"/>
      <w:r w:rsidRPr="00272AE7">
        <w:rPr>
          <w:sz w:val="20"/>
          <w:szCs w:val="20"/>
        </w:rPr>
        <w:t xml:space="preserve"> and </w:t>
      </w:r>
      <w:proofErr w:type="spellStart"/>
      <w:r w:rsidRPr="00272AE7">
        <w:rPr>
          <w:sz w:val="20"/>
          <w:szCs w:val="20"/>
        </w:rPr>
        <w:t>without</w:t>
      </w:r>
      <w:proofErr w:type="spellEnd"/>
      <w:r w:rsidRPr="00272AE7">
        <w:rPr>
          <w:sz w:val="20"/>
          <w:szCs w:val="20"/>
        </w:rPr>
        <w:t xml:space="preserve"> </w:t>
      </w:r>
      <w:proofErr w:type="spellStart"/>
      <w:r w:rsidRPr="00272AE7">
        <w:rPr>
          <w:sz w:val="20"/>
          <w:szCs w:val="20"/>
        </w:rPr>
        <w:t>severe</w:t>
      </w:r>
      <w:proofErr w:type="spellEnd"/>
      <w:r w:rsidRPr="00272AE7">
        <w:rPr>
          <w:sz w:val="20"/>
          <w:szCs w:val="20"/>
        </w:rPr>
        <w:t xml:space="preserve"> </w:t>
      </w:r>
      <w:proofErr w:type="spellStart"/>
      <w:r w:rsidRPr="00272AE7">
        <w:rPr>
          <w:sz w:val="20"/>
          <w:szCs w:val="20"/>
        </w:rPr>
        <w:t>features</w:t>
      </w:r>
      <w:proofErr w:type="spellEnd"/>
      <w:r w:rsidRPr="00272AE7">
        <w:rPr>
          <w:sz w:val="20"/>
          <w:szCs w:val="20"/>
        </w:rPr>
        <w:t xml:space="preserve">. </w:t>
      </w:r>
      <w:proofErr w:type="spellStart"/>
      <w:r w:rsidRPr="00272AE7">
        <w:rPr>
          <w:sz w:val="20"/>
          <w:szCs w:val="20"/>
        </w:rPr>
        <w:t>Pregnancy</w:t>
      </w:r>
      <w:proofErr w:type="spellEnd"/>
      <w:r w:rsidRPr="00272AE7">
        <w:rPr>
          <w:sz w:val="20"/>
          <w:szCs w:val="20"/>
        </w:rPr>
        <w:t xml:space="preserve"> Hypertension 2018; 12:6–10.</w:t>
      </w:r>
    </w:p>
    <w:p w14:paraId="0FA34DC7" w14:textId="77777777" w:rsidR="00E91EB3" w:rsidRPr="00272AE7" w:rsidRDefault="00E91EB3" w:rsidP="001C3642">
      <w:pPr>
        <w:pStyle w:val="Paragraphedeliste"/>
        <w:numPr>
          <w:ilvl w:val="0"/>
          <w:numId w:val="18"/>
        </w:numPr>
        <w:spacing w:before="100" w:beforeAutospacing="1" w:after="100" w:afterAutospacing="1"/>
        <w:jc w:val="both"/>
        <w:rPr>
          <w:sz w:val="20"/>
          <w:szCs w:val="20"/>
          <w:lang w:val="en-US"/>
        </w:rPr>
      </w:pPr>
      <w:proofErr w:type="spellStart"/>
      <w:r w:rsidRPr="00272AE7">
        <w:rPr>
          <w:sz w:val="20"/>
          <w:szCs w:val="20"/>
          <w:lang w:val="en-US"/>
        </w:rPr>
        <w:t>Faas</w:t>
      </w:r>
      <w:proofErr w:type="spellEnd"/>
      <w:r w:rsidRPr="00272AE7">
        <w:rPr>
          <w:sz w:val="20"/>
          <w:szCs w:val="20"/>
          <w:lang w:val="en-US"/>
        </w:rPr>
        <w:t xml:space="preserve"> MM, De Vos P. Innate immune cells in the placental bed in healthy pregnancy and preeclampsia. Placenta 2018; 69:125–33</w:t>
      </w:r>
    </w:p>
    <w:p w14:paraId="06EB8990" w14:textId="77777777" w:rsidR="0004679A" w:rsidRPr="00272AE7" w:rsidRDefault="0004679A" w:rsidP="001C3642">
      <w:pPr>
        <w:pStyle w:val="NormalWeb"/>
        <w:numPr>
          <w:ilvl w:val="0"/>
          <w:numId w:val="18"/>
        </w:numPr>
        <w:contextualSpacing/>
        <w:jc w:val="both"/>
        <w:rPr>
          <w:sz w:val="20"/>
          <w:szCs w:val="20"/>
        </w:rPr>
      </w:pPr>
      <w:r w:rsidRPr="00272AE7">
        <w:rPr>
          <w:sz w:val="20"/>
          <w:szCs w:val="20"/>
        </w:rPr>
        <w:t xml:space="preserve">Rana S, Lemoine E, Granger JP, Karumanchi SA. Preeclampsia: pathophysiology, challenges, and perspectives. </w:t>
      </w:r>
      <w:proofErr w:type="spellStart"/>
      <w:r w:rsidRPr="00272AE7">
        <w:rPr>
          <w:sz w:val="20"/>
          <w:szCs w:val="20"/>
        </w:rPr>
        <w:t>Circ</w:t>
      </w:r>
      <w:proofErr w:type="spellEnd"/>
      <w:r w:rsidRPr="00272AE7">
        <w:rPr>
          <w:sz w:val="20"/>
          <w:szCs w:val="20"/>
        </w:rPr>
        <w:t xml:space="preserve"> </w:t>
      </w:r>
      <w:proofErr w:type="spellStart"/>
      <w:r w:rsidRPr="00272AE7">
        <w:rPr>
          <w:sz w:val="20"/>
          <w:szCs w:val="20"/>
        </w:rPr>
        <w:t>Res</w:t>
      </w:r>
      <w:proofErr w:type="spellEnd"/>
      <w:r w:rsidRPr="00272AE7">
        <w:rPr>
          <w:sz w:val="20"/>
          <w:szCs w:val="20"/>
        </w:rPr>
        <w:t xml:space="preserve"> 2019; 124:1094–112.</w:t>
      </w:r>
    </w:p>
    <w:p w14:paraId="15090A9E" w14:textId="77777777" w:rsidR="0004679A" w:rsidRPr="00272AE7" w:rsidRDefault="0004679A" w:rsidP="001C3642">
      <w:pPr>
        <w:pStyle w:val="NormalWeb"/>
        <w:numPr>
          <w:ilvl w:val="0"/>
          <w:numId w:val="18"/>
        </w:numPr>
        <w:contextualSpacing/>
        <w:jc w:val="both"/>
        <w:rPr>
          <w:sz w:val="20"/>
          <w:szCs w:val="20"/>
          <w:lang w:val="en-US"/>
        </w:rPr>
      </w:pPr>
      <w:r w:rsidRPr="00272AE7">
        <w:rPr>
          <w:sz w:val="20"/>
          <w:szCs w:val="20"/>
          <w:lang w:val="en-US"/>
        </w:rPr>
        <w:t>Han C, Han L, Huang P, Chen Y, Wang Y, Xue F. Syncytiotrophoblast-derived extracellular vesicles in pathophysiology of preeclampsia. Front Physiol 2019; 10:1236.</w:t>
      </w:r>
    </w:p>
    <w:p w14:paraId="16E916CF" w14:textId="77777777" w:rsidR="0004679A" w:rsidRPr="00272AE7" w:rsidRDefault="0004679A" w:rsidP="001C3642">
      <w:pPr>
        <w:pStyle w:val="NormalWeb"/>
        <w:numPr>
          <w:ilvl w:val="0"/>
          <w:numId w:val="18"/>
        </w:numPr>
        <w:contextualSpacing/>
        <w:jc w:val="both"/>
        <w:rPr>
          <w:sz w:val="20"/>
          <w:szCs w:val="20"/>
        </w:rPr>
      </w:pPr>
      <w:r w:rsidRPr="00272AE7">
        <w:rPr>
          <w:sz w:val="20"/>
          <w:szCs w:val="20"/>
        </w:rPr>
        <w:t>Maynard SE, Min JY, Merchan J, et al. Excess placental soluble fms-like tyrosine kinase 1 (sFlt1) may contribute to endothelial dysfunction, hypertension, and proteinuria in preeclampsia. J Clin Invest 2003; 111:649–58.</w:t>
      </w:r>
    </w:p>
    <w:p w14:paraId="071CBAA6" w14:textId="77777777" w:rsidR="0004679A" w:rsidRPr="00272AE7" w:rsidRDefault="0004679A" w:rsidP="001C3642">
      <w:pPr>
        <w:pStyle w:val="NormalWeb"/>
        <w:numPr>
          <w:ilvl w:val="0"/>
          <w:numId w:val="18"/>
        </w:numPr>
        <w:contextualSpacing/>
        <w:jc w:val="both"/>
        <w:rPr>
          <w:sz w:val="20"/>
          <w:szCs w:val="20"/>
        </w:rPr>
      </w:pPr>
      <w:r w:rsidRPr="00272AE7">
        <w:rPr>
          <w:sz w:val="20"/>
          <w:szCs w:val="20"/>
        </w:rPr>
        <w:t xml:space="preserve">Levine RJ, Maynard SE, Qian C, et al. </w:t>
      </w:r>
      <w:proofErr w:type="spellStart"/>
      <w:r w:rsidRPr="00272AE7">
        <w:rPr>
          <w:sz w:val="20"/>
          <w:szCs w:val="20"/>
        </w:rPr>
        <w:t>Circulating</w:t>
      </w:r>
      <w:proofErr w:type="spellEnd"/>
      <w:r w:rsidRPr="00272AE7">
        <w:rPr>
          <w:sz w:val="20"/>
          <w:szCs w:val="20"/>
        </w:rPr>
        <w:t xml:space="preserve"> </w:t>
      </w:r>
      <w:proofErr w:type="spellStart"/>
      <w:r w:rsidRPr="00272AE7">
        <w:rPr>
          <w:sz w:val="20"/>
          <w:szCs w:val="20"/>
        </w:rPr>
        <w:t>angiogenic</w:t>
      </w:r>
      <w:proofErr w:type="spellEnd"/>
      <w:r w:rsidRPr="00272AE7">
        <w:rPr>
          <w:sz w:val="20"/>
          <w:szCs w:val="20"/>
        </w:rPr>
        <w:t xml:space="preserve"> </w:t>
      </w:r>
      <w:proofErr w:type="spellStart"/>
      <w:r w:rsidRPr="00272AE7">
        <w:rPr>
          <w:sz w:val="20"/>
          <w:szCs w:val="20"/>
        </w:rPr>
        <w:t>factors</w:t>
      </w:r>
      <w:proofErr w:type="spellEnd"/>
      <w:r w:rsidRPr="00272AE7">
        <w:rPr>
          <w:sz w:val="20"/>
          <w:szCs w:val="20"/>
        </w:rPr>
        <w:t xml:space="preserve"> and the </w:t>
      </w:r>
      <w:proofErr w:type="spellStart"/>
      <w:r w:rsidRPr="00272AE7">
        <w:rPr>
          <w:sz w:val="20"/>
          <w:szCs w:val="20"/>
        </w:rPr>
        <w:t>risk</w:t>
      </w:r>
      <w:proofErr w:type="spellEnd"/>
      <w:r w:rsidRPr="00272AE7">
        <w:rPr>
          <w:sz w:val="20"/>
          <w:szCs w:val="20"/>
        </w:rPr>
        <w:t xml:space="preserve"> of </w:t>
      </w:r>
      <w:proofErr w:type="spellStart"/>
      <w:r w:rsidRPr="00272AE7">
        <w:rPr>
          <w:sz w:val="20"/>
          <w:szCs w:val="20"/>
        </w:rPr>
        <w:t>preeclampsia</w:t>
      </w:r>
      <w:proofErr w:type="spellEnd"/>
      <w:r w:rsidRPr="00272AE7">
        <w:rPr>
          <w:sz w:val="20"/>
          <w:szCs w:val="20"/>
        </w:rPr>
        <w:t xml:space="preserve">. N </w:t>
      </w:r>
      <w:proofErr w:type="spellStart"/>
      <w:r w:rsidRPr="00272AE7">
        <w:rPr>
          <w:sz w:val="20"/>
          <w:szCs w:val="20"/>
        </w:rPr>
        <w:t>Engl</w:t>
      </w:r>
      <w:proofErr w:type="spellEnd"/>
      <w:r w:rsidRPr="00272AE7">
        <w:rPr>
          <w:sz w:val="20"/>
          <w:szCs w:val="20"/>
        </w:rPr>
        <w:t xml:space="preserve"> J Med 2004; 350:672–83.</w:t>
      </w:r>
    </w:p>
    <w:p w14:paraId="743135AA" w14:textId="77777777" w:rsidR="0004679A" w:rsidRPr="00272AE7" w:rsidRDefault="0004679A" w:rsidP="001C3642">
      <w:pPr>
        <w:pStyle w:val="NormalWeb"/>
        <w:numPr>
          <w:ilvl w:val="0"/>
          <w:numId w:val="18"/>
        </w:numPr>
        <w:contextualSpacing/>
        <w:jc w:val="both"/>
        <w:rPr>
          <w:sz w:val="20"/>
          <w:szCs w:val="20"/>
          <w:lang w:val="en-US"/>
        </w:rPr>
      </w:pPr>
      <w:r w:rsidRPr="00272AE7">
        <w:rPr>
          <w:sz w:val="20"/>
          <w:szCs w:val="20"/>
        </w:rPr>
        <w:t xml:space="preserve">Levine RJ, </w:t>
      </w:r>
      <w:proofErr w:type="spellStart"/>
      <w:r w:rsidRPr="00272AE7">
        <w:rPr>
          <w:sz w:val="20"/>
          <w:szCs w:val="20"/>
        </w:rPr>
        <w:t>Lam</w:t>
      </w:r>
      <w:proofErr w:type="spellEnd"/>
      <w:r w:rsidRPr="00272AE7">
        <w:rPr>
          <w:sz w:val="20"/>
          <w:szCs w:val="20"/>
        </w:rPr>
        <w:t xml:space="preserve"> C, Qian C, et al. Soluble </w:t>
      </w:r>
      <w:proofErr w:type="spellStart"/>
      <w:r w:rsidRPr="00272AE7">
        <w:rPr>
          <w:sz w:val="20"/>
          <w:szCs w:val="20"/>
        </w:rPr>
        <w:t>endoglin</w:t>
      </w:r>
      <w:proofErr w:type="spellEnd"/>
      <w:r w:rsidRPr="00272AE7">
        <w:rPr>
          <w:sz w:val="20"/>
          <w:szCs w:val="20"/>
        </w:rPr>
        <w:t xml:space="preserve"> and </w:t>
      </w:r>
      <w:proofErr w:type="spellStart"/>
      <w:r w:rsidRPr="00272AE7">
        <w:rPr>
          <w:sz w:val="20"/>
          <w:szCs w:val="20"/>
        </w:rPr>
        <w:t>other</w:t>
      </w:r>
      <w:proofErr w:type="spellEnd"/>
      <w:r w:rsidRPr="00272AE7">
        <w:rPr>
          <w:sz w:val="20"/>
          <w:szCs w:val="20"/>
        </w:rPr>
        <w:t xml:space="preserve"> </w:t>
      </w:r>
      <w:proofErr w:type="spellStart"/>
      <w:r w:rsidRPr="00272AE7">
        <w:rPr>
          <w:sz w:val="20"/>
          <w:szCs w:val="20"/>
        </w:rPr>
        <w:t>circulating</w:t>
      </w:r>
      <w:proofErr w:type="spellEnd"/>
      <w:r w:rsidRPr="00272AE7">
        <w:rPr>
          <w:sz w:val="20"/>
          <w:szCs w:val="20"/>
        </w:rPr>
        <w:t xml:space="preserve"> </w:t>
      </w:r>
      <w:proofErr w:type="spellStart"/>
      <w:r w:rsidRPr="00272AE7">
        <w:rPr>
          <w:sz w:val="20"/>
          <w:szCs w:val="20"/>
        </w:rPr>
        <w:t>antiangiogenic</w:t>
      </w:r>
      <w:proofErr w:type="spellEnd"/>
      <w:r w:rsidRPr="00272AE7">
        <w:rPr>
          <w:sz w:val="20"/>
          <w:szCs w:val="20"/>
        </w:rPr>
        <w:t xml:space="preserve"> </w:t>
      </w:r>
      <w:proofErr w:type="spellStart"/>
      <w:r w:rsidRPr="00272AE7">
        <w:rPr>
          <w:sz w:val="20"/>
          <w:szCs w:val="20"/>
        </w:rPr>
        <w:t>factors</w:t>
      </w:r>
      <w:proofErr w:type="spellEnd"/>
      <w:r w:rsidRPr="00272AE7">
        <w:rPr>
          <w:sz w:val="20"/>
          <w:szCs w:val="20"/>
        </w:rPr>
        <w:t xml:space="preserve"> in </w:t>
      </w:r>
      <w:proofErr w:type="spellStart"/>
      <w:r w:rsidRPr="00272AE7">
        <w:rPr>
          <w:sz w:val="20"/>
          <w:szCs w:val="20"/>
        </w:rPr>
        <w:t>preeclampsia</w:t>
      </w:r>
      <w:proofErr w:type="spellEnd"/>
      <w:r w:rsidRPr="00272AE7">
        <w:rPr>
          <w:sz w:val="20"/>
          <w:szCs w:val="20"/>
        </w:rPr>
        <w:t xml:space="preserve">. N </w:t>
      </w:r>
      <w:proofErr w:type="spellStart"/>
      <w:r w:rsidRPr="00272AE7">
        <w:rPr>
          <w:sz w:val="20"/>
          <w:szCs w:val="20"/>
        </w:rPr>
        <w:t>Engl</w:t>
      </w:r>
      <w:proofErr w:type="spellEnd"/>
      <w:r w:rsidRPr="00272AE7">
        <w:rPr>
          <w:sz w:val="20"/>
          <w:szCs w:val="20"/>
        </w:rPr>
        <w:t xml:space="preserve"> J Med 2006; 355:992–1005.</w:t>
      </w:r>
    </w:p>
    <w:p w14:paraId="1EE49FEA" w14:textId="77777777" w:rsidR="0004679A" w:rsidRPr="00272AE7" w:rsidRDefault="0004679A" w:rsidP="001C3642">
      <w:pPr>
        <w:pStyle w:val="NormalWeb"/>
        <w:numPr>
          <w:ilvl w:val="0"/>
          <w:numId w:val="18"/>
        </w:numPr>
        <w:contextualSpacing/>
        <w:jc w:val="both"/>
        <w:rPr>
          <w:sz w:val="20"/>
          <w:szCs w:val="20"/>
        </w:rPr>
      </w:pPr>
      <w:r w:rsidRPr="00272AE7">
        <w:rPr>
          <w:sz w:val="20"/>
          <w:szCs w:val="20"/>
          <w:lang w:val="en-US"/>
        </w:rPr>
        <w:t>Granger JP, Spradley FT, Bakrania BA. The endothelin system: a critical player in the pathophysiology of preeclampsia. Curr Hypertens Rep 2018; 20:32.</w:t>
      </w:r>
    </w:p>
    <w:p w14:paraId="43D78FE0" w14:textId="77777777" w:rsidR="0004679A" w:rsidRPr="00272AE7" w:rsidRDefault="0004679A" w:rsidP="001C3642">
      <w:pPr>
        <w:pStyle w:val="NormalWeb"/>
        <w:numPr>
          <w:ilvl w:val="0"/>
          <w:numId w:val="18"/>
        </w:numPr>
        <w:contextualSpacing/>
        <w:jc w:val="both"/>
        <w:rPr>
          <w:sz w:val="20"/>
          <w:szCs w:val="20"/>
          <w:lang w:val="en-US"/>
        </w:rPr>
      </w:pPr>
      <w:proofErr w:type="spellStart"/>
      <w:r w:rsidRPr="00272AE7">
        <w:rPr>
          <w:sz w:val="20"/>
          <w:szCs w:val="20"/>
        </w:rPr>
        <w:t>Zeisler</w:t>
      </w:r>
      <w:proofErr w:type="spellEnd"/>
      <w:r w:rsidRPr="00272AE7">
        <w:rPr>
          <w:sz w:val="20"/>
          <w:szCs w:val="20"/>
        </w:rPr>
        <w:t xml:space="preserve"> H, </w:t>
      </w:r>
      <w:proofErr w:type="spellStart"/>
      <w:r w:rsidRPr="00272AE7">
        <w:rPr>
          <w:sz w:val="20"/>
          <w:szCs w:val="20"/>
        </w:rPr>
        <w:t>Llurba</w:t>
      </w:r>
      <w:proofErr w:type="spellEnd"/>
      <w:r w:rsidRPr="00272AE7">
        <w:rPr>
          <w:sz w:val="20"/>
          <w:szCs w:val="20"/>
        </w:rPr>
        <w:t xml:space="preserve"> E, Chantraine F, et al. </w:t>
      </w:r>
      <w:proofErr w:type="spellStart"/>
      <w:r w:rsidRPr="00272AE7">
        <w:rPr>
          <w:sz w:val="20"/>
          <w:szCs w:val="20"/>
        </w:rPr>
        <w:t>Predictive</w:t>
      </w:r>
      <w:proofErr w:type="spellEnd"/>
      <w:r w:rsidRPr="00272AE7">
        <w:rPr>
          <w:sz w:val="20"/>
          <w:szCs w:val="20"/>
        </w:rPr>
        <w:t xml:space="preserve"> value of the sFlt-</w:t>
      </w:r>
      <w:proofErr w:type="gramStart"/>
      <w:r w:rsidRPr="00272AE7">
        <w:rPr>
          <w:sz w:val="20"/>
          <w:szCs w:val="20"/>
        </w:rPr>
        <w:t>1:</w:t>
      </w:r>
      <w:proofErr w:type="gramEnd"/>
      <w:r w:rsidRPr="00272AE7">
        <w:rPr>
          <w:sz w:val="20"/>
          <w:szCs w:val="20"/>
        </w:rPr>
        <w:t xml:space="preserve"> </w:t>
      </w:r>
      <w:proofErr w:type="spellStart"/>
      <w:r w:rsidRPr="00272AE7">
        <w:rPr>
          <w:sz w:val="20"/>
          <w:szCs w:val="20"/>
        </w:rPr>
        <w:t>PlGF</w:t>
      </w:r>
      <w:proofErr w:type="spellEnd"/>
      <w:r w:rsidRPr="00272AE7">
        <w:rPr>
          <w:sz w:val="20"/>
          <w:szCs w:val="20"/>
        </w:rPr>
        <w:t xml:space="preserve"> ratio in </w:t>
      </w:r>
      <w:proofErr w:type="spellStart"/>
      <w:r w:rsidRPr="00272AE7">
        <w:rPr>
          <w:sz w:val="20"/>
          <w:szCs w:val="20"/>
        </w:rPr>
        <w:t>women</w:t>
      </w:r>
      <w:proofErr w:type="spellEnd"/>
      <w:r w:rsidRPr="00272AE7">
        <w:rPr>
          <w:sz w:val="20"/>
          <w:szCs w:val="20"/>
        </w:rPr>
        <w:t xml:space="preserve"> </w:t>
      </w:r>
      <w:proofErr w:type="spellStart"/>
      <w:r w:rsidRPr="00272AE7">
        <w:rPr>
          <w:sz w:val="20"/>
          <w:szCs w:val="20"/>
        </w:rPr>
        <w:t>with</w:t>
      </w:r>
      <w:proofErr w:type="spellEnd"/>
      <w:r w:rsidRPr="00272AE7">
        <w:rPr>
          <w:sz w:val="20"/>
          <w:szCs w:val="20"/>
        </w:rPr>
        <w:t xml:space="preserve"> </w:t>
      </w:r>
      <w:proofErr w:type="spellStart"/>
      <w:r w:rsidRPr="00272AE7">
        <w:rPr>
          <w:sz w:val="20"/>
          <w:szCs w:val="20"/>
        </w:rPr>
        <w:t>suspected</w:t>
      </w:r>
      <w:proofErr w:type="spellEnd"/>
      <w:r w:rsidRPr="00272AE7">
        <w:rPr>
          <w:sz w:val="20"/>
          <w:szCs w:val="20"/>
        </w:rPr>
        <w:t xml:space="preserve"> </w:t>
      </w:r>
      <w:proofErr w:type="spellStart"/>
      <w:r w:rsidRPr="00272AE7">
        <w:rPr>
          <w:sz w:val="20"/>
          <w:szCs w:val="20"/>
        </w:rPr>
        <w:t>preeclampsia.N</w:t>
      </w:r>
      <w:proofErr w:type="spellEnd"/>
      <w:r w:rsidRPr="00272AE7">
        <w:rPr>
          <w:sz w:val="20"/>
          <w:szCs w:val="20"/>
        </w:rPr>
        <w:t xml:space="preserve"> </w:t>
      </w:r>
      <w:proofErr w:type="spellStart"/>
      <w:r w:rsidRPr="00272AE7">
        <w:rPr>
          <w:sz w:val="20"/>
          <w:szCs w:val="20"/>
        </w:rPr>
        <w:t>Engl</w:t>
      </w:r>
      <w:proofErr w:type="spellEnd"/>
      <w:r w:rsidRPr="00272AE7">
        <w:rPr>
          <w:sz w:val="20"/>
          <w:szCs w:val="20"/>
        </w:rPr>
        <w:t xml:space="preserve"> J Med 2016; 374:13–22.</w:t>
      </w:r>
    </w:p>
    <w:p w14:paraId="3FB7633C" w14:textId="77777777" w:rsidR="001336B7" w:rsidRPr="00272AE7" w:rsidRDefault="001336B7" w:rsidP="001C3642">
      <w:pPr>
        <w:pStyle w:val="NormalWeb"/>
        <w:numPr>
          <w:ilvl w:val="0"/>
          <w:numId w:val="18"/>
        </w:numPr>
        <w:jc w:val="both"/>
        <w:rPr>
          <w:sz w:val="20"/>
          <w:szCs w:val="20"/>
          <w:lang w:val="en-US"/>
        </w:rPr>
      </w:pPr>
      <w:r w:rsidRPr="00272AE7">
        <w:rPr>
          <w:sz w:val="20"/>
          <w:szCs w:val="20"/>
          <w:lang w:val="en-US"/>
        </w:rPr>
        <w:t xml:space="preserve">Saffer C, Olson G, Boggess KA, Beyerlein R, Eubank C, </w:t>
      </w:r>
      <w:proofErr w:type="spellStart"/>
      <w:r w:rsidRPr="00272AE7">
        <w:rPr>
          <w:sz w:val="20"/>
          <w:szCs w:val="20"/>
          <w:lang w:val="en-US"/>
        </w:rPr>
        <w:t>Sibai</w:t>
      </w:r>
      <w:proofErr w:type="spellEnd"/>
      <w:r w:rsidRPr="00272AE7">
        <w:rPr>
          <w:sz w:val="20"/>
          <w:szCs w:val="20"/>
          <w:lang w:val="en-US"/>
        </w:rPr>
        <w:t xml:space="preserve"> BM. Determination of placental growth factor (</w:t>
      </w:r>
      <w:proofErr w:type="spellStart"/>
      <w:r w:rsidRPr="00272AE7">
        <w:rPr>
          <w:sz w:val="20"/>
          <w:szCs w:val="20"/>
          <w:lang w:val="en-US"/>
        </w:rPr>
        <w:t>PlGF</w:t>
      </w:r>
      <w:proofErr w:type="spellEnd"/>
      <w:r w:rsidRPr="00272AE7">
        <w:rPr>
          <w:sz w:val="20"/>
          <w:szCs w:val="20"/>
          <w:lang w:val="en-US"/>
        </w:rPr>
        <w:t>) levels in healthy pregnant women without signs or symptoms of preeclampsia. Pregnancy Hypertensive 2013; 3:124–32.</w:t>
      </w:r>
    </w:p>
    <w:p w14:paraId="7966CCFC" w14:textId="77777777" w:rsidR="001336B7" w:rsidRPr="00272AE7" w:rsidRDefault="001336B7" w:rsidP="001C3642">
      <w:pPr>
        <w:pStyle w:val="NormalWeb"/>
        <w:numPr>
          <w:ilvl w:val="0"/>
          <w:numId w:val="18"/>
        </w:numPr>
        <w:jc w:val="both"/>
        <w:rPr>
          <w:sz w:val="20"/>
          <w:szCs w:val="20"/>
          <w:lang w:val="en-US"/>
        </w:rPr>
      </w:pPr>
      <w:r w:rsidRPr="00272AE7">
        <w:rPr>
          <w:sz w:val="20"/>
          <w:szCs w:val="20"/>
          <w:lang w:val="en-US"/>
        </w:rPr>
        <w:t>Chappell LC, Duckworth S, Seed PT, et al. Diagnostic accuracy of placental growth factor in women with suspected preeclampsia: a prospective multicenter study. Traffic 2013; 128:2121–31.</w:t>
      </w:r>
    </w:p>
    <w:p w14:paraId="77D2D7BB" w14:textId="77777777" w:rsidR="001336B7" w:rsidRPr="00272AE7" w:rsidRDefault="001336B7" w:rsidP="001C3642">
      <w:pPr>
        <w:pStyle w:val="NormalWeb"/>
        <w:numPr>
          <w:ilvl w:val="0"/>
          <w:numId w:val="18"/>
        </w:numPr>
        <w:jc w:val="both"/>
        <w:rPr>
          <w:sz w:val="20"/>
          <w:szCs w:val="20"/>
          <w:lang w:val="en-US"/>
        </w:rPr>
      </w:pPr>
      <w:r w:rsidRPr="00272AE7">
        <w:rPr>
          <w:sz w:val="20"/>
          <w:szCs w:val="20"/>
          <w:lang w:val="en-US"/>
        </w:rPr>
        <w:t>Rana S, Powe CE, Salahuddin S, et al. Angiogenic factors and the risk of adverse outcomes in women with suspected preeclampsia. Traffic 2012; 125:911–19.</w:t>
      </w:r>
    </w:p>
    <w:p w14:paraId="6EAB0842" w14:textId="77777777" w:rsidR="001336B7" w:rsidRPr="00272AE7" w:rsidRDefault="001336B7" w:rsidP="001C3642">
      <w:pPr>
        <w:pStyle w:val="NormalWeb"/>
        <w:numPr>
          <w:ilvl w:val="0"/>
          <w:numId w:val="18"/>
        </w:numPr>
        <w:jc w:val="both"/>
        <w:rPr>
          <w:sz w:val="20"/>
          <w:szCs w:val="20"/>
          <w:lang w:val="en-US"/>
        </w:rPr>
      </w:pPr>
      <w:r w:rsidRPr="00272AE7">
        <w:rPr>
          <w:sz w:val="20"/>
          <w:szCs w:val="20"/>
          <w:lang w:val="en-US"/>
        </w:rPr>
        <w:t>National Institute for Health and Care Excellence. Hypertension in pregnancy: diagnosis and management. June 25, 2019. https://www. nice.org.uk/guidance/NG133 (accessed April 1, 2020).</w:t>
      </w:r>
    </w:p>
    <w:p w14:paraId="3268B866" w14:textId="77777777" w:rsidR="001336B7" w:rsidRPr="00272AE7" w:rsidRDefault="001336B7" w:rsidP="001C3642">
      <w:pPr>
        <w:pStyle w:val="NormalWeb"/>
        <w:numPr>
          <w:ilvl w:val="0"/>
          <w:numId w:val="18"/>
        </w:numPr>
        <w:jc w:val="both"/>
        <w:rPr>
          <w:sz w:val="20"/>
          <w:szCs w:val="20"/>
          <w:lang w:val="en-US"/>
        </w:rPr>
      </w:pPr>
      <w:r w:rsidRPr="00272AE7">
        <w:rPr>
          <w:sz w:val="20"/>
          <w:szCs w:val="20"/>
          <w:lang w:val="en-US"/>
        </w:rPr>
        <w:t>Duhig KE, Myers J, Seed PT, et al. Placental growth factor testing to assess women with suspected pre-eclampsia: a multicenter, pragmatic, stepped-wedge cluster-randomized controlled trial. Lancet 2019; 393:1807–18.</w:t>
      </w:r>
    </w:p>
    <w:p w14:paraId="7676F499" w14:textId="77777777" w:rsidR="001336B7" w:rsidRPr="00272AE7" w:rsidRDefault="001336B7" w:rsidP="001C3642">
      <w:pPr>
        <w:pStyle w:val="NormalWeb"/>
        <w:numPr>
          <w:ilvl w:val="0"/>
          <w:numId w:val="18"/>
        </w:numPr>
        <w:jc w:val="both"/>
        <w:rPr>
          <w:sz w:val="20"/>
          <w:szCs w:val="20"/>
          <w:lang w:val="en-US"/>
        </w:rPr>
      </w:pPr>
      <w:r w:rsidRPr="00272AE7">
        <w:rPr>
          <w:sz w:val="20"/>
          <w:szCs w:val="20"/>
          <w:lang w:val="en-US"/>
        </w:rPr>
        <w:t xml:space="preserve">Venkatesha, S. </w:t>
      </w:r>
      <w:proofErr w:type="spellStart"/>
      <w:r w:rsidRPr="00272AE7">
        <w:rPr>
          <w:sz w:val="20"/>
          <w:szCs w:val="20"/>
          <w:lang w:val="en-US"/>
        </w:rPr>
        <w:t>Toporsian</w:t>
      </w:r>
      <w:proofErr w:type="spellEnd"/>
      <w:r w:rsidRPr="00272AE7">
        <w:rPr>
          <w:sz w:val="20"/>
          <w:szCs w:val="20"/>
          <w:lang w:val="en-US"/>
        </w:rPr>
        <w:t>, M. Lam, C. and Al. 2006. Soluble Endoglin Contributes To The Pathogenesis Of Preeclampsia. Nat. Med. 12, 642–649.</w:t>
      </w:r>
    </w:p>
    <w:p w14:paraId="4C927FBA" w14:textId="77777777" w:rsidR="00D5707F" w:rsidRPr="00272AE7" w:rsidRDefault="00D5707F" w:rsidP="001C3642">
      <w:pPr>
        <w:pStyle w:val="Paragraphedeliste"/>
        <w:numPr>
          <w:ilvl w:val="0"/>
          <w:numId w:val="18"/>
        </w:numPr>
        <w:shd w:val="clear" w:color="auto" w:fill="FFFFFF"/>
        <w:spacing w:before="100" w:beforeAutospacing="1" w:after="100" w:afterAutospacing="1"/>
        <w:jc w:val="both"/>
        <w:rPr>
          <w:sz w:val="20"/>
          <w:szCs w:val="20"/>
          <w:lang w:val="en-US"/>
        </w:rPr>
      </w:pPr>
      <w:r w:rsidRPr="00272AE7">
        <w:rPr>
          <w:sz w:val="20"/>
          <w:szCs w:val="20"/>
          <w:lang w:val="en-US"/>
        </w:rPr>
        <w:t xml:space="preserve">Hata T, </w:t>
      </w:r>
      <w:proofErr w:type="spellStart"/>
      <w:r w:rsidRPr="00272AE7">
        <w:rPr>
          <w:sz w:val="20"/>
          <w:szCs w:val="20"/>
          <w:lang w:val="en-US"/>
        </w:rPr>
        <w:t>Senoh</w:t>
      </w:r>
      <w:proofErr w:type="spellEnd"/>
      <w:r w:rsidRPr="00272AE7">
        <w:rPr>
          <w:sz w:val="20"/>
          <w:szCs w:val="20"/>
          <w:lang w:val="en-US"/>
        </w:rPr>
        <w:t xml:space="preserve"> D, Hata K, Kitao M. Ophthalmic artery velocimetry in pregnant women. Lancet 1992; 340:182–183.</w:t>
      </w:r>
    </w:p>
    <w:p w14:paraId="2B3ADD03" w14:textId="77777777" w:rsidR="00D5707F" w:rsidRPr="00272AE7" w:rsidRDefault="00D5707F" w:rsidP="001C3642">
      <w:pPr>
        <w:pStyle w:val="Paragraphedeliste"/>
        <w:numPr>
          <w:ilvl w:val="0"/>
          <w:numId w:val="18"/>
        </w:numPr>
        <w:shd w:val="clear" w:color="auto" w:fill="FFFFFF"/>
        <w:spacing w:before="100" w:beforeAutospacing="1" w:after="100" w:afterAutospacing="1"/>
        <w:jc w:val="both"/>
        <w:rPr>
          <w:sz w:val="20"/>
          <w:szCs w:val="20"/>
          <w:lang w:val="en-US"/>
        </w:rPr>
      </w:pPr>
      <w:r w:rsidRPr="00272AE7">
        <w:rPr>
          <w:sz w:val="20"/>
          <w:szCs w:val="20"/>
          <w:lang w:val="en-US"/>
        </w:rPr>
        <w:t>Kane SC, Brennecke SP, da Silva Costa F. Ophthalmic artery Doppler analysis: a window into the cerebrovasculature of women with pre-eclampsia. Ultrasound Obstet Gynecol 2017; 49:15-21.</w:t>
      </w:r>
    </w:p>
    <w:p w14:paraId="0C3D78C9" w14:textId="77777777" w:rsidR="00D5707F" w:rsidRPr="00272AE7" w:rsidRDefault="00D5707F" w:rsidP="001C3642">
      <w:pPr>
        <w:pStyle w:val="Paragraphedeliste"/>
        <w:numPr>
          <w:ilvl w:val="0"/>
          <w:numId w:val="18"/>
        </w:numPr>
        <w:shd w:val="clear" w:color="auto" w:fill="FFFFFF"/>
        <w:spacing w:before="100" w:beforeAutospacing="1" w:after="100" w:afterAutospacing="1"/>
        <w:jc w:val="both"/>
        <w:rPr>
          <w:sz w:val="20"/>
          <w:szCs w:val="20"/>
          <w:lang w:val="en-US"/>
        </w:rPr>
      </w:pPr>
      <w:r w:rsidRPr="00272AE7">
        <w:rPr>
          <w:sz w:val="20"/>
          <w:szCs w:val="20"/>
          <w:lang w:val="en-US"/>
        </w:rPr>
        <w:t>Riskin-Mashiah S, Belfort MA, Saade GR, Herd JA. Transcranial doppler measurement of cerebral velocity indices as a predictor of preeclampsia. Am J Obstet Gynecol 2002; 187:1667–1672.</w:t>
      </w:r>
    </w:p>
    <w:p w14:paraId="2D4F6F71" w14:textId="77777777" w:rsidR="00D5707F" w:rsidRPr="00272AE7" w:rsidRDefault="00D5707F" w:rsidP="001C3642">
      <w:pPr>
        <w:pStyle w:val="Paragraphedeliste"/>
        <w:numPr>
          <w:ilvl w:val="0"/>
          <w:numId w:val="18"/>
        </w:numPr>
        <w:shd w:val="clear" w:color="auto" w:fill="FFFFFF"/>
        <w:spacing w:before="100" w:beforeAutospacing="1" w:after="100" w:afterAutospacing="1"/>
        <w:jc w:val="both"/>
        <w:rPr>
          <w:sz w:val="20"/>
          <w:szCs w:val="20"/>
          <w:lang w:val="en-US"/>
        </w:rPr>
      </w:pPr>
      <w:r w:rsidRPr="00272AE7">
        <w:rPr>
          <w:sz w:val="20"/>
          <w:szCs w:val="20"/>
          <w:lang w:val="en-US"/>
        </w:rPr>
        <w:t>Belfort M, Van Veen T, White GL, Kofford S, Allred J, Postma I, Varner M. Low maternal middle cerebral artery Doppler resistance indices can predict future development of pre-eclampsia. Ultrasound Obstet Gynecol 2012; 40:406–411.</w:t>
      </w:r>
    </w:p>
    <w:p w14:paraId="5B731346" w14:textId="77777777" w:rsidR="00D5707F" w:rsidRPr="00272AE7" w:rsidRDefault="00D5707F" w:rsidP="001C3642">
      <w:pPr>
        <w:pStyle w:val="Paragraphedeliste"/>
        <w:numPr>
          <w:ilvl w:val="0"/>
          <w:numId w:val="18"/>
        </w:numPr>
        <w:shd w:val="clear" w:color="auto" w:fill="FFFFFF"/>
        <w:spacing w:before="100" w:beforeAutospacing="1" w:after="100" w:afterAutospacing="1"/>
        <w:jc w:val="both"/>
        <w:rPr>
          <w:sz w:val="20"/>
          <w:szCs w:val="20"/>
          <w:lang w:val="en-US"/>
        </w:rPr>
      </w:pPr>
      <w:r w:rsidRPr="00272AE7">
        <w:rPr>
          <w:sz w:val="20"/>
          <w:szCs w:val="20"/>
          <w:lang w:val="en-US"/>
        </w:rPr>
        <w:t xml:space="preserve">Gurgel Alves JA, </w:t>
      </w:r>
      <w:proofErr w:type="spellStart"/>
      <w:r w:rsidRPr="00272AE7">
        <w:rPr>
          <w:sz w:val="20"/>
          <w:szCs w:val="20"/>
          <w:lang w:val="en-US"/>
        </w:rPr>
        <w:t>Praciano</w:t>
      </w:r>
      <w:proofErr w:type="spellEnd"/>
      <w:r w:rsidRPr="00272AE7">
        <w:rPr>
          <w:sz w:val="20"/>
          <w:szCs w:val="20"/>
          <w:lang w:val="en-US"/>
        </w:rPr>
        <w:t xml:space="preserve"> de Sousa PC, Bezerra Maia e Holanda Moura S, Kane SC, da Silva Costa F. First trimester maternal ophthalmic artery doppler analysis for prediction of pre-eclampsia. Ultrasound Obstet Gynecol 2014; 44:411–418.</w:t>
      </w:r>
    </w:p>
    <w:p w14:paraId="68B73A5F" w14:textId="77777777" w:rsidR="00D5707F" w:rsidRPr="00272AE7" w:rsidRDefault="00D5707F" w:rsidP="001C3642">
      <w:pPr>
        <w:pStyle w:val="Paragraphedeliste"/>
        <w:numPr>
          <w:ilvl w:val="0"/>
          <w:numId w:val="18"/>
        </w:numPr>
        <w:shd w:val="clear" w:color="auto" w:fill="FFFFFF"/>
        <w:spacing w:before="100" w:beforeAutospacing="1" w:after="100" w:afterAutospacing="1"/>
        <w:jc w:val="both"/>
        <w:rPr>
          <w:sz w:val="20"/>
          <w:szCs w:val="20"/>
          <w:lang w:val="en-US"/>
        </w:rPr>
      </w:pPr>
      <w:proofErr w:type="spellStart"/>
      <w:r w:rsidRPr="00272AE7">
        <w:rPr>
          <w:sz w:val="20"/>
          <w:szCs w:val="20"/>
          <w:lang w:val="en-US"/>
        </w:rPr>
        <w:t>Praciano</w:t>
      </w:r>
      <w:proofErr w:type="spellEnd"/>
      <w:r w:rsidRPr="00272AE7">
        <w:rPr>
          <w:sz w:val="20"/>
          <w:szCs w:val="20"/>
          <w:lang w:val="en-US"/>
        </w:rPr>
        <w:t xml:space="preserve"> de Souza PC, Gurgel Alves JA, Bezerra Maia EHMS, Araujo Junior E, Martins WP, Da Silva Costa F. Second trimester screening of preeclampsia using maternal characteristics and uterine and ophthalmic artery doppler. </w:t>
      </w:r>
      <w:proofErr w:type="spellStart"/>
      <w:r w:rsidRPr="00272AE7">
        <w:rPr>
          <w:sz w:val="20"/>
          <w:szCs w:val="20"/>
          <w:lang w:val="en-US"/>
        </w:rPr>
        <w:t>Ultraschall</w:t>
      </w:r>
      <w:proofErr w:type="spellEnd"/>
      <w:r w:rsidRPr="00272AE7">
        <w:rPr>
          <w:sz w:val="20"/>
          <w:szCs w:val="20"/>
          <w:lang w:val="en-US"/>
        </w:rPr>
        <w:t xml:space="preserve"> Med 2018; 39:190-197.</w:t>
      </w:r>
    </w:p>
    <w:p w14:paraId="58473576" w14:textId="77777777" w:rsidR="00C17007" w:rsidRPr="00272AE7" w:rsidRDefault="00D5707F" w:rsidP="001C3642">
      <w:pPr>
        <w:pStyle w:val="Paragraphedeliste"/>
        <w:numPr>
          <w:ilvl w:val="0"/>
          <w:numId w:val="18"/>
        </w:numPr>
        <w:spacing w:before="100" w:beforeAutospacing="1" w:after="100" w:afterAutospacing="1"/>
        <w:jc w:val="both"/>
        <w:rPr>
          <w:sz w:val="20"/>
          <w:szCs w:val="20"/>
        </w:rPr>
      </w:pPr>
      <w:r w:rsidRPr="00272AE7">
        <w:rPr>
          <w:sz w:val="20"/>
          <w:szCs w:val="20"/>
        </w:rPr>
        <w:t xml:space="preserve">Chien, PF Arnott, N. Gordon, A. Et Al. 2000. How Useful Is Uterine Artery Doppler Flow Velocimetry In The Prediction Of Pre-Eclampsia, Intrauterine Growth Retardation And Perinatal Death? An Overview. </w:t>
      </w:r>
      <w:proofErr w:type="spellStart"/>
      <w:r w:rsidRPr="00272AE7">
        <w:rPr>
          <w:sz w:val="20"/>
          <w:szCs w:val="20"/>
        </w:rPr>
        <w:t>Bjog</w:t>
      </w:r>
      <w:proofErr w:type="spellEnd"/>
      <w:r w:rsidRPr="00272AE7">
        <w:rPr>
          <w:sz w:val="20"/>
          <w:szCs w:val="20"/>
        </w:rPr>
        <w:t xml:space="preserve"> 107, 196–208.</w:t>
      </w:r>
    </w:p>
    <w:p w14:paraId="3EDADFBC" w14:textId="77777777" w:rsidR="00C17007" w:rsidRPr="00272AE7" w:rsidRDefault="00C17007" w:rsidP="001C3642">
      <w:pPr>
        <w:pStyle w:val="Paragraphedeliste"/>
        <w:numPr>
          <w:ilvl w:val="0"/>
          <w:numId w:val="18"/>
        </w:numPr>
        <w:spacing w:before="100" w:beforeAutospacing="1" w:after="100" w:afterAutospacing="1"/>
        <w:jc w:val="both"/>
        <w:rPr>
          <w:sz w:val="20"/>
          <w:szCs w:val="20"/>
        </w:rPr>
      </w:pPr>
      <w:r w:rsidRPr="00272AE7">
        <w:rPr>
          <w:sz w:val="20"/>
          <w:szCs w:val="20"/>
          <w:lang w:val="en-US"/>
        </w:rPr>
        <w:t>Tan MY, Wright D, Syngelaki A, et al. Comparison of diagnostic accuracy of early screening for pre-eclampsia by NICE guidelines and a method combining maternal factors and biomarkers: results of SPREE. Ultrasound Obstet Gynecol 2018; 51:743–50.</w:t>
      </w:r>
    </w:p>
    <w:p w14:paraId="6DC61067" w14:textId="77777777" w:rsidR="00C17007" w:rsidRPr="00272AE7" w:rsidRDefault="00C17007" w:rsidP="001C3642">
      <w:pPr>
        <w:pStyle w:val="NormalWeb"/>
        <w:numPr>
          <w:ilvl w:val="0"/>
          <w:numId w:val="18"/>
        </w:numPr>
        <w:jc w:val="both"/>
        <w:rPr>
          <w:sz w:val="20"/>
          <w:szCs w:val="20"/>
          <w:lang w:val="en-US"/>
        </w:rPr>
      </w:pPr>
      <w:r w:rsidRPr="00272AE7">
        <w:rPr>
          <w:sz w:val="20"/>
          <w:szCs w:val="20"/>
          <w:lang w:val="en-US"/>
        </w:rPr>
        <w:t>Henderson JT, Thompson JH, Burda BU, Cantor A. Preeclampsia screening: evidence report and systematic review for the US Preventive Services Task Force. JAMA 2017; 317:1668–83.</w:t>
      </w:r>
    </w:p>
    <w:p w14:paraId="627028D7" w14:textId="77777777" w:rsidR="00C17007" w:rsidRPr="00272AE7" w:rsidRDefault="00C17007" w:rsidP="001C3642">
      <w:pPr>
        <w:pStyle w:val="NormalWeb"/>
        <w:numPr>
          <w:ilvl w:val="0"/>
          <w:numId w:val="18"/>
        </w:numPr>
        <w:jc w:val="both"/>
        <w:rPr>
          <w:sz w:val="20"/>
          <w:szCs w:val="20"/>
          <w:lang w:val="en-US"/>
        </w:rPr>
      </w:pPr>
      <w:r w:rsidRPr="006607D6">
        <w:rPr>
          <w:sz w:val="20"/>
          <w:szCs w:val="20"/>
        </w:rPr>
        <w:t>Brown MA, Magee LA, Kenny LC, et al. The hypertensive disorders of pregnancy: ISSHP classification, diagnosis, and management recommendations for international practice. Hypertension 2018; 13:291–310.</w:t>
      </w:r>
    </w:p>
    <w:p w14:paraId="03DBAFD4" w14:textId="77777777" w:rsidR="00973516" w:rsidRPr="00272AE7" w:rsidRDefault="00C17007" w:rsidP="001C3642">
      <w:pPr>
        <w:pStyle w:val="NormalWeb"/>
        <w:numPr>
          <w:ilvl w:val="0"/>
          <w:numId w:val="18"/>
        </w:numPr>
        <w:jc w:val="both"/>
        <w:rPr>
          <w:sz w:val="20"/>
          <w:szCs w:val="20"/>
          <w:lang w:val="en-US"/>
        </w:rPr>
      </w:pPr>
      <w:r w:rsidRPr="00272AE7">
        <w:rPr>
          <w:sz w:val="20"/>
          <w:szCs w:val="20"/>
          <w:lang w:val="en-US"/>
        </w:rPr>
        <w:t>Poon LC, Shennan A, Hyett JA, et al. The International Federation of Gynecology and Obstetrics (FIGO) initiative on pre-eclampsia: a pragmatic guide for first-trimester screening and prevention.Int J Gynaecol Obstet 2019; 145 (suppl 1): 1–33.</w:t>
      </w:r>
    </w:p>
    <w:p w14:paraId="1DF504D3" w14:textId="77777777" w:rsidR="00973516" w:rsidRPr="00272AE7" w:rsidRDefault="00973516" w:rsidP="001C3642">
      <w:pPr>
        <w:pStyle w:val="NormalWeb"/>
        <w:numPr>
          <w:ilvl w:val="0"/>
          <w:numId w:val="18"/>
        </w:numPr>
        <w:jc w:val="both"/>
        <w:rPr>
          <w:sz w:val="20"/>
          <w:szCs w:val="20"/>
          <w:lang w:val="en-US"/>
        </w:rPr>
      </w:pPr>
      <w:r w:rsidRPr="00272AE7">
        <w:rPr>
          <w:sz w:val="20"/>
          <w:szCs w:val="20"/>
          <w:lang w:val="en-US"/>
        </w:rPr>
        <w:t>Duley L, Meher S, Hunter KE, Seidler AL, Askie LM. Antiplatelet agents for preventing pre-eclampsia and its complications. Cochrane Database Syst Rev 2019; 2019: CD004659.</w:t>
      </w:r>
    </w:p>
    <w:p w14:paraId="5BC6DDF4" w14:textId="77777777" w:rsidR="00973516" w:rsidRPr="00272AE7" w:rsidRDefault="00973516" w:rsidP="001C3642">
      <w:pPr>
        <w:pStyle w:val="NormalWeb"/>
        <w:numPr>
          <w:ilvl w:val="0"/>
          <w:numId w:val="18"/>
        </w:numPr>
        <w:contextualSpacing/>
        <w:jc w:val="both"/>
        <w:rPr>
          <w:sz w:val="20"/>
          <w:szCs w:val="20"/>
        </w:rPr>
      </w:pPr>
      <w:r w:rsidRPr="00272AE7">
        <w:rPr>
          <w:sz w:val="20"/>
          <w:szCs w:val="20"/>
          <w:lang w:val="en-US"/>
        </w:rPr>
        <w:t>ACOG. ACOG committee opinion no. 743 summary: low-dose aspirin use during pregnancy. Obstet Gynecol 2018; 132:254–56</w:t>
      </w:r>
    </w:p>
    <w:p w14:paraId="773DC888" w14:textId="77777777" w:rsidR="00973516" w:rsidRPr="00272AE7" w:rsidRDefault="00973516" w:rsidP="001C3642">
      <w:pPr>
        <w:pStyle w:val="NormalWeb"/>
        <w:numPr>
          <w:ilvl w:val="0"/>
          <w:numId w:val="18"/>
        </w:numPr>
        <w:contextualSpacing/>
        <w:jc w:val="both"/>
        <w:rPr>
          <w:sz w:val="20"/>
          <w:szCs w:val="20"/>
        </w:rPr>
      </w:pPr>
      <w:r w:rsidRPr="001079E2">
        <w:rPr>
          <w:sz w:val="20"/>
          <w:szCs w:val="20"/>
          <w:lang w:val="en-US"/>
        </w:rPr>
        <w:t>ACOG. Gestational hypertension and preeclampsia: ACOG practice bulletin, number 222. Obstet Gynecol 2020; 135:e237–60.</w:t>
      </w:r>
    </w:p>
    <w:p w14:paraId="18430305" w14:textId="77777777" w:rsidR="00973516" w:rsidRPr="001079E2" w:rsidRDefault="00973516" w:rsidP="001C3642">
      <w:pPr>
        <w:pStyle w:val="NormalWeb"/>
        <w:numPr>
          <w:ilvl w:val="0"/>
          <w:numId w:val="18"/>
        </w:numPr>
        <w:contextualSpacing/>
        <w:jc w:val="both"/>
        <w:rPr>
          <w:sz w:val="20"/>
          <w:szCs w:val="20"/>
        </w:rPr>
      </w:pPr>
      <w:r w:rsidRPr="001079E2">
        <w:rPr>
          <w:sz w:val="20"/>
          <w:szCs w:val="20"/>
        </w:rPr>
        <w:t>Brown MA, Magee LA, Kenny LC, et al. The hypertensive disorders of pregnancy: ISSHP classification, diagnosis, and management recommendations for international practice. Hypertension 2018;13:291–310.</w:t>
      </w:r>
    </w:p>
    <w:p w14:paraId="5DD782CC" w14:textId="77777777" w:rsidR="00780523" w:rsidRPr="00272AE7" w:rsidRDefault="0078052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American College of Obstetricians and Gynecologists, Task Force on Hypertension in Pregnancy. Hypertension in pregnancy. Report of the American College of Obstetricians and Gynecologists' Task Force on Hypertension in Pregnancy. Obstet Gynecol (2013) 122(5):1122–31. doi:10.1097/01.AOG.0000437382.03963.88</w:t>
      </w:r>
    </w:p>
    <w:p w14:paraId="2FC1BDDA" w14:textId="77777777" w:rsidR="00780523" w:rsidRPr="00272AE7" w:rsidRDefault="0078052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Peacock WF, Hilleman DE, Levy PD, Rhoney DH, Varon J. A systematic review of nicardipine vs labetalol for the management of hypertensive crises. Am J Emerg Med (2012) 30(6):981–93. doi: 10.1016/j.ajem.2011.06.040</w:t>
      </w:r>
    </w:p>
    <w:p w14:paraId="369D23B2" w14:textId="77777777" w:rsidR="00780523" w:rsidRPr="00272AE7" w:rsidRDefault="00780523" w:rsidP="001C3642">
      <w:pPr>
        <w:pStyle w:val="Paragraphedeliste"/>
        <w:numPr>
          <w:ilvl w:val="0"/>
          <w:numId w:val="18"/>
        </w:numPr>
        <w:spacing w:before="100" w:beforeAutospacing="1" w:after="100" w:afterAutospacing="1"/>
        <w:jc w:val="both"/>
        <w:rPr>
          <w:sz w:val="20"/>
          <w:szCs w:val="20"/>
          <w:lang w:val="en-US"/>
        </w:rPr>
      </w:pPr>
      <w:proofErr w:type="spellStart"/>
      <w:r w:rsidRPr="00272AE7">
        <w:rPr>
          <w:sz w:val="20"/>
          <w:szCs w:val="20"/>
          <w:lang w:val="en-US"/>
        </w:rPr>
        <w:t>Molvi</w:t>
      </w:r>
      <w:proofErr w:type="spellEnd"/>
      <w:r w:rsidRPr="00272AE7">
        <w:rPr>
          <w:sz w:val="20"/>
          <w:szCs w:val="20"/>
          <w:lang w:val="en-US"/>
        </w:rPr>
        <w:t xml:space="preserve"> SN, Mir S, Rana VS, Jabeen F, Malik AR. Role of antihypertensive therapy in mild to moderate pregnancy-induced hypertension: a prospective randomized study comparing labetalol with alpha methyldopa. Arch Gynecol Obstet (2012) 285(6):1553–62. doi:10.1007/s00404-011-2205-2</w:t>
      </w:r>
    </w:p>
    <w:p w14:paraId="456F32CA" w14:textId="77777777" w:rsidR="00780523" w:rsidRPr="00272AE7" w:rsidRDefault="0078052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Clark JA, Zimmerman HJ, Tanner LA, Hepatotoxicity L. Ann Intern Med (1990) 113(3):210–3.</w:t>
      </w:r>
    </w:p>
    <w:p w14:paraId="55FC4207" w14:textId="77777777" w:rsidR="00780523" w:rsidRPr="00272AE7" w:rsidRDefault="0078052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Smith P, Anthony J, Johanson R. Nifedipine in pregnancy. BJOG (2000) 107(3):299–307. doi:10.1111/j.1471-0528. 2000.tb13222.x</w:t>
      </w:r>
    </w:p>
    <w:p w14:paraId="497DEDCB" w14:textId="77777777" w:rsidR="00780523" w:rsidRPr="00272AE7" w:rsidRDefault="0078052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Vermillion ST, Scardo JA, Newman RB, Chauhan SP. A randomized, double-blind trial of oral nifedipine and intravenous labetalol in hypertensive emergencies of pregnancy. Am J Obstet Gynecol (1999) 181(4):858–61. doi: 10.1016/S0002-9378(99)70314-5</w:t>
      </w:r>
    </w:p>
    <w:p w14:paraId="7F186A1F" w14:textId="77777777" w:rsidR="00780523" w:rsidRPr="00272AE7" w:rsidRDefault="0078052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 xml:space="preserve">Rezaei Z, </w:t>
      </w:r>
      <w:proofErr w:type="spellStart"/>
      <w:r w:rsidRPr="00272AE7">
        <w:rPr>
          <w:sz w:val="20"/>
          <w:szCs w:val="20"/>
          <w:lang w:val="en-US"/>
        </w:rPr>
        <w:t>Sharbaf</w:t>
      </w:r>
      <w:proofErr w:type="spellEnd"/>
      <w:r w:rsidRPr="00272AE7">
        <w:rPr>
          <w:sz w:val="20"/>
          <w:szCs w:val="20"/>
          <w:lang w:val="en-US"/>
        </w:rPr>
        <w:t xml:space="preserve"> FR, </w:t>
      </w:r>
      <w:proofErr w:type="spellStart"/>
      <w:r w:rsidRPr="00272AE7">
        <w:rPr>
          <w:sz w:val="20"/>
          <w:szCs w:val="20"/>
          <w:lang w:val="en-US"/>
        </w:rPr>
        <w:t>Pourmojieb</w:t>
      </w:r>
      <w:proofErr w:type="spellEnd"/>
      <w:r w:rsidRPr="00272AE7">
        <w:rPr>
          <w:sz w:val="20"/>
          <w:szCs w:val="20"/>
          <w:lang w:val="en-US"/>
        </w:rPr>
        <w:t xml:space="preserve"> M, </w:t>
      </w:r>
      <w:proofErr w:type="spellStart"/>
      <w:r w:rsidRPr="00272AE7">
        <w:rPr>
          <w:sz w:val="20"/>
          <w:szCs w:val="20"/>
          <w:lang w:val="en-US"/>
        </w:rPr>
        <w:t>Youefzadeh</w:t>
      </w:r>
      <w:proofErr w:type="spellEnd"/>
      <w:r w:rsidRPr="00272AE7">
        <w:rPr>
          <w:sz w:val="20"/>
          <w:szCs w:val="20"/>
          <w:lang w:val="en-US"/>
        </w:rPr>
        <w:t xml:space="preserve">-Fard Y, </w:t>
      </w:r>
      <w:proofErr w:type="spellStart"/>
      <w:r w:rsidRPr="00272AE7">
        <w:rPr>
          <w:sz w:val="20"/>
          <w:szCs w:val="20"/>
          <w:lang w:val="en-US"/>
        </w:rPr>
        <w:t>Motevalian</w:t>
      </w:r>
      <w:proofErr w:type="spellEnd"/>
      <w:r w:rsidRPr="00272AE7">
        <w:rPr>
          <w:sz w:val="20"/>
          <w:szCs w:val="20"/>
          <w:lang w:val="en-US"/>
        </w:rPr>
        <w:t xml:space="preserve"> M, </w:t>
      </w:r>
      <w:proofErr w:type="spellStart"/>
      <w:r w:rsidRPr="00272AE7">
        <w:rPr>
          <w:sz w:val="20"/>
          <w:szCs w:val="20"/>
          <w:lang w:val="en-US"/>
        </w:rPr>
        <w:t>Khazaeipour</w:t>
      </w:r>
      <w:proofErr w:type="spellEnd"/>
      <w:r w:rsidRPr="00272AE7">
        <w:rPr>
          <w:sz w:val="20"/>
          <w:szCs w:val="20"/>
          <w:lang w:val="en-US"/>
        </w:rPr>
        <w:t xml:space="preserve"> Z, et al. Comparison of the efficacy of nifedipine and hydralazine in hypertensive crisis in pregnancy. Acta Med Iran (2011) 49(11):701–6.</w:t>
      </w:r>
    </w:p>
    <w:p w14:paraId="66AC1E3F" w14:textId="77777777" w:rsidR="00780523" w:rsidRPr="00272AE7" w:rsidRDefault="0078052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Duley L, Henderson-Smart D. Magnesium sulfate versus phenytoin for eclampsia. Cochrane Database Syst Rev (2003).</w:t>
      </w:r>
    </w:p>
    <w:p w14:paraId="741141CE" w14:textId="77777777" w:rsidR="00780523" w:rsidRPr="00272AE7" w:rsidRDefault="00780523" w:rsidP="001C3642">
      <w:pPr>
        <w:pStyle w:val="Paragraphedeliste"/>
        <w:numPr>
          <w:ilvl w:val="0"/>
          <w:numId w:val="18"/>
        </w:numPr>
        <w:spacing w:before="100" w:beforeAutospacing="1" w:after="100" w:afterAutospacing="1"/>
        <w:jc w:val="both"/>
        <w:rPr>
          <w:sz w:val="20"/>
          <w:szCs w:val="20"/>
        </w:rPr>
      </w:pPr>
      <w:r w:rsidRPr="00272AE7">
        <w:rPr>
          <w:sz w:val="20"/>
          <w:szCs w:val="20"/>
          <w:lang w:val="en-US"/>
        </w:rPr>
        <w:t xml:space="preserve">Duley L, </w:t>
      </w:r>
      <w:proofErr w:type="spellStart"/>
      <w:r w:rsidRPr="00272AE7">
        <w:rPr>
          <w:sz w:val="20"/>
          <w:szCs w:val="20"/>
          <w:lang w:val="en-US"/>
        </w:rPr>
        <w:t>Gulmezoglu</w:t>
      </w:r>
      <w:proofErr w:type="spellEnd"/>
      <w:r w:rsidRPr="00272AE7">
        <w:rPr>
          <w:sz w:val="20"/>
          <w:szCs w:val="20"/>
          <w:lang w:val="en-US"/>
        </w:rPr>
        <w:t xml:space="preserve"> AM. Magnesium sulfate versus lytic cocktail for eclampsia. Cochrane Database Syst Rev (2001) (1):CD002960. doi:10.1002/14651858.CD002960</w:t>
      </w:r>
    </w:p>
    <w:p w14:paraId="551683C1" w14:textId="77777777" w:rsidR="009A263F" w:rsidRPr="00272AE7" w:rsidRDefault="00780523" w:rsidP="001C3642">
      <w:pPr>
        <w:pStyle w:val="Paragraphedeliste"/>
        <w:numPr>
          <w:ilvl w:val="0"/>
          <w:numId w:val="18"/>
        </w:numPr>
        <w:spacing w:before="100" w:beforeAutospacing="1" w:after="100" w:afterAutospacing="1"/>
        <w:jc w:val="both"/>
        <w:rPr>
          <w:sz w:val="20"/>
          <w:szCs w:val="20"/>
          <w:lang w:val="en-US"/>
        </w:rPr>
      </w:pPr>
      <w:r w:rsidRPr="00272AE7">
        <w:rPr>
          <w:sz w:val="20"/>
          <w:szCs w:val="20"/>
        </w:rPr>
        <w:t>Magee LA, Miremadi S, Li J, Cheng C, Ensom MH, Carleton B, et al. Therapy with both magnesium sulfate and nifedipine does not increase the risk of serious magnesium-related maternal side effects in women with preeclampsia. Am J Obstet Gynecol (2005) 193(1):153–63. doi: 10.1016/j.ajog.2004.11.059</w:t>
      </w:r>
    </w:p>
    <w:p w14:paraId="5BC97022" w14:textId="77777777" w:rsidR="009A263F" w:rsidRPr="00272AE7" w:rsidRDefault="009A263F"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ACOG Committee Opinion No. 764. Medically indicated late-preterm and early-term deliveries. Obstet Gynecol 2019;133:e151-e155.</w:t>
      </w:r>
    </w:p>
    <w:p w14:paraId="59DFAD34" w14:textId="77777777" w:rsidR="00780523" w:rsidRPr="00272AE7" w:rsidRDefault="009A263F"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Churchill D, Duley L, Thornton JG, et al.: Interventionist versus expectant care for severe pre-eclampsia between 24- and 34-weeks' gestation. Cochrane Database Syst Rev. 2013; (7): CD003106.</w:t>
      </w:r>
    </w:p>
    <w:p w14:paraId="75049075" w14:textId="77777777" w:rsidR="009A263F" w:rsidRPr="00272AE7" w:rsidRDefault="009A263F"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ACOG Practice Bulletin No. 202. Gestational hypertension and preeclampsia. Obstet Gynecol 2019;133:e1-e25.</w:t>
      </w:r>
    </w:p>
    <w:p w14:paraId="4B26E046" w14:textId="77777777" w:rsidR="009A263F" w:rsidRPr="00272AE7" w:rsidRDefault="009A263F" w:rsidP="001C3642">
      <w:pPr>
        <w:pStyle w:val="Paragraphedeliste"/>
        <w:numPr>
          <w:ilvl w:val="0"/>
          <w:numId w:val="18"/>
        </w:numPr>
        <w:spacing w:before="100" w:beforeAutospacing="1" w:after="100" w:afterAutospacing="1"/>
        <w:jc w:val="both"/>
        <w:rPr>
          <w:sz w:val="20"/>
          <w:szCs w:val="20"/>
          <w:lang w:val="en-US"/>
        </w:rPr>
      </w:pPr>
      <w:r w:rsidRPr="00272AE7">
        <w:rPr>
          <w:sz w:val="20"/>
          <w:szCs w:val="20"/>
        </w:rPr>
        <w:t>Balogun OA, Sibai BM. Advice, management and results in women with severe preeclampsia between 23 and 28 weeks of gestation. Clin Obstet Gynecol 2017;60:183–9.</w:t>
      </w:r>
    </w:p>
    <w:p w14:paraId="2D76BC5E" w14:textId="77777777" w:rsidR="009A263F" w:rsidRPr="00272AE7" w:rsidRDefault="009A263F"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Sutton EF, Hauspurg A. Caritis SN, Powers RW. Catov JM. Maternal outcomes associated with lower range State 1 hypertension. Obstet Gynecol 2018; 132:843-849.</w:t>
      </w:r>
    </w:p>
    <w:p w14:paraId="3F251AF2" w14:textId="77777777" w:rsidR="009A263F" w:rsidRPr="00272AE7" w:rsidRDefault="009A263F" w:rsidP="001C3642">
      <w:pPr>
        <w:pStyle w:val="NormalWeb"/>
        <w:numPr>
          <w:ilvl w:val="0"/>
          <w:numId w:val="18"/>
        </w:numPr>
        <w:contextualSpacing/>
        <w:jc w:val="both"/>
        <w:rPr>
          <w:color w:val="000000" w:themeColor="text1"/>
          <w:sz w:val="20"/>
          <w:szCs w:val="20"/>
          <w:lang w:val="en-US"/>
        </w:rPr>
      </w:pPr>
      <w:r w:rsidRPr="00272AE7">
        <w:rPr>
          <w:color w:val="000000" w:themeColor="text1"/>
          <w:sz w:val="20"/>
          <w:szCs w:val="20"/>
        </w:rPr>
        <w:t>Pre-</w:t>
      </w:r>
      <w:proofErr w:type="spellStart"/>
      <w:r w:rsidRPr="00272AE7">
        <w:rPr>
          <w:color w:val="000000" w:themeColor="text1"/>
          <w:sz w:val="20"/>
          <w:szCs w:val="20"/>
        </w:rPr>
        <w:t>eclampsia</w:t>
      </w:r>
      <w:proofErr w:type="spellEnd"/>
      <w:r w:rsidRPr="00272AE7">
        <w:rPr>
          <w:color w:val="000000" w:themeColor="text1"/>
          <w:sz w:val="20"/>
          <w:szCs w:val="20"/>
        </w:rPr>
        <w:t xml:space="preserve">: major </w:t>
      </w:r>
      <w:proofErr w:type="spellStart"/>
      <w:r w:rsidRPr="00272AE7">
        <w:rPr>
          <w:color w:val="000000" w:themeColor="text1"/>
          <w:sz w:val="20"/>
          <w:szCs w:val="20"/>
        </w:rPr>
        <w:t>vascular</w:t>
      </w:r>
      <w:proofErr w:type="spellEnd"/>
      <w:r w:rsidRPr="00272AE7">
        <w:rPr>
          <w:color w:val="000000" w:themeColor="text1"/>
          <w:sz w:val="20"/>
          <w:szCs w:val="20"/>
        </w:rPr>
        <w:t xml:space="preserve"> </w:t>
      </w:r>
      <w:proofErr w:type="spellStart"/>
      <w:r w:rsidRPr="00272AE7">
        <w:rPr>
          <w:color w:val="000000" w:themeColor="text1"/>
          <w:sz w:val="20"/>
          <w:szCs w:val="20"/>
        </w:rPr>
        <w:t>disease</w:t>
      </w:r>
      <w:proofErr w:type="spellEnd"/>
      <w:r w:rsidRPr="00272AE7">
        <w:rPr>
          <w:color w:val="000000" w:themeColor="text1"/>
          <w:sz w:val="20"/>
          <w:szCs w:val="20"/>
        </w:rPr>
        <w:t xml:space="preserve">, </w:t>
      </w:r>
      <w:proofErr w:type="spellStart"/>
      <w:r w:rsidRPr="00272AE7">
        <w:rPr>
          <w:color w:val="000000" w:themeColor="text1"/>
          <w:sz w:val="20"/>
          <w:szCs w:val="20"/>
        </w:rPr>
        <w:t>pathophysiology</w:t>
      </w:r>
      <w:proofErr w:type="spellEnd"/>
      <w:r w:rsidRPr="00272AE7">
        <w:rPr>
          <w:color w:val="000000" w:themeColor="text1"/>
          <w:sz w:val="20"/>
          <w:szCs w:val="20"/>
        </w:rPr>
        <w:t xml:space="preserve">, </w:t>
      </w:r>
      <w:proofErr w:type="spellStart"/>
      <w:r w:rsidRPr="00272AE7">
        <w:rPr>
          <w:color w:val="000000" w:themeColor="text1"/>
          <w:sz w:val="20"/>
          <w:szCs w:val="20"/>
        </w:rPr>
        <w:t>recent</w:t>
      </w:r>
      <w:proofErr w:type="spellEnd"/>
      <w:r w:rsidRPr="00272AE7">
        <w:rPr>
          <w:color w:val="000000" w:themeColor="text1"/>
          <w:sz w:val="20"/>
          <w:szCs w:val="20"/>
        </w:rPr>
        <w:t xml:space="preserve"> </w:t>
      </w:r>
      <w:proofErr w:type="spellStart"/>
      <w:r w:rsidRPr="00272AE7">
        <w:rPr>
          <w:color w:val="000000" w:themeColor="text1"/>
          <w:sz w:val="20"/>
          <w:szCs w:val="20"/>
        </w:rPr>
        <w:t>developments</w:t>
      </w:r>
      <w:proofErr w:type="spellEnd"/>
      <w:r w:rsidRPr="00272AE7">
        <w:rPr>
          <w:color w:val="000000" w:themeColor="text1"/>
          <w:sz w:val="20"/>
          <w:szCs w:val="20"/>
        </w:rPr>
        <w:t xml:space="preserve">. </w:t>
      </w:r>
      <w:proofErr w:type="spellStart"/>
      <w:r w:rsidRPr="00272AE7">
        <w:rPr>
          <w:color w:val="000000" w:themeColor="text1"/>
          <w:sz w:val="20"/>
          <w:szCs w:val="20"/>
        </w:rPr>
        <w:t>Marilucy</w:t>
      </w:r>
      <w:proofErr w:type="spellEnd"/>
      <w:r w:rsidRPr="00272AE7">
        <w:rPr>
          <w:color w:val="000000" w:themeColor="text1"/>
          <w:sz w:val="20"/>
          <w:szCs w:val="20"/>
        </w:rPr>
        <w:t xml:space="preserve"> Lopez-</w:t>
      </w:r>
      <w:proofErr w:type="spellStart"/>
      <w:r w:rsidRPr="00272AE7">
        <w:rPr>
          <w:color w:val="000000" w:themeColor="text1"/>
          <w:sz w:val="20"/>
          <w:szCs w:val="20"/>
        </w:rPr>
        <w:t>Sublet</w:t>
      </w:r>
      <w:proofErr w:type="spellEnd"/>
      <w:r w:rsidRPr="00272AE7">
        <w:rPr>
          <w:color w:val="000000" w:themeColor="text1"/>
          <w:sz w:val="20"/>
          <w:szCs w:val="20"/>
        </w:rPr>
        <w:t xml:space="preserve">, Bernard Levy. Blood </w:t>
      </w:r>
      <w:proofErr w:type="spellStart"/>
      <w:r w:rsidRPr="00272AE7">
        <w:rPr>
          <w:color w:val="000000" w:themeColor="text1"/>
          <w:sz w:val="20"/>
          <w:szCs w:val="20"/>
        </w:rPr>
        <w:t>Thrombosis</w:t>
      </w:r>
      <w:proofErr w:type="spellEnd"/>
      <w:r w:rsidRPr="00272AE7">
        <w:rPr>
          <w:color w:val="000000" w:themeColor="text1"/>
          <w:sz w:val="20"/>
          <w:szCs w:val="20"/>
        </w:rPr>
        <w:t xml:space="preserve"> </w:t>
      </w:r>
      <w:proofErr w:type="spellStart"/>
      <w:r w:rsidRPr="00272AE7">
        <w:rPr>
          <w:color w:val="000000" w:themeColor="text1"/>
          <w:sz w:val="20"/>
          <w:szCs w:val="20"/>
        </w:rPr>
        <w:t>Vessels</w:t>
      </w:r>
      <w:proofErr w:type="spellEnd"/>
      <w:r w:rsidRPr="00272AE7">
        <w:rPr>
          <w:color w:val="000000" w:themeColor="text1"/>
          <w:sz w:val="20"/>
          <w:szCs w:val="20"/>
        </w:rPr>
        <w:t xml:space="preserve"> 2018; 30, No. </w:t>
      </w:r>
      <w:proofErr w:type="gramStart"/>
      <w:r w:rsidRPr="00272AE7">
        <w:rPr>
          <w:color w:val="000000" w:themeColor="text1"/>
          <w:sz w:val="20"/>
          <w:szCs w:val="20"/>
        </w:rPr>
        <w:t>4:</w:t>
      </w:r>
      <w:proofErr w:type="gramEnd"/>
      <w:r w:rsidRPr="00272AE7">
        <w:rPr>
          <w:color w:val="000000" w:themeColor="text1"/>
          <w:sz w:val="20"/>
          <w:szCs w:val="20"/>
        </w:rPr>
        <w:t xml:space="preserve"> 161-9)</w:t>
      </w:r>
    </w:p>
    <w:p w14:paraId="0D87839E" w14:textId="77777777" w:rsidR="009A263F" w:rsidRPr="00272AE7" w:rsidRDefault="009A263F" w:rsidP="001C3642">
      <w:pPr>
        <w:pStyle w:val="NormalWeb"/>
        <w:numPr>
          <w:ilvl w:val="0"/>
          <w:numId w:val="18"/>
        </w:numPr>
        <w:contextualSpacing/>
        <w:jc w:val="both"/>
        <w:rPr>
          <w:color w:val="000000" w:themeColor="text1"/>
          <w:sz w:val="20"/>
          <w:szCs w:val="20"/>
          <w:lang w:val="en-US"/>
        </w:rPr>
      </w:pPr>
      <w:r w:rsidRPr="00272AE7">
        <w:rPr>
          <w:color w:val="000000" w:themeColor="text1"/>
          <w:sz w:val="20"/>
          <w:szCs w:val="20"/>
          <w:lang w:val="en-US"/>
        </w:rPr>
        <w:t>Labib Ghulmiyyah, MD, * and Baha Sibai, MD. Maternal Mortality from Preeclampsia/Eclampsia. Semin Perinatol 2012; 36:56-59 ©</w:t>
      </w:r>
    </w:p>
    <w:p w14:paraId="22D105BD" w14:textId="77777777" w:rsidR="009A263F" w:rsidRPr="00272AE7" w:rsidRDefault="009A263F" w:rsidP="001C3642">
      <w:pPr>
        <w:pStyle w:val="NormalWeb"/>
        <w:numPr>
          <w:ilvl w:val="0"/>
          <w:numId w:val="18"/>
        </w:numPr>
        <w:contextualSpacing/>
        <w:jc w:val="both"/>
        <w:rPr>
          <w:color w:val="000000" w:themeColor="text1"/>
          <w:sz w:val="20"/>
          <w:szCs w:val="20"/>
          <w:lang w:val="en-US"/>
        </w:rPr>
      </w:pPr>
      <w:r w:rsidRPr="00272AE7">
        <w:rPr>
          <w:color w:val="000000" w:themeColor="text1"/>
          <w:sz w:val="20"/>
          <w:szCs w:val="20"/>
          <w:lang w:val="en-US"/>
        </w:rPr>
        <w:t>Bellamy L, Casas JP, Hingorani AD, et al: Pre-eclampsia and risk of cardiovascular disease and cancer in later life: Systematic review and meta-analysis. BMJ 335:974, 2007</w:t>
      </w:r>
    </w:p>
    <w:p w14:paraId="47D5E61F" w14:textId="77777777" w:rsidR="009A263F" w:rsidRDefault="00000000" w:rsidP="001C3642">
      <w:pPr>
        <w:pStyle w:val="NormalWeb"/>
        <w:numPr>
          <w:ilvl w:val="0"/>
          <w:numId w:val="18"/>
        </w:numPr>
        <w:contextualSpacing/>
        <w:jc w:val="both"/>
        <w:rPr>
          <w:color w:val="000000" w:themeColor="text1"/>
          <w:sz w:val="20"/>
          <w:szCs w:val="20"/>
          <w:lang w:val="en-US"/>
        </w:rPr>
      </w:pPr>
      <w:hyperlink r:id="rId14" w:history="1">
        <w:r w:rsidR="009A263F" w:rsidRPr="00272AE7">
          <w:rPr>
            <w:color w:val="000000" w:themeColor="text1"/>
            <w:sz w:val="20"/>
            <w:szCs w:val="20"/>
            <w:lang w:val="en-US"/>
          </w:rPr>
          <w:t>Morven Caroline Brown</w:t>
        </w:r>
      </w:hyperlink>
      <w:hyperlink r:id="rId15" w:anchor="affiliation-1" w:tooltip="Institute of Health &amp; Society, Newcastle University, Sir James Spence Institute of Child Health, Royal Victoria Infirmary, Newcastle upon Tyne, England NE1 4LP, UK." w:history="1">
        <w:r w:rsidR="009A263F" w:rsidRPr="00272AE7">
          <w:rPr>
            <w:color w:val="000000" w:themeColor="text1"/>
            <w:sz w:val="20"/>
            <w:szCs w:val="20"/>
            <w:shd w:val="clear" w:color="auto" w:fill="F1F1F1"/>
            <w:vertAlign w:val="superscript"/>
            <w:lang w:val="en-US"/>
          </w:rPr>
          <w:t>1</w:t>
        </w:r>
      </w:hyperlink>
      <w:r w:rsidR="009A263F" w:rsidRPr="00272AE7">
        <w:rPr>
          <w:color w:val="000000" w:themeColor="text1"/>
          <w:sz w:val="20"/>
          <w:szCs w:val="20"/>
          <w:lang w:val="en-US"/>
        </w:rPr>
        <w:t>,</w:t>
      </w:r>
      <w:hyperlink r:id="rId16" w:history="1">
        <w:r w:rsidR="009A263F" w:rsidRPr="00272AE7">
          <w:rPr>
            <w:color w:val="000000" w:themeColor="text1"/>
            <w:sz w:val="20"/>
            <w:szCs w:val="20"/>
            <w:lang w:val="en-US"/>
          </w:rPr>
          <w:t>Kate Elizabeth Best</w:t>
        </w:r>
      </w:hyperlink>
      <w:r w:rsidR="009A263F" w:rsidRPr="00272AE7">
        <w:rPr>
          <w:color w:val="000000" w:themeColor="text1"/>
          <w:sz w:val="20"/>
          <w:szCs w:val="20"/>
          <w:lang w:val="en-US"/>
        </w:rPr>
        <w:t>,</w:t>
      </w:r>
      <w:hyperlink r:id="rId17" w:history="1">
        <w:r w:rsidR="009A263F" w:rsidRPr="00272AE7">
          <w:rPr>
            <w:color w:val="000000" w:themeColor="text1"/>
            <w:sz w:val="20"/>
            <w:szCs w:val="20"/>
            <w:lang w:val="en-US"/>
          </w:rPr>
          <w:t>Mark Stephen Pearce</w:t>
        </w:r>
      </w:hyperlink>
      <w:r w:rsidR="009A263F" w:rsidRPr="00272AE7">
        <w:rPr>
          <w:color w:val="000000" w:themeColor="text1"/>
          <w:sz w:val="20"/>
          <w:szCs w:val="20"/>
          <w:lang w:val="en-US"/>
        </w:rPr>
        <w:t>,</w:t>
      </w:r>
      <w:hyperlink r:id="rId18" w:history="1">
        <w:r w:rsidR="009A263F" w:rsidRPr="00272AE7">
          <w:rPr>
            <w:color w:val="000000" w:themeColor="text1"/>
            <w:sz w:val="20"/>
            <w:szCs w:val="20"/>
            <w:lang w:val="en-US"/>
          </w:rPr>
          <w:t>Jason Waugh</w:t>
        </w:r>
      </w:hyperlink>
      <w:r w:rsidR="009A263F" w:rsidRPr="00272AE7">
        <w:rPr>
          <w:color w:val="000000" w:themeColor="text1"/>
          <w:sz w:val="20"/>
          <w:szCs w:val="20"/>
          <w:lang w:val="en-US"/>
        </w:rPr>
        <w:t>,</w:t>
      </w:r>
      <w:hyperlink r:id="rId19" w:history="1">
        <w:r w:rsidR="009A263F" w:rsidRPr="00272AE7">
          <w:rPr>
            <w:color w:val="000000" w:themeColor="text1"/>
            <w:sz w:val="20"/>
            <w:szCs w:val="20"/>
            <w:lang w:val="en-US"/>
          </w:rPr>
          <w:t>Stephen Courtenay Robson</w:t>
        </w:r>
      </w:hyperlink>
      <w:r w:rsidR="009A263F" w:rsidRPr="00272AE7">
        <w:rPr>
          <w:color w:val="000000" w:themeColor="text1"/>
          <w:sz w:val="20"/>
          <w:szCs w:val="20"/>
          <w:lang w:val="en-US"/>
        </w:rPr>
        <w:t>,</w:t>
      </w:r>
      <w:hyperlink r:id="rId20" w:history="1">
        <w:r w:rsidR="009A263F" w:rsidRPr="00272AE7">
          <w:rPr>
            <w:color w:val="000000" w:themeColor="text1"/>
            <w:sz w:val="20"/>
            <w:szCs w:val="20"/>
            <w:lang w:val="en-US"/>
          </w:rPr>
          <w:t>Ruth Bell</w:t>
        </w:r>
      </w:hyperlink>
      <w:r w:rsidR="009A263F" w:rsidRPr="00272AE7">
        <w:rPr>
          <w:color w:val="000000" w:themeColor="text1"/>
          <w:sz w:val="20"/>
          <w:szCs w:val="20"/>
          <w:lang w:val="en-US"/>
        </w:rPr>
        <w:t>. Cardiovascular disease risk in women with pre-eclampsia: systematic review and meta-analysis. Eur J Epidemiol. 2013 Jan;28(1):1-19. doi: 10.1007/s10654-013-9762-6.Epub 2013 Feb 9.</w:t>
      </w:r>
    </w:p>
    <w:p w14:paraId="73EA1185" w14:textId="77777777" w:rsidR="00376C0A" w:rsidRPr="00376C0A" w:rsidRDefault="00376C0A" w:rsidP="001C3642">
      <w:pPr>
        <w:pStyle w:val="Paragraphedeliste"/>
        <w:numPr>
          <w:ilvl w:val="0"/>
          <w:numId w:val="18"/>
        </w:numPr>
        <w:spacing w:line="276" w:lineRule="auto"/>
        <w:jc w:val="both"/>
        <w:rPr>
          <w:color w:val="000000" w:themeColor="text1"/>
          <w:sz w:val="20"/>
          <w:szCs w:val="20"/>
          <w:lang w:val="en-US"/>
        </w:rPr>
      </w:pPr>
      <w:r w:rsidRPr="00376C0A">
        <w:rPr>
          <w:color w:val="000000" w:themeColor="text1"/>
          <w:sz w:val="20"/>
          <w:szCs w:val="20"/>
          <w:lang w:val="en-US"/>
        </w:rPr>
        <w:t>Martin JN Jr, Thigpen BD, Moore RC, et al: Stroke and severe pre-eclampsia and eclampsia: A paradigm shift focusing on systolic blood pressure. Obstet Gynecol 105:246-254, 2005</w:t>
      </w:r>
    </w:p>
    <w:p w14:paraId="75AF087C" w14:textId="77777777" w:rsidR="00376C0A" w:rsidRDefault="00376C0A" w:rsidP="001C3642">
      <w:pPr>
        <w:pStyle w:val="Paragraphedeliste"/>
        <w:numPr>
          <w:ilvl w:val="0"/>
          <w:numId w:val="18"/>
        </w:numPr>
        <w:spacing w:line="276" w:lineRule="auto"/>
        <w:jc w:val="both"/>
        <w:rPr>
          <w:color w:val="000000" w:themeColor="text1"/>
          <w:sz w:val="20"/>
          <w:szCs w:val="20"/>
          <w:lang w:val="en-US"/>
        </w:rPr>
      </w:pPr>
      <w:proofErr w:type="spellStart"/>
      <w:r w:rsidRPr="00376C0A">
        <w:rPr>
          <w:color w:val="000000" w:themeColor="text1"/>
          <w:sz w:val="20"/>
          <w:szCs w:val="20"/>
          <w:lang w:val="en-US"/>
        </w:rPr>
        <w:t>Kuklina</w:t>
      </w:r>
      <w:proofErr w:type="spellEnd"/>
      <w:r w:rsidRPr="00376C0A">
        <w:rPr>
          <w:color w:val="000000" w:themeColor="text1"/>
          <w:sz w:val="20"/>
          <w:szCs w:val="20"/>
          <w:lang w:val="en-US"/>
        </w:rPr>
        <w:t xml:space="preserve"> EV, Ayala C, Callaghan WM: Hypertensive disorders and severe obstetric morbidity in the United States. Obstet Gynecol 113:1299-1306, 2009</w:t>
      </w:r>
    </w:p>
    <w:p w14:paraId="56E56FE9" w14:textId="77777777" w:rsidR="00376C0A" w:rsidRPr="00376C0A" w:rsidRDefault="00376C0A" w:rsidP="001C3642">
      <w:pPr>
        <w:pStyle w:val="Paragraphedeliste"/>
        <w:numPr>
          <w:ilvl w:val="0"/>
          <w:numId w:val="18"/>
        </w:numPr>
        <w:spacing w:line="276" w:lineRule="auto"/>
        <w:jc w:val="both"/>
        <w:rPr>
          <w:color w:val="000000" w:themeColor="text1"/>
          <w:sz w:val="20"/>
          <w:szCs w:val="20"/>
          <w:lang w:val="en-US"/>
        </w:rPr>
      </w:pPr>
      <w:proofErr w:type="spellStart"/>
      <w:r w:rsidRPr="00376C0A">
        <w:rPr>
          <w:color w:val="000000" w:themeColor="text1"/>
          <w:sz w:val="20"/>
          <w:szCs w:val="20"/>
          <w:lang w:val="en-US"/>
        </w:rPr>
        <w:t>Sibai</w:t>
      </w:r>
      <w:proofErr w:type="spellEnd"/>
      <w:r w:rsidRPr="00376C0A">
        <w:rPr>
          <w:color w:val="000000" w:themeColor="text1"/>
          <w:sz w:val="20"/>
          <w:szCs w:val="20"/>
          <w:lang w:val="en-US"/>
        </w:rPr>
        <w:t xml:space="preserve"> BM: Diagnosis, controversies, and management of the syndrome of hemolysis, elevated liver enzymes, and low platelet count. Obstet Gynecol 103:981-999, 2004</w:t>
      </w:r>
    </w:p>
    <w:p w14:paraId="3B032904" w14:textId="77777777" w:rsidR="00006892" w:rsidRPr="00006892" w:rsidRDefault="00006892" w:rsidP="001C3642">
      <w:pPr>
        <w:pStyle w:val="Paragraphedeliste"/>
        <w:numPr>
          <w:ilvl w:val="0"/>
          <w:numId w:val="18"/>
        </w:numPr>
        <w:jc w:val="both"/>
        <w:rPr>
          <w:sz w:val="20"/>
          <w:lang w:val="en-US"/>
        </w:rPr>
      </w:pPr>
      <w:r w:rsidRPr="00006892">
        <w:rPr>
          <w:sz w:val="20"/>
          <w:lang w:val="en-US"/>
        </w:rPr>
        <w:t>Labib Ghulmiyyah, and Baha Sibai. Maternal Mortality from Preeclampsia/Eclampsia. Semin Perinatol 2012. 36:56-59</w:t>
      </w:r>
    </w:p>
    <w:p w14:paraId="03496376" w14:textId="77777777" w:rsidR="00006892" w:rsidRPr="00006892" w:rsidRDefault="00006892" w:rsidP="001C3642">
      <w:pPr>
        <w:pStyle w:val="Paragraphedeliste"/>
        <w:widowControl w:val="0"/>
        <w:numPr>
          <w:ilvl w:val="0"/>
          <w:numId w:val="18"/>
        </w:numPr>
        <w:autoSpaceDE w:val="0"/>
        <w:autoSpaceDN w:val="0"/>
        <w:adjustRightInd w:val="0"/>
        <w:jc w:val="both"/>
        <w:rPr>
          <w:sz w:val="20"/>
          <w:lang w:val="en-US"/>
        </w:rPr>
      </w:pPr>
      <w:r w:rsidRPr="00006892">
        <w:rPr>
          <w:sz w:val="20"/>
          <w:lang w:val="en-US"/>
        </w:rPr>
        <w:t>MacKay AP, Berg CJ, Atrash HK: Pregnancy-related mortality from preeclampsia and eclampsia. Obstet Gynecol 97:533-538, 2001</w:t>
      </w:r>
    </w:p>
    <w:p w14:paraId="317953A6" w14:textId="77777777" w:rsidR="00006892" w:rsidRPr="00006892" w:rsidRDefault="00006892" w:rsidP="001C3642">
      <w:pPr>
        <w:pStyle w:val="NormalWeb"/>
        <w:numPr>
          <w:ilvl w:val="0"/>
          <w:numId w:val="18"/>
        </w:numPr>
        <w:jc w:val="both"/>
        <w:rPr>
          <w:color w:val="000000" w:themeColor="text1"/>
          <w:sz w:val="20"/>
          <w:szCs w:val="20"/>
          <w:lang w:val="en-US"/>
        </w:rPr>
      </w:pPr>
      <w:r w:rsidRPr="00376C0A">
        <w:rPr>
          <w:color w:val="000000" w:themeColor="text1"/>
          <w:sz w:val="20"/>
          <w:szCs w:val="20"/>
          <w:lang w:val="en-US"/>
        </w:rPr>
        <w:t>Di X, Mai H, Zheng Z, Guo K, Morse AN, Liu H. Neuroimaging findings in women who develop neurologic symptoms in severe pre-eclampsia with or without eclampsia. Hypertens Res 2018;41:598–604.</w:t>
      </w:r>
    </w:p>
    <w:p w14:paraId="168AE079" w14:textId="77777777" w:rsidR="00006892" w:rsidRPr="00006892" w:rsidRDefault="00006892" w:rsidP="001C3642">
      <w:pPr>
        <w:pStyle w:val="NormalWeb"/>
        <w:numPr>
          <w:ilvl w:val="0"/>
          <w:numId w:val="18"/>
        </w:numPr>
        <w:contextualSpacing/>
        <w:jc w:val="both"/>
        <w:rPr>
          <w:color w:val="000000" w:themeColor="text1"/>
          <w:sz w:val="20"/>
          <w:szCs w:val="20"/>
          <w:lang w:val="en-US"/>
        </w:rPr>
      </w:pPr>
      <w:r w:rsidRPr="00376C0A">
        <w:rPr>
          <w:color w:val="000000" w:themeColor="text1"/>
          <w:sz w:val="20"/>
          <w:szCs w:val="20"/>
        </w:rPr>
        <w:t>Fischer M, Schmutzhard E. Posterior reversible encephalopathy syndrome. J Neurol 2017;264:1608–16.</w:t>
      </w:r>
    </w:p>
    <w:p w14:paraId="68D25247" w14:textId="77777777" w:rsidR="00006892" w:rsidRDefault="00006892" w:rsidP="001C3642">
      <w:pPr>
        <w:pStyle w:val="NormalWeb"/>
        <w:numPr>
          <w:ilvl w:val="0"/>
          <w:numId w:val="18"/>
        </w:numPr>
        <w:contextualSpacing/>
        <w:jc w:val="both"/>
        <w:rPr>
          <w:color w:val="000000" w:themeColor="text1"/>
          <w:sz w:val="20"/>
          <w:szCs w:val="20"/>
          <w:lang w:val="en-US"/>
        </w:rPr>
      </w:pPr>
      <w:r w:rsidRPr="00376C0A">
        <w:rPr>
          <w:color w:val="000000" w:themeColor="text1"/>
          <w:sz w:val="20"/>
          <w:szCs w:val="20"/>
          <w:lang w:val="en-US"/>
        </w:rPr>
        <w:t xml:space="preserve">Shankar J, Banfield J. Posterior reversible encephalopathy syndrome: a review. Can Assoc </w:t>
      </w:r>
      <w:proofErr w:type="spellStart"/>
      <w:r w:rsidRPr="00376C0A">
        <w:rPr>
          <w:color w:val="000000" w:themeColor="text1"/>
          <w:sz w:val="20"/>
          <w:szCs w:val="20"/>
          <w:lang w:val="en-US"/>
        </w:rPr>
        <w:t>Radiol</w:t>
      </w:r>
      <w:proofErr w:type="spellEnd"/>
      <w:r w:rsidRPr="00376C0A">
        <w:rPr>
          <w:color w:val="000000" w:themeColor="text1"/>
          <w:sz w:val="20"/>
          <w:szCs w:val="20"/>
          <w:lang w:val="en-US"/>
        </w:rPr>
        <w:t xml:space="preserve"> J 2017;68:147–53.</w:t>
      </w:r>
    </w:p>
    <w:p w14:paraId="67AB6334" w14:textId="77777777" w:rsidR="00006892" w:rsidRDefault="00006892" w:rsidP="001C3642">
      <w:pPr>
        <w:pStyle w:val="NormalWeb"/>
        <w:numPr>
          <w:ilvl w:val="0"/>
          <w:numId w:val="18"/>
        </w:numPr>
        <w:contextualSpacing/>
        <w:jc w:val="both"/>
        <w:rPr>
          <w:color w:val="000000" w:themeColor="text1"/>
          <w:sz w:val="20"/>
          <w:szCs w:val="20"/>
          <w:lang w:val="en-US"/>
        </w:rPr>
      </w:pPr>
      <w:proofErr w:type="spellStart"/>
      <w:r w:rsidRPr="00006892">
        <w:rPr>
          <w:color w:val="000000" w:themeColor="text1"/>
          <w:sz w:val="20"/>
          <w:szCs w:val="20"/>
          <w:lang w:val="en-US"/>
        </w:rPr>
        <w:t>Sibai</w:t>
      </w:r>
      <w:proofErr w:type="spellEnd"/>
      <w:r w:rsidRPr="00006892">
        <w:rPr>
          <w:color w:val="000000" w:themeColor="text1"/>
          <w:sz w:val="20"/>
          <w:szCs w:val="20"/>
          <w:lang w:val="en-US"/>
        </w:rPr>
        <w:t xml:space="preserve"> BM, Stella CL. Diagnosis and management of atypical preeclampsia-eclampsia. Am J Obstet Gynecol 2009; 200:481. e1–7</w:t>
      </w:r>
    </w:p>
    <w:p w14:paraId="3509B3EF" w14:textId="77777777" w:rsidR="00006892" w:rsidRPr="00006892" w:rsidRDefault="00006892" w:rsidP="001C3642">
      <w:pPr>
        <w:pStyle w:val="NormalWeb"/>
        <w:numPr>
          <w:ilvl w:val="0"/>
          <w:numId w:val="18"/>
        </w:numPr>
        <w:contextualSpacing/>
        <w:jc w:val="both"/>
        <w:rPr>
          <w:color w:val="000000" w:themeColor="text1"/>
          <w:sz w:val="20"/>
          <w:szCs w:val="20"/>
          <w:lang w:val="en-US"/>
        </w:rPr>
      </w:pPr>
      <w:r w:rsidRPr="00006892">
        <w:rPr>
          <w:color w:val="000000" w:themeColor="text1"/>
          <w:sz w:val="20"/>
          <w:szCs w:val="20"/>
          <w:lang w:val="en-US"/>
        </w:rPr>
        <w:t>Zeeman GG. Neurological complications of pre-eclampsia. Semin Perinatol 2009;33:166–72</w:t>
      </w:r>
    </w:p>
    <w:p w14:paraId="50489CD5" w14:textId="77777777" w:rsidR="00006892" w:rsidRPr="00822E76" w:rsidRDefault="00822E76" w:rsidP="001C3642">
      <w:pPr>
        <w:pStyle w:val="Paragraphedeliste"/>
        <w:numPr>
          <w:ilvl w:val="0"/>
          <w:numId w:val="18"/>
        </w:numPr>
        <w:jc w:val="both"/>
        <w:rPr>
          <w:color w:val="000000" w:themeColor="text1"/>
          <w:sz w:val="20"/>
          <w:szCs w:val="20"/>
          <w:lang w:val="en-US"/>
        </w:rPr>
      </w:pPr>
      <w:proofErr w:type="spellStart"/>
      <w:r w:rsidRPr="00822E76">
        <w:rPr>
          <w:rStyle w:val="Accentuation"/>
          <w:bCs/>
          <w:i w:val="0"/>
          <w:iCs w:val="0"/>
          <w:color w:val="000000" w:themeColor="text1"/>
          <w:sz w:val="20"/>
          <w:szCs w:val="20"/>
          <w:lang w:val="en-US"/>
        </w:rPr>
        <w:t>Osmanagaoglu</w:t>
      </w:r>
      <w:proofErr w:type="spellEnd"/>
      <w:r w:rsidRPr="00822E76">
        <w:rPr>
          <w:rStyle w:val="Accentuation"/>
          <w:bCs/>
          <w:i w:val="0"/>
          <w:iCs w:val="0"/>
          <w:color w:val="000000" w:themeColor="text1"/>
          <w:sz w:val="20"/>
          <w:szCs w:val="20"/>
          <w:lang w:val="en-US"/>
        </w:rPr>
        <w:t xml:space="preserve"> </w:t>
      </w:r>
      <w:proofErr w:type="spellStart"/>
      <w:r w:rsidRPr="00822E76">
        <w:rPr>
          <w:rStyle w:val="Accentuation"/>
          <w:bCs/>
          <w:i w:val="0"/>
          <w:iCs w:val="0"/>
          <w:color w:val="000000" w:themeColor="text1"/>
          <w:sz w:val="20"/>
          <w:szCs w:val="20"/>
          <w:lang w:val="en-US"/>
        </w:rPr>
        <w:t>MA</w:t>
      </w:r>
      <w:r w:rsidRPr="00822E76">
        <w:rPr>
          <w:color w:val="000000" w:themeColor="text1"/>
          <w:sz w:val="20"/>
          <w:szCs w:val="20"/>
          <w:shd w:val="clear" w:color="auto" w:fill="FFFFFF"/>
          <w:lang w:val="en-US"/>
        </w:rPr>
        <w:t>,</w:t>
      </w:r>
      <w:r w:rsidRPr="00822E76">
        <w:rPr>
          <w:rStyle w:val="Accentuation"/>
          <w:bCs/>
          <w:i w:val="0"/>
          <w:iCs w:val="0"/>
          <w:color w:val="000000" w:themeColor="text1"/>
          <w:sz w:val="20"/>
          <w:szCs w:val="20"/>
          <w:lang w:val="en-US"/>
        </w:rPr>
        <w:t>Dinc</w:t>
      </w:r>
      <w:proofErr w:type="spellEnd"/>
      <w:r w:rsidRPr="00822E76">
        <w:rPr>
          <w:rStyle w:val="Accentuation"/>
          <w:bCs/>
          <w:i w:val="0"/>
          <w:iCs w:val="0"/>
          <w:color w:val="000000" w:themeColor="text1"/>
          <w:sz w:val="20"/>
          <w:szCs w:val="20"/>
          <w:lang w:val="en-US"/>
        </w:rPr>
        <w:t xml:space="preserve"> </w:t>
      </w:r>
      <w:proofErr w:type="spellStart"/>
      <w:r w:rsidRPr="00822E76">
        <w:rPr>
          <w:rStyle w:val="Accentuation"/>
          <w:bCs/>
          <w:i w:val="0"/>
          <w:iCs w:val="0"/>
          <w:color w:val="000000" w:themeColor="text1"/>
          <w:sz w:val="20"/>
          <w:szCs w:val="20"/>
          <w:lang w:val="en-US"/>
        </w:rPr>
        <w:t>G</w:t>
      </w:r>
      <w:r w:rsidRPr="00822E76">
        <w:rPr>
          <w:color w:val="000000" w:themeColor="text1"/>
          <w:sz w:val="20"/>
          <w:szCs w:val="20"/>
          <w:shd w:val="clear" w:color="auto" w:fill="FFFFFF"/>
          <w:lang w:val="en-US"/>
        </w:rPr>
        <w:t>,</w:t>
      </w:r>
      <w:r w:rsidRPr="00822E76">
        <w:rPr>
          <w:rStyle w:val="Accentuation"/>
          <w:bCs/>
          <w:i w:val="0"/>
          <w:iCs w:val="0"/>
          <w:color w:val="000000" w:themeColor="text1"/>
          <w:sz w:val="20"/>
          <w:szCs w:val="20"/>
          <w:lang w:val="en-US"/>
        </w:rPr>
        <w:t>Osmanagaoglu</w:t>
      </w:r>
      <w:proofErr w:type="spellEnd"/>
      <w:r w:rsidRPr="00822E76">
        <w:rPr>
          <w:rStyle w:val="Accentuation"/>
          <w:bCs/>
          <w:i w:val="0"/>
          <w:iCs w:val="0"/>
          <w:color w:val="000000" w:themeColor="text1"/>
          <w:sz w:val="20"/>
          <w:szCs w:val="20"/>
          <w:lang w:val="en-US"/>
        </w:rPr>
        <w:t xml:space="preserve"> </w:t>
      </w:r>
      <w:proofErr w:type="spellStart"/>
      <w:r w:rsidRPr="00822E76">
        <w:rPr>
          <w:rStyle w:val="Accentuation"/>
          <w:bCs/>
          <w:i w:val="0"/>
          <w:iCs w:val="0"/>
          <w:color w:val="000000" w:themeColor="text1"/>
          <w:sz w:val="20"/>
          <w:szCs w:val="20"/>
          <w:lang w:val="en-US"/>
        </w:rPr>
        <w:t>S</w:t>
      </w:r>
      <w:r w:rsidRPr="00822E76">
        <w:rPr>
          <w:color w:val="000000" w:themeColor="text1"/>
          <w:sz w:val="20"/>
          <w:szCs w:val="20"/>
          <w:shd w:val="clear" w:color="auto" w:fill="FFFFFF"/>
          <w:lang w:val="en-US"/>
        </w:rPr>
        <w:t>,</w:t>
      </w:r>
      <w:r w:rsidRPr="00822E76">
        <w:rPr>
          <w:rStyle w:val="Accentuation"/>
          <w:bCs/>
          <w:i w:val="0"/>
          <w:iCs w:val="0"/>
          <w:color w:val="000000" w:themeColor="text1"/>
          <w:sz w:val="20"/>
          <w:szCs w:val="20"/>
          <w:lang w:val="en-US"/>
        </w:rPr>
        <w:t>Dinc</w:t>
      </w:r>
      <w:proofErr w:type="spellEnd"/>
      <w:r w:rsidRPr="00822E76">
        <w:rPr>
          <w:rStyle w:val="Accentuation"/>
          <w:bCs/>
          <w:i w:val="0"/>
          <w:iCs w:val="0"/>
          <w:color w:val="000000" w:themeColor="text1"/>
          <w:sz w:val="20"/>
          <w:szCs w:val="20"/>
          <w:lang w:val="en-US"/>
        </w:rPr>
        <w:t xml:space="preserve"> </w:t>
      </w:r>
      <w:proofErr w:type="spellStart"/>
      <w:r w:rsidRPr="00822E76">
        <w:rPr>
          <w:rStyle w:val="Accentuation"/>
          <w:bCs/>
          <w:i w:val="0"/>
          <w:iCs w:val="0"/>
          <w:color w:val="000000" w:themeColor="text1"/>
          <w:sz w:val="20"/>
          <w:szCs w:val="20"/>
          <w:lang w:val="en-US"/>
        </w:rPr>
        <w:t>H</w:t>
      </w:r>
      <w:r w:rsidRPr="00822E76">
        <w:rPr>
          <w:color w:val="000000" w:themeColor="text1"/>
          <w:sz w:val="20"/>
          <w:szCs w:val="20"/>
          <w:shd w:val="clear" w:color="auto" w:fill="FFFFFF"/>
          <w:lang w:val="en-US"/>
        </w:rPr>
        <w:t>,</w:t>
      </w:r>
      <w:r w:rsidRPr="00822E76">
        <w:rPr>
          <w:rStyle w:val="Accentuation"/>
          <w:bCs/>
          <w:i w:val="0"/>
          <w:iCs w:val="0"/>
          <w:color w:val="000000" w:themeColor="text1"/>
          <w:sz w:val="20"/>
          <w:szCs w:val="20"/>
          <w:lang w:val="en-US"/>
        </w:rPr>
        <w:t>Bozkaya</w:t>
      </w:r>
      <w:proofErr w:type="spellEnd"/>
      <w:r w:rsidRPr="00822E76">
        <w:rPr>
          <w:rStyle w:val="Accentuation"/>
          <w:bCs/>
          <w:i w:val="0"/>
          <w:iCs w:val="0"/>
          <w:color w:val="000000" w:themeColor="text1"/>
          <w:sz w:val="20"/>
          <w:szCs w:val="20"/>
          <w:lang w:val="en-US"/>
        </w:rPr>
        <w:t xml:space="preserve"> </w:t>
      </w:r>
      <w:proofErr w:type="spellStart"/>
      <w:r w:rsidRPr="00822E76">
        <w:rPr>
          <w:rStyle w:val="Accentuation"/>
          <w:bCs/>
          <w:i w:val="0"/>
          <w:iCs w:val="0"/>
          <w:color w:val="000000" w:themeColor="text1"/>
          <w:sz w:val="20"/>
          <w:szCs w:val="20"/>
          <w:lang w:val="en-US"/>
        </w:rPr>
        <w:t>H.</w:t>
      </w:r>
      <w:r w:rsidRPr="00822E76">
        <w:rPr>
          <w:rFonts w:asciiTheme="minorBidi" w:hAnsiTheme="minorBidi" w:cstheme="minorBidi"/>
          <w:color w:val="000000" w:themeColor="text1"/>
          <w:sz w:val="20"/>
          <w:szCs w:val="20"/>
          <w:lang w:val="en-US"/>
        </w:rPr>
        <w:t>Comparison</w:t>
      </w:r>
      <w:proofErr w:type="spellEnd"/>
      <w:r w:rsidRPr="00822E76">
        <w:rPr>
          <w:rFonts w:asciiTheme="minorBidi" w:hAnsiTheme="minorBidi" w:cstheme="minorBidi"/>
          <w:color w:val="000000" w:themeColor="text1"/>
          <w:sz w:val="20"/>
          <w:szCs w:val="20"/>
          <w:lang w:val="en-US"/>
        </w:rPr>
        <w:t xml:space="preserve"> of cerebral magnetic resonance and electroencephalogram findings in pre-eclamptic and eclamptic women. Aust NZJ Obstet Gynaecol 2005; 45:384–90.</w:t>
      </w:r>
    </w:p>
    <w:p w14:paraId="0CB57C63" w14:textId="77777777" w:rsidR="00006892" w:rsidRPr="00006892" w:rsidRDefault="00006892" w:rsidP="001C3642">
      <w:pPr>
        <w:pStyle w:val="NormalWeb"/>
        <w:numPr>
          <w:ilvl w:val="0"/>
          <w:numId w:val="18"/>
        </w:numPr>
        <w:jc w:val="both"/>
        <w:rPr>
          <w:color w:val="000000" w:themeColor="text1"/>
          <w:sz w:val="20"/>
          <w:szCs w:val="20"/>
          <w:lang w:val="en-US"/>
        </w:rPr>
      </w:pPr>
      <w:r w:rsidRPr="00006892">
        <w:rPr>
          <w:color w:val="000000" w:themeColor="text1"/>
          <w:sz w:val="20"/>
          <w:szCs w:val="20"/>
          <w:lang w:val="en-US"/>
        </w:rPr>
        <w:t>Duley L, Henderson-Smart DJ, Walker GJ, Chou D. Magnesium sulfate versus diazepam for eclampsia. Cochrane Database Syst Rev. 2010 Dec 8;2010(12):CD000127.)</w:t>
      </w:r>
    </w:p>
    <w:p w14:paraId="29718FBF" w14:textId="77777777" w:rsidR="00006892" w:rsidRPr="00006892" w:rsidRDefault="00006892" w:rsidP="001C3642">
      <w:pPr>
        <w:pStyle w:val="NormalWeb"/>
        <w:numPr>
          <w:ilvl w:val="0"/>
          <w:numId w:val="18"/>
        </w:numPr>
        <w:jc w:val="both"/>
        <w:rPr>
          <w:color w:val="000000" w:themeColor="text1"/>
          <w:sz w:val="20"/>
          <w:szCs w:val="20"/>
        </w:rPr>
      </w:pPr>
      <w:r w:rsidRPr="00006892">
        <w:rPr>
          <w:color w:val="000000" w:themeColor="text1"/>
          <w:sz w:val="20"/>
          <w:szCs w:val="20"/>
        </w:rPr>
        <w:t xml:space="preserve">Multidisciplinary management of severe forms of preeclampsia. RFE 2009. Ann Fr </w:t>
      </w:r>
      <w:proofErr w:type="spellStart"/>
      <w:r w:rsidRPr="00006892">
        <w:rPr>
          <w:color w:val="000000" w:themeColor="text1"/>
          <w:sz w:val="20"/>
          <w:szCs w:val="20"/>
        </w:rPr>
        <w:t>Anest</w:t>
      </w:r>
      <w:proofErr w:type="spellEnd"/>
      <w:r w:rsidRPr="00006892">
        <w:rPr>
          <w:color w:val="000000" w:themeColor="text1"/>
          <w:sz w:val="20"/>
          <w:szCs w:val="20"/>
        </w:rPr>
        <w:t xml:space="preserve"> Réanim 2009; 28:275</w:t>
      </w:r>
    </w:p>
    <w:p w14:paraId="04A46B8E" w14:textId="77777777" w:rsidR="00006892" w:rsidRDefault="00006892" w:rsidP="001C3642">
      <w:pPr>
        <w:pStyle w:val="NormalWeb"/>
        <w:numPr>
          <w:ilvl w:val="0"/>
          <w:numId w:val="18"/>
        </w:numPr>
        <w:jc w:val="both"/>
        <w:rPr>
          <w:color w:val="000000" w:themeColor="text1"/>
          <w:sz w:val="20"/>
          <w:szCs w:val="20"/>
        </w:rPr>
      </w:pPr>
      <w:r w:rsidRPr="00006892">
        <w:rPr>
          <w:color w:val="000000" w:themeColor="text1"/>
          <w:sz w:val="20"/>
          <w:szCs w:val="20"/>
        </w:rPr>
        <w:t>RFE 2020. Management of the patient with severe pre-eclampsia. SFAR-CNGOF</w:t>
      </w:r>
    </w:p>
    <w:p w14:paraId="32BEDFE8" w14:textId="77777777" w:rsidR="00364745" w:rsidRDefault="00364745" w:rsidP="00364745">
      <w:pPr>
        <w:pStyle w:val="Paragraphedeliste"/>
        <w:numPr>
          <w:ilvl w:val="0"/>
          <w:numId w:val="18"/>
        </w:numPr>
        <w:spacing w:before="100" w:beforeAutospacing="1" w:after="100" w:afterAutospacing="1"/>
        <w:jc w:val="both"/>
        <w:rPr>
          <w:color w:val="000000" w:themeColor="text1"/>
          <w:sz w:val="20"/>
          <w:szCs w:val="20"/>
          <w:lang w:val="en-US"/>
        </w:rPr>
      </w:pPr>
      <w:r w:rsidRPr="00364745">
        <w:rPr>
          <w:color w:val="000000" w:themeColor="text1"/>
          <w:sz w:val="20"/>
          <w:szCs w:val="20"/>
          <w:lang w:val="en-US"/>
        </w:rPr>
        <w:t>ACOG Practice Bulletin No. 202: gestational hypertension and preeclampsia. Obstet Gynecol. 2019;133:e1–e25.</w:t>
      </w:r>
    </w:p>
    <w:p w14:paraId="5FA09F65" w14:textId="77777777" w:rsidR="00364745" w:rsidRPr="00364745" w:rsidRDefault="00364745" w:rsidP="00364745">
      <w:pPr>
        <w:pStyle w:val="Paragraphedeliste"/>
        <w:numPr>
          <w:ilvl w:val="0"/>
          <w:numId w:val="18"/>
        </w:numPr>
        <w:spacing w:before="100" w:beforeAutospacing="1" w:after="100" w:afterAutospacing="1"/>
        <w:jc w:val="both"/>
        <w:rPr>
          <w:color w:val="000000" w:themeColor="text1"/>
          <w:sz w:val="20"/>
          <w:szCs w:val="20"/>
          <w:lang w:val="en-US"/>
        </w:rPr>
      </w:pPr>
      <w:r w:rsidRPr="00364745">
        <w:rPr>
          <w:noProof/>
          <w:color w:val="000000" w:themeColor="text1"/>
          <w:sz w:val="20"/>
          <w:szCs w:val="20"/>
          <w:lang w:val="en-US"/>
        </w:rPr>
        <w:t>Sibai BM, Ramadan MK, Usta I, Salama M, Mercer BM, Friedman SA. Maternal morbidity and mortality in 422 pregnancies with hemolysis, elevated liver enzymes and low platelets.Am J Obstet Gynecol 1993; 169:1000-6.)</w:t>
      </w:r>
    </w:p>
    <w:p w14:paraId="300FD6E9" w14:textId="77777777" w:rsidR="00364745" w:rsidRPr="00364745" w:rsidRDefault="00364745" w:rsidP="00364745">
      <w:pPr>
        <w:pStyle w:val="Paragraphedeliste"/>
        <w:numPr>
          <w:ilvl w:val="0"/>
          <w:numId w:val="18"/>
        </w:numPr>
        <w:spacing w:before="100" w:beforeAutospacing="1" w:after="100" w:afterAutospacing="1"/>
        <w:jc w:val="both"/>
        <w:rPr>
          <w:rStyle w:val="gmail-apple-converted-space"/>
          <w:color w:val="000000" w:themeColor="text1"/>
          <w:sz w:val="20"/>
          <w:szCs w:val="20"/>
          <w:lang w:val="en-US"/>
        </w:rPr>
      </w:pPr>
      <w:proofErr w:type="spellStart"/>
      <w:r w:rsidRPr="00364745">
        <w:rPr>
          <w:color w:val="000000"/>
          <w:sz w:val="20"/>
          <w:szCs w:val="20"/>
          <w:lang w:val="en-GB"/>
        </w:rPr>
        <w:t>Sibai</w:t>
      </w:r>
      <w:proofErr w:type="spellEnd"/>
      <w:r w:rsidRPr="00364745">
        <w:rPr>
          <w:color w:val="000000"/>
          <w:sz w:val="20"/>
          <w:szCs w:val="20"/>
          <w:lang w:val="en-GB"/>
        </w:rPr>
        <w:t xml:space="preserve"> BM. The HELLP syndrome (</w:t>
      </w:r>
      <w:proofErr w:type="spellStart"/>
      <w:r w:rsidRPr="00364745">
        <w:rPr>
          <w:color w:val="000000"/>
          <w:sz w:val="20"/>
          <w:szCs w:val="20"/>
          <w:lang w:val="en-GB"/>
        </w:rPr>
        <w:t>hemolysis</w:t>
      </w:r>
      <w:proofErr w:type="spellEnd"/>
      <w:r w:rsidRPr="00364745">
        <w:rPr>
          <w:color w:val="000000"/>
          <w:sz w:val="20"/>
          <w:szCs w:val="20"/>
          <w:lang w:val="en-GB"/>
        </w:rPr>
        <w:t>, elevated liver enzymes and low platelets): Much ado about nothing? Am J Obstet Gynecol 1990; 162:311-6.</w:t>
      </w:r>
    </w:p>
    <w:p w14:paraId="6AB46DBA" w14:textId="77777777" w:rsidR="00364745" w:rsidRPr="00364745" w:rsidRDefault="00364745" w:rsidP="00364745">
      <w:pPr>
        <w:pStyle w:val="Paragraphedeliste"/>
        <w:numPr>
          <w:ilvl w:val="0"/>
          <w:numId w:val="18"/>
        </w:numPr>
        <w:spacing w:before="100" w:beforeAutospacing="1" w:after="100" w:afterAutospacing="1"/>
        <w:jc w:val="both"/>
        <w:rPr>
          <w:color w:val="000000" w:themeColor="text1"/>
          <w:sz w:val="20"/>
          <w:szCs w:val="20"/>
          <w:lang w:val="en-US"/>
        </w:rPr>
      </w:pPr>
      <w:r w:rsidRPr="00364745">
        <w:rPr>
          <w:color w:val="000000"/>
          <w:sz w:val="20"/>
          <w:szCs w:val="20"/>
          <w:lang w:val="en-GB"/>
        </w:rPr>
        <w:t>Martin JN, Rinehart Bk, May WL, Magann EF, Terrone DA, Blake PG. The spectrum of severe preeclampsia: comparative analysis by HELLP (hemolysis, elevated liver enzymes, and low platelets count) syndrome classification. Am J Obstet Gynecol 1999; 180:1373–1384.</w:t>
      </w:r>
    </w:p>
    <w:p w14:paraId="26E2648B" w14:textId="77777777" w:rsidR="00364745" w:rsidRPr="00364745" w:rsidRDefault="00364745" w:rsidP="00364745">
      <w:pPr>
        <w:pStyle w:val="Paragraphedeliste"/>
        <w:numPr>
          <w:ilvl w:val="0"/>
          <w:numId w:val="18"/>
        </w:numPr>
        <w:spacing w:before="100" w:beforeAutospacing="1" w:after="100" w:afterAutospacing="1"/>
        <w:jc w:val="both"/>
        <w:rPr>
          <w:color w:val="000000" w:themeColor="text1"/>
          <w:sz w:val="20"/>
          <w:szCs w:val="20"/>
          <w:lang w:val="en-US"/>
        </w:rPr>
      </w:pPr>
      <w:r w:rsidRPr="00364745">
        <w:rPr>
          <w:noProof/>
          <w:color w:val="000000" w:themeColor="text1"/>
          <w:sz w:val="20"/>
          <w:szCs w:val="20"/>
          <w:lang w:val="en-GB"/>
        </w:rPr>
        <w:t>Sibai BM. Diagnosis, controversies, and management of the syndrome of hemolysis, elevated liver enzymes and low platelets. Obstet Gynecol 2004; 103:981–91.)</w:t>
      </w:r>
    </w:p>
    <w:p w14:paraId="5637F885" w14:textId="77777777" w:rsidR="00364745" w:rsidRDefault="00364745" w:rsidP="00364745">
      <w:pPr>
        <w:pStyle w:val="auteurarticle"/>
        <w:numPr>
          <w:ilvl w:val="0"/>
          <w:numId w:val="18"/>
        </w:numPr>
        <w:spacing w:before="0" w:beforeAutospacing="0" w:after="0" w:afterAutospacing="0"/>
        <w:jc w:val="both"/>
        <w:rPr>
          <w:color w:val="000000" w:themeColor="text1"/>
          <w:sz w:val="20"/>
          <w:szCs w:val="20"/>
        </w:rPr>
      </w:pPr>
      <w:r w:rsidRPr="00364745">
        <w:rPr>
          <w:color w:val="000000" w:themeColor="text1"/>
          <w:sz w:val="20"/>
          <w:szCs w:val="20"/>
        </w:rPr>
        <w:t>G. Seren, J. Morel, R. Jospe, P. Mahul, A. Dumont, M. Cuileron, O. Tiffet, C. Auboyer. HELLP syndrome and subcapsular hematoma of the ruptured liver. Therapeutic strategy based on a clinical case. AFR 2006; 25:1067-9.)</w:t>
      </w:r>
    </w:p>
    <w:p w14:paraId="3C45DFDB" w14:textId="77777777" w:rsidR="00364745" w:rsidRPr="00364745" w:rsidRDefault="00364745" w:rsidP="00364745">
      <w:pPr>
        <w:pStyle w:val="auteurarticle"/>
        <w:numPr>
          <w:ilvl w:val="0"/>
          <w:numId w:val="18"/>
        </w:numPr>
        <w:spacing w:before="0" w:beforeAutospacing="0" w:after="0" w:afterAutospacing="0"/>
        <w:jc w:val="both"/>
        <w:rPr>
          <w:color w:val="000000" w:themeColor="text1"/>
          <w:sz w:val="20"/>
          <w:szCs w:val="20"/>
        </w:rPr>
      </w:pPr>
      <w:r w:rsidRPr="00364745">
        <w:rPr>
          <w:noProof/>
          <w:color w:val="000000" w:themeColor="text1"/>
          <w:sz w:val="20"/>
          <w:szCs w:val="20"/>
          <w:lang w:val="en-US"/>
        </w:rPr>
        <w:t>Sheikh RA, Yasmeen S, Pauly MP, Riegler JL. Spontaneous intrahepatic hemorrhage and hepatic rupture in the Hellp syndrome. Four cases and a review. J Clin Gastroenterol 1999; 28:323-8.)</w:t>
      </w:r>
    </w:p>
    <w:p w14:paraId="5FA9B0B8" w14:textId="77777777" w:rsidR="00364745" w:rsidRPr="00364745" w:rsidRDefault="00364745" w:rsidP="00364745">
      <w:pPr>
        <w:pStyle w:val="auteurarticle"/>
        <w:numPr>
          <w:ilvl w:val="0"/>
          <w:numId w:val="18"/>
        </w:numPr>
        <w:spacing w:before="0" w:beforeAutospacing="0" w:after="0" w:afterAutospacing="0"/>
        <w:jc w:val="both"/>
        <w:rPr>
          <w:color w:val="000000" w:themeColor="text1"/>
          <w:sz w:val="20"/>
          <w:szCs w:val="20"/>
          <w:lang w:val="en-US"/>
        </w:rPr>
      </w:pPr>
      <w:r w:rsidRPr="00364745">
        <w:rPr>
          <w:noProof/>
          <w:color w:val="000000" w:themeColor="text1"/>
          <w:sz w:val="20"/>
          <w:szCs w:val="20"/>
          <w:lang w:val="en-GB"/>
        </w:rPr>
        <w:t>Shames BD, Fernandez LA, Sollinger HW and al. Liver transplantation for Hellp syndrome. Liver Trans. 2005 Feb; 11 (2): 224-8.)</w:t>
      </w:r>
    </w:p>
    <w:p w14:paraId="0BED6CB9" w14:textId="77777777" w:rsidR="00364745" w:rsidRPr="00364745" w:rsidRDefault="00364745" w:rsidP="00364745">
      <w:pPr>
        <w:pStyle w:val="auteurarticle"/>
        <w:numPr>
          <w:ilvl w:val="0"/>
          <w:numId w:val="18"/>
        </w:numPr>
        <w:spacing w:before="0" w:beforeAutospacing="0" w:after="0" w:afterAutospacing="0"/>
        <w:jc w:val="both"/>
        <w:rPr>
          <w:color w:val="000000" w:themeColor="text1"/>
          <w:sz w:val="20"/>
          <w:szCs w:val="20"/>
          <w:lang w:val="en-US"/>
        </w:rPr>
      </w:pPr>
      <w:r w:rsidRPr="00364745">
        <w:rPr>
          <w:bCs/>
          <w:noProof/>
          <w:color w:val="000000" w:themeColor="text1"/>
          <w:sz w:val="20"/>
          <w:szCs w:val="20"/>
        </w:rPr>
        <w:t>Vigil-De-Gracia P, Silva S, Montufar C, Carrol I, De Los Rioss. Anesthesia in pregnancy with HELLP syndrome. Int J Gynecol Obstet 2001; 74:23–7.</w:t>
      </w:r>
    </w:p>
    <w:p w14:paraId="2E709B92" w14:textId="77777777" w:rsidR="00364745" w:rsidRPr="00364745" w:rsidRDefault="00364745" w:rsidP="00364745">
      <w:pPr>
        <w:pStyle w:val="auteurarticle"/>
        <w:numPr>
          <w:ilvl w:val="0"/>
          <w:numId w:val="18"/>
        </w:numPr>
        <w:spacing w:before="0" w:beforeAutospacing="0" w:after="0" w:afterAutospacing="0"/>
        <w:jc w:val="both"/>
        <w:rPr>
          <w:color w:val="000000" w:themeColor="text1"/>
          <w:sz w:val="20"/>
          <w:szCs w:val="20"/>
          <w:lang w:val="en-US"/>
        </w:rPr>
      </w:pPr>
      <w:r w:rsidRPr="00364745">
        <w:rPr>
          <w:color w:val="000000" w:themeColor="text1"/>
          <w:sz w:val="20"/>
          <w:szCs w:val="20"/>
          <w:lang w:val="nb-NO"/>
        </w:rPr>
        <w:t>Baha Sibai, Gus Dekker, Michael KupfermincMaternal and fetal complications in severe preeclampsia. Lancet 2005; 365:785–99</w:t>
      </w:r>
    </w:p>
    <w:p w14:paraId="310D09E1" w14:textId="77777777" w:rsidR="00364745" w:rsidRPr="00364745" w:rsidRDefault="00364745" w:rsidP="00364745">
      <w:pPr>
        <w:pStyle w:val="NormalWeb"/>
        <w:numPr>
          <w:ilvl w:val="0"/>
          <w:numId w:val="18"/>
        </w:numPr>
        <w:jc w:val="both"/>
        <w:rPr>
          <w:color w:val="000000" w:themeColor="text1"/>
          <w:sz w:val="20"/>
          <w:szCs w:val="20"/>
          <w:lang w:val="en-US"/>
        </w:rPr>
      </w:pPr>
      <w:r w:rsidRPr="00364745">
        <w:rPr>
          <w:color w:val="000000" w:themeColor="text1"/>
          <w:sz w:val="20"/>
          <w:szCs w:val="20"/>
          <w:lang w:val="en-US"/>
        </w:rPr>
        <w:t xml:space="preserve">Thangaratinam S., </w:t>
      </w:r>
      <w:proofErr w:type="spellStart"/>
      <w:r w:rsidRPr="00364745">
        <w:rPr>
          <w:color w:val="000000" w:themeColor="text1"/>
          <w:sz w:val="20"/>
          <w:szCs w:val="20"/>
          <w:lang w:val="en-US"/>
        </w:rPr>
        <w:t>IsmailK</w:t>
      </w:r>
      <w:proofErr w:type="spellEnd"/>
      <w:r w:rsidRPr="00364745">
        <w:rPr>
          <w:color w:val="000000" w:themeColor="text1"/>
          <w:sz w:val="20"/>
          <w:szCs w:val="20"/>
          <w:lang w:val="en-US"/>
        </w:rPr>
        <w:t xml:space="preserve">., Sharp S, </w:t>
      </w:r>
      <w:proofErr w:type="spellStart"/>
      <w:r w:rsidRPr="00364745">
        <w:rPr>
          <w:color w:val="000000" w:themeColor="text1"/>
          <w:sz w:val="20"/>
          <w:szCs w:val="20"/>
          <w:lang w:val="en-US"/>
        </w:rPr>
        <w:t>CoomarasamyA</w:t>
      </w:r>
      <w:proofErr w:type="spellEnd"/>
      <w:r w:rsidRPr="00364745">
        <w:rPr>
          <w:color w:val="000000" w:themeColor="text1"/>
          <w:sz w:val="20"/>
          <w:szCs w:val="20"/>
          <w:lang w:val="en-US"/>
        </w:rPr>
        <w:t xml:space="preserve">., </w:t>
      </w:r>
      <w:proofErr w:type="spellStart"/>
      <w:r w:rsidRPr="00364745">
        <w:rPr>
          <w:color w:val="000000" w:themeColor="text1"/>
          <w:sz w:val="20"/>
          <w:szCs w:val="20"/>
          <w:lang w:val="en-US"/>
        </w:rPr>
        <w:t>O'MahonyF</w:t>
      </w:r>
      <w:proofErr w:type="spellEnd"/>
      <w:r w:rsidRPr="00364745">
        <w:rPr>
          <w:color w:val="000000" w:themeColor="text1"/>
          <w:sz w:val="20"/>
          <w:szCs w:val="20"/>
          <w:lang w:val="en-US"/>
        </w:rPr>
        <w:t xml:space="preserve">., Khan KS, </w:t>
      </w:r>
      <w:proofErr w:type="spellStart"/>
      <w:r w:rsidRPr="00364745">
        <w:rPr>
          <w:color w:val="000000" w:themeColor="text1"/>
          <w:sz w:val="20"/>
          <w:szCs w:val="20"/>
          <w:lang w:val="en-US"/>
        </w:rPr>
        <w:t>etal.Prioritization</w:t>
      </w:r>
      <w:proofErr w:type="spellEnd"/>
      <w:r w:rsidRPr="00364745">
        <w:rPr>
          <w:color w:val="000000" w:themeColor="text1"/>
          <w:sz w:val="20"/>
          <w:szCs w:val="20"/>
          <w:lang w:val="en-US"/>
        </w:rPr>
        <w:t xml:space="preserve"> of tests for the prediction of preeclampsia complications: a Delphi survey. Hypertensive Pregnancy 2007; 26:131–8.</w:t>
      </w:r>
    </w:p>
    <w:p w14:paraId="5C40CE69" w14:textId="77777777" w:rsidR="00364745" w:rsidRPr="00364745" w:rsidRDefault="00364745" w:rsidP="00364745">
      <w:pPr>
        <w:pStyle w:val="NormalWeb"/>
        <w:numPr>
          <w:ilvl w:val="0"/>
          <w:numId w:val="18"/>
        </w:numPr>
        <w:jc w:val="both"/>
        <w:rPr>
          <w:color w:val="000000" w:themeColor="text1"/>
          <w:sz w:val="20"/>
          <w:szCs w:val="20"/>
        </w:rPr>
      </w:pPr>
      <w:r w:rsidRPr="00364745">
        <w:rPr>
          <w:color w:val="000000" w:themeColor="text1"/>
          <w:sz w:val="20"/>
          <w:szCs w:val="20"/>
        </w:rPr>
        <w:t xml:space="preserve">B. Moulin, A. Hertig, E. Rondeau. Kidney and preeclampsia. In: Multidisciplinary management of </w:t>
      </w:r>
      <w:proofErr w:type="spellStart"/>
      <w:r w:rsidRPr="00364745">
        <w:rPr>
          <w:color w:val="000000" w:themeColor="text1"/>
          <w:sz w:val="20"/>
          <w:szCs w:val="20"/>
        </w:rPr>
        <w:t>preeclampsia</w:t>
      </w:r>
      <w:proofErr w:type="spellEnd"/>
      <w:r w:rsidRPr="00364745">
        <w:rPr>
          <w:color w:val="000000" w:themeColor="text1"/>
          <w:sz w:val="20"/>
          <w:szCs w:val="20"/>
        </w:rPr>
        <w:t xml:space="preserve"> 2009; Page: 171-186.</w:t>
      </w:r>
    </w:p>
    <w:p w14:paraId="3D3B6B89" w14:textId="77777777" w:rsidR="009A263F" w:rsidRPr="00272AE7" w:rsidRDefault="009A263F" w:rsidP="001C3642">
      <w:pPr>
        <w:pStyle w:val="Paragraphedeliste"/>
        <w:numPr>
          <w:ilvl w:val="0"/>
          <w:numId w:val="18"/>
        </w:numPr>
        <w:spacing w:before="100" w:beforeAutospacing="1" w:after="100" w:afterAutospacing="1"/>
        <w:jc w:val="both"/>
        <w:rPr>
          <w:color w:val="000000" w:themeColor="text1"/>
          <w:sz w:val="20"/>
          <w:szCs w:val="20"/>
          <w:lang w:val="en-US"/>
        </w:rPr>
      </w:pPr>
      <w:r w:rsidRPr="00272AE7">
        <w:rPr>
          <w:color w:val="000000" w:themeColor="text1"/>
          <w:sz w:val="20"/>
          <w:szCs w:val="20"/>
          <w:lang w:val="en-US"/>
        </w:rPr>
        <w:t>Schutte J, Schuitemaker N, van Roosmalen J, et al: Substandard care in maternal mortality due to hypertensive disease in pregnancy in the Netherlands. Br J Obstet Gynaecol 115:732-736, 2008.</w:t>
      </w:r>
    </w:p>
    <w:p w14:paraId="2B9934FF" w14:textId="77777777" w:rsidR="009A263F" w:rsidRPr="00272AE7" w:rsidRDefault="009A263F" w:rsidP="001C3642">
      <w:pPr>
        <w:pStyle w:val="Paragraphedeliste"/>
        <w:numPr>
          <w:ilvl w:val="0"/>
          <w:numId w:val="18"/>
        </w:numPr>
        <w:spacing w:before="100" w:beforeAutospacing="1" w:after="100" w:afterAutospacing="1"/>
        <w:jc w:val="both"/>
        <w:rPr>
          <w:color w:val="000000" w:themeColor="text1"/>
          <w:sz w:val="20"/>
          <w:szCs w:val="20"/>
          <w:lang w:val="en-US"/>
        </w:rPr>
      </w:pPr>
      <w:proofErr w:type="spellStart"/>
      <w:r w:rsidRPr="00272AE7">
        <w:rPr>
          <w:color w:val="000000" w:themeColor="text1"/>
          <w:sz w:val="20"/>
          <w:szCs w:val="20"/>
          <w:lang w:val="en-US"/>
        </w:rPr>
        <w:t>Karolinski</w:t>
      </w:r>
      <w:proofErr w:type="spellEnd"/>
      <w:r w:rsidRPr="00272AE7">
        <w:rPr>
          <w:color w:val="000000" w:themeColor="text1"/>
          <w:sz w:val="20"/>
          <w:szCs w:val="20"/>
          <w:lang w:val="en-US"/>
        </w:rPr>
        <w:t xml:space="preserve"> A, Mazzoni A, Belizan JM, et al: Lost opportunities for effective management of obstetric conditions to reduce maternal mortality and severe maternal morbidity in Argentina and Uruguay. Int J Gynecol Obstet 110:175-180, 2010.</w:t>
      </w:r>
    </w:p>
    <w:p w14:paraId="2F92E664" w14:textId="77777777" w:rsidR="009A263F" w:rsidRPr="00272AE7" w:rsidRDefault="009A263F" w:rsidP="001C3642">
      <w:pPr>
        <w:pStyle w:val="Paragraphedeliste"/>
        <w:numPr>
          <w:ilvl w:val="0"/>
          <w:numId w:val="18"/>
        </w:numPr>
        <w:spacing w:before="100" w:beforeAutospacing="1" w:after="100" w:afterAutospacing="1"/>
        <w:jc w:val="both"/>
        <w:rPr>
          <w:color w:val="000000" w:themeColor="text1"/>
          <w:sz w:val="20"/>
          <w:szCs w:val="20"/>
          <w:lang w:val="en-US"/>
        </w:rPr>
      </w:pPr>
      <w:r w:rsidRPr="00272AE7">
        <w:rPr>
          <w:color w:val="000000" w:themeColor="text1"/>
          <w:sz w:val="20"/>
          <w:szCs w:val="20"/>
          <w:lang w:val="en-US"/>
        </w:rPr>
        <w:t>Clark SL, Belfort MA, Dildy GA, et al: Maternal death in the 21st century: Causes, prevention, and relationship to cesarean delivery. Am J Obstet Gynecol 199:36. e1-36. e5, 2008.</w:t>
      </w:r>
    </w:p>
    <w:p w14:paraId="319D564E" w14:textId="77777777" w:rsidR="009A263F" w:rsidRPr="00272AE7" w:rsidRDefault="009A263F" w:rsidP="001C3642">
      <w:pPr>
        <w:pStyle w:val="Paragraphedeliste"/>
        <w:numPr>
          <w:ilvl w:val="0"/>
          <w:numId w:val="18"/>
        </w:numPr>
        <w:spacing w:before="100" w:beforeAutospacing="1" w:after="100" w:afterAutospacing="1"/>
        <w:jc w:val="both"/>
        <w:rPr>
          <w:color w:val="000000" w:themeColor="text1"/>
          <w:sz w:val="20"/>
          <w:szCs w:val="20"/>
          <w:lang w:val="en-US"/>
        </w:rPr>
      </w:pPr>
      <w:r w:rsidRPr="00272AE7">
        <w:rPr>
          <w:color w:val="000000" w:themeColor="text1"/>
          <w:sz w:val="20"/>
          <w:szCs w:val="20"/>
          <w:lang w:val="en-US"/>
        </w:rPr>
        <w:t>Allen VM, Campbell M, Carson G, et al; for the Canadian Maternal Morbidity Working Group: Maternal mortality and severe maternal morbidity surveillance in Canada. J Obstet Gynaecol Can 32:1140-1146, 2010</w:t>
      </w:r>
    </w:p>
    <w:p w14:paraId="7C04CF37" w14:textId="77777777" w:rsidR="009A263F" w:rsidRPr="00272AE7" w:rsidRDefault="009A263F" w:rsidP="001C3642">
      <w:pPr>
        <w:pStyle w:val="Paragraphedeliste"/>
        <w:numPr>
          <w:ilvl w:val="0"/>
          <w:numId w:val="18"/>
        </w:numPr>
        <w:spacing w:before="100" w:beforeAutospacing="1" w:after="100" w:afterAutospacing="1"/>
        <w:jc w:val="both"/>
        <w:rPr>
          <w:color w:val="000000" w:themeColor="text1"/>
          <w:sz w:val="20"/>
          <w:szCs w:val="20"/>
          <w:lang w:val="en-US"/>
        </w:rPr>
      </w:pPr>
      <w:r w:rsidRPr="00272AE7">
        <w:rPr>
          <w:color w:val="000000" w:themeColor="text1"/>
          <w:sz w:val="20"/>
          <w:szCs w:val="20"/>
          <w:lang w:val="en-US"/>
        </w:rPr>
        <w:t>Martin JN Jr, Thigpen BD, Moore RC, et al: Stroke and severe pre-eclampsia and eclampsia: A paradigm shift focusing on systolic blood pressure. Obstet Gynecol 105:246-254, 2005</w:t>
      </w:r>
    </w:p>
    <w:p w14:paraId="5F8E6BDC" w14:textId="77777777" w:rsidR="00364745" w:rsidRDefault="009A263F" w:rsidP="00364745">
      <w:pPr>
        <w:pStyle w:val="Paragraphedeliste"/>
        <w:numPr>
          <w:ilvl w:val="0"/>
          <w:numId w:val="18"/>
        </w:numPr>
        <w:spacing w:before="100" w:beforeAutospacing="1" w:after="100" w:afterAutospacing="1"/>
        <w:jc w:val="both"/>
        <w:rPr>
          <w:color w:val="000000" w:themeColor="text1"/>
          <w:sz w:val="20"/>
          <w:szCs w:val="20"/>
        </w:rPr>
      </w:pPr>
      <w:r w:rsidRPr="00272AE7">
        <w:rPr>
          <w:color w:val="000000" w:themeColor="text1"/>
          <w:sz w:val="20"/>
          <w:szCs w:val="20"/>
          <w:lang w:val="en-US"/>
        </w:rPr>
        <w:t>Moodley J: Maternal deaths associated with hypertensive disorders of pregnancy: A population-based study. Hypertens Pregnancy 23:247-256, 2004</w:t>
      </w:r>
    </w:p>
    <w:p w14:paraId="75CCD2ED" w14:textId="77777777" w:rsidR="009A263F" w:rsidRPr="00364745" w:rsidRDefault="009A263F" w:rsidP="00364745">
      <w:pPr>
        <w:pStyle w:val="NormalWeb"/>
        <w:contextualSpacing/>
        <w:jc w:val="both"/>
        <w:rPr>
          <w:sz w:val="20"/>
          <w:szCs w:val="20"/>
        </w:rPr>
      </w:pPr>
    </w:p>
    <w:p w14:paraId="4DC4BF8A" w14:textId="77777777" w:rsidR="00780523" w:rsidRPr="00272AE7" w:rsidRDefault="00780523" w:rsidP="001C3642">
      <w:pPr>
        <w:spacing w:before="100" w:beforeAutospacing="1" w:after="100" w:afterAutospacing="1"/>
        <w:jc w:val="both"/>
        <w:rPr>
          <w:sz w:val="20"/>
          <w:szCs w:val="20"/>
          <w:lang w:val="en-US"/>
        </w:rPr>
      </w:pPr>
    </w:p>
    <w:p w14:paraId="0FF4EB46" w14:textId="77777777" w:rsidR="00E91EB3" w:rsidRPr="00272AE7" w:rsidRDefault="00E91EB3" w:rsidP="00D42401">
      <w:pPr>
        <w:spacing w:before="100" w:beforeAutospacing="1" w:after="100" w:afterAutospacing="1"/>
        <w:contextualSpacing/>
        <w:jc w:val="both"/>
        <w:rPr>
          <w:b/>
          <w:sz w:val="20"/>
          <w:szCs w:val="20"/>
          <w:u w:val="single"/>
          <w:lang w:val="en-US"/>
        </w:rPr>
      </w:pPr>
    </w:p>
    <w:sectPr w:rsidR="00E91EB3" w:rsidRPr="00272AE7" w:rsidSect="00AB73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calaLancetPro">
    <w:altName w:val="Cambria"/>
    <w:panose1 w:val="00000000000000000000"/>
    <w:charset w:val="00"/>
    <w:family w:val="roman"/>
    <w:notTrueType/>
    <w:pitch w:val="default"/>
  </w:font>
  <w:font w:name="SourceSansPro">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D72C2"/>
    <w:multiLevelType w:val="hybridMultilevel"/>
    <w:tmpl w:val="B4B4E0F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B4C112C"/>
    <w:multiLevelType w:val="multilevel"/>
    <w:tmpl w:val="0C9E86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CB94E21"/>
    <w:multiLevelType w:val="hybridMultilevel"/>
    <w:tmpl w:val="FEF234CE"/>
    <w:lvl w:ilvl="0" w:tplc="329272E2">
      <w:start w:val="2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32132D"/>
    <w:multiLevelType w:val="multilevel"/>
    <w:tmpl w:val="CB5C41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3507C7"/>
    <w:multiLevelType w:val="hybridMultilevel"/>
    <w:tmpl w:val="1A102B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AA3BDD"/>
    <w:multiLevelType w:val="hybridMultilevel"/>
    <w:tmpl w:val="85C2D1EA"/>
    <w:lvl w:ilvl="0" w:tplc="9C2A68C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1D7A3E"/>
    <w:multiLevelType w:val="multilevel"/>
    <w:tmpl w:val="C6CE7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4E51C7"/>
    <w:multiLevelType w:val="multilevel"/>
    <w:tmpl w:val="F9002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7D60F6"/>
    <w:multiLevelType w:val="multilevel"/>
    <w:tmpl w:val="17A43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3119CB"/>
    <w:multiLevelType w:val="hybridMultilevel"/>
    <w:tmpl w:val="841EFB4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0D614F3"/>
    <w:multiLevelType w:val="multilevel"/>
    <w:tmpl w:val="BA38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305742"/>
    <w:multiLevelType w:val="multilevel"/>
    <w:tmpl w:val="82B85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6E05BF"/>
    <w:multiLevelType w:val="hybridMultilevel"/>
    <w:tmpl w:val="262A640E"/>
    <w:lvl w:ilvl="0" w:tplc="D3EEE0FE">
      <w:start w:val="8"/>
      <w:numFmt w:val="decimal"/>
      <w:lvlText w:val="%1"/>
      <w:lvlJc w:val="left"/>
      <w:pPr>
        <w:ind w:left="720" w:hanging="360"/>
      </w:pPr>
      <w:rPr>
        <w:rFonts w:ascii="ScalaLancetPro" w:hAnsi="ScalaLancetPro"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5A636C7"/>
    <w:multiLevelType w:val="hybridMultilevel"/>
    <w:tmpl w:val="83B42E2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5C85A5B"/>
    <w:multiLevelType w:val="hybridMultilevel"/>
    <w:tmpl w:val="98EE927E"/>
    <w:lvl w:ilvl="0" w:tplc="94088EEC">
      <w:start w:val="1"/>
      <w:numFmt w:val="decimal"/>
      <w:lvlText w:val="%1."/>
      <w:lvlJc w:val="left"/>
      <w:pPr>
        <w:ind w:left="360" w:hanging="360"/>
      </w:pPr>
      <w:rPr>
        <w:rFonts w:ascii="SourceSansPro" w:hAnsi="SourceSansPro" w:hint="default"/>
        <w:sz w:val="1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477F1B29"/>
    <w:multiLevelType w:val="hybridMultilevel"/>
    <w:tmpl w:val="6212D000"/>
    <w:lvl w:ilvl="0" w:tplc="3F9A50BA">
      <w:start w:val="2"/>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CE23A9A"/>
    <w:multiLevelType w:val="multilevel"/>
    <w:tmpl w:val="AF60639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549239F9"/>
    <w:multiLevelType w:val="multilevel"/>
    <w:tmpl w:val="63DC442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C355CC"/>
    <w:multiLevelType w:val="hybridMultilevel"/>
    <w:tmpl w:val="8B3ACBE0"/>
    <w:lvl w:ilvl="0" w:tplc="D0EC6B44">
      <w:start w:val="1"/>
      <w:numFmt w:val="bullet"/>
      <w:lvlText w:val="•"/>
      <w:lvlJc w:val="left"/>
      <w:pPr>
        <w:tabs>
          <w:tab w:val="num" w:pos="720"/>
        </w:tabs>
        <w:ind w:left="720" w:hanging="360"/>
      </w:pPr>
      <w:rPr>
        <w:rFonts w:ascii="Arial" w:hAnsi="Arial" w:hint="default"/>
      </w:rPr>
    </w:lvl>
    <w:lvl w:ilvl="1" w:tplc="757EC05E" w:tentative="1">
      <w:start w:val="1"/>
      <w:numFmt w:val="bullet"/>
      <w:lvlText w:val="•"/>
      <w:lvlJc w:val="left"/>
      <w:pPr>
        <w:tabs>
          <w:tab w:val="num" w:pos="1440"/>
        </w:tabs>
        <w:ind w:left="1440" w:hanging="360"/>
      </w:pPr>
      <w:rPr>
        <w:rFonts w:ascii="Arial" w:hAnsi="Arial" w:hint="default"/>
      </w:rPr>
    </w:lvl>
    <w:lvl w:ilvl="2" w:tplc="88D4CED2" w:tentative="1">
      <w:start w:val="1"/>
      <w:numFmt w:val="bullet"/>
      <w:lvlText w:val="•"/>
      <w:lvlJc w:val="left"/>
      <w:pPr>
        <w:tabs>
          <w:tab w:val="num" w:pos="2160"/>
        </w:tabs>
        <w:ind w:left="2160" w:hanging="360"/>
      </w:pPr>
      <w:rPr>
        <w:rFonts w:ascii="Arial" w:hAnsi="Arial" w:hint="default"/>
      </w:rPr>
    </w:lvl>
    <w:lvl w:ilvl="3" w:tplc="FEA485EA" w:tentative="1">
      <w:start w:val="1"/>
      <w:numFmt w:val="bullet"/>
      <w:lvlText w:val="•"/>
      <w:lvlJc w:val="left"/>
      <w:pPr>
        <w:tabs>
          <w:tab w:val="num" w:pos="2880"/>
        </w:tabs>
        <w:ind w:left="2880" w:hanging="360"/>
      </w:pPr>
      <w:rPr>
        <w:rFonts w:ascii="Arial" w:hAnsi="Arial" w:hint="default"/>
      </w:rPr>
    </w:lvl>
    <w:lvl w:ilvl="4" w:tplc="079A1978" w:tentative="1">
      <w:start w:val="1"/>
      <w:numFmt w:val="bullet"/>
      <w:lvlText w:val="•"/>
      <w:lvlJc w:val="left"/>
      <w:pPr>
        <w:tabs>
          <w:tab w:val="num" w:pos="3600"/>
        </w:tabs>
        <w:ind w:left="3600" w:hanging="360"/>
      </w:pPr>
      <w:rPr>
        <w:rFonts w:ascii="Arial" w:hAnsi="Arial" w:hint="default"/>
      </w:rPr>
    </w:lvl>
    <w:lvl w:ilvl="5" w:tplc="8B50F94A" w:tentative="1">
      <w:start w:val="1"/>
      <w:numFmt w:val="bullet"/>
      <w:lvlText w:val="•"/>
      <w:lvlJc w:val="left"/>
      <w:pPr>
        <w:tabs>
          <w:tab w:val="num" w:pos="4320"/>
        </w:tabs>
        <w:ind w:left="4320" w:hanging="360"/>
      </w:pPr>
      <w:rPr>
        <w:rFonts w:ascii="Arial" w:hAnsi="Arial" w:hint="default"/>
      </w:rPr>
    </w:lvl>
    <w:lvl w:ilvl="6" w:tplc="4F98F0D2" w:tentative="1">
      <w:start w:val="1"/>
      <w:numFmt w:val="bullet"/>
      <w:lvlText w:val="•"/>
      <w:lvlJc w:val="left"/>
      <w:pPr>
        <w:tabs>
          <w:tab w:val="num" w:pos="5040"/>
        </w:tabs>
        <w:ind w:left="5040" w:hanging="360"/>
      </w:pPr>
      <w:rPr>
        <w:rFonts w:ascii="Arial" w:hAnsi="Arial" w:hint="default"/>
      </w:rPr>
    </w:lvl>
    <w:lvl w:ilvl="7" w:tplc="66403A6C" w:tentative="1">
      <w:start w:val="1"/>
      <w:numFmt w:val="bullet"/>
      <w:lvlText w:val="•"/>
      <w:lvlJc w:val="left"/>
      <w:pPr>
        <w:tabs>
          <w:tab w:val="num" w:pos="5760"/>
        </w:tabs>
        <w:ind w:left="5760" w:hanging="360"/>
      </w:pPr>
      <w:rPr>
        <w:rFonts w:ascii="Arial" w:hAnsi="Arial" w:hint="default"/>
      </w:rPr>
    </w:lvl>
    <w:lvl w:ilvl="8" w:tplc="A0DA51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A901B98"/>
    <w:multiLevelType w:val="hybridMultilevel"/>
    <w:tmpl w:val="AF12D054"/>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5D5A0C66"/>
    <w:multiLevelType w:val="hybridMultilevel"/>
    <w:tmpl w:val="BD7CB642"/>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5D734C41"/>
    <w:multiLevelType w:val="hybridMultilevel"/>
    <w:tmpl w:val="2B4C861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0415E6F"/>
    <w:multiLevelType w:val="hybridMultilevel"/>
    <w:tmpl w:val="3DA44D1E"/>
    <w:lvl w:ilvl="0" w:tplc="0B889C00">
      <w:start w:val="1"/>
      <w:numFmt w:val="decimal"/>
      <w:lvlText w:val="%1."/>
      <w:lvlJc w:val="left"/>
      <w:pPr>
        <w:ind w:left="360" w:hanging="360"/>
      </w:pPr>
      <w:rPr>
        <w:rFonts w:ascii="Arial,Bold" w:hAnsi="Arial,Bold"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63EA45F5"/>
    <w:multiLevelType w:val="hybridMultilevel"/>
    <w:tmpl w:val="17F6BD0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73E049C"/>
    <w:multiLevelType w:val="hybridMultilevel"/>
    <w:tmpl w:val="19924E6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6A1735D4"/>
    <w:multiLevelType w:val="hybridMultilevel"/>
    <w:tmpl w:val="E8047224"/>
    <w:lvl w:ilvl="0" w:tplc="040C000F">
      <w:start w:val="71"/>
      <w:numFmt w:val="decimal"/>
      <w:lvlText w:val="%1."/>
      <w:lvlJc w:val="left"/>
      <w:pPr>
        <w:ind w:left="360" w:hanging="360"/>
      </w:pPr>
      <w:rPr>
        <w:rFonts w:ascii="Times New Roman" w:hAnsi="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6BF85AC8"/>
    <w:multiLevelType w:val="hybridMultilevel"/>
    <w:tmpl w:val="27A433EA"/>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6C926391"/>
    <w:multiLevelType w:val="multilevel"/>
    <w:tmpl w:val="1D3E489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1508D6"/>
    <w:multiLevelType w:val="hybridMultilevel"/>
    <w:tmpl w:val="AC20CDB4"/>
    <w:lvl w:ilvl="0" w:tplc="329272E2">
      <w:start w:val="27"/>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5B7BA0"/>
    <w:multiLevelType w:val="hybridMultilevel"/>
    <w:tmpl w:val="01CC4C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9B20406"/>
    <w:multiLevelType w:val="hybridMultilevel"/>
    <w:tmpl w:val="DA8A955C"/>
    <w:lvl w:ilvl="0" w:tplc="32766128">
      <w:start w:val="3"/>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BBC263F"/>
    <w:multiLevelType w:val="hybridMultilevel"/>
    <w:tmpl w:val="F1F6184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321155946">
    <w:abstractNumId w:val="22"/>
  </w:num>
  <w:num w:numId="2" w16cid:durableId="1375275698">
    <w:abstractNumId w:val="4"/>
  </w:num>
  <w:num w:numId="3" w16cid:durableId="42800277">
    <w:abstractNumId w:val="18"/>
  </w:num>
  <w:num w:numId="4" w16cid:durableId="1775974197">
    <w:abstractNumId w:val="1"/>
  </w:num>
  <w:num w:numId="5" w16cid:durableId="2109810901">
    <w:abstractNumId w:val="0"/>
  </w:num>
  <w:num w:numId="6" w16cid:durableId="631789103">
    <w:abstractNumId w:val="28"/>
  </w:num>
  <w:num w:numId="7" w16cid:durableId="874464257">
    <w:abstractNumId w:val="20"/>
  </w:num>
  <w:num w:numId="8" w16cid:durableId="264382575">
    <w:abstractNumId w:val="19"/>
  </w:num>
  <w:num w:numId="9" w16cid:durableId="738481387">
    <w:abstractNumId w:val="26"/>
  </w:num>
  <w:num w:numId="10" w16cid:durableId="1933276392">
    <w:abstractNumId w:val="23"/>
  </w:num>
  <w:num w:numId="11" w16cid:durableId="1139761102">
    <w:abstractNumId w:val="9"/>
  </w:num>
  <w:num w:numId="12" w16cid:durableId="1026323033">
    <w:abstractNumId w:val="13"/>
  </w:num>
  <w:num w:numId="13" w16cid:durableId="1985355750">
    <w:abstractNumId w:val="8"/>
  </w:num>
  <w:num w:numId="14" w16cid:durableId="1744832301">
    <w:abstractNumId w:val="29"/>
  </w:num>
  <w:num w:numId="15" w16cid:durableId="854687020">
    <w:abstractNumId w:val="2"/>
  </w:num>
  <w:num w:numId="16" w16cid:durableId="1402096533">
    <w:abstractNumId w:val="14"/>
  </w:num>
  <w:num w:numId="17" w16cid:durableId="232005495">
    <w:abstractNumId w:val="6"/>
  </w:num>
  <w:num w:numId="18" w16cid:durableId="1389111452">
    <w:abstractNumId w:val="24"/>
  </w:num>
  <w:num w:numId="19" w16cid:durableId="39939257">
    <w:abstractNumId w:val="5"/>
  </w:num>
  <w:num w:numId="20" w16cid:durableId="467430091">
    <w:abstractNumId w:val="7"/>
  </w:num>
  <w:num w:numId="21" w16cid:durableId="1515069464">
    <w:abstractNumId w:val="11"/>
  </w:num>
  <w:num w:numId="22" w16cid:durableId="1994017082">
    <w:abstractNumId w:val="10"/>
  </w:num>
  <w:num w:numId="23" w16cid:durableId="1768232911">
    <w:abstractNumId w:val="12"/>
  </w:num>
  <w:num w:numId="24" w16cid:durableId="1361904070">
    <w:abstractNumId w:val="3"/>
  </w:num>
  <w:num w:numId="25" w16cid:durableId="28336034">
    <w:abstractNumId w:val="27"/>
  </w:num>
  <w:num w:numId="26" w16cid:durableId="526993642">
    <w:abstractNumId w:val="17"/>
  </w:num>
  <w:num w:numId="27" w16cid:durableId="803306199">
    <w:abstractNumId w:val="31"/>
  </w:num>
  <w:num w:numId="28" w16cid:durableId="1351447297">
    <w:abstractNumId w:val="30"/>
  </w:num>
  <w:num w:numId="29" w16cid:durableId="1457527310">
    <w:abstractNumId w:val="21"/>
  </w:num>
  <w:num w:numId="30" w16cid:durableId="48967640">
    <w:abstractNumId w:val="16"/>
  </w:num>
  <w:num w:numId="31" w16cid:durableId="619142582">
    <w:abstractNumId w:val="25"/>
  </w:num>
  <w:num w:numId="32" w16cid:durableId="12190465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F7"/>
    <w:rsid w:val="00006892"/>
    <w:rsid w:val="0004679A"/>
    <w:rsid w:val="00091CC8"/>
    <w:rsid w:val="000965B9"/>
    <w:rsid w:val="000B3E30"/>
    <w:rsid w:val="000F36C1"/>
    <w:rsid w:val="00104545"/>
    <w:rsid w:val="001079E2"/>
    <w:rsid w:val="00111442"/>
    <w:rsid w:val="001336B7"/>
    <w:rsid w:val="00152C68"/>
    <w:rsid w:val="00154F28"/>
    <w:rsid w:val="00177572"/>
    <w:rsid w:val="001C3642"/>
    <w:rsid w:val="00200524"/>
    <w:rsid w:val="002211CA"/>
    <w:rsid w:val="00225A6A"/>
    <w:rsid w:val="00230849"/>
    <w:rsid w:val="00272AE7"/>
    <w:rsid w:val="00312502"/>
    <w:rsid w:val="0032749A"/>
    <w:rsid w:val="003472AC"/>
    <w:rsid w:val="00364745"/>
    <w:rsid w:val="00376C0A"/>
    <w:rsid w:val="00382A73"/>
    <w:rsid w:val="003C5B4D"/>
    <w:rsid w:val="003E75FC"/>
    <w:rsid w:val="003F4C2B"/>
    <w:rsid w:val="00415FCC"/>
    <w:rsid w:val="004208B0"/>
    <w:rsid w:val="00425FC8"/>
    <w:rsid w:val="00431CB8"/>
    <w:rsid w:val="004619B7"/>
    <w:rsid w:val="0046511F"/>
    <w:rsid w:val="00476196"/>
    <w:rsid w:val="004A2A9B"/>
    <w:rsid w:val="004C3E5E"/>
    <w:rsid w:val="004E7A35"/>
    <w:rsid w:val="004F0861"/>
    <w:rsid w:val="005257D8"/>
    <w:rsid w:val="00525AB9"/>
    <w:rsid w:val="00545E7C"/>
    <w:rsid w:val="00552C29"/>
    <w:rsid w:val="005555FB"/>
    <w:rsid w:val="00587A23"/>
    <w:rsid w:val="00593C78"/>
    <w:rsid w:val="005B62F5"/>
    <w:rsid w:val="006470FB"/>
    <w:rsid w:val="006607D6"/>
    <w:rsid w:val="00667A51"/>
    <w:rsid w:val="0068743E"/>
    <w:rsid w:val="006A24CD"/>
    <w:rsid w:val="006B2447"/>
    <w:rsid w:val="006B374D"/>
    <w:rsid w:val="006B46F7"/>
    <w:rsid w:val="006C136B"/>
    <w:rsid w:val="00724E9F"/>
    <w:rsid w:val="007475BA"/>
    <w:rsid w:val="007730F5"/>
    <w:rsid w:val="00780523"/>
    <w:rsid w:val="00781906"/>
    <w:rsid w:val="0079584E"/>
    <w:rsid w:val="007C2C5E"/>
    <w:rsid w:val="007C7AC3"/>
    <w:rsid w:val="007D66DA"/>
    <w:rsid w:val="007F137F"/>
    <w:rsid w:val="008149A7"/>
    <w:rsid w:val="00817C61"/>
    <w:rsid w:val="00822E76"/>
    <w:rsid w:val="00827449"/>
    <w:rsid w:val="00855789"/>
    <w:rsid w:val="0086675D"/>
    <w:rsid w:val="008815FB"/>
    <w:rsid w:val="008D7408"/>
    <w:rsid w:val="00913345"/>
    <w:rsid w:val="0091607B"/>
    <w:rsid w:val="009225BA"/>
    <w:rsid w:val="00943437"/>
    <w:rsid w:val="00961AF3"/>
    <w:rsid w:val="00965F68"/>
    <w:rsid w:val="00966AD7"/>
    <w:rsid w:val="00973516"/>
    <w:rsid w:val="00985291"/>
    <w:rsid w:val="009A263F"/>
    <w:rsid w:val="009A3789"/>
    <w:rsid w:val="009B235B"/>
    <w:rsid w:val="009B4D67"/>
    <w:rsid w:val="009F0FA2"/>
    <w:rsid w:val="00A07385"/>
    <w:rsid w:val="00A45624"/>
    <w:rsid w:val="00A5332A"/>
    <w:rsid w:val="00A572E8"/>
    <w:rsid w:val="00A63086"/>
    <w:rsid w:val="00A6338D"/>
    <w:rsid w:val="00A92E49"/>
    <w:rsid w:val="00AA3780"/>
    <w:rsid w:val="00AB455D"/>
    <w:rsid w:val="00AB73D4"/>
    <w:rsid w:val="00AC1375"/>
    <w:rsid w:val="00AC5CE3"/>
    <w:rsid w:val="00B076BC"/>
    <w:rsid w:val="00B100C8"/>
    <w:rsid w:val="00B27C10"/>
    <w:rsid w:val="00B32F89"/>
    <w:rsid w:val="00B3587D"/>
    <w:rsid w:val="00B53F61"/>
    <w:rsid w:val="00B5505E"/>
    <w:rsid w:val="00B6015C"/>
    <w:rsid w:val="00B66206"/>
    <w:rsid w:val="00B97E9C"/>
    <w:rsid w:val="00BE3C1C"/>
    <w:rsid w:val="00BF1ECB"/>
    <w:rsid w:val="00C1446B"/>
    <w:rsid w:val="00C17007"/>
    <w:rsid w:val="00C17F3D"/>
    <w:rsid w:val="00C205A1"/>
    <w:rsid w:val="00C321B5"/>
    <w:rsid w:val="00C3570F"/>
    <w:rsid w:val="00C41841"/>
    <w:rsid w:val="00C84EBC"/>
    <w:rsid w:val="00C959E0"/>
    <w:rsid w:val="00CC7F15"/>
    <w:rsid w:val="00CD1976"/>
    <w:rsid w:val="00D004DE"/>
    <w:rsid w:val="00D132F0"/>
    <w:rsid w:val="00D362C6"/>
    <w:rsid w:val="00D36B27"/>
    <w:rsid w:val="00D42401"/>
    <w:rsid w:val="00D5707F"/>
    <w:rsid w:val="00D572B3"/>
    <w:rsid w:val="00D77C91"/>
    <w:rsid w:val="00DF0E7A"/>
    <w:rsid w:val="00E00F3C"/>
    <w:rsid w:val="00E05B40"/>
    <w:rsid w:val="00E06D07"/>
    <w:rsid w:val="00E074D8"/>
    <w:rsid w:val="00E22567"/>
    <w:rsid w:val="00E62550"/>
    <w:rsid w:val="00E73325"/>
    <w:rsid w:val="00E91EB3"/>
    <w:rsid w:val="00EA29A8"/>
    <w:rsid w:val="00EA52C5"/>
    <w:rsid w:val="00EC6AAA"/>
    <w:rsid w:val="00F005EF"/>
    <w:rsid w:val="00F47039"/>
    <w:rsid w:val="00F52C78"/>
    <w:rsid w:val="00F569C2"/>
    <w:rsid w:val="00F71FBC"/>
    <w:rsid w:val="00F97669"/>
    <w:rsid w:val="00FA6EA5"/>
    <w:rsid w:val="00FC0A1A"/>
    <w:rsid w:val="00FD161D"/>
    <w:rsid w:val="00FD5247"/>
    <w:rsid w:val="00FE09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1D76"/>
  <w15:chartTrackingRefBased/>
  <w15:docId w15:val="{06472A0E-42EC-2A41-A5E2-39CA07C5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447"/>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B46F7"/>
    <w:pPr>
      <w:spacing w:before="100" w:beforeAutospacing="1" w:after="100" w:afterAutospacing="1"/>
    </w:pPr>
  </w:style>
  <w:style w:type="paragraph" w:styleId="Paragraphedeliste">
    <w:name w:val="List Paragraph"/>
    <w:basedOn w:val="Normal"/>
    <w:uiPriority w:val="34"/>
    <w:qFormat/>
    <w:rsid w:val="0068743E"/>
    <w:pPr>
      <w:ind w:left="720"/>
      <w:contextualSpacing/>
    </w:pPr>
  </w:style>
  <w:style w:type="character" w:styleId="Textedelespacerserv">
    <w:name w:val="Placeholder Text"/>
    <w:basedOn w:val="Policepardfaut"/>
    <w:uiPriority w:val="99"/>
    <w:semiHidden/>
    <w:rsid w:val="00781906"/>
    <w:rPr>
      <w:color w:val="808080"/>
    </w:rPr>
  </w:style>
  <w:style w:type="table" w:styleId="Grilledutableau">
    <w:name w:val="Table Grid"/>
    <w:basedOn w:val="TableauNormal"/>
    <w:uiPriority w:val="39"/>
    <w:rsid w:val="00FD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6B2447"/>
  </w:style>
  <w:style w:type="character" w:styleId="Accentuation">
    <w:name w:val="Emphasis"/>
    <w:basedOn w:val="Policepardfaut"/>
    <w:uiPriority w:val="20"/>
    <w:qFormat/>
    <w:rsid w:val="006B2447"/>
    <w:rPr>
      <w:i/>
      <w:iCs/>
    </w:rPr>
  </w:style>
  <w:style w:type="character" w:styleId="Lienhypertexte">
    <w:name w:val="Hyperlink"/>
    <w:basedOn w:val="Policepardfaut"/>
    <w:uiPriority w:val="99"/>
    <w:semiHidden/>
    <w:unhideWhenUsed/>
    <w:rsid w:val="006B2447"/>
    <w:rPr>
      <w:color w:val="0000FF"/>
      <w:u w:val="single"/>
    </w:rPr>
  </w:style>
  <w:style w:type="character" w:customStyle="1" w:styleId="citation">
    <w:name w:val="citation"/>
    <w:basedOn w:val="Policepardfaut"/>
    <w:rsid w:val="006B2447"/>
  </w:style>
  <w:style w:type="character" w:styleId="Lienhypertextesuivivisit">
    <w:name w:val="FollowedHyperlink"/>
    <w:basedOn w:val="Policepardfaut"/>
    <w:uiPriority w:val="99"/>
    <w:semiHidden/>
    <w:unhideWhenUsed/>
    <w:rsid w:val="00BF1ECB"/>
    <w:rPr>
      <w:color w:val="954F72" w:themeColor="followedHyperlink"/>
      <w:u w:val="single"/>
    </w:rPr>
  </w:style>
  <w:style w:type="paragraph" w:styleId="Corpsdetexte3">
    <w:name w:val="Body Text 3"/>
    <w:basedOn w:val="Normal"/>
    <w:link w:val="Corpsdetexte3Car"/>
    <w:uiPriority w:val="99"/>
    <w:unhideWhenUsed/>
    <w:rsid w:val="00364745"/>
    <w:pPr>
      <w:spacing w:after="120"/>
    </w:pPr>
    <w:rPr>
      <w:sz w:val="16"/>
      <w:szCs w:val="16"/>
      <w:lang w:eastAsia="zh-CN"/>
    </w:rPr>
  </w:style>
  <w:style w:type="character" w:customStyle="1" w:styleId="Corpsdetexte3Car">
    <w:name w:val="Corps de texte 3 Car"/>
    <w:basedOn w:val="Policepardfaut"/>
    <w:link w:val="Corpsdetexte3"/>
    <w:uiPriority w:val="99"/>
    <w:rsid w:val="00364745"/>
    <w:rPr>
      <w:rFonts w:ascii="Times New Roman" w:eastAsia="Times New Roman" w:hAnsi="Times New Roman" w:cs="Times New Roman"/>
      <w:sz w:val="16"/>
      <w:szCs w:val="16"/>
      <w:lang w:eastAsia="zh-CN"/>
    </w:rPr>
  </w:style>
  <w:style w:type="paragraph" w:customStyle="1" w:styleId="auteurarticle">
    <w:name w:val="auteur_article"/>
    <w:basedOn w:val="Normal"/>
    <w:rsid w:val="00364745"/>
    <w:pPr>
      <w:spacing w:before="100" w:beforeAutospacing="1" w:after="100" w:afterAutospacing="1"/>
    </w:pPr>
  </w:style>
  <w:style w:type="paragraph" w:customStyle="1" w:styleId="gmail-msobodytext3">
    <w:name w:val="gmail-msobodytext3"/>
    <w:basedOn w:val="Normal"/>
    <w:rsid w:val="00364745"/>
    <w:pPr>
      <w:spacing w:before="100" w:beforeAutospacing="1" w:after="100" w:afterAutospacing="1"/>
    </w:pPr>
  </w:style>
  <w:style w:type="character" w:customStyle="1" w:styleId="gmail-apple-converted-space">
    <w:name w:val="gmail-apple-converted-space"/>
    <w:basedOn w:val="Policepardfaut"/>
    <w:rsid w:val="00364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3876">
      <w:bodyDiv w:val="1"/>
      <w:marLeft w:val="0"/>
      <w:marRight w:val="0"/>
      <w:marTop w:val="0"/>
      <w:marBottom w:val="0"/>
      <w:divBdr>
        <w:top w:val="none" w:sz="0" w:space="0" w:color="auto"/>
        <w:left w:val="none" w:sz="0" w:space="0" w:color="auto"/>
        <w:bottom w:val="none" w:sz="0" w:space="0" w:color="auto"/>
        <w:right w:val="none" w:sz="0" w:space="0" w:color="auto"/>
      </w:divBdr>
    </w:div>
    <w:div w:id="41683515">
      <w:bodyDiv w:val="1"/>
      <w:marLeft w:val="0"/>
      <w:marRight w:val="0"/>
      <w:marTop w:val="0"/>
      <w:marBottom w:val="0"/>
      <w:divBdr>
        <w:top w:val="none" w:sz="0" w:space="0" w:color="auto"/>
        <w:left w:val="none" w:sz="0" w:space="0" w:color="auto"/>
        <w:bottom w:val="none" w:sz="0" w:space="0" w:color="auto"/>
        <w:right w:val="none" w:sz="0" w:space="0" w:color="auto"/>
      </w:divBdr>
      <w:divsChild>
        <w:div w:id="245923248">
          <w:marLeft w:val="0"/>
          <w:marRight w:val="0"/>
          <w:marTop w:val="0"/>
          <w:marBottom w:val="0"/>
          <w:divBdr>
            <w:top w:val="none" w:sz="0" w:space="0" w:color="auto"/>
            <w:left w:val="none" w:sz="0" w:space="0" w:color="auto"/>
            <w:bottom w:val="none" w:sz="0" w:space="0" w:color="auto"/>
            <w:right w:val="none" w:sz="0" w:space="0" w:color="auto"/>
          </w:divBdr>
          <w:divsChild>
            <w:div w:id="1245188177">
              <w:marLeft w:val="0"/>
              <w:marRight w:val="0"/>
              <w:marTop w:val="0"/>
              <w:marBottom w:val="0"/>
              <w:divBdr>
                <w:top w:val="none" w:sz="0" w:space="0" w:color="auto"/>
                <w:left w:val="none" w:sz="0" w:space="0" w:color="auto"/>
                <w:bottom w:val="none" w:sz="0" w:space="0" w:color="auto"/>
                <w:right w:val="none" w:sz="0" w:space="0" w:color="auto"/>
              </w:divBdr>
              <w:divsChild>
                <w:div w:id="1577008798">
                  <w:marLeft w:val="0"/>
                  <w:marRight w:val="0"/>
                  <w:marTop w:val="0"/>
                  <w:marBottom w:val="0"/>
                  <w:divBdr>
                    <w:top w:val="none" w:sz="0" w:space="0" w:color="auto"/>
                    <w:left w:val="none" w:sz="0" w:space="0" w:color="auto"/>
                    <w:bottom w:val="none" w:sz="0" w:space="0" w:color="auto"/>
                    <w:right w:val="none" w:sz="0" w:space="0" w:color="auto"/>
                  </w:divBdr>
                  <w:divsChild>
                    <w:div w:id="1599094450">
                      <w:marLeft w:val="0"/>
                      <w:marRight w:val="0"/>
                      <w:marTop w:val="0"/>
                      <w:marBottom w:val="0"/>
                      <w:divBdr>
                        <w:top w:val="none" w:sz="0" w:space="0" w:color="auto"/>
                        <w:left w:val="none" w:sz="0" w:space="0" w:color="auto"/>
                        <w:bottom w:val="none" w:sz="0" w:space="0" w:color="auto"/>
                        <w:right w:val="none" w:sz="0" w:space="0" w:color="auto"/>
                      </w:divBdr>
                    </w:div>
                    <w:div w:id="10447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30691">
      <w:bodyDiv w:val="1"/>
      <w:marLeft w:val="0"/>
      <w:marRight w:val="0"/>
      <w:marTop w:val="0"/>
      <w:marBottom w:val="0"/>
      <w:divBdr>
        <w:top w:val="none" w:sz="0" w:space="0" w:color="auto"/>
        <w:left w:val="none" w:sz="0" w:space="0" w:color="auto"/>
        <w:bottom w:val="none" w:sz="0" w:space="0" w:color="auto"/>
        <w:right w:val="none" w:sz="0" w:space="0" w:color="auto"/>
      </w:divBdr>
      <w:divsChild>
        <w:div w:id="1443528222">
          <w:marLeft w:val="0"/>
          <w:marRight w:val="0"/>
          <w:marTop w:val="0"/>
          <w:marBottom w:val="0"/>
          <w:divBdr>
            <w:top w:val="none" w:sz="0" w:space="0" w:color="auto"/>
            <w:left w:val="none" w:sz="0" w:space="0" w:color="auto"/>
            <w:bottom w:val="none" w:sz="0" w:space="0" w:color="auto"/>
            <w:right w:val="none" w:sz="0" w:space="0" w:color="auto"/>
          </w:divBdr>
          <w:divsChild>
            <w:div w:id="526679988">
              <w:marLeft w:val="0"/>
              <w:marRight w:val="0"/>
              <w:marTop w:val="0"/>
              <w:marBottom w:val="0"/>
              <w:divBdr>
                <w:top w:val="none" w:sz="0" w:space="0" w:color="auto"/>
                <w:left w:val="none" w:sz="0" w:space="0" w:color="auto"/>
                <w:bottom w:val="none" w:sz="0" w:space="0" w:color="auto"/>
                <w:right w:val="none" w:sz="0" w:space="0" w:color="auto"/>
              </w:divBdr>
              <w:divsChild>
                <w:div w:id="984970825">
                  <w:marLeft w:val="0"/>
                  <w:marRight w:val="0"/>
                  <w:marTop w:val="0"/>
                  <w:marBottom w:val="0"/>
                  <w:divBdr>
                    <w:top w:val="none" w:sz="0" w:space="0" w:color="auto"/>
                    <w:left w:val="none" w:sz="0" w:space="0" w:color="auto"/>
                    <w:bottom w:val="none" w:sz="0" w:space="0" w:color="auto"/>
                    <w:right w:val="none" w:sz="0" w:space="0" w:color="auto"/>
                  </w:divBdr>
                </w:div>
                <w:div w:id="18294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6680">
      <w:bodyDiv w:val="1"/>
      <w:marLeft w:val="0"/>
      <w:marRight w:val="0"/>
      <w:marTop w:val="0"/>
      <w:marBottom w:val="0"/>
      <w:divBdr>
        <w:top w:val="none" w:sz="0" w:space="0" w:color="auto"/>
        <w:left w:val="none" w:sz="0" w:space="0" w:color="auto"/>
        <w:bottom w:val="none" w:sz="0" w:space="0" w:color="auto"/>
        <w:right w:val="none" w:sz="0" w:space="0" w:color="auto"/>
      </w:divBdr>
    </w:div>
    <w:div w:id="114447079">
      <w:bodyDiv w:val="1"/>
      <w:marLeft w:val="0"/>
      <w:marRight w:val="0"/>
      <w:marTop w:val="0"/>
      <w:marBottom w:val="0"/>
      <w:divBdr>
        <w:top w:val="none" w:sz="0" w:space="0" w:color="auto"/>
        <w:left w:val="none" w:sz="0" w:space="0" w:color="auto"/>
        <w:bottom w:val="none" w:sz="0" w:space="0" w:color="auto"/>
        <w:right w:val="none" w:sz="0" w:space="0" w:color="auto"/>
      </w:divBdr>
      <w:divsChild>
        <w:div w:id="78910379">
          <w:marLeft w:val="0"/>
          <w:marRight w:val="0"/>
          <w:marTop w:val="0"/>
          <w:marBottom w:val="0"/>
          <w:divBdr>
            <w:top w:val="none" w:sz="0" w:space="0" w:color="auto"/>
            <w:left w:val="none" w:sz="0" w:space="0" w:color="auto"/>
            <w:bottom w:val="none" w:sz="0" w:space="0" w:color="auto"/>
            <w:right w:val="none" w:sz="0" w:space="0" w:color="auto"/>
          </w:divBdr>
          <w:divsChild>
            <w:div w:id="2050253624">
              <w:marLeft w:val="0"/>
              <w:marRight w:val="0"/>
              <w:marTop w:val="0"/>
              <w:marBottom w:val="0"/>
              <w:divBdr>
                <w:top w:val="none" w:sz="0" w:space="0" w:color="auto"/>
                <w:left w:val="none" w:sz="0" w:space="0" w:color="auto"/>
                <w:bottom w:val="none" w:sz="0" w:space="0" w:color="auto"/>
                <w:right w:val="none" w:sz="0" w:space="0" w:color="auto"/>
              </w:divBdr>
              <w:divsChild>
                <w:div w:id="8363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8559">
      <w:bodyDiv w:val="1"/>
      <w:marLeft w:val="0"/>
      <w:marRight w:val="0"/>
      <w:marTop w:val="0"/>
      <w:marBottom w:val="0"/>
      <w:divBdr>
        <w:top w:val="none" w:sz="0" w:space="0" w:color="auto"/>
        <w:left w:val="none" w:sz="0" w:space="0" w:color="auto"/>
        <w:bottom w:val="none" w:sz="0" w:space="0" w:color="auto"/>
        <w:right w:val="none" w:sz="0" w:space="0" w:color="auto"/>
      </w:divBdr>
      <w:divsChild>
        <w:div w:id="1722316488">
          <w:marLeft w:val="0"/>
          <w:marRight w:val="0"/>
          <w:marTop w:val="0"/>
          <w:marBottom w:val="0"/>
          <w:divBdr>
            <w:top w:val="none" w:sz="0" w:space="0" w:color="auto"/>
            <w:left w:val="none" w:sz="0" w:space="0" w:color="auto"/>
            <w:bottom w:val="none" w:sz="0" w:space="0" w:color="auto"/>
            <w:right w:val="none" w:sz="0" w:space="0" w:color="auto"/>
          </w:divBdr>
        </w:div>
      </w:divsChild>
    </w:div>
    <w:div w:id="178856630">
      <w:bodyDiv w:val="1"/>
      <w:marLeft w:val="0"/>
      <w:marRight w:val="0"/>
      <w:marTop w:val="0"/>
      <w:marBottom w:val="0"/>
      <w:divBdr>
        <w:top w:val="none" w:sz="0" w:space="0" w:color="auto"/>
        <w:left w:val="none" w:sz="0" w:space="0" w:color="auto"/>
        <w:bottom w:val="none" w:sz="0" w:space="0" w:color="auto"/>
        <w:right w:val="none" w:sz="0" w:space="0" w:color="auto"/>
      </w:divBdr>
      <w:divsChild>
        <w:div w:id="1629776367">
          <w:marLeft w:val="0"/>
          <w:marRight w:val="0"/>
          <w:marTop w:val="0"/>
          <w:marBottom w:val="0"/>
          <w:divBdr>
            <w:top w:val="none" w:sz="0" w:space="0" w:color="auto"/>
            <w:left w:val="none" w:sz="0" w:space="0" w:color="auto"/>
            <w:bottom w:val="none" w:sz="0" w:space="0" w:color="auto"/>
            <w:right w:val="none" w:sz="0" w:space="0" w:color="auto"/>
          </w:divBdr>
          <w:divsChild>
            <w:div w:id="68626270">
              <w:marLeft w:val="0"/>
              <w:marRight w:val="0"/>
              <w:marTop w:val="0"/>
              <w:marBottom w:val="0"/>
              <w:divBdr>
                <w:top w:val="none" w:sz="0" w:space="0" w:color="auto"/>
                <w:left w:val="none" w:sz="0" w:space="0" w:color="auto"/>
                <w:bottom w:val="none" w:sz="0" w:space="0" w:color="auto"/>
                <w:right w:val="none" w:sz="0" w:space="0" w:color="auto"/>
              </w:divBdr>
              <w:divsChild>
                <w:div w:id="1093208785">
                  <w:marLeft w:val="0"/>
                  <w:marRight w:val="0"/>
                  <w:marTop w:val="0"/>
                  <w:marBottom w:val="0"/>
                  <w:divBdr>
                    <w:top w:val="none" w:sz="0" w:space="0" w:color="auto"/>
                    <w:left w:val="none" w:sz="0" w:space="0" w:color="auto"/>
                    <w:bottom w:val="none" w:sz="0" w:space="0" w:color="auto"/>
                    <w:right w:val="none" w:sz="0" w:space="0" w:color="auto"/>
                  </w:divBdr>
                  <w:divsChild>
                    <w:div w:id="159331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897901">
      <w:bodyDiv w:val="1"/>
      <w:marLeft w:val="0"/>
      <w:marRight w:val="0"/>
      <w:marTop w:val="0"/>
      <w:marBottom w:val="0"/>
      <w:divBdr>
        <w:top w:val="none" w:sz="0" w:space="0" w:color="auto"/>
        <w:left w:val="none" w:sz="0" w:space="0" w:color="auto"/>
        <w:bottom w:val="none" w:sz="0" w:space="0" w:color="auto"/>
        <w:right w:val="none" w:sz="0" w:space="0" w:color="auto"/>
      </w:divBdr>
      <w:divsChild>
        <w:div w:id="288782311">
          <w:marLeft w:val="0"/>
          <w:marRight w:val="0"/>
          <w:marTop w:val="0"/>
          <w:marBottom w:val="0"/>
          <w:divBdr>
            <w:top w:val="none" w:sz="0" w:space="0" w:color="auto"/>
            <w:left w:val="none" w:sz="0" w:space="0" w:color="auto"/>
            <w:bottom w:val="none" w:sz="0" w:space="0" w:color="auto"/>
            <w:right w:val="none" w:sz="0" w:space="0" w:color="auto"/>
          </w:divBdr>
          <w:divsChild>
            <w:div w:id="1471283394">
              <w:marLeft w:val="0"/>
              <w:marRight w:val="0"/>
              <w:marTop w:val="0"/>
              <w:marBottom w:val="0"/>
              <w:divBdr>
                <w:top w:val="none" w:sz="0" w:space="0" w:color="auto"/>
                <w:left w:val="none" w:sz="0" w:space="0" w:color="auto"/>
                <w:bottom w:val="none" w:sz="0" w:space="0" w:color="auto"/>
                <w:right w:val="none" w:sz="0" w:space="0" w:color="auto"/>
              </w:divBdr>
              <w:divsChild>
                <w:div w:id="62992523">
                  <w:marLeft w:val="0"/>
                  <w:marRight w:val="0"/>
                  <w:marTop w:val="0"/>
                  <w:marBottom w:val="0"/>
                  <w:divBdr>
                    <w:top w:val="none" w:sz="0" w:space="0" w:color="auto"/>
                    <w:left w:val="none" w:sz="0" w:space="0" w:color="auto"/>
                    <w:bottom w:val="none" w:sz="0" w:space="0" w:color="auto"/>
                    <w:right w:val="none" w:sz="0" w:space="0" w:color="auto"/>
                  </w:divBdr>
                  <w:divsChild>
                    <w:div w:id="18411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368446">
      <w:bodyDiv w:val="1"/>
      <w:marLeft w:val="0"/>
      <w:marRight w:val="0"/>
      <w:marTop w:val="0"/>
      <w:marBottom w:val="0"/>
      <w:divBdr>
        <w:top w:val="none" w:sz="0" w:space="0" w:color="auto"/>
        <w:left w:val="none" w:sz="0" w:space="0" w:color="auto"/>
        <w:bottom w:val="none" w:sz="0" w:space="0" w:color="auto"/>
        <w:right w:val="none" w:sz="0" w:space="0" w:color="auto"/>
      </w:divBdr>
      <w:divsChild>
        <w:div w:id="421921953">
          <w:marLeft w:val="0"/>
          <w:marRight w:val="0"/>
          <w:marTop w:val="0"/>
          <w:marBottom w:val="0"/>
          <w:divBdr>
            <w:top w:val="none" w:sz="0" w:space="0" w:color="auto"/>
            <w:left w:val="none" w:sz="0" w:space="0" w:color="auto"/>
            <w:bottom w:val="none" w:sz="0" w:space="0" w:color="auto"/>
            <w:right w:val="none" w:sz="0" w:space="0" w:color="auto"/>
          </w:divBdr>
          <w:divsChild>
            <w:div w:id="995838505">
              <w:marLeft w:val="0"/>
              <w:marRight w:val="0"/>
              <w:marTop w:val="0"/>
              <w:marBottom w:val="0"/>
              <w:divBdr>
                <w:top w:val="none" w:sz="0" w:space="0" w:color="auto"/>
                <w:left w:val="none" w:sz="0" w:space="0" w:color="auto"/>
                <w:bottom w:val="none" w:sz="0" w:space="0" w:color="auto"/>
                <w:right w:val="none" w:sz="0" w:space="0" w:color="auto"/>
              </w:divBdr>
              <w:divsChild>
                <w:div w:id="208988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2485">
      <w:bodyDiv w:val="1"/>
      <w:marLeft w:val="0"/>
      <w:marRight w:val="0"/>
      <w:marTop w:val="0"/>
      <w:marBottom w:val="0"/>
      <w:divBdr>
        <w:top w:val="none" w:sz="0" w:space="0" w:color="auto"/>
        <w:left w:val="none" w:sz="0" w:space="0" w:color="auto"/>
        <w:bottom w:val="none" w:sz="0" w:space="0" w:color="auto"/>
        <w:right w:val="none" w:sz="0" w:space="0" w:color="auto"/>
      </w:divBdr>
      <w:divsChild>
        <w:div w:id="1661428026">
          <w:marLeft w:val="0"/>
          <w:marRight w:val="0"/>
          <w:marTop w:val="0"/>
          <w:marBottom w:val="0"/>
          <w:divBdr>
            <w:top w:val="none" w:sz="0" w:space="0" w:color="auto"/>
            <w:left w:val="none" w:sz="0" w:space="0" w:color="auto"/>
            <w:bottom w:val="none" w:sz="0" w:space="0" w:color="auto"/>
            <w:right w:val="none" w:sz="0" w:space="0" w:color="auto"/>
          </w:divBdr>
          <w:divsChild>
            <w:div w:id="417096406">
              <w:marLeft w:val="0"/>
              <w:marRight w:val="0"/>
              <w:marTop w:val="0"/>
              <w:marBottom w:val="0"/>
              <w:divBdr>
                <w:top w:val="none" w:sz="0" w:space="0" w:color="auto"/>
                <w:left w:val="none" w:sz="0" w:space="0" w:color="auto"/>
                <w:bottom w:val="none" w:sz="0" w:space="0" w:color="auto"/>
                <w:right w:val="none" w:sz="0" w:space="0" w:color="auto"/>
              </w:divBdr>
              <w:divsChild>
                <w:div w:id="21134896">
                  <w:marLeft w:val="0"/>
                  <w:marRight w:val="0"/>
                  <w:marTop w:val="0"/>
                  <w:marBottom w:val="0"/>
                  <w:divBdr>
                    <w:top w:val="none" w:sz="0" w:space="0" w:color="auto"/>
                    <w:left w:val="none" w:sz="0" w:space="0" w:color="auto"/>
                    <w:bottom w:val="none" w:sz="0" w:space="0" w:color="auto"/>
                    <w:right w:val="none" w:sz="0" w:space="0" w:color="auto"/>
                  </w:divBdr>
                  <w:divsChild>
                    <w:div w:id="12564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532499">
      <w:bodyDiv w:val="1"/>
      <w:marLeft w:val="0"/>
      <w:marRight w:val="0"/>
      <w:marTop w:val="0"/>
      <w:marBottom w:val="0"/>
      <w:divBdr>
        <w:top w:val="none" w:sz="0" w:space="0" w:color="auto"/>
        <w:left w:val="none" w:sz="0" w:space="0" w:color="auto"/>
        <w:bottom w:val="none" w:sz="0" w:space="0" w:color="auto"/>
        <w:right w:val="none" w:sz="0" w:space="0" w:color="auto"/>
      </w:divBdr>
      <w:divsChild>
        <w:div w:id="933629099">
          <w:marLeft w:val="446"/>
          <w:marRight w:val="0"/>
          <w:marTop w:val="0"/>
          <w:marBottom w:val="0"/>
          <w:divBdr>
            <w:top w:val="none" w:sz="0" w:space="0" w:color="auto"/>
            <w:left w:val="none" w:sz="0" w:space="0" w:color="auto"/>
            <w:bottom w:val="none" w:sz="0" w:space="0" w:color="auto"/>
            <w:right w:val="none" w:sz="0" w:space="0" w:color="auto"/>
          </w:divBdr>
        </w:div>
        <w:div w:id="495654138">
          <w:marLeft w:val="446"/>
          <w:marRight w:val="0"/>
          <w:marTop w:val="0"/>
          <w:marBottom w:val="0"/>
          <w:divBdr>
            <w:top w:val="none" w:sz="0" w:space="0" w:color="auto"/>
            <w:left w:val="none" w:sz="0" w:space="0" w:color="auto"/>
            <w:bottom w:val="none" w:sz="0" w:space="0" w:color="auto"/>
            <w:right w:val="none" w:sz="0" w:space="0" w:color="auto"/>
          </w:divBdr>
        </w:div>
        <w:div w:id="559902712">
          <w:marLeft w:val="446"/>
          <w:marRight w:val="0"/>
          <w:marTop w:val="0"/>
          <w:marBottom w:val="0"/>
          <w:divBdr>
            <w:top w:val="none" w:sz="0" w:space="0" w:color="auto"/>
            <w:left w:val="none" w:sz="0" w:space="0" w:color="auto"/>
            <w:bottom w:val="none" w:sz="0" w:space="0" w:color="auto"/>
            <w:right w:val="none" w:sz="0" w:space="0" w:color="auto"/>
          </w:divBdr>
        </w:div>
        <w:div w:id="1849557076">
          <w:marLeft w:val="446"/>
          <w:marRight w:val="0"/>
          <w:marTop w:val="0"/>
          <w:marBottom w:val="0"/>
          <w:divBdr>
            <w:top w:val="none" w:sz="0" w:space="0" w:color="auto"/>
            <w:left w:val="none" w:sz="0" w:space="0" w:color="auto"/>
            <w:bottom w:val="none" w:sz="0" w:space="0" w:color="auto"/>
            <w:right w:val="none" w:sz="0" w:space="0" w:color="auto"/>
          </w:divBdr>
        </w:div>
      </w:divsChild>
    </w:div>
    <w:div w:id="339551290">
      <w:bodyDiv w:val="1"/>
      <w:marLeft w:val="0"/>
      <w:marRight w:val="0"/>
      <w:marTop w:val="0"/>
      <w:marBottom w:val="0"/>
      <w:divBdr>
        <w:top w:val="none" w:sz="0" w:space="0" w:color="auto"/>
        <w:left w:val="none" w:sz="0" w:space="0" w:color="auto"/>
        <w:bottom w:val="none" w:sz="0" w:space="0" w:color="auto"/>
        <w:right w:val="none" w:sz="0" w:space="0" w:color="auto"/>
      </w:divBdr>
      <w:divsChild>
        <w:div w:id="1186990168">
          <w:marLeft w:val="0"/>
          <w:marRight w:val="0"/>
          <w:marTop w:val="0"/>
          <w:marBottom w:val="0"/>
          <w:divBdr>
            <w:top w:val="none" w:sz="0" w:space="0" w:color="auto"/>
            <w:left w:val="none" w:sz="0" w:space="0" w:color="auto"/>
            <w:bottom w:val="none" w:sz="0" w:space="0" w:color="auto"/>
            <w:right w:val="none" w:sz="0" w:space="0" w:color="auto"/>
          </w:divBdr>
          <w:divsChild>
            <w:div w:id="1232692153">
              <w:marLeft w:val="0"/>
              <w:marRight w:val="0"/>
              <w:marTop w:val="0"/>
              <w:marBottom w:val="0"/>
              <w:divBdr>
                <w:top w:val="none" w:sz="0" w:space="0" w:color="auto"/>
                <w:left w:val="none" w:sz="0" w:space="0" w:color="auto"/>
                <w:bottom w:val="none" w:sz="0" w:space="0" w:color="auto"/>
                <w:right w:val="none" w:sz="0" w:space="0" w:color="auto"/>
              </w:divBdr>
              <w:divsChild>
                <w:div w:id="1199048429">
                  <w:marLeft w:val="0"/>
                  <w:marRight w:val="0"/>
                  <w:marTop w:val="0"/>
                  <w:marBottom w:val="0"/>
                  <w:divBdr>
                    <w:top w:val="none" w:sz="0" w:space="0" w:color="auto"/>
                    <w:left w:val="none" w:sz="0" w:space="0" w:color="auto"/>
                    <w:bottom w:val="none" w:sz="0" w:space="0" w:color="auto"/>
                    <w:right w:val="none" w:sz="0" w:space="0" w:color="auto"/>
                  </w:divBdr>
                  <w:divsChild>
                    <w:div w:id="2092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87905">
      <w:bodyDiv w:val="1"/>
      <w:marLeft w:val="0"/>
      <w:marRight w:val="0"/>
      <w:marTop w:val="0"/>
      <w:marBottom w:val="0"/>
      <w:divBdr>
        <w:top w:val="none" w:sz="0" w:space="0" w:color="auto"/>
        <w:left w:val="none" w:sz="0" w:space="0" w:color="auto"/>
        <w:bottom w:val="none" w:sz="0" w:space="0" w:color="auto"/>
        <w:right w:val="none" w:sz="0" w:space="0" w:color="auto"/>
      </w:divBdr>
      <w:divsChild>
        <w:div w:id="1387217074">
          <w:marLeft w:val="0"/>
          <w:marRight w:val="0"/>
          <w:marTop w:val="0"/>
          <w:marBottom w:val="0"/>
          <w:divBdr>
            <w:top w:val="none" w:sz="0" w:space="0" w:color="auto"/>
            <w:left w:val="none" w:sz="0" w:space="0" w:color="auto"/>
            <w:bottom w:val="none" w:sz="0" w:space="0" w:color="auto"/>
            <w:right w:val="none" w:sz="0" w:space="0" w:color="auto"/>
          </w:divBdr>
          <w:divsChild>
            <w:div w:id="10403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3639">
      <w:bodyDiv w:val="1"/>
      <w:marLeft w:val="0"/>
      <w:marRight w:val="0"/>
      <w:marTop w:val="0"/>
      <w:marBottom w:val="0"/>
      <w:divBdr>
        <w:top w:val="none" w:sz="0" w:space="0" w:color="auto"/>
        <w:left w:val="none" w:sz="0" w:space="0" w:color="auto"/>
        <w:bottom w:val="none" w:sz="0" w:space="0" w:color="auto"/>
        <w:right w:val="none" w:sz="0" w:space="0" w:color="auto"/>
      </w:divBdr>
      <w:divsChild>
        <w:div w:id="1033725196">
          <w:marLeft w:val="0"/>
          <w:marRight w:val="0"/>
          <w:marTop w:val="0"/>
          <w:marBottom w:val="0"/>
          <w:divBdr>
            <w:top w:val="none" w:sz="0" w:space="0" w:color="auto"/>
            <w:left w:val="none" w:sz="0" w:space="0" w:color="auto"/>
            <w:bottom w:val="none" w:sz="0" w:space="0" w:color="auto"/>
            <w:right w:val="none" w:sz="0" w:space="0" w:color="auto"/>
          </w:divBdr>
          <w:divsChild>
            <w:div w:id="414782754">
              <w:marLeft w:val="0"/>
              <w:marRight w:val="0"/>
              <w:marTop w:val="0"/>
              <w:marBottom w:val="0"/>
              <w:divBdr>
                <w:top w:val="none" w:sz="0" w:space="0" w:color="auto"/>
                <w:left w:val="none" w:sz="0" w:space="0" w:color="auto"/>
                <w:bottom w:val="none" w:sz="0" w:space="0" w:color="auto"/>
                <w:right w:val="none" w:sz="0" w:space="0" w:color="auto"/>
              </w:divBdr>
              <w:divsChild>
                <w:div w:id="48462786">
                  <w:marLeft w:val="0"/>
                  <w:marRight w:val="0"/>
                  <w:marTop w:val="0"/>
                  <w:marBottom w:val="0"/>
                  <w:divBdr>
                    <w:top w:val="none" w:sz="0" w:space="0" w:color="auto"/>
                    <w:left w:val="none" w:sz="0" w:space="0" w:color="auto"/>
                    <w:bottom w:val="none" w:sz="0" w:space="0" w:color="auto"/>
                    <w:right w:val="none" w:sz="0" w:space="0" w:color="auto"/>
                  </w:divBdr>
                  <w:divsChild>
                    <w:div w:id="454644608">
                      <w:marLeft w:val="0"/>
                      <w:marRight w:val="0"/>
                      <w:marTop w:val="0"/>
                      <w:marBottom w:val="0"/>
                      <w:divBdr>
                        <w:top w:val="none" w:sz="0" w:space="0" w:color="auto"/>
                        <w:left w:val="none" w:sz="0" w:space="0" w:color="auto"/>
                        <w:bottom w:val="none" w:sz="0" w:space="0" w:color="auto"/>
                        <w:right w:val="none" w:sz="0" w:space="0" w:color="auto"/>
                      </w:divBdr>
                      <w:divsChild>
                        <w:div w:id="176051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01957">
                  <w:marLeft w:val="0"/>
                  <w:marRight w:val="0"/>
                  <w:marTop w:val="0"/>
                  <w:marBottom w:val="0"/>
                  <w:divBdr>
                    <w:top w:val="none" w:sz="0" w:space="0" w:color="auto"/>
                    <w:left w:val="none" w:sz="0" w:space="0" w:color="auto"/>
                    <w:bottom w:val="none" w:sz="0" w:space="0" w:color="auto"/>
                    <w:right w:val="none" w:sz="0" w:space="0" w:color="auto"/>
                  </w:divBdr>
                  <w:divsChild>
                    <w:div w:id="1632903494">
                      <w:marLeft w:val="0"/>
                      <w:marRight w:val="0"/>
                      <w:marTop w:val="0"/>
                      <w:marBottom w:val="0"/>
                      <w:divBdr>
                        <w:top w:val="none" w:sz="0" w:space="0" w:color="auto"/>
                        <w:left w:val="none" w:sz="0" w:space="0" w:color="auto"/>
                        <w:bottom w:val="none" w:sz="0" w:space="0" w:color="auto"/>
                        <w:right w:val="none" w:sz="0" w:space="0" w:color="auto"/>
                      </w:divBdr>
                    </w:div>
                    <w:div w:id="23062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516465">
      <w:bodyDiv w:val="1"/>
      <w:marLeft w:val="0"/>
      <w:marRight w:val="0"/>
      <w:marTop w:val="0"/>
      <w:marBottom w:val="0"/>
      <w:divBdr>
        <w:top w:val="none" w:sz="0" w:space="0" w:color="auto"/>
        <w:left w:val="none" w:sz="0" w:space="0" w:color="auto"/>
        <w:bottom w:val="none" w:sz="0" w:space="0" w:color="auto"/>
        <w:right w:val="none" w:sz="0" w:space="0" w:color="auto"/>
      </w:divBdr>
      <w:divsChild>
        <w:div w:id="581181029">
          <w:marLeft w:val="0"/>
          <w:marRight w:val="0"/>
          <w:marTop w:val="0"/>
          <w:marBottom w:val="0"/>
          <w:divBdr>
            <w:top w:val="none" w:sz="0" w:space="0" w:color="auto"/>
            <w:left w:val="none" w:sz="0" w:space="0" w:color="auto"/>
            <w:bottom w:val="none" w:sz="0" w:space="0" w:color="auto"/>
            <w:right w:val="none" w:sz="0" w:space="0" w:color="auto"/>
          </w:divBdr>
          <w:divsChild>
            <w:div w:id="1565793096">
              <w:marLeft w:val="0"/>
              <w:marRight w:val="0"/>
              <w:marTop w:val="0"/>
              <w:marBottom w:val="0"/>
              <w:divBdr>
                <w:top w:val="none" w:sz="0" w:space="0" w:color="auto"/>
                <w:left w:val="none" w:sz="0" w:space="0" w:color="auto"/>
                <w:bottom w:val="none" w:sz="0" w:space="0" w:color="auto"/>
                <w:right w:val="none" w:sz="0" w:space="0" w:color="auto"/>
              </w:divBdr>
              <w:divsChild>
                <w:div w:id="775096523">
                  <w:marLeft w:val="0"/>
                  <w:marRight w:val="0"/>
                  <w:marTop w:val="0"/>
                  <w:marBottom w:val="0"/>
                  <w:divBdr>
                    <w:top w:val="none" w:sz="0" w:space="0" w:color="auto"/>
                    <w:left w:val="none" w:sz="0" w:space="0" w:color="auto"/>
                    <w:bottom w:val="none" w:sz="0" w:space="0" w:color="auto"/>
                    <w:right w:val="none" w:sz="0" w:space="0" w:color="auto"/>
                  </w:divBdr>
                  <w:divsChild>
                    <w:div w:id="17921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24176">
      <w:bodyDiv w:val="1"/>
      <w:marLeft w:val="0"/>
      <w:marRight w:val="0"/>
      <w:marTop w:val="0"/>
      <w:marBottom w:val="0"/>
      <w:divBdr>
        <w:top w:val="none" w:sz="0" w:space="0" w:color="auto"/>
        <w:left w:val="none" w:sz="0" w:space="0" w:color="auto"/>
        <w:bottom w:val="none" w:sz="0" w:space="0" w:color="auto"/>
        <w:right w:val="none" w:sz="0" w:space="0" w:color="auto"/>
      </w:divBdr>
      <w:divsChild>
        <w:div w:id="127630873">
          <w:marLeft w:val="0"/>
          <w:marRight w:val="0"/>
          <w:marTop w:val="0"/>
          <w:marBottom w:val="0"/>
          <w:divBdr>
            <w:top w:val="none" w:sz="0" w:space="0" w:color="auto"/>
            <w:left w:val="none" w:sz="0" w:space="0" w:color="auto"/>
            <w:bottom w:val="none" w:sz="0" w:space="0" w:color="auto"/>
            <w:right w:val="none" w:sz="0" w:space="0" w:color="auto"/>
          </w:divBdr>
          <w:divsChild>
            <w:div w:id="1776439959">
              <w:marLeft w:val="0"/>
              <w:marRight w:val="0"/>
              <w:marTop w:val="0"/>
              <w:marBottom w:val="0"/>
              <w:divBdr>
                <w:top w:val="none" w:sz="0" w:space="0" w:color="auto"/>
                <w:left w:val="none" w:sz="0" w:space="0" w:color="auto"/>
                <w:bottom w:val="none" w:sz="0" w:space="0" w:color="auto"/>
                <w:right w:val="none" w:sz="0" w:space="0" w:color="auto"/>
              </w:divBdr>
              <w:divsChild>
                <w:div w:id="7920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11461">
      <w:bodyDiv w:val="1"/>
      <w:marLeft w:val="0"/>
      <w:marRight w:val="0"/>
      <w:marTop w:val="0"/>
      <w:marBottom w:val="0"/>
      <w:divBdr>
        <w:top w:val="none" w:sz="0" w:space="0" w:color="auto"/>
        <w:left w:val="none" w:sz="0" w:space="0" w:color="auto"/>
        <w:bottom w:val="none" w:sz="0" w:space="0" w:color="auto"/>
        <w:right w:val="none" w:sz="0" w:space="0" w:color="auto"/>
      </w:divBdr>
      <w:divsChild>
        <w:div w:id="1079139625">
          <w:marLeft w:val="0"/>
          <w:marRight w:val="0"/>
          <w:marTop w:val="0"/>
          <w:marBottom w:val="0"/>
          <w:divBdr>
            <w:top w:val="none" w:sz="0" w:space="0" w:color="auto"/>
            <w:left w:val="none" w:sz="0" w:space="0" w:color="auto"/>
            <w:bottom w:val="none" w:sz="0" w:space="0" w:color="auto"/>
            <w:right w:val="none" w:sz="0" w:space="0" w:color="auto"/>
          </w:divBdr>
          <w:divsChild>
            <w:div w:id="2137141426">
              <w:marLeft w:val="0"/>
              <w:marRight w:val="0"/>
              <w:marTop w:val="0"/>
              <w:marBottom w:val="0"/>
              <w:divBdr>
                <w:top w:val="none" w:sz="0" w:space="0" w:color="auto"/>
                <w:left w:val="none" w:sz="0" w:space="0" w:color="auto"/>
                <w:bottom w:val="none" w:sz="0" w:space="0" w:color="auto"/>
                <w:right w:val="none" w:sz="0" w:space="0" w:color="auto"/>
              </w:divBdr>
              <w:divsChild>
                <w:div w:id="175966405">
                  <w:marLeft w:val="0"/>
                  <w:marRight w:val="0"/>
                  <w:marTop w:val="0"/>
                  <w:marBottom w:val="0"/>
                  <w:divBdr>
                    <w:top w:val="none" w:sz="0" w:space="0" w:color="auto"/>
                    <w:left w:val="none" w:sz="0" w:space="0" w:color="auto"/>
                    <w:bottom w:val="none" w:sz="0" w:space="0" w:color="auto"/>
                    <w:right w:val="none" w:sz="0" w:space="0" w:color="auto"/>
                  </w:divBdr>
                  <w:divsChild>
                    <w:div w:id="84818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397059">
      <w:bodyDiv w:val="1"/>
      <w:marLeft w:val="0"/>
      <w:marRight w:val="0"/>
      <w:marTop w:val="0"/>
      <w:marBottom w:val="0"/>
      <w:divBdr>
        <w:top w:val="none" w:sz="0" w:space="0" w:color="auto"/>
        <w:left w:val="none" w:sz="0" w:space="0" w:color="auto"/>
        <w:bottom w:val="none" w:sz="0" w:space="0" w:color="auto"/>
        <w:right w:val="none" w:sz="0" w:space="0" w:color="auto"/>
      </w:divBdr>
      <w:divsChild>
        <w:div w:id="1099909790">
          <w:marLeft w:val="0"/>
          <w:marRight w:val="0"/>
          <w:marTop w:val="0"/>
          <w:marBottom w:val="0"/>
          <w:divBdr>
            <w:top w:val="none" w:sz="0" w:space="0" w:color="auto"/>
            <w:left w:val="none" w:sz="0" w:space="0" w:color="auto"/>
            <w:bottom w:val="none" w:sz="0" w:space="0" w:color="auto"/>
            <w:right w:val="none" w:sz="0" w:space="0" w:color="auto"/>
          </w:divBdr>
          <w:divsChild>
            <w:div w:id="1982925840">
              <w:marLeft w:val="0"/>
              <w:marRight w:val="0"/>
              <w:marTop w:val="0"/>
              <w:marBottom w:val="0"/>
              <w:divBdr>
                <w:top w:val="none" w:sz="0" w:space="0" w:color="auto"/>
                <w:left w:val="none" w:sz="0" w:space="0" w:color="auto"/>
                <w:bottom w:val="none" w:sz="0" w:space="0" w:color="auto"/>
                <w:right w:val="none" w:sz="0" w:space="0" w:color="auto"/>
              </w:divBdr>
              <w:divsChild>
                <w:div w:id="1255631379">
                  <w:marLeft w:val="0"/>
                  <w:marRight w:val="0"/>
                  <w:marTop w:val="0"/>
                  <w:marBottom w:val="0"/>
                  <w:divBdr>
                    <w:top w:val="none" w:sz="0" w:space="0" w:color="auto"/>
                    <w:left w:val="none" w:sz="0" w:space="0" w:color="auto"/>
                    <w:bottom w:val="none" w:sz="0" w:space="0" w:color="auto"/>
                    <w:right w:val="none" w:sz="0" w:space="0" w:color="auto"/>
                  </w:divBdr>
                  <w:divsChild>
                    <w:div w:id="192325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94908">
      <w:bodyDiv w:val="1"/>
      <w:marLeft w:val="0"/>
      <w:marRight w:val="0"/>
      <w:marTop w:val="0"/>
      <w:marBottom w:val="0"/>
      <w:divBdr>
        <w:top w:val="none" w:sz="0" w:space="0" w:color="auto"/>
        <w:left w:val="none" w:sz="0" w:space="0" w:color="auto"/>
        <w:bottom w:val="none" w:sz="0" w:space="0" w:color="auto"/>
        <w:right w:val="none" w:sz="0" w:space="0" w:color="auto"/>
      </w:divBdr>
      <w:divsChild>
        <w:div w:id="1891304269">
          <w:marLeft w:val="0"/>
          <w:marRight w:val="0"/>
          <w:marTop w:val="0"/>
          <w:marBottom w:val="0"/>
          <w:divBdr>
            <w:top w:val="none" w:sz="0" w:space="0" w:color="auto"/>
            <w:left w:val="none" w:sz="0" w:space="0" w:color="auto"/>
            <w:bottom w:val="none" w:sz="0" w:space="0" w:color="auto"/>
            <w:right w:val="none" w:sz="0" w:space="0" w:color="auto"/>
          </w:divBdr>
          <w:divsChild>
            <w:div w:id="435028611">
              <w:marLeft w:val="0"/>
              <w:marRight w:val="0"/>
              <w:marTop w:val="0"/>
              <w:marBottom w:val="0"/>
              <w:divBdr>
                <w:top w:val="none" w:sz="0" w:space="0" w:color="auto"/>
                <w:left w:val="none" w:sz="0" w:space="0" w:color="auto"/>
                <w:bottom w:val="none" w:sz="0" w:space="0" w:color="auto"/>
                <w:right w:val="none" w:sz="0" w:space="0" w:color="auto"/>
              </w:divBdr>
              <w:divsChild>
                <w:div w:id="1160271111">
                  <w:marLeft w:val="0"/>
                  <w:marRight w:val="0"/>
                  <w:marTop w:val="0"/>
                  <w:marBottom w:val="0"/>
                  <w:divBdr>
                    <w:top w:val="none" w:sz="0" w:space="0" w:color="auto"/>
                    <w:left w:val="none" w:sz="0" w:space="0" w:color="auto"/>
                    <w:bottom w:val="none" w:sz="0" w:space="0" w:color="auto"/>
                    <w:right w:val="none" w:sz="0" w:space="0" w:color="auto"/>
                  </w:divBdr>
                  <w:divsChild>
                    <w:div w:id="2714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052242">
      <w:bodyDiv w:val="1"/>
      <w:marLeft w:val="0"/>
      <w:marRight w:val="0"/>
      <w:marTop w:val="0"/>
      <w:marBottom w:val="0"/>
      <w:divBdr>
        <w:top w:val="none" w:sz="0" w:space="0" w:color="auto"/>
        <w:left w:val="none" w:sz="0" w:space="0" w:color="auto"/>
        <w:bottom w:val="none" w:sz="0" w:space="0" w:color="auto"/>
        <w:right w:val="none" w:sz="0" w:space="0" w:color="auto"/>
      </w:divBdr>
      <w:divsChild>
        <w:div w:id="468672029">
          <w:marLeft w:val="0"/>
          <w:marRight w:val="0"/>
          <w:marTop w:val="0"/>
          <w:marBottom w:val="0"/>
          <w:divBdr>
            <w:top w:val="none" w:sz="0" w:space="0" w:color="auto"/>
            <w:left w:val="none" w:sz="0" w:space="0" w:color="auto"/>
            <w:bottom w:val="none" w:sz="0" w:space="0" w:color="auto"/>
            <w:right w:val="none" w:sz="0" w:space="0" w:color="auto"/>
          </w:divBdr>
          <w:divsChild>
            <w:div w:id="1483544068">
              <w:marLeft w:val="0"/>
              <w:marRight w:val="0"/>
              <w:marTop w:val="0"/>
              <w:marBottom w:val="0"/>
              <w:divBdr>
                <w:top w:val="none" w:sz="0" w:space="0" w:color="auto"/>
                <w:left w:val="none" w:sz="0" w:space="0" w:color="auto"/>
                <w:bottom w:val="none" w:sz="0" w:space="0" w:color="auto"/>
                <w:right w:val="none" w:sz="0" w:space="0" w:color="auto"/>
              </w:divBdr>
              <w:divsChild>
                <w:div w:id="1730180273">
                  <w:marLeft w:val="0"/>
                  <w:marRight w:val="0"/>
                  <w:marTop w:val="0"/>
                  <w:marBottom w:val="0"/>
                  <w:divBdr>
                    <w:top w:val="none" w:sz="0" w:space="0" w:color="auto"/>
                    <w:left w:val="none" w:sz="0" w:space="0" w:color="auto"/>
                    <w:bottom w:val="none" w:sz="0" w:space="0" w:color="auto"/>
                    <w:right w:val="none" w:sz="0" w:space="0" w:color="auto"/>
                  </w:divBdr>
                  <w:divsChild>
                    <w:div w:id="188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93116">
      <w:bodyDiv w:val="1"/>
      <w:marLeft w:val="0"/>
      <w:marRight w:val="0"/>
      <w:marTop w:val="0"/>
      <w:marBottom w:val="0"/>
      <w:divBdr>
        <w:top w:val="none" w:sz="0" w:space="0" w:color="auto"/>
        <w:left w:val="none" w:sz="0" w:space="0" w:color="auto"/>
        <w:bottom w:val="none" w:sz="0" w:space="0" w:color="auto"/>
        <w:right w:val="none" w:sz="0" w:space="0" w:color="auto"/>
      </w:divBdr>
      <w:divsChild>
        <w:div w:id="359358732">
          <w:marLeft w:val="0"/>
          <w:marRight w:val="0"/>
          <w:marTop w:val="0"/>
          <w:marBottom w:val="0"/>
          <w:divBdr>
            <w:top w:val="none" w:sz="0" w:space="0" w:color="auto"/>
            <w:left w:val="none" w:sz="0" w:space="0" w:color="auto"/>
            <w:bottom w:val="none" w:sz="0" w:space="0" w:color="auto"/>
            <w:right w:val="none" w:sz="0" w:space="0" w:color="auto"/>
          </w:divBdr>
          <w:divsChild>
            <w:div w:id="12137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62">
      <w:bodyDiv w:val="1"/>
      <w:marLeft w:val="0"/>
      <w:marRight w:val="0"/>
      <w:marTop w:val="0"/>
      <w:marBottom w:val="0"/>
      <w:divBdr>
        <w:top w:val="none" w:sz="0" w:space="0" w:color="auto"/>
        <w:left w:val="none" w:sz="0" w:space="0" w:color="auto"/>
        <w:bottom w:val="none" w:sz="0" w:space="0" w:color="auto"/>
        <w:right w:val="none" w:sz="0" w:space="0" w:color="auto"/>
      </w:divBdr>
      <w:divsChild>
        <w:div w:id="1440877927">
          <w:marLeft w:val="0"/>
          <w:marRight w:val="0"/>
          <w:marTop w:val="0"/>
          <w:marBottom w:val="0"/>
          <w:divBdr>
            <w:top w:val="none" w:sz="0" w:space="0" w:color="auto"/>
            <w:left w:val="none" w:sz="0" w:space="0" w:color="auto"/>
            <w:bottom w:val="none" w:sz="0" w:space="0" w:color="auto"/>
            <w:right w:val="none" w:sz="0" w:space="0" w:color="auto"/>
          </w:divBdr>
          <w:divsChild>
            <w:div w:id="41012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38556">
      <w:bodyDiv w:val="1"/>
      <w:marLeft w:val="0"/>
      <w:marRight w:val="0"/>
      <w:marTop w:val="0"/>
      <w:marBottom w:val="0"/>
      <w:divBdr>
        <w:top w:val="none" w:sz="0" w:space="0" w:color="auto"/>
        <w:left w:val="none" w:sz="0" w:space="0" w:color="auto"/>
        <w:bottom w:val="none" w:sz="0" w:space="0" w:color="auto"/>
        <w:right w:val="none" w:sz="0" w:space="0" w:color="auto"/>
      </w:divBdr>
      <w:divsChild>
        <w:div w:id="152912051">
          <w:marLeft w:val="0"/>
          <w:marRight w:val="0"/>
          <w:marTop w:val="0"/>
          <w:marBottom w:val="0"/>
          <w:divBdr>
            <w:top w:val="none" w:sz="0" w:space="0" w:color="auto"/>
            <w:left w:val="none" w:sz="0" w:space="0" w:color="auto"/>
            <w:bottom w:val="none" w:sz="0" w:space="0" w:color="auto"/>
            <w:right w:val="none" w:sz="0" w:space="0" w:color="auto"/>
          </w:divBdr>
          <w:divsChild>
            <w:div w:id="328026281">
              <w:marLeft w:val="0"/>
              <w:marRight w:val="0"/>
              <w:marTop w:val="0"/>
              <w:marBottom w:val="0"/>
              <w:divBdr>
                <w:top w:val="none" w:sz="0" w:space="0" w:color="auto"/>
                <w:left w:val="none" w:sz="0" w:space="0" w:color="auto"/>
                <w:bottom w:val="none" w:sz="0" w:space="0" w:color="auto"/>
                <w:right w:val="none" w:sz="0" w:space="0" w:color="auto"/>
              </w:divBdr>
              <w:divsChild>
                <w:div w:id="13608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8955">
      <w:bodyDiv w:val="1"/>
      <w:marLeft w:val="0"/>
      <w:marRight w:val="0"/>
      <w:marTop w:val="0"/>
      <w:marBottom w:val="0"/>
      <w:divBdr>
        <w:top w:val="none" w:sz="0" w:space="0" w:color="auto"/>
        <w:left w:val="none" w:sz="0" w:space="0" w:color="auto"/>
        <w:bottom w:val="none" w:sz="0" w:space="0" w:color="auto"/>
        <w:right w:val="none" w:sz="0" w:space="0" w:color="auto"/>
      </w:divBdr>
      <w:divsChild>
        <w:div w:id="1153914497">
          <w:marLeft w:val="0"/>
          <w:marRight w:val="0"/>
          <w:marTop w:val="0"/>
          <w:marBottom w:val="0"/>
          <w:divBdr>
            <w:top w:val="none" w:sz="0" w:space="0" w:color="auto"/>
            <w:left w:val="none" w:sz="0" w:space="0" w:color="auto"/>
            <w:bottom w:val="none" w:sz="0" w:space="0" w:color="auto"/>
            <w:right w:val="none" w:sz="0" w:space="0" w:color="auto"/>
          </w:divBdr>
          <w:divsChild>
            <w:div w:id="953440391">
              <w:marLeft w:val="0"/>
              <w:marRight w:val="0"/>
              <w:marTop w:val="0"/>
              <w:marBottom w:val="0"/>
              <w:divBdr>
                <w:top w:val="none" w:sz="0" w:space="0" w:color="auto"/>
                <w:left w:val="none" w:sz="0" w:space="0" w:color="auto"/>
                <w:bottom w:val="none" w:sz="0" w:space="0" w:color="auto"/>
                <w:right w:val="none" w:sz="0" w:space="0" w:color="auto"/>
              </w:divBdr>
              <w:divsChild>
                <w:div w:id="839586542">
                  <w:marLeft w:val="0"/>
                  <w:marRight w:val="0"/>
                  <w:marTop w:val="0"/>
                  <w:marBottom w:val="0"/>
                  <w:divBdr>
                    <w:top w:val="none" w:sz="0" w:space="0" w:color="auto"/>
                    <w:left w:val="none" w:sz="0" w:space="0" w:color="auto"/>
                    <w:bottom w:val="none" w:sz="0" w:space="0" w:color="auto"/>
                    <w:right w:val="none" w:sz="0" w:space="0" w:color="auto"/>
                  </w:divBdr>
                  <w:divsChild>
                    <w:div w:id="78415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79761">
      <w:bodyDiv w:val="1"/>
      <w:marLeft w:val="0"/>
      <w:marRight w:val="0"/>
      <w:marTop w:val="0"/>
      <w:marBottom w:val="0"/>
      <w:divBdr>
        <w:top w:val="none" w:sz="0" w:space="0" w:color="auto"/>
        <w:left w:val="none" w:sz="0" w:space="0" w:color="auto"/>
        <w:bottom w:val="none" w:sz="0" w:space="0" w:color="auto"/>
        <w:right w:val="none" w:sz="0" w:space="0" w:color="auto"/>
      </w:divBdr>
      <w:divsChild>
        <w:div w:id="438569836">
          <w:marLeft w:val="0"/>
          <w:marRight w:val="0"/>
          <w:marTop w:val="0"/>
          <w:marBottom w:val="0"/>
          <w:divBdr>
            <w:top w:val="none" w:sz="0" w:space="0" w:color="auto"/>
            <w:left w:val="none" w:sz="0" w:space="0" w:color="auto"/>
            <w:bottom w:val="none" w:sz="0" w:space="0" w:color="auto"/>
            <w:right w:val="none" w:sz="0" w:space="0" w:color="auto"/>
          </w:divBdr>
          <w:divsChild>
            <w:div w:id="1991789877">
              <w:marLeft w:val="0"/>
              <w:marRight w:val="0"/>
              <w:marTop w:val="0"/>
              <w:marBottom w:val="0"/>
              <w:divBdr>
                <w:top w:val="none" w:sz="0" w:space="0" w:color="auto"/>
                <w:left w:val="none" w:sz="0" w:space="0" w:color="auto"/>
                <w:bottom w:val="none" w:sz="0" w:space="0" w:color="auto"/>
                <w:right w:val="none" w:sz="0" w:space="0" w:color="auto"/>
              </w:divBdr>
              <w:divsChild>
                <w:div w:id="2075081215">
                  <w:marLeft w:val="0"/>
                  <w:marRight w:val="0"/>
                  <w:marTop w:val="0"/>
                  <w:marBottom w:val="0"/>
                  <w:divBdr>
                    <w:top w:val="none" w:sz="0" w:space="0" w:color="auto"/>
                    <w:left w:val="none" w:sz="0" w:space="0" w:color="auto"/>
                    <w:bottom w:val="none" w:sz="0" w:space="0" w:color="auto"/>
                    <w:right w:val="none" w:sz="0" w:space="0" w:color="auto"/>
                  </w:divBdr>
                  <w:divsChild>
                    <w:div w:id="156487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83908">
      <w:bodyDiv w:val="1"/>
      <w:marLeft w:val="0"/>
      <w:marRight w:val="0"/>
      <w:marTop w:val="0"/>
      <w:marBottom w:val="0"/>
      <w:divBdr>
        <w:top w:val="none" w:sz="0" w:space="0" w:color="auto"/>
        <w:left w:val="none" w:sz="0" w:space="0" w:color="auto"/>
        <w:bottom w:val="none" w:sz="0" w:space="0" w:color="auto"/>
        <w:right w:val="none" w:sz="0" w:space="0" w:color="auto"/>
      </w:divBdr>
      <w:divsChild>
        <w:div w:id="1264680797">
          <w:marLeft w:val="0"/>
          <w:marRight w:val="0"/>
          <w:marTop w:val="0"/>
          <w:marBottom w:val="0"/>
          <w:divBdr>
            <w:top w:val="none" w:sz="0" w:space="0" w:color="auto"/>
            <w:left w:val="none" w:sz="0" w:space="0" w:color="auto"/>
            <w:bottom w:val="none" w:sz="0" w:space="0" w:color="auto"/>
            <w:right w:val="none" w:sz="0" w:space="0" w:color="auto"/>
          </w:divBdr>
          <w:divsChild>
            <w:div w:id="9705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05246">
      <w:bodyDiv w:val="1"/>
      <w:marLeft w:val="0"/>
      <w:marRight w:val="0"/>
      <w:marTop w:val="0"/>
      <w:marBottom w:val="0"/>
      <w:divBdr>
        <w:top w:val="none" w:sz="0" w:space="0" w:color="auto"/>
        <w:left w:val="none" w:sz="0" w:space="0" w:color="auto"/>
        <w:bottom w:val="none" w:sz="0" w:space="0" w:color="auto"/>
        <w:right w:val="none" w:sz="0" w:space="0" w:color="auto"/>
      </w:divBdr>
      <w:divsChild>
        <w:div w:id="648368048">
          <w:marLeft w:val="0"/>
          <w:marRight w:val="0"/>
          <w:marTop w:val="0"/>
          <w:marBottom w:val="0"/>
          <w:divBdr>
            <w:top w:val="none" w:sz="0" w:space="0" w:color="auto"/>
            <w:left w:val="none" w:sz="0" w:space="0" w:color="auto"/>
            <w:bottom w:val="none" w:sz="0" w:space="0" w:color="auto"/>
            <w:right w:val="none" w:sz="0" w:space="0" w:color="auto"/>
          </w:divBdr>
          <w:divsChild>
            <w:div w:id="388499334">
              <w:marLeft w:val="0"/>
              <w:marRight w:val="0"/>
              <w:marTop w:val="0"/>
              <w:marBottom w:val="0"/>
              <w:divBdr>
                <w:top w:val="none" w:sz="0" w:space="0" w:color="auto"/>
                <w:left w:val="none" w:sz="0" w:space="0" w:color="auto"/>
                <w:bottom w:val="none" w:sz="0" w:space="0" w:color="auto"/>
                <w:right w:val="none" w:sz="0" w:space="0" w:color="auto"/>
              </w:divBdr>
              <w:divsChild>
                <w:div w:id="9676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85976">
      <w:bodyDiv w:val="1"/>
      <w:marLeft w:val="0"/>
      <w:marRight w:val="0"/>
      <w:marTop w:val="0"/>
      <w:marBottom w:val="0"/>
      <w:divBdr>
        <w:top w:val="none" w:sz="0" w:space="0" w:color="auto"/>
        <w:left w:val="none" w:sz="0" w:space="0" w:color="auto"/>
        <w:bottom w:val="none" w:sz="0" w:space="0" w:color="auto"/>
        <w:right w:val="none" w:sz="0" w:space="0" w:color="auto"/>
      </w:divBdr>
      <w:divsChild>
        <w:div w:id="721750035">
          <w:marLeft w:val="0"/>
          <w:marRight w:val="0"/>
          <w:marTop w:val="0"/>
          <w:marBottom w:val="0"/>
          <w:divBdr>
            <w:top w:val="none" w:sz="0" w:space="0" w:color="auto"/>
            <w:left w:val="none" w:sz="0" w:space="0" w:color="auto"/>
            <w:bottom w:val="none" w:sz="0" w:space="0" w:color="auto"/>
            <w:right w:val="none" w:sz="0" w:space="0" w:color="auto"/>
          </w:divBdr>
          <w:divsChild>
            <w:div w:id="1189904094">
              <w:marLeft w:val="0"/>
              <w:marRight w:val="0"/>
              <w:marTop w:val="0"/>
              <w:marBottom w:val="0"/>
              <w:divBdr>
                <w:top w:val="none" w:sz="0" w:space="0" w:color="auto"/>
                <w:left w:val="none" w:sz="0" w:space="0" w:color="auto"/>
                <w:bottom w:val="none" w:sz="0" w:space="0" w:color="auto"/>
                <w:right w:val="none" w:sz="0" w:space="0" w:color="auto"/>
              </w:divBdr>
              <w:divsChild>
                <w:div w:id="235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93921">
      <w:bodyDiv w:val="1"/>
      <w:marLeft w:val="0"/>
      <w:marRight w:val="0"/>
      <w:marTop w:val="0"/>
      <w:marBottom w:val="0"/>
      <w:divBdr>
        <w:top w:val="none" w:sz="0" w:space="0" w:color="auto"/>
        <w:left w:val="none" w:sz="0" w:space="0" w:color="auto"/>
        <w:bottom w:val="none" w:sz="0" w:space="0" w:color="auto"/>
        <w:right w:val="none" w:sz="0" w:space="0" w:color="auto"/>
      </w:divBdr>
      <w:divsChild>
        <w:div w:id="1620606406">
          <w:marLeft w:val="0"/>
          <w:marRight w:val="0"/>
          <w:marTop w:val="0"/>
          <w:marBottom w:val="0"/>
          <w:divBdr>
            <w:top w:val="none" w:sz="0" w:space="0" w:color="auto"/>
            <w:left w:val="none" w:sz="0" w:space="0" w:color="auto"/>
            <w:bottom w:val="none" w:sz="0" w:space="0" w:color="auto"/>
            <w:right w:val="none" w:sz="0" w:space="0" w:color="auto"/>
          </w:divBdr>
          <w:divsChild>
            <w:div w:id="2022853783">
              <w:marLeft w:val="0"/>
              <w:marRight w:val="0"/>
              <w:marTop w:val="0"/>
              <w:marBottom w:val="0"/>
              <w:divBdr>
                <w:top w:val="none" w:sz="0" w:space="0" w:color="auto"/>
                <w:left w:val="none" w:sz="0" w:space="0" w:color="auto"/>
                <w:bottom w:val="none" w:sz="0" w:space="0" w:color="auto"/>
                <w:right w:val="none" w:sz="0" w:space="0" w:color="auto"/>
              </w:divBdr>
              <w:divsChild>
                <w:div w:id="13812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060283">
      <w:bodyDiv w:val="1"/>
      <w:marLeft w:val="0"/>
      <w:marRight w:val="0"/>
      <w:marTop w:val="0"/>
      <w:marBottom w:val="0"/>
      <w:divBdr>
        <w:top w:val="none" w:sz="0" w:space="0" w:color="auto"/>
        <w:left w:val="none" w:sz="0" w:space="0" w:color="auto"/>
        <w:bottom w:val="none" w:sz="0" w:space="0" w:color="auto"/>
        <w:right w:val="none" w:sz="0" w:space="0" w:color="auto"/>
      </w:divBdr>
      <w:divsChild>
        <w:div w:id="411196350">
          <w:marLeft w:val="0"/>
          <w:marRight w:val="0"/>
          <w:marTop w:val="0"/>
          <w:marBottom w:val="0"/>
          <w:divBdr>
            <w:top w:val="none" w:sz="0" w:space="0" w:color="auto"/>
            <w:left w:val="none" w:sz="0" w:space="0" w:color="auto"/>
            <w:bottom w:val="none" w:sz="0" w:space="0" w:color="auto"/>
            <w:right w:val="none" w:sz="0" w:space="0" w:color="auto"/>
          </w:divBdr>
          <w:divsChild>
            <w:div w:id="1162620698">
              <w:marLeft w:val="0"/>
              <w:marRight w:val="0"/>
              <w:marTop w:val="0"/>
              <w:marBottom w:val="0"/>
              <w:divBdr>
                <w:top w:val="none" w:sz="0" w:space="0" w:color="auto"/>
                <w:left w:val="none" w:sz="0" w:space="0" w:color="auto"/>
                <w:bottom w:val="none" w:sz="0" w:space="0" w:color="auto"/>
                <w:right w:val="none" w:sz="0" w:space="0" w:color="auto"/>
              </w:divBdr>
              <w:divsChild>
                <w:div w:id="2092264888">
                  <w:marLeft w:val="0"/>
                  <w:marRight w:val="0"/>
                  <w:marTop w:val="0"/>
                  <w:marBottom w:val="0"/>
                  <w:divBdr>
                    <w:top w:val="none" w:sz="0" w:space="0" w:color="auto"/>
                    <w:left w:val="none" w:sz="0" w:space="0" w:color="auto"/>
                    <w:bottom w:val="none" w:sz="0" w:space="0" w:color="auto"/>
                    <w:right w:val="none" w:sz="0" w:space="0" w:color="auto"/>
                  </w:divBdr>
                  <w:divsChild>
                    <w:div w:id="850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753913">
      <w:bodyDiv w:val="1"/>
      <w:marLeft w:val="0"/>
      <w:marRight w:val="0"/>
      <w:marTop w:val="0"/>
      <w:marBottom w:val="0"/>
      <w:divBdr>
        <w:top w:val="none" w:sz="0" w:space="0" w:color="auto"/>
        <w:left w:val="none" w:sz="0" w:space="0" w:color="auto"/>
        <w:bottom w:val="none" w:sz="0" w:space="0" w:color="auto"/>
        <w:right w:val="none" w:sz="0" w:space="0" w:color="auto"/>
      </w:divBdr>
      <w:divsChild>
        <w:div w:id="782268072">
          <w:marLeft w:val="0"/>
          <w:marRight w:val="0"/>
          <w:marTop w:val="0"/>
          <w:marBottom w:val="0"/>
          <w:divBdr>
            <w:top w:val="none" w:sz="0" w:space="0" w:color="auto"/>
            <w:left w:val="none" w:sz="0" w:space="0" w:color="auto"/>
            <w:bottom w:val="none" w:sz="0" w:space="0" w:color="auto"/>
            <w:right w:val="none" w:sz="0" w:space="0" w:color="auto"/>
          </w:divBdr>
          <w:divsChild>
            <w:div w:id="1785614329">
              <w:marLeft w:val="0"/>
              <w:marRight w:val="0"/>
              <w:marTop w:val="0"/>
              <w:marBottom w:val="0"/>
              <w:divBdr>
                <w:top w:val="none" w:sz="0" w:space="0" w:color="auto"/>
                <w:left w:val="none" w:sz="0" w:space="0" w:color="auto"/>
                <w:bottom w:val="none" w:sz="0" w:space="0" w:color="auto"/>
                <w:right w:val="none" w:sz="0" w:space="0" w:color="auto"/>
              </w:divBdr>
              <w:divsChild>
                <w:div w:id="1079016990">
                  <w:marLeft w:val="0"/>
                  <w:marRight w:val="0"/>
                  <w:marTop w:val="0"/>
                  <w:marBottom w:val="0"/>
                  <w:divBdr>
                    <w:top w:val="none" w:sz="0" w:space="0" w:color="auto"/>
                    <w:left w:val="none" w:sz="0" w:space="0" w:color="auto"/>
                    <w:bottom w:val="none" w:sz="0" w:space="0" w:color="auto"/>
                    <w:right w:val="none" w:sz="0" w:space="0" w:color="auto"/>
                  </w:divBdr>
                  <w:divsChild>
                    <w:div w:id="9897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059672">
      <w:bodyDiv w:val="1"/>
      <w:marLeft w:val="0"/>
      <w:marRight w:val="0"/>
      <w:marTop w:val="0"/>
      <w:marBottom w:val="0"/>
      <w:divBdr>
        <w:top w:val="none" w:sz="0" w:space="0" w:color="auto"/>
        <w:left w:val="none" w:sz="0" w:space="0" w:color="auto"/>
        <w:bottom w:val="none" w:sz="0" w:space="0" w:color="auto"/>
        <w:right w:val="none" w:sz="0" w:space="0" w:color="auto"/>
      </w:divBdr>
      <w:divsChild>
        <w:div w:id="1828012929">
          <w:marLeft w:val="0"/>
          <w:marRight w:val="0"/>
          <w:marTop w:val="0"/>
          <w:marBottom w:val="0"/>
          <w:divBdr>
            <w:top w:val="none" w:sz="0" w:space="0" w:color="auto"/>
            <w:left w:val="none" w:sz="0" w:space="0" w:color="auto"/>
            <w:bottom w:val="none" w:sz="0" w:space="0" w:color="auto"/>
            <w:right w:val="none" w:sz="0" w:space="0" w:color="auto"/>
          </w:divBdr>
          <w:divsChild>
            <w:div w:id="87309469">
              <w:marLeft w:val="0"/>
              <w:marRight w:val="0"/>
              <w:marTop w:val="0"/>
              <w:marBottom w:val="0"/>
              <w:divBdr>
                <w:top w:val="none" w:sz="0" w:space="0" w:color="auto"/>
                <w:left w:val="none" w:sz="0" w:space="0" w:color="auto"/>
                <w:bottom w:val="none" w:sz="0" w:space="0" w:color="auto"/>
                <w:right w:val="none" w:sz="0" w:space="0" w:color="auto"/>
              </w:divBdr>
              <w:divsChild>
                <w:div w:id="130372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073555">
      <w:bodyDiv w:val="1"/>
      <w:marLeft w:val="0"/>
      <w:marRight w:val="0"/>
      <w:marTop w:val="0"/>
      <w:marBottom w:val="0"/>
      <w:divBdr>
        <w:top w:val="none" w:sz="0" w:space="0" w:color="auto"/>
        <w:left w:val="none" w:sz="0" w:space="0" w:color="auto"/>
        <w:bottom w:val="none" w:sz="0" w:space="0" w:color="auto"/>
        <w:right w:val="none" w:sz="0" w:space="0" w:color="auto"/>
      </w:divBdr>
      <w:divsChild>
        <w:div w:id="1544488011">
          <w:marLeft w:val="0"/>
          <w:marRight w:val="0"/>
          <w:marTop w:val="0"/>
          <w:marBottom w:val="0"/>
          <w:divBdr>
            <w:top w:val="none" w:sz="0" w:space="0" w:color="auto"/>
            <w:left w:val="none" w:sz="0" w:space="0" w:color="auto"/>
            <w:bottom w:val="none" w:sz="0" w:space="0" w:color="auto"/>
            <w:right w:val="none" w:sz="0" w:space="0" w:color="auto"/>
          </w:divBdr>
          <w:divsChild>
            <w:div w:id="539511202">
              <w:marLeft w:val="0"/>
              <w:marRight w:val="0"/>
              <w:marTop w:val="0"/>
              <w:marBottom w:val="0"/>
              <w:divBdr>
                <w:top w:val="none" w:sz="0" w:space="0" w:color="auto"/>
                <w:left w:val="none" w:sz="0" w:space="0" w:color="auto"/>
                <w:bottom w:val="none" w:sz="0" w:space="0" w:color="auto"/>
                <w:right w:val="none" w:sz="0" w:space="0" w:color="auto"/>
              </w:divBdr>
              <w:divsChild>
                <w:div w:id="713039378">
                  <w:marLeft w:val="0"/>
                  <w:marRight w:val="0"/>
                  <w:marTop w:val="0"/>
                  <w:marBottom w:val="0"/>
                  <w:divBdr>
                    <w:top w:val="none" w:sz="0" w:space="0" w:color="auto"/>
                    <w:left w:val="none" w:sz="0" w:space="0" w:color="auto"/>
                    <w:bottom w:val="none" w:sz="0" w:space="0" w:color="auto"/>
                    <w:right w:val="none" w:sz="0" w:space="0" w:color="auto"/>
                  </w:divBdr>
                  <w:divsChild>
                    <w:div w:id="174190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02891">
      <w:bodyDiv w:val="1"/>
      <w:marLeft w:val="0"/>
      <w:marRight w:val="0"/>
      <w:marTop w:val="0"/>
      <w:marBottom w:val="0"/>
      <w:divBdr>
        <w:top w:val="none" w:sz="0" w:space="0" w:color="auto"/>
        <w:left w:val="none" w:sz="0" w:space="0" w:color="auto"/>
        <w:bottom w:val="none" w:sz="0" w:space="0" w:color="auto"/>
        <w:right w:val="none" w:sz="0" w:space="0" w:color="auto"/>
      </w:divBdr>
      <w:divsChild>
        <w:div w:id="1619725805">
          <w:marLeft w:val="0"/>
          <w:marRight w:val="0"/>
          <w:marTop w:val="0"/>
          <w:marBottom w:val="0"/>
          <w:divBdr>
            <w:top w:val="none" w:sz="0" w:space="0" w:color="auto"/>
            <w:left w:val="none" w:sz="0" w:space="0" w:color="auto"/>
            <w:bottom w:val="none" w:sz="0" w:space="0" w:color="auto"/>
            <w:right w:val="none" w:sz="0" w:space="0" w:color="auto"/>
          </w:divBdr>
        </w:div>
      </w:divsChild>
    </w:div>
    <w:div w:id="1332367311">
      <w:bodyDiv w:val="1"/>
      <w:marLeft w:val="0"/>
      <w:marRight w:val="0"/>
      <w:marTop w:val="0"/>
      <w:marBottom w:val="0"/>
      <w:divBdr>
        <w:top w:val="none" w:sz="0" w:space="0" w:color="auto"/>
        <w:left w:val="none" w:sz="0" w:space="0" w:color="auto"/>
        <w:bottom w:val="none" w:sz="0" w:space="0" w:color="auto"/>
        <w:right w:val="none" w:sz="0" w:space="0" w:color="auto"/>
      </w:divBdr>
      <w:divsChild>
        <w:div w:id="300381434">
          <w:marLeft w:val="0"/>
          <w:marRight w:val="0"/>
          <w:marTop w:val="0"/>
          <w:marBottom w:val="0"/>
          <w:divBdr>
            <w:top w:val="none" w:sz="0" w:space="0" w:color="auto"/>
            <w:left w:val="none" w:sz="0" w:space="0" w:color="auto"/>
            <w:bottom w:val="none" w:sz="0" w:space="0" w:color="auto"/>
            <w:right w:val="none" w:sz="0" w:space="0" w:color="auto"/>
          </w:divBdr>
          <w:divsChild>
            <w:div w:id="862937686">
              <w:marLeft w:val="0"/>
              <w:marRight w:val="0"/>
              <w:marTop w:val="0"/>
              <w:marBottom w:val="0"/>
              <w:divBdr>
                <w:top w:val="none" w:sz="0" w:space="0" w:color="auto"/>
                <w:left w:val="none" w:sz="0" w:space="0" w:color="auto"/>
                <w:bottom w:val="none" w:sz="0" w:space="0" w:color="auto"/>
                <w:right w:val="none" w:sz="0" w:space="0" w:color="auto"/>
              </w:divBdr>
              <w:divsChild>
                <w:div w:id="9060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23612">
      <w:bodyDiv w:val="1"/>
      <w:marLeft w:val="0"/>
      <w:marRight w:val="0"/>
      <w:marTop w:val="0"/>
      <w:marBottom w:val="0"/>
      <w:divBdr>
        <w:top w:val="none" w:sz="0" w:space="0" w:color="auto"/>
        <w:left w:val="none" w:sz="0" w:space="0" w:color="auto"/>
        <w:bottom w:val="none" w:sz="0" w:space="0" w:color="auto"/>
        <w:right w:val="none" w:sz="0" w:space="0" w:color="auto"/>
      </w:divBdr>
      <w:divsChild>
        <w:div w:id="1469858479">
          <w:marLeft w:val="0"/>
          <w:marRight w:val="0"/>
          <w:marTop w:val="0"/>
          <w:marBottom w:val="0"/>
          <w:divBdr>
            <w:top w:val="none" w:sz="0" w:space="0" w:color="auto"/>
            <w:left w:val="none" w:sz="0" w:space="0" w:color="auto"/>
            <w:bottom w:val="none" w:sz="0" w:space="0" w:color="auto"/>
            <w:right w:val="none" w:sz="0" w:space="0" w:color="auto"/>
          </w:divBdr>
          <w:divsChild>
            <w:div w:id="315573275">
              <w:marLeft w:val="0"/>
              <w:marRight w:val="0"/>
              <w:marTop w:val="0"/>
              <w:marBottom w:val="0"/>
              <w:divBdr>
                <w:top w:val="none" w:sz="0" w:space="0" w:color="auto"/>
                <w:left w:val="none" w:sz="0" w:space="0" w:color="auto"/>
                <w:bottom w:val="none" w:sz="0" w:space="0" w:color="auto"/>
                <w:right w:val="none" w:sz="0" w:space="0" w:color="auto"/>
              </w:divBdr>
              <w:divsChild>
                <w:div w:id="1617757311">
                  <w:marLeft w:val="0"/>
                  <w:marRight w:val="0"/>
                  <w:marTop w:val="0"/>
                  <w:marBottom w:val="0"/>
                  <w:divBdr>
                    <w:top w:val="none" w:sz="0" w:space="0" w:color="auto"/>
                    <w:left w:val="none" w:sz="0" w:space="0" w:color="auto"/>
                    <w:bottom w:val="none" w:sz="0" w:space="0" w:color="auto"/>
                    <w:right w:val="none" w:sz="0" w:space="0" w:color="auto"/>
                  </w:divBdr>
                  <w:divsChild>
                    <w:div w:id="10674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365508">
      <w:bodyDiv w:val="1"/>
      <w:marLeft w:val="0"/>
      <w:marRight w:val="0"/>
      <w:marTop w:val="0"/>
      <w:marBottom w:val="0"/>
      <w:divBdr>
        <w:top w:val="none" w:sz="0" w:space="0" w:color="auto"/>
        <w:left w:val="none" w:sz="0" w:space="0" w:color="auto"/>
        <w:bottom w:val="none" w:sz="0" w:space="0" w:color="auto"/>
        <w:right w:val="none" w:sz="0" w:space="0" w:color="auto"/>
      </w:divBdr>
      <w:divsChild>
        <w:div w:id="3436621">
          <w:marLeft w:val="0"/>
          <w:marRight w:val="0"/>
          <w:marTop w:val="0"/>
          <w:marBottom w:val="0"/>
          <w:divBdr>
            <w:top w:val="none" w:sz="0" w:space="0" w:color="auto"/>
            <w:left w:val="none" w:sz="0" w:space="0" w:color="auto"/>
            <w:bottom w:val="none" w:sz="0" w:space="0" w:color="auto"/>
            <w:right w:val="none" w:sz="0" w:space="0" w:color="auto"/>
          </w:divBdr>
          <w:divsChild>
            <w:div w:id="595141724">
              <w:marLeft w:val="0"/>
              <w:marRight w:val="0"/>
              <w:marTop w:val="0"/>
              <w:marBottom w:val="0"/>
              <w:divBdr>
                <w:top w:val="none" w:sz="0" w:space="0" w:color="auto"/>
                <w:left w:val="none" w:sz="0" w:space="0" w:color="auto"/>
                <w:bottom w:val="none" w:sz="0" w:space="0" w:color="auto"/>
                <w:right w:val="none" w:sz="0" w:space="0" w:color="auto"/>
              </w:divBdr>
              <w:divsChild>
                <w:div w:id="6838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69707">
      <w:bodyDiv w:val="1"/>
      <w:marLeft w:val="0"/>
      <w:marRight w:val="0"/>
      <w:marTop w:val="0"/>
      <w:marBottom w:val="0"/>
      <w:divBdr>
        <w:top w:val="none" w:sz="0" w:space="0" w:color="auto"/>
        <w:left w:val="none" w:sz="0" w:space="0" w:color="auto"/>
        <w:bottom w:val="none" w:sz="0" w:space="0" w:color="auto"/>
        <w:right w:val="none" w:sz="0" w:space="0" w:color="auto"/>
      </w:divBdr>
      <w:divsChild>
        <w:div w:id="1245916318">
          <w:marLeft w:val="0"/>
          <w:marRight w:val="0"/>
          <w:marTop w:val="0"/>
          <w:marBottom w:val="0"/>
          <w:divBdr>
            <w:top w:val="none" w:sz="0" w:space="0" w:color="auto"/>
            <w:left w:val="none" w:sz="0" w:space="0" w:color="auto"/>
            <w:bottom w:val="none" w:sz="0" w:space="0" w:color="auto"/>
            <w:right w:val="none" w:sz="0" w:space="0" w:color="auto"/>
          </w:divBdr>
          <w:divsChild>
            <w:div w:id="524028620">
              <w:marLeft w:val="0"/>
              <w:marRight w:val="0"/>
              <w:marTop w:val="0"/>
              <w:marBottom w:val="0"/>
              <w:divBdr>
                <w:top w:val="none" w:sz="0" w:space="0" w:color="auto"/>
                <w:left w:val="none" w:sz="0" w:space="0" w:color="auto"/>
                <w:bottom w:val="none" w:sz="0" w:space="0" w:color="auto"/>
                <w:right w:val="none" w:sz="0" w:space="0" w:color="auto"/>
              </w:divBdr>
              <w:divsChild>
                <w:div w:id="2119568285">
                  <w:marLeft w:val="0"/>
                  <w:marRight w:val="0"/>
                  <w:marTop w:val="0"/>
                  <w:marBottom w:val="0"/>
                  <w:divBdr>
                    <w:top w:val="none" w:sz="0" w:space="0" w:color="auto"/>
                    <w:left w:val="none" w:sz="0" w:space="0" w:color="auto"/>
                    <w:bottom w:val="none" w:sz="0" w:space="0" w:color="auto"/>
                    <w:right w:val="none" w:sz="0" w:space="0" w:color="auto"/>
                  </w:divBdr>
                  <w:divsChild>
                    <w:div w:id="1084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976270">
      <w:bodyDiv w:val="1"/>
      <w:marLeft w:val="0"/>
      <w:marRight w:val="0"/>
      <w:marTop w:val="0"/>
      <w:marBottom w:val="0"/>
      <w:divBdr>
        <w:top w:val="none" w:sz="0" w:space="0" w:color="auto"/>
        <w:left w:val="none" w:sz="0" w:space="0" w:color="auto"/>
        <w:bottom w:val="none" w:sz="0" w:space="0" w:color="auto"/>
        <w:right w:val="none" w:sz="0" w:space="0" w:color="auto"/>
      </w:divBdr>
      <w:divsChild>
        <w:div w:id="1817455671">
          <w:marLeft w:val="0"/>
          <w:marRight w:val="0"/>
          <w:marTop w:val="0"/>
          <w:marBottom w:val="0"/>
          <w:divBdr>
            <w:top w:val="none" w:sz="0" w:space="0" w:color="auto"/>
            <w:left w:val="none" w:sz="0" w:space="0" w:color="auto"/>
            <w:bottom w:val="none" w:sz="0" w:space="0" w:color="auto"/>
            <w:right w:val="none" w:sz="0" w:space="0" w:color="auto"/>
          </w:divBdr>
          <w:divsChild>
            <w:div w:id="1100026387">
              <w:marLeft w:val="0"/>
              <w:marRight w:val="0"/>
              <w:marTop w:val="0"/>
              <w:marBottom w:val="0"/>
              <w:divBdr>
                <w:top w:val="none" w:sz="0" w:space="0" w:color="auto"/>
                <w:left w:val="none" w:sz="0" w:space="0" w:color="auto"/>
                <w:bottom w:val="none" w:sz="0" w:space="0" w:color="auto"/>
                <w:right w:val="none" w:sz="0" w:space="0" w:color="auto"/>
              </w:divBdr>
              <w:divsChild>
                <w:div w:id="566034864">
                  <w:marLeft w:val="0"/>
                  <w:marRight w:val="0"/>
                  <w:marTop w:val="0"/>
                  <w:marBottom w:val="0"/>
                  <w:divBdr>
                    <w:top w:val="none" w:sz="0" w:space="0" w:color="auto"/>
                    <w:left w:val="none" w:sz="0" w:space="0" w:color="auto"/>
                    <w:bottom w:val="none" w:sz="0" w:space="0" w:color="auto"/>
                    <w:right w:val="none" w:sz="0" w:space="0" w:color="auto"/>
                  </w:divBdr>
                  <w:divsChild>
                    <w:div w:id="9347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606696">
      <w:bodyDiv w:val="1"/>
      <w:marLeft w:val="0"/>
      <w:marRight w:val="0"/>
      <w:marTop w:val="0"/>
      <w:marBottom w:val="0"/>
      <w:divBdr>
        <w:top w:val="none" w:sz="0" w:space="0" w:color="auto"/>
        <w:left w:val="none" w:sz="0" w:space="0" w:color="auto"/>
        <w:bottom w:val="none" w:sz="0" w:space="0" w:color="auto"/>
        <w:right w:val="none" w:sz="0" w:space="0" w:color="auto"/>
      </w:divBdr>
      <w:divsChild>
        <w:div w:id="62144675">
          <w:marLeft w:val="0"/>
          <w:marRight w:val="0"/>
          <w:marTop w:val="0"/>
          <w:marBottom w:val="0"/>
          <w:divBdr>
            <w:top w:val="none" w:sz="0" w:space="0" w:color="auto"/>
            <w:left w:val="none" w:sz="0" w:space="0" w:color="auto"/>
            <w:bottom w:val="none" w:sz="0" w:space="0" w:color="auto"/>
            <w:right w:val="none" w:sz="0" w:space="0" w:color="auto"/>
          </w:divBdr>
          <w:divsChild>
            <w:div w:id="699009919">
              <w:marLeft w:val="0"/>
              <w:marRight w:val="0"/>
              <w:marTop w:val="0"/>
              <w:marBottom w:val="0"/>
              <w:divBdr>
                <w:top w:val="none" w:sz="0" w:space="0" w:color="auto"/>
                <w:left w:val="none" w:sz="0" w:space="0" w:color="auto"/>
                <w:bottom w:val="none" w:sz="0" w:space="0" w:color="auto"/>
                <w:right w:val="none" w:sz="0" w:space="0" w:color="auto"/>
              </w:divBdr>
              <w:divsChild>
                <w:div w:id="1141195858">
                  <w:marLeft w:val="0"/>
                  <w:marRight w:val="0"/>
                  <w:marTop w:val="0"/>
                  <w:marBottom w:val="0"/>
                  <w:divBdr>
                    <w:top w:val="none" w:sz="0" w:space="0" w:color="auto"/>
                    <w:left w:val="none" w:sz="0" w:space="0" w:color="auto"/>
                    <w:bottom w:val="none" w:sz="0" w:space="0" w:color="auto"/>
                    <w:right w:val="none" w:sz="0" w:space="0" w:color="auto"/>
                  </w:divBdr>
                  <w:divsChild>
                    <w:div w:id="17361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366150">
      <w:bodyDiv w:val="1"/>
      <w:marLeft w:val="0"/>
      <w:marRight w:val="0"/>
      <w:marTop w:val="0"/>
      <w:marBottom w:val="0"/>
      <w:divBdr>
        <w:top w:val="none" w:sz="0" w:space="0" w:color="auto"/>
        <w:left w:val="none" w:sz="0" w:space="0" w:color="auto"/>
        <w:bottom w:val="none" w:sz="0" w:space="0" w:color="auto"/>
        <w:right w:val="none" w:sz="0" w:space="0" w:color="auto"/>
      </w:divBdr>
      <w:divsChild>
        <w:div w:id="425421223">
          <w:marLeft w:val="0"/>
          <w:marRight w:val="0"/>
          <w:marTop w:val="0"/>
          <w:marBottom w:val="0"/>
          <w:divBdr>
            <w:top w:val="none" w:sz="0" w:space="0" w:color="auto"/>
            <w:left w:val="none" w:sz="0" w:space="0" w:color="auto"/>
            <w:bottom w:val="none" w:sz="0" w:space="0" w:color="auto"/>
            <w:right w:val="none" w:sz="0" w:space="0" w:color="auto"/>
          </w:divBdr>
        </w:div>
      </w:divsChild>
    </w:div>
    <w:div w:id="1574702027">
      <w:bodyDiv w:val="1"/>
      <w:marLeft w:val="0"/>
      <w:marRight w:val="0"/>
      <w:marTop w:val="0"/>
      <w:marBottom w:val="0"/>
      <w:divBdr>
        <w:top w:val="none" w:sz="0" w:space="0" w:color="auto"/>
        <w:left w:val="none" w:sz="0" w:space="0" w:color="auto"/>
        <w:bottom w:val="none" w:sz="0" w:space="0" w:color="auto"/>
        <w:right w:val="none" w:sz="0" w:space="0" w:color="auto"/>
      </w:divBdr>
      <w:divsChild>
        <w:div w:id="1778985722">
          <w:marLeft w:val="0"/>
          <w:marRight w:val="0"/>
          <w:marTop w:val="0"/>
          <w:marBottom w:val="0"/>
          <w:divBdr>
            <w:top w:val="none" w:sz="0" w:space="0" w:color="auto"/>
            <w:left w:val="none" w:sz="0" w:space="0" w:color="auto"/>
            <w:bottom w:val="none" w:sz="0" w:space="0" w:color="auto"/>
            <w:right w:val="none" w:sz="0" w:space="0" w:color="auto"/>
          </w:divBdr>
          <w:divsChild>
            <w:div w:id="1485197454">
              <w:marLeft w:val="0"/>
              <w:marRight w:val="0"/>
              <w:marTop w:val="0"/>
              <w:marBottom w:val="0"/>
              <w:divBdr>
                <w:top w:val="none" w:sz="0" w:space="0" w:color="auto"/>
                <w:left w:val="none" w:sz="0" w:space="0" w:color="auto"/>
                <w:bottom w:val="none" w:sz="0" w:space="0" w:color="auto"/>
                <w:right w:val="none" w:sz="0" w:space="0" w:color="auto"/>
              </w:divBdr>
              <w:divsChild>
                <w:div w:id="1511486342">
                  <w:marLeft w:val="0"/>
                  <w:marRight w:val="0"/>
                  <w:marTop w:val="0"/>
                  <w:marBottom w:val="0"/>
                  <w:divBdr>
                    <w:top w:val="none" w:sz="0" w:space="0" w:color="auto"/>
                    <w:left w:val="none" w:sz="0" w:space="0" w:color="auto"/>
                    <w:bottom w:val="none" w:sz="0" w:space="0" w:color="auto"/>
                    <w:right w:val="none" w:sz="0" w:space="0" w:color="auto"/>
                  </w:divBdr>
                  <w:divsChild>
                    <w:div w:id="1769693053">
                      <w:marLeft w:val="0"/>
                      <w:marRight w:val="0"/>
                      <w:marTop w:val="0"/>
                      <w:marBottom w:val="0"/>
                      <w:divBdr>
                        <w:top w:val="none" w:sz="0" w:space="0" w:color="auto"/>
                        <w:left w:val="none" w:sz="0" w:space="0" w:color="auto"/>
                        <w:bottom w:val="none" w:sz="0" w:space="0" w:color="auto"/>
                        <w:right w:val="none" w:sz="0" w:space="0" w:color="auto"/>
                      </w:divBdr>
                    </w:div>
                    <w:div w:id="1382705757">
                      <w:marLeft w:val="0"/>
                      <w:marRight w:val="0"/>
                      <w:marTop w:val="0"/>
                      <w:marBottom w:val="0"/>
                      <w:divBdr>
                        <w:top w:val="none" w:sz="0" w:space="0" w:color="auto"/>
                        <w:left w:val="none" w:sz="0" w:space="0" w:color="auto"/>
                        <w:bottom w:val="none" w:sz="0" w:space="0" w:color="auto"/>
                        <w:right w:val="none" w:sz="0" w:space="0" w:color="auto"/>
                      </w:divBdr>
                    </w:div>
                    <w:div w:id="210506692">
                      <w:marLeft w:val="0"/>
                      <w:marRight w:val="0"/>
                      <w:marTop w:val="0"/>
                      <w:marBottom w:val="0"/>
                      <w:divBdr>
                        <w:top w:val="none" w:sz="0" w:space="0" w:color="auto"/>
                        <w:left w:val="none" w:sz="0" w:space="0" w:color="auto"/>
                        <w:bottom w:val="none" w:sz="0" w:space="0" w:color="auto"/>
                        <w:right w:val="none" w:sz="0" w:space="0" w:color="auto"/>
                      </w:divBdr>
                    </w:div>
                  </w:divsChild>
                </w:div>
                <w:div w:id="1989166339">
                  <w:marLeft w:val="0"/>
                  <w:marRight w:val="0"/>
                  <w:marTop w:val="0"/>
                  <w:marBottom w:val="0"/>
                  <w:divBdr>
                    <w:top w:val="none" w:sz="0" w:space="0" w:color="auto"/>
                    <w:left w:val="none" w:sz="0" w:space="0" w:color="auto"/>
                    <w:bottom w:val="none" w:sz="0" w:space="0" w:color="auto"/>
                    <w:right w:val="none" w:sz="0" w:space="0" w:color="auto"/>
                  </w:divBdr>
                  <w:divsChild>
                    <w:div w:id="162017246">
                      <w:marLeft w:val="0"/>
                      <w:marRight w:val="0"/>
                      <w:marTop w:val="0"/>
                      <w:marBottom w:val="0"/>
                      <w:divBdr>
                        <w:top w:val="none" w:sz="0" w:space="0" w:color="auto"/>
                        <w:left w:val="none" w:sz="0" w:space="0" w:color="auto"/>
                        <w:bottom w:val="none" w:sz="0" w:space="0" w:color="auto"/>
                        <w:right w:val="none" w:sz="0" w:space="0" w:color="auto"/>
                      </w:divBdr>
                    </w:div>
                  </w:divsChild>
                </w:div>
                <w:div w:id="550993803">
                  <w:marLeft w:val="0"/>
                  <w:marRight w:val="0"/>
                  <w:marTop w:val="0"/>
                  <w:marBottom w:val="0"/>
                  <w:divBdr>
                    <w:top w:val="none" w:sz="0" w:space="0" w:color="auto"/>
                    <w:left w:val="none" w:sz="0" w:space="0" w:color="auto"/>
                    <w:bottom w:val="none" w:sz="0" w:space="0" w:color="auto"/>
                    <w:right w:val="none" w:sz="0" w:space="0" w:color="auto"/>
                  </w:divBdr>
                  <w:divsChild>
                    <w:div w:id="345400675">
                      <w:marLeft w:val="0"/>
                      <w:marRight w:val="0"/>
                      <w:marTop w:val="0"/>
                      <w:marBottom w:val="0"/>
                      <w:divBdr>
                        <w:top w:val="none" w:sz="0" w:space="0" w:color="auto"/>
                        <w:left w:val="none" w:sz="0" w:space="0" w:color="auto"/>
                        <w:bottom w:val="none" w:sz="0" w:space="0" w:color="auto"/>
                        <w:right w:val="none" w:sz="0" w:space="0" w:color="auto"/>
                      </w:divBdr>
                    </w:div>
                  </w:divsChild>
                </w:div>
                <w:div w:id="104273614">
                  <w:marLeft w:val="0"/>
                  <w:marRight w:val="0"/>
                  <w:marTop w:val="0"/>
                  <w:marBottom w:val="0"/>
                  <w:divBdr>
                    <w:top w:val="none" w:sz="0" w:space="0" w:color="auto"/>
                    <w:left w:val="none" w:sz="0" w:space="0" w:color="auto"/>
                    <w:bottom w:val="none" w:sz="0" w:space="0" w:color="auto"/>
                    <w:right w:val="none" w:sz="0" w:space="0" w:color="auto"/>
                  </w:divBdr>
                  <w:divsChild>
                    <w:div w:id="684482450">
                      <w:marLeft w:val="0"/>
                      <w:marRight w:val="0"/>
                      <w:marTop w:val="0"/>
                      <w:marBottom w:val="0"/>
                      <w:divBdr>
                        <w:top w:val="none" w:sz="0" w:space="0" w:color="auto"/>
                        <w:left w:val="none" w:sz="0" w:space="0" w:color="auto"/>
                        <w:bottom w:val="none" w:sz="0" w:space="0" w:color="auto"/>
                        <w:right w:val="none" w:sz="0" w:space="0" w:color="auto"/>
                      </w:divBdr>
                    </w:div>
                  </w:divsChild>
                </w:div>
                <w:div w:id="1504390806">
                  <w:marLeft w:val="0"/>
                  <w:marRight w:val="0"/>
                  <w:marTop w:val="0"/>
                  <w:marBottom w:val="0"/>
                  <w:divBdr>
                    <w:top w:val="none" w:sz="0" w:space="0" w:color="auto"/>
                    <w:left w:val="none" w:sz="0" w:space="0" w:color="auto"/>
                    <w:bottom w:val="none" w:sz="0" w:space="0" w:color="auto"/>
                    <w:right w:val="none" w:sz="0" w:space="0" w:color="auto"/>
                  </w:divBdr>
                  <w:divsChild>
                    <w:div w:id="2100635279">
                      <w:marLeft w:val="0"/>
                      <w:marRight w:val="0"/>
                      <w:marTop w:val="0"/>
                      <w:marBottom w:val="0"/>
                      <w:divBdr>
                        <w:top w:val="none" w:sz="0" w:space="0" w:color="auto"/>
                        <w:left w:val="none" w:sz="0" w:space="0" w:color="auto"/>
                        <w:bottom w:val="none" w:sz="0" w:space="0" w:color="auto"/>
                        <w:right w:val="none" w:sz="0" w:space="0" w:color="auto"/>
                      </w:divBdr>
                    </w:div>
                  </w:divsChild>
                </w:div>
                <w:div w:id="368070699">
                  <w:marLeft w:val="0"/>
                  <w:marRight w:val="0"/>
                  <w:marTop w:val="0"/>
                  <w:marBottom w:val="0"/>
                  <w:divBdr>
                    <w:top w:val="none" w:sz="0" w:space="0" w:color="auto"/>
                    <w:left w:val="none" w:sz="0" w:space="0" w:color="auto"/>
                    <w:bottom w:val="none" w:sz="0" w:space="0" w:color="auto"/>
                    <w:right w:val="none" w:sz="0" w:space="0" w:color="auto"/>
                  </w:divBdr>
                  <w:divsChild>
                    <w:div w:id="1196388280">
                      <w:marLeft w:val="0"/>
                      <w:marRight w:val="0"/>
                      <w:marTop w:val="0"/>
                      <w:marBottom w:val="0"/>
                      <w:divBdr>
                        <w:top w:val="none" w:sz="0" w:space="0" w:color="auto"/>
                        <w:left w:val="none" w:sz="0" w:space="0" w:color="auto"/>
                        <w:bottom w:val="none" w:sz="0" w:space="0" w:color="auto"/>
                        <w:right w:val="none" w:sz="0" w:space="0" w:color="auto"/>
                      </w:divBdr>
                    </w:div>
                  </w:divsChild>
                </w:div>
                <w:div w:id="170605063">
                  <w:marLeft w:val="0"/>
                  <w:marRight w:val="0"/>
                  <w:marTop w:val="0"/>
                  <w:marBottom w:val="0"/>
                  <w:divBdr>
                    <w:top w:val="none" w:sz="0" w:space="0" w:color="auto"/>
                    <w:left w:val="none" w:sz="0" w:space="0" w:color="auto"/>
                    <w:bottom w:val="none" w:sz="0" w:space="0" w:color="auto"/>
                    <w:right w:val="none" w:sz="0" w:space="0" w:color="auto"/>
                  </w:divBdr>
                  <w:divsChild>
                    <w:div w:id="722215675">
                      <w:marLeft w:val="0"/>
                      <w:marRight w:val="0"/>
                      <w:marTop w:val="0"/>
                      <w:marBottom w:val="0"/>
                      <w:divBdr>
                        <w:top w:val="none" w:sz="0" w:space="0" w:color="auto"/>
                        <w:left w:val="none" w:sz="0" w:space="0" w:color="auto"/>
                        <w:bottom w:val="none" w:sz="0" w:space="0" w:color="auto"/>
                        <w:right w:val="none" w:sz="0" w:space="0" w:color="auto"/>
                      </w:divBdr>
                    </w:div>
                  </w:divsChild>
                </w:div>
                <w:div w:id="243491714">
                  <w:marLeft w:val="0"/>
                  <w:marRight w:val="0"/>
                  <w:marTop w:val="0"/>
                  <w:marBottom w:val="0"/>
                  <w:divBdr>
                    <w:top w:val="none" w:sz="0" w:space="0" w:color="auto"/>
                    <w:left w:val="none" w:sz="0" w:space="0" w:color="auto"/>
                    <w:bottom w:val="none" w:sz="0" w:space="0" w:color="auto"/>
                    <w:right w:val="none" w:sz="0" w:space="0" w:color="auto"/>
                  </w:divBdr>
                  <w:divsChild>
                    <w:div w:id="430590024">
                      <w:marLeft w:val="0"/>
                      <w:marRight w:val="0"/>
                      <w:marTop w:val="0"/>
                      <w:marBottom w:val="0"/>
                      <w:divBdr>
                        <w:top w:val="none" w:sz="0" w:space="0" w:color="auto"/>
                        <w:left w:val="none" w:sz="0" w:space="0" w:color="auto"/>
                        <w:bottom w:val="none" w:sz="0" w:space="0" w:color="auto"/>
                        <w:right w:val="none" w:sz="0" w:space="0" w:color="auto"/>
                      </w:divBdr>
                    </w:div>
                  </w:divsChild>
                </w:div>
                <w:div w:id="1203204525">
                  <w:marLeft w:val="0"/>
                  <w:marRight w:val="0"/>
                  <w:marTop w:val="0"/>
                  <w:marBottom w:val="0"/>
                  <w:divBdr>
                    <w:top w:val="none" w:sz="0" w:space="0" w:color="auto"/>
                    <w:left w:val="none" w:sz="0" w:space="0" w:color="auto"/>
                    <w:bottom w:val="none" w:sz="0" w:space="0" w:color="auto"/>
                    <w:right w:val="none" w:sz="0" w:space="0" w:color="auto"/>
                  </w:divBdr>
                  <w:divsChild>
                    <w:div w:id="140117001">
                      <w:marLeft w:val="0"/>
                      <w:marRight w:val="0"/>
                      <w:marTop w:val="0"/>
                      <w:marBottom w:val="0"/>
                      <w:divBdr>
                        <w:top w:val="none" w:sz="0" w:space="0" w:color="auto"/>
                        <w:left w:val="none" w:sz="0" w:space="0" w:color="auto"/>
                        <w:bottom w:val="none" w:sz="0" w:space="0" w:color="auto"/>
                        <w:right w:val="none" w:sz="0" w:space="0" w:color="auto"/>
                      </w:divBdr>
                    </w:div>
                  </w:divsChild>
                </w:div>
                <w:div w:id="1726834167">
                  <w:marLeft w:val="0"/>
                  <w:marRight w:val="0"/>
                  <w:marTop w:val="0"/>
                  <w:marBottom w:val="0"/>
                  <w:divBdr>
                    <w:top w:val="none" w:sz="0" w:space="0" w:color="auto"/>
                    <w:left w:val="none" w:sz="0" w:space="0" w:color="auto"/>
                    <w:bottom w:val="none" w:sz="0" w:space="0" w:color="auto"/>
                    <w:right w:val="none" w:sz="0" w:space="0" w:color="auto"/>
                  </w:divBdr>
                  <w:divsChild>
                    <w:div w:id="411435808">
                      <w:marLeft w:val="0"/>
                      <w:marRight w:val="0"/>
                      <w:marTop w:val="0"/>
                      <w:marBottom w:val="0"/>
                      <w:divBdr>
                        <w:top w:val="none" w:sz="0" w:space="0" w:color="auto"/>
                        <w:left w:val="none" w:sz="0" w:space="0" w:color="auto"/>
                        <w:bottom w:val="none" w:sz="0" w:space="0" w:color="auto"/>
                        <w:right w:val="none" w:sz="0" w:space="0" w:color="auto"/>
                      </w:divBdr>
                    </w:div>
                  </w:divsChild>
                </w:div>
                <w:div w:id="54934765">
                  <w:marLeft w:val="0"/>
                  <w:marRight w:val="0"/>
                  <w:marTop w:val="0"/>
                  <w:marBottom w:val="0"/>
                  <w:divBdr>
                    <w:top w:val="none" w:sz="0" w:space="0" w:color="auto"/>
                    <w:left w:val="none" w:sz="0" w:space="0" w:color="auto"/>
                    <w:bottom w:val="none" w:sz="0" w:space="0" w:color="auto"/>
                    <w:right w:val="none" w:sz="0" w:space="0" w:color="auto"/>
                  </w:divBdr>
                  <w:divsChild>
                    <w:div w:id="975985590">
                      <w:marLeft w:val="0"/>
                      <w:marRight w:val="0"/>
                      <w:marTop w:val="0"/>
                      <w:marBottom w:val="0"/>
                      <w:divBdr>
                        <w:top w:val="none" w:sz="0" w:space="0" w:color="auto"/>
                        <w:left w:val="none" w:sz="0" w:space="0" w:color="auto"/>
                        <w:bottom w:val="none" w:sz="0" w:space="0" w:color="auto"/>
                        <w:right w:val="none" w:sz="0" w:space="0" w:color="auto"/>
                      </w:divBdr>
                    </w:div>
                  </w:divsChild>
                </w:div>
                <w:div w:id="1355302653">
                  <w:marLeft w:val="0"/>
                  <w:marRight w:val="0"/>
                  <w:marTop w:val="0"/>
                  <w:marBottom w:val="0"/>
                  <w:divBdr>
                    <w:top w:val="none" w:sz="0" w:space="0" w:color="auto"/>
                    <w:left w:val="none" w:sz="0" w:space="0" w:color="auto"/>
                    <w:bottom w:val="none" w:sz="0" w:space="0" w:color="auto"/>
                    <w:right w:val="none" w:sz="0" w:space="0" w:color="auto"/>
                  </w:divBdr>
                  <w:divsChild>
                    <w:div w:id="1662418595">
                      <w:marLeft w:val="0"/>
                      <w:marRight w:val="0"/>
                      <w:marTop w:val="0"/>
                      <w:marBottom w:val="0"/>
                      <w:divBdr>
                        <w:top w:val="none" w:sz="0" w:space="0" w:color="auto"/>
                        <w:left w:val="none" w:sz="0" w:space="0" w:color="auto"/>
                        <w:bottom w:val="none" w:sz="0" w:space="0" w:color="auto"/>
                        <w:right w:val="none" w:sz="0" w:space="0" w:color="auto"/>
                      </w:divBdr>
                    </w:div>
                  </w:divsChild>
                </w:div>
                <w:div w:id="176816917">
                  <w:marLeft w:val="0"/>
                  <w:marRight w:val="0"/>
                  <w:marTop w:val="0"/>
                  <w:marBottom w:val="0"/>
                  <w:divBdr>
                    <w:top w:val="none" w:sz="0" w:space="0" w:color="auto"/>
                    <w:left w:val="none" w:sz="0" w:space="0" w:color="auto"/>
                    <w:bottom w:val="none" w:sz="0" w:space="0" w:color="auto"/>
                    <w:right w:val="none" w:sz="0" w:space="0" w:color="auto"/>
                  </w:divBdr>
                  <w:divsChild>
                    <w:div w:id="1758019745">
                      <w:marLeft w:val="0"/>
                      <w:marRight w:val="0"/>
                      <w:marTop w:val="0"/>
                      <w:marBottom w:val="0"/>
                      <w:divBdr>
                        <w:top w:val="none" w:sz="0" w:space="0" w:color="auto"/>
                        <w:left w:val="none" w:sz="0" w:space="0" w:color="auto"/>
                        <w:bottom w:val="none" w:sz="0" w:space="0" w:color="auto"/>
                        <w:right w:val="none" w:sz="0" w:space="0" w:color="auto"/>
                      </w:divBdr>
                    </w:div>
                  </w:divsChild>
                </w:div>
                <w:div w:id="1355570944">
                  <w:marLeft w:val="0"/>
                  <w:marRight w:val="0"/>
                  <w:marTop w:val="0"/>
                  <w:marBottom w:val="0"/>
                  <w:divBdr>
                    <w:top w:val="none" w:sz="0" w:space="0" w:color="auto"/>
                    <w:left w:val="none" w:sz="0" w:space="0" w:color="auto"/>
                    <w:bottom w:val="none" w:sz="0" w:space="0" w:color="auto"/>
                    <w:right w:val="none" w:sz="0" w:space="0" w:color="auto"/>
                  </w:divBdr>
                  <w:divsChild>
                    <w:div w:id="1440292855">
                      <w:marLeft w:val="0"/>
                      <w:marRight w:val="0"/>
                      <w:marTop w:val="0"/>
                      <w:marBottom w:val="0"/>
                      <w:divBdr>
                        <w:top w:val="none" w:sz="0" w:space="0" w:color="auto"/>
                        <w:left w:val="none" w:sz="0" w:space="0" w:color="auto"/>
                        <w:bottom w:val="none" w:sz="0" w:space="0" w:color="auto"/>
                        <w:right w:val="none" w:sz="0" w:space="0" w:color="auto"/>
                      </w:divBdr>
                    </w:div>
                  </w:divsChild>
                </w:div>
                <w:div w:id="1089305621">
                  <w:marLeft w:val="0"/>
                  <w:marRight w:val="0"/>
                  <w:marTop w:val="0"/>
                  <w:marBottom w:val="0"/>
                  <w:divBdr>
                    <w:top w:val="none" w:sz="0" w:space="0" w:color="auto"/>
                    <w:left w:val="none" w:sz="0" w:space="0" w:color="auto"/>
                    <w:bottom w:val="none" w:sz="0" w:space="0" w:color="auto"/>
                    <w:right w:val="none" w:sz="0" w:space="0" w:color="auto"/>
                  </w:divBdr>
                  <w:divsChild>
                    <w:div w:id="885726302">
                      <w:marLeft w:val="0"/>
                      <w:marRight w:val="0"/>
                      <w:marTop w:val="0"/>
                      <w:marBottom w:val="0"/>
                      <w:divBdr>
                        <w:top w:val="none" w:sz="0" w:space="0" w:color="auto"/>
                        <w:left w:val="none" w:sz="0" w:space="0" w:color="auto"/>
                        <w:bottom w:val="none" w:sz="0" w:space="0" w:color="auto"/>
                        <w:right w:val="none" w:sz="0" w:space="0" w:color="auto"/>
                      </w:divBdr>
                    </w:div>
                  </w:divsChild>
                </w:div>
                <w:div w:id="1389456835">
                  <w:marLeft w:val="0"/>
                  <w:marRight w:val="0"/>
                  <w:marTop w:val="0"/>
                  <w:marBottom w:val="0"/>
                  <w:divBdr>
                    <w:top w:val="none" w:sz="0" w:space="0" w:color="auto"/>
                    <w:left w:val="none" w:sz="0" w:space="0" w:color="auto"/>
                    <w:bottom w:val="none" w:sz="0" w:space="0" w:color="auto"/>
                    <w:right w:val="none" w:sz="0" w:space="0" w:color="auto"/>
                  </w:divBdr>
                  <w:divsChild>
                    <w:div w:id="1569725214">
                      <w:marLeft w:val="0"/>
                      <w:marRight w:val="0"/>
                      <w:marTop w:val="0"/>
                      <w:marBottom w:val="0"/>
                      <w:divBdr>
                        <w:top w:val="none" w:sz="0" w:space="0" w:color="auto"/>
                        <w:left w:val="none" w:sz="0" w:space="0" w:color="auto"/>
                        <w:bottom w:val="none" w:sz="0" w:space="0" w:color="auto"/>
                        <w:right w:val="none" w:sz="0" w:space="0" w:color="auto"/>
                      </w:divBdr>
                    </w:div>
                  </w:divsChild>
                </w:div>
                <w:div w:id="588975600">
                  <w:marLeft w:val="0"/>
                  <w:marRight w:val="0"/>
                  <w:marTop w:val="0"/>
                  <w:marBottom w:val="0"/>
                  <w:divBdr>
                    <w:top w:val="none" w:sz="0" w:space="0" w:color="auto"/>
                    <w:left w:val="none" w:sz="0" w:space="0" w:color="auto"/>
                    <w:bottom w:val="none" w:sz="0" w:space="0" w:color="auto"/>
                    <w:right w:val="none" w:sz="0" w:space="0" w:color="auto"/>
                  </w:divBdr>
                  <w:divsChild>
                    <w:div w:id="1337532693">
                      <w:marLeft w:val="0"/>
                      <w:marRight w:val="0"/>
                      <w:marTop w:val="0"/>
                      <w:marBottom w:val="0"/>
                      <w:divBdr>
                        <w:top w:val="none" w:sz="0" w:space="0" w:color="auto"/>
                        <w:left w:val="none" w:sz="0" w:space="0" w:color="auto"/>
                        <w:bottom w:val="none" w:sz="0" w:space="0" w:color="auto"/>
                        <w:right w:val="none" w:sz="0" w:space="0" w:color="auto"/>
                      </w:divBdr>
                    </w:div>
                  </w:divsChild>
                </w:div>
                <w:div w:id="330376100">
                  <w:marLeft w:val="0"/>
                  <w:marRight w:val="0"/>
                  <w:marTop w:val="0"/>
                  <w:marBottom w:val="0"/>
                  <w:divBdr>
                    <w:top w:val="none" w:sz="0" w:space="0" w:color="auto"/>
                    <w:left w:val="none" w:sz="0" w:space="0" w:color="auto"/>
                    <w:bottom w:val="none" w:sz="0" w:space="0" w:color="auto"/>
                    <w:right w:val="none" w:sz="0" w:space="0" w:color="auto"/>
                  </w:divBdr>
                  <w:divsChild>
                    <w:div w:id="1275745400">
                      <w:marLeft w:val="0"/>
                      <w:marRight w:val="0"/>
                      <w:marTop w:val="0"/>
                      <w:marBottom w:val="0"/>
                      <w:divBdr>
                        <w:top w:val="none" w:sz="0" w:space="0" w:color="auto"/>
                        <w:left w:val="none" w:sz="0" w:space="0" w:color="auto"/>
                        <w:bottom w:val="none" w:sz="0" w:space="0" w:color="auto"/>
                        <w:right w:val="none" w:sz="0" w:space="0" w:color="auto"/>
                      </w:divBdr>
                    </w:div>
                  </w:divsChild>
                </w:div>
                <w:div w:id="979074967">
                  <w:marLeft w:val="0"/>
                  <w:marRight w:val="0"/>
                  <w:marTop w:val="0"/>
                  <w:marBottom w:val="0"/>
                  <w:divBdr>
                    <w:top w:val="none" w:sz="0" w:space="0" w:color="auto"/>
                    <w:left w:val="none" w:sz="0" w:space="0" w:color="auto"/>
                    <w:bottom w:val="none" w:sz="0" w:space="0" w:color="auto"/>
                    <w:right w:val="none" w:sz="0" w:space="0" w:color="auto"/>
                  </w:divBdr>
                  <w:divsChild>
                    <w:div w:id="1564563650">
                      <w:marLeft w:val="0"/>
                      <w:marRight w:val="0"/>
                      <w:marTop w:val="0"/>
                      <w:marBottom w:val="0"/>
                      <w:divBdr>
                        <w:top w:val="none" w:sz="0" w:space="0" w:color="auto"/>
                        <w:left w:val="none" w:sz="0" w:space="0" w:color="auto"/>
                        <w:bottom w:val="none" w:sz="0" w:space="0" w:color="auto"/>
                        <w:right w:val="none" w:sz="0" w:space="0" w:color="auto"/>
                      </w:divBdr>
                    </w:div>
                  </w:divsChild>
                </w:div>
                <w:div w:id="165288521">
                  <w:marLeft w:val="0"/>
                  <w:marRight w:val="0"/>
                  <w:marTop w:val="0"/>
                  <w:marBottom w:val="0"/>
                  <w:divBdr>
                    <w:top w:val="none" w:sz="0" w:space="0" w:color="auto"/>
                    <w:left w:val="none" w:sz="0" w:space="0" w:color="auto"/>
                    <w:bottom w:val="none" w:sz="0" w:space="0" w:color="auto"/>
                    <w:right w:val="none" w:sz="0" w:space="0" w:color="auto"/>
                  </w:divBdr>
                  <w:divsChild>
                    <w:div w:id="1487896038">
                      <w:marLeft w:val="0"/>
                      <w:marRight w:val="0"/>
                      <w:marTop w:val="0"/>
                      <w:marBottom w:val="0"/>
                      <w:divBdr>
                        <w:top w:val="none" w:sz="0" w:space="0" w:color="auto"/>
                        <w:left w:val="none" w:sz="0" w:space="0" w:color="auto"/>
                        <w:bottom w:val="none" w:sz="0" w:space="0" w:color="auto"/>
                        <w:right w:val="none" w:sz="0" w:space="0" w:color="auto"/>
                      </w:divBdr>
                    </w:div>
                  </w:divsChild>
                </w:div>
                <w:div w:id="2079354898">
                  <w:marLeft w:val="0"/>
                  <w:marRight w:val="0"/>
                  <w:marTop w:val="0"/>
                  <w:marBottom w:val="0"/>
                  <w:divBdr>
                    <w:top w:val="none" w:sz="0" w:space="0" w:color="auto"/>
                    <w:left w:val="none" w:sz="0" w:space="0" w:color="auto"/>
                    <w:bottom w:val="none" w:sz="0" w:space="0" w:color="auto"/>
                    <w:right w:val="none" w:sz="0" w:space="0" w:color="auto"/>
                  </w:divBdr>
                  <w:divsChild>
                    <w:div w:id="1773086392">
                      <w:marLeft w:val="0"/>
                      <w:marRight w:val="0"/>
                      <w:marTop w:val="0"/>
                      <w:marBottom w:val="0"/>
                      <w:divBdr>
                        <w:top w:val="none" w:sz="0" w:space="0" w:color="auto"/>
                        <w:left w:val="none" w:sz="0" w:space="0" w:color="auto"/>
                        <w:bottom w:val="none" w:sz="0" w:space="0" w:color="auto"/>
                        <w:right w:val="none" w:sz="0" w:space="0" w:color="auto"/>
                      </w:divBdr>
                    </w:div>
                  </w:divsChild>
                </w:div>
                <w:div w:id="1505436472">
                  <w:marLeft w:val="0"/>
                  <w:marRight w:val="0"/>
                  <w:marTop w:val="0"/>
                  <w:marBottom w:val="0"/>
                  <w:divBdr>
                    <w:top w:val="none" w:sz="0" w:space="0" w:color="auto"/>
                    <w:left w:val="none" w:sz="0" w:space="0" w:color="auto"/>
                    <w:bottom w:val="none" w:sz="0" w:space="0" w:color="auto"/>
                    <w:right w:val="none" w:sz="0" w:space="0" w:color="auto"/>
                  </w:divBdr>
                  <w:divsChild>
                    <w:div w:id="374548378">
                      <w:marLeft w:val="0"/>
                      <w:marRight w:val="0"/>
                      <w:marTop w:val="0"/>
                      <w:marBottom w:val="0"/>
                      <w:divBdr>
                        <w:top w:val="none" w:sz="0" w:space="0" w:color="auto"/>
                        <w:left w:val="none" w:sz="0" w:space="0" w:color="auto"/>
                        <w:bottom w:val="none" w:sz="0" w:space="0" w:color="auto"/>
                        <w:right w:val="none" w:sz="0" w:space="0" w:color="auto"/>
                      </w:divBdr>
                    </w:div>
                  </w:divsChild>
                </w:div>
                <w:div w:id="1415475799">
                  <w:marLeft w:val="0"/>
                  <w:marRight w:val="0"/>
                  <w:marTop w:val="0"/>
                  <w:marBottom w:val="0"/>
                  <w:divBdr>
                    <w:top w:val="none" w:sz="0" w:space="0" w:color="auto"/>
                    <w:left w:val="none" w:sz="0" w:space="0" w:color="auto"/>
                    <w:bottom w:val="none" w:sz="0" w:space="0" w:color="auto"/>
                    <w:right w:val="none" w:sz="0" w:space="0" w:color="auto"/>
                  </w:divBdr>
                  <w:divsChild>
                    <w:div w:id="626198901">
                      <w:marLeft w:val="0"/>
                      <w:marRight w:val="0"/>
                      <w:marTop w:val="0"/>
                      <w:marBottom w:val="0"/>
                      <w:divBdr>
                        <w:top w:val="none" w:sz="0" w:space="0" w:color="auto"/>
                        <w:left w:val="none" w:sz="0" w:space="0" w:color="auto"/>
                        <w:bottom w:val="none" w:sz="0" w:space="0" w:color="auto"/>
                        <w:right w:val="none" w:sz="0" w:space="0" w:color="auto"/>
                      </w:divBdr>
                    </w:div>
                  </w:divsChild>
                </w:div>
                <w:div w:id="1167598405">
                  <w:marLeft w:val="0"/>
                  <w:marRight w:val="0"/>
                  <w:marTop w:val="0"/>
                  <w:marBottom w:val="0"/>
                  <w:divBdr>
                    <w:top w:val="none" w:sz="0" w:space="0" w:color="auto"/>
                    <w:left w:val="none" w:sz="0" w:space="0" w:color="auto"/>
                    <w:bottom w:val="none" w:sz="0" w:space="0" w:color="auto"/>
                    <w:right w:val="none" w:sz="0" w:space="0" w:color="auto"/>
                  </w:divBdr>
                  <w:divsChild>
                    <w:div w:id="442697407">
                      <w:marLeft w:val="0"/>
                      <w:marRight w:val="0"/>
                      <w:marTop w:val="0"/>
                      <w:marBottom w:val="0"/>
                      <w:divBdr>
                        <w:top w:val="none" w:sz="0" w:space="0" w:color="auto"/>
                        <w:left w:val="none" w:sz="0" w:space="0" w:color="auto"/>
                        <w:bottom w:val="none" w:sz="0" w:space="0" w:color="auto"/>
                        <w:right w:val="none" w:sz="0" w:space="0" w:color="auto"/>
                      </w:divBdr>
                    </w:div>
                  </w:divsChild>
                </w:div>
                <w:div w:id="1524978310">
                  <w:marLeft w:val="0"/>
                  <w:marRight w:val="0"/>
                  <w:marTop w:val="0"/>
                  <w:marBottom w:val="0"/>
                  <w:divBdr>
                    <w:top w:val="none" w:sz="0" w:space="0" w:color="auto"/>
                    <w:left w:val="none" w:sz="0" w:space="0" w:color="auto"/>
                    <w:bottom w:val="none" w:sz="0" w:space="0" w:color="auto"/>
                    <w:right w:val="none" w:sz="0" w:space="0" w:color="auto"/>
                  </w:divBdr>
                  <w:divsChild>
                    <w:div w:id="500970128">
                      <w:marLeft w:val="0"/>
                      <w:marRight w:val="0"/>
                      <w:marTop w:val="0"/>
                      <w:marBottom w:val="0"/>
                      <w:divBdr>
                        <w:top w:val="none" w:sz="0" w:space="0" w:color="auto"/>
                        <w:left w:val="none" w:sz="0" w:space="0" w:color="auto"/>
                        <w:bottom w:val="none" w:sz="0" w:space="0" w:color="auto"/>
                        <w:right w:val="none" w:sz="0" w:space="0" w:color="auto"/>
                      </w:divBdr>
                    </w:div>
                  </w:divsChild>
                </w:div>
                <w:div w:id="1551453592">
                  <w:marLeft w:val="0"/>
                  <w:marRight w:val="0"/>
                  <w:marTop w:val="0"/>
                  <w:marBottom w:val="0"/>
                  <w:divBdr>
                    <w:top w:val="none" w:sz="0" w:space="0" w:color="auto"/>
                    <w:left w:val="none" w:sz="0" w:space="0" w:color="auto"/>
                    <w:bottom w:val="none" w:sz="0" w:space="0" w:color="auto"/>
                    <w:right w:val="none" w:sz="0" w:space="0" w:color="auto"/>
                  </w:divBdr>
                  <w:divsChild>
                    <w:div w:id="15462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757499">
      <w:bodyDiv w:val="1"/>
      <w:marLeft w:val="0"/>
      <w:marRight w:val="0"/>
      <w:marTop w:val="0"/>
      <w:marBottom w:val="0"/>
      <w:divBdr>
        <w:top w:val="none" w:sz="0" w:space="0" w:color="auto"/>
        <w:left w:val="none" w:sz="0" w:space="0" w:color="auto"/>
        <w:bottom w:val="none" w:sz="0" w:space="0" w:color="auto"/>
        <w:right w:val="none" w:sz="0" w:space="0" w:color="auto"/>
      </w:divBdr>
      <w:divsChild>
        <w:div w:id="672610310">
          <w:marLeft w:val="0"/>
          <w:marRight w:val="0"/>
          <w:marTop w:val="0"/>
          <w:marBottom w:val="0"/>
          <w:divBdr>
            <w:top w:val="none" w:sz="0" w:space="0" w:color="auto"/>
            <w:left w:val="none" w:sz="0" w:space="0" w:color="auto"/>
            <w:bottom w:val="none" w:sz="0" w:space="0" w:color="auto"/>
            <w:right w:val="none" w:sz="0" w:space="0" w:color="auto"/>
          </w:divBdr>
          <w:divsChild>
            <w:div w:id="1261643409">
              <w:marLeft w:val="0"/>
              <w:marRight w:val="0"/>
              <w:marTop w:val="0"/>
              <w:marBottom w:val="0"/>
              <w:divBdr>
                <w:top w:val="none" w:sz="0" w:space="0" w:color="auto"/>
                <w:left w:val="none" w:sz="0" w:space="0" w:color="auto"/>
                <w:bottom w:val="none" w:sz="0" w:space="0" w:color="auto"/>
                <w:right w:val="none" w:sz="0" w:space="0" w:color="auto"/>
              </w:divBdr>
              <w:divsChild>
                <w:div w:id="1419398832">
                  <w:marLeft w:val="0"/>
                  <w:marRight w:val="0"/>
                  <w:marTop w:val="0"/>
                  <w:marBottom w:val="0"/>
                  <w:divBdr>
                    <w:top w:val="none" w:sz="0" w:space="0" w:color="auto"/>
                    <w:left w:val="none" w:sz="0" w:space="0" w:color="auto"/>
                    <w:bottom w:val="none" w:sz="0" w:space="0" w:color="auto"/>
                    <w:right w:val="none" w:sz="0" w:space="0" w:color="auto"/>
                  </w:divBdr>
                  <w:divsChild>
                    <w:div w:id="13659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858262">
      <w:bodyDiv w:val="1"/>
      <w:marLeft w:val="0"/>
      <w:marRight w:val="0"/>
      <w:marTop w:val="0"/>
      <w:marBottom w:val="0"/>
      <w:divBdr>
        <w:top w:val="none" w:sz="0" w:space="0" w:color="auto"/>
        <w:left w:val="none" w:sz="0" w:space="0" w:color="auto"/>
        <w:bottom w:val="none" w:sz="0" w:space="0" w:color="auto"/>
        <w:right w:val="none" w:sz="0" w:space="0" w:color="auto"/>
      </w:divBdr>
      <w:divsChild>
        <w:div w:id="1556699155">
          <w:marLeft w:val="0"/>
          <w:marRight w:val="0"/>
          <w:marTop w:val="0"/>
          <w:marBottom w:val="0"/>
          <w:divBdr>
            <w:top w:val="none" w:sz="0" w:space="0" w:color="auto"/>
            <w:left w:val="none" w:sz="0" w:space="0" w:color="auto"/>
            <w:bottom w:val="none" w:sz="0" w:space="0" w:color="auto"/>
            <w:right w:val="none" w:sz="0" w:space="0" w:color="auto"/>
          </w:divBdr>
          <w:divsChild>
            <w:div w:id="1645811536">
              <w:marLeft w:val="0"/>
              <w:marRight w:val="0"/>
              <w:marTop w:val="0"/>
              <w:marBottom w:val="0"/>
              <w:divBdr>
                <w:top w:val="none" w:sz="0" w:space="0" w:color="auto"/>
                <w:left w:val="none" w:sz="0" w:space="0" w:color="auto"/>
                <w:bottom w:val="none" w:sz="0" w:space="0" w:color="auto"/>
                <w:right w:val="none" w:sz="0" w:space="0" w:color="auto"/>
              </w:divBdr>
              <w:divsChild>
                <w:div w:id="13630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61135">
      <w:bodyDiv w:val="1"/>
      <w:marLeft w:val="0"/>
      <w:marRight w:val="0"/>
      <w:marTop w:val="0"/>
      <w:marBottom w:val="0"/>
      <w:divBdr>
        <w:top w:val="none" w:sz="0" w:space="0" w:color="auto"/>
        <w:left w:val="none" w:sz="0" w:space="0" w:color="auto"/>
        <w:bottom w:val="none" w:sz="0" w:space="0" w:color="auto"/>
        <w:right w:val="none" w:sz="0" w:space="0" w:color="auto"/>
      </w:divBdr>
      <w:divsChild>
        <w:div w:id="1941260592">
          <w:marLeft w:val="0"/>
          <w:marRight w:val="0"/>
          <w:marTop w:val="0"/>
          <w:marBottom w:val="0"/>
          <w:divBdr>
            <w:top w:val="none" w:sz="0" w:space="0" w:color="auto"/>
            <w:left w:val="none" w:sz="0" w:space="0" w:color="auto"/>
            <w:bottom w:val="none" w:sz="0" w:space="0" w:color="auto"/>
            <w:right w:val="none" w:sz="0" w:space="0" w:color="auto"/>
          </w:divBdr>
          <w:divsChild>
            <w:div w:id="818349163">
              <w:marLeft w:val="0"/>
              <w:marRight w:val="0"/>
              <w:marTop w:val="0"/>
              <w:marBottom w:val="0"/>
              <w:divBdr>
                <w:top w:val="none" w:sz="0" w:space="0" w:color="auto"/>
                <w:left w:val="none" w:sz="0" w:space="0" w:color="auto"/>
                <w:bottom w:val="none" w:sz="0" w:space="0" w:color="auto"/>
                <w:right w:val="none" w:sz="0" w:space="0" w:color="auto"/>
              </w:divBdr>
              <w:divsChild>
                <w:div w:id="1694188977">
                  <w:marLeft w:val="0"/>
                  <w:marRight w:val="0"/>
                  <w:marTop w:val="0"/>
                  <w:marBottom w:val="0"/>
                  <w:divBdr>
                    <w:top w:val="none" w:sz="0" w:space="0" w:color="auto"/>
                    <w:left w:val="none" w:sz="0" w:space="0" w:color="auto"/>
                    <w:bottom w:val="none" w:sz="0" w:space="0" w:color="auto"/>
                    <w:right w:val="none" w:sz="0" w:space="0" w:color="auto"/>
                  </w:divBdr>
                  <w:divsChild>
                    <w:div w:id="155808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79819">
      <w:bodyDiv w:val="1"/>
      <w:marLeft w:val="0"/>
      <w:marRight w:val="0"/>
      <w:marTop w:val="0"/>
      <w:marBottom w:val="0"/>
      <w:divBdr>
        <w:top w:val="none" w:sz="0" w:space="0" w:color="auto"/>
        <w:left w:val="none" w:sz="0" w:space="0" w:color="auto"/>
        <w:bottom w:val="none" w:sz="0" w:space="0" w:color="auto"/>
        <w:right w:val="none" w:sz="0" w:space="0" w:color="auto"/>
      </w:divBdr>
    </w:div>
    <w:div w:id="1727534577">
      <w:bodyDiv w:val="1"/>
      <w:marLeft w:val="0"/>
      <w:marRight w:val="0"/>
      <w:marTop w:val="0"/>
      <w:marBottom w:val="0"/>
      <w:divBdr>
        <w:top w:val="none" w:sz="0" w:space="0" w:color="auto"/>
        <w:left w:val="none" w:sz="0" w:space="0" w:color="auto"/>
        <w:bottom w:val="none" w:sz="0" w:space="0" w:color="auto"/>
        <w:right w:val="none" w:sz="0" w:space="0" w:color="auto"/>
      </w:divBdr>
      <w:divsChild>
        <w:div w:id="720057347">
          <w:marLeft w:val="0"/>
          <w:marRight w:val="0"/>
          <w:marTop w:val="0"/>
          <w:marBottom w:val="120"/>
          <w:divBdr>
            <w:top w:val="none" w:sz="0" w:space="0" w:color="auto"/>
            <w:left w:val="none" w:sz="0" w:space="0" w:color="auto"/>
            <w:bottom w:val="none" w:sz="0" w:space="0" w:color="auto"/>
            <w:right w:val="none" w:sz="0" w:space="0" w:color="auto"/>
          </w:divBdr>
        </w:div>
      </w:divsChild>
    </w:div>
    <w:div w:id="1808740710">
      <w:bodyDiv w:val="1"/>
      <w:marLeft w:val="0"/>
      <w:marRight w:val="0"/>
      <w:marTop w:val="0"/>
      <w:marBottom w:val="0"/>
      <w:divBdr>
        <w:top w:val="none" w:sz="0" w:space="0" w:color="auto"/>
        <w:left w:val="none" w:sz="0" w:space="0" w:color="auto"/>
        <w:bottom w:val="none" w:sz="0" w:space="0" w:color="auto"/>
        <w:right w:val="none" w:sz="0" w:space="0" w:color="auto"/>
      </w:divBdr>
      <w:divsChild>
        <w:div w:id="145781130">
          <w:marLeft w:val="0"/>
          <w:marRight w:val="0"/>
          <w:marTop w:val="0"/>
          <w:marBottom w:val="0"/>
          <w:divBdr>
            <w:top w:val="none" w:sz="0" w:space="0" w:color="auto"/>
            <w:left w:val="none" w:sz="0" w:space="0" w:color="auto"/>
            <w:bottom w:val="none" w:sz="0" w:space="0" w:color="auto"/>
            <w:right w:val="none" w:sz="0" w:space="0" w:color="auto"/>
          </w:divBdr>
          <w:divsChild>
            <w:div w:id="2070574485">
              <w:marLeft w:val="0"/>
              <w:marRight w:val="0"/>
              <w:marTop w:val="0"/>
              <w:marBottom w:val="0"/>
              <w:divBdr>
                <w:top w:val="none" w:sz="0" w:space="0" w:color="auto"/>
                <w:left w:val="none" w:sz="0" w:space="0" w:color="auto"/>
                <w:bottom w:val="none" w:sz="0" w:space="0" w:color="auto"/>
                <w:right w:val="none" w:sz="0" w:space="0" w:color="auto"/>
              </w:divBdr>
              <w:divsChild>
                <w:div w:id="1941713780">
                  <w:marLeft w:val="0"/>
                  <w:marRight w:val="0"/>
                  <w:marTop w:val="0"/>
                  <w:marBottom w:val="0"/>
                  <w:divBdr>
                    <w:top w:val="none" w:sz="0" w:space="0" w:color="auto"/>
                    <w:left w:val="none" w:sz="0" w:space="0" w:color="auto"/>
                    <w:bottom w:val="none" w:sz="0" w:space="0" w:color="auto"/>
                    <w:right w:val="none" w:sz="0" w:space="0" w:color="auto"/>
                  </w:divBdr>
                  <w:divsChild>
                    <w:div w:id="18820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148538">
      <w:bodyDiv w:val="1"/>
      <w:marLeft w:val="0"/>
      <w:marRight w:val="0"/>
      <w:marTop w:val="0"/>
      <w:marBottom w:val="0"/>
      <w:divBdr>
        <w:top w:val="none" w:sz="0" w:space="0" w:color="auto"/>
        <w:left w:val="none" w:sz="0" w:space="0" w:color="auto"/>
        <w:bottom w:val="none" w:sz="0" w:space="0" w:color="auto"/>
        <w:right w:val="none" w:sz="0" w:space="0" w:color="auto"/>
      </w:divBdr>
      <w:divsChild>
        <w:div w:id="1940872498">
          <w:marLeft w:val="0"/>
          <w:marRight w:val="0"/>
          <w:marTop w:val="0"/>
          <w:marBottom w:val="0"/>
          <w:divBdr>
            <w:top w:val="none" w:sz="0" w:space="0" w:color="auto"/>
            <w:left w:val="none" w:sz="0" w:space="0" w:color="auto"/>
            <w:bottom w:val="none" w:sz="0" w:space="0" w:color="auto"/>
            <w:right w:val="none" w:sz="0" w:space="0" w:color="auto"/>
          </w:divBdr>
          <w:divsChild>
            <w:div w:id="1078210633">
              <w:marLeft w:val="0"/>
              <w:marRight w:val="0"/>
              <w:marTop w:val="0"/>
              <w:marBottom w:val="0"/>
              <w:divBdr>
                <w:top w:val="none" w:sz="0" w:space="0" w:color="auto"/>
                <w:left w:val="none" w:sz="0" w:space="0" w:color="auto"/>
                <w:bottom w:val="none" w:sz="0" w:space="0" w:color="auto"/>
                <w:right w:val="none" w:sz="0" w:space="0" w:color="auto"/>
              </w:divBdr>
              <w:divsChild>
                <w:div w:id="949900556">
                  <w:marLeft w:val="0"/>
                  <w:marRight w:val="0"/>
                  <w:marTop w:val="0"/>
                  <w:marBottom w:val="0"/>
                  <w:divBdr>
                    <w:top w:val="none" w:sz="0" w:space="0" w:color="auto"/>
                    <w:left w:val="none" w:sz="0" w:space="0" w:color="auto"/>
                    <w:bottom w:val="none" w:sz="0" w:space="0" w:color="auto"/>
                    <w:right w:val="none" w:sz="0" w:space="0" w:color="auto"/>
                  </w:divBdr>
                  <w:divsChild>
                    <w:div w:id="1903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401930">
      <w:bodyDiv w:val="1"/>
      <w:marLeft w:val="0"/>
      <w:marRight w:val="0"/>
      <w:marTop w:val="0"/>
      <w:marBottom w:val="0"/>
      <w:divBdr>
        <w:top w:val="none" w:sz="0" w:space="0" w:color="auto"/>
        <w:left w:val="none" w:sz="0" w:space="0" w:color="auto"/>
        <w:bottom w:val="none" w:sz="0" w:space="0" w:color="auto"/>
        <w:right w:val="none" w:sz="0" w:space="0" w:color="auto"/>
      </w:divBdr>
      <w:divsChild>
        <w:div w:id="546722841">
          <w:marLeft w:val="0"/>
          <w:marRight w:val="0"/>
          <w:marTop w:val="0"/>
          <w:marBottom w:val="0"/>
          <w:divBdr>
            <w:top w:val="none" w:sz="0" w:space="0" w:color="auto"/>
            <w:left w:val="none" w:sz="0" w:space="0" w:color="auto"/>
            <w:bottom w:val="none" w:sz="0" w:space="0" w:color="auto"/>
            <w:right w:val="none" w:sz="0" w:space="0" w:color="auto"/>
          </w:divBdr>
          <w:divsChild>
            <w:div w:id="577907038">
              <w:marLeft w:val="0"/>
              <w:marRight w:val="0"/>
              <w:marTop w:val="0"/>
              <w:marBottom w:val="0"/>
              <w:divBdr>
                <w:top w:val="none" w:sz="0" w:space="0" w:color="auto"/>
                <w:left w:val="none" w:sz="0" w:space="0" w:color="auto"/>
                <w:bottom w:val="none" w:sz="0" w:space="0" w:color="auto"/>
                <w:right w:val="none" w:sz="0" w:space="0" w:color="auto"/>
              </w:divBdr>
              <w:divsChild>
                <w:div w:id="1767532832">
                  <w:marLeft w:val="0"/>
                  <w:marRight w:val="0"/>
                  <w:marTop w:val="0"/>
                  <w:marBottom w:val="0"/>
                  <w:divBdr>
                    <w:top w:val="none" w:sz="0" w:space="0" w:color="auto"/>
                    <w:left w:val="none" w:sz="0" w:space="0" w:color="auto"/>
                    <w:bottom w:val="none" w:sz="0" w:space="0" w:color="auto"/>
                    <w:right w:val="none" w:sz="0" w:space="0" w:color="auto"/>
                  </w:divBdr>
                  <w:divsChild>
                    <w:div w:id="655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88390">
      <w:bodyDiv w:val="1"/>
      <w:marLeft w:val="0"/>
      <w:marRight w:val="0"/>
      <w:marTop w:val="0"/>
      <w:marBottom w:val="0"/>
      <w:divBdr>
        <w:top w:val="none" w:sz="0" w:space="0" w:color="auto"/>
        <w:left w:val="none" w:sz="0" w:space="0" w:color="auto"/>
        <w:bottom w:val="none" w:sz="0" w:space="0" w:color="auto"/>
        <w:right w:val="none" w:sz="0" w:space="0" w:color="auto"/>
      </w:divBdr>
      <w:divsChild>
        <w:div w:id="552733606">
          <w:marLeft w:val="0"/>
          <w:marRight w:val="0"/>
          <w:marTop w:val="0"/>
          <w:marBottom w:val="0"/>
          <w:divBdr>
            <w:top w:val="none" w:sz="0" w:space="0" w:color="auto"/>
            <w:left w:val="none" w:sz="0" w:space="0" w:color="auto"/>
            <w:bottom w:val="none" w:sz="0" w:space="0" w:color="auto"/>
            <w:right w:val="none" w:sz="0" w:space="0" w:color="auto"/>
          </w:divBdr>
        </w:div>
      </w:divsChild>
    </w:div>
    <w:div w:id="1902859088">
      <w:bodyDiv w:val="1"/>
      <w:marLeft w:val="0"/>
      <w:marRight w:val="0"/>
      <w:marTop w:val="0"/>
      <w:marBottom w:val="0"/>
      <w:divBdr>
        <w:top w:val="none" w:sz="0" w:space="0" w:color="auto"/>
        <w:left w:val="none" w:sz="0" w:space="0" w:color="auto"/>
        <w:bottom w:val="none" w:sz="0" w:space="0" w:color="auto"/>
        <w:right w:val="none" w:sz="0" w:space="0" w:color="auto"/>
      </w:divBdr>
      <w:divsChild>
        <w:div w:id="1041515030">
          <w:marLeft w:val="0"/>
          <w:marRight w:val="0"/>
          <w:marTop w:val="0"/>
          <w:marBottom w:val="0"/>
          <w:divBdr>
            <w:top w:val="none" w:sz="0" w:space="0" w:color="auto"/>
            <w:left w:val="none" w:sz="0" w:space="0" w:color="auto"/>
            <w:bottom w:val="none" w:sz="0" w:space="0" w:color="auto"/>
            <w:right w:val="none" w:sz="0" w:space="0" w:color="auto"/>
          </w:divBdr>
          <w:divsChild>
            <w:div w:id="1691488112">
              <w:marLeft w:val="0"/>
              <w:marRight w:val="0"/>
              <w:marTop w:val="0"/>
              <w:marBottom w:val="0"/>
              <w:divBdr>
                <w:top w:val="none" w:sz="0" w:space="0" w:color="auto"/>
                <w:left w:val="none" w:sz="0" w:space="0" w:color="auto"/>
                <w:bottom w:val="none" w:sz="0" w:space="0" w:color="auto"/>
                <w:right w:val="none" w:sz="0" w:space="0" w:color="auto"/>
              </w:divBdr>
              <w:divsChild>
                <w:div w:id="695496804">
                  <w:marLeft w:val="0"/>
                  <w:marRight w:val="0"/>
                  <w:marTop w:val="0"/>
                  <w:marBottom w:val="0"/>
                  <w:divBdr>
                    <w:top w:val="none" w:sz="0" w:space="0" w:color="auto"/>
                    <w:left w:val="none" w:sz="0" w:space="0" w:color="auto"/>
                    <w:bottom w:val="none" w:sz="0" w:space="0" w:color="auto"/>
                    <w:right w:val="none" w:sz="0" w:space="0" w:color="auto"/>
                  </w:divBdr>
                  <w:divsChild>
                    <w:div w:id="1026518675">
                      <w:marLeft w:val="0"/>
                      <w:marRight w:val="0"/>
                      <w:marTop w:val="0"/>
                      <w:marBottom w:val="0"/>
                      <w:divBdr>
                        <w:top w:val="none" w:sz="0" w:space="0" w:color="auto"/>
                        <w:left w:val="none" w:sz="0" w:space="0" w:color="auto"/>
                        <w:bottom w:val="none" w:sz="0" w:space="0" w:color="auto"/>
                        <w:right w:val="none" w:sz="0" w:space="0" w:color="auto"/>
                      </w:divBdr>
                    </w:div>
                    <w:div w:id="7382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0945">
      <w:bodyDiv w:val="1"/>
      <w:marLeft w:val="0"/>
      <w:marRight w:val="0"/>
      <w:marTop w:val="0"/>
      <w:marBottom w:val="0"/>
      <w:divBdr>
        <w:top w:val="none" w:sz="0" w:space="0" w:color="auto"/>
        <w:left w:val="none" w:sz="0" w:space="0" w:color="auto"/>
        <w:bottom w:val="none" w:sz="0" w:space="0" w:color="auto"/>
        <w:right w:val="none" w:sz="0" w:space="0" w:color="auto"/>
      </w:divBdr>
      <w:divsChild>
        <w:div w:id="1016738002">
          <w:marLeft w:val="0"/>
          <w:marRight w:val="0"/>
          <w:marTop w:val="0"/>
          <w:marBottom w:val="0"/>
          <w:divBdr>
            <w:top w:val="none" w:sz="0" w:space="0" w:color="auto"/>
            <w:left w:val="none" w:sz="0" w:space="0" w:color="auto"/>
            <w:bottom w:val="none" w:sz="0" w:space="0" w:color="auto"/>
            <w:right w:val="none" w:sz="0" w:space="0" w:color="auto"/>
          </w:divBdr>
          <w:divsChild>
            <w:div w:id="87888912">
              <w:marLeft w:val="0"/>
              <w:marRight w:val="0"/>
              <w:marTop w:val="0"/>
              <w:marBottom w:val="0"/>
              <w:divBdr>
                <w:top w:val="none" w:sz="0" w:space="0" w:color="auto"/>
                <w:left w:val="none" w:sz="0" w:space="0" w:color="auto"/>
                <w:bottom w:val="none" w:sz="0" w:space="0" w:color="auto"/>
                <w:right w:val="none" w:sz="0" w:space="0" w:color="auto"/>
              </w:divBdr>
              <w:divsChild>
                <w:div w:id="14343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5261">
      <w:bodyDiv w:val="1"/>
      <w:marLeft w:val="0"/>
      <w:marRight w:val="0"/>
      <w:marTop w:val="0"/>
      <w:marBottom w:val="0"/>
      <w:divBdr>
        <w:top w:val="none" w:sz="0" w:space="0" w:color="auto"/>
        <w:left w:val="none" w:sz="0" w:space="0" w:color="auto"/>
        <w:bottom w:val="none" w:sz="0" w:space="0" w:color="auto"/>
        <w:right w:val="none" w:sz="0" w:space="0" w:color="auto"/>
      </w:divBdr>
      <w:divsChild>
        <w:div w:id="803811167">
          <w:marLeft w:val="0"/>
          <w:marRight w:val="0"/>
          <w:marTop w:val="0"/>
          <w:marBottom w:val="0"/>
          <w:divBdr>
            <w:top w:val="none" w:sz="0" w:space="0" w:color="auto"/>
            <w:left w:val="none" w:sz="0" w:space="0" w:color="auto"/>
            <w:bottom w:val="none" w:sz="0" w:space="0" w:color="auto"/>
            <w:right w:val="none" w:sz="0" w:space="0" w:color="auto"/>
          </w:divBdr>
          <w:divsChild>
            <w:div w:id="1546677467">
              <w:marLeft w:val="0"/>
              <w:marRight w:val="0"/>
              <w:marTop w:val="0"/>
              <w:marBottom w:val="0"/>
              <w:divBdr>
                <w:top w:val="none" w:sz="0" w:space="0" w:color="auto"/>
                <w:left w:val="none" w:sz="0" w:space="0" w:color="auto"/>
                <w:bottom w:val="none" w:sz="0" w:space="0" w:color="auto"/>
                <w:right w:val="none" w:sz="0" w:space="0" w:color="auto"/>
              </w:divBdr>
              <w:divsChild>
                <w:div w:id="2030141164">
                  <w:marLeft w:val="0"/>
                  <w:marRight w:val="0"/>
                  <w:marTop w:val="0"/>
                  <w:marBottom w:val="0"/>
                  <w:divBdr>
                    <w:top w:val="none" w:sz="0" w:space="0" w:color="auto"/>
                    <w:left w:val="none" w:sz="0" w:space="0" w:color="auto"/>
                    <w:bottom w:val="none" w:sz="0" w:space="0" w:color="auto"/>
                    <w:right w:val="none" w:sz="0" w:space="0" w:color="auto"/>
                  </w:divBdr>
                  <w:divsChild>
                    <w:div w:id="10643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04264">
      <w:bodyDiv w:val="1"/>
      <w:marLeft w:val="0"/>
      <w:marRight w:val="0"/>
      <w:marTop w:val="0"/>
      <w:marBottom w:val="0"/>
      <w:divBdr>
        <w:top w:val="none" w:sz="0" w:space="0" w:color="auto"/>
        <w:left w:val="none" w:sz="0" w:space="0" w:color="auto"/>
        <w:bottom w:val="none" w:sz="0" w:space="0" w:color="auto"/>
        <w:right w:val="none" w:sz="0" w:space="0" w:color="auto"/>
      </w:divBdr>
      <w:divsChild>
        <w:div w:id="1626425776">
          <w:marLeft w:val="0"/>
          <w:marRight w:val="0"/>
          <w:marTop w:val="0"/>
          <w:marBottom w:val="0"/>
          <w:divBdr>
            <w:top w:val="none" w:sz="0" w:space="0" w:color="auto"/>
            <w:left w:val="none" w:sz="0" w:space="0" w:color="auto"/>
            <w:bottom w:val="none" w:sz="0" w:space="0" w:color="auto"/>
            <w:right w:val="none" w:sz="0" w:space="0" w:color="auto"/>
          </w:divBdr>
          <w:divsChild>
            <w:div w:id="1937595764">
              <w:marLeft w:val="0"/>
              <w:marRight w:val="0"/>
              <w:marTop w:val="0"/>
              <w:marBottom w:val="0"/>
              <w:divBdr>
                <w:top w:val="none" w:sz="0" w:space="0" w:color="auto"/>
                <w:left w:val="none" w:sz="0" w:space="0" w:color="auto"/>
                <w:bottom w:val="none" w:sz="0" w:space="0" w:color="auto"/>
                <w:right w:val="none" w:sz="0" w:space="0" w:color="auto"/>
              </w:divBdr>
              <w:divsChild>
                <w:div w:id="6901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83509">
      <w:bodyDiv w:val="1"/>
      <w:marLeft w:val="0"/>
      <w:marRight w:val="0"/>
      <w:marTop w:val="0"/>
      <w:marBottom w:val="0"/>
      <w:divBdr>
        <w:top w:val="none" w:sz="0" w:space="0" w:color="auto"/>
        <w:left w:val="none" w:sz="0" w:space="0" w:color="auto"/>
        <w:bottom w:val="none" w:sz="0" w:space="0" w:color="auto"/>
        <w:right w:val="none" w:sz="0" w:space="0" w:color="auto"/>
      </w:divBdr>
      <w:divsChild>
        <w:div w:id="1356617123">
          <w:marLeft w:val="0"/>
          <w:marRight w:val="0"/>
          <w:marTop w:val="0"/>
          <w:marBottom w:val="0"/>
          <w:divBdr>
            <w:top w:val="none" w:sz="0" w:space="0" w:color="auto"/>
            <w:left w:val="none" w:sz="0" w:space="0" w:color="auto"/>
            <w:bottom w:val="none" w:sz="0" w:space="0" w:color="auto"/>
            <w:right w:val="none" w:sz="0" w:space="0" w:color="auto"/>
          </w:divBdr>
          <w:divsChild>
            <w:div w:id="268783817">
              <w:marLeft w:val="0"/>
              <w:marRight w:val="0"/>
              <w:marTop w:val="0"/>
              <w:marBottom w:val="0"/>
              <w:divBdr>
                <w:top w:val="none" w:sz="0" w:space="0" w:color="auto"/>
                <w:left w:val="none" w:sz="0" w:space="0" w:color="auto"/>
                <w:bottom w:val="none" w:sz="0" w:space="0" w:color="auto"/>
                <w:right w:val="none" w:sz="0" w:space="0" w:color="auto"/>
              </w:divBdr>
              <w:divsChild>
                <w:div w:id="9471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04193">
      <w:bodyDiv w:val="1"/>
      <w:marLeft w:val="0"/>
      <w:marRight w:val="0"/>
      <w:marTop w:val="0"/>
      <w:marBottom w:val="0"/>
      <w:divBdr>
        <w:top w:val="none" w:sz="0" w:space="0" w:color="auto"/>
        <w:left w:val="none" w:sz="0" w:space="0" w:color="auto"/>
        <w:bottom w:val="none" w:sz="0" w:space="0" w:color="auto"/>
        <w:right w:val="none" w:sz="0" w:space="0" w:color="auto"/>
      </w:divBdr>
      <w:divsChild>
        <w:div w:id="741609106">
          <w:marLeft w:val="0"/>
          <w:marRight w:val="0"/>
          <w:marTop w:val="0"/>
          <w:marBottom w:val="0"/>
          <w:divBdr>
            <w:top w:val="none" w:sz="0" w:space="0" w:color="auto"/>
            <w:left w:val="none" w:sz="0" w:space="0" w:color="auto"/>
            <w:bottom w:val="none" w:sz="0" w:space="0" w:color="auto"/>
            <w:right w:val="none" w:sz="0" w:space="0" w:color="auto"/>
          </w:divBdr>
          <w:divsChild>
            <w:div w:id="238829363">
              <w:marLeft w:val="0"/>
              <w:marRight w:val="0"/>
              <w:marTop w:val="0"/>
              <w:marBottom w:val="0"/>
              <w:divBdr>
                <w:top w:val="none" w:sz="0" w:space="0" w:color="auto"/>
                <w:left w:val="none" w:sz="0" w:space="0" w:color="auto"/>
                <w:bottom w:val="none" w:sz="0" w:space="0" w:color="auto"/>
                <w:right w:val="none" w:sz="0" w:space="0" w:color="auto"/>
              </w:divBdr>
              <w:divsChild>
                <w:div w:id="2046833056">
                  <w:marLeft w:val="0"/>
                  <w:marRight w:val="0"/>
                  <w:marTop w:val="0"/>
                  <w:marBottom w:val="0"/>
                  <w:divBdr>
                    <w:top w:val="none" w:sz="0" w:space="0" w:color="auto"/>
                    <w:left w:val="none" w:sz="0" w:space="0" w:color="auto"/>
                    <w:bottom w:val="none" w:sz="0" w:space="0" w:color="auto"/>
                    <w:right w:val="none" w:sz="0" w:space="0" w:color="auto"/>
                  </w:divBdr>
                  <w:divsChild>
                    <w:div w:id="1222445238">
                      <w:marLeft w:val="0"/>
                      <w:marRight w:val="0"/>
                      <w:marTop w:val="0"/>
                      <w:marBottom w:val="0"/>
                      <w:divBdr>
                        <w:top w:val="none" w:sz="0" w:space="0" w:color="auto"/>
                        <w:left w:val="none" w:sz="0" w:space="0" w:color="auto"/>
                        <w:bottom w:val="none" w:sz="0" w:space="0" w:color="auto"/>
                        <w:right w:val="none" w:sz="0" w:space="0" w:color="auto"/>
                      </w:divBdr>
                    </w:div>
                    <w:div w:id="778993209">
                      <w:marLeft w:val="0"/>
                      <w:marRight w:val="0"/>
                      <w:marTop w:val="0"/>
                      <w:marBottom w:val="0"/>
                      <w:divBdr>
                        <w:top w:val="none" w:sz="0" w:space="0" w:color="auto"/>
                        <w:left w:val="none" w:sz="0" w:space="0" w:color="auto"/>
                        <w:bottom w:val="none" w:sz="0" w:space="0" w:color="auto"/>
                        <w:right w:val="none" w:sz="0" w:space="0" w:color="auto"/>
                      </w:divBdr>
                    </w:div>
                    <w:div w:id="279269308">
                      <w:marLeft w:val="0"/>
                      <w:marRight w:val="0"/>
                      <w:marTop w:val="0"/>
                      <w:marBottom w:val="0"/>
                      <w:divBdr>
                        <w:top w:val="none" w:sz="0" w:space="0" w:color="auto"/>
                        <w:left w:val="none" w:sz="0" w:space="0" w:color="auto"/>
                        <w:bottom w:val="none" w:sz="0" w:space="0" w:color="auto"/>
                        <w:right w:val="none" w:sz="0" w:space="0" w:color="auto"/>
                      </w:divBdr>
                    </w:div>
                  </w:divsChild>
                </w:div>
                <w:div w:id="914390201">
                  <w:marLeft w:val="0"/>
                  <w:marRight w:val="0"/>
                  <w:marTop w:val="0"/>
                  <w:marBottom w:val="0"/>
                  <w:divBdr>
                    <w:top w:val="none" w:sz="0" w:space="0" w:color="auto"/>
                    <w:left w:val="none" w:sz="0" w:space="0" w:color="auto"/>
                    <w:bottom w:val="none" w:sz="0" w:space="0" w:color="auto"/>
                    <w:right w:val="none" w:sz="0" w:space="0" w:color="auto"/>
                  </w:divBdr>
                  <w:divsChild>
                    <w:div w:id="1496646798">
                      <w:marLeft w:val="0"/>
                      <w:marRight w:val="0"/>
                      <w:marTop w:val="0"/>
                      <w:marBottom w:val="0"/>
                      <w:divBdr>
                        <w:top w:val="none" w:sz="0" w:space="0" w:color="auto"/>
                        <w:left w:val="none" w:sz="0" w:space="0" w:color="auto"/>
                        <w:bottom w:val="none" w:sz="0" w:space="0" w:color="auto"/>
                        <w:right w:val="none" w:sz="0" w:space="0" w:color="auto"/>
                      </w:divBdr>
                    </w:div>
                  </w:divsChild>
                </w:div>
                <w:div w:id="2021351167">
                  <w:marLeft w:val="0"/>
                  <w:marRight w:val="0"/>
                  <w:marTop w:val="0"/>
                  <w:marBottom w:val="0"/>
                  <w:divBdr>
                    <w:top w:val="none" w:sz="0" w:space="0" w:color="auto"/>
                    <w:left w:val="none" w:sz="0" w:space="0" w:color="auto"/>
                    <w:bottom w:val="none" w:sz="0" w:space="0" w:color="auto"/>
                    <w:right w:val="none" w:sz="0" w:space="0" w:color="auto"/>
                  </w:divBdr>
                  <w:divsChild>
                    <w:div w:id="1887568926">
                      <w:marLeft w:val="0"/>
                      <w:marRight w:val="0"/>
                      <w:marTop w:val="0"/>
                      <w:marBottom w:val="0"/>
                      <w:divBdr>
                        <w:top w:val="none" w:sz="0" w:space="0" w:color="auto"/>
                        <w:left w:val="none" w:sz="0" w:space="0" w:color="auto"/>
                        <w:bottom w:val="none" w:sz="0" w:space="0" w:color="auto"/>
                        <w:right w:val="none" w:sz="0" w:space="0" w:color="auto"/>
                      </w:divBdr>
                    </w:div>
                  </w:divsChild>
                </w:div>
                <w:div w:id="1159074002">
                  <w:marLeft w:val="0"/>
                  <w:marRight w:val="0"/>
                  <w:marTop w:val="0"/>
                  <w:marBottom w:val="0"/>
                  <w:divBdr>
                    <w:top w:val="none" w:sz="0" w:space="0" w:color="auto"/>
                    <w:left w:val="none" w:sz="0" w:space="0" w:color="auto"/>
                    <w:bottom w:val="none" w:sz="0" w:space="0" w:color="auto"/>
                    <w:right w:val="none" w:sz="0" w:space="0" w:color="auto"/>
                  </w:divBdr>
                  <w:divsChild>
                    <w:div w:id="296112145">
                      <w:marLeft w:val="0"/>
                      <w:marRight w:val="0"/>
                      <w:marTop w:val="0"/>
                      <w:marBottom w:val="0"/>
                      <w:divBdr>
                        <w:top w:val="none" w:sz="0" w:space="0" w:color="auto"/>
                        <w:left w:val="none" w:sz="0" w:space="0" w:color="auto"/>
                        <w:bottom w:val="none" w:sz="0" w:space="0" w:color="auto"/>
                        <w:right w:val="none" w:sz="0" w:space="0" w:color="auto"/>
                      </w:divBdr>
                    </w:div>
                  </w:divsChild>
                </w:div>
                <w:div w:id="1878351297">
                  <w:marLeft w:val="0"/>
                  <w:marRight w:val="0"/>
                  <w:marTop w:val="0"/>
                  <w:marBottom w:val="0"/>
                  <w:divBdr>
                    <w:top w:val="none" w:sz="0" w:space="0" w:color="auto"/>
                    <w:left w:val="none" w:sz="0" w:space="0" w:color="auto"/>
                    <w:bottom w:val="none" w:sz="0" w:space="0" w:color="auto"/>
                    <w:right w:val="none" w:sz="0" w:space="0" w:color="auto"/>
                  </w:divBdr>
                  <w:divsChild>
                    <w:div w:id="522935742">
                      <w:marLeft w:val="0"/>
                      <w:marRight w:val="0"/>
                      <w:marTop w:val="0"/>
                      <w:marBottom w:val="0"/>
                      <w:divBdr>
                        <w:top w:val="none" w:sz="0" w:space="0" w:color="auto"/>
                        <w:left w:val="none" w:sz="0" w:space="0" w:color="auto"/>
                        <w:bottom w:val="none" w:sz="0" w:space="0" w:color="auto"/>
                        <w:right w:val="none" w:sz="0" w:space="0" w:color="auto"/>
                      </w:divBdr>
                    </w:div>
                  </w:divsChild>
                </w:div>
                <w:div w:id="1760522345">
                  <w:marLeft w:val="0"/>
                  <w:marRight w:val="0"/>
                  <w:marTop w:val="0"/>
                  <w:marBottom w:val="0"/>
                  <w:divBdr>
                    <w:top w:val="none" w:sz="0" w:space="0" w:color="auto"/>
                    <w:left w:val="none" w:sz="0" w:space="0" w:color="auto"/>
                    <w:bottom w:val="none" w:sz="0" w:space="0" w:color="auto"/>
                    <w:right w:val="none" w:sz="0" w:space="0" w:color="auto"/>
                  </w:divBdr>
                  <w:divsChild>
                    <w:div w:id="1329138665">
                      <w:marLeft w:val="0"/>
                      <w:marRight w:val="0"/>
                      <w:marTop w:val="0"/>
                      <w:marBottom w:val="0"/>
                      <w:divBdr>
                        <w:top w:val="none" w:sz="0" w:space="0" w:color="auto"/>
                        <w:left w:val="none" w:sz="0" w:space="0" w:color="auto"/>
                        <w:bottom w:val="none" w:sz="0" w:space="0" w:color="auto"/>
                        <w:right w:val="none" w:sz="0" w:space="0" w:color="auto"/>
                      </w:divBdr>
                    </w:div>
                  </w:divsChild>
                </w:div>
                <w:div w:id="95945661">
                  <w:marLeft w:val="0"/>
                  <w:marRight w:val="0"/>
                  <w:marTop w:val="0"/>
                  <w:marBottom w:val="0"/>
                  <w:divBdr>
                    <w:top w:val="none" w:sz="0" w:space="0" w:color="auto"/>
                    <w:left w:val="none" w:sz="0" w:space="0" w:color="auto"/>
                    <w:bottom w:val="none" w:sz="0" w:space="0" w:color="auto"/>
                    <w:right w:val="none" w:sz="0" w:space="0" w:color="auto"/>
                  </w:divBdr>
                  <w:divsChild>
                    <w:div w:id="306056196">
                      <w:marLeft w:val="0"/>
                      <w:marRight w:val="0"/>
                      <w:marTop w:val="0"/>
                      <w:marBottom w:val="0"/>
                      <w:divBdr>
                        <w:top w:val="none" w:sz="0" w:space="0" w:color="auto"/>
                        <w:left w:val="none" w:sz="0" w:space="0" w:color="auto"/>
                        <w:bottom w:val="none" w:sz="0" w:space="0" w:color="auto"/>
                        <w:right w:val="none" w:sz="0" w:space="0" w:color="auto"/>
                      </w:divBdr>
                    </w:div>
                  </w:divsChild>
                </w:div>
                <w:div w:id="50157462">
                  <w:marLeft w:val="0"/>
                  <w:marRight w:val="0"/>
                  <w:marTop w:val="0"/>
                  <w:marBottom w:val="0"/>
                  <w:divBdr>
                    <w:top w:val="none" w:sz="0" w:space="0" w:color="auto"/>
                    <w:left w:val="none" w:sz="0" w:space="0" w:color="auto"/>
                    <w:bottom w:val="none" w:sz="0" w:space="0" w:color="auto"/>
                    <w:right w:val="none" w:sz="0" w:space="0" w:color="auto"/>
                  </w:divBdr>
                  <w:divsChild>
                    <w:div w:id="1491287388">
                      <w:marLeft w:val="0"/>
                      <w:marRight w:val="0"/>
                      <w:marTop w:val="0"/>
                      <w:marBottom w:val="0"/>
                      <w:divBdr>
                        <w:top w:val="none" w:sz="0" w:space="0" w:color="auto"/>
                        <w:left w:val="none" w:sz="0" w:space="0" w:color="auto"/>
                        <w:bottom w:val="none" w:sz="0" w:space="0" w:color="auto"/>
                        <w:right w:val="none" w:sz="0" w:space="0" w:color="auto"/>
                      </w:divBdr>
                    </w:div>
                  </w:divsChild>
                </w:div>
                <w:div w:id="983241621">
                  <w:marLeft w:val="0"/>
                  <w:marRight w:val="0"/>
                  <w:marTop w:val="0"/>
                  <w:marBottom w:val="0"/>
                  <w:divBdr>
                    <w:top w:val="none" w:sz="0" w:space="0" w:color="auto"/>
                    <w:left w:val="none" w:sz="0" w:space="0" w:color="auto"/>
                    <w:bottom w:val="none" w:sz="0" w:space="0" w:color="auto"/>
                    <w:right w:val="none" w:sz="0" w:space="0" w:color="auto"/>
                  </w:divBdr>
                  <w:divsChild>
                    <w:div w:id="622200377">
                      <w:marLeft w:val="0"/>
                      <w:marRight w:val="0"/>
                      <w:marTop w:val="0"/>
                      <w:marBottom w:val="0"/>
                      <w:divBdr>
                        <w:top w:val="none" w:sz="0" w:space="0" w:color="auto"/>
                        <w:left w:val="none" w:sz="0" w:space="0" w:color="auto"/>
                        <w:bottom w:val="none" w:sz="0" w:space="0" w:color="auto"/>
                        <w:right w:val="none" w:sz="0" w:space="0" w:color="auto"/>
                      </w:divBdr>
                    </w:div>
                  </w:divsChild>
                </w:div>
                <w:div w:id="1404445286">
                  <w:marLeft w:val="0"/>
                  <w:marRight w:val="0"/>
                  <w:marTop w:val="0"/>
                  <w:marBottom w:val="0"/>
                  <w:divBdr>
                    <w:top w:val="none" w:sz="0" w:space="0" w:color="auto"/>
                    <w:left w:val="none" w:sz="0" w:space="0" w:color="auto"/>
                    <w:bottom w:val="none" w:sz="0" w:space="0" w:color="auto"/>
                    <w:right w:val="none" w:sz="0" w:space="0" w:color="auto"/>
                  </w:divBdr>
                  <w:divsChild>
                    <w:div w:id="1160777164">
                      <w:marLeft w:val="0"/>
                      <w:marRight w:val="0"/>
                      <w:marTop w:val="0"/>
                      <w:marBottom w:val="0"/>
                      <w:divBdr>
                        <w:top w:val="none" w:sz="0" w:space="0" w:color="auto"/>
                        <w:left w:val="none" w:sz="0" w:space="0" w:color="auto"/>
                        <w:bottom w:val="none" w:sz="0" w:space="0" w:color="auto"/>
                        <w:right w:val="none" w:sz="0" w:space="0" w:color="auto"/>
                      </w:divBdr>
                    </w:div>
                  </w:divsChild>
                </w:div>
                <w:div w:id="1257398984">
                  <w:marLeft w:val="0"/>
                  <w:marRight w:val="0"/>
                  <w:marTop w:val="0"/>
                  <w:marBottom w:val="0"/>
                  <w:divBdr>
                    <w:top w:val="none" w:sz="0" w:space="0" w:color="auto"/>
                    <w:left w:val="none" w:sz="0" w:space="0" w:color="auto"/>
                    <w:bottom w:val="none" w:sz="0" w:space="0" w:color="auto"/>
                    <w:right w:val="none" w:sz="0" w:space="0" w:color="auto"/>
                  </w:divBdr>
                  <w:divsChild>
                    <w:div w:id="2005083921">
                      <w:marLeft w:val="0"/>
                      <w:marRight w:val="0"/>
                      <w:marTop w:val="0"/>
                      <w:marBottom w:val="0"/>
                      <w:divBdr>
                        <w:top w:val="none" w:sz="0" w:space="0" w:color="auto"/>
                        <w:left w:val="none" w:sz="0" w:space="0" w:color="auto"/>
                        <w:bottom w:val="none" w:sz="0" w:space="0" w:color="auto"/>
                        <w:right w:val="none" w:sz="0" w:space="0" w:color="auto"/>
                      </w:divBdr>
                    </w:div>
                  </w:divsChild>
                </w:div>
                <w:div w:id="1386565235">
                  <w:marLeft w:val="0"/>
                  <w:marRight w:val="0"/>
                  <w:marTop w:val="0"/>
                  <w:marBottom w:val="0"/>
                  <w:divBdr>
                    <w:top w:val="none" w:sz="0" w:space="0" w:color="auto"/>
                    <w:left w:val="none" w:sz="0" w:space="0" w:color="auto"/>
                    <w:bottom w:val="none" w:sz="0" w:space="0" w:color="auto"/>
                    <w:right w:val="none" w:sz="0" w:space="0" w:color="auto"/>
                  </w:divBdr>
                  <w:divsChild>
                    <w:div w:id="829058124">
                      <w:marLeft w:val="0"/>
                      <w:marRight w:val="0"/>
                      <w:marTop w:val="0"/>
                      <w:marBottom w:val="0"/>
                      <w:divBdr>
                        <w:top w:val="none" w:sz="0" w:space="0" w:color="auto"/>
                        <w:left w:val="none" w:sz="0" w:space="0" w:color="auto"/>
                        <w:bottom w:val="none" w:sz="0" w:space="0" w:color="auto"/>
                        <w:right w:val="none" w:sz="0" w:space="0" w:color="auto"/>
                      </w:divBdr>
                    </w:div>
                  </w:divsChild>
                </w:div>
                <w:div w:id="2012220990">
                  <w:marLeft w:val="0"/>
                  <w:marRight w:val="0"/>
                  <w:marTop w:val="0"/>
                  <w:marBottom w:val="0"/>
                  <w:divBdr>
                    <w:top w:val="none" w:sz="0" w:space="0" w:color="auto"/>
                    <w:left w:val="none" w:sz="0" w:space="0" w:color="auto"/>
                    <w:bottom w:val="none" w:sz="0" w:space="0" w:color="auto"/>
                    <w:right w:val="none" w:sz="0" w:space="0" w:color="auto"/>
                  </w:divBdr>
                  <w:divsChild>
                    <w:div w:id="827211890">
                      <w:marLeft w:val="0"/>
                      <w:marRight w:val="0"/>
                      <w:marTop w:val="0"/>
                      <w:marBottom w:val="0"/>
                      <w:divBdr>
                        <w:top w:val="none" w:sz="0" w:space="0" w:color="auto"/>
                        <w:left w:val="none" w:sz="0" w:space="0" w:color="auto"/>
                        <w:bottom w:val="none" w:sz="0" w:space="0" w:color="auto"/>
                        <w:right w:val="none" w:sz="0" w:space="0" w:color="auto"/>
                      </w:divBdr>
                    </w:div>
                  </w:divsChild>
                </w:div>
                <w:div w:id="345328795">
                  <w:marLeft w:val="0"/>
                  <w:marRight w:val="0"/>
                  <w:marTop w:val="0"/>
                  <w:marBottom w:val="0"/>
                  <w:divBdr>
                    <w:top w:val="none" w:sz="0" w:space="0" w:color="auto"/>
                    <w:left w:val="none" w:sz="0" w:space="0" w:color="auto"/>
                    <w:bottom w:val="none" w:sz="0" w:space="0" w:color="auto"/>
                    <w:right w:val="none" w:sz="0" w:space="0" w:color="auto"/>
                  </w:divBdr>
                  <w:divsChild>
                    <w:div w:id="775905958">
                      <w:marLeft w:val="0"/>
                      <w:marRight w:val="0"/>
                      <w:marTop w:val="0"/>
                      <w:marBottom w:val="0"/>
                      <w:divBdr>
                        <w:top w:val="none" w:sz="0" w:space="0" w:color="auto"/>
                        <w:left w:val="none" w:sz="0" w:space="0" w:color="auto"/>
                        <w:bottom w:val="none" w:sz="0" w:space="0" w:color="auto"/>
                        <w:right w:val="none" w:sz="0" w:space="0" w:color="auto"/>
                      </w:divBdr>
                    </w:div>
                  </w:divsChild>
                </w:div>
                <w:div w:id="1357150531">
                  <w:marLeft w:val="0"/>
                  <w:marRight w:val="0"/>
                  <w:marTop w:val="0"/>
                  <w:marBottom w:val="0"/>
                  <w:divBdr>
                    <w:top w:val="none" w:sz="0" w:space="0" w:color="auto"/>
                    <w:left w:val="none" w:sz="0" w:space="0" w:color="auto"/>
                    <w:bottom w:val="none" w:sz="0" w:space="0" w:color="auto"/>
                    <w:right w:val="none" w:sz="0" w:space="0" w:color="auto"/>
                  </w:divBdr>
                  <w:divsChild>
                    <w:div w:id="2121221967">
                      <w:marLeft w:val="0"/>
                      <w:marRight w:val="0"/>
                      <w:marTop w:val="0"/>
                      <w:marBottom w:val="0"/>
                      <w:divBdr>
                        <w:top w:val="none" w:sz="0" w:space="0" w:color="auto"/>
                        <w:left w:val="none" w:sz="0" w:space="0" w:color="auto"/>
                        <w:bottom w:val="none" w:sz="0" w:space="0" w:color="auto"/>
                        <w:right w:val="none" w:sz="0" w:space="0" w:color="auto"/>
                      </w:divBdr>
                    </w:div>
                  </w:divsChild>
                </w:div>
                <w:div w:id="963388045">
                  <w:marLeft w:val="0"/>
                  <w:marRight w:val="0"/>
                  <w:marTop w:val="0"/>
                  <w:marBottom w:val="0"/>
                  <w:divBdr>
                    <w:top w:val="none" w:sz="0" w:space="0" w:color="auto"/>
                    <w:left w:val="none" w:sz="0" w:space="0" w:color="auto"/>
                    <w:bottom w:val="none" w:sz="0" w:space="0" w:color="auto"/>
                    <w:right w:val="none" w:sz="0" w:space="0" w:color="auto"/>
                  </w:divBdr>
                  <w:divsChild>
                    <w:div w:id="628752739">
                      <w:marLeft w:val="0"/>
                      <w:marRight w:val="0"/>
                      <w:marTop w:val="0"/>
                      <w:marBottom w:val="0"/>
                      <w:divBdr>
                        <w:top w:val="none" w:sz="0" w:space="0" w:color="auto"/>
                        <w:left w:val="none" w:sz="0" w:space="0" w:color="auto"/>
                        <w:bottom w:val="none" w:sz="0" w:space="0" w:color="auto"/>
                        <w:right w:val="none" w:sz="0" w:space="0" w:color="auto"/>
                      </w:divBdr>
                    </w:div>
                  </w:divsChild>
                </w:div>
                <w:div w:id="19011508">
                  <w:marLeft w:val="0"/>
                  <w:marRight w:val="0"/>
                  <w:marTop w:val="0"/>
                  <w:marBottom w:val="0"/>
                  <w:divBdr>
                    <w:top w:val="none" w:sz="0" w:space="0" w:color="auto"/>
                    <w:left w:val="none" w:sz="0" w:space="0" w:color="auto"/>
                    <w:bottom w:val="none" w:sz="0" w:space="0" w:color="auto"/>
                    <w:right w:val="none" w:sz="0" w:space="0" w:color="auto"/>
                  </w:divBdr>
                  <w:divsChild>
                    <w:div w:id="1164201052">
                      <w:marLeft w:val="0"/>
                      <w:marRight w:val="0"/>
                      <w:marTop w:val="0"/>
                      <w:marBottom w:val="0"/>
                      <w:divBdr>
                        <w:top w:val="none" w:sz="0" w:space="0" w:color="auto"/>
                        <w:left w:val="none" w:sz="0" w:space="0" w:color="auto"/>
                        <w:bottom w:val="none" w:sz="0" w:space="0" w:color="auto"/>
                        <w:right w:val="none" w:sz="0" w:space="0" w:color="auto"/>
                      </w:divBdr>
                    </w:div>
                  </w:divsChild>
                </w:div>
                <w:div w:id="19858495">
                  <w:marLeft w:val="0"/>
                  <w:marRight w:val="0"/>
                  <w:marTop w:val="0"/>
                  <w:marBottom w:val="0"/>
                  <w:divBdr>
                    <w:top w:val="none" w:sz="0" w:space="0" w:color="auto"/>
                    <w:left w:val="none" w:sz="0" w:space="0" w:color="auto"/>
                    <w:bottom w:val="none" w:sz="0" w:space="0" w:color="auto"/>
                    <w:right w:val="none" w:sz="0" w:space="0" w:color="auto"/>
                  </w:divBdr>
                  <w:divsChild>
                    <w:div w:id="1847863159">
                      <w:marLeft w:val="0"/>
                      <w:marRight w:val="0"/>
                      <w:marTop w:val="0"/>
                      <w:marBottom w:val="0"/>
                      <w:divBdr>
                        <w:top w:val="none" w:sz="0" w:space="0" w:color="auto"/>
                        <w:left w:val="none" w:sz="0" w:space="0" w:color="auto"/>
                        <w:bottom w:val="none" w:sz="0" w:space="0" w:color="auto"/>
                        <w:right w:val="none" w:sz="0" w:space="0" w:color="auto"/>
                      </w:divBdr>
                    </w:div>
                  </w:divsChild>
                </w:div>
                <w:div w:id="34813250">
                  <w:marLeft w:val="0"/>
                  <w:marRight w:val="0"/>
                  <w:marTop w:val="0"/>
                  <w:marBottom w:val="0"/>
                  <w:divBdr>
                    <w:top w:val="none" w:sz="0" w:space="0" w:color="auto"/>
                    <w:left w:val="none" w:sz="0" w:space="0" w:color="auto"/>
                    <w:bottom w:val="none" w:sz="0" w:space="0" w:color="auto"/>
                    <w:right w:val="none" w:sz="0" w:space="0" w:color="auto"/>
                  </w:divBdr>
                  <w:divsChild>
                    <w:div w:id="1623269852">
                      <w:marLeft w:val="0"/>
                      <w:marRight w:val="0"/>
                      <w:marTop w:val="0"/>
                      <w:marBottom w:val="0"/>
                      <w:divBdr>
                        <w:top w:val="none" w:sz="0" w:space="0" w:color="auto"/>
                        <w:left w:val="none" w:sz="0" w:space="0" w:color="auto"/>
                        <w:bottom w:val="none" w:sz="0" w:space="0" w:color="auto"/>
                        <w:right w:val="none" w:sz="0" w:space="0" w:color="auto"/>
                      </w:divBdr>
                    </w:div>
                  </w:divsChild>
                </w:div>
                <w:div w:id="700520585">
                  <w:marLeft w:val="0"/>
                  <w:marRight w:val="0"/>
                  <w:marTop w:val="0"/>
                  <w:marBottom w:val="0"/>
                  <w:divBdr>
                    <w:top w:val="none" w:sz="0" w:space="0" w:color="auto"/>
                    <w:left w:val="none" w:sz="0" w:space="0" w:color="auto"/>
                    <w:bottom w:val="none" w:sz="0" w:space="0" w:color="auto"/>
                    <w:right w:val="none" w:sz="0" w:space="0" w:color="auto"/>
                  </w:divBdr>
                  <w:divsChild>
                    <w:div w:id="311183106">
                      <w:marLeft w:val="0"/>
                      <w:marRight w:val="0"/>
                      <w:marTop w:val="0"/>
                      <w:marBottom w:val="0"/>
                      <w:divBdr>
                        <w:top w:val="none" w:sz="0" w:space="0" w:color="auto"/>
                        <w:left w:val="none" w:sz="0" w:space="0" w:color="auto"/>
                        <w:bottom w:val="none" w:sz="0" w:space="0" w:color="auto"/>
                        <w:right w:val="none" w:sz="0" w:space="0" w:color="auto"/>
                      </w:divBdr>
                    </w:div>
                  </w:divsChild>
                </w:div>
                <w:div w:id="1178041382">
                  <w:marLeft w:val="0"/>
                  <w:marRight w:val="0"/>
                  <w:marTop w:val="0"/>
                  <w:marBottom w:val="0"/>
                  <w:divBdr>
                    <w:top w:val="none" w:sz="0" w:space="0" w:color="auto"/>
                    <w:left w:val="none" w:sz="0" w:space="0" w:color="auto"/>
                    <w:bottom w:val="none" w:sz="0" w:space="0" w:color="auto"/>
                    <w:right w:val="none" w:sz="0" w:space="0" w:color="auto"/>
                  </w:divBdr>
                  <w:divsChild>
                    <w:div w:id="1147673377">
                      <w:marLeft w:val="0"/>
                      <w:marRight w:val="0"/>
                      <w:marTop w:val="0"/>
                      <w:marBottom w:val="0"/>
                      <w:divBdr>
                        <w:top w:val="none" w:sz="0" w:space="0" w:color="auto"/>
                        <w:left w:val="none" w:sz="0" w:space="0" w:color="auto"/>
                        <w:bottom w:val="none" w:sz="0" w:space="0" w:color="auto"/>
                        <w:right w:val="none" w:sz="0" w:space="0" w:color="auto"/>
                      </w:divBdr>
                    </w:div>
                  </w:divsChild>
                </w:div>
                <w:div w:id="2051033287">
                  <w:marLeft w:val="0"/>
                  <w:marRight w:val="0"/>
                  <w:marTop w:val="0"/>
                  <w:marBottom w:val="0"/>
                  <w:divBdr>
                    <w:top w:val="none" w:sz="0" w:space="0" w:color="auto"/>
                    <w:left w:val="none" w:sz="0" w:space="0" w:color="auto"/>
                    <w:bottom w:val="none" w:sz="0" w:space="0" w:color="auto"/>
                    <w:right w:val="none" w:sz="0" w:space="0" w:color="auto"/>
                  </w:divBdr>
                  <w:divsChild>
                    <w:div w:id="1882550323">
                      <w:marLeft w:val="0"/>
                      <w:marRight w:val="0"/>
                      <w:marTop w:val="0"/>
                      <w:marBottom w:val="0"/>
                      <w:divBdr>
                        <w:top w:val="none" w:sz="0" w:space="0" w:color="auto"/>
                        <w:left w:val="none" w:sz="0" w:space="0" w:color="auto"/>
                        <w:bottom w:val="none" w:sz="0" w:space="0" w:color="auto"/>
                        <w:right w:val="none" w:sz="0" w:space="0" w:color="auto"/>
                      </w:divBdr>
                    </w:div>
                  </w:divsChild>
                </w:div>
                <w:div w:id="1533761637">
                  <w:marLeft w:val="0"/>
                  <w:marRight w:val="0"/>
                  <w:marTop w:val="0"/>
                  <w:marBottom w:val="0"/>
                  <w:divBdr>
                    <w:top w:val="none" w:sz="0" w:space="0" w:color="auto"/>
                    <w:left w:val="none" w:sz="0" w:space="0" w:color="auto"/>
                    <w:bottom w:val="none" w:sz="0" w:space="0" w:color="auto"/>
                    <w:right w:val="none" w:sz="0" w:space="0" w:color="auto"/>
                  </w:divBdr>
                  <w:divsChild>
                    <w:div w:id="1913586660">
                      <w:marLeft w:val="0"/>
                      <w:marRight w:val="0"/>
                      <w:marTop w:val="0"/>
                      <w:marBottom w:val="0"/>
                      <w:divBdr>
                        <w:top w:val="none" w:sz="0" w:space="0" w:color="auto"/>
                        <w:left w:val="none" w:sz="0" w:space="0" w:color="auto"/>
                        <w:bottom w:val="none" w:sz="0" w:space="0" w:color="auto"/>
                        <w:right w:val="none" w:sz="0" w:space="0" w:color="auto"/>
                      </w:divBdr>
                    </w:div>
                  </w:divsChild>
                </w:div>
                <w:div w:id="555119051">
                  <w:marLeft w:val="0"/>
                  <w:marRight w:val="0"/>
                  <w:marTop w:val="0"/>
                  <w:marBottom w:val="0"/>
                  <w:divBdr>
                    <w:top w:val="none" w:sz="0" w:space="0" w:color="auto"/>
                    <w:left w:val="none" w:sz="0" w:space="0" w:color="auto"/>
                    <w:bottom w:val="none" w:sz="0" w:space="0" w:color="auto"/>
                    <w:right w:val="none" w:sz="0" w:space="0" w:color="auto"/>
                  </w:divBdr>
                  <w:divsChild>
                    <w:div w:id="708066412">
                      <w:marLeft w:val="0"/>
                      <w:marRight w:val="0"/>
                      <w:marTop w:val="0"/>
                      <w:marBottom w:val="0"/>
                      <w:divBdr>
                        <w:top w:val="none" w:sz="0" w:space="0" w:color="auto"/>
                        <w:left w:val="none" w:sz="0" w:space="0" w:color="auto"/>
                        <w:bottom w:val="none" w:sz="0" w:space="0" w:color="auto"/>
                        <w:right w:val="none" w:sz="0" w:space="0" w:color="auto"/>
                      </w:divBdr>
                    </w:div>
                  </w:divsChild>
                </w:div>
                <w:div w:id="182019203">
                  <w:marLeft w:val="0"/>
                  <w:marRight w:val="0"/>
                  <w:marTop w:val="0"/>
                  <w:marBottom w:val="0"/>
                  <w:divBdr>
                    <w:top w:val="none" w:sz="0" w:space="0" w:color="auto"/>
                    <w:left w:val="none" w:sz="0" w:space="0" w:color="auto"/>
                    <w:bottom w:val="none" w:sz="0" w:space="0" w:color="auto"/>
                    <w:right w:val="none" w:sz="0" w:space="0" w:color="auto"/>
                  </w:divBdr>
                  <w:divsChild>
                    <w:div w:id="568422508">
                      <w:marLeft w:val="0"/>
                      <w:marRight w:val="0"/>
                      <w:marTop w:val="0"/>
                      <w:marBottom w:val="0"/>
                      <w:divBdr>
                        <w:top w:val="none" w:sz="0" w:space="0" w:color="auto"/>
                        <w:left w:val="none" w:sz="0" w:space="0" w:color="auto"/>
                        <w:bottom w:val="none" w:sz="0" w:space="0" w:color="auto"/>
                        <w:right w:val="none" w:sz="0" w:space="0" w:color="auto"/>
                      </w:divBdr>
                    </w:div>
                  </w:divsChild>
                </w:div>
                <w:div w:id="1328048973">
                  <w:marLeft w:val="0"/>
                  <w:marRight w:val="0"/>
                  <w:marTop w:val="0"/>
                  <w:marBottom w:val="0"/>
                  <w:divBdr>
                    <w:top w:val="none" w:sz="0" w:space="0" w:color="auto"/>
                    <w:left w:val="none" w:sz="0" w:space="0" w:color="auto"/>
                    <w:bottom w:val="none" w:sz="0" w:space="0" w:color="auto"/>
                    <w:right w:val="none" w:sz="0" w:space="0" w:color="auto"/>
                  </w:divBdr>
                  <w:divsChild>
                    <w:div w:id="17255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51229">
      <w:bodyDiv w:val="1"/>
      <w:marLeft w:val="0"/>
      <w:marRight w:val="0"/>
      <w:marTop w:val="0"/>
      <w:marBottom w:val="0"/>
      <w:divBdr>
        <w:top w:val="none" w:sz="0" w:space="0" w:color="auto"/>
        <w:left w:val="none" w:sz="0" w:space="0" w:color="auto"/>
        <w:bottom w:val="none" w:sz="0" w:space="0" w:color="auto"/>
        <w:right w:val="none" w:sz="0" w:space="0" w:color="auto"/>
      </w:divBdr>
      <w:divsChild>
        <w:div w:id="1636792081">
          <w:marLeft w:val="0"/>
          <w:marRight w:val="0"/>
          <w:marTop w:val="0"/>
          <w:marBottom w:val="0"/>
          <w:divBdr>
            <w:top w:val="none" w:sz="0" w:space="0" w:color="auto"/>
            <w:left w:val="none" w:sz="0" w:space="0" w:color="auto"/>
            <w:bottom w:val="none" w:sz="0" w:space="0" w:color="auto"/>
            <w:right w:val="none" w:sz="0" w:space="0" w:color="auto"/>
          </w:divBdr>
          <w:divsChild>
            <w:div w:id="298195475">
              <w:marLeft w:val="0"/>
              <w:marRight w:val="0"/>
              <w:marTop w:val="0"/>
              <w:marBottom w:val="0"/>
              <w:divBdr>
                <w:top w:val="none" w:sz="0" w:space="0" w:color="auto"/>
                <w:left w:val="none" w:sz="0" w:space="0" w:color="auto"/>
                <w:bottom w:val="none" w:sz="0" w:space="0" w:color="auto"/>
                <w:right w:val="none" w:sz="0" w:space="0" w:color="auto"/>
              </w:divBdr>
              <w:divsChild>
                <w:div w:id="927151258">
                  <w:marLeft w:val="0"/>
                  <w:marRight w:val="0"/>
                  <w:marTop w:val="0"/>
                  <w:marBottom w:val="0"/>
                  <w:divBdr>
                    <w:top w:val="none" w:sz="0" w:space="0" w:color="auto"/>
                    <w:left w:val="none" w:sz="0" w:space="0" w:color="auto"/>
                    <w:bottom w:val="none" w:sz="0" w:space="0" w:color="auto"/>
                    <w:right w:val="none" w:sz="0" w:space="0" w:color="auto"/>
                  </w:divBdr>
                  <w:divsChild>
                    <w:div w:id="20800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88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0641950601147952" TargetMode="External"/><Relationship Id="rId13" Type="http://schemas.openxmlformats.org/officeDocument/2006/relationships/hyperlink" Target="https://www.ncbi.nlm.nih.gov/pubmed/19433776" TargetMode="External"/><Relationship Id="rId18" Type="http://schemas.openxmlformats.org/officeDocument/2006/relationships/hyperlink" Target="https://pubmed.ncbi.nlm.nih.gov/?term=Waugh+J&amp;cauthor_id=2339751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doi.org/10.1161/hypertensionaha.109.130765" TargetMode="External"/><Relationship Id="rId17" Type="http://schemas.openxmlformats.org/officeDocument/2006/relationships/hyperlink" Target="https://pubmed.ncbi.nlm.nih.gov/?term=Pearce+MS&amp;cauthor_id=23397514" TargetMode="External"/><Relationship Id="rId2" Type="http://schemas.openxmlformats.org/officeDocument/2006/relationships/numbering" Target="numbering.xml"/><Relationship Id="rId16" Type="http://schemas.openxmlformats.org/officeDocument/2006/relationships/hyperlink" Target="https://pubmed.ncbi.nlm.nih.gov/?term=Best+KE&amp;cauthor_id=23397514" TargetMode="External"/><Relationship Id="rId20" Type="http://schemas.openxmlformats.org/officeDocument/2006/relationships/hyperlink" Target="https://pubmed.ncbi.nlm.nih.gov/?term=Bell+R&amp;cauthor_id=23397514"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ncbi.nlm.nih.gov/pubmed/27400006" TargetMode="External"/><Relationship Id="rId5" Type="http://schemas.openxmlformats.org/officeDocument/2006/relationships/webSettings" Target="webSettings.xml"/><Relationship Id="rId15" Type="http://schemas.openxmlformats.org/officeDocument/2006/relationships/hyperlink" Target="https://pubmed.ncbi.nlm.nih.gov/23397514/" TargetMode="External"/><Relationship Id="rId10" Type="http://schemas.openxmlformats.org/officeDocument/2006/relationships/hyperlink" Target="https://doi.org/10.1097/AOG.0000000000001534" TargetMode="External"/><Relationship Id="rId19" Type="http://schemas.openxmlformats.org/officeDocument/2006/relationships/hyperlink" Target="https://pubmed.ncbi.nlm.nih.gov/?term=Robson+SC&amp;cauthor_id=23397514" TargetMode="External"/><Relationship Id="rId4" Type="http://schemas.openxmlformats.org/officeDocument/2006/relationships/settings" Target="settings.xml"/><Relationship Id="rId9" Type="http://schemas.openxmlformats.org/officeDocument/2006/relationships/hyperlink" Target="https://www.ncbi.nlm.nih.gov/pubmed/17454220" TargetMode="External"/><Relationship Id="rId14" Type="http://schemas.openxmlformats.org/officeDocument/2006/relationships/hyperlink" Target="https://pubmed.ncbi.nlm.nih.gov/?term=Brown+MC&amp;cauthor_id=23397514"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4D45E31-11D2-E84B-A3EA-663917FD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18</Pages>
  <Words>9021</Words>
  <Characters>51424</Characters>
  <Application>Microsoft Office Word</Application>
  <DocSecurity>0</DocSecurity>
  <Lines>428</Lines>
  <Paragraphs>120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Levi Snyder</cp:lastModifiedBy>
  <cp:revision>4</cp:revision>
  <dcterms:created xsi:type="dcterms:W3CDTF">2024-05-07T22:38:00Z</dcterms:created>
  <dcterms:modified xsi:type="dcterms:W3CDTF">2024-05-10T17:17:00Z</dcterms:modified>
</cp:coreProperties>
</file>