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hd w:val="clear" w:color="auto" w:fill="f9f9f9"/>
        <w:spacing w:before="150" w:after="150" w:lineRule="auto" w:line="240"/>
        <w:outlineLvl w:val="0"/>
        <w:rPr>
          <w:rFonts w:ascii="Oswald" w:cs="Times New Roman" w:eastAsia="Times New Roman" w:hAnsi="Oswald"/>
          <w:b/>
          <w:bCs/>
          <w:color w:val="404040"/>
          <w:kern w:val="36"/>
          <w:sz w:val="63"/>
          <w:szCs w:val="63"/>
          <w:lang w:eastAsia="en-IN"/>
          <w14:ligatures xmlns:w14="http://schemas.microsoft.com/office/word/2010/wordml" w14:val="none"/>
        </w:rPr>
      </w:pPr>
      <w:r>
        <w:rPr>
          <w:rFonts w:ascii="Oswald" w:cs="Times New Roman" w:eastAsia="Times New Roman" w:hAnsi="Oswald"/>
          <w:b/>
          <w:bCs/>
          <w:color w:val="404040"/>
          <w:kern w:val="36"/>
          <w:sz w:val="63"/>
          <w:szCs w:val="63"/>
          <w:lang w:eastAsia="en-IN"/>
          <w14:ligatures xmlns:w14="http://schemas.microsoft.com/office/word/2010/wordml" w14:val="none"/>
        </w:rPr>
        <w:t>A History of the Caste System in Ancient, Medieval, and Modern India</w:t>
      </w:r>
    </w:p>
    <w:p>
      <w:pPr>
        <w:pStyle w:val="style0"/>
        <w:rPr/>
      </w:pPr>
    </w:p>
    <w:p>
      <w:pPr>
        <w:pStyle w:val="style0"/>
        <w:rPr>
          <w:b/>
          <w:bCs/>
        </w:rPr>
      </w:pPr>
      <w:r>
        <w:rPr>
          <w:b/>
          <w:bCs/>
        </w:rPr>
        <w:t>Origins</w:t>
      </w:r>
    </w:p>
    <w:p>
      <w:pPr>
        <w:pStyle w:val="style0"/>
        <w:rPr>
          <w:rStyle w:val="style87"/>
          <w:rFonts w:ascii="Open Sans" w:cs="Open Sans" w:hAnsi="Open Sans"/>
          <w:color w:val="404040"/>
          <w:shd w:val="clear" w:color="auto" w:fill="f9f9f9"/>
        </w:rPr>
      </w:pPr>
      <w:r>
        <w:rPr>
          <w:rStyle w:val="style87"/>
          <w:rFonts w:ascii="Open Sans" w:cs="Open Sans" w:hAnsi="Open Sans"/>
          <w:color w:val="404040"/>
          <w:shd w:val="clear" w:color="auto" w:fill="f9f9f9"/>
        </w:rPr>
        <w:t>Perspectives</w:t>
      </w:r>
    </w:p>
    <w:p>
      <w:pPr>
        <w:pStyle w:val="style157"/>
        <w:rPr>
          <w:shd w:val="clear" w:color="auto" w:fill="f9f9f9"/>
        </w:rPr>
      </w:pPr>
      <w:r>
        <w:rPr>
          <w:shd w:val="clear" w:color="auto" w:fill="f9f9f9"/>
        </w:rPr>
        <w:t>There are at least two viewpoints regarding the beginnings of the caste system in ancient and medieval India. One perspective emphasizes ideological factors, while the other emphasizes socio-economic factor</w:t>
      </w:r>
      <w:r>
        <w:rPr>
          <w:shd w:val="clear" w:color="auto" w:fill="f9f9f9"/>
        </w:rPr>
        <w:t>s.</w:t>
      </w:r>
      <w:r>
        <w:rPr>
          <w:vanish/>
          <w:shd w:val="clear" w:color="auto" w:fill="f9f9f9"/>
        </w:rPr>
        <w:t>Top of Form</w:t>
      </w:r>
    </w:p>
    <w:p>
      <w:pPr>
        <w:pStyle w:val="style157"/>
        <w:rPr>
          <w:rStyle w:val="style87"/>
          <w:rFonts w:ascii="Open Sans" w:cs="Open Sans" w:hAnsi="Open Sans"/>
          <w:color w:val="404040"/>
          <w:shd w:val="clear" w:color="auto" w:fill="f9f9f9"/>
        </w:rPr>
      </w:pPr>
    </w:p>
    <w:p>
      <w:pPr>
        <w:pStyle w:val="style157"/>
        <w:rPr>
          <w:rStyle w:val="style87"/>
          <w:b w:val="false"/>
          <w:bCs w:val="false"/>
        </w:rPr>
      </w:pPr>
      <w:r>
        <w:rPr>
          <w:rStyle w:val="style87"/>
          <w:b w:val="false"/>
          <w:bCs w:val="false"/>
        </w:rPr>
        <w:t xml:space="preserve">The initial approach </w:t>
      </w:r>
      <w:r>
        <w:rPr>
          <w:rStyle w:val="style87"/>
          <w:b w:val="false"/>
          <w:bCs w:val="false"/>
        </w:rPr>
        <w:t>centers</w:t>
      </w:r>
      <w:r>
        <w:rPr>
          <w:rStyle w:val="style87"/>
          <w:b w:val="false"/>
          <w:bCs w:val="false"/>
        </w:rPr>
        <w:t xml:space="preserve"> on ideological factors believed to be the driving force behind the caste system, asserting that caste originates from the four varnas. This viewpoint, prevalent among scholars during the British colonial period and advocated by Dumont, argues that the system was ideologically established millennia ago and has persisted as the predominant social structure. This perspective primarily relies on references to the ancient legal text </w:t>
      </w:r>
      <w:r>
        <w:rPr>
          <w:rStyle w:val="style87"/>
          <w:b w:val="false"/>
          <w:bCs w:val="false"/>
        </w:rPr>
        <w:t>Manusmriti</w:t>
      </w:r>
      <w:r>
        <w:rPr>
          <w:rStyle w:val="style87"/>
          <w:b w:val="false"/>
          <w:bCs w:val="false"/>
        </w:rPr>
        <w:t xml:space="preserve"> while disregarding economic, political, or historical evidence.</w:t>
      </w:r>
    </w:p>
    <w:p>
      <w:pPr>
        <w:pStyle w:val="style157"/>
        <w:rPr>
          <w:rStyle w:val="style87"/>
          <w:b w:val="false"/>
          <w:bCs w:val="false"/>
        </w:rPr>
      </w:pPr>
    </w:p>
    <w:p>
      <w:pPr>
        <w:pStyle w:val="style157"/>
        <w:rPr/>
      </w:pPr>
      <w:r>
        <w:t xml:space="preserve">The second perspective gives priority to socioeconomic factors and asserts that these factors are the main drivers behind the caste system. It suggests that caste is deeply embedded in India's economic, political, and material past. This viewpoint, widely shared among scholars of the post-colonial era such as </w:t>
      </w:r>
      <w:r>
        <w:t>Berreman</w:t>
      </w:r>
      <w:r>
        <w:t>, Marriott, and Dirks, portrays the caste system as a continually evolving social construct that can only be thoroughly understood by examining historical evidence of actual practices and evaluating verifiable circumstances in India's economic, political, and material history. This approach has specifically concentrated on historical evidence from ancient and medieval Indian societies, the era of Muslim rule from the 12th to 18th centuries, and the policies of colonial British rule from the 18th century to the mid-20th century.</w:t>
      </w:r>
    </w:p>
    <w:p>
      <w:pPr>
        <w:pStyle w:val="style157"/>
        <w:rPr/>
      </w:pPr>
    </w:p>
    <w:p>
      <w:pPr>
        <w:pStyle w:val="style157"/>
        <w:rPr/>
      </w:pPr>
      <w:r>
        <w:t xml:space="preserve">The initial approach has </w:t>
      </w:r>
      <w:r>
        <w:t>centered</w:t>
      </w:r>
      <w:r>
        <w:t xml:space="preserve"> on religious anthropology, prioritizing it over other historical evidence and considering it as primary or fundamental to understanding the caste system's origins. Conversely, the second approach has focused on sociological evidence, aiming to comprehend the historical contexts surrounding the caste system. Scholars following this perspective have criticized the former school for its caste origin theory, arguing that it has </w:t>
      </w:r>
      <w:r>
        <w:t>dehistoricized</w:t>
      </w:r>
      <w:r>
        <w:t xml:space="preserve"> and decontextualized Indian society by neglecting broader historical circumstances.</w:t>
      </w:r>
    </w:p>
    <w:p>
      <w:pPr>
        <w:pStyle w:val="style157"/>
        <w:rPr>
          <w:vanish/>
        </w:rPr>
      </w:pPr>
      <w:r>
        <w:rPr>
          <w:vanish/>
        </w:rPr>
        <w:t>Top of Form</w:t>
      </w:r>
    </w:p>
    <w:p>
      <w:pPr>
        <w:pStyle w:val="style157"/>
        <w:rPr>
          <w:rStyle w:val="style87"/>
          <w:b w:val="false"/>
          <w:bCs w:val="false"/>
        </w:rPr>
      </w:pPr>
    </w:p>
    <w:p>
      <w:pPr>
        <w:pStyle w:val="style0"/>
        <w:jc w:val="both"/>
        <w:rPr>
          <w:b/>
          <w:bCs/>
        </w:rPr>
      </w:pPr>
      <w:r>
        <w:rPr>
          <w:b/>
          <w:bCs/>
        </w:rPr>
        <w:t>Ritual Kingship Model</w:t>
      </w:r>
    </w:p>
    <w:p>
      <w:pPr>
        <w:pStyle w:val="style0"/>
        <w:jc w:val="both"/>
        <w:rPr/>
      </w:pPr>
      <w:r>
        <w:t>Samuel, citing George L. Hart, proposes that key elements of the later Indian caste system might trace back to the ritual kingship system that predates the influence of Brahmanism, Buddhism, and Jainism in India. This system is observable in South Indian Tamil literature from the Sangam period, dated to the third to sixth centuries CE.</w:t>
      </w:r>
    </w:p>
    <w:p>
      <w:pPr>
        <w:pStyle w:val="style0"/>
        <w:jc w:val="both"/>
        <w:rPr/>
      </w:pPr>
      <w:r>
        <w:t>This theory rejects the Indo-Aryan varna model as the foundation of caste and instead focuses on the ritual authority of the king. The king was supported by a group of ritual and magical experts of lower social status, whose ritual roles were considered "polluted." According to Hart, it is possible that this model led to concerns about the "pollution" associated with individuals from lower-status groups. The Hart model offers an alternative perspective on the origins and dynamics of the caste system.</w:t>
      </w:r>
    </w:p>
    <w:p>
      <w:pPr>
        <w:pStyle w:val="style0"/>
        <w:jc w:val="both"/>
        <w:rPr>
          <w:vanish/>
        </w:rPr>
      </w:pPr>
      <w:r>
        <w:rPr>
          <w:vanish/>
        </w:rPr>
        <w:t>Top of Form</w:t>
      </w:r>
    </w:p>
    <w:p>
      <w:pPr>
        <w:pStyle w:val="style0"/>
        <w:jc w:val="both"/>
        <w:rPr/>
      </w:pPr>
    </w:p>
    <w:p>
      <w:pPr>
        <w:pStyle w:val="style0"/>
        <w:jc w:val="both"/>
        <w:rPr/>
      </w:pPr>
      <w:r>
        <w:rPr>
          <w:b/>
          <w:bCs/>
        </w:rPr>
        <w:t>Vedic </w:t>
      </w:r>
      <w:r>
        <w:rPr>
          <w:b/>
          <w:bCs/>
          <w:i/>
          <w:iCs/>
        </w:rPr>
        <w:t>Varnas</w:t>
      </w:r>
    </w:p>
    <w:p>
      <w:pPr>
        <w:pStyle w:val="style0"/>
        <w:jc w:val="both"/>
        <w:rPr>
          <w:b/>
          <w:bCs/>
        </w:rPr>
      </w:pPr>
      <w:r>
        <w:rPr>
          <w:noProof/>
        </w:rPr>
        <w:drawing>
          <wp:inline distL="0" distT="0" distB="0" distR="0">
            <wp:extent cx="4602480" cy="4457700"/>
            <wp:effectExtent l="0" t="0" r="7620" b="0"/>
            <wp:docPr id="1026"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 cstate="print"/>
                    <a:srcRect l="0" t="0" r="0" b="0"/>
                    <a:stretch/>
                  </pic:blipFill>
                  <pic:spPr>
                    <a:xfrm rot="0">
                      <a:off x="0" y="0"/>
                      <a:ext cx="4602480" cy="4457700"/>
                    </a:xfrm>
                    <a:prstGeom prst="rect"/>
                    <a:ln>
                      <a:noFill/>
                    </a:ln>
                  </pic:spPr>
                </pic:pic>
              </a:graphicData>
            </a:graphic>
          </wp:inline>
        </w:drawing>
      </w:r>
    </w:p>
    <w:p>
      <w:pPr>
        <w:pStyle w:val="style0"/>
        <w:jc w:val="both"/>
        <w:rPr>
          <w:b/>
          <w:bCs/>
        </w:rPr>
      </w:pPr>
      <w:r>
        <w:rPr>
          <w:b/>
          <w:bCs/>
        </w:rPr>
        <w:t>An excerpt from The Vedas (specifically the Rig-Veda) composed in Sanskrit around the early 19th century CE.</w:t>
      </w:r>
    </w:p>
    <w:p>
      <w:pPr>
        <w:pStyle w:val="style0"/>
        <w:jc w:val="both"/>
        <w:rPr/>
      </w:pPr>
      <w:r>
        <w:t>The varnas trace their origins to Vedic society, spanning roughly from 1500 to 500 BCE. The first three groups—Brahmins, Kshatriyas, and Vaishyas—share similarities with other Indo-European societies, while the inclusion of the Shudras is believed to be a Brahmanical creation from northern India.</w:t>
      </w:r>
    </w:p>
    <w:p>
      <w:pPr>
        <w:pStyle w:val="style0"/>
        <w:jc w:val="both"/>
        <w:rPr/>
      </w:pPr>
      <w:r>
        <w:t xml:space="preserve">The varna system finds its basis in revered Hindu scriptures, conceptualized as idealized human callings. Key texts such as the </w:t>
      </w:r>
      <w:r>
        <w:t>Purusha</w:t>
      </w:r>
      <w:r>
        <w:t xml:space="preserve"> </w:t>
      </w:r>
      <w:r>
        <w:t>Sukta</w:t>
      </w:r>
      <w:r>
        <w:t xml:space="preserve"> in the Rigveda and </w:t>
      </w:r>
      <w:r>
        <w:t>Manusmriti's</w:t>
      </w:r>
      <w:r>
        <w:t xml:space="preserve"> commentary on it are often referenced in this context. However, contrary to these textual classifications, many esteemed Hindu texts and doctrines raise questions and express disagreement with this system of social categorization.</w:t>
      </w:r>
    </w:p>
    <w:p>
      <w:pPr>
        <w:pStyle w:val="style157"/>
        <w:rPr/>
      </w:pPr>
      <w:r>
        <w:t xml:space="preserve">The verse from the </w:t>
      </w:r>
      <w:r>
        <w:t>Purusha</w:t>
      </w:r>
      <w:r>
        <w:t xml:space="preserve"> </w:t>
      </w:r>
      <w:r>
        <w:t>Sukta</w:t>
      </w:r>
      <w:r>
        <w:t xml:space="preserve"> is now widely believed to have been added to the Rigveda at a later time, possibly as a foundational myth. Professors Stephanie Jamison and Joel Brereton, experts in Sanskrit and Religious Studies, affirm that "there is no Rigvedic evidence supporting a complex, extensively subdivided caste system."</w:t>
      </w:r>
      <w:r>
        <w:rPr>
          <w:vanish/>
        </w:rPr>
        <w:t xml:space="preserve"> Top of Form</w:t>
      </w:r>
    </w:p>
    <w:p>
      <w:pPr>
        <w:pStyle w:val="style157"/>
        <w:rPr/>
      </w:pPr>
    </w:p>
    <w:p>
      <w:pPr>
        <w:pStyle w:val="style157"/>
        <w:jc w:val="both"/>
        <w:rPr/>
      </w:pPr>
      <w:r>
        <w:t xml:space="preserve">The concept of the varna system appears to be in its early stages in the Rigveda and is viewed more as an ideal rather than an actual societal structure, as stated by Stephanie Jamison and Joel Brereton, who refer to it as a "charter myth" inserted into the Rigveda at a later date. Susan Bayly also notes that while the </w:t>
      </w:r>
      <w:r>
        <w:t>Manusmriti</w:t>
      </w:r>
      <w:r>
        <w:t xml:space="preserve"> offers an intricate commentary on the varna system, it presents "models rather than descriptions," indicating an idealized vision rather than a reflection of reality.</w:t>
      </w:r>
    </w:p>
    <w:p>
      <w:pPr>
        <w:pStyle w:val="style157"/>
        <w:jc w:val="both"/>
        <w:rPr/>
      </w:pPr>
      <w:r>
        <w:t>However, she emphasizes that these texts did not directly create the caste phenomenon in India.</w:t>
      </w:r>
    </w:p>
    <w:p>
      <w:pPr>
        <w:pStyle w:val="style157"/>
        <w:rPr>
          <w:vanish/>
        </w:rPr>
      </w:pPr>
    </w:p>
    <w:p>
      <w:pPr>
        <w:pStyle w:val="style157"/>
        <w:rPr/>
      </w:pPr>
    </w:p>
    <w:p>
      <w:pPr>
        <w:pStyle w:val="style0"/>
        <w:jc w:val="both"/>
        <w:rPr/>
      </w:pPr>
      <w:r>
        <w:rPr>
          <w:noProof/>
        </w:rPr>
        <w:drawing>
          <wp:inline distL="0" distT="0" distB="0" distR="0">
            <wp:extent cx="5731510" cy="3825875"/>
            <wp:effectExtent l="0" t="0" r="2540" b="3175"/>
            <wp:docPr id="1027"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2"/>
                    <pic:cNvPicPr/>
                  </pic:nvPicPr>
                  <pic:blipFill>
                    <a:blip r:embed="rId3" cstate="print"/>
                    <a:srcRect l="0" t="0" r="0" b="0"/>
                    <a:stretch/>
                  </pic:blipFill>
                  <pic:spPr>
                    <a:xfrm rot="0">
                      <a:off x="0" y="0"/>
                      <a:ext cx="5731510" cy="3825875"/>
                    </a:xfrm>
                    <a:prstGeom prst="rect"/>
                    <a:ln>
                      <a:noFill/>
                    </a:ln>
                  </pic:spPr>
                </pic:pic>
              </a:graphicData>
            </a:graphic>
          </wp:inline>
        </w:drawing>
      </w:r>
    </w:p>
    <w:p>
      <w:pPr>
        <w:pStyle w:val="style0"/>
        <w:jc w:val="both"/>
        <w:rPr/>
      </w:pPr>
      <w:r>
        <w:t xml:space="preserve">Jeaneane Fowler, a professor specializing in philosophy and religious studies, argues that the origins and reasons for the emergence of </w:t>
      </w:r>
      <w:r>
        <w:t>jatis</w:t>
      </w:r>
      <w:r>
        <w:t xml:space="preserve"> are indeterminable. In contrast, Susan Bayly posits that the </w:t>
      </w:r>
      <w:r>
        <w:t>jati</w:t>
      </w:r>
      <w:r>
        <w:t xml:space="preserve"> system arose as a means to gain advantages in a time marked by pre-Independence poverty, absence of institutional human rights, political instability, and economic uncertainty.</w:t>
      </w:r>
    </w:p>
    <w:p>
      <w:pPr>
        <w:pStyle w:val="style0"/>
        <w:jc w:val="both"/>
        <w:rPr/>
      </w:pPr>
      <w:r>
        <w:t xml:space="preserve">Social anthropologist Dipankar Gupta suggests that guilds initially formed during the Mauryan era and evolved into </w:t>
      </w:r>
      <w:r>
        <w:t>jatis</w:t>
      </w:r>
      <w:r>
        <w:t xml:space="preserve"> during the post-</w:t>
      </w:r>
      <w:r>
        <w:t>Mauryan</w:t>
      </w:r>
      <w:r>
        <w:t xml:space="preserve"> period, coinciding with the rise of feudalism in India. This process culminated during the 7th to 12th centuries. However, there are disagreements among scholars regarding the timeline and development of </w:t>
      </w:r>
      <w:r>
        <w:t>jatis</w:t>
      </w:r>
      <w:r>
        <w:t xml:space="preserve"> in Indian history. Professors Barbara Metcalf and Thomas Metcalf, specializing in History, present an alternative view based on recent scholarship and contemporaneous evidence. They argue that until relatively recent times, social organization in much of the subcontinent was minimally influenced by the four </w:t>
      </w:r>
      <w:r>
        <w:t>varnas</w:t>
      </w:r>
      <w:r>
        <w:t xml:space="preserve">, and </w:t>
      </w:r>
      <w:r>
        <w:t>jatis</w:t>
      </w:r>
      <w:r>
        <w:t xml:space="preserve"> were not the foundational units of society.</w:t>
      </w:r>
    </w:p>
    <w:p>
      <w:pPr>
        <w:pStyle w:val="style0"/>
        <w:jc w:val="both"/>
        <w:rPr/>
      </w:pPr>
      <w:r>
        <w:t xml:space="preserve">Basham notes that ancient Indian literature frequently mentions varnas but rarely if ever mentions </w:t>
      </w:r>
      <w:r>
        <w:t>jatis</w:t>
      </w:r>
      <w:r>
        <w:t xml:space="preserve"> as distinct groups within the varnas. He concludes that if caste is defined as a system of groups within classes that are typically endogamous, share meals, and are exclusive to specific crafts, then there is little evidence of its existence until relatively recent periods.</w:t>
      </w:r>
    </w:p>
    <w:p>
      <w:pPr>
        <w:pStyle w:val="style0"/>
        <w:jc w:val="both"/>
        <w:rPr/>
      </w:pPr>
      <w:r>
        <w:rPr>
          <w:b/>
          <w:bCs/>
        </w:rPr>
        <w:t>Untouchable Outcasts and the Varna System</w:t>
      </w:r>
    </w:p>
    <w:p>
      <w:pPr>
        <w:pStyle w:val="style0"/>
        <w:jc w:val="both"/>
        <w:rPr/>
      </w:pPr>
      <w:r>
        <w:rPr>
          <w:noProof/>
        </w:rPr>
        <w:drawing>
          <wp:inline distL="0" distT="0" distB="0" distR="0">
            <wp:extent cx="5044440" cy="4183379"/>
            <wp:effectExtent l="0" t="0" r="3810" b="7620"/>
            <wp:docPr id="1028"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4" cstate="print"/>
                    <a:srcRect l="0" t="0" r="0" b="0"/>
                    <a:stretch/>
                  </pic:blipFill>
                  <pic:spPr>
                    <a:xfrm rot="0">
                      <a:off x="0" y="0"/>
                      <a:ext cx="5044440" cy="4183379"/>
                    </a:xfrm>
                    <a:prstGeom prst="rect"/>
                    <a:ln>
                      <a:noFill/>
                    </a:ln>
                  </pic:spPr>
                </pic:pic>
              </a:graphicData>
            </a:graphic>
          </wp:inline>
        </w:drawing>
      </w:r>
      <w:r>
        <w:t xml:space="preserve"> </w:t>
      </w:r>
    </w:p>
    <w:p>
      <w:pPr>
        <w:pStyle w:val="style157"/>
        <w:rPr>
          <w:lang w:eastAsia="en-IN"/>
        </w:rPr>
      </w:pPr>
      <w:r>
        <w:rPr>
          <w:lang w:eastAsia="en-IN"/>
        </w:rPr>
        <w:t>The Vedic texts do not include the notion of untouchable individuals or any references to untouchability as a practice. In Vedic rituals, there are instances where nobles or kings are encouraged to share meals with commoners using the same vessel. While later Vedic texts may mock certain professions, they do not introduce the concept of untouchability.</w:t>
      </w:r>
      <w:r>
        <w:rPr>
          <w:rFonts w:ascii="Arial" w:cs="Arial" w:eastAsia="Times New Roman" w:hAnsi="Arial"/>
          <w:vanish/>
          <w:kern w:val="0"/>
          <w:sz w:val="16"/>
          <w:szCs w:val="16"/>
          <w:lang w:eastAsia="en-IN"/>
          <w14:ligatures xmlns:w14="http://schemas.microsoft.com/office/word/2010/wordml" w14:val="none"/>
        </w:rPr>
        <w:t>Top of Form</w:t>
      </w:r>
    </w:p>
    <w:p>
      <w:pPr>
        <w:pStyle w:val="style157"/>
        <w:rPr>
          <w:lang w:eastAsia="en-IN"/>
        </w:rPr>
      </w:pPr>
    </w:p>
    <w:p>
      <w:pPr>
        <w:pStyle w:val="style0"/>
        <w:jc w:val="both"/>
        <w:rPr/>
      </w:pPr>
      <w:r>
        <w:t xml:space="preserve">The post-Vedic texts, especially </w:t>
      </w:r>
      <w:r>
        <w:t>Manusmriti</w:t>
      </w:r>
      <w:r>
        <w:t xml:space="preserve">, mention outcastes and suggest their ostracism. However, recent scholarship highlights a distinction between the portrayal of outcastes in post-Vedic texts and the system extensively discussed in colonial-era Indian literature, as well as in Dumont's structural theory of the caste system in India. Patrick </w:t>
      </w:r>
      <w:r>
        <w:t>Olivelle</w:t>
      </w:r>
      <w:r>
        <w:t>, a renowned professor specializing in Sanskrit and Indian Religions and known for modern translations of Vedic literature, Dharma-sutras, and Dharma-shastras, argues that ancient and medieval Indian texts do not endorse the notion of ritual pollution and purity-impurity central to Dumont's theory.</w:t>
      </w:r>
    </w:p>
    <w:p>
      <w:pPr>
        <w:pStyle w:val="style0"/>
        <w:jc w:val="both"/>
        <w:rPr/>
      </w:pPr>
      <w:r>
        <w:t>Olivelle</w:t>
      </w:r>
      <w:r>
        <w:t xml:space="preserve"> argues that discussions about purity and impurity in the Dharma-</w:t>
      </w:r>
      <w:r>
        <w:t>shastra</w:t>
      </w:r>
      <w:r>
        <w:t xml:space="preserve"> texts are </w:t>
      </w:r>
      <w:r>
        <w:t>centered</w:t>
      </w:r>
      <w:r>
        <w:t xml:space="preserve"> around an individual's moral, ritual, and biological pollution, such as dietary choices (e.g., eating certain types of food like meat) and bodily functions (e.g., going to the bathroom). In his assessment of post-Vedic Sutra and Shastra texts, </w:t>
      </w:r>
      <w:r>
        <w:t>Olivelle</w:t>
      </w:r>
      <w:r>
        <w:t xml:space="preserve"> notes that there is no instance where the terms "pure" or "impure" are used in reference to a group of individuals, varnas, or castes.</w:t>
      </w:r>
    </w:p>
    <w:p>
      <w:pPr>
        <w:pStyle w:val="style0"/>
        <w:jc w:val="both"/>
        <w:rPr/>
      </w:pPr>
      <w:r>
        <w:t xml:space="preserve">He points out that in the Shastra texts from the 1st millennium, the only mention of impurity relates to individuals who commit severe sins and consequently fall out of their varna. These individuals, termed "fallen people" by </w:t>
      </w:r>
      <w:r>
        <w:t>Olivelle</w:t>
      </w:r>
      <w:r>
        <w:t xml:space="preserve">, are considered impure according to medieval Indian texts, which suggest ostracizing them. </w:t>
      </w:r>
      <w:r>
        <w:t>Olivelle</w:t>
      </w:r>
      <w:r>
        <w:t xml:space="preserve"> emphasizes that discussions on purity and impurity in the Dharma-shastra texts primarily revolve around individuals regardless of their varna affiliation.</w:t>
      </w:r>
    </w:p>
    <w:p>
      <w:pPr>
        <w:pStyle w:val="style0"/>
        <w:jc w:val="both"/>
        <w:rPr/>
      </w:pPr>
      <w:r>
        <w:t xml:space="preserve">The purity or impurity of the four varnas was determined by factors such as their character, ethical intentions, actions, innocence or ignorance (especially in the case of children), stipulations, and ritualistic </w:t>
      </w:r>
      <w:r>
        <w:t>behaviors</w:t>
      </w:r>
      <w:r>
        <w:t>.</w:t>
      </w:r>
    </w:p>
    <w:p>
      <w:pPr>
        <w:pStyle w:val="style0"/>
        <w:jc w:val="both"/>
        <w:rPr/>
      </w:pPr>
      <w:r>
        <w:t>In his later works, Dumont admitted that the ancient varna hierarchy did not rely on a ranking principle based on purity or impurity. Additionally, he noted that the concept of untouchability is absent in Vedic literature.</w:t>
      </w:r>
    </w:p>
    <w:p>
      <w:pPr>
        <w:pStyle w:val="style0"/>
        <w:jc w:val="both"/>
        <w:rPr/>
      </w:pPr>
    </w:p>
    <w:p>
      <w:pPr>
        <w:pStyle w:val="style0"/>
        <w:jc w:val="both"/>
        <w:rPr>
          <w:b/>
          <w:bCs/>
        </w:rPr>
      </w:pPr>
      <w:r>
        <w:rPr>
          <w:b/>
          <w:bCs/>
        </w:rPr>
        <w:t>Vedic Period (1500-1000 BCE)</w:t>
      </w:r>
    </w:p>
    <w:p>
      <w:pPr>
        <w:pStyle w:val="style0"/>
        <w:jc w:val="both"/>
        <w:rPr/>
      </w:pPr>
      <w:r>
        <w:rPr>
          <w:noProof/>
        </w:rPr>
        <w:drawing>
          <wp:inline distL="0" distT="0" distB="0" distR="0">
            <wp:extent cx="4800600" cy="3688080"/>
            <wp:effectExtent l="0" t="0" r="0" b="7620"/>
            <wp:docPr id="1029"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0"/>
                    <pic:cNvPicPr/>
                  </pic:nvPicPr>
                  <pic:blipFill>
                    <a:blip r:embed="rId5" cstate="print"/>
                    <a:srcRect l="0" t="0" r="0" b="0"/>
                    <a:stretch/>
                  </pic:blipFill>
                  <pic:spPr>
                    <a:xfrm rot="0">
                      <a:off x="0" y="0"/>
                      <a:ext cx="4800600" cy="3688080"/>
                    </a:xfrm>
                    <a:prstGeom prst="rect"/>
                    <a:ln>
                      <a:noFill/>
                    </a:ln>
                  </pic:spPr>
                </pic:pic>
              </a:graphicData>
            </a:graphic>
          </wp:inline>
        </w:drawing>
      </w:r>
      <w:r>
        <w:t xml:space="preserve"> </w:t>
      </w:r>
    </w:p>
    <w:p>
      <w:pPr>
        <w:pStyle w:val="style0"/>
        <w:jc w:val="both"/>
        <w:rPr/>
      </w:pPr>
      <w:r>
        <w:t xml:space="preserve">In the Rigvedic era, there were two </w:t>
      </w:r>
      <w:r>
        <w:t>varnas</w:t>
      </w:r>
      <w:r>
        <w:t xml:space="preserve">: </w:t>
      </w:r>
      <w:r>
        <w:t>arya</w:t>
      </w:r>
      <w:r>
        <w:t xml:space="preserve"> </w:t>
      </w:r>
      <w:r>
        <w:t>varna</w:t>
      </w:r>
      <w:r>
        <w:t xml:space="preserve"> and </w:t>
      </w:r>
      <w:r>
        <w:t>dasa</w:t>
      </w:r>
      <w:r>
        <w:t xml:space="preserve"> varna, originally stemming from tribal divisions. The </w:t>
      </w:r>
      <w:r>
        <w:t>dasas</w:t>
      </w:r>
      <w:r>
        <w:t xml:space="preserve"> often allied with Aryan tribes and were likely absorbed into Aryan society, leading to a class differentiation. However, many </w:t>
      </w:r>
      <w:r>
        <w:t>dasas</w:t>
      </w:r>
      <w:r>
        <w:t xml:space="preserve"> held servile positions, which eventually evolved </w:t>
      </w:r>
      <w:r>
        <w:t>dasa</w:t>
      </w:r>
      <w:r>
        <w:t xml:space="preserve"> to mean servant or slave.</w:t>
      </w:r>
      <w:r>
        <w:rPr>
          <w:vanish/>
        </w:rPr>
        <w:t>Top of Form</w:t>
      </w:r>
    </w:p>
    <w:p>
      <w:pPr>
        <w:pStyle w:val="style0"/>
        <w:jc w:val="both"/>
        <w:rPr/>
      </w:pPr>
      <w:r>
        <w:t>In the Rigvedic society, occupations were not a defining characteristic. Many farmers and craftsmen engaged in various trades. Professions like chariot-making (</w:t>
      </w:r>
      <w:r>
        <w:t>rathakara</w:t>
      </w:r>
      <w:r>
        <w:t>) and metalworking (</w:t>
      </w:r>
      <w:r>
        <w:t>karmara</w:t>
      </w:r>
      <w:r>
        <w:t xml:space="preserve">) held esteemed positions without any associated stigma. The same </w:t>
      </w:r>
      <w:r>
        <w:t>favorable</w:t>
      </w:r>
      <w:r>
        <w:t xml:space="preserve"> regard applied to carpenters, tanners, weavers, and other craftsmen.</w:t>
      </w:r>
    </w:p>
    <w:p>
      <w:pPr>
        <w:pStyle w:val="style0"/>
        <w:jc w:val="both"/>
        <w:rPr/>
      </w:pPr>
      <w:r>
        <w:t xml:space="preserve">At the conclusion of the Atharvaveda era, fresh class differentiations began to surface. The previous </w:t>
      </w:r>
      <w:r>
        <w:t>dasas</w:t>
      </w:r>
      <w:r>
        <w:t xml:space="preserve"> were rebranded as Shudras, likely to separate them from the altered connotation of </w:t>
      </w:r>
      <w:r>
        <w:t>dasa</w:t>
      </w:r>
      <w:r>
        <w:t xml:space="preserve"> as a slave. The </w:t>
      </w:r>
      <w:r>
        <w:t>aryas</w:t>
      </w:r>
      <w:r>
        <w:t xml:space="preserve"> were </w:t>
      </w:r>
      <w:r>
        <w:t>redesignated</w:t>
      </w:r>
      <w:r>
        <w:t xml:space="preserve"> as vis or Vaishya (signifying members of the tribe), and the emergence of new elite classes occurred.</w:t>
      </w:r>
    </w:p>
    <w:p>
      <w:pPr>
        <w:pStyle w:val="style0"/>
        <w:jc w:val="both"/>
        <w:rPr>
          <w:b/>
          <w:bCs/>
        </w:rPr>
      </w:pPr>
      <w:r>
        <w:rPr>
          <w:b/>
          <w:bCs/>
        </w:rPr>
        <w:t>Later Vedic Period (1000-600 BCE)</w:t>
      </w:r>
    </w:p>
    <w:p>
      <w:pPr>
        <w:pStyle w:val="style0"/>
        <w:jc w:val="both"/>
        <w:rPr/>
      </w:pPr>
      <w:r>
        <w:rPr>
          <w:noProof/>
        </w:rPr>
        <w:drawing>
          <wp:inline distL="0" distT="0" distB="0" distR="0">
            <wp:extent cx="5113020" cy="3924299"/>
            <wp:effectExtent l="0" t="0" r="0" b="0"/>
            <wp:docPr id="1030"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6" cstate="print"/>
                    <a:srcRect l="0" t="0" r="0" b="0"/>
                    <a:stretch/>
                  </pic:blipFill>
                  <pic:spPr>
                    <a:xfrm rot="0">
                      <a:off x="0" y="0"/>
                      <a:ext cx="5113020" cy="3924299"/>
                    </a:xfrm>
                    <a:prstGeom prst="rect"/>
                    <a:ln>
                      <a:noFill/>
                    </a:ln>
                  </pic:spPr>
                </pic:pic>
              </a:graphicData>
            </a:graphic>
          </wp:inline>
        </w:drawing>
      </w:r>
      <w:r>
        <w:t xml:space="preserve"> </w:t>
      </w:r>
    </w:p>
    <w:p>
      <w:pPr>
        <w:pStyle w:val="style0"/>
        <w:jc w:val="both"/>
        <w:rPr/>
      </w:pPr>
      <w:r>
        <w:t xml:space="preserve">In an early Upanishad, Shudras are referred to as </w:t>
      </w:r>
      <w:r>
        <w:t>Pūşan</w:t>
      </w:r>
      <w:r>
        <w:t xml:space="preserve"> or </w:t>
      </w:r>
      <w:r>
        <w:t>nourishers</w:t>
      </w:r>
      <w:r>
        <w:t>, suggesting their role as cultivators of the land. However, shortly after, Shudras are not included among the taxpayers, and they are mentioned as being given along with the lands in case of gifting. Many artisans also find themselves classified as Shudras, yet there is no indication of contempt for their work.</w:t>
      </w:r>
    </w:p>
    <w:p>
      <w:pPr>
        <w:pStyle w:val="style0"/>
        <w:jc w:val="both"/>
        <w:rPr/>
      </w:pPr>
      <w:r>
        <w:t>The Brahmins and Kshatriyas hold a privileged position in rituals, setting them apart from both Vaishyas and Shudras. The Vaishya is noted to be "oppressed at will," while the Shudra is described as "beaten at will."</w:t>
      </w:r>
      <w:r>
        <w:rPr>
          <w:vanish/>
        </w:rPr>
        <w:t>Top of Form</w:t>
      </w:r>
    </w:p>
    <w:p>
      <w:pPr>
        <w:pStyle w:val="style0"/>
        <w:jc w:val="both"/>
        <w:rPr/>
      </w:pPr>
    </w:p>
    <w:p>
      <w:pPr>
        <w:pStyle w:val="style157"/>
        <w:rPr/>
      </w:pPr>
      <w:r>
        <w:t xml:space="preserve">Our understanding of this era is enhanced by Pali Buddhist scriptures. While Brahmanical texts discuss the four-fold varna system, Buddhist scriptures depict society structured around </w:t>
      </w:r>
      <w:r>
        <w:t>jati</w:t>
      </w:r>
      <w:r>
        <w:t xml:space="preserve">, </w:t>
      </w:r>
      <w:r>
        <w:t>kula</w:t>
      </w:r>
      <w:r>
        <w:t xml:space="preserve">, and occupation. It is probable that although the varna system was part of Brahmanical ideology, it wasn't fully functional in practice. In Buddhist texts, Brahmins and Kshatriyas are categorized as </w:t>
      </w:r>
      <w:r>
        <w:t>jatis</w:t>
      </w:r>
      <w:r>
        <w:t xml:space="preserve"> rather than </w:t>
      </w:r>
      <w:r>
        <w:t>varnas</w:t>
      </w:r>
      <w:r>
        <w:t xml:space="preserve">, representing high-ranking </w:t>
      </w:r>
      <w:r>
        <w:t>jatis</w:t>
      </w:r>
      <w:r>
        <w:t xml:space="preserve">. Lower-ranking </w:t>
      </w:r>
      <w:r>
        <w:t>jatis</w:t>
      </w:r>
      <w:r>
        <w:t xml:space="preserve"> are mentioned as chandala, along with occupational groups such as bamboo weavers, hunters, chariot-makers, and </w:t>
      </w:r>
      <w:r>
        <w:t>sweepers.</w:t>
      </w:r>
      <w:r>
        <w:t>ond</w:t>
      </w:r>
      <w:r>
        <w:t xml:space="preserve"> Urbanization (500-200 BCE)</w:t>
      </w:r>
    </w:p>
    <w:p>
      <w:pPr>
        <w:pStyle w:val="style0"/>
        <w:jc w:val="both"/>
        <w:rPr>
          <w:b/>
          <w:bCs/>
        </w:rPr>
      </w:pPr>
    </w:p>
    <w:p>
      <w:pPr>
        <w:pStyle w:val="style157"/>
        <w:rPr/>
      </w:pPr>
      <w:r>
        <w:t xml:space="preserve">The notion of kulas was generally alike. In addition to Brahmins and Kshatriyas, a group known as </w:t>
      </w:r>
      <w:r>
        <w:t>gahapatis</w:t>
      </w:r>
      <w:r>
        <w:t xml:space="preserve"> (meaning householders, but essentially referring to the propertied classes) was also considered part of the high kulas. Individuals from high kulas were involved in prestigious occupations such as agriculture and trade.</w:t>
      </w:r>
    </w:p>
    <w:p>
      <w:pPr>
        <w:pStyle w:val="style157"/>
        <w:rPr/>
      </w:pPr>
    </w:p>
    <w:p>
      <w:pPr>
        <w:pStyle w:val="style157"/>
        <w:rPr/>
      </w:pPr>
      <w:r>
        <w:t xml:space="preserve">The occupations of high kulas included cattle-keeping, computing, accounting, and writing, while those of low kulas were involved in less esteemed jobs such as basket-weaving and sweeping. </w:t>
      </w:r>
    </w:p>
    <w:p>
      <w:pPr>
        <w:pStyle w:val="style157"/>
        <w:rPr/>
      </w:pPr>
      <w:r>
        <w:t xml:space="preserve">Although there was a correlation between kulas and occupations, particularly at the upper and lower extremes, there wasn't a rigid connection between social class or caste and occupation, especially for those in the middle range. Many professions like accounting and writing were not limited to specific </w:t>
      </w:r>
      <w:r>
        <w:t>jatis</w:t>
      </w:r>
      <w:r>
        <w:t>. In his examination of caste in India, Peter Masefield notes that in theory, anyone could practice any profession. The texts indicate that Brahmins accepted food from anyone, indicating that strict dietary rules were not yet established. The Nikaya texts also suggest that endogamy (marrying within one's social group) was not obligatory.</w:t>
      </w:r>
    </w:p>
    <w:p>
      <w:pPr>
        <w:pStyle w:val="style157"/>
        <w:rPr/>
      </w:pPr>
      <w:r>
        <w:rPr>
          <w:vanish/>
        </w:rPr>
        <w:t>Top of Form</w:t>
      </w:r>
    </w:p>
    <w:p>
      <w:pPr>
        <w:pStyle w:val="style157"/>
        <w:rPr/>
      </w:pPr>
      <w:r>
        <w:t>The debates of that era are apparent in the texts detailing conversations between Buddha and the Brahmins. The Brahmins uphold their perceived divine superiority and claim the right to receive service from lower social orders. In response, Buddha highlights the universal reality of biological birth shared by all humans and emphasizes that the ability to receive service is not inherent but can change—those who are currently servants could rise in status, and vice versa. Buddha endorsed this form of social mobility.</w:t>
      </w:r>
    </w:p>
    <w:p>
      <w:pPr>
        <w:pStyle w:val="style157"/>
        <w:rPr>
          <w:vanish/>
        </w:rPr>
      </w:pPr>
    </w:p>
    <w:p>
      <w:pPr>
        <w:pStyle w:val="style157"/>
        <w:rPr>
          <w:vanish/>
        </w:rPr>
      </w:pPr>
      <w:r>
        <w:rPr>
          <w:vanish/>
        </w:rPr>
        <w:t>Top of Form</w:t>
      </w:r>
    </w:p>
    <w:p>
      <w:pPr>
        <w:pStyle w:val="style157"/>
        <w:rPr/>
      </w:pPr>
    </w:p>
    <w:p>
      <w:pPr>
        <w:pStyle w:val="style0"/>
        <w:jc w:val="both"/>
        <w:rPr>
          <w:b/>
          <w:bCs/>
        </w:rPr>
      </w:pPr>
      <w:r>
        <w:rPr>
          <w:b/>
          <w:bCs/>
        </w:rPr>
        <w:t>Classical Period (320-650 CE)</w:t>
      </w:r>
    </w:p>
    <w:p>
      <w:pPr>
        <w:pStyle w:val="style0"/>
        <w:jc w:val="both"/>
        <w:rPr/>
      </w:pPr>
      <w:r>
        <w:rPr>
          <w:noProof/>
        </w:rPr>
        <w:drawing>
          <wp:inline distL="0" distT="0" distB="0" distR="0">
            <wp:extent cx="5097780" cy="3550920"/>
            <wp:effectExtent l="0" t="0" r="7620" b="0"/>
            <wp:docPr id="1031"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8"/>
                    <pic:cNvPicPr/>
                  </pic:nvPicPr>
                  <pic:blipFill>
                    <a:blip r:embed="rId7" cstate="print"/>
                    <a:srcRect l="0" t="0" r="0" b="0"/>
                    <a:stretch/>
                  </pic:blipFill>
                  <pic:spPr>
                    <a:xfrm rot="0">
                      <a:off x="0" y="0"/>
                      <a:ext cx="5097780" cy="3550920"/>
                    </a:xfrm>
                    <a:prstGeom prst="rect"/>
                    <a:ln>
                      <a:noFill/>
                    </a:ln>
                  </pic:spPr>
                </pic:pic>
              </a:graphicData>
            </a:graphic>
          </wp:inline>
        </w:drawing>
      </w:r>
      <w:r>
        <w:rPr>
          <w:b/>
          <w:bCs/>
        </w:rPr>
        <w:t xml:space="preserve">Manuscript illustration from the Mahabharata of the Battle of Kurukshetra </w:t>
      </w:r>
      <w:r>
        <w:t xml:space="preserve"> </w:t>
      </w:r>
    </w:p>
    <w:p>
      <w:pPr>
        <w:pStyle w:val="style0"/>
        <w:jc w:val="both"/>
        <w:rPr/>
      </w:pPr>
      <w:r>
        <w:t>The Mahabharata, believed to have been finalized by the end of the fourth century, addresses the varna system in section 12.181, presenting two distinct models. The first model portrays varna as</w:t>
      </w:r>
      <w:r>
        <w:t xml:space="preserve"> a </w:t>
      </w:r>
    </w:p>
    <w:p>
      <w:pPr>
        <w:pStyle w:val="style0"/>
        <w:jc w:val="both"/>
        <w:rPr/>
      </w:pPr>
      <w:r>
        <w:t>color</w:t>
      </w:r>
      <w:r>
        <w:t>-based system, as narrated by a character named Bhrigu. According to this model, "Brahmins varna was</w:t>
      </w:r>
      <w:r>
        <w:t xml:space="preserve"> </w:t>
      </w:r>
      <w:r>
        <w:t xml:space="preserve">The Mahabharata, dated to its final form around the end of the fourth century, discusses the varna system in section 12.181, presenting two perspectives. The first model, voiced by Bhrigu, associates </w:t>
      </w:r>
      <w:r>
        <w:t>varnas</w:t>
      </w:r>
      <w:r>
        <w:t xml:space="preserve"> with </w:t>
      </w:r>
      <w:r>
        <w:t>colors</w:t>
      </w:r>
      <w:r>
        <w:t xml:space="preserve">: Brahmins as white, Kshatriyas as red, Vaishyas as yellow, and Shudras as black. Bharadvaja, however, questions this notion, pointing out that </w:t>
      </w:r>
      <w:r>
        <w:t>colors</w:t>
      </w:r>
      <w:r>
        <w:t xml:space="preserve"> are visible in all varnas, and common human experiences such as desire, anger, fear, and others are universal. He asks what truly distinguishes the varnas. In response, the Mahabharata states, "There is no distinction of varnas. This entire universe is Brahman, created by Brahma and categorized based on deeds."</w:t>
      </w:r>
    </w:p>
    <w:p>
      <w:pPr>
        <w:pStyle w:val="style0"/>
        <w:jc w:val="both"/>
        <w:rPr/>
      </w:pPr>
      <w:r>
        <w:t xml:space="preserve">The epic then presents a </w:t>
      </w:r>
      <w:r>
        <w:t>behavioral</w:t>
      </w:r>
      <w:r>
        <w:t xml:space="preserve"> model for the varna system, explaining that those inclined towards anger, pleasures, and bravery achieved the Kshatriya varna; those inclined towards cattle-rearing and agriculture attained the Vaishya varna; and those with tendencies towards violence, greed, and impurity were placed in the Shudra varna. The Brahmin class is depicted in the epic as the ideal representation of humanity, dedicated to truth, austerity, and pure conduct.</w:t>
      </w:r>
    </w:p>
    <w:p>
      <w:pPr>
        <w:pStyle w:val="style0"/>
        <w:jc w:val="both"/>
        <w:rPr/>
      </w:pPr>
      <w:r>
        <w:t>In the Mahabharata and earlier Hindu texts, as Hiltebeitel points out, it's crucial to understand that varna is non-genealogical in theory. The four varnas are not based on lineages but are instead categories</w:t>
      </w:r>
      <w:r>
        <w:t>.</w:t>
      </w:r>
      <w:r>
        <w:rPr>
          <w:vanish/>
        </w:rPr>
        <w:t>Top of Form</w:t>
      </w:r>
    </w:p>
    <w:p>
      <w:pPr>
        <w:pStyle w:val="style0"/>
        <w:jc w:val="both"/>
        <w:rPr/>
      </w:pPr>
      <w:r>
        <w:t xml:space="preserve">The </w:t>
      </w:r>
      <w:r>
        <w:t>Adipurana</w:t>
      </w:r>
      <w:r>
        <w:t xml:space="preserve"> text also delves into the connection between </w:t>
      </w:r>
      <w:r>
        <w:t>varna</w:t>
      </w:r>
      <w:r>
        <w:t xml:space="preserve"> and </w:t>
      </w:r>
      <w:r>
        <w:t>jati</w:t>
      </w:r>
      <w:r>
        <w:t xml:space="preserve">. According to Padmanabh Jaini, an expert in Indic studies, the Adi Purana text in Jainism and Buddhism states that "there is only one </w:t>
      </w:r>
      <w:r>
        <w:t>jati</w:t>
      </w:r>
      <w:r>
        <w:t xml:space="preserve"> called </w:t>
      </w:r>
      <w:r>
        <w:t>manusyajati</w:t>
      </w:r>
      <w:r>
        <w:t xml:space="preserve"> or the human caste, but divisions arise based on their various professions." Jainism texts suggest that the Kshatriya caste emerged when Rishabha acquired weapons to serve society and assumed royal powers, whereas the Vaishya and Shudra castes originated from their distinct specialized livelihoods.</w:t>
      </w:r>
      <w:r>
        <w:rPr>
          <w:vanish/>
        </w:rPr>
        <w:t>Top of Form</w:t>
      </w:r>
    </w:p>
    <w:p>
      <w:pPr>
        <w:pStyle w:val="style0"/>
        <w:jc w:val="both"/>
        <w:rPr/>
      </w:pPr>
      <w:r>
        <w:rPr>
          <w:rFonts w:ascii="Segoe UI" w:cs="Segoe UI" w:hAnsi="Segoe UI"/>
          <w:color w:val="ececec"/>
          <w:shd w:val="clear" w:color="auto" w:fill="212121"/>
        </w:rPr>
        <w:t>Late Classical and Early Medieval Era (650-1400 CE)</w:t>
      </w:r>
    </w:p>
    <w:p>
      <w:pPr>
        <w:pStyle w:val="style0"/>
        <w:jc w:val="both"/>
        <w:rPr/>
      </w:pPr>
      <w:r>
        <w:rPr>
          <w:noProof/>
        </w:rPr>
        <w:drawing>
          <wp:inline distL="0" distT="0" distB="0" distR="0">
            <wp:extent cx="4701540" cy="4488180"/>
            <wp:effectExtent l="0" t="0" r="3810" b="7620"/>
            <wp:docPr id="1032"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8" cstate="print"/>
                    <a:srcRect l="0" t="0" r="0" b="0"/>
                    <a:stretch/>
                  </pic:blipFill>
                  <pic:spPr>
                    <a:xfrm rot="0">
                      <a:off x="0" y="0"/>
                      <a:ext cx="4701540" cy="4488180"/>
                    </a:xfrm>
                    <a:prstGeom prst="rect"/>
                    <a:ln>
                      <a:noFill/>
                    </a:ln>
                  </pic:spPr>
                </pic:pic>
              </a:graphicData>
            </a:graphic>
          </wp:inline>
        </w:drawing>
      </w:r>
      <w:r>
        <w:rPr>
          <w:b/>
          <w:bCs/>
        </w:rPr>
        <w:t>Archaeological Museums map of Andhra Pradesh / Adityamadhav83k, </w:t>
      </w:r>
      <w:r>
        <w:t xml:space="preserve"> </w:t>
      </w:r>
    </w:p>
    <w:p>
      <w:pPr>
        <w:pStyle w:val="style0"/>
        <w:jc w:val="both"/>
        <w:rPr/>
      </w:pPr>
      <w:r>
        <w:t xml:space="preserve">Researchers have </w:t>
      </w:r>
      <w:r>
        <w:t>endeavored</w:t>
      </w:r>
      <w:r>
        <w:t xml:space="preserve"> to uncover historical proof regarding the presence and characteristics of </w:t>
      </w:r>
      <w:r>
        <w:t>varna</w:t>
      </w:r>
      <w:r>
        <w:t xml:space="preserve"> and </w:t>
      </w:r>
      <w:r>
        <w:t>jati</w:t>
      </w:r>
      <w:r>
        <w:t xml:space="preserve"> in medieval Indian records and inscriptions. However, concrete evidence supporting the existence of </w:t>
      </w:r>
      <w:r>
        <w:t>varna</w:t>
      </w:r>
      <w:r>
        <w:t xml:space="preserve"> and </w:t>
      </w:r>
      <w:r>
        <w:t>jati</w:t>
      </w:r>
      <w:r>
        <w:t xml:space="preserve"> systems during this period has been challenging to find, with conflicting evidence surfacing instead.</w:t>
      </w:r>
    </w:p>
    <w:p>
      <w:pPr>
        <w:pStyle w:val="style0"/>
        <w:jc w:val="both"/>
        <w:rPr/>
      </w:pPr>
      <w:r>
        <w:t xml:space="preserve">In the extensive records of medieval Andhra Pradesh, mentions of varna are scarce. References to </w:t>
      </w:r>
      <w:r>
        <w:t>jati</w:t>
      </w:r>
      <w:r>
        <w:t xml:space="preserve"> are even rarer, especially up to the 13th century. There are two uncommon temple donor records from warrior families in the 14th century that claim to be Shudras. One asserts that Shudras are the bravest, while the other claims they are the purest. Richard Eaton, a History professor, notes that "anyone could become a warrior regardless of social background, and neither do</w:t>
      </w:r>
      <w:r>
        <w:t xml:space="preserve"> </w:t>
      </w:r>
      <w:r>
        <w:t>Jati, which is considered another fundamental aspect of traditional Indian society, played a role in shaping people's identities. Eaton highlights that occupations were not fixed and suggests that Shudras were included in the nobility. He also points out that many father-son pairs pursued different professions, indicating that social status was achieved rather than inherited among the Hindu Kakatiya population in the Deccan region from the 11th to the 14th centuries.</w:t>
      </w:r>
    </w:p>
    <w:p>
      <w:pPr>
        <w:pStyle w:val="style0"/>
        <w:jc w:val="both"/>
        <w:rPr/>
      </w:pPr>
      <w:r>
        <w:t>Leslie Orr, a professor of Religion, has studied the Tamil Nadu region of India. She notes that "Chola period inscriptions challenge our assumptions about the organization of (south Indian) society overall." Contrary to what Brahmanical legal texts might suggest, there is no clear evidence that caste serves as the primary organizing principle of society, nor are the boundaries between various social groups sharply defined</w:t>
      </w:r>
    </w:p>
    <w:p>
      <w:pPr>
        <w:pStyle w:val="style0"/>
        <w:jc w:val="both"/>
        <w:rPr>
          <w:rFonts w:ascii="Segoe UI" w:cs="Segoe UI" w:hAnsi="Segoe UI"/>
          <w:color w:val="ececec"/>
          <w:shd w:val="clear" w:color="auto" w:fill="212121"/>
        </w:rPr>
      </w:pPr>
      <w:r>
        <w:br/>
      </w:r>
      <w:r>
        <w:t>Susan Bayly notes that until the colonial era, many areas in northern India had populations where formal caste distinctions held limited significance. Even in regions like the Gangetic plains, often considered the Hindu heartland, the institutions and beliefs associated with traditional caste were still in the early stages of development as late as the early 18th century. This period coincided with the decline of the Mughal Empire and the increasing influence of Western powers in the Indian subcontinent.</w:t>
      </w:r>
    </w:p>
    <w:p>
      <w:pPr>
        <w:pStyle w:val="style0"/>
        <w:jc w:val="both"/>
        <w:rPr/>
      </w:pPr>
      <w:r>
        <w:t xml:space="preserve">According to Dirk Kolff, a professor of Humanities, open-status social groups played a significant role in Rajput history during the medieval period in western India. </w:t>
      </w:r>
    </w:p>
    <w:p>
      <w:pPr>
        <w:pStyle w:val="style0"/>
        <w:jc w:val="both"/>
        <w:rPr/>
      </w:pPr>
    </w:p>
    <w:p>
      <w:pPr>
        <w:pStyle w:val="style0"/>
        <w:jc w:val="both"/>
        <w:rPr>
          <w:b/>
          <w:bCs/>
        </w:rPr>
      </w:pPr>
      <w:r>
        <w:rPr>
          <w:b/>
          <w:bCs/>
        </w:rPr>
        <w:t>Medieval era, Islamic Sultanates and Mughal Period (1000-1750)</w:t>
      </w:r>
    </w:p>
    <w:p>
      <w:pPr>
        <w:pStyle w:val="style0"/>
        <w:jc w:val="both"/>
        <w:rPr>
          <w:b/>
          <w:bCs/>
        </w:rPr>
      </w:pPr>
      <w:r>
        <w:rPr>
          <w:noProof/>
        </w:rPr>
        <w:drawing>
          <wp:inline distL="0" distT="0" distB="0" distR="0">
            <wp:extent cx="3619500" cy="5173980"/>
            <wp:effectExtent l="0" t="0" r="0" b="7620"/>
            <wp:docPr id="1033"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9" cstate="print"/>
                    <a:srcRect l="0" t="0" r="0" b="0"/>
                    <a:stretch/>
                  </pic:blipFill>
                  <pic:spPr>
                    <a:xfrm rot="0">
                      <a:off x="0" y="0"/>
                      <a:ext cx="3619500" cy="5173980"/>
                    </a:xfrm>
                    <a:prstGeom prst="rect"/>
                    <a:ln>
                      <a:noFill/>
                    </a:ln>
                  </pic:spPr>
                </pic:pic>
              </a:graphicData>
            </a:graphic>
          </wp:inline>
        </w:drawing>
      </w:r>
    </w:p>
    <w:p>
      <w:pPr>
        <w:pStyle w:val="style0"/>
        <w:jc w:val="both"/>
        <w:rPr>
          <w:b/>
          <w:bCs/>
        </w:rPr>
      </w:pPr>
      <w:r>
        <w:rPr>
          <w:b/>
          <w:bCs/>
        </w:rPr>
        <w:t>Later Mughal Period (1700-1850)</w:t>
      </w:r>
    </w:p>
    <w:p>
      <w:pPr>
        <w:pStyle w:val="style0"/>
        <w:jc w:val="both"/>
        <w:rPr/>
      </w:pPr>
      <w:r>
        <w:t>Susan Bayly, an anthropologist, observes that "caste has not been and is not a static aspect of Indian society." She explains that the caste system, known today as a "ritualized structure of social hierarchy," evolved in two phases during the post-Mughal era, specifically in the 18th and early 19th centuries. Bayly highlights three key values that significantly influenced this evolution: the hierarchy within the priesthood, the concept of kingship, and the presence of armed ascetics.</w:t>
      </w:r>
    </w:p>
    <w:p>
      <w:pPr>
        <w:pStyle w:val="style0"/>
        <w:jc w:val="both"/>
        <w:rPr/>
      </w:pPr>
      <w:r>
        <w:t>As legal frameworks and governmental structures were developing in India alongside the increasing influence of colonial Europeans, Dirks points out that late 18th-century British literature regarding India primarily focuses on topics such as territorial expansion, alliances, warfare, and diplomatic relations within the region. Despite this period of scholarly activity, Colin Mackenzie, a British social historian, amassed a significant collection of texts related to Indian religions, culture, traditions, and local histories from southern India and the Deccan region. However, there is scant mention of the caste system in his collection and writings pertaining to 18th-century India.</w:t>
      </w:r>
    </w:p>
    <w:p>
      <w:pPr>
        <w:pStyle w:val="style0"/>
        <w:jc w:val="both"/>
        <w:rPr>
          <w:b/>
          <w:bCs/>
        </w:rPr>
      </w:pPr>
      <w:r>
        <w:rPr>
          <w:b/>
          <w:bCs/>
        </w:rPr>
        <w:t>During British Rule (1857-1947)</w:t>
      </w:r>
    </w:p>
    <w:p>
      <w:pPr>
        <w:pStyle w:val="style0"/>
        <w:jc w:val="both"/>
        <w:rPr/>
      </w:pPr>
      <w:r>
        <w:rPr>
          <w:b/>
          <w:bCs/>
        </w:rPr>
        <w:t>Basis</w:t>
      </w:r>
    </w:p>
    <w:p>
      <w:pPr>
        <w:pStyle w:val="style0"/>
        <w:jc w:val="both"/>
        <w:rPr/>
      </w:pPr>
      <w:r>
        <w:t xml:space="preserve">While the </w:t>
      </w:r>
      <w:r>
        <w:t>varnas</w:t>
      </w:r>
      <w:r>
        <w:t xml:space="preserve"> and </w:t>
      </w:r>
      <w:r>
        <w:t>jatis</w:t>
      </w:r>
      <w:r>
        <w:t xml:space="preserve"> have ancient origins, the contemporary caste system has evolved significantly during the post-Mughal era and the British colonial rule. These periods witnessed developments that transformed the caste system into a central organizational tool for administration.</w:t>
      </w:r>
    </w:p>
    <w:p>
      <w:pPr>
        <w:pStyle w:val="style0"/>
        <w:jc w:val="both"/>
        <w:rPr/>
      </w:pPr>
      <w:r>
        <w:t xml:space="preserve">During the British colonial era, </w:t>
      </w:r>
      <w:r>
        <w:t>jatis</w:t>
      </w:r>
      <w:r>
        <w:t xml:space="preserve"> served as the foundation of caste ethnology. Starting from the 1881 census and continuing afterward, colonial ethnographers utilized caste (</w:t>
      </w:r>
      <w:r>
        <w:t>jati</w:t>
      </w:r>
      <w:r>
        <w:t xml:space="preserve">) classifications to enumerate and categorize individuals in what was then British India (now comprising India, Pakistan, Bangladesh, and Burma). The 1891 census introduced 60 sub-groups, each further divided into six occupational and racial categories, and this number grew in subsequent censuses. According to Susan Bayly, the caste tables in the British colonial-era census "systematically organized, standardized, and cross-referenced </w:t>
      </w:r>
      <w:r>
        <w:t>jati</w:t>
      </w:r>
      <w:r>
        <w:t xml:space="preserve"> listings for Indians using principles akin to those in zoological and botanical classifications," with the goal of determining hierarchical rankings based on notions of purity, occupational origins, and collective moral standing.</w:t>
      </w:r>
    </w:p>
    <w:p>
      <w:pPr>
        <w:pStyle w:val="style0"/>
        <w:jc w:val="both"/>
        <w:rPr/>
      </w:pPr>
      <w:r>
        <w:br/>
      </w:r>
      <w:r>
        <w:t xml:space="preserve">While bureaucratic British officials diligently compiled reports based on their zoological classification of Indian people, some of their colleagues criticized these </w:t>
      </w:r>
      <w:r>
        <w:t>endeavors</w:t>
      </w:r>
      <w:r>
        <w:t xml:space="preserve"> as mere caricatures that did not accurately represent the complexities of the caste system in India. The British colonial administrators utilized the </w:t>
      </w:r>
      <w:r>
        <w:t>jatis</w:t>
      </w:r>
      <w:r>
        <w:t xml:space="preserve"> identified in the census to determine which individuals were eligible for particular positions within the colonial government, while also excluding certain </w:t>
      </w:r>
      <w:r>
        <w:t>jatis</w:t>
      </w:r>
      <w:r>
        <w:t xml:space="preserve"> as unreliable. According to Gloria Raheja, a professor of Anthropology, these census-derived caste classifications were also instrumental in setting land tax rates during the late 19th and early 20th centuries. Furthermore, they were frequently used by British officials to label certain social groups as "criminal" castes and identify castes prone to "rebellion."</w:t>
      </w:r>
    </w:p>
    <w:p>
      <w:pPr>
        <w:pStyle w:val="style0"/>
        <w:jc w:val="both"/>
        <w:rPr/>
      </w:pPr>
      <w:r>
        <w:br/>
      </w:r>
      <w:r>
        <w:t xml:space="preserve">At that time, the population </w:t>
      </w:r>
      <w:r>
        <w:t>totaled</w:t>
      </w:r>
      <w:r>
        <w:t xml:space="preserve"> around 200 million individuals, following five major religions, residing in over 500,000 agrarian villages. These villages typically ranged in population from 100 to 1,000 people, encompassing diverse age groups and segmented into numerous castes.</w:t>
      </w:r>
    </w:p>
    <w:p>
      <w:pPr>
        <w:pStyle w:val="style0"/>
        <w:jc w:val="both"/>
        <w:rPr>
          <w:vanish/>
        </w:rPr>
      </w:pPr>
      <w:r>
        <w:rPr>
          <w:vanish/>
        </w:rPr>
        <w:t>Top of Form</w:t>
      </w:r>
    </w:p>
    <w:p>
      <w:pPr>
        <w:pStyle w:val="style0"/>
        <w:jc w:val="both"/>
        <w:rPr/>
      </w:pPr>
    </w:p>
    <w:p>
      <w:pPr>
        <w:pStyle w:val="style0"/>
        <w:jc w:val="both"/>
        <w:rPr/>
      </w:pPr>
      <w:r>
        <w:rPr>
          <w:b/>
          <w:bCs/>
        </w:rPr>
        <w:t>Further Development</w:t>
      </w:r>
    </w:p>
    <w:p>
      <w:pPr>
        <w:pStyle w:val="style0"/>
        <w:jc w:val="both"/>
        <w:rPr/>
      </w:pPr>
      <w:r>
        <w:t>During the round table conference held in August 1932, at the request of Ambedkar, the Prime Minister of Britain at that time, Ramsay MacDonald, introduced a Communal Award. This award provided for separate representation for various groups, including Muslims, Sikhs, Christians, Anglo-Indians, Europeans, and Dalits. Specifically, the depressed classes were allocated a certain number of seats to be filled through elections from special constituencies where only voters belonging to the depressed classes could participate.</w:t>
      </w:r>
    </w:p>
    <w:p>
      <w:pPr>
        <w:pStyle w:val="style0"/>
        <w:jc w:val="both"/>
        <w:rPr/>
      </w:pPr>
      <w:r>
        <w:t>In response to this provision, Gandhi initiated a hunger strike, arguing that such an arrangement would divide the Hindu community. Years later, Ambedkar stated that Gandhi's fast amounted to coercion. Eventually, an agreement was reached known as the Poona Pact, in which Gandhi ended his fast and Ambedkar withdrew his demand for a separate electorate.</w:t>
      </w:r>
    </w:p>
    <w:p>
      <w:pPr>
        <w:pStyle w:val="style0"/>
        <w:jc w:val="both"/>
        <w:rPr>
          <w:vanish/>
        </w:rPr>
      </w:pPr>
      <w:r>
        <w:rPr>
          <w:vanish/>
        </w:rPr>
        <w:t>Top of Form</w:t>
      </w:r>
    </w:p>
    <w:p>
      <w:pPr>
        <w:pStyle w:val="style0"/>
        <w:jc w:val="both"/>
        <w:rPr/>
      </w:pPr>
    </w:p>
    <w:p>
      <w:pPr>
        <w:pStyle w:val="style0"/>
        <w:jc w:val="both"/>
        <w:rPr/>
      </w:pPr>
      <w:r>
        <w:rPr>
          <w:b/>
          <w:bCs/>
        </w:rPr>
        <w:t>Other Theories and Observations</w:t>
      </w:r>
    </w:p>
    <w:p>
      <w:pPr>
        <w:pStyle w:val="style0"/>
        <w:jc w:val="both"/>
        <w:rPr/>
      </w:pPr>
      <w:r>
        <w:br/>
      </w:r>
      <w:r>
        <w:t xml:space="preserve">In their analysis of Hutton's study on the caste system in colonial India, </w:t>
      </w:r>
      <w:r>
        <w:t>Smelser</w:t>
      </w:r>
      <w:r>
        <w:t xml:space="preserve"> and </w:t>
      </w:r>
      <w:r>
        <w:t>Lipset</w:t>
      </w:r>
      <w:r>
        <w:t xml:space="preserve"> suggest a theory regarding individual mobility across caste lines. They propose that such mobility might have been limited in British India due to the ritualistic nature of the caste system. They argue that this limitation could be attributed to the fact that colonial social stratification operated within the framework of the pre-existing ritual caste system.</w:t>
      </w:r>
    </w:p>
    <w:p>
      <w:pPr>
        <w:pStyle w:val="style0"/>
        <w:jc w:val="both"/>
        <w:rPr>
          <w:vanish/>
        </w:rPr>
      </w:pPr>
      <w:r>
        <w:rPr>
          <w:vanish/>
        </w:rPr>
        <w:t>Top of Form</w:t>
      </w:r>
    </w:p>
    <w:p>
      <w:pPr>
        <w:pStyle w:val="style0"/>
        <w:jc w:val="both"/>
        <w:rPr/>
      </w:pPr>
      <w:r>
        <w:t xml:space="preserve">The establishment of a modern caste system during the early British colonial rule in the 18th and 19th centuries was not consistent across South Asia. Claude Markovits, a French historian specializing in colonial India, notes that Hindu society in North and West India (including Sindh) during the late 18th century and much of the 19th century did not have a well-defined caste system. Instead, their religious identities were fluid, encompassing Saivism, </w:t>
      </w:r>
      <w:r>
        <w:t>Vaisnavism</w:t>
      </w:r>
      <w:r>
        <w:t xml:space="preserve">, and Sikhism. Additionally, Brahmins were not the predominant priestly group; instead, it was the </w:t>
      </w:r>
      <w:r>
        <w:t>Bawas</w:t>
      </w:r>
      <w:r>
        <w:t xml:space="preserve"> who held more influence.</w:t>
      </w:r>
    </w:p>
    <w:p>
      <w:pPr>
        <w:pStyle w:val="style0"/>
        <w:jc w:val="both"/>
        <w:rPr/>
      </w:pPr>
      <w:r>
        <w:t>Markovits argues that among the Hindu merchant community in northwest India, neither religion nor caste played a significant structuring role during this period.</w:t>
      </w:r>
    </w:p>
    <w:p>
      <w:pPr>
        <w:pStyle w:val="style0"/>
        <w:jc w:val="both"/>
        <w:rPr/>
      </w:pPr>
    </w:p>
    <w:p>
      <w:pPr>
        <w:pStyle w:val="style0"/>
        <w:jc w:val="both"/>
        <w:rPr>
          <w:b/>
          <w:bCs/>
        </w:rPr>
      </w:pPr>
      <w:r>
        <w:rPr>
          <w:b/>
          <w:bCs/>
        </w:rPr>
        <w:t>Contemporary</w:t>
      </w:r>
    </w:p>
    <w:p>
      <w:pPr>
        <w:pStyle w:val="style0"/>
        <w:jc w:val="both"/>
        <w:rPr/>
      </w:pPr>
      <w:r>
        <w:rPr>
          <w:b/>
          <w:bCs/>
        </w:rPr>
        <w:t>Caste Politics</w:t>
      </w:r>
    </w:p>
    <w:p>
      <w:pPr>
        <w:pStyle w:val="style0"/>
        <w:jc w:val="both"/>
        <w:rPr/>
      </w:pPr>
      <w:r>
        <w:rPr>
          <w:noProof/>
        </w:rPr>
        <w:drawing>
          <wp:inline distL="0" distT="0" distB="0" distR="0">
            <wp:extent cx="2621280" cy="3931920"/>
            <wp:effectExtent l="0" t="0" r="7620" b="0"/>
            <wp:docPr id="1034"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0" cstate="print"/>
                    <a:srcRect l="0" t="0" r="0" b="0"/>
                    <a:stretch/>
                  </pic:blipFill>
                  <pic:spPr>
                    <a:xfrm rot="0">
                      <a:off x="0" y="0"/>
                      <a:ext cx="2621280" cy="3931920"/>
                    </a:xfrm>
                    <a:prstGeom prst="rect"/>
                    <a:ln>
                      <a:noFill/>
                    </a:ln>
                  </pic:spPr>
                </pic:pic>
              </a:graphicData>
            </a:graphic>
          </wp:inline>
        </w:drawing>
      </w:r>
      <w:r>
        <w:rPr>
          <w:b/>
          <w:bCs/>
        </w:rPr>
        <w:t xml:space="preserve">The massive 2006 Indian anti-reservation protests </w:t>
      </w:r>
      <w:r>
        <w:t xml:space="preserve"> </w:t>
      </w:r>
    </w:p>
    <w:p>
      <w:pPr>
        <w:pStyle w:val="style0"/>
        <w:jc w:val="both"/>
        <w:rPr/>
      </w:pPr>
      <w:r>
        <w:t>India continues to grapple with societal stratification and the resulting inequality, which has faced significant criticism. Government policies have been implemented to address this inequality, including reservation quotas for backward classes. However, these policies have also inadvertently created incentives to perpetuate societal stratification. The Indian government officially recognizes historically discriminated communities in India, such as the untouchables, designated as Scheduled Castes, and certain economically disadvantaged castes as Other Backward Class.</w:t>
      </w:r>
    </w:p>
    <w:p>
      <w:pPr>
        <w:pStyle w:val="style0"/>
        <w:jc w:val="both"/>
        <w:rPr>
          <w:vanish/>
        </w:rPr>
      </w:pPr>
      <w:r>
        <w:rPr>
          <w:vanish/>
        </w:rPr>
        <w:t>Top of Form</w:t>
      </w:r>
    </w:p>
    <w:p>
      <w:pPr>
        <w:pStyle w:val="style0"/>
        <w:jc w:val="both"/>
        <w:rPr/>
      </w:pPr>
    </w:p>
    <w:p>
      <w:pPr>
        <w:pStyle w:val="style0"/>
        <w:jc w:val="both"/>
        <w:rPr/>
      </w:pPr>
      <w:r>
        <w:rPr>
          <w:b/>
          <w:bCs/>
        </w:rPr>
        <w:t>Loosening of the Caste System</w:t>
      </w:r>
    </w:p>
    <w:p>
      <w:pPr>
        <w:pStyle w:val="style0"/>
        <w:jc w:val="both"/>
        <w:rPr/>
      </w:pPr>
    </w:p>
    <w:p>
      <w:pPr>
        <w:pStyle w:val="style0"/>
        <w:jc w:val="both"/>
        <w:rPr/>
      </w:pPr>
      <w:r>
        <w:t xml:space="preserve">Leonard and Weller conducted a survey using marriage and genealogical records to </w:t>
      </w:r>
      <w:r>
        <w:t>analyze</w:t>
      </w:r>
      <w:r>
        <w:t xml:space="preserve"> the trends of exogamous inter-caste and endogamous intra-caste marriages within a regional population of India from 1900 to 1975. Their findings highlight a noticeable increase in exogamous marriages across caste boundaries, especially from the 1970s onwards. They suggest that factors such as education, economic progress, increased mobility, and greater interaction among the younger generation may contribute to this rise in exogamous marriages.</w:t>
      </w:r>
    </w:p>
    <w:p>
      <w:pPr>
        <w:pStyle w:val="style0"/>
        <w:jc w:val="both"/>
        <w:rPr/>
      </w:pPr>
      <w:r>
        <w:t>According to a 2003 article in The Telegraph, inter-caste marriage and dating have become prevalent in urban India. The dynamics of Indian society and family relationships are undergoing significant transformations due to factors such as increased female literacy and education, women's active participation in the workforce, urbanization, the necessity of dual-income households, and global influences through media like television. Female role models in various fields such as politics, academia, journalism, business, and India's feminist movement have played a crucial role in accelerating these changes.</w:t>
      </w:r>
    </w:p>
    <w:p>
      <w:pPr>
        <w:pStyle w:val="style0"/>
        <w:jc w:val="both"/>
        <w:rPr>
          <w:vanish/>
        </w:rPr>
      </w:pPr>
      <w:r>
        <w:rPr>
          <w:vanish/>
        </w:rPr>
        <w:t>Top of Form</w:t>
      </w:r>
    </w:p>
    <w:p>
      <w:pPr>
        <w:pStyle w:val="style0"/>
        <w:jc w:val="both"/>
        <w:rPr/>
      </w:pPr>
    </w:p>
    <w:p>
      <w:pPr>
        <w:pStyle w:val="style0"/>
        <w:jc w:val="both"/>
        <w:rPr/>
      </w:pPr>
      <w:r>
        <w:rPr>
          <w:b/>
          <w:bCs/>
        </w:rPr>
        <w:t>Caste-Related Violence</w:t>
      </w:r>
    </w:p>
    <w:p>
      <w:pPr>
        <w:pStyle w:val="style157"/>
        <w:rPr/>
      </w:pPr>
      <w:r>
        <w:br/>
      </w:r>
      <w:r>
        <w:t xml:space="preserve">In post-independence India, incidents of caste-related violence have occurred. A 2005 UN report documented around 31,440 reported cases of violent acts targeting Dalits in 1996, amounting to 1.33 cases per 10,000 Dalit individuals. To provide context, the UN reported between 40 and 55 violent cases per 10,000 people in developed countries in 2005. One notable instance of such violence is the </w:t>
      </w:r>
      <w:r>
        <w:t>Khairlanji</w:t>
      </w:r>
      <w:r>
        <w:t xml:space="preserve"> massacre that took place in 2006</w:t>
      </w:r>
      <w:r>
        <w:t>.</w:t>
      </w:r>
    </w:p>
    <w:p>
      <w:pPr>
        <w:pStyle w:val="style92"/>
        <w:rPr/>
      </w:pPr>
      <w:r>
        <w:t>Top of Form</w:t>
      </w:r>
    </w:p>
    <w:p>
      <w:pPr>
        <w:pStyle w:val="style0"/>
        <w:jc w:val="both"/>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decorative"/>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200ACFF" w:usb2="00000009" w:usb3="00000000" w:csb0="000001FF" w:csb1="00000000"/>
  </w:font>
  <w:font w:name="Calibri Light">
    <w:altName w:val="Calibri Light"/>
    <w:panose1 w:val="020f0302020002030204"/>
    <w:charset w:val="00"/>
    <w:family w:val="swiss"/>
    <w:pitch w:val="variable"/>
    <w:sig w:usb0="E4002EFF" w:usb1="C200247B" w:usb2="00000009" w:usb3="00000000" w:csb0="000001FF" w:csb1="00000000"/>
  </w:font>
  <w:font w:name="Arial">
    <w:altName w:val="Arial"/>
    <w:panose1 w:val="020b0604020002020204"/>
    <w:charset w:val="00"/>
    <w:family w:val="swiss"/>
    <w:pitch w:val="variable"/>
    <w:sig w:usb0="E0002EFF" w:usb1="C0007843" w:usb2="00000009" w:usb3="00000000" w:csb0="000001FF" w:csb1="00000000"/>
  </w:font>
  <w:font w:name="Oswald">
    <w:altName w:val="Oswald"/>
    <w:panose1 w:val="00000500000000000000"/>
    <w:charset w:val="00"/>
    <w:family w:val="auto"/>
    <w:pitch w:val="variable"/>
    <w:sig w:usb0="2000020F" w:usb1="00000000" w:usb2="00000000" w:usb3="00000000" w:csb0="00000197" w:csb1="00000000"/>
  </w:font>
  <w:font w:name="Open Sans">
    <w:altName w:val="Open Sans"/>
    <w:panose1 w:val="020b0606030005020204"/>
    <w:charset w:val="00"/>
    <w:family w:val="swiss"/>
    <w:pitch w:val="variable"/>
    <w:sig w:usb0="E00002EF" w:usb1="4000205B" w:usb2="00000028" w:usb3="00000000" w:csb0="0000019F" w:csb1="00000000"/>
  </w:font>
  <w:font w:name="Segoe UI">
    <w:altName w:val="Segoe UI"/>
    <w:panose1 w:val="020b0502040002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82C8B64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view w:val="web"/>
  <w:zoom w:percent="5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revisionView w:inkAnnotations="f"/>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kern w:val="2"/>
        <w:sz w:val="22"/>
        <w:szCs w:val="22"/>
        <w:lang w:val="en-IN" w:bidi="ar-SA" w:eastAsia="en-US"/>
        <w14:ligatures xmlns:w14="http://schemas.microsoft.com/office/word/2010/wordml" w14:val="standardContextual"/>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1"/>
    <w:link w:val="style4100"/>
    <w:qFormat/>
    <w:uiPriority w:val="9"/>
    <w:pPr>
      <w:spacing w:before="100" w:beforeAutospacing="true" w:after="100" w:afterAutospacing="true" w:lineRule="auto" w:line="240"/>
      <w:outlineLvl w:val="0"/>
    </w:pPr>
    <w:rPr>
      <w:rFonts w:ascii="Times New Roman" w:cs="Times New Roman" w:eastAsia="Times New Roman" w:hAnsi="Times New Roman"/>
      <w:b/>
      <w:bCs/>
      <w:kern w:val="36"/>
      <w:sz w:val="48"/>
      <w:szCs w:val="48"/>
      <w:lang w:eastAsia="en-IN"/>
      <w14:ligatures xmlns:w14="http://schemas.microsoft.com/office/word/2010/wordml" w14:val="none"/>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62">
    <w:name w:val="Title"/>
    <w:basedOn w:val="style0"/>
    <w:next w:val="style0"/>
    <w:link w:val="style4097"/>
    <w:qFormat/>
    <w:uiPriority w:val="10"/>
    <w:pPr>
      <w:spacing w:after="0" w:lineRule="auto" w:line="240"/>
      <w:contextualSpacing/>
    </w:pPr>
    <w:rPr>
      <w:rFonts w:ascii="Calibri Light" w:cs="宋体" w:eastAsia="宋体" w:hAnsi="Calibri Light"/>
      <w:spacing w:val="-10"/>
      <w:kern w:val="28"/>
      <w:sz w:val="56"/>
      <w:szCs w:val="56"/>
    </w:rPr>
  </w:style>
  <w:style w:type="character" w:customStyle="1" w:styleId="style4097">
    <w:name w:val="Title Char_6932b844-141b-4c7d-bc44-95eb2b17ea1a"/>
    <w:basedOn w:val="style65"/>
    <w:next w:val="style4097"/>
    <w:link w:val="style62"/>
    <w:uiPriority w:val="10"/>
    <w:rPr>
      <w:rFonts w:ascii="Calibri Light" w:cs="宋体" w:eastAsia="宋体" w:hAnsi="Calibri Light"/>
      <w:spacing w:val="-10"/>
      <w:kern w:val="28"/>
      <w:sz w:val="56"/>
      <w:szCs w:val="56"/>
    </w:rPr>
  </w:style>
  <w:style w:type="character" w:styleId="style85">
    <w:name w:val="Hyperlink"/>
    <w:basedOn w:val="style65"/>
    <w:next w:val="style85"/>
    <w:uiPriority w:val="99"/>
    <w:rPr>
      <w:color w:val="0563c1"/>
      <w:u w:val="single"/>
    </w:rPr>
  </w:style>
  <w:style w:type="character" w:customStyle="1" w:styleId="style4098">
    <w:name w:val="Unresolved Mention"/>
    <w:basedOn w:val="style65"/>
    <w:next w:val="style4098"/>
    <w:uiPriority w:val="99"/>
    <w:rPr>
      <w:color w:val="605e5c"/>
      <w:shd w:val="clear" w:color="auto" w:fill="e1dfdd"/>
    </w:rPr>
  </w:style>
  <w:style w:type="character" w:styleId="style87">
    <w:name w:val="Strong"/>
    <w:basedOn w:val="style65"/>
    <w:next w:val="style87"/>
    <w:qFormat/>
    <w:uiPriority w:val="22"/>
    <w:rPr>
      <w:b/>
      <w:bCs/>
    </w:rPr>
  </w:style>
  <w:style w:type="paragraph" w:styleId="style157">
    <w:name w:val="No Spacing"/>
    <w:next w:val="style157"/>
    <w:qFormat/>
    <w:uiPriority w:val="1"/>
    <w:pPr>
      <w:spacing w:after="0" w:lineRule="auto" w:line="240"/>
    </w:pPr>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kern w:val="0"/>
      <w:sz w:val="24"/>
      <w:szCs w:val="24"/>
      <w:lang w:eastAsia="en-IN"/>
      <w14:ligatures xmlns:w14="http://schemas.microsoft.com/office/word/2010/wordml" w14:val="none"/>
    </w:rPr>
  </w:style>
  <w:style w:type="paragraph" w:styleId="style92">
    <w:name w:val="HTML Top of Form"/>
    <w:basedOn w:val="style0"/>
    <w:next w:val="style0"/>
    <w:link w:val="style4099"/>
    <w:uiPriority w:val="99"/>
    <w:pPr>
      <w:pBdr>
        <w:bottom w:val="single" w:sz="6" w:space="1" w:color="auto"/>
      </w:pBdr>
      <w:spacing w:after="0" w:lineRule="auto" w:line="240"/>
      <w:jc w:val="center"/>
    </w:pPr>
    <w:rPr>
      <w:rFonts w:ascii="Arial" w:cs="Arial" w:eastAsia="Times New Roman" w:hAnsi="Arial"/>
      <w:vanish/>
      <w:kern w:val="0"/>
      <w:sz w:val="16"/>
      <w:szCs w:val="16"/>
      <w:lang w:eastAsia="en-IN"/>
      <w14:ligatures xmlns:w14="http://schemas.microsoft.com/office/word/2010/wordml" w14:val="none"/>
    </w:rPr>
  </w:style>
  <w:style w:type="character" w:customStyle="1" w:styleId="style4099">
    <w:name w:val="z-Top of Form Char"/>
    <w:basedOn w:val="style65"/>
    <w:next w:val="style4099"/>
    <w:link w:val="style92"/>
    <w:uiPriority w:val="99"/>
    <w:rPr>
      <w:rFonts w:ascii="Arial" w:cs="Arial" w:eastAsia="Times New Roman" w:hAnsi="Arial"/>
      <w:vanish/>
      <w:kern w:val="0"/>
      <w:sz w:val="16"/>
      <w:szCs w:val="16"/>
      <w:lang w:eastAsia="en-IN"/>
      <w14:ligatures xmlns:w14="http://schemas.microsoft.com/office/word/2010/wordml" w14:val="none"/>
    </w:rPr>
  </w:style>
  <w:style w:type="character" w:customStyle="1" w:styleId="style4100">
    <w:name w:val="Heading 1 Char_cd2ad709-5095-4100-8999-ee5f05db40c8"/>
    <w:basedOn w:val="style65"/>
    <w:next w:val="style4100"/>
    <w:link w:val="style1"/>
    <w:uiPriority w:val="9"/>
    <w:rPr>
      <w:rFonts w:ascii="Times New Roman" w:cs="Times New Roman" w:eastAsia="Times New Roman" w:hAnsi="Times New Roman"/>
      <w:b/>
      <w:bCs/>
      <w:kern w:val="36"/>
      <w:sz w:val="48"/>
      <w:szCs w:val="48"/>
      <w:lang w:eastAsia="en-IN"/>
      <w14:ligatures xmlns:w14="http://schemas.microsoft.com/office/word/2010/wordml" w14:val="none"/>
    </w:r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5.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2.png"/><Relationship Id="rId9" Type="http://schemas.openxmlformats.org/officeDocument/2006/relationships/image" Target="media/image4.jpeg"/><Relationship Id="rId14" Type="http://schemas.openxmlformats.org/officeDocument/2006/relationships/theme" Target="theme/theme1.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3.jpe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Words>3782</Words>
  <Pages>1</Pages>
  <Characters>21911</Characters>
  <Application>WPS Office</Application>
  <DocSecurity>0</DocSecurity>
  <Paragraphs>109</Paragraphs>
  <ScaleCrop>false</ScaleCrop>
  <LinksUpToDate>false</LinksUpToDate>
  <CharactersWithSpaces>25627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2024-03-20T17:22:00Z</dcterms:created>
  <dc:creator>Utkarsh Singh</dc:creator>
  <lastModifiedBy>CPH2569</lastModifiedBy>
  <dcterms:modified xsi:type="dcterms:W3CDTF">2024-04-15T11:55:44Z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2804aa96c6674358ad0df415fce5ec6a</vt:lpwstr>
  </property>
</Properties>
</file>