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2C5CA8" w14:textId="3500F01D" w:rsidR="00896901" w:rsidRDefault="00BD19D3" w:rsidP="00370ACF">
      <w:pPr>
        <w:spacing w:line="276" w:lineRule="auto"/>
        <w:jc w:val="both"/>
        <w:rPr>
          <w:rFonts w:ascii="Times New Roman" w:hAnsi="Times New Roman" w:cs="Times New Roman"/>
          <w:b/>
          <w:sz w:val="48"/>
          <w:szCs w:val="48"/>
        </w:rPr>
      </w:pPr>
      <w:r w:rsidRPr="00221C49">
        <w:rPr>
          <w:rFonts w:ascii="Times New Roman" w:hAnsi="Times New Roman" w:cs="Times New Roman"/>
          <w:b/>
          <w:sz w:val="36"/>
          <w:szCs w:val="36"/>
        </w:rPr>
        <w:t xml:space="preserve">        </w:t>
      </w:r>
      <w:r w:rsidR="00221C49">
        <w:rPr>
          <w:rFonts w:ascii="Times New Roman" w:hAnsi="Times New Roman" w:cs="Times New Roman"/>
          <w:b/>
          <w:sz w:val="36"/>
          <w:szCs w:val="36"/>
        </w:rPr>
        <w:t xml:space="preserve">            </w:t>
      </w:r>
      <w:r w:rsidRPr="00221C49">
        <w:rPr>
          <w:rFonts w:ascii="Times New Roman" w:hAnsi="Times New Roman" w:cs="Times New Roman"/>
          <w:b/>
          <w:sz w:val="36"/>
          <w:szCs w:val="36"/>
        </w:rPr>
        <w:t xml:space="preserve"> </w:t>
      </w:r>
      <w:r w:rsidRPr="0027002A">
        <w:rPr>
          <w:rFonts w:ascii="Times New Roman" w:hAnsi="Times New Roman" w:cs="Times New Roman"/>
          <w:b/>
          <w:sz w:val="48"/>
          <w:szCs w:val="48"/>
        </w:rPr>
        <w:t>Immun</w:t>
      </w:r>
      <w:r w:rsidR="00E17ED8" w:rsidRPr="0027002A">
        <w:rPr>
          <w:rFonts w:ascii="Times New Roman" w:hAnsi="Times New Roman" w:cs="Times New Roman"/>
          <w:b/>
          <w:sz w:val="48"/>
          <w:szCs w:val="48"/>
        </w:rPr>
        <w:t>e</w:t>
      </w:r>
      <w:r w:rsidRPr="0027002A">
        <w:rPr>
          <w:rFonts w:ascii="Times New Roman" w:hAnsi="Times New Roman" w:cs="Times New Roman"/>
          <w:b/>
          <w:sz w:val="48"/>
          <w:szCs w:val="48"/>
        </w:rPr>
        <w:t xml:space="preserve"> T</w:t>
      </w:r>
      <w:r w:rsidR="008722DA" w:rsidRPr="0027002A">
        <w:rPr>
          <w:rFonts w:ascii="Times New Roman" w:hAnsi="Times New Roman" w:cs="Times New Roman"/>
          <w:b/>
          <w:sz w:val="48"/>
          <w:szCs w:val="48"/>
        </w:rPr>
        <w:t>h</w:t>
      </w:r>
      <w:r w:rsidRPr="0027002A">
        <w:rPr>
          <w:rFonts w:ascii="Times New Roman" w:hAnsi="Times New Roman" w:cs="Times New Roman"/>
          <w:b/>
          <w:sz w:val="48"/>
          <w:szCs w:val="48"/>
        </w:rPr>
        <w:t>rombocytopeni</w:t>
      </w:r>
      <w:r w:rsidR="00E17ED8" w:rsidRPr="0027002A">
        <w:rPr>
          <w:rFonts w:ascii="Times New Roman" w:hAnsi="Times New Roman" w:cs="Times New Roman"/>
          <w:b/>
          <w:sz w:val="48"/>
          <w:szCs w:val="48"/>
        </w:rPr>
        <w:t>a</w:t>
      </w:r>
    </w:p>
    <w:p w14:paraId="482BE1B9" w14:textId="2A73CC1D" w:rsidR="00AE38BB" w:rsidRDefault="00AE38BB" w:rsidP="00AE38BB">
      <w:pPr>
        <w:spacing w:line="276" w:lineRule="auto"/>
        <w:jc w:val="center"/>
        <w:rPr>
          <w:rFonts w:ascii="Times New Roman" w:hAnsi="Times New Roman" w:cs="Times New Roman"/>
          <w:bCs/>
          <w:sz w:val="24"/>
          <w:szCs w:val="24"/>
        </w:rPr>
      </w:pPr>
      <w:r w:rsidRPr="00AE38BB">
        <w:rPr>
          <w:rFonts w:ascii="Times New Roman" w:hAnsi="Times New Roman" w:cs="Times New Roman"/>
          <w:bCs/>
          <w:sz w:val="24"/>
          <w:szCs w:val="24"/>
        </w:rPr>
        <w:t>Sanjana</w:t>
      </w:r>
      <w:r w:rsidR="00090963">
        <w:rPr>
          <w:rFonts w:ascii="Times New Roman" w:hAnsi="Times New Roman" w:cs="Times New Roman"/>
          <w:b/>
          <w:sz w:val="48"/>
          <w:szCs w:val="48"/>
        </w:rPr>
        <w:t xml:space="preserve"> </w:t>
      </w:r>
      <w:r>
        <w:rPr>
          <w:rFonts w:ascii="Times New Roman" w:hAnsi="Times New Roman" w:cs="Times New Roman"/>
          <w:bCs/>
          <w:sz w:val="24"/>
          <w:szCs w:val="24"/>
        </w:rPr>
        <w:t>M</w:t>
      </w:r>
      <w:r w:rsidRPr="00AE38BB">
        <w:rPr>
          <w:rFonts w:ascii="Times New Roman" w:hAnsi="Times New Roman" w:cs="Times New Roman"/>
          <w:bCs/>
          <w:sz w:val="24"/>
          <w:szCs w:val="24"/>
        </w:rPr>
        <w:t>okal</w:t>
      </w:r>
      <w:r w:rsidR="00090963">
        <w:rPr>
          <w:rFonts w:ascii="Times New Roman" w:hAnsi="Times New Roman" w:cs="Times New Roman"/>
          <w:bCs/>
          <w:sz w:val="24"/>
          <w:szCs w:val="24"/>
        </w:rPr>
        <w:t>,</w:t>
      </w:r>
      <w:r>
        <w:rPr>
          <w:rFonts w:ascii="Times New Roman" w:hAnsi="Times New Roman" w:cs="Times New Roman"/>
          <w:bCs/>
          <w:sz w:val="24"/>
          <w:szCs w:val="24"/>
        </w:rPr>
        <w:t xml:space="preserve"> Sakshi </w:t>
      </w:r>
      <w:proofErr w:type="spellStart"/>
      <w:r w:rsidR="00090963">
        <w:rPr>
          <w:rFonts w:ascii="Times New Roman" w:hAnsi="Times New Roman" w:cs="Times New Roman"/>
          <w:bCs/>
          <w:sz w:val="24"/>
          <w:szCs w:val="24"/>
        </w:rPr>
        <w:t>Pachkudave</w:t>
      </w:r>
      <w:proofErr w:type="spellEnd"/>
      <w:r w:rsidR="00090963">
        <w:rPr>
          <w:rFonts w:ascii="Times New Roman" w:hAnsi="Times New Roman" w:cs="Times New Roman"/>
          <w:bCs/>
          <w:sz w:val="24"/>
          <w:szCs w:val="24"/>
        </w:rPr>
        <w:t xml:space="preserve"> ,</w:t>
      </w:r>
      <w:r w:rsidRPr="00AE38BB">
        <w:rPr>
          <w:rFonts w:ascii="Times New Roman" w:hAnsi="Times New Roman" w:cs="Times New Roman"/>
          <w:bCs/>
          <w:sz w:val="24"/>
          <w:szCs w:val="24"/>
        </w:rPr>
        <w:t xml:space="preserve"> </w:t>
      </w:r>
      <w:r>
        <w:rPr>
          <w:rFonts w:ascii="Times New Roman" w:hAnsi="Times New Roman" w:cs="Times New Roman"/>
          <w:bCs/>
          <w:sz w:val="24"/>
          <w:szCs w:val="24"/>
        </w:rPr>
        <w:t>Ragini  Salunkhe,</w:t>
      </w:r>
    </w:p>
    <w:p w14:paraId="5674C0CD" w14:textId="397A8816" w:rsidR="00AE38BB" w:rsidRDefault="00AE38BB" w:rsidP="00AE38BB">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 xml:space="preserve"> Diksha </w:t>
      </w:r>
      <w:r w:rsidR="00BF51AF">
        <w:rPr>
          <w:rFonts w:ascii="Times New Roman" w:hAnsi="Times New Roman" w:cs="Times New Roman"/>
          <w:bCs/>
          <w:sz w:val="24"/>
          <w:szCs w:val="24"/>
        </w:rPr>
        <w:t>K</w:t>
      </w:r>
      <w:r>
        <w:rPr>
          <w:rFonts w:ascii="Times New Roman" w:hAnsi="Times New Roman" w:cs="Times New Roman"/>
          <w:bCs/>
          <w:sz w:val="24"/>
          <w:szCs w:val="24"/>
        </w:rPr>
        <w:t>ambale.</w:t>
      </w:r>
    </w:p>
    <w:p w14:paraId="099C5586" w14:textId="6E4C8393" w:rsidR="009F283B" w:rsidRDefault="009F283B" w:rsidP="009F283B">
      <w:pPr>
        <w:spacing w:line="240" w:lineRule="auto"/>
        <w:jc w:val="center"/>
        <w:rPr>
          <w:rFonts w:ascii="Times New Roman" w:hAnsi="Times New Roman" w:cs="Times New Roman"/>
          <w:bCs/>
          <w:sz w:val="24"/>
          <w:szCs w:val="24"/>
        </w:rPr>
      </w:pP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Navsahyadri</w:t>
      </w:r>
      <w:proofErr w:type="spellEnd"/>
      <w:r>
        <w:rPr>
          <w:rFonts w:ascii="Times New Roman" w:hAnsi="Times New Roman" w:cs="Times New Roman"/>
          <w:bCs/>
          <w:sz w:val="24"/>
          <w:szCs w:val="24"/>
        </w:rPr>
        <w:t xml:space="preserve"> Institute of Pharmacy, </w:t>
      </w:r>
      <w:proofErr w:type="spellStart"/>
      <w:r>
        <w:rPr>
          <w:rFonts w:ascii="Times New Roman" w:hAnsi="Times New Roman" w:cs="Times New Roman"/>
          <w:bCs/>
          <w:sz w:val="24"/>
          <w:szCs w:val="24"/>
        </w:rPr>
        <w:t>Naigaon</w:t>
      </w:r>
      <w:proofErr w:type="spellEnd"/>
      <w:r>
        <w:rPr>
          <w:rFonts w:ascii="Times New Roman" w:hAnsi="Times New Roman" w:cs="Times New Roman"/>
          <w:bCs/>
          <w:sz w:val="24"/>
          <w:szCs w:val="24"/>
        </w:rPr>
        <w:t xml:space="preserve">, Pune Tal </w:t>
      </w:r>
      <w:proofErr w:type="spellStart"/>
      <w:r>
        <w:rPr>
          <w:rFonts w:ascii="Times New Roman" w:hAnsi="Times New Roman" w:cs="Times New Roman"/>
          <w:bCs/>
          <w:sz w:val="24"/>
          <w:szCs w:val="24"/>
        </w:rPr>
        <w:t>Bhor</w:t>
      </w:r>
      <w:proofErr w:type="spellEnd"/>
      <w:r>
        <w:rPr>
          <w:rFonts w:ascii="Times New Roman" w:hAnsi="Times New Roman" w:cs="Times New Roman"/>
          <w:bCs/>
          <w:sz w:val="24"/>
          <w:szCs w:val="24"/>
        </w:rPr>
        <w:t xml:space="preserve"> - 412213</w:t>
      </w:r>
    </w:p>
    <w:p w14:paraId="42C91173" w14:textId="086083C9" w:rsidR="00AE38BB" w:rsidRPr="00AE38BB" w:rsidRDefault="00AE38BB" w:rsidP="00AE38BB">
      <w:pPr>
        <w:spacing w:line="276" w:lineRule="auto"/>
        <w:rPr>
          <w:rFonts w:ascii="Times New Roman" w:hAnsi="Times New Roman" w:cs="Times New Roman"/>
          <w:bCs/>
          <w:sz w:val="24"/>
          <w:szCs w:val="24"/>
        </w:rPr>
      </w:pPr>
      <w:r w:rsidRPr="00AE38BB">
        <w:rPr>
          <w:rFonts w:ascii="Times New Roman" w:hAnsi="Times New Roman" w:cs="Times New Roman"/>
          <w:bCs/>
          <w:sz w:val="24"/>
          <w:szCs w:val="24"/>
        </w:rPr>
        <w:t xml:space="preserve">    </w:t>
      </w:r>
      <w:hyperlink r:id="rId8" w:history="1">
        <w:r w:rsidRPr="006B30D7">
          <w:rPr>
            <w:rStyle w:val="Hyperlink"/>
            <w:rFonts w:ascii="Times New Roman" w:hAnsi="Times New Roman" w:cs="Times New Roman"/>
            <w:bCs/>
            <w:sz w:val="24"/>
            <w:szCs w:val="24"/>
          </w:rPr>
          <w:t>mokalsanjana65@gmail.com</w:t>
        </w:r>
      </w:hyperlink>
      <w:r>
        <w:rPr>
          <w:rFonts w:ascii="Times New Roman" w:hAnsi="Times New Roman" w:cs="Times New Roman"/>
          <w:bCs/>
          <w:sz w:val="24"/>
          <w:szCs w:val="24"/>
        </w:rPr>
        <w:t xml:space="preserve"> , </w:t>
      </w:r>
      <w:hyperlink r:id="rId9" w:history="1">
        <w:r w:rsidRPr="006B30D7">
          <w:rPr>
            <w:rStyle w:val="Hyperlink"/>
            <w:rFonts w:ascii="Times New Roman" w:hAnsi="Times New Roman" w:cs="Times New Roman"/>
            <w:bCs/>
            <w:sz w:val="24"/>
            <w:szCs w:val="24"/>
          </w:rPr>
          <w:t>Sakshipachkudave@gmail.com</w:t>
        </w:r>
      </w:hyperlink>
      <w:r>
        <w:rPr>
          <w:rFonts w:ascii="Times New Roman" w:hAnsi="Times New Roman" w:cs="Times New Roman"/>
          <w:bCs/>
          <w:sz w:val="24"/>
          <w:szCs w:val="24"/>
        </w:rPr>
        <w:t xml:space="preserve"> </w:t>
      </w:r>
      <w:r w:rsidRPr="00AE38BB">
        <w:rPr>
          <w:rFonts w:ascii="Times New Roman" w:hAnsi="Times New Roman" w:cs="Times New Roman"/>
          <w:bCs/>
          <w:sz w:val="24"/>
          <w:szCs w:val="24"/>
        </w:rPr>
        <w:t xml:space="preserve">, </w:t>
      </w:r>
      <w:hyperlink r:id="rId10" w:history="1">
        <w:r w:rsidRPr="00AE38BB">
          <w:rPr>
            <w:rStyle w:val="Hyperlink"/>
            <w:sz w:val="24"/>
            <w:szCs w:val="24"/>
          </w:rPr>
          <w:t>Salunkeragini95@gmail.com</w:t>
        </w:r>
      </w:hyperlink>
      <w:r>
        <w:rPr>
          <w:rStyle w:val="Hyperlink"/>
        </w:rPr>
        <w:t xml:space="preserve">, </w:t>
      </w:r>
    </w:p>
    <w:p w14:paraId="072A9B99" w14:textId="77777777" w:rsidR="00172F3A" w:rsidRDefault="00CE4F26" w:rsidP="00370ACF">
      <w:pPr>
        <w:spacing w:line="276" w:lineRule="auto"/>
        <w:jc w:val="both"/>
        <w:rPr>
          <w:rFonts w:ascii="Times New Roman" w:hAnsi="Times New Roman" w:cs="Times New Roman"/>
          <w:bCs/>
          <w:sz w:val="24"/>
          <w:szCs w:val="24"/>
        </w:rPr>
      </w:pPr>
      <w:r>
        <w:rPr>
          <w:rFonts w:ascii="Times New Roman" w:hAnsi="Times New Roman" w:cs="Times New Roman"/>
          <w:b/>
          <w:sz w:val="28"/>
          <w:szCs w:val="28"/>
        </w:rPr>
        <w:t xml:space="preserve">                                                  </w:t>
      </w:r>
      <w:hyperlink r:id="rId11" w:history="1">
        <w:r w:rsidRPr="00CE4F26">
          <w:rPr>
            <w:rStyle w:val="Hyperlink"/>
            <w:rFonts w:ascii="Times New Roman" w:hAnsi="Times New Roman" w:cs="Times New Roman"/>
            <w:bCs/>
            <w:sz w:val="24"/>
            <w:szCs w:val="24"/>
          </w:rPr>
          <w:t>deekshakamble4@gmail.com</w:t>
        </w:r>
      </w:hyperlink>
      <w:r w:rsidRPr="00CE4F26">
        <w:rPr>
          <w:rFonts w:ascii="Times New Roman" w:hAnsi="Times New Roman" w:cs="Times New Roman"/>
          <w:bCs/>
          <w:sz w:val="24"/>
          <w:szCs w:val="24"/>
        </w:rPr>
        <w:t xml:space="preserve"> </w:t>
      </w:r>
    </w:p>
    <w:p w14:paraId="7A1CC8E1" w14:textId="77777777" w:rsidR="00172F3A" w:rsidRDefault="00172F3A" w:rsidP="00370ACF">
      <w:pPr>
        <w:spacing w:line="276" w:lineRule="auto"/>
        <w:jc w:val="both"/>
        <w:rPr>
          <w:rFonts w:ascii="Times New Roman" w:hAnsi="Times New Roman" w:cs="Times New Roman"/>
          <w:bCs/>
          <w:sz w:val="24"/>
          <w:szCs w:val="24"/>
        </w:rPr>
      </w:pPr>
    </w:p>
    <w:p w14:paraId="1B7D6864" w14:textId="089FEB91" w:rsidR="00BD19D3" w:rsidRPr="00172F3A" w:rsidRDefault="00BD19D3" w:rsidP="00370ACF">
      <w:pPr>
        <w:spacing w:line="276" w:lineRule="auto"/>
        <w:jc w:val="both"/>
        <w:rPr>
          <w:rFonts w:ascii="Times New Roman" w:hAnsi="Times New Roman" w:cs="Times New Roman"/>
          <w:bCs/>
          <w:sz w:val="24"/>
          <w:szCs w:val="24"/>
        </w:rPr>
      </w:pPr>
      <w:r w:rsidRPr="00BD19D3">
        <w:rPr>
          <w:rFonts w:ascii="Times New Roman" w:hAnsi="Times New Roman" w:cs="Times New Roman"/>
          <w:b/>
          <w:sz w:val="28"/>
          <w:szCs w:val="28"/>
        </w:rPr>
        <w:t xml:space="preserve"> </w:t>
      </w:r>
      <w:proofErr w:type="gramStart"/>
      <w:r w:rsidRPr="00BD19D3">
        <w:rPr>
          <w:rFonts w:ascii="Times New Roman" w:hAnsi="Times New Roman" w:cs="Times New Roman"/>
          <w:b/>
          <w:sz w:val="28"/>
          <w:szCs w:val="28"/>
        </w:rPr>
        <w:t>Abstract</w:t>
      </w:r>
      <w:r w:rsidR="0087407B">
        <w:rPr>
          <w:rFonts w:ascii="Times New Roman" w:hAnsi="Times New Roman" w:cs="Times New Roman"/>
          <w:sz w:val="28"/>
          <w:szCs w:val="28"/>
        </w:rPr>
        <w:t xml:space="preserve"> </w:t>
      </w:r>
      <w:r w:rsidR="00221C49" w:rsidRPr="00221C49">
        <w:rPr>
          <w:rFonts w:ascii="Times New Roman" w:hAnsi="Times New Roman" w:cs="Times New Roman"/>
          <w:b/>
          <w:sz w:val="28"/>
          <w:szCs w:val="28"/>
        </w:rPr>
        <w:t>:</w:t>
      </w:r>
      <w:proofErr w:type="gramEnd"/>
    </w:p>
    <w:p w14:paraId="40CB7236" w14:textId="50938930" w:rsidR="00231EE2" w:rsidRDefault="00AE38BB" w:rsidP="00370ACF">
      <w:pPr>
        <w:spacing w:line="276" w:lineRule="auto"/>
        <w:jc w:val="both"/>
        <w:rPr>
          <w:rFonts w:ascii="Times New Roman" w:hAnsi="Times New Roman" w:cs="Times New Roman"/>
          <w:sz w:val="28"/>
          <w:szCs w:val="28"/>
        </w:rPr>
      </w:pPr>
      <w:r>
        <w:rPr>
          <w:rFonts w:ascii="Times New Roman" w:hAnsi="Times New Roman" w:cs="Times New Roman"/>
          <w:sz w:val="24"/>
          <w:szCs w:val="24"/>
        </w:rPr>
        <w:t xml:space="preserve">        </w:t>
      </w:r>
      <w:r w:rsidR="00231EE2" w:rsidRPr="00231EE2">
        <w:rPr>
          <w:rFonts w:ascii="Times New Roman" w:hAnsi="Times New Roman" w:cs="Times New Roman"/>
          <w:sz w:val="24"/>
          <w:szCs w:val="24"/>
        </w:rPr>
        <w:t>Immune thrombocytopenia (ITP) is an acquired antibody-mediated disease for which splenectomy remains a curative treatment. The diagnosis and treatment of immune thrombocytopenic purpura (ITP) relies primarily on clinical knowledge and observation rather than documentation of scientifically high-quality clinical trials. One of the main obstacles to conducting such studies and conducting a reliable meta-analysis of available data is the lack of standardized critical definitions, outcome criteria, and uniformity of terminology.</w:t>
      </w:r>
      <w:r w:rsidR="00231EE2">
        <w:rPr>
          <w:rFonts w:ascii="Times New Roman" w:hAnsi="Times New Roman" w:cs="Times New Roman"/>
          <w:sz w:val="24"/>
          <w:szCs w:val="24"/>
        </w:rPr>
        <w:t xml:space="preserve"> </w:t>
      </w:r>
      <w:r w:rsidR="00231EE2" w:rsidRPr="00231EE2">
        <w:rPr>
          <w:rFonts w:ascii="Times New Roman" w:hAnsi="Times New Roman" w:cs="Times New Roman"/>
          <w:sz w:val="24"/>
          <w:szCs w:val="24"/>
        </w:rPr>
        <w:t>Additionally, the need for comparative clinical trials has surged due to the emergence of new therapeutic agents, such as receptor agonists for thrombopoietin, and innovative therapies, like the anti-CD 20 antibody</w:t>
      </w:r>
      <w:r w:rsidR="00231EE2" w:rsidRPr="00231EE2">
        <w:rPr>
          <w:rFonts w:ascii="Times New Roman" w:hAnsi="Times New Roman" w:cs="Times New Roman"/>
          <w:sz w:val="28"/>
          <w:szCs w:val="28"/>
        </w:rPr>
        <w:t>.</w:t>
      </w:r>
    </w:p>
    <w:p w14:paraId="557FEB17" w14:textId="73BC63CC" w:rsidR="004A0214" w:rsidRDefault="004A0214" w:rsidP="00370ACF">
      <w:pPr>
        <w:spacing w:line="276" w:lineRule="auto"/>
        <w:jc w:val="both"/>
        <w:rPr>
          <w:rFonts w:ascii="Times New Roman" w:hAnsi="Times New Roman" w:cs="Times New Roman"/>
          <w:sz w:val="24"/>
          <w:szCs w:val="24"/>
        </w:rPr>
      </w:pPr>
      <w:r w:rsidRPr="004A0214">
        <w:rPr>
          <w:rFonts w:ascii="Times New Roman" w:hAnsi="Times New Roman" w:cs="Times New Roman"/>
          <w:b/>
          <w:bCs/>
          <w:sz w:val="28"/>
          <w:szCs w:val="28"/>
        </w:rPr>
        <w:t>Keyword</w:t>
      </w:r>
      <w:r>
        <w:rPr>
          <w:rFonts w:ascii="Times New Roman" w:hAnsi="Times New Roman" w:cs="Times New Roman"/>
          <w:b/>
          <w:bCs/>
          <w:sz w:val="28"/>
          <w:szCs w:val="28"/>
        </w:rPr>
        <w:t>:</w:t>
      </w:r>
      <w:r w:rsidR="00370ACF">
        <w:rPr>
          <w:rFonts w:ascii="Times New Roman" w:hAnsi="Times New Roman" w:cs="Times New Roman"/>
          <w:b/>
          <w:bCs/>
          <w:sz w:val="28"/>
          <w:szCs w:val="28"/>
        </w:rPr>
        <w:t xml:space="preserve">  </w:t>
      </w:r>
      <w:r w:rsidR="00370ACF" w:rsidRPr="00370ACF">
        <w:rPr>
          <w:rFonts w:ascii="Times New Roman" w:hAnsi="Times New Roman" w:cs="Times New Roman"/>
          <w:sz w:val="24"/>
          <w:szCs w:val="24"/>
        </w:rPr>
        <w:t>Immune Thrombocytopenia, Etiology, Pathophysiology,</w:t>
      </w:r>
      <w:r w:rsidR="00370ACF">
        <w:rPr>
          <w:rFonts w:ascii="Times New Roman" w:hAnsi="Times New Roman" w:cs="Times New Roman"/>
          <w:sz w:val="24"/>
          <w:szCs w:val="24"/>
        </w:rPr>
        <w:t xml:space="preserve"> symptoms,</w:t>
      </w:r>
      <w:r w:rsidR="00213317">
        <w:rPr>
          <w:rFonts w:ascii="Times New Roman" w:hAnsi="Times New Roman" w:cs="Times New Roman"/>
          <w:sz w:val="24"/>
          <w:szCs w:val="24"/>
        </w:rPr>
        <w:t xml:space="preserve"> </w:t>
      </w:r>
      <w:r w:rsidR="00370ACF">
        <w:rPr>
          <w:rFonts w:ascii="Times New Roman" w:hAnsi="Times New Roman" w:cs="Times New Roman"/>
          <w:sz w:val="24"/>
          <w:szCs w:val="24"/>
        </w:rPr>
        <w:t xml:space="preserve">causes, </w:t>
      </w:r>
      <w:r w:rsidR="00370ACF" w:rsidRPr="00370ACF">
        <w:rPr>
          <w:rFonts w:ascii="Times New Roman" w:hAnsi="Times New Roman" w:cs="Times New Roman"/>
          <w:sz w:val="24"/>
          <w:szCs w:val="24"/>
        </w:rPr>
        <w:t xml:space="preserve"> </w:t>
      </w:r>
      <w:r w:rsidR="00013F76">
        <w:rPr>
          <w:rFonts w:ascii="Times New Roman" w:hAnsi="Times New Roman" w:cs="Times New Roman"/>
          <w:sz w:val="24"/>
          <w:szCs w:val="24"/>
        </w:rPr>
        <w:t xml:space="preserve">   </w:t>
      </w:r>
    </w:p>
    <w:p w14:paraId="79EB60CA" w14:textId="77777777" w:rsidR="00013F76" w:rsidRDefault="00013F76" w:rsidP="00370ACF">
      <w:pPr>
        <w:spacing w:line="276" w:lineRule="auto"/>
        <w:jc w:val="both"/>
        <w:rPr>
          <w:rFonts w:ascii="Times New Roman" w:hAnsi="Times New Roman" w:cs="Times New Roman"/>
          <w:b/>
          <w:bCs/>
          <w:sz w:val="28"/>
          <w:szCs w:val="28"/>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Treatment .</w:t>
      </w:r>
      <w:proofErr w:type="gramEnd"/>
    </w:p>
    <w:p w14:paraId="52D7B27E" w14:textId="55ED1D91" w:rsidR="00FF55A7" w:rsidRPr="00013F76" w:rsidRDefault="00FF55A7" w:rsidP="00370ACF">
      <w:pPr>
        <w:spacing w:line="276" w:lineRule="auto"/>
        <w:jc w:val="both"/>
        <w:rPr>
          <w:rFonts w:ascii="Times New Roman" w:hAnsi="Times New Roman" w:cs="Times New Roman"/>
          <w:b/>
          <w:bCs/>
          <w:sz w:val="28"/>
          <w:szCs w:val="28"/>
        </w:rPr>
      </w:pPr>
      <w:r w:rsidRPr="00FF55A7">
        <w:rPr>
          <w:rFonts w:ascii="Times New Roman" w:hAnsi="Times New Roman" w:cs="Times New Roman"/>
          <w:b/>
          <w:sz w:val="28"/>
          <w:szCs w:val="28"/>
        </w:rPr>
        <w:t xml:space="preserve"> Introduction</w:t>
      </w:r>
      <w:r>
        <w:rPr>
          <w:rFonts w:ascii="Times New Roman" w:hAnsi="Times New Roman" w:cs="Times New Roman"/>
          <w:b/>
          <w:sz w:val="28"/>
          <w:szCs w:val="28"/>
        </w:rPr>
        <w:t>:</w:t>
      </w:r>
    </w:p>
    <w:p w14:paraId="25E0A531" w14:textId="3A3C5899" w:rsidR="00CA78F2" w:rsidRDefault="00AE38BB" w:rsidP="00370AC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44F85" w:rsidRPr="00644F85">
        <w:rPr>
          <w:rFonts w:ascii="Times New Roman" w:hAnsi="Times New Roman" w:cs="Times New Roman"/>
          <w:sz w:val="24"/>
          <w:szCs w:val="24"/>
        </w:rPr>
        <w:t>Immune thrombocytopenia (ITP) is an autoimmune syndrome characterized by antibody- and</w:t>
      </w:r>
      <w:r w:rsidR="00CA78F2" w:rsidRPr="00CA78F2">
        <w:rPr>
          <w:rFonts w:ascii="Times New Roman" w:hAnsi="Times New Roman" w:cs="Times New Roman"/>
          <w:sz w:val="24"/>
          <w:szCs w:val="24"/>
        </w:rPr>
        <w:t xml:space="preserve"> cell-mediated platelet and cessation of platelet production, which can cause bleeding. The latest International Working Group Note recommends ITP for decision-making in all cases of immune-mediated thrombocytopenia, whether or not it occurs as part of another clinically apparent disorder or drug exposure (secondary ITP). with clear receptivity. etiology (primary ITP). The International Working Group also recommends a platelet count below 100 × </w:t>
      </w:r>
      <m:oMath>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9</m:t>
            </m:r>
          </m:sup>
        </m:sSup>
      </m:oMath>
      <w:r w:rsidR="00CA78F2" w:rsidRPr="00CA78F2">
        <w:rPr>
          <w:rFonts w:ascii="Times New Roman" w:hAnsi="Times New Roman" w:cs="Times New Roman"/>
          <w:sz w:val="24"/>
          <w:szCs w:val="24"/>
        </w:rPr>
        <w:t xml:space="preserve">/l rather than 150 × </w:t>
      </w:r>
      <m:oMath>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9</m:t>
            </m:r>
          </m:sup>
        </m:sSup>
      </m:oMath>
      <w:r w:rsidR="00CA78F2" w:rsidRPr="00CA78F2">
        <w:rPr>
          <w:rFonts w:ascii="Times New Roman" w:hAnsi="Times New Roman" w:cs="Times New Roman"/>
          <w:sz w:val="24"/>
          <w:szCs w:val="24"/>
        </w:rPr>
        <w:t xml:space="preserve">/l for diagnosis. This approach is based on the observation that less than 10% of otherwise healthy individuals with stable platelet counts between 100 and 150 × </w:t>
      </w:r>
      <m:oMath>
        <m:sSup>
          <m:sSupPr>
            <m:ctrlPr>
              <w:rPr>
                <w:rFonts w:ascii="Cambria Math" w:hAnsi="Cambria Math" w:cs="Times New Roman"/>
                <w:sz w:val="24"/>
                <w:szCs w:val="24"/>
              </w:rPr>
            </m:ctrlPr>
          </m:sSupPr>
          <m:e>
            <m:r>
              <w:rPr>
                <w:rFonts w:ascii="Cambria Math" w:hAnsi="Cambria Math" w:cs="Times New Roman"/>
                <w:sz w:val="24"/>
                <w:szCs w:val="24"/>
              </w:rPr>
              <m:t>10</m:t>
            </m:r>
          </m:e>
          <m:sup>
            <m:r>
              <w:rPr>
                <w:rFonts w:ascii="Cambria Math" w:hAnsi="Cambria Math" w:cs="Times New Roman"/>
                <w:sz w:val="24"/>
                <w:szCs w:val="24"/>
              </w:rPr>
              <m:t>9</m:t>
            </m:r>
          </m:sup>
        </m:sSup>
      </m:oMath>
      <w:r w:rsidR="00CA78F2" w:rsidRPr="00CA78F2">
        <w:rPr>
          <w:rFonts w:ascii="Times New Roman" w:hAnsi="Times New Roman" w:cs="Times New Roman"/>
          <w:sz w:val="24"/>
          <w:szCs w:val="24"/>
        </w:rPr>
        <w:t>/L develop more severe unexplained ITP within the next 10 years. This review focuses on primary ITP in adults of the population</w:t>
      </w:r>
      <w:proofErr w:type="gramStart"/>
      <w:r w:rsidR="00CA78F2" w:rsidRPr="00CA78F2">
        <w:rPr>
          <w:rFonts w:ascii="Times New Roman" w:hAnsi="Times New Roman" w:cs="Times New Roman"/>
          <w:sz w:val="24"/>
          <w:szCs w:val="24"/>
        </w:rPr>
        <w:t>. ,</w:t>
      </w:r>
      <w:proofErr w:type="gramEnd"/>
      <w:r w:rsidR="00CA78F2" w:rsidRPr="00CA78F2">
        <w:rPr>
          <w:rFonts w:ascii="Times New Roman" w:hAnsi="Times New Roman" w:cs="Times New Roman"/>
          <w:sz w:val="24"/>
          <w:szCs w:val="24"/>
        </w:rPr>
        <w:t xml:space="preserve"> but covers certain aspects of secondary forms and pediatric ITP when appropriate. Management of ITP during pregnancy is discussed elsewhere in this issue (see "Thrombocytopenia during pregnancy"</w:t>
      </w:r>
      <w:proofErr w:type="gramStart"/>
      <w:r w:rsidR="00CA78F2" w:rsidRPr="00CA78F2">
        <w:rPr>
          <w:rFonts w:ascii="Times New Roman" w:hAnsi="Times New Roman" w:cs="Times New Roman"/>
          <w:sz w:val="24"/>
          <w:szCs w:val="24"/>
        </w:rPr>
        <w:t>)..</w:t>
      </w:r>
      <w:proofErr w:type="gramEnd"/>
    </w:p>
    <w:p w14:paraId="40B35EB6" w14:textId="4FDA6722" w:rsidR="00CA78F2" w:rsidRPr="0087407B" w:rsidRDefault="00CA78F2" w:rsidP="00370ACF">
      <w:pPr>
        <w:spacing w:line="276" w:lineRule="auto"/>
        <w:jc w:val="both"/>
        <w:rPr>
          <w:rFonts w:ascii="Times New Roman" w:hAnsi="Times New Roman" w:cs="Times New Roman"/>
          <w:sz w:val="24"/>
          <w:szCs w:val="24"/>
        </w:rPr>
      </w:pPr>
      <w:r w:rsidRPr="00CA78F2">
        <w:rPr>
          <w:rFonts w:ascii="Times New Roman" w:hAnsi="Times New Roman" w:cs="Times New Roman"/>
          <w:sz w:val="24"/>
          <w:szCs w:val="24"/>
        </w:rPr>
        <w:t xml:space="preserve">Designing prospective controlled clinical trials has been particularly challenging because patients with chronic disease represent less than 10% of all patients with </w:t>
      </w:r>
      <w:proofErr w:type="gramStart"/>
      <w:r w:rsidRPr="00CA78F2">
        <w:rPr>
          <w:rFonts w:ascii="Times New Roman" w:hAnsi="Times New Roman" w:cs="Times New Roman"/>
          <w:sz w:val="24"/>
          <w:szCs w:val="24"/>
        </w:rPr>
        <w:t>ITP  and</w:t>
      </w:r>
      <w:proofErr w:type="gramEnd"/>
      <w:r w:rsidRPr="00CA78F2">
        <w:rPr>
          <w:rFonts w:ascii="Times New Roman" w:hAnsi="Times New Roman" w:cs="Times New Roman"/>
          <w:sz w:val="24"/>
          <w:szCs w:val="24"/>
        </w:rPr>
        <w:t xml:space="preserve"> have considerable clinical variability. Consequently, several problems related to the optimal treatment of these patients </w:t>
      </w:r>
      <w:r w:rsidRPr="00CA78F2">
        <w:rPr>
          <w:rFonts w:ascii="Times New Roman" w:hAnsi="Times New Roman" w:cs="Times New Roman"/>
          <w:sz w:val="24"/>
          <w:szCs w:val="24"/>
        </w:rPr>
        <w:lastRenderedPageBreak/>
        <w:t xml:space="preserve">remained unsolved, and treatment principles were mainly based on expert </w:t>
      </w:r>
      <w:proofErr w:type="gramStart"/>
      <w:r w:rsidRPr="00CA78F2">
        <w:rPr>
          <w:rFonts w:ascii="Times New Roman" w:hAnsi="Times New Roman" w:cs="Times New Roman"/>
          <w:sz w:val="24"/>
          <w:szCs w:val="24"/>
        </w:rPr>
        <w:t>opinions  However</w:t>
      </w:r>
      <w:proofErr w:type="gramEnd"/>
      <w:r w:rsidRPr="00CA78F2">
        <w:rPr>
          <w:rFonts w:ascii="Times New Roman" w:hAnsi="Times New Roman" w:cs="Times New Roman"/>
          <w:sz w:val="24"/>
          <w:szCs w:val="24"/>
        </w:rPr>
        <w:t xml:space="preserve">, ongoing randomized trials with several new pharmacological agents promise to rapidly change this scenario. The purpose of this article is to provide an updated overview of ITP in adults, focusing on our current understanding of the mechanisms of thrombocytopenia and new treatments for chronic refractory </w:t>
      </w:r>
      <w:proofErr w:type="gramStart"/>
      <w:r w:rsidRPr="00CA78F2">
        <w:rPr>
          <w:rFonts w:ascii="Times New Roman" w:hAnsi="Times New Roman" w:cs="Times New Roman"/>
          <w:sz w:val="24"/>
          <w:szCs w:val="24"/>
        </w:rPr>
        <w:t>ITP..</w:t>
      </w:r>
      <w:proofErr w:type="gramEnd"/>
    </w:p>
    <w:p w14:paraId="6BF691F3" w14:textId="77777777" w:rsidR="00477CEA" w:rsidRDefault="00477CEA" w:rsidP="00370ACF">
      <w:pPr>
        <w:spacing w:line="276" w:lineRule="auto"/>
        <w:jc w:val="both"/>
      </w:pPr>
      <w:r w:rsidRPr="00477CEA">
        <w:rPr>
          <w:noProof/>
        </w:rPr>
        <w:drawing>
          <wp:inline distT="0" distB="0" distL="0" distR="0" wp14:anchorId="33DACBC2" wp14:editId="07D520AF">
            <wp:extent cx="5943600" cy="2038350"/>
            <wp:effectExtent l="171450" t="171450" r="361950" b="3619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943600" cy="2038350"/>
                    </a:xfrm>
                    <a:prstGeom prst="rect">
                      <a:avLst/>
                    </a:prstGeom>
                    <a:ln w="19050">
                      <a:solidFill>
                        <a:schemeClr val="tx1"/>
                      </a:solidFill>
                    </a:ln>
                    <a:effectLst>
                      <a:outerShdw blurRad="292100" dist="139700" dir="2700000" algn="tl" rotWithShape="0">
                        <a:srgbClr val="333333">
                          <a:alpha val="65000"/>
                        </a:srgbClr>
                      </a:outerShdw>
                    </a:effectLst>
                  </pic:spPr>
                </pic:pic>
              </a:graphicData>
            </a:graphic>
          </wp:inline>
        </w:drawing>
      </w:r>
    </w:p>
    <w:p w14:paraId="6D4A09C4" w14:textId="47AE7533" w:rsidR="00477CEA" w:rsidRDefault="00013F76" w:rsidP="00370ACF">
      <w:pPr>
        <w:spacing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                                                 Figure 1.</w:t>
      </w:r>
    </w:p>
    <w:p w14:paraId="19695970" w14:textId="7F196E51" w:rsidR="00EF3A22" w:rsidRDefault="003F263A" w:rsidP="00370ACF">
      <w:pPr>
        <w:spacing w:line="276" w:lineRule="auto"/>
        <w:jc w:val="both"/>
        <w:rPr>
          <w:rFonts w:ascii="Times New Roman" w:hAnsi="Times New Roman" w:cs="Times New Roman"/>
          <w:sz w:val="24"/>
          <w:szCs w:val="24"/>
        </w:rPr>
      </w:pPr>
      <w:r w:rsidRPr="003F263A">
        <w:rPr>
          <w:rFonts w:ascii="Times New Roman" w:hAnsi="Times New Roman" w:cs="Times New Roman"/>
          <w:b/>
          <w:sz w:val="28"/>
          <w:szCs w:val="28"/>
        </w:rPr>
        <w:t>Figure 1.</w:t>
      </w:r>
      <w:r w:rsidRPr="003F263A">
        <w:rPr>
          <w:rFonts w:ascii="Times New Roman" w:hAnsi="Times New Roman" w:cs="Times New Roman"/>
          <w:sz w:val="24"/>
          <w:szCs w:val="24"/>
        </w:rPr>
        <w:t xml:space="preserve"> </w:t>
      </w:r>
      <w:r w:rsidR="00AE4AE0" w:rsidRPr="00AE4AE0">
        <w:rPr>
          <w:rFonts w:ascii="Times New Roman" w:hAnsi="Times New Roman" w:cs="Times New Roman"/>
          <w:sz w:val="24"/>
          <w:szCs w:val="24"/>
        </w:rPr>
        <w:t xml:space="preserve">Genetic mechanisms in ITP. Breakdown of self-tolerance causes APCs (including megakaryocytes) to process platelet autoantigens and present them to autoreactive T cells, initiating events that include stimulation of autoantibody production and activation of cytotoxic T cells. These two processes result in the destruction of peripheral platelets and the inhibition of megakaryocytes in the bone marrow. In addition, platelets neutralized by autoantibodies </w:t>
      </w:r>
      <w:r w:rsidR="004B0A01">
        <w:rPr>
          <w:rFonts w:ascii="Times New Roman" w:hAnsi="Times New Roman" w:cs="Times New Roman"/>
          <w:sz w:val="24"/>
          <w:szCs w:val="24"/>
        </w:rPr>
        <w:t xml:space="preserve">attack  </w:t>
      </w:r>
      <w:r w:rsidR="00166D5B">
        <w:rPr>
          <w:rFonts w:ascii="Times New Roman" w:hAnsi="Times New Roman" w:cs="Times New Roman"/>
          <w:sz w:val="24"/>
          <w:szCs w:val="24"/>
        </w:rPr>
        <w:t xml:space="preserve"> </w:t>
      </w:r>
      <w:r w:rsidR="00EF3A22">
        <w:rPr>
          <w:rFonts w:ascii="Times New Roman" w:hAnsi="Times New Roman" w:cs="Times New Roman"/>
          <w:sz w:val="24"/>
          <w:szCs w:val="24"/>
        </w:rPr>
        <w:t xml:space="preserve">by the </w:t>
      </w:r>
      <w:r w:rsidR="004D2B31">
        <w:rPr>
          <w:rFonts w:ascii="Times New Roman" w:hAnsi="Times New Roman" w:cs="Times New Roman"/>
          <w:sz w:val="24"/>
          <w:szCs w:val="24"/>
        </w:rPr>
        <w:t>complement</w:t>
      </w:r>
      <w:r w:rsidR="00EF3A22">
        <w:rPr>
          <w:rFonts w:ascii="Times New Roman" w:hAnsi="Times New Roman" w:cs="Times New Roman"/>
          <w:sz w:val="24"/>
          <w:szCs w:val="24"/>
        </w:rPr>
        <w:t xml:space="preserve"> cascade.</w:t>
      </w:r>
    </w:p>
    <w:p w14:paraId="645D1BF1" w14:textId="77777777" w:rsidR="00C11BB6" w:rsidRDefault="00CB5A01" w:rsidP="00370AC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F3A22" w:rsidRPr="00EF3A22">
        <w:rPr>
          <w:rFonts w:ascii="Times New Roman" w:hAnsi="Times New Roman" w:cs="Times New Roman"/>
          <w:sz w:val="24"/>
          <w:szCs w:val="24"/>
        </w:rPr>
        <w:t xml:space="preserve">ITP can be a primary condition or it can be caused by other conditions. The differential diagnosis of thrombocytopenia and possible secondary causes of </w:t>
      </w:r>
      <w:proofErr w:type="gramStart"/>
      <w:r w:rsidR="00EF3A22" w:rsidRPr="00EF3A22">
        <w:rPr>
          <w:rFonts w:ascii="Times New Roman" w:hAnsi="Times New Roman" w:cs="Times New Roman"/>
          <w:sz w:val="24"/>
          <w:szCs w:val="24"/>
        </w:rPr>
        <w:t>ITP .</w:t>
      </w:r>
      <w:proofErr w:type="gramEnd"/>
      <w:r w:rsidR="00EF3A22" w:rsidRPr="00EF3A22">
        <w:rPr>
          <w:rFonts w:ascii="Times New Roman" w:hAnsi="Times New Roman" w:cs="Times New Roman"/>
          <w:sz w:val="24"/>
          <w:szCs w:val="24"/>
        </w:rPr>
        <w:t xml:space="preserve"> In general, the incidence of ITP varies from 2 to 4 cases100,000 person-years, with two peaks: one in the 20-20 30s years \ n slight female predominance and higher in the 60s of the same gender distribution.5,6 Although some patients experience a single episode of ITP followed by immediate remission, chronic ITP develops up to 70 years of age. % of adults with this condition. Both spontaneous and treatment-induced remission can occur several years after diagnosis</w:t>
      </w:r>
      <w:r>
        <w:rPr>
          <w:rFonts w:ascii="Times New Roman" w:hAnsi="Times New Roman" w:cs="Times New Roman"/>
          <w:sz w:val="24"/>
          <w:szCs w:val="24"/>
        </w:rPr>
        <w:t>.</w:t>
      </w:r>
    </w:p>
    <w:p w14:paraId="2582BA0E" w14:textId="16DC19AF" w:rsidR="00247044" w:rsidRDefault="00247044" w:rsidP="00370ACF">
      <w:pPr>
        <w:spacing w:line="276" w:lineRule="auto"/>
        <w:jc w:val="both"/>
        <w:rPr>
          <w:rFonts w:ascii="Times New Roman" w:hAnsi="Times New Roman" w:cs="Times New Roman"/>
          <w:sz w:val="24"/>
          <w:szCs w:val="24"/>
        </w:rPr>
      </w:pPr>
      <w:r w:rsidRPr="00247044">
        <w:rPr>
          <w:rFonts w:ascii="Times New Roman" w:hAnsi="Times New Roman" w:cs="Times New Roman"/>
          <w:noProof/>
          <w:sz w:val="24"/>
          <w:szCs w:val="24"/>
        </w:rPr>
        <w:lastRenderedPageBreak/>
        <w:drawing>
          <wp:inline distT="0" distB="0" distL="0" distR="0" wp14:anchorId="14D20593" wp14:editId="33679C1A">
            <wp:extent cx="5943600" cy="2461260"/>
            <wp:effectExtent l="0" t="0" r="0" b="0"/>
            <wp:docPr id="179977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77239" name=""/>
                    <pic:cNvPicPr/>
                  </pic:nvPicPr>
                  <pic:blipFill>
                    <a:blip r:embed="rId13">
                      <a:duotone>
                        <a:prstClr val="black"/>
                        <a:srgbClr val="D9C3A5">
                          <a:tint val="50000"/>
                          <a:satMod val="180000"/>
                        </a:srgbClr>
                      </a:duotone>
                    </a:blip>
                    <a:stretch>
                      <a:fillRect/>
                    </a:stretch>
                  </pic:blipFill>
                  <pic:spPr>
                    <a:xfrm>
                      <a:off x="0" y="0"/>
                      <a:ext cx="5943600" cy="2461260"/>
                    </a:xfrm>
                    <a:prstGeom prst="rect">
                      <a:avLst/>
                    </a:prstGeom>
                  </pic:spPr>
                </pic:pic>
              </a:graphicData>
            </a:graphic>
          </wp:inline>
        </w:drawing>
      </w:r>
    </w:p>
    <w:p w14:paraId="51B8C05C" w14:textId="75367938" w:rsidR="00CB5A01" w:rsidRDefault="00247044" w:rsidP="00370AC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34B7D2DE" w14:textId="767F71D1" w:rsidR="00EF3A22" w:rsidRDefault="00CB5A01" w:rsidP="00370AC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B5A01">
        <w:rPr>
          <w:rFonts w:ascii="Times New Roman" w:hAnsi="Times New Roman" w:cs="Times New Roman"/>
          <w:sz w:val="24"/>
          <w:szCs w:val="24"/>
        </w:rPr>
        <w:t xml:space="preserve">The pathophysiology of ITP is complex and remains incompletely understood (Figure </w:t>
      </w:r>
      <w:r>
        <w:rPr>
          <w:rFonts w:ascii="Times New Roman" w:hAnsi="Times New Roman" w:cs="Times New Roman"/>
          <w:sz w:val="24"/>
          <w:szCs w:val="24"/>
        </w:rPr>
        <w:t>2</w:t>
      </w:r>
      <w:r w:rsidRPr="00CB5A01">
        <w:rPr>
          <w:rFonts w:ascii="Times New Roman" w:hAnsi="Times New Roman" w:cs="Times New Roman"/>
          <w:sz w:val="24"/>
          <w:szCs w:val="24"/>
        </w:rPr>
        <w:t xml:space="preserve">). The traditional concept is that antibody-coated platelets are destroyed prematurely in the spleen, liver, or both due to interaction with </w:t>
      </w:r>
      <w:proofErr w:type="spellStart"/>
      <w:r w:rsidRPr="00CB5A01">
        <w:rPr>
          <w:rFonts w:ascii="Times New Roman" w:hAnsi="Times New Roman" w:cs="Times New Roman"/>
          <w:sz w:val="24"/>
          <w:szCs w:val="24"/>
        </w:rPr>
        <w:t>Fcγ</w:t>
      </w:r>
      <w:proofErr w:type="spellEnd"/>
      <w:r w:rsidRPr="00CB5A01">
        <w:rPr>
          <w:rFonts w:ascii="Times New Roman" w:hAnsi="Times New Roman" w:cs="Times New Roman"/>
          <w:sz w:val="24"/>
          <w:szCs w:val="24"/>
        </w:rPr>
        <w:t xml:space="preserve"> receptors.7Autoantibodies can also induce complement-mediated or </w:t>
      </w:r>
      <w:proofErr w:type="spellStart"/>
      <w:r w:rsidRPr="00CB5A01">
        <w:rPr>
          <w:rFonts w:ascii="Times New Roman" w:hAnsi="Times New Roman" w:cs="Times New Roman"/>
          <w:sz w:val="24"/>
          <w:szCs w:val="24"/>
        </w:rPr>
        <w:t>desialylation</w:t>
      </w:r>
      <w:proofErr w:type="spellEnd"/>
      <w:r w:rsidRPr="00CB5A01">
        <w:rPr>
          <w:rFonts w:ascii="Times New Roman" w:hAnsi="Times New Roman" w:cs="Times New Roman"/>
          <w:sz w:val="24"/>
          <w:szCs w:val="24"/>
        </w:rPr>
        <w:t xml:space="preserve">-induced </w:t>
      </w:r>
      <w:proofErr w:type="gramStart"/>
      <w:r w:rsidRPr="00CB5A01">
        <w:rPr>
          <w:rFonts w:ascii="Times New Roman" w:hAnsi="Times New Roman" w:cs="Times New Roman"/>
          <w:sz w:val="24"/>
          <w:szCs w:val="24"/>
        </w:rPr>
        <w:t>effects..</w:t>
      </w:r>
      <w:proofErr w:type="gramEnd"/>
      <w:r w:rsidRPr="00CB5A01">
        <w:t xml:space="preserve"> </w:t>
      </w:r>
      <w:r w:rsidRPr="00CB5A01">
        <w:rPr>
          <w:rFonts w:ascii="Times New Roman" w:hAnsi="Times New Roman" w:cs="Times New Roman"/>
          <w:sz w:val="24"/>
          <w:szCs w:val="24"/>
        </w:rPr>
        <w:t xml:space="preserve">destruction of platelets and inhibition </w:t>
      </w:r>
      <w:r w:rsidR="004D2B31" w:rsidRPr="00CB5A01">
        <w:rPr>
          <w:rFonts w:ascii="Times New Roman" w:hAnsi="Times New Roman" w:cs="Times New Roman"/>
          <w:sz w:val="24"/>
          <w:szCs w:val="24"/>
        </w:rPr>
        <w:t>of megakaryocyte</w:t>
      </w:r>
      <w:r w:rsidRPr="00CB5A01">
        <w:rPr>
          <w:rFonts w:ascii="Times New Roman" w:hAnsi="Times New Roman" w:cs="Times New Roman"/>
          <w:sz w:val="24"/>
          <w:szCs w:val="24"/>
        </w:rPr>
        <w:t xml:space="preserve"> function.10 However, antiplatelet\antibodies are not detected in up to 50% of patients; this raises the possibility of </w:t>
      </w:r>
      <w:r w:rsidR="004D2B31" w:rsidRPr="00CB5A01">
        <w:rPr>
          <w:rFonts w:ascii="Times New Roman" w:hAnsi="Times New Roman" w:cs="Times New Roman"/>
          <w:sz w:val="24"/>
          <w:szCs w:val="24"/>
        </w:rPr>
        <w:t>alternative mechanisms</w:t>
      </w:r>
      <w:r w:rsidRPr="00CB5A01">
        <w:rPr>
          <w:rFonts w:ascii="Times New Roman" w:hAnsi="Times New Roman" w:cs="Times New Roman"/>
          <w:sz w:val="24"/>
          <w:szCs w:val="24"/>
        </w:rPr>
        <w:t xml:space="preserve"> for platelet destruction. Abnormalities have been described in T cells, including a shift </w:t>
      </w:r>
      <w:r w:rsidR="004D2B31" w:rsidRPr="00CB5A01">
        <w:rPr>
          <w:rFonts w:ascii="Times New Roman" w:hAnsi="Times New Roman" w:cs="Times New Roman"/>
          <w:sz w:val="24"/>
          <w:szCs w:val="24"/>
        </w:rPr>
        <w:t>of helper</w:t>
      </w:r>
      <w:r w:rsidRPr="00CB5A01">
        <w:rPr>
          <w:rFonts w:ascii="Times New Roman" w:hAnsi="Times New Roman" w:cs="Times New Roman"/>
          <w:sz w:val="24"/>
          <w:szCs w:val="24"/>
        </w:rPr>
        <w:t xml:space="preserve"> T cells (Th) to type 1helper T (Th1) and type 17 helper T (Th17) </w:t>
      </w:r>
      <w:proofErr w:type="gramStart"/>
      <w:r w:rsidRPr="00CB5A01">
        <w:rPr>
          <w:rFonts w:ascii="Times New Roman" w:hAnsi="Times New Roman" w:cs="Times New Roman"/>
          <w:sz w:val="24"/>
          <w:szCs w:val="24"/>
        </w:rPr>
        <w:t>phenotype</w:t>
      </w:r>
      <w:r>
        <w:rPr>
          <w:rFonts w:ascii="Times New Roman" w:hAnsi="Times New Roman" w:cs="Times New Roman"/>
          <w:sz w:val="24"/>
          <w:szCs w:val="24"/>
        </w:rPr>
        <w:t xml:space="preserve"> </w:t>
      </w:r>
      <w:r w:rsidRPr="00CB5A01">
        <w:rPr>
          <w:rFonts w:ascii="Times New Roman" w:hAnsi="Times New Roman" w:cs="Times New Roman"/>
          <w:sz w:val="24"/>
          <w:szCs w:val="24"/>
        </w:rPr>
        <w:t>,</w:t>
      </w:r>
      <w:proofErr w:type="gramEnd"/>
      <w:r w:rsidRPr="00CB5A01">
        <w:rPr>
          <w:rFonts w:ascii="Times New Roman" w:hAnsi="Times New Roman" w:cs="Times New Roman"/>
          <w:sz w:val="24"/>
          <w:szCs w:val="24"/>
        </w:rPr>
        <w:t xml:space="preserve"> and decreased number </w:t>
      </w:r>
      <w:r w:rsidR="004D2B31" w:rsidRPr="00CB5A01">
        <w:rPr>
          <w:rFonts w:ascii="Times New Roman" w:hAnsi="Times New Roman" w:cs="Times New Roman"/>
          <w:sz w:val="24"/>
          <w:szCs w:val="24"/>
        </w:rPr>
        <w:t>and function</w:t>
      </w:r>
      <w:r w:rsidRPr="00CB5A01">
        <w:rPr>
          <w:rFonts w:ascii="Times New Roman" w:hAnsi="Times New Roman" w:cs="Times New Roman"/>
          <w:sz w:val="24"/>
          <w:szCs w:val="24"/>
        </w:rPr>
        <w:t xml:space="preserve">. regulatory T </w:t>
      </w:r>
      <w:proofErr w:type="gramStart"/>
      <w:r w:rsidRPr="00CB5A01">
        <w:rPr>
          <w:rFonts w:ascii="Times New Roman" w:hAnsi="Times New Roman" w:cs="Times New Roman"/>
          <w:sz w:val="24"/>
          <w:szCs w:val="24"/>
        </w:rPr>
        <w:t>cells,  which</w:t>
      </w:r>
      <w:proofErr w:type="gramEnd"/>
      <w:r w:rsidRPr="00CB5A01">
        <w:rPr>
          <w:rFonts w:ascii="Times New Roman" w:hAnsi="Times New Roman" w:cs="Times New Roman"/>
          <w:sz w:val="24"/>
          <w:szCs w:val="24"/>
        </w:rPr>
        <w:t xml:space="preserve"> can control the autoimmune process. Limited studies suggest that CD8 cells are also </w:t>
      </w:r>
      <w:proofErr w:type="gramStart"/>
      <w:r w:rsidRPr="00CB5A01">
        <w:rPr>
          <w:rFonts w:ascii="Times New Roman" w:hAnsi="Times New Roman" w:cs="Times New Roman"/>
          <w:sz w:val="24"/>
          <w:szCs w:val="24"/>
        </w:rPr>
        <w:t>involved..</w:t>
      </w:r>
      <w:proofErr w:type="gramEnd"/>
    </w:p>
    <w:p w14:paraId="0DF1A764" w14:textId="77777777" w:rsidR="00EF3A22" w:rsidRDefault="00EF3A22" w:rsidP="00370ACF">
      <w:pPr>
        <w:spacing w:line="276" w:lineRule="auto"/>
        <w:jc w:val="both"/>
        <w:rPr>
          <w:rFonts w:ascii="Times New Roman" w:hAnsi="Times New Roman" w:cs="Times New Roman"/>
          <w:sz w:val="24"/>
          <w:szCs w:val="24"/>
        </w:rPr>
      </w:pPr>
    </w:p>
    <w:p w14:paraId="670441F0" w14:textId="35159E5E" w:rsidR="00D95AEE" w:rsidRPr="006C01CA" w:rsidRDefault="00D95AEE" w:rsidP="00370ACF">
      <w:pPr>
        <w:spacing w:line="276" w:lineRule="auto"/>
        <w:jc w:val="both"/>
        <w:rPr>
          <w:rFonts w:ascii="Times New Roman" w:hAnsi="Times New Roman" w:cs="Times New Roman"/>
          <w:sz w:val="24"/>
          <w:szCs w:val="24"/>
        </w:rPr>
      </w:pPr>
      <w:r w:rsidRPr="00D95AEE">
        <w:rPr>
          <w:noProof/>
        </w:rPr>
        <w:lastRenderedPageBreak/>
        <w:drawing>
          <wp:inline distT="0" distB="0" distL="0" distR="0" wp14:anchorId="6777E3BD" wp14:editId="7D68AE96">
            <wp:extent cx="5943600" cy="3448050"/>
            <wp:effectExtent l="171450" t="133350" r="400050" b="3429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943600" cy="3448050"/>
                    </a:xfrm>
                    <a:prstGeom prst="rect">
                      <a:avLst/>
                    </a:prstGeom>
                    <a:ln w="19050">
                      <a:solidFill>
                        <a:schemeClr val="tx1"/>
                      </a:solidFill>
                    </a:ln>
                    <a:effectLst>
                      <a:outerShdw blurRad="292100" dist="139700" dir="2700000" algn="tl" rotWithShape="0">
                        <a:srgbClr val="333333">
                          <a:alpha val="65000"/>
                        </a:srgbClr>
                      </a:outerShdw>
                    </a:effectLst>
                  </pic:spPr>
                </pic:pic>
              </a:graphicData>
            </a:graphic>
          </wp:inline>
        </w:drawing>
      </w:r>
    </w:p>
    <w:p w14:paraId="5178094E" w14:textId="4B01761A" w:rsidR="004D2B31" w:rsidRDefault="00013F76" w:rsidP="00370ACF">
      <w:pPr>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                                                              Figure 2.</w:t>
      </w:r>
    </w:p>
    <w:p w14:paraId="63B9EA64" w14:textId="77777777" w:rsidR="004D2B31" w:rsidRDefault="000F5DEE" w:rsidP="00370ACF">
      <w:pPr>
        <w:spacing w:line="276" w:lineRule="auto"/>
        <w:jc w:val="both"/>
        <w:rPr>
          <w:rFonts w:ascii="Times New Roman" w:hAnsi="Times New Roman" w:cs="Times New Roman"/>
          <w:sz w:val="24"/>
          <w:szCs w:val="24"/>
        </w:rPr>
      </w:pPr>
      <w:r w:rsidRPr="000F5DEE">
        <w:rPr>
          <w:rFonts w:ascii="Times New Roman" w:hAnsi="Times New Roman" w:cs="Times New Roman"/>
          <w:b/>
          <w:sz w:val="24"/>
          <w:szCs w:val="24"/>
        </w:rPr>
        <w:t>Figure 2</w:t>
      </w:r>
      <w:r w:rsidRPr="004D2B31">
        <w:rPr>
          <w:rFonts w:ascii="Times New Roman" w:hAnsi="Times New Roman" w:cs="Times New Roman"/>
          <w:b/>
          <w:sz w:val="24"/>
          <w:szCs w:val="24"/>
        </w:rPr>
        <w:t xml:space="preserve">. </w:t>
      </w:r>
      <w:r w:rsidR="004D2B31" w:rsidRPr="004D2B31">
        <w:rPr>
          <w:rFonts w:ascii="Times New Roman" w:hAnsi="Times New Roman" w:cs="Times New Roman"/>
          <w:b/>
          <w:sz w:val="24"/>
          <w:szCs w:val="24"/>
        </w:rPr>
        <w:t>Pathophysiological Highlights of Safe Thrombocytopenia</w:t>
      </w:r>
      <w:r w:rsidR="004D2B31" w:rsidRPr="004D2B31">
        <w:rPr>
          <w:rFonts w:ascii="Times New Roman" w:hAnsi="Times New Roman" w:cs="Times New Roman"/>
          <w:sz w:val="24"/>
          <w:szCs w:val="24"/>
        </w:rPr>
        <w:t>.</w:t>
      </w:r>
    </w:p>
    <w:p w14:paraId="29629225" w14:textId="0509CAE8" w:rsidR="00463730" w:rsidRDefault="004D2B31" w:rsidP="00370ACF">
      <w:pPr>
        <w:spacing w:line="276" w:lineRule="auto"/>
        <w:jc w:val="both"/>
        <w:rPr>
          <w:rFonts w:ascii="Times New Roman" w:hAnsi="Times New Roman" w:cs="Times New Roman"/>
          <w:sz w:val="24"/>
          <w:szCs w:val="24"/>
        </w:rPr>
      </w:pPr>
      <w:r w:rsidRPr="004D2B31">
        <w:rPr>
          <w:rFonts w:ascii="Times New Roman" w:hAnsi="Times New Roman" w:cs="Times New Roman"/>
          <w:sz w:val="24"/>
          <w:szCs w:val="24"/>
        </w:rPr>
        <w:t xml:space="preserve"> In spite of the fact that the pathophysiology of resistant thrombocytopenia (ITP) is not completely caught on, the key occasion is considered to be the production of antiplatelet autoantibodies. These autoantibodies target platelets for pulverization by macrophages within the spleen, liver, or both through actuation of </w:t>
      </w:r>
      <w:proofErr w:type="spellStart"/>
      <w:r w:rsidRPr="004D2B31">
        <w:rPr>
          <w:rFonts w:ascii="Times New Roman" w:hAnsi="Times New Roman" w:cs="Times New Roman"/>
          <w:sz w:val="24"/>
          <w:szCs w:val="24"/>
        </w:rPr>
        <w:t>Fcγ</w:t>
      </w:r>
      <w:proofErr w:type="spellEnd"/>
      <w:r w:rsidRPr="004D2B31">
        <w:rPr>
          <w:rFonts w:ascii="Times New Roman" w:hAnsi="Times New Roman" w:cs="Times New Roman"/>
          <w:sz w:val="24"/>
          <w:szCs w:val="24"/>
        </w:rPr>
        <w:t xml:space="preserve"> receptors; this prepare is controlled by spleen tyrosine kinase (</w:t>
      </w:r>
      <w:proofErr w:type="spellStart"/>
      <w:r w:rsidRPr="004D2B31">
        <w:rPr>
          <w:rFonts w:ascii="Times New Roman" w:hAnsi="Times New Roman" w:cs="Times New Roman"/>
          <w:sz w:val="24"/>
          <w:szCs w:val="24"/>
        </w:rPr>
        <w:t>Syk</w:t>
      </w:r>
      <w:proofErr w:type="spellEnd"/>
      <w:r w:rsidRPr="004D2B31">
        <w:rPr>
          <w:rFonts w:ascii="Times New Roman" w:hAnsi="Times New Roman" w:cs="Times New Roman"/>
          <w:sz w:val="24"/>
          <w:szCs w:val="24"/>
        </w:rPr>
        <w:t xml:space="preserve">). Autoantibodies may </w:t>
      </w:r>
      <w:proofErr w:type="gramStart"/>
      <w:r w:rsidRPr="004D2B31">
        <w:rPr>
          <w:rFonts w:ascii="Times New Roman" w:hAnsi="Times New Roman" w:cs="Times New Roman"/>
          <w:sz w:val="24"/>
          <w:szCs w:val="24"/>
        </w:rPr>
        <w:t>too</w:t>
      </w:r>
      <w:proofErr w:type="gramEnd"/>
      <w:r w:rsidRPr="004D2B31">
        <w:rPr>
          <w:rFonts w:ascii="Times New Roman" w:hAnsi="Times New Roman" w:cs="Times New Roman"/>
          <w:sz w:val="24"/>
          <w:szCs w:val="24"/>
        </w:rPr>
        <w:t xml:space="preserve"> crush platelets through other instruments and hinder platelet generation by megakaryocytes. Antigens from phagocytosed platelets are thought to be displayed by the major histocompatibility complex course II (MHCII) to T-cell receptors (TCRs), fortifying autoreactive T cells. T-cell changes seen in ITP and hypothesized to be pathogenic incorporate skewing of T partner (Th) cells toward a sort 1 T aide (Th1) and sort n17 T partner (Th17) phenotype, lessening of administrative T-cell action, and an increment in cytotoxic T cells. Many thinks about propose that cytotoxic T cells can moreover specifically annihilate or repress the generation of platelets.</w:t>
      </w:r>
    </w:p>
    <w:p w14:paraId="458D55E1" w14:textId="49A61C4E" w:rsidR="004855D0" w:rsidRPr="004855D0" w:rsidRDefault="004855D0" w:rsidP="00370ACF">
      <w:pPr>
        <w:spacing w:line="276" w:lineRule="auto"/>
        <w:jc w:val="both"/>
        <w:rPr>
          <w:rFonts w:ascii="Times New Roman" w:hAnsi="Times New Roman" w:cs="Times New Roman"/>
          <w:b/>
          <w:sz w:val="28"/>
          <w:szCs w:val="28"/>
        </w:rPr>
      </w:pPr>
      <w:r w:rsidRPr="004855D0">
        <w:rPr>
          <w:rFonts w:ascii="Times New Roman" w:hAnsi="Times New Roman" w:cs="Times New Roman"/>
          <w:b/>
          <w:sz w:val="28"/>
          <w:szCs w:val="28"/>
        </w:rPr>
        <w:t>Immun</w:t>
      </w:r>
      <w:r w:rsidR="00644F85">
        <w:rPr>
          <w:rFonts w:ascii="Times New Roman" w:hAnsi="Times New Roman" w:cs="Times New Roman"/>
          <w:b/>
          <w:sz w:val="28"/>
          <w:szCs w:val="28"/>
        </w:rPr>
        <w:t>e</w:t>
      </w:r>
      <w:r w:rsidRPr="004855D0">
        <w:rPr>
          <w:rFonts w:ascii="Times New Roman" w:hAnsi="Times New Roman" w:cs="Times New Roman"/>
          <w:b/>
          <w:sz w:val="28"/>
          <w:szCs w:val="28"/>
        </w:rPr>
        <w:t xml:space="preserve"> </w:t>
      </w:r>
      <w:proofErr w:type="gramStart"/>
      <w:r w:rsidRPr="004855D0">
        <w:rPr>
          <w:rFonts w:ascii="Times New Roman" w:hAnsi="Times New Roman" w:cs="Times New Roman"/>
          <w:b/>
          <w:sz w:val="28"/>
          <w:szCs w:val="28"/>
        </w:rPr>
        <w:t>thrombocytopenia</w:t>
      </w:r>
      <w:r w:rsidR="00DE71B3">
        <w:rPr>
          <w:rFonts w:ascii="Times New Roman" w:hAnsi="Times New Roman" w:cs="Times New Roman"/>
          <w:b/>
          <w:sz w:val="28"/>
          <w:szCs w:val="28"/>
        </w:rPr>
        <w:t xml:space="preserve"> :</w:t>
      </w:r>
      <w:proofErr w:type="gramEnd"/>
    </w:p>
    <w:p w14:paraId="08C95963" w14:textId="6191E2CB" w:rsidR="0032163B" w:rsidRDefault="006B3AB2" w:rsidP="00370ACF">
      <w:pPr>
        <w:spacing w:line="276" w:lineRule="auto"/>
        <w:jc w:val="both"/>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t xml:space="preserve">       </w:t>
      </w:r>
      <w:r w:rsidRPr="006B3AB2">
        <w:rPr>
          <w:rFonts w:ascii="Times New Roman" w:eastAsia="Times New Roman" w:hAnsi="Times New Roman" w:cs="Times New Roman"/>
          <w:sz w:val="24"/>
          <w:szCs w:val="24"/>
          <w:lang w:val="en-IN" w:eastAsia="en-IN"/>
        </w:rPr>
        <w:t>The diagnosis of idiopathic thrombocytopenic purpura (ITP), sometimes referred to as immune thrombocytopenia or immunological thrombocytopenic purpura, is made when the platelet count is less than 100 ×</w:t>
      </w:r>
      <m:oMath>
        <m:sSup>
          <m:sSupPr>
            <m:ctrlPr>
              <w:rPr>
                <w:rFonts w:ascii="Cambria Math" w:eastAsia="Times New Roman" w:hAnsi="Cambria Math" w:cs="Times New Roman"/>
                <w:i/>
                <w:sz w:val="24"/>
                <w:szCs w:val="24"/>
                <w:lang w:val="en-IN" w:eastAsia="en-IN"/>
              </w:rPr>
            </m:ctrlPr>
          </m:sSupPr>
          <m:e>
            <m:r>
              <w:rPr>
                <w:rFonts w:ascii="Cambria Math" w:eastAsia="Times New Roman" w:hAnsi="Cambria Math" w:cs="Times New Roman"/>
                <w:sz w:val="24"/>
                <w:szCs w:val="24"/>
                <w:lang w:val="en-IN" w:eastAsia="en-IN"/>
              </w:rPr>
              <m:t>10</m:t>
            </m:r>
          </m:e>
          <m:sup>
            <m:r>
              <w:rPr>
                <w:rFonts w:ascii="Cambria Math" w:eastAsia="Times New Roman" w:hAnsi="Cambria Math" w:cs="Times New Roman"/>
                <w:sz w:val="24"/>
                <w:szCs w:val="24"/>
                <w:lang w:val="en-IN" w:eastAsia="en-IN"/>
              </w:rPr>
              <m:t>9</m:t>
            </m:r>
          </m:sup>
        </m:sSup>
      </m:oMath>
      <w:r w:rsidRPr="006B3AB2">
        <w:rPr>
          <w:rFonts w:ascii="Times New Roman" w:eastAsia="Times New Roman" w:hAnsi="Times New Roman" w:cs="Times New Roman"/>
          <w:sz w:val="24"/>
          <w:szCs w:val="24"/>
          <w:lang w:val="en-IN" w:eastAsia="en-IN"/>
        </w:rPr>
        <w:t xml:space="preserve">/L. </w:t>
      </w:r>
    </w:p>
    <w:p w14:paraId="58B93D17" w14:textId="77777777" w:rsidR="00370ACF" w:rsidRDefault="00370ACF" w:rsidP="00370ACF">
      <w:pPr>
        <w:spacing w:after="0" w:line="276" w:lineRule="auto"/>
        <w:jc w:val="both"/>
        <w:rPr>
          <w:rFonts w:ascii="Times New Roman" w:hAnsi="Times New Roman" w:cs="Times New Roman"/>
          <w:b/>
          <w:bCs/>
          <w:sz w:val="28"/>
          <w:szCs w:val="28"/>
        </w:rPr>
      </w:pPr>
    </w:p>
    <w:p w14:paraId="4AA51BD6" w14:textId="4E4C1B1E" w:rsidR="00DB33CB" w:rsidRPr="00164545" w:rsidRDefault="00DB33CB" w:rsidP="00370ACF">
      <w:pPr>
        <w:spacing w:after="0" w:line="276" w:lineRule="auto"/>
        <w:jc w:val="both"/>
        <w:rPr>
          <w:rFonts w:ascii="Times New Roman" w:eastAsia="Times New Roman" w:hAnsi="Times New Roman" w:cs="Times New Roman"/>
          <w:sz w:val="24"/>
          <w:szCs w:val="24"/>
          <w:lang w:val="en-IN" w:eastAsia="en-IN"/>
        </w:rPr>
      </w:pPr>
      <w:r w:rsidRPr="00DB33CB">
        <w:rPr>
          <w:rFonts w:ascii="Times New Roman" w:hAnsi="Times New Roman" w:cs="Times New Roman"/>
          <w:b/>
          <w:bCs/>
          <w:sz w:val="28"/>
          <w:szCs w:val="28"/>
        </w:rPr>
        <w:lastRenderedPageBreak/>
        <w:t>Etiology</w:t>
      </w:r>
      <w:r>
        <w:rPr>
          <w:rFonts w:ascii="Times New Roman" w:hAnsi="Times New Roman" w:cs="Times New Roman"/>
          <w:b/>
          <w:bCs/>
          <w:sz w:val="28"/>
          <w:szCs w:val="28"/>
        </w:rPr>
        <w:t>:</w:t>
      </w:r>
    </w:p>
    <w:p w14:paraId="10C28EA4" w14:textId="428812DB" w:rsidR="0032163B" w:rsidRDefault="0032163B" w:rsidP="00370ACF">
      <w:pPr>
        <w:spacing w:after="0" w:line="276" w:lineRule="auto"/>
        <w:jc w:val="both"/>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t xml:space="preserve">     </w:t>
      </w:r>
      <w:r w:rsidR="00857546">
        <w:rPr>
          <w:rFonts w:ascii="Times New Roman" w:eastAsia="Times New Roman" w:hAnsi="Times New Roman" w:cs="Times New Roman"/>
          <w:sz w:val="24"/>
          <w:szCs w:val="24"/>
          <w:lang w:val="en-IN" w:eastAsia="en-IN"/>
        </w:rPr>
        <w:t xml:space="preserve"> </w:t>
      </w:r>
      <w:r w:rsidRPr="0032163B">
        <w:rPr>
          <w:rFonts w:ascii="Times New Roman" w:eastAsia="Times New Roman" w:hAnsi="Times New Roman" w:cs="Times New Roman"/>
          <w:sz w:val="24"/>
          <w:szCs w:val="24"/>
          <w:lang w:val="en-IN" w:eastAsia="en-IN"/>
        </w:rPr>
        <w:t xml:space="preserve">A platelet </w:t>
      </w:r>
      <w:proofErr w:type="gramStart"/>
      <w:r w:rsidRPr="0032163B">
        <w:rPr>
          <w:rFonts w:ascii="Times New Roman" w:eastAsia="Times New Roman" w:hAnsi="Times New Roman" w:cs="Times New Roman"/>
          <w:sz w:val="24"/>
          <w:szCs w:val="24"/>
          <w:lang w:val="en-IN" w:eastAsia="en-IN"/>
        </w:rPr>
        <w:t>count</w:t>
      </w:r>
      <w:proofErr w:type="gramEnd"/>
      <w:r w:rsidRPr="0032163B">
        <w:rPr>
          <w:rFonts w:ascii="Times New Roman" w:eastAsia="Times New Roman" w:hAnsi="Times New Roman" w:cs="Times New Roman"/>
          <w:sz w:val="24"/>
          <w:szCs w:val="24"/>
          <w:lang w:val="en-IN" w:eastAsia="en-IN"/>
        </w:rPr>
        <w:t xml:space="preserve"> of fewer than 150 x </w:t>
      </w:r>
      <m:oMath>
        <m:sSup>
          <m:sSupPr>
            <m:ctrlPr>
              <w:rPr>
                <w:rFonts w:ascii="Cambria Math" w:eastAsia="Times New Roman" w:hAnsi="Cambria Math" w:cs="Times New Roman"/>
                <w:i/>
                <w:sz w:val="24"/>
                <w:szCs w:val="24"/>
                <w:lang w:val="en-IN" w:eastAsia="en-IN"/>
              </w:rPr>
            </m:ctrlPr>
          </m:sSupPr>
          <m:e>
            <m:r>
              <w:rPr>
                <w:rFonts w:ascii="Cambria Math" w:eastAsia="Times New Roman" w:hAnsi="Cambria Math" w:cs="Times New Roman"/>
                <w:sz w:val="24"/>
                <w:szCs w:val="24"/>
                <w:lang w:val="en-IN" w:eastAsia="en-IN"/>
              </w:rPr>
              <m:t>10</m:t>
            </m:r>
          </m:e>
          <m:sup>
            <m:r>
              <w:rPr>
                <w:rFonts w:ascii="Cambria Math" w:eastAsia="Times New Roman" w:hAnsi="Cambria Math" w:cs="Times New Roman"/>
                <w:sz w:val="24"/>
                <w:szCs w:val="24"/>
                <w:lang w:val="en-IN" w:eastAsia="en-IN"/>
              </w:rPr>
              <m:t>9</m:t>
            </m:r>
          </m:sup>
        </m:sSup>
      </m:oMath>
      <w:r w:rsidRPr="0032163B">
        <w:rPr>
          <w:rFonts w:ascii="Times New Roman" w:eastAsia="Times New Roman" w:hAnsi="Times New Roman" w:cs="Times New Roman"/>
          <w:sz w:val="24"/>
          <w:szCs w:val="24"/>
          <w:lang w:val="en-IN" w:eastAsia="en-IN"/>
        </w:rPr>
        <w:t xml:space="preserve"> is known as thrombocytopenia. Among neonates, especially premature ones, it is one of the most prevalent hemostatic disorders. It can result in a significant risk of bleeding and death and affects 18–35% of newborns admitted to neonatal intensive care units (NICUs). Many research showed that the degree of prematurity increases the likelihood of increasing thrombocytopenia and that immature newborns had a 2.52-fold higher risk of thrombocytopenia. </w:t>
      </w:r>
      <w:r w:rsidRPr="006B3AB2">
        <w:rPr>
          <w:rFonts w:ascii="Times New Roman" w:eastAsia="Times New Roman" w:hAnsi="Times New Roman" w:cs="Times New Roman"/>
          <w:sz w:val="24"/>
          <w:szCs w:val="24"/>
          <w:lang w:val="en-IN" w:eastAsia="en-IN"/>
        </w:rPr>
        <w:t xml:space="preserve">It is generally described as an isolated thrombocytopenic autoimmune illness with no known underlying </w:t>
      </w:r>
      <w:proofErr w:type="spellStart"/>
      <w:r w:rsidRPr="006B3AB2">
        <w:rPr>
          <w:rFonts w:ascii="Times New Roman" w:eastAsia="Times New Roman" w:hAnsi="Times New Roman" w:cs="Times New Roman"/>
          <w:sz w:val="24"/>
          <w:szCs w:val="24"/>
          <w:lang w:val="en-IN" w:eastAsia="en-IN"/>
        </w:rPr>
        <w:t>etiology</w:t>
      </w:r>
      <w:proofErr w:type="spellEnd"/>
      <w:r w:rsidRPr="006B3AB2">
        <w:rPr>
          <w:rFonts w:ascii="Times New Roman" w:eastAsia="Times New Roman" w:hAnsi="Times New Roman" w:cs="Times New Roman"/>
          <w:sz w:val="24"/>
          <w:szCs w:val="24"/>
          <w:lang w:val="en-IN" w:eastAsia="en-IN"/>
        </w:rPr>
        <w:t>.</w:t>
      </w:r>
      <w:r w:rsidRPr="0032163B">
        <w:t xml:space="preserve"> </w:t>
      </w:r>
      <w:r w:rsidRPr="0032163B">
        <w:rPr>
          <w:rFonts w:ascii="Times New Roman" w:eastAsia="Times New Roman" w:hAnsi="Times New Roman" w:cs="Times New Roman"/>
          <w:sz w:val="24"/>
          <w:szCs w:val="24"/>
          <w:lang w:val="en-IN" w:eastAsia="en-IN"/>
        </w:rPr>
        <w:t xml:space="preserve">There may be indications of both maternal and neonatal variables in the complicated </w:t>
      </w:r>
      <w:proofErr w:type="spellStart"/>
      <w:r w:rsidRPr="0032163B">
        <w:rPr>
          <w:rFonts w:ascii="Times New Roman" w:eastAsia="Times New Roman" w:hAnsi="Times New Roman" w:cs="Times New Roman"/>
          <w:sz w:val="24"/>
          <w:szCs w:val="24"/>
          <w:lang w:val="en-IN" w:eastAsia="en-IN"/>
        </w:rPr>
        <w:t>etiology</w:t>
      </w:r>
      <w:proofErr w:type="spellEnd"/>
      <w:r w:rsidRPr="0032163B">
        <w:rPr>
          <w:rFonts w:ascii="Times New Roman" w:eastAsia="Times New Roman" w:hAnsi="Times New Roman" w:cs="Times New Roman"/>
          <w:sz w:val="24"/>
          <w:szCs w:val="24"/>
          <w:lang w:val="en-IN" w:eastAsia="en-IN"/>
        </w:rPr>
        <w:t xml:space="preserve"> of thrombocytopenia. </w:t>
      </w:r>
      <w:r>
        <w:rPr>
          <w:rFonts w:ascii="Times New Roman" w:eastAsia="Times New Roman" w:hAnsi="Times New Roman" w:cs="Times New Roman"/>
          <w:sz w:val="24"/>
          <w:szCs w:val="24"/>
          <w:lang w:val="en-IN" w:eastAsia="en-IN"/>
        </w:rPr>
        <w:t xml:space="preserve">  </w:t>
      </w:r>
      <w:r w:rsidRPr="0032163B">
        <w:rPr>
          <w:rFonts w:ascii="Times New Roman" w:eastAsia="Times New Roman" w:hAnsi="Times New Roman" w:cs="Times New Roman"/>
          <w:sz w:val="24"/>
          <w:szCs w:val="24"/>
          <w:lang w:val="en-IN" w:eastAsia="en-IN"/>
        </w:rPr>
        <w:t>in the process of creating it. Thrombocytopenia typically indicates the presence of another disease, such as necrotizing enterocolitis (NEC), sepsis, or intrauterine growth restriction (IUGR), however it may be the sole clinical manifestation of an autoimmune syndrome. Premature newborns with inflammatory bowel necrosis (NEC)</w:t>
      </w:r>
      <w:r>
        <w:rPr>
          <w:rFonts w:ascii="Times New Roman" w:eastAsia="Times New Roman" w:hAnsi="Times New Roman" w:cs="Times New Roman"/>
          <w:sz w:val="24"/>
          <w:szCs w:val="24"/>
          <w:lang w:val="en-IN" w:eastAsia="en-IN"/>
        </w:rPr>
        <w:t>.</w:t>
      </w:r>
    </w:p>
    <w:p w14:paraId="0B63DE4A" w14:textId="212B67AB" w:rsidR="0032163B" w:rsidRDefault="0032163B" w:rsidP="00370ACF">
      <w:pPr>
        <w:spacing w:after="0" w:line="276" w:lineRule="auto"/>
        <w:jc w:val="both"/>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t xml:space="preserve">      </w:t>
      </w:r>
      <w:r w:rsidRPr="0032163B">
        <w:rPr>
          <w:rFonts w:ascii="Times New Roman" w:eastAsia="Times New Roman" w:hAnsi="Times New Roman" w:cs="Times New Roman"/>
          <w:sz w:val="24"/>
          <w:szCs w:val="24"/>
          <w:lang w:val="en-IN" w:eastAsia="en-IN"/>
        </w:rPr>
        <w:t xml:space="preserve">A typical clinical problem that gets worse with increasing prematurity is neonatal thrombocytopenia (NT). The fundamental reasons </w:t>
      </w:r>
      <w:proofErr w:type="gramStart"/>
      <w:r w:rsidRPr="0032163B">
        <w:rPr>
          <w:rFonts w:ascii="Times New Roman" w:eastAsia="Times New Roman" w:hAnsi="Times New Roman" w:cs="Times New Roman"/>
          <w:sz w:val="24"/>
          <w:szCs w:val="24"/>
          <w:lang w:val="en-IN" w:eastAsia="en-IN"/>
        </w:rPr>
        <w:t xml:space="preserve">behind </w:t>
      </w:r>
      <w:r>
        <w:rPr>
          <w:rFonts w:ascii="Times New Roman" w:eastAsia="Times New Roman" w:hAnsi="Times New Roman" w:cs="Times New Roman"/>
          <w:sz w:val="24"/>
          <w:szCs w:val="24"/>
          <w:lang w:val="en-IN" w:eastAsia="en-IN"/>
        </w:rPr>
        <w:t xml:space="preserve"> </w:t>
      </w:r>
      <w:r w:rsidRPr="0032163B">
        <w:rPr>
          <w:rFonts w:ascii="Times New Roman" w:eastAsia="Times New Roman" w:hAnsi="Times New Roman" w:cs="Times New Roman"/>
          <w:sz w:val="24"/>
          <w:szCs w:val="24"/>
          <w:lang w:val="en-IN" w:eastAsia="en-IN"/>
        </w:rPr>
        <w:t>NT</w:t>
      </w:r>
      <w:proofErr w:type="gramEnd"/>
      <w:r w:rsidRPr="0032163B">
        <w:rPr>
          <w:rFonts w:ascii="Times New Roman" w:eastAsia="Times New Roman" w:hAnsi="Times New Roman" w:cs="Times New Roman"/>
          <w:sz w:val="24"/>
          <w:szCs w:val="24"/>
          <w:lang w:val="en-IN" w:eastAsia="en-IN"/>
        </w:rPr>
        <w:t xml:space="preserve"> are now starting to diverge, and a lot of formerly held beliefs have been demonstrated to have little to no supporting data. We discussed the causes of newborn thrombocytopenia. The most frequent neonatal disorders associated with NT, according to earlier research, were hypoxia, sepsis, placental insufficiency, and preterm. If the infant appears healthy, the reason of thrombocytopenia in an otherwise healthy newborn is either placental insufficiency or an autoimmune or alloimmune immune response wherein the newborn's platelets are destroyed by maternal antibodies sent to it while it is still in utero. </w:t>
      </w:r>
    </w:p>
    <w:p w14:paraId="01A8CE06" w14:textId="2CA18598" w:rsidR="00857546" w:rsidRPr="00857546" w:rsidRDefault="00857546" w:rsidP="00370ACF">
      <w:pPr>
        <w:spacing w:line="276" w:lineRule="auto"/>
        <w:jc w:val="both"/>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t xml:space="preserve">     </w:t>
      </w:r>
      <w:r w:rsidRPr="00857546">
        <w:rPr>
          <w:rFonts w:ascii="Times New Roman" w:eastAsia="Times New Roman" w:hAnsi="Times New Roman" w:cs="Times New Roman"/>
          <w:sz w:val="24"/>
          <w:szCs w:val="24"/>
          <w:lang w:val="en-IN" w:eastAsia="en-IN"/>
        </w:rPr>
        <w:t xml:space="preserve">Numerous investigations have assessed the frequency of thrombocytopenia during gestation, its cause, and the mother </w:t>
      </w:r>
      <w:proofErr w:type="gramStart"/>
      <w:r w:rsidRPr="00857546">
        <w:rPr>
          <w:rFonts w:ascii="Times New Roman" w:eastAsia="Times New Roman" w:hAnsi="Times New Roman" w:cs="Times New Roman"/>
          <w:sz w:val="24"/>
          <w:szCs w:val="24"/>
          <w:lang w:val="en-IN" w:eastAsia="en-IN"/>
        </w:rPr>
        <w:t xml:space="preserve">and </w:t>
      </w:r>
      <w:r>
        <w:rPr>
          <w:rFonts w:ascii="Times New Roman" w:eastAsia="Times New Roman" w:hAnsi="Times New Roman" w:cs="Times New Roman"/>
          <w:sz w:val="24"/>
          <w:szCs w:val="24"/>
          <w:lang w:val="en-IN" w:eastAsia="en-IN"/>
        </w:rPr>
        <w:t xml:space="preserve"> </w:t>
      </w:r>
      <w:r w:rsidRPr="00857546">
        <w:rPr>
          <w:rFonts w:ascii="Times New Roman" w:eastAsia="Times New Roman" w:hAnsi="Times New Roman" w:cs="Times New Roman"/>
          <w:sz w:val="24"/>
          <w:szCs w:val="24"/>
          <w:lang w:val="en-IN" w:eastAsia="en-IN"/>
        </w:rPr>
        <w:t>result</w:t>
      </w:r>
      <w:proofErr w:type="gramEnd"/>
      <w:r w:rsidRPr="00857546">
        <w:rPr>
          <w:rFonts w:ascii="Times New Roman" w:eastAsia="Times New Roman" w:hAnsi="Times New Roman" w:cs="Times New Roman"/>
          <w:sz w:val="24"/>
          <w:szCs w:val="24"/>
          <w:lang w:val="en-IN" w:eastAsia="en-IN"/>
        </w:rPr>
        <w:t xml:space="preserve"> throughout pregnancy. Pregnancy thrombocytopenia is a common observation that happens about in 7–10% of foetal cases. Thrombocytopenia gestational (GT),</w:t>
      </w:r>
      <w:r w:rsidR="00E17ED8">
        <w:rPr>
          <w:rFonts w:ascii="Times New Roman" w:eastAsia="Times New Roman" w:hAnsi="Times New Roman" w:cs="Times New Roman"/>
          <w:sz w:val="24"/>
          <w:szCs w:val="24"/>
          <w:lang w:val="en-IN" w:eastAsia="en-IN"/>
        </w:rPr>
        <w:t xml:space="preserve"> </w:t>
      </w:r>
      <w:r w:rsidRPr="00857546">
        <w:rPr>
          <w:rFonts w:ascii="Times New Roman" w:eastAsia="Times New Roman" w:hAnsi="Times New Roman" w:cs="Times New Roman"/>
          <w:sz w:val="24"/>
          <w:szCs w:val="24"/>
          <w:lang w:val="en-IN" w:eastAsia="en-IN"/>
        </w:rPr>
        <w:t xml:space="preserve">hypertensive conditions (preeclampsia, eclampsia, HELLP </w:t>
      </w:r>
      <w:r w:rsidRPr="00857546">
        <w:rPr>
          <w:rFonts w:ascii="Times New Roman" w:eastAsia="Times New Roman" w:hAnsi="Times New Roman" w:cs="Times New Roman"/>
          <w:sz w:val="24"/>
          <w:szCs w:val="24"/>
          <w:lang w:val="en-IN" w:eastAsia="en-IN"/>
        </w:rPr>
        <w:br/>
      </w:r>
      <w:r>
        <w:rPr>
          <w:rFonts w:ascii="Times New Roman" w:eastAsia="Times New Roman" w:hAnsi="Times New Roman" w:cs="Times New Roman"/>
          <w:sz w:val="24"/>
          <w:szCs w:val="24"/>
          <w:lang w:val="en-IN" w:eastAsia="en-IN"/>
        </w:rPr>
        <w:t>t</w:t>
      </w:r>
      <w:r w:rsidRPr="00857546">
        <w:rPr>
          <w:rFonts w:ascii="Times New Roman" w:eastAsia="Times New Roman" w:hAnsi="Times New Roman" w:cs="Times New Roman"/>
          <w:sz w:val="24"/>
          <w:szCs w:val="24"/>
          <w:lang w:val="en-IN" w:eastAsia="en-IN"/>
        </w:rPr>
        <w:t xml:space="preserve">he non-immune causes include vitamin B12 or folate insufficiency, acute fatty liver of pregnancy, disseminated intravascular coagulation (DIC), drug use, and vitamin B12. </w:t>
      </w:r>
      <w:r w:rsidRPr="00857546">
        <w:rPr>
          <w:rFonts w:ascii="Times New Roman" w:eastAsia="Times New Roman" w:hAnsi="Times New Roman" w:cs="Times New Roman"/>
          <w:sz w:val="24"/>
          <w:szCs w:val="24"/>
          <w:lang w:val="en-IN" w:eastAsia="en-IN"/>
        </w:rPr>
        <w:br/>
        <w:t xml:space="preserve"> As a whole, roughly 3-4% of pregnancies </w:t>
      </w:r>
      <w:r>
        <w:rPr>
          <w:rFonts w:ascii="Times New Roman" w:eastAsia="Times New Roman" w:hAnsi="Times New Roman" w:cs="Times New Roman"/>
          <w:sz w:val="24"/>
          <w:szCs w:val="24"/>
          <w:lang w:val="en-IN" w:eastAsia="en-IN"/>
        </w:rPr>
        <w:t>t</w:t>
      </w:r>
      <w:r w:rsidRPr="00857546">
        <w:rPr>
          <w:rFonts w:ascii="Times New Roman" w:eastAsia="Times New Roman" w:hAnsi="Times New Roman" w:cs="Times New Roman"/>
          <w:sz w:val="24"/>
          <w:szCs w:val="24"/>
          <w:lang w:val="en-IN" w:eastAsia="en-IN"/>
        </w:rPr>
        <w:t xml:space="preserve">hrombocytopenia and immunological processes such as TTP and ITP are associated. Low platelet counts are the hallmark of immune thrombocytopenia (ITP), an autoimmune disease caused by autoantibodies from the mother that cross the placenta and target platelet membrane to destroy newborn platelets. </w:t>
      </w:r>
    </w:p>
    <w:p w14:paraId="4482DB78" w14:textId="5E26515C" w:rsidR="00C070E6" w:rsidRPr="00005410" w:rsidRDefault="00005410" w:rsidP="00370ACF">
      <w:pPr>
        <w:spacing w:after="0" w:line="276" w:lineRule="auto"/>
        <w:jc w:val="both"/>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t xml:space="preserve"> </w:t>
      </w:r>
      <w:proofErr w:type="gramStart"/>
      <w:r w:rsidR="00C070E6" w:rsidRPr="00F469B9">
        <w:rPr>
          <w:rFonts w:ascii="Times New Roman" w:hAnsi="Times New Roman" w:cs="Times New Roman"/>
          <w:b/>
          <w:sz w:val="28"/>
          <w:szCs w:val="28"/>
        </w:rPr>
        <w:t>P</w:t>
      </w:r>
      <w:r w:rsidR="00DB33CB">
        <w:rPr>
          <w:rFonts w:ascii="Times New Roman" w:hAnsi="Times New Roman" w:cs="Times New Roman"/>
          <w:b/>
          <w:sz w:val="28"/>
          <w:szCs w:val="28"/>
        </w:rPr>
        <w:t>athophysiology</w:t>
      </w:r>
      <w:r w:rsidR="00221C49">
        <w:rPr>
          <w:rFonts w:ascii="Times New Roman" w:hAnsi="Times New Roman" w:cs="Times New Roman"/>
          <w:b/>
          <w:sz w:val="28"/>
          <w:szCs w:val="28"/>
        </w:rPr>
        <w:t xml:space="preserve"> :</w:t>
      </w:r>
      <w:proofErr w:type="gramEnd"/>
    </w:p>
    <w:p w14:paraId="5F0E9FCB" w14:textId="45E669C2" w:rsidR="006B3AB2" w:rsidRDefault="00546A6C" w:rsidP="00370ACF">
      <w:pPr>
        <w:spacing w:line="276" w:lineRule="auto"/>
        <w:jc w:val="both"/>
        <w:rPr>
          <w:rFonts w:ascii="Times New Roman" w:eastAsia="Times New Roman" w:hAnsi="Times New Roman" w:cs="Times New Roman"/>
          <w:sz w:val="24"/>
          <w:szCs w:val="24"/>
          <w:lang w:val="en-IN" w:eastAsia="en-IN"/>
        </w:rPr>
      </w:pPr>
      <w:r w:rsidRPr="008D5537">
        <w:rPr>
          <w:rFonts w:ascii="Times New Roman" w:hAnsi="Times New Roman" w:cs="Times New Roman"/>
          <w:sz w:val="24"/>
          <w:szCs w:val="24"/>
        </w:rPr>
        <w:t xml:space="preserve">    </w:t>
      </w:r>
      <w:r w:rsidR="006B3AB2">
        <w:rPr>
          <w:rFonts w:ascii="Times New Roman" w:hAnsi="Times New Roman" w:cs="Times New Roman"/>
          <w:sz w:val="24"/>
          <w:szCs w:val="24"/>
        </w:rPr>
        <w:t xml:space="preserve"> </w:t>
      </w:r>
      <w:r w:rsidRPr="008D5537">
        <w:rPr>
          <w:rFonts w:ascii="Times New Roman" w:hAnsi="Times New Roman" w:cs="Times New Roman"/>
          <w:sz w:val="24"/>
          <w:szCs w:val="24"/>
        </w:rPr>
        <w:t xml:space="preserve"> </w:t>
      </w:r>
      <w:r w:rsidR="006B3AB2" w:rsidRPr="006B3AB2">
        <w:rPr>
          <w:rFonts w:ascii="Times New Roman" w:eastAsia="Times New Roman" w:hAnsi="Times New Roman" w:cs="Times New Roman"/>
          <w:sz w:val="24"/>
          <w:szCs w:val="24"/>
          <w:lang w:val="en-IN" w:eastAsia="en-IN"/>
        </w:rPr>
        <w:t xml:space="preserve">The </w:t>
      </w:r>
      <w:proofErr w:type="spellStart"/>
      <w:r w:rsidR="006B3AB2" w:rsidRPr="006B3AB2">
        <w:rPr>
          <w:rFonts w:ascii="Times New Roman" w:eastAsia="Times New Roman" w:hAnsi="Times New Roman" w:cs="Times New Roman"/>
          <w:sz w:val="24"/>
          <w:szCs w:val="24"/>
          <w:lang w:val="en-IN" w:eastAsia="en-IN"/>
        </w:rPr>
        <w:t>etiology</w:t>
      </w:r>
      <w:proofErr w:type="spellEnd"/>
      <w:r w:rsidR="006B3AB2" w:rsidRPr="006B3AB2">
        <w:rPr>
          <w:rFonts w:ascii="Times New Roman" w:eastAsia="Times New Roman" w:hAnsi="Times New Roman" w:cs="Times New Roman"/>
          <w:sz w:val="24"/>
          <w:szCs w:val="24"/>
          <w:lang w:val="en-IN" w:eastAsia="en-IN"/>
        </w:rPr>
        <w:t xml:space="preserve"> of secondary immune thrombocytopenia is cause-dependent and more complex than that of primary immune thrombocytopenia. When a patient has a chronic Helicobacter pylori infection, their immune system produces antiplatelet autoantibodies in response to molecular mimicry of H. pylori antigens like </w:t>
      </w:r>
      <w:proofErr w:type="spellStart"/>
      <w:r w:rsidR="006B3AB2" w:rsidRPr="006B3AB2">
        <w:rPr>
          <w:rFonts w:ascii="Times New Roman" w:eastAsia="Times New Roman" w:hAnsi="Times New Roman" w:cs="Times New Roman"/>
          <w:sz w:val="24"/>
          <w:szCs w:val="24"/>
          <w:lang w:val="en-IN" w:eastAsia="en-IN"/>
        </w:rPr>
        <w:t>CagA</w:t>
      </w:r>
      <w:proofErr w:type="spellEnd"/>
      <w:r w:rsidR="006B3AB2" w:rsidRPr="006B3AB2">
        <w:rPr>
          <w:rFonts w:ascii="Times New Roman" w:eastAsia="Times New Roman" w:hAnsi="Times New Roman" w:cs="Times New Roman"/>
          <w:sz w:val="24"/>
          <w:szCs w:val="24"/>
          <w:lang w:val="en-IN" w:eastAsia="en-IN"/>
        </w:rPr>
        <w:t xml:space="preserve">. These antibodies cause platelet aggregation and platelet extrusion of p-selectin and phosphatidylserine by some strains of H. pylori, which are linked to the patient's individual HLA variation, increased monocyte phagocytic activity, and decreased FcγRIIb. Human immunodeficiency virus (HIV) and hepatitis C virus (HCV) can induce </w:t>
      </w:r>
      <w:r w:rsidR="006B3AB2" w:rsidRPr="006B3AB2">
        <w:rPr>
          <w:rFonts w:ascii="Times New Roman" w:eastAsia="Times New Roman" w:hAnsi="Times New Roman" w:cs="Times New Roman"/>
          <w:sz w:val="24"/>
          <w:szCs w:val="24"/>
          <w:lang w:val="en-IN" w:eastAsia="en-IN"/>
        </w:rPr>
        <w:lastRenderedPageBreak/>
        <w:t>autoantibodies against each other that cross-react with platelet glycoproteins to generate immunological complexes. 3 Severe</w:t>
      </w:r>
    </w:p>
    <w:p w14:paraId="0D1FBF03" w14:textId="346AAC02" w:rsidR="006B3AB2" w:rsidRPr="006B3AB2" w:rsidRDefault="006B3AB2" w:rsidP="00370ACF">
      <w:pPr>
        <w:spacing w:after="0" w:line="276" w:lineRule="auto"/>
        <w:jc w:val="both"/>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t xml:space="preserve">    </w:t>
      </w:r>
      <w:r w:rsidRPr="006B3AB2">
        <w:rPr>
          <w:rFonts w:ascii="Times New Roman" w:eastAsia="Times New Roman" w:hAnsi="Times New Roman" w:cs="Times New Roman"/>
          <w:sz w:val="24"/>
          <w:szCs w:val="24"/>
          <w:lang w:val="en-IN" w:eastAsia="en-IN"/>
        </w:rPr>
        <w:t>The immunological resistance of the patient's own platelets to autoantigens is one of the critical stages in the pathophysiology of ITP. Numerous studies show that a dysregulated T-cell response during ITP causes a skewed helper T cell balance (Th1/Th2) ratio, which in turn causes an increase in the quantity and hyperactivity of cytotoxic T cells. Consequently, increased platelet destruction and increased B cell survival are the outcomes of this increased cytotoxic T cell activity. Increased B cell survival therefore makes it easier to produce more autoantibodies, which speeds up the process of platelet elimination. Autoantibodies opsonize platelets, resulting in compromised thrombopoiesis, increased complement activation, phagocytosis, and apoptosis (Figure 3).</w:t>
      </w:r>
    </w:p>
    <w:p w14:paraId="3394A0BF" w14:textId="77777777" w:rsidR="006B3AB2" w:rsidRPr="006B3AB2" w:rsidRDefault="006B3AB2" w:rsidP="00370ACF">
      <w:pPr>
        <w:spacing w:line="276" w:lineRule="auto"/>
        <w:jc w:val="both"/>
        <w:rPr>
          <w:rFonts w:ascii="Times New Roman" w:eastAsia="Times New Roman" w:hAnsi="Times New Roman" w:cs="Times New Roman"/>
          <w:sz w:val="24"/>
          <w:szCs w:val="24"/>
          <w:lang w:val="en-IN" w:eastAsia="en-IN"/>
        </w:rPr>
      </w:pPr>
    </w:p>
    <w:p w14:paraId="6B2A7344" w14:textId="4F151A45" w:rsidR="00E94DF8" w:rsidRPr="008D5537" w:rsidRDefault="00E94DF8" w:rsidP="00370ACF">
      <w:pPr>
        <w:spacing w:line="276" w:lineRule="auto"/>
        <w:jc w:val="both"/>
        <w:rPr>
          <w:rFonts w:ascii="Times New Roman" w:hAnsi="Times New Roman" w:cs="Times New Roman"/>
          <w:sz w:val="24"/>
          <w:szCs w:val="24"/>
        </w:rPr>
      </w:pPr>
    </w:p>
    <w:p w14:paraId="2A8A4161" w14:textId="77777777" w:rsidR="00D21870" w:rsidRDefault="00D21870" w:rsidP="00370ACF">
      <w:pPr>
        <w:spacing w:line="276" w:lineRule="auto"/>
        <w:jc w:val="both"/>
        <w:rPr>
          <w:rFonts w:ascii="Times New Roman" w:hAnsi="Times New Roman" w:cs="Times New Roman"/>
          <w:sz w:val="24"/>
          <w:szCs w:val="24"/>
        </w:rPr>
      </w:pPr>
      <w:r w:rsidRPr="00D21870">
        <w:rPr>
          <w:rFonts w:ascii="Times New Roman" w:hAnsi="Times New Roman" w:cs="Times New Roman"/>
          <w:noProof/>
          <w:sz w:val="24"/>
          <w:szCs w:val="24"/>
        </w:rPr>
        <w:drawing>
          <wp:inline distT="0" distB="0" distL="0" distR="0" wp14:anchorId="33FEA408" wp14:editId="4AE7A457">
            <wp:extent cx="5943600" cy="3229610"/>
            <wp:effectExtent l="171450" t="133350" r="400050" b="3517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943600" cy="3229610"/>
                    </a:xfrm>
                    <a:prstGeom prst="rect">
                      <a:avLst/>
                    </a:prstGeom>
                    <a:ln w="19050">
                      <a:solidFill>
                        <a:schemeClr val="tx1"/>
                      </a:solidFill>
                    </a:ln>
                    <a:effectLst>
                      <a:outerShdw blurRad="292100" dist="139700" dir="2700000" algn="tl" rotWithShape="0">
                        <a:srgbClr val="333333">
                          <a:alpha val="65000"/>
                        </a:srgbClr>
                      </a:outerShdw>
                    </a:effectLst>
                  </pic:spPr>
                </pic:pic>
              </a:graphicData>
            </a:graphic>
          </wp:inline>
        </w:drawing>
      </w:r>
    </w:p>
    <w:p w14:paraId="6D7D5A31" w14:textId="52581196" w:rsidR="00013F76" w:rsidRDefault="00013F76" w:rsidP="00370ACF">
      <w:pPr>
        <w:spacing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                                                         Figure 3.</w:t>
      </w:r>
    </w:p>
    <w:p w14:paraId="2F2F00F1" w14:textId="121C9499" w:rsidR="00E87451" w:rsidRDefault="00D21870" w:rsidP="00370ACF">
      <w:pPr>
        <w:spacing w:line="276" w:lineRule="auto"/>
        <w:jc w:val="both"/>
        <w:rPr>
          <w:rFonts w:ascii="Times New Roman" w:eastAsia="Times New Roman" w:hAnsi="Times New Roman" w:cs="Times New Roman"/>
          <w:sz w:val="24"/>
          <w:szCs w:val="24"/>
          <w:lang w:val="en-IN" w:eastAsia="en-IN"/>
        </w:rPr>
      </w:pPr>
      <w:r w:rsidRPr="00D21870">
        <w:rPr>
          <w:rFonts w:ascii="Times New Roman" w:hAnsi="Times New Roman" w:cs="Times New Roman"/>
          <w:b/>
          <w:sz w:val="28"/>
          <w:szCs w:val="28"/>
        </w:rPr>
        <w:t xml:space="preserve">Figure </w:t>
      </w:r>
      <w:proofErr w:type="gramStart"/>
      <w:r w:rsidR="00546A6C">
        <w:rPr>
          <w:rFonts w:ascii="Times New Roman" w:hAnsi="Times New Roman" w:cs="Times New Roman"/>
          <w:b/>
          <w:sz w:val="28"/>
          <w:szCs w:val="28"/>
        </w:rPr>
        <w:t>3</w:t>
      </w:r>
      <w:r w:rsidR="006B3AB2">
        <w:rPr>
          <w:rFonts w:ascii="Times New Roman" w:hAnsi="Times New Roman" w:cs="Times New Roman"/>
          <w:b/>
          <w:sz w:val="28"/>
          <w:szCs w:val="28"/>
        </w:rPr>
        <w:t xml:space="preserve"> :</w:t>
      </w:r>
      <w:r w:rsidR="006B3AB2" w:rsidRPr="006B3AB2">
        <w:rPr>
          <w:rFonts w:ascii="Times New Roman" w:eastAsia="Times New Roman" w:hAnsi="Times New Roman" w:cs="Times New Roman"/>
          <w:sz w:val="24"/>
          <w:szCs w:val="24"/>
          <w:lang w:val="en-IN" w:eastAsia="en-IN"/>
        </w:rPr>
        <w:t>Pathophysiology</w:t>
      </w:r>
      <w:proofErr w:type="gramEnd"/>
      <w:r w:rsidR="006B3AB2" w:rsidRPr="006B3AB2">
        <w:rPr>
          <w:rFonts w:ascii="Times New Roman" w:eastAsia="Times New Roman" w:hAnsi="Times New Roman" w:cs="Times New Roman"/>
          <w:sz w:val="24"/>
          <w:szCs w:val="24"/>
          <w:lang w:val="en-IN" w:eastAsia="en-IN"/>
        </w:rPr>
        <w:t xml:space="preserve"> of immune thrombocytopenia (ITP) illustrated graphically, showing various immune cells involved. The regulation of helper T cell-mediated B cell activation is disrupted when regulatory T cells are compromised. Autoantibodies are abundantly produced by B cells, which in turn cause opsonization, phagocytosis, complement activation, </w:t>
      </w:r>
      <w:proofErr w:type="spellStart"/>
      <w:r w:rsidR="006B3AB2" w:rsidRPr="006B3AB2">
        <w:rPr>
          <w:rFonts w:ascii="Times New Roman" w:eastAsia="Times New Roman" w:hAnsi="Times New Roman" w:cs="Times New Roman"/>
          <w:sz w:val="24"/>
          <w:szCs w:val="24"/>
          <w:lang w:val="en-IN" w:eastAsia="en-IN"/>
        </w:rPr>
        <w:t>desialylation</w:t>
      </w:r>
      <w:proofErr w:type="spellEnd"/>
      <w:r w:rsidR="006B3AB2" w:rsidRPr="006B3AB2">
        <w:rPr>
          <w:rFonts w:ascii="Times New Roman" w:eastAsia="Times New Roman" w:hAnsi="Times New Roman" w:cs="Times New Roman"/>
          <w:sz w:val="24"/>
          <w:szCs w:val="24"/>
          <w:lang w:val="en-IN" w:eastAsia="en-IN"/>
        </w:rPr>
        <w:t>, and ultimately platelet death. Megakaryocyte maturation (</w:t>
      </w:r>
      <w:proofErr w:type="spellStart"/>
      <w:r w:rsidR="006B3AB2" w:rsidRPr="006B3AB2">
        <w:rPr>
          <w:rFonts w:ascii="Times New Roman" w:eastAsia="Times New Roman" w:hAnsi="Times New Roman" w:cs="Times New Roman"/>
          <w:sz w:val="24"/>
          <w:szCs w:val="24"/>
          <w:lang w:val="en-IN" w:eastAsia="en-IN"/>
        </w:rPr>
        <w:t>megakaryocytopoiesis</w:t>
      </w:r>
      <w:proofErr w:type="spellEnd"/>
      <w:r w:rsidR="006B3AB2" w:rsidRPr="006B3AB2">
        <w:rPr>
          <w:rFonts w:ascii="Times New Roman" w:eastAsia="Times New Roman" w:hAnsi="Times New Roman" w:cs="Times New Roman"/>
          <w:sz w:val="24"/>
          <w:szCs w:val="24"/>
          <w:lang w:val="en-IN" w:eastAsia="en-IN"/>
        </w:rPr>
        <w:t>) is further impeded by autoantibodies, and megakaryocytes and platelets are destroyed by autoreactive cytotoxic T cells.</w:t>
      </w:r>
    </w:p>
    <w:p w14:paraId="274316C4" w14:textId="05120BC7" w:rsidR="00E87451" w:rsidRDefault="00E87451" w:rsidP="00370ACF">
      <w:pPr>
        <w:spacing w:after="0" w:line="276" w:lineRule="auto"/>
        <w:jc w:val="both"/>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lastRenderedPageBreak/>
        <w:t xml:space="preserve">       </w:t>
      </w:r>
      <w:r w:rsidRPr="00E87451">
        <w:rPr>
          <w:rFonts w:ascii="Times New Roman" w:eastAsia="Times New Roman" w:hAnsi="Times New Roman" w:cs="Times New Roman"/>
          <w:sz w:val="24"/>
          <w:szCs w:val="24"/>
          <w:lang w:val="en-IN" w:eastAsia="en-IN"/>
        </w:rPr>
        <w:t xml:space="preserve">Several studies have shown new mechanisms independent of Fc-mediation, despite the fact that constant fragment (Fc)-dependent processes account for the majority of platelet destruction in the spleen. ITP-autoantibodies have been demonstrated in a study to cause glycosylation alterations on platelet surface glycoproteins (GPs). This GPs alteration accelerates platelet elimination in the liver upon additional identification by Ashwell–Morell receptors expressed on hepatocytes. Hepatocytes' platelet phagocytosis and </w:t>
      </w:r>
      <w:proofErr w:type="spellStart"/>
      <w:r w:rsidRPr="00E87451">
        <w:rPr>
          <w:rFonts w:ascii="Times New Roman" w:eastAsia="Times New Roman" w:hAnsi="Times New Roman" w:cs="Times New Roman"/>
          <w:sz w:val="24"/>
          <w:szCs w:val="24"/>
          <w:lang w:val="en-IN" w:eastAsia="en-IN"/>
        </w:rPr>
        <w:t>desialylation</w:t>
      </w:r>
      <w:proofErr w:type="spellEnd"/>
      <w:r w:rsidRPr="00E87451">
        <w:rPr>
          <w:rFonts w:ascii="Times New Roman" w:eastAsia="Times New Roman" w:hAnsi="Times New Roman" w:cs="Times New Roman"/>
          <w:sz w:val="24"/>
          <w:szCs w:val="24"/>
          <w:lang w:val="en-IN" w:eastAsia="en-IN"/>
        </w:rPr>
        <w:t xml:space="preserve"> are also induced by CD8+ T lymphocytes from ITP </w:t>
      </w:r>
      <w:proofErr w:type="gramStart"/>
      <w:r w:rsidRPr="00E87451">
        <w:rPr>
          <w:rFonts w:ascii="Times New Roman" w:eastAsia="Times New Roman" w:hAnsi="Times New Roman" w:cs="Times New Roman"/>
          <w:sz w:val="24"/>
          <w:szCs w:val="24"/>
          <w:lang w:val="en-IN" w:eastAsia="en-IN"/>
        </w:rPr>
        <w:t xml:space="preserve">patients </w:t>
      </w:r>
      <w:r>
        <w:rPr>
          <w:rFonts w:ascii="Times New Roman" w:eastAsia="Times New Roman" w:hAnsi="Times New Roman" w:cs="Times New Roman"/>
          <w:sz w:val="24"/>
          <w:szCs w:val="24"/>
          <w:lang w:val="en-IN" w:eastAsia="en-IN"/>
        </w:rPr>
        <w:t>.</w:t>
      </w:r>
      <w:proofErr w:type="gramEnd"/>
      <w:r>
        <w:rPr>
          <w:rFonts w:ascii="Times New Roman" w:eastAsia="Times New Roman" w:hAnsi="Times New Roman" w:cs="Times New Roman"/>
          <w:sz w:val="24"/>
          <w:szCs w:val="24"/>
          <w:lang w:val="en-IN" w:eastAsia="en-IN"/>
        </w:rPr>
        <w:t xml:space="preserve"> </w:t>
      </w:r>
      <w:r w:rsidRPr="00E87451">
        <w:rPr>
          <w:rFonts w:ascii="Times New Roman" w:eastAsia="Times New Roman" w:hAnsi="Times New Roman" w:cs="Times New Roman"/>
          <w:sz w:val="24"/>
          <w:szCs w:val="24"/>
          <w:lang w:val="en-IN" w:eastAsia="en-IN"/>
        </w:rPr>
        <w:t xml:space="preserve">This could elucidate a possible explanation for the ineffectiveness of splenectomy non certain ITP patients. A retrospective analysis of 61 ITP patients found that platelet </w:t>
      </w:r>
      <w:proofErr w:type="spellStart"/>
      <w:r w:rsidRPr="00E87451">
        <w:rPr>
          <w:rFonts w:ascii="Times New Roman" w:eastAsia="Times New Roman" w:hAnsi="Times New Roman" w:cs="Times New Roman"/>
          <w:sz w:val="24"/>
          <w:szCs w:val="24"/>
          <w:lang w:val="en-IN" w:eastAsia="en-IN"/>
        </w:rPr>
        <w:t>desialylation</w:t>
      </w:r>
      <w:proofErr w:type="spellEnd"/>
      <w:r w:rsidRPr="00E87451">
        <w:rPr>
          <w:rFonts w:ascii="Times New Roman" w:eastAsia="Times New Roman" w:hAnsi="Times New Roman" w:cs="Times New Roman"/>
          <w:sz w:val="24"/>
          <w:szCs w:val="24"/>
          <w:lang w:val="en-IN" w:eastAsia="en-IN"/>
        </w:rPr>
        <w:t xml:space="preserve"> led to reduced response to first-line therapies, regardless of any other factors.</w:t>
      </w:r>
    </w:p>
    <w:p w14:paraId="50EF8705" w14:textId="0990849D" w:rsidR="00E87451" w:rsidRPr="00E87451" w:rsidRDefault="00E87451" w:rsidP="00370ACF">
      <w:pPr>
        <w:spacing w:after="0" w:line="276" w:lineRule="auto"/>
        <w:jc w:val="both"/>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t xml:space="preserve">    </w:t>
      </w:r>
      <w:r w:rsidRPr="00E87451">
        <w:rPr>
          <w:rFonts w:ascii="Times New Roman" w:eastAsia="Times New Roman" w:hAnsi="Times New Roman" w:cs="Times New Roman"/>
          <w:sz w:val="24"/>
          <w:szCs w:val="24"/>
          <w:lang w:val="en-IN" w:eastAsia="en-IN"/>
        </w:rPr>
        <w:t xml:space="preserve">Autoantibodies generated during ITP impact platelet survival as well as </w:t>
      </w:r>
      <w:r>
        <w:rPr>
          <w:rFonts w:ascii="Times New Roman" w:eastAsia="Times New Roman" w:hAnsi="Times New Roman" w:cs="Times New Roman"/>
          <w:sz w:val="24"/>
          <w:szCs w:val="24"/>
          <w:lang w:val="en-IN" w:eastAsia="en-IN"/>
        </w:rPr>
        <w:t xml:space="preserve">  </w:t>
      </w:r>
      <w:r w:rsidRPr="00E87451">
        <w:rPr>
          <w:rFonts w:ascii="Times New Roman" w:eastAsia="Times New Roman" w:hAnsi="Times New Roman" w:cs="Times New Roman"/>
          <w:sz w:val="24"/>
          <w:szCs w:val="24"/>
          <w:lang w:val="en-IN" w:eastAsia="en-IN"/>
        </w:rPr>
        <w:t xml:space="preserve">megakaryocyte-mediated </w:t>
      </w:r>
      <w:proofErr w:type="gramStart"/>
      <w:r w:rsidRPr="00E87451">
        <w:rPr>
          <w:rFonts w:ascii="Times New Roman" w:eastAsia="Times New Roman" w:hAnsi="Times New Roman" w:cs="Times New Roman"/>
          <w:sz w:val="24"/>
          <w:szCs w:val="24"/>
          <w:lang w:val="en-IN" w:eastAsia="en-IN"/>
        </w:rPr>
        <w:t>formation .</w:t>
      </w:r>
      <w:proofErr w:type="gramEnd"/>
      <w:r w:rsidRPr="00E87451">
        <w:rPr>
          <w:rFonts w:ascii="Times New Roman" w:eastAsia="Times New Roman" w:hAnsi="Times New Roman" w:cs="Times New Roman"/>
          <w:sz w:val="24"/>
          <w:szCs w:val="24"/>
          <w:lang w:val="en-IN" w:eastAsia="en-IN"/>
        </w:rPr>
        <w:t xml:space="preserve"> Research has demonstrated that autoantibodies bind to megakaryocytes and obstruct their maturation, which reduces the production of </w:t>
      </w:r>
      <w:proofErr w:type="gramStart"/>
      <w:r w:rsidRPr="00E87451">
        <w:rPr>
          <w:rFonts w:ascii="Times New Roman" w:eastAsia="Times New Roman" w:hAnsi="Times New Roman" w:cs="Times New Roman"/>
          <w:sz w:val="24"/>
          <w:szCs w:val="24"/>
          <w:lang w:val="en-IN" w:eastAsia="en-IN"/>
        </w:rPr>
        <w:t>platelets .</w:t>
      </w:r>
      <w:proofErr w:type="gramEnd"/>
      <w:r w:rsidRPr="00E87451">
        <w:rPr>
          <w:rFonts w:ascii="Times New Roman" w:eastAsia="Times New Roman" w:hAnsi="Times New Roman" w:cs="Times New Roman"/>
          <w:sz w:val="24"/>
          <w:szCs w:val="24"/>
          <w:lang w:val="en-IN" w:eastAsia="en-IN"/>
        </w:rPr>
        <w:t xml:space="preserve"> </w:t>
      </w:r>
      <w:r>
        <w:rPr>
          <w:rFonts w:ascii="Times New Roman" w:eastAsia="Times New Roman" w:hAnsi="Times New Roman" w:cs="Times New Roman"/>
          <w:sz w:val="24"/>
          <w:szCs w:val="24"/>
          <w:lang w:val="en-IN" w:eastAsia="en-IN"/>
        </w:rPr>
        <w:t xml:space="preserve"> </w:t>
      </w:r>
      <w:r w:rsidRPr="00E87451">
        <w:rPr>
          <w:rFonts w:ascii="Times New Roman" w:eastAsia="Times New Roman" w:hAnsi="Times New Roman" w:cs="Times New Roman"/>
          <w:sz w:val="24"/>
          <w:szCs w:val="24"/>
          <w:lang w:val="en-IN" w:eastAsia="en-IN"/>
        </w:rPr>
        <w:t xml:space="preserve">In vitro research has shown that autoantibodies impede </w:t>
      </w:r>
      <w:proofErr w:type="spellStart"/>
      <w:r w:rsidRPr="00E87451">
        <w:rPr>
          <w:rFonts w:ascii="Times New Roman" w:eastAsia="Times New Roman" w:hAnsi="Times New Roman" w:cs="Times New Roman"/>
          <w:sz w:val="24"/>
          <w:szCs w:val="24"/>
          <w:lang w:val="en-IN" w:eastAsia="en-IN"/>
        </w:rPr>
        <w:t>megakaryopoiesis</w:t>
      </w:r>
      <w:proofErr w:type="spellEnd"/>
      <w:r w:rsidRPr="00E87451">
        <w:rPr>
          <w:rFonts w:ascii="Times New Roman" w:eastAsia="Times New Roman" w:hAnsi="Times New Roman" w:cs="Times New Roman"/>
          <w:sz w:val="24"/>
          <w:szCs w:val="24"/>
          <w:lang w:val="en-IN" w:eastAsia="en-IN"/>
        </w:rPr>
        <w:t xml:space="preserve"> and maturation, which in turn suppresses platelet </w:t>
      </w:r>
      <w:proofErr w:type="gramStart"/>
      <w:r w:rsidRPr="00E87451">
        <w:rPr>
          <w:rFonts w:ascii="Times New Roman" w:eastAsia="Times New Roman" w:hAnsi="Times New Roman" w:cs="Times New Roman"/>
          <w:sz w:val="24"/>
          <w:szCs w:val="24"/>
          <w:lang w:val="en-IN" w:eastAsia="en-IN"/>
        </w:rPr>
        <w:t>formation .</w:t>
      </w:r>
      <w:proofErr w:type="gramEnd"/>
      <w:r w:rsidRPr="00E87451">
        <w:rPr>
          <w:rFonts w:ascii="Times New Roman" w:eastAsia="Times New Roman" w:hAnsi="Times New Roman" w:cs="Times New Roman"/>
          <w:sz w:val="24"/>
          <w:szCs w:val="24"/>
          <w:lang w:val="en-IN" w:eastAsia="en-IN"/>
        </w:rPr>
        <w:t xml:space="preserve"> Nonetheless, further research is necessary to determine how megakaryocyte apoptosis functions in the pathogenesis of ITP. Some indications and opposing statements have been found in the findings of previous and current studies. In fact, a study showed that treating megakaryocytes with ITP plasma actually reduces their </w:t>
      </w:r>
      <w:proofErr w:type="gramStart"/>
      <w:r w:rsidRPr="00E87451">
        <w:rPr>
          <w:rFonts w:ascii="Times New Roman" w:eastAsia="Times New Roman" w:hAnsi="Times New Roman" w:cs="Times New Roman"/>
          <w:sz w:val="24"/>
          <w:szCs w:val="24"/>
          <w:lang w:val="en-IN" w:eastAsia="en-IN"/>
        </w:rPr>
        <w:t>apoptosis .</w:t>
      </w:r>
      <w:proofErr w:type="gramEnd"/>
      <w:r w:rsidRPr="00E87451">
        <w:rPr>
          <w:rFonts w:ascii="Times New Roman" w:eastAsia="Times New Roman" w:hAnsi="Times New Roman" w:cs="Times New Roman"/>
          <w:sz w:val="24"/>
          <w:szCs w:val="24"/>
          <w:lang w:val="en-IN" w:eastAsia="en-IN"/>
        </w:rPr>
        <w:t xml:space="preserve"> When healthy umbilical cord blood was used to separate hematopoietic stem cells (HSCs), it was combined with ITP patients' plasma to create</w:t>
      </w:r>
      <w:r>
        <w:rPr>
          <w:rFonts w:ascii="Times New Roman" w:eastAsia="Times New Roman" w:hAnsi="Times New Roman" w:cs="Times New Roman"/>
          <w:sz w:val="24"/>
          <w:szCs w:val="24"/>
          <w:lang w:val="en-IN" w:eastAsia="en-IN"/>
        </w:rPr>
        <w:t xml:space="preserve">.  </w:t>
      </w:r>
    </w:p>
    <w:p w14:paraId="796CAE9F" w14:textId="77777777" w:rsidR="00370ACF" w:rsidRDefault="00370ACF" w:rsidP="00370ACF">
      <w:pPr>
        <w:spacing w:line="276" w:lineRule="auto"/>
        <w:jc w:val="both"/>
        <w:rPr>
          <w:rFonts w:ascii="Times New Roman" w:hAnsi="Times New Roman" w:cs="Times New Roman"/>
          <w:b/>
          <w:sz w:val="28"/>
          <w:szCs w:val="28"/>
        </w:rPr>
      </w:pPr>
    </w:p>
    <w:p w14:paraId="7A1F8960" w14:textId="6A592852" w:rsidR="00183C14" w:rsidRPr="00370ACF" w:rsidRDefault="00183C14" w:rsidP="00370ACF">
      <w:pPr>
        <w:spacing w:line="276" w:lineRule="auto"/>
        <w:jc w:val="both"/>
        <w:rPr>
          <w:rFonts w:ascii="Times New Roman" w:eastAsia="Times New Roman" w:hAnsi="Times New Roman" w:cs="Times New Roman"/>
          <w:sz w:val="24"/>
          <w:szCs w:val="24"/>
          <w:lang w:val="en-IN" w:eastAsia="en-IN"/>
        </w:rPr>
      </w:pPr>
      <w:r w:rsidRPr="00183C14">
        <w:rPr>
          <w:rFonts w:ascii="Times New Roman" w:hAnsi="Times New Roman" w:cs="Times New Roman"/>
          <w:b/>
          <w:sz w:val="28"/>
          <w:szCs w:val="28"/>
        </w:rPr>
        <w:t>Symptoms:</w:t>
      </w:r>
    </w:p>
    <w:p w14:paraId="6C53B8FE" w14:textId="77777777" w:rsidR="00867476" w:rsidRPr="00867476" w:rsidRDefault="00867476" w:rsidP="00370ACF">
      <w:pPr>
        <w:spacing w:after="0" w:line="276" w:lineRule="auto"/>
        <w:jc w:val="both"/>
        <w:rPr>
          <w:rFonts w:ascii="Times New Roman" w:eastAsia="Times New Roman" w:hAnsi="Times New Roman" w:cs="Times New Roman"/>
          <w:sz w:val="24"/>
          <w:szCs w:val="24"/>
          <w:lang w:val="en-IN" w:eastAsia="en-IN"/>
        </w:rPr>
      </w:pPr>
      <w:r w:rsidRPr="00867476">
        <w:rPr>
          <w:rFonts w:ascii="Times New Roman" w:eastAsia="Times New Roman" w:hAnsi="Times New Roman" w:cs="Times New Roman"/>
          <w:sz w:val="24"/>
          <w:szCs w:val="24"/>
          <w:lang w:val="en-IN" w:eastAsia="en-IN"/>
        </w:rPr>
        <w:t>There may be no symptoms associated with immune thrombocytopenia. When signs appear, they may consist of</w:t>
      </w:r>
    </w:p>
    <w:p w14:paraId="5F43BE06" w14:textId="77777777" w:rsidR="00867476" w:rsidRDefault="007A7FF7" w:rsidP="00370ACF">
      <w:pPr>
        <w:spacing w:line="276" w:lineRule="auto"/>
        <w:jc w:val="both"/>
      </w:pPr>
      <w:r>
        <w:br/>
      </w:r>
      <w:r>
        <w:rPr>
          <w:noProof/>
        </w:rPr>
        <w:drawing>
          <wp:inline distT="0" distB="0" distL="0" distR="0" wp14:anchorId="33988ADA" wp14:editId="695042C4">
            <wp:extent cx="6019800" cy="2853690"/>
            <wp:effectExtent l="19050" t="19050" r="19050" b="22860"/>
            <wp:docPr id="8" name="Picture 8" descr="Petechiae on leg and abd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techiae on leg and abdom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19800" cy="2853690"/>
                    </a:xfrm>
                    <a:prstGeom prst="rect">
                      <a:avLst/>
                    </a:prstGeom>
                    <a:noFill/>
                    <a:ln w="19050">
                      <a:solidFill>
                        <a:schemeClr val="tx1"/>
                      </a:solidFill>
                    </a:ln>
                  </pic:spPr>
                </pic:pic>
              </a:graphicData>
            </a:graphic>
          </wp:inline>
        </w:drawing>
      </w:r>
    </w:p>
    <w:p w14:paraId="0C0AF398" w14:textId="5CE1D18D" w:rsidR="00867476" w:rsidRPr="00013F76" w:rsidRDefault="00013F76" w:rsidP="00370ACF">
      <w:pPr>
        <w:spacing w:line="276"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Pr="00013F76">
        <w:rPr>
          <w:rFonts w:ascii="Times New Roman" w:hAnsi="Times New Roman" w:cs="Times New Roman"/>
          <w:b/>
          <w:bCs/>
          <w:sz w:val="28"/>
          <w:szCs w:val="28"/>
        </w:rPr>
        <w:t xml:space="preserve"> Fig</w:t>
      </w:r>
      <w:r>
        <w:rPr>
          <w:rFonts w:ascii="Times New Roman" w:hAnsi="Times New Roman" w:cs="Times New Roman"/>
          <w:b/>
          <w:bCs/>
          <w:sz w:val="28"/>
          <w:szCs w:val="28"/>
        </w:rPr>
        <w:t>ure</w:t>
      </w:r>
      <w:r w:rsidRPr="00013F76">
        <w:rPr>
          <w:rFonts w:ascii="Times New Roman" w:hAnsi="Times New Roman" w:cs="Times New Roman"/>
          <w:b/>
          <w:bCs/>
          <w:sz w:val="28"/>
          <w:szCs w:val="28"/>
        </w:rPr>
        <w:t xml:space="preserve"> 4.</w:t>
      </w:r>
    </w:p>
    <w:p w14:paraId="59C3BA0A" w14:textId="304AD145" w:rsidR="00867476" w:rsidRPr="004A0214" w:rsidRDefault="00867476" w:rsidP="00370ACF">
      <w:pPr>
        <w:pStyle w:val="ListParagraph"/>
        <w:numPr>
          <w:ilvl w:val="0"/>
          <w:numId w:val="23"/>
        </w:numPr>
        <w:spacing w:after="240" w:line="276" w:lineRule="auto"/>
        <w:jc w:val="both"/>
        <w:rPr>
          <w:rFonts w:ascii="Times New Roman" w:eastAsia="Times New Roman" w:hAnsi="Times New Roman" w:cs="Times New Roman"/>
          <w:sz w:val="24"/>
          <w:szCs w:val="24"/>
          <w:lang w:val="en-IN" w:eastAsia="en-IN"/>
        </w:rPr>
      </w:pPr>
      <w:r w:rsidRPr="004A0214">
        <w:rPr>
          <w:rFonts w:ascii="Times New Roman" w:eastAsia="Times New Roman" w:hAnsi="Times New Roman" w:cs="Times New Roman"/>
          <w:sz w:val="24"/>
          <w:szCs w:val="24"/>
          <w:lang w:val="en-IN" w:eastAsia="en-IN"/>
        </w:rPr>
        <w:lastRenderedPageBreak/>
        <w:t xml:space="preserve">Bruising that is easily sustained. </w:t>
      </w:r>
    </w:p>
    <w:p w14:paraId="18F7FA2E" w14:textId="5976C7C5" w:rsidR="00867476" w:rsidRPr="004A0214" w:rsidRDefault="00867476" w:rsidP="00370ACF">
      <w:pPr>
        <w:pStyle w:val="ListParagraph"/>
        <w:numPr>
          <w:ilvl w:val="0"/>
          <w:numId w:val="23"/>
        </w:numPr>
        <w:spacing w:after="240" w:line="276" w:lineRule="auto"/>
        <w:jc w:val="both"/>
        <w:rPr>
          <w:rFonts w:ascii="Times New Roman" w:eastAsia="Times New Roman" w:hAnsi="Times New Roman" w:cs="Times New Roman"/>
          <w:sz w:val="24"/>
          <w:szCs w:val="24"/>
          <w:lang w:val="en-IN" w:eastAsia="en-IN"/>
        </w:rPr>
      </w:pPr>
      <w:r w:rsidRPr="004A0214">
        <w:rPr>
          <w:rFonts w:ascii="Times New Roman" w:eastAsia="Times New Roman" w:hAnsi="Times New Roman" w:cs="Times New Roman"/>
          <w:sz w:val="24"/>
          <w:szCs w:val="24"/>
          <w:lang w:val="en-IN" w:eastAsia="en-IN"/>
        </w:rPr>
        <w:t>Petechiae, or tiny reddish-purple patches, that bleed into the skin. The lower legs are where the spots mostly appear. They resemble a rash.</w:t>
      </w:r>
    </w:p>
    <w:p w14:paraId="0CFCDF48" w14:textId="77777777" w:rsidR="004A0214" w:rsidRDefault="00867476" w:rsidP="00370ACF">
      <w:pPr>
        <w:pStyle w:val="ListParagraph"/>
        <w:numPr>
          <w:ilvl w:val="0"/>
          <w:numId w:val="23"/>
        </w:numPr>
        <w:spacing w:after="240" w:line="276" w:lineRule="auto"/>
        <w:jc w:val="both"/>
        <w:rPr>
          <w:rFonts w:ascii="Times New Roman" w:eastAsia="Times New Roman" w:hAnsi="Times New Roman" w:cs="Times New Roman"/>
          <w:sz w:val="24"/>
          <w:szCs w:val="24"/>
          <w:lang w:val="en-IN" w:eastAsia="en-IN"/>
        </w:rPr>
      </w:pPr>
      <w:r w:rsidRPr="004A0214">
        <w:rPr>
          <w:rFonts w:ascii="Times New Roman" w:eastAsia="Times New Roman" w:hAnsi="Times New Roman" w:cs="Times New Roman"/>
          <w:sz w:val="24"/>
          <w:szCs w:val="24"/>
          <w:lang w:val="en-IN" w:eastAsia="en-IN"/>
        </w:rPr>
        <w:t xml:space="preserve">Bleeding into the skin greater than purpura, another name for petechiae. </w:t>
      </w:r>
      <w:r w:rsidRPr="004A0214">
        <w:rPr>
          <w:rFonts w:ascii="Times New Roman" w:eastAsia="Times New Roman" w:hAnsi="Times New Roman" w:cs="Times New Roman"/>
          <w:sz w:val="24"/>
          <w:szCs w:val="24"/>
          <w:lang w:val="en-IN" w:eastAsia="en-IN"/>
        </w:rPr>
        <w:br/>
      </w:r>
    </w:p>
    <w:p w14:paraId="4ADD082D" w14:textId="5C42E29F" w:rsidR="00867476" w:rsidRPr="004A0214" w:rsidRDefault="00867476" w:rsidP="00370ACF">
      <w:pPr>
        <w:pStyle w:val="ListParagraph"/>
        <w:numPr>
          <w:ilvl w:val="0"/>
          <w:numId w:val="23"/>
        </w:numPr>
        <w:spacing w:after="240" w:line="276" w:lineRule="auto"/>
        <w:jc w:val="both"/>
        <w:rPr>
          <w:rFonts w:ascii="Times New Roman" w:eastAsia="Times New Roman" w:hAnsi="Times New Roman" w:cs="Times New Roman"/>
          <w:sz w:val="24"/>
          <w:szCs w:val="24"/>
          <w:lang w:val="en-IN" w:eastAsia="en-IN"/>
        </w:rPr>
      </w:pPr>
      <w:r w:rsidRPr="004A0214">
        <w:rPr>
          <w:rFonts w:ascii="Times New Roman" w:eastAsia="Times New Roman" w:hAnsi="Times New Roman" w:cs="Times New Roman"/>
          <w:sz w:val="24"/>
          <w:szCs w:val="24"/>
          <w:lang w:val="en-IN" w:eastAsia="en-IN"/>
        </w:rPr>
        <w:t xml:space="preserve"> Flowing blood from the nose or gums. </w:t>
      </w:r>
    </w:p>
    <w:p w14:paraId="489A1E95" w14:textId="7B9BB924" w:rsidR="00867476" w:rsidRPr="004A0214" w:rsidRDefault="00867476" w:rsidP="00370ACF">
      <w:pPr>
        <w:pStyle w:val="ListParagraph"/>
        <w:numPr>
          <w:ilvl w:val="0"/>
          <w:numId w:val="23"/>
        </w:numPr>
        <w:spacing w:after="240" w:line="276" w:lineRule="auto"/>
        <w:jc w:val="both"/>
        <w:rPr>
          <w:rFonts w:ascii="Times New Roman" w:eastAsia="Times New Roman" w:hAnsi="Times New Roman" w:cs="Times New Roman"/>
          <w:sz w:val="24"/>
          <w:szCs w:val="24"/>
          <w:lang w:val="en-IN" w:eastAsia="en-IN"/>
        </w:rPr>
      </w:pPr>
      <w:proofErr w:type="spellStart"/>
      <w:r w:rsidRPr="004A0214">
        <w:rPr>
          <w:rFonts w:ascii="Times New Roman" w:eastAsia="Times New Roman" w:hAnsi="Times New Roman" w:cs="Times New Roman"/>
          <w:sz w:val="24"/>
          <w:szCs w:val="24"/>
          <w:lang w:val="en-IN" w:eastAsia="en-IN"/>
        </w:rPr>
        <w:t>Hematochezia</w:t>
      </w:r>
      <w:proofErr w:type="spellEnd"/>
      <w:r w:rsidRPr="004A0214">
        <w:rPr>
          <w:rFonts w:ascii="Times New Roman" w:eastAsia="Times New Roman" w:hAnsi="Times New Roman" w:cs="Times New Roman"/>
          <w:sz w:val="24"/>
          <w:szCs w:val="24"/>
          <w:lang w:val="en-IN" w:eastAsia="en-IN"/>
        </w:rPr>
        <w:t xml:space="preserve"> or dysuria. </w:t>
      </w:r>
    </w:p>
    <w:p w14:paraId="1F042A54" w14:textId="4D41DF19" w:rsidR="00810CFC" w:rsidRPr="004A0214" w:rsidRDefault="00867476" w:rsidP="00370ACF">
      <w:pPr>
        <w:pStyle w:val="ListParagraph"/>
        <w:numPr>
          <w:ilvl w:val="0"/>
          <w:numId w:val="23"/>
        </w:numPr>
        <w:spacing w:after="240" w:line="276" w:lineRule="auto"/>
        <w:jc w:val="both"/>
        <w:rPr>
          <w:rFonts w:ascii="Times New Roman" w:eastAsia="Times New Roman" w:hAnsi="Times New Roman" w:cs="Times New Roman"/>
          <w:sz w:val="24"/>
          <w:szCs w:val="24"/>
          <w:lang w:val="en-IN" w:eastAsia="en-IN"/>
        </w:rPr>
      </w:pPr>
      <w:r w:rsidRPr="004A0214">
        <w:rPr>
          <w:rFonts w:ascii="Times New Roman" w:eastAsia="Times New Roman" w:hAnsi="Times New Roman" w:cs="Times New Roman"/>
          <w:sz w:val="24"/>
          <w:szCs w:val="24"/>
          <w:lang w:val="en-IN" w:eastAsia="en-IN"/>
        </w:rPr>
        <w:t xml:space="preserve">Extremely high monthly </w:t>
      </w:r>
      <w:proofErr w:type="gramStart"/>
      <w:r w:rsidRPr="004A0214">
        <w:rPr>
          <w:rFonts w:ascii="Times New Roman" w:eastAsia="Times New Roman" w:hAnsi="Times New Roman" w:cs="Times New Roman"/>
          <w:sz w:val="24"/>
          <w:szCs w:val="24"/>
          <w:lang w:val="en-IN" w:eastAsia="en-IN"/>
        </w:rPr>
        <w:t xml:space="preserve">flow </w:t>
      </w:r>
      <w:r w:rsidR="00810CFC" w:rsidRPr="004A0214">
        <w:rPr>
          <w:rFonts w:ascii="Times New Roman" w:eastAsia="Times New Roman" w:hAnsi="Times New Roman" w:cs="Times New Roman"/>
          <w:sz w:val="24"/>
          <w:szCs w:val="24"/>
          <w:lang w:val="en-IN" w:eastAsia="en-IN"/>
        </w:rPr>
        <w:t>.</w:t>
      </w:r>
      <w:proofErr w:type="gramEnd"/>
    </w:p>
    <w:p w14:paraId="6F15C946" w14:textId="47E7B47E" w:rsidR="006765F4" w:rsidRPr="00810CFC" w:rsidRDefault="006765F4" w:rsidP="00370ACF">
      <w:pPr>
        <w:spacing w:after="240" w:line="276" w:lineRule="auto"/>
        <w:jc w:val="both"/>
        <w:rPr>
          <w:rFonts w:ascii="Times New Roman" w:eastAsia="Times New Roman" w:hAnsi="Times New Roman" w:cs="Times New Roman"/>
          <w:sz w:val="24"/>
          <w:szCs w:val="24"/>
          <w:lang w:val="en-IN" w:eastAsia="en-IN"/>
        </w:rPr>
      </w:pPr>
      <w:r w:rsidRPr="006765F4">
        <w:rPr>
          <w:rFonts w:ascii="Times New Roman" w:eastAsia="Times New Roman" w:hAnsi="Times New Roman" w:cs="Times New Roman"/>
          <w:b/>
          <w:color w:val="080808"/>
          <w:sz w:val="28"/>
          <w:szCs w:val="28"/>
        </w:rPr>
        <w:t>Causes:</w:t>
      </w:r>
    </w:p>
    <w:p w14:paraId="20533F7A" w14:textId="1175BF28" w:rsidR="00A1447A" w:rsidRDefault="00A1447A" w:rsidP="00370ACF">
      <w:pPr>
        <w:shd w:val="clear" w:color="auto" w:fill="FFFFFF"/>
        <w:spacing w:before="100" w:beforeAutospacing="1" w:after="180" w:line="276" w:lineRule="auto"/>
        <w:ind w:left="540"/>
        <w:jc w:val="both"/>
        <w:rPr>
          <w:rFonts w:ascii="Times New Roman" w:eastAsia="Times New Roman" w:hAnsi="Times New Roman" w:cs="Times New Roman"/>
          <w:bCs/>
          <w:color w:val="080808"/>
          <w:sz w:val="24"/>
          <w:szCs w:val="24"/>
        </w:rPr>
      </w:pPr>
      <w:r w:rsidRPr="00A1447A">
        <w:rPr>
          <w:rFonts w:ascii="Times New Roman" w:eastAsia="Times New Roman" w:hAnsi="Times New Roman" w:cs="Times New Roman"/>
          <w:bCs/>
          <w:color w:val="080808"/>
          <w:sz w:val="24"/>
          <w:szCs w:val="24"/>
        </w:rPr>
        <w:t>In ITP, the immune system is stimulated to attack your body's own platelets. In most cases, this is due to the production of anti-platelet antibodies. In some cases, a type of white blood cell called T cells directly attack the platelets. This immune system error can be caused by one of the following:</w:t>
      </w:r>
    </w:p>
    <w:p w14:paraId="74DB9EEA" w14:textId="0F0CFB86" w:rsidR="00A1447A" w:rsidRPr="00A974F5" w:rsidRDefault="00A1447A" w:rsidP="00370ACF">
      <w:pPr>
        <w:pStyle w:val="ListParagraph"/>
        <w:numPr>
          <w:ilvl w:val="0"/>
          <w:numId w:val="25"/>
        </w:numPr>
        <w:shd w:val="clear" w:color="auto" w:fill="FFFFFF"/>
        <w:spacing w:before="100" w:beforeAutospacing="1" w:after="180" w:line="276" w:lineRule="auto"/>
        <w:jc w:val="both"/>
        <w:rPr>
          <w:rFonts w:ascii="Times New Roman" w:eastAsia="Times New Roman" w:hAnsi="Times New Roman" w:cs="Times New Roman"/>
          <w:bCs/>
          <w:color w:val="080808"/>
          <w:sz w:val="24"/>
          <w:szCs w:val="24"/>
        </w:rPr>
      </w:pPr>
      <w:r w:rsidRPr="00A974F5">
        <w:rPr>
          <w:rFonts w:ascii="Times New Roman" w:eastAsia="Times New Roman" w:hAnsi="Times New Roman" w:cs="Times New Roman"/>
          <w:bCs/>
          <w:color w:val="080808"/>
          <w:sz w:val="24"/>
          <w:szCs w:val="24"/>
        </w:rPr>
        <w:t>Medications (including over-the-counter medications) can cause allergies that cross-react with platelets.</w:t>
      </w:r>
    </w:p>
    <w:p w14:paraId="4453D9BB" w14:textId="77B7ADCB" w:rsidR="008E493E" w:rsidRPr="00A974F5" w:rsidRDefault="00A1447A" w:rsidP="00370ACF">
      <w:pPr>
        <w:pStyle w:val="ListParagraph"/>
        <w:numPr>
          <w:ilvl w:val="0"/>
          <w:numId w:val="25"/>
        </w:numPr>
        <w:shd w:val="clear" w:color="auto" w:fill="FFFFFF"/>
        <w:spacing w:before="100" w:beforeAutospacing="1" w:after="180" w:line="276" w:lineRule="auto"/>
        <w:jc w:val="both"/>
        <w:rPr>
          <w:rFonts w:ascii="Times New Roman" w:eastAsia="Times New Roman" w:hAnsi="Times New Roman" w:cs="Times New Roman"/>
          <w:bCs/>
          <w:color w:val="080808"/>
          <w:sz w:val="24"/>
          <w:szCs w:val="24"/>
        </w:rPr>
      </w:pPr>
      <w:r w:rsidRPr="00A974F5">
        <w:rPr>
          <w:rFonts w:ascii="Times New Roman" w:eastAsia="Times New Roman" w:hAnsi="Times New Roman" w:cs="Times New Roman"/>
          <w:bCs/>
          <w:color w:val="080808"/>
          <w:sz w:val="24"/>
          <w:szCs w:val="24"/>
        </w:rPr>
        <w:t>Infections, usually viral infections, including the viruses that cause chicken pox, hepatitis C, and AIDS, can elicit antibodies that cross-react. with platelets. react with platelets</w:t>
      </w:r>
    </w:p>
    <w:p w14:paraId="7FCB8EB7" w14:textId="3D0983EF" w:rsidR="008E493E" w:rsidRPr="00A974F5" w:rsidRDefault="00A1447A" w:rsidP="00370ACF">
      <w:pPr>
        <w:pStyle w:val="ListParagraph"/>
        <w:numPr>
          <w:ilvl w:val="0"/>
          <w:numId w:val="25"/>
        </w:numPr>
        <w:shd w:val="clear" w:color="auto" w:fill="FFFFFF"/>
        <w:spacing w:before="100" w:beforeAutospacing="1" w:after="180" w:line="276" w:lineRule="auto"/>
        <w:jc w:val="both"/>
        <w:rPr>
          <w:rFonts w:ascii="Times New Roman" w:eastAsia="Times New Roman" w:hAnsi="Times New Roman" w:cs="Times New Roman"/>
          <w:bCs/>
          <w:color w:val="080808"/>
          <w:sz w:val="24"/>
          <w:szCs w:val="24"/>
        </w:rPr>
      </w:pPr>
      <w:r w:rsidRPr="00A974F5">
        <w:rPr>
          <w:rFonts w:ascii="Times New Roman" w:eastAsia="Times New Roman" w:hAnsi="Times New Roman" w:cs="Times New Roman"/>
          <w:bCs/>
          <w:color w:val="080808"/>
          <w:sz w:val="24"/>
          <w:szCs w:val="24"/>
        </w:rPr>
        <w:t xml:space="preserve"> Pregnancy</w:t>
      </w:r>
    </w:p>
    <w:p w14:paraId="0B473126" w14:textId="7077947B" w:rsidR="008E493E" w:rsidRPr="00A974F5" w:rsidRDefault="00A1447A" w:rsidP="00370ACF">
      <w:pPr>
        <w:pStyle w:val="ListParagraph"/>
        <w:numPr>
          <w:ilvl w:val="0"/>
          <w:numId w:val="25"/>
        </w:numPr>
        <w:shd w:val="clear" w:color="auto" w:fill="FFFFFF"/>
        <w:spacing w:before="100" w:beforeAutospacing="1" w:after="180" w:line="276" w:lineRule="auto"/>
        <w:jc w:val="both"/>
        <w:rPr>
          <w:rFonts w:ascii="Times New Roman" w:eastAsia="Times New Roman" w:hAnsi="Times New Roman" w:cs="Times New Roman"/>
          <w:bCs/>
          <w:color w:val="080808"/>
          <w:sz w:val="24"/>
          <w:szCs w:val="24"/>
        </w:rPr>
      </w:pPr>
      <w:r w:rsidRPr="00A974F5">
        <w:rPr>
          <w:rFonts w:ascii="Times New Roman" w:eastAsia="Times New Roman" w:hAnsi="Times New Roman" w:cs="Times New Roman"/>
          <w:bCs/>
          <w:color w:val="080808"/>
          <w:sz w:val="24"/>
          <w:szCs w:val="24"/>
        </w:rPr>
        <w:t>Immune system disorders such as rheumatoid arthritis and lupus</w:t>
      </w:r>
    </w:p>
    <w:p w14:paraId="27354A8B" w14:textId="5F9246BA" w:rsidR="008E493E" w:rsidRPr="00A974F5" w:rsidRDefault="00A1447A" w:rsidP="00370ACF">
      <w:pPr>
        <w:pStyle w:val="ListParagraph"/>
        <w:numPr>
          <w:ilvl w:val="0"/>
          <w:numId w:val="25"/>
        </w:numPr>
        <w:shd w:val="clear" w:color="auto" w:fill="FFFFFF"/>
        <w:spacing w:before="100" w:beforeAutospacing="1" w:after="180" w:line="276" w:lineRule="auto"/>
        <w:jc w:val="both"/>
        <w:rPr>
          <w:rFonts w:ascii="Times New Roman" w:eastAsia="Times New Roman" w:hAnsi="Times New Roman" w:cs="Times New Roman"/>
          <w:bCs/>
          <w:color w:val="080808"/>
          <w:sz w:val="24"/>
          <w:szCs w:val="24"/>
        </w:rPr>
      </w:pPr>
      <w:r w:rsidRPr="00A974F5">
        <w:rPr>
          <w:rFonts w:ascii="Times New Roman" w:eastAsia="Times New Roman" w:hAnsi="Times New Roman" w:cs="Times New Roman"/>
          <w:bCs/>
          <w:color w:val="080808"/>
          <w:sz w:val="24"/>
          <w:szCs w:val="24"/>
        </w:rPr>
        <w:t>Low-grade lymphomas and leukemias can produce abnormal antibodies against platelets.</w:t>
      </w:r>
    </w:p>
    <w:p w14:paraId="5A46F015" w14:textId="6A47FE2E" w:rsidR="00A1447A" w:rsidRPr="00A974F5" w:rsidRDefault="00A1447A" w:rsidP="00370ACF">
      <w:pPr>
        <w:pStyle w:val="ListParagraph"/>
        <w:numPr>
          <w:ilvl w:val="0"/>
          <w:numId w:val="25"/>
        </w:numPr>
        <w:shd w:val="clear" w:color="auto" w:fill="FFFFFF"/>
        <w:spacing w:before="100" w:beforeAutospacing="1" w:after="180" w:line="276" w:lineRule="auto"/>
        <w:jc w:val="both"/>
        <w:rPr>
          <w:rFonts w:ascii="Times New Roman" w:eastAsia="Times New Roman" w:hAnsi="Times New Roman" w:cs="Times New Roman"/>
          <w:bCs/>
          <w:color w:val="080808"/>
          <w:sz w:val="24"/>
          <w:szCs w:val="24"/>
        </w:rPr>
      </w:pPr>
      <w:r w:rsidRPr="00A974F5">
        <w:rPr>
          <w:rFonts w:ascii="Times New Roman" w:eastAsia="Times New Roman" w:hAnsi="Times New Roman" w:cs="Times New Roman"/>
          <w:bCs/>
          <w:color w:val="080808"/>
          <w:sz w:val="24"/>
          <w:szCs w:val="24"/>
        </w:rPr>
        <w:t xml:space="preserve">Sometimes the cause of immune thrombocytopenic purpura is </w:t>
      </w:r>
      <w:proofErr w:type="gramStart"/>
      <w:r w:rsidRPr="00A974F5">
        <w:rPr>
          <w:rFonts w:ascii="Times New Roman" w:eastAsia="Times New Roman" w:hAnsi="Times New Roman" w:cs="Times New Roman"/>
          <w:bCs/>
          <w:color w:val="080808"/>
          <w:sz w:val="24"/>
          <w:szCs w:val="24"/>
        </w:rPr>
        <w:t>unknown..</w:t>
      </w:r>
      <w:proofErr w:type="gramEnd"/>
    </w:p>
    <w:p w14:paraId="41FD539F" w14:textId="77777777" w:rsidR="006232D5" w:rsidRDefault="006232D5" w:rsidP="00370ACF">
      <w:pPr>
        <w:spacing w:before="100" w:beforeAutospacing="1" w:after="100" w:afterAutospacing="1" w:line="276" w:lineRule="auto"/>
        <w:jc w:val="both"/>
        <w:textAlignment w:val="baseline"/>
        <w:rPr>
          <w:rFonts w:ascii="Times New Roman" w:eastAsia="Times New Roman" w:hAnsi="Times New Roman" w:cs="Times New Roman"/>
          <w:b/>
          <w:color w:val="333333"/>
          <w:sz w:val="28"/>
          <w:szCs w:val="28"/>
        </w:rPr>
      </w:pPr>
      <w:proofErr w:type="gramStart"/>
      <w:r w:rsidRPr="006232D5">
        <w:rPr>
          <w:rFonts w:ascii="Times New Roman" w:eastAsia="Times New Roman" w:hAnsi="Times New Roman" w:cs="Times New Roman"/>
          <w:b/>
          <w:color w:val="333333"/>
          <w:sz w:val="28"/>
          <w:szCs w:val="28"/>
        </w:rPr>
        <w:t>Diagnosis :</w:t>
      </w:r>
      <w:proofErr w:type="gramEnd"/>
    </w:p>
    <w:p w14:paraId="3CD95C76" w14:textId="351A8485" w:rsidR="00810CFC" w:rsidRDefault="00810CFC" w:rsidP="00370ACF">
      <w:pPr>
        <w:spacing w:after="0" w:line="276" w:lineRule="auto"/>
        <w:jc w:val="both"/>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t xml:space="preserve">     </w:t>
      </w:r>
      <w:r w:rsidRPr="00810CFC">
        <w:rPr>
          <w:rFonts w:ascii="Times New Roman" w:eastAsia="Times New Roman" w:hAnsi="Times New Roman" w:cs="Times New Roman"/>
          <w:sz w:val="24"/>
          <w:szCs w:val="24"/>
          <w:lang w:val="en-IN" w:eastAsia="en-IN"/>
        </w:rPr>
        <w:t xml:space="preserve">Primary ITP is diagnosed as an exclusion case. Infections, medications, systemic diseases, and primary hematologic abnormalities can all result in thrombocytopenia.10 It is important to take into account bleeding during dental work, trauma, and surgery when determining how long persistent thrombocytopenia or another bleeding disease might last. Patients can be divided into two categories using differential diagnosis. Patients with ITP, including those with systemic lupus erythematosus, are included in one category; patients with non-ITP, like those with </w:t>
      </w:r>
      <w:proofErr w:type="spellStart"/>
      <w:r w:rsidRPr="00810CFC">
        <w:rPr>
          <w:rFonts w:ascii="Times New Roman" w:eastAsia="Times New Roman" w:hAnsi="Times New Roman" w:cs="Times New Roman"/>
          <w:sz w:val="24"/>
          <w:szCs w:val="24"/>
          <w:lang w:val="en-IN" w:eastAsia="en-IN"/>
        </w:rPr>
        <w:t>leukemia</w:t>
      </w:r>
      <w:proofErr w:type="spellEnd"/>
      <w:r w:rsidRPr="00810CFC">
        <w:rPr>
          <w:rFonts w:ascii="Times New Roman" w:eastAsia="Times New Roman" w:hAnsi="Times New Roman" w:cs="Times New Roman"/>
          <w:sz w:val="24"/>
          <w:szCs w:val="24"/>
          <w:lang w:val="en-IN" w:eastAsia="en-IN"/>
        </w:rPr>
        <w:t xml:space="preserve"> and aplastic </w:t>
      </w:r>
      <w:proofErr w:type="spellStart"/>
      <w:r w:rsidRPr="00810CFC">
        <w:rPr>
          <w:rFonts w:ascii="Times New Roman" w:eastAsia="Times New Roman" w:hAnsi="Times New Roman" w:cs="Times New Roman"/>
          <w:sz w:val="24"/>
          <w:szCs w:val="24"/>
          <w:lang w:val="en-IN" w:eastAsia="en-IN"/>
        </w:rPr>
        <w:t>anemia</w:t>
      </w:r>
      <w:proofErr w:type="spellEnd"/>
      <w:r w:rsidRPr="00810CFC">
        <w:rPr>
          <w:rFonts w:ascii="Times New Roman" w:eastAsia="Times New Roman" w:hAnsi="Times New Roman" w:cs="Times New Roman"/>
          <w:sz w:val="24"/>
          <w:szCs w:val="24"/>
          <w:lang w:val="en-IN" w:eastAsia="en-IN"/>
        </w:rPr>
        <w:t xml:space="preserve">, are included in the other. Aplastic </w:t>
      </w:r>
      <w:proofErr w:type="spellStart"/>
      <w:r w:rsidRPr="00810CFC">
        <w:rPr>
          <w:rFonts w:ascii="Times New Roman" w:eastAsia="Times New Roman" w:hAnsi="Times New Roman" w:cs="Times New Roman"/>
          <w:sz w:val="24"/>
          <w:szCs w:val="24"/>
          <w:lang w:val="en-IN" w:eastAsia="en-IN"/>
        </w:rPr>
        <w:t>anemia</w:t>
      </w:r>
      <w:proofErr w:type="spellEnd"/>
      <w:r w:rsidRPr="00810CFC">
        <w:rPr>
          <w:rFonts w:ascii="Times New Roman" w:eastAsia="Times New Roman" w:hAnsi="Times New Roman" w:cs="Times New Roman"/>
          <w:sz w:val="24"/>
          <w:szCs w:val="24"/>
          <w:lang w:val="en-IN" w:eastAsia="en-IN"/>
        </w:rPr>
        <w:t xml:space="preserve"> can first manifest as isolated thrombocytopenia, but </w:t>
      </w:r>
      <w:proofErr w:type="spellStart"/>
      <w:r w:rsidRPr="00810CFC">
        <w:rPr>
          <w:rFonts w:ascii="Times New Roman" w:eastAsia="Times New Roman" w:hAnsi="Times New Roman" w:cs="Times New Roman"/>
          <w:sz w:val="24"/>
          <w:szCs w:val="24"/>
          <w:lang w:val="en-IN" w:eastAsia="en-IN"/>
        </w:rPr>
        <w:t>anemia</w:t>
      </w:r>
      <w:proofErr w:type="spellEnd"/>
      <w:r w:rsidRPr="00810CFC">
        <w:rPr>
          <w:rFonts w:ascii="Times New Roman" w:eastAsia="Times New Roman" w:hAnsi="Times New Roman" w:cs="Times New Roman"/>
          <w:sz w:val="24"/>
          <w:szCs w:val="24"/>
          <w:lang w:val="en-IN" w:eastAsia="en-IN"/>
        </w:rPr>
        <w:t xml:space="preserve"> and leukopenia usually follow days, weeks, months, or even years later. Additionally, </w:t>
      </w:r>
      <w:proofErr w:type="spellStart"/>
      <w:r w:rsidRPr="00810CFC">
        <w:rPr>
          <w:rFonts w:ascii="Times New Roman" w:eastAsia="Times New Roman" w:hAnsi="Times New Roman" w:cs="Times New Roman"/>
          <w:sz w:val="24"/>
          <w:szCs w:val="24"/>
          <w:lang w:val="en-IN" w:eastAsia="en-IN"/>
        </w:rPr>
        <w:t>leukemia</w:t>
      </w:r>
      <w:proofErr w:type="spellEnd"/>
      <w:r w:rsidRPr="00810CFC">
        <w:rPr>
          <w:rFonts w:ascii="Times New Roman" w:eastAsia="Times New Roman" w:hAnsi="Times New Roman" w:cs="Times New Roman"/>
          <w:sz w:val="24"/>
          <w:szCs w:val="24"/>
          <w:lang w:val="en-IN" w:eastAsia="en-IN"/>
        </w:rPr>
        <w:t xml:space="preserve"> never manifests as thrombocytopenia on its own. References to international consensus publications and standards about the distinctions between primary ITP and the other conditions should be made.</w:t>
      </w:r>
    </w:p>
    <w:p w14:paraId="44351A96" w14:textId="77777777" w:rsidR="00810CFC" w:rsidRDefault="00810CFC" w:rsidP="00370ACF">
      <w:pPr>
        <w:spacing w:after="0" w:line="276" w:lineRule="auto"/>
        <w:jc w:val="both"/>
        <w:rPr>
          <w:rFonts w:ascii="Times New Roman" w:eastAsia="Times New Roman" w:hAnsi="Times New Roman" w:cs="Times New Roman"/>
          <w:sz w:val="24"/>
          <w:szCs w:val="24"/>
          <w:lang w:val="en-IN" w:eastAsia="en-IN"/>
        </w:rPr>
      </w:pPr>
    </w:p>
    <w:p w14:paraId="13926BFC" w14:textId="1C43A6CB" w:rsidR="00810CFC" w:rsidRPr="00810CFC" w:rsidRDefault="00810CFC" w:rsidP="00370ACF">
      <w:pPr>
        <w:spacing w:line="276" w:lineRule="auto"/>
        <w:jc w:val="both"/>
        <w:rPr>
          <w:rFonts w:ascii="Times New Roman" w:hAnsi="Times New Roman" w:cs="Times New Roman"/>
          <w:sz w:val="24"/>
          <w:szCs w:val="24"/>
        </w:rPr>
      </w:pPr>
      <w:r w:rsidRPr="00810CFC">
        <w:rPr>
          <w:rFonts w:ascii="Times New Roman" w:hAnsi="Times New Roman" w:cs="Times New Roman"/>
          <w:b/>
          <w:sz w:val="24"/>
          <w:szCs w:val="24"/>
        </w:rPr>
        <w:t xml:space="preserve">Table </w:t>
      </w:r>
      <w:proofErr w:type="gramStart"/>
      <w:r w:rsidRPr="00810CFC">
        <w:rPr>
          <w:rFonts w:ascii="Times New Roman" w:hAnsi="Times New Roman" w:cs="Times New Roman"/>
          <w:b/>
          <w:sz w:val="24"/>
          <w:szCs w:val="24"/>
        </w:rPr>
        <w:t>1 :</w:t>
      </w:r>
      <w:proofErr w:type="gramEnd"/>
      <w:r w:rsidRPr="00810CFC">
        <w:rPr>
          <w:rFonts w:ascii="Times New Roman" w:hAnsi="Times New Roman" w:cs="Times New Roman"/>
          <w:b/>
          <w:sz w:val="24"/>
          <w:szCs w:val="24"/>
        </w:rPr>
        <w:t xml:space="preserve"> Diagnosis of ITP</w:t>
      </w:r>
    </w:p>
    <w:tbl>
      <w:tblPr>
        <w:tblStyle w:val="TableGrid"/>
        <w:tblW w:w="9366" w:type="dxa"/>
        <w:tblInd w:w="108" w:type="dxa"/>
        <w:tblLook w:val="04A0" w:firstRow="1" w:lastRow="0" w:firstColumn="1" w:lastColumn="0" w:noHBand="0" w:noVBand="1"/>
      </w:tblPr>
      <w:tblGrid>
        <w:gridCol w:w="9366"/>
      </w:tblGrid>
      <w:tr w:rsidR="00810CFC" w14:paraId="139DA61C" w14:textId="77777777" w:rsidTr="00B503EE">
        <w:trPr>
          <w:trHeight w:val="972"/>
        </w:trPr>
        <w:tc>
          <w:tcPr>
            <w:tcW w:w="9366" w:type="dxa"/>
          </w:tcPr>
          <w:p w14:paraId="197AB5D0" w14:textId="42DC5C3A" w:rsidR="00810CFC" w:rsidRPr="008D23C3" w:rsidRDefault="00810CFC" w:rsidP="00370ACF">
            <w:pPr>
              <w:spacing w:after="240" w:line="276" w:lineRule="auto"/>
              <w:jc w:val="both"/>
              <w:rPr>
                <w:rFonts w:ascii="Times New Roman" w:eastAsia="Times New Roman" w:hAnsi="Times New Roman" w:cs="Times New Roman"/>
                <w:sz w:val="24"/>
                <w:szCs w:val="24"/>
                <w:lang w:val="en-IN" w:eastAsia="en-IN"/>
              </w:rPr>
            </w:pPr>
            <w:r w:rsidRPr="00810CFC">
              <w:rPr>
                <w:rFonts w:ascii="Times New Roman" w:eastAsia="Times New Roman" w:hAnsi="Times New Roman" w:cs="Times New Roman"/>
                <w:sz w:val="24"/>
                <w:szCs w:val="24"/>
                <w:lang w:val="en-IN" w:eastAsia="en-IN"/>
              </w:rPr>
              <w:t>1.Thrombocytopenia (&lt;100×</w:t>
            </w:r>
            <m:oMath>
              <m:sSup>
                <m:sSupPr>
                  <m:ctrlPr>
                    <w:rPr>
                      <w:rFonts w:ascii="Cambria Math" w:eastAsia="Times New Roman" w:hAnsi="Cambria Math" w:cs="Times New Roman"/>
                      <w:i/>
                      <w:sz w:val="24"/>
                      <w:szCs w:val="24"/>
                      <w:lang w:val="en-IN" w:eastAsia="en-IN"/>
                    </w:rPr>
                  </m:ctrlPr>
                </m:sSupPr>
                <m:e>
                  <m:r>
                    <w:rPr>
                      <w:rFonts w:ascii="Cambria Math" w:eastAsia="Times New Roman" w:hAnsi="Cambria Math" w:cs="Times New Roman"/>
                      <w:sz w:val="24"/>
                      <w:szCs w:val="24"/>
                      <w:lang w:val="en-IN" w:eastAsia="en-IN"/>
                    </w:rPr>
                    <m:t>10</m:t>
                  </m:r>
                </m:e>
                <m:sup>
                  <m:r>
                    <w:rPr>
                      <w:rFonts w:ascii="Cambria Math" w:eastAsia="Times New Roman" w:hAnsi="Cambria Math" w:cs="Times New Roman"/>
                      <w:sz w:val="24"/>
                      <w:szCs w:val="24"/>
                      <w:lang w:val="en-IN" w:eastAsia="en-IN"/>
                    </w:rPr>
                    <m:t>9</m:t>
                  </m:r>
                </m:sup>
              </m:sSup>
            </m:oMath>
            <w:r w:rsidRPr="00810CFC">
              <w:rPr>
                <w:rFonts w:ascii="Times New Roman" w:eastAsia="Times New Roman" w:hAnsi="Times New Roman" w:cs="Times New Roman"/>
                <w:sz w:val="24"/>
                <w:szCs w:val="24"/>
                <w:lang w:val="en-IN" w:eastAsia="en-IN"/>
              </w:rPr>
              <w:t>/L) in the peripheral blood stream without morphologic indications of dysplasia.</w:t>
            </w:r>
          </w:p>
        </w:tc>
      </w:tr>
      <w:tr w:rsidR="005D33C9" w14:paraId="79877FF3" w14:textId="77777777" w:rsidTr="00B503EE">
        <w:trPr>
          <w:trHeight w:val="466"/>
        </w:trPr>
        <w:tc>
          <w:tcPr>
            <w:tcW w:w="9366" w:type="dxa"/>
          </w:tcPr>
          <w:p w14:paraId="6D66FBFE" w14:textId="425B86E5" w:rsidR="00810CFC" w:rsidRPr="00810CFC" w:rsidRDefault="00810CFC" w:rsidP="00370ACF">
            <w:pPr>
              <w:spacing w:line="276" w:lineRule="auto"/>
              <w:jc w:val="both"/>
              <w:rPr>
                <w:rFonts w:ascii="Times New Roman" w:eastAsia="Times New Roman" w:hAnsi="Times New Roman" w:cs="Times New Roman"/>
                <w:sz w:val="24"/>
                <w:szCs w:val="24"/>
                <w:lang w:val="en-IN" w:eastAsia="en-IN"/>
              </w:rPr>
            </w:pPr>
            <w:r>
              <w:rPr>
                <w:rFonts w:ascii="Times New Roman" w:hAnsi="Times New Roman" w:cs="Times New Roman"/>
                <w:sz w:val="24"/>
                <w:szCs w:val="24"/>
              </w:rPr>
              <w:t>2.</w:t>
            </w:r>
            <w:r>
              <w:t xml:space="preserve"> </w:t>
            </w:r>
            <w:r w:rsidRPr="00810CFC">
              <w:rPr>
                <w:rFonts w:ascii="Times New Roman" w:eastAsia="Times New Roman" w:hAnsi="Times New Roman" w:cs="Times New Roman"/>
                <w:sz w:val="24"/>
                <w:szCs w:val="24"/>
                <w:lang w:val="en-IN" w:eastAsia="en-IN"/>
              </w:rPr>
              <w:t>Any three or more of the following test results, including at least one of 3, 4, and 5</w:t>
            </w:r>
          </w:p>
          <w:p w14:paraId="520088A8" w14:textId="22DE39C9" w:rsidR="005D33C9" w:rsidRPr="00810CFC" w:rsidRDefault="005D33C9" w:rsidP="00370ACF">
            <w:pPr>
              <w:spacing w:line="276" w:lineRule="auto"/>
              <w:ind w:left="360"/>
              <w:jc w:val="both"/>
              <w:rPr>
                <w:rFonts w:ascii="Times New Roman" w:hAnsi="Times New Roman" w:cs="Times New Roman"/>
                <w:sz w:val="24"/>
                <w:szCs w:val="24"/>
              </w:rPr>
            </w:pPr>
          </w:p>
        </w:tc>
      </w:tr>
      <w:tr w:rsidR="005D33C9" w14:paraId="4CAE2FAB" w14:textId="77777777" w:rsidTr="00B503EE">
        <w:trPr>
          <w:trHeight w:val="312"/>
        </w:trPr>
        <w:tc>
          <w:tcPr>
            <w:tcW w:w="9366" w:type="dxa"/>
          </w:tcPr>
          <w:p w14:paraId="4A3ACBED" w14:textId="2040463F" w:rsidR="005D33C9" w:rsidRPr="008D23C3" w:rsidRDefault="00A1175E" w:rsidP="00370ACF">
            <w:pPr>
              <w:pStyle w:val="ListParagraph"/>
              <w:numPr>
                <w:ilvl w:val="0"/>
                <w:numId w:val="11"/>
              </w:numPr>
              <w:spacing w:line="276" w:lineRule="auto"/>
              <w:jc w:val="both"/>
              <w:rPr>
                <w:rFonts w:ascii="Times New Roman" w:hAnsi="Times New Roman" w:cs="Times New Roman"/>
                <w:sz w:val="24"/>
                <w:szCs w:val="24"/>
              </w:rPr>
            </w:pPr>
            <w:r w:rsidRPr="008D23C3">
              <w:rPr>
                <w:rFonts w:ascii="Times New Roman" w:hAnsi="Times New Roman" w:cs="Times New Roman"/>
                <w:sz w:val="24"/>
                <w:szCs w:val="24"/>
              </w:rPr>
              <w:t>Normal leukocyte count</w:t>
            </w:r>
          </w:p>
        </w:tc>
      </w:tr>
      <w:tr w:rsidR="005D33C9" w14:paraId="5730D0E2" w14:textId="77777777" w:rsidTr="00B503EE">
        <w:trPr>
          <w:trHeight w:val="326"/>
        </w:trPr>
        <w:tc>
          <w:tcPr>
            <w:tcW w:w="9366" w:type="dxa"/>
          </w:tcPr>
          <w:p w14:paraId="2E859EFB" w14:textId="28B0CE05" w:rsidR="005D33C9" w:rsidRPr="008D23C3" w:rsidRDefault="008D23C3" w:rsidP="00370AC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b)</w:t>
            </w:r>
            <w:r w:rsidR="00A1175E" w:rsidRPr="008D23C3">
              <w:rPr>
                <w:rFonts w:ascii="Times New Roman" w:hAnsi="Times New Roman" w:cs="Times New Roman"/>
                <w:sz w:val="24"/>
                <w:szCs w:val="24"/>
              </w:rPr>
              <w:t>Increased</w:t>
            </w:r>
            <w:proofErr w:type="gramEnd"/>
            <w:r w:rsidR="00A1175E" w:rsidRPr="008D23C3">
              <w:rPr>
                <w:rFonts w:ascii="Times New Roman" w:hAnsi="Times New Roman" w:cs="Times New Roman"/>
                <w:sz w:val="24"/>
                <w:szCs w:val="24"/>
              </w:rPr>
              <w:t xml:space="preserve"> </w:t>
            </w:r>
            <w:proofErr w:type="spellStart"/>
            <w:r w:rsidR="00A1175E" w:rsidRPr="008D23C3">
              <w:rPr>
                <w:rFonts w:ascii="Times New Roman" w:hAnsi="Times New Roman" w:cs="Times New Roman"/>
                <w:sz w:val="24"/>
                <w:szCs w:val="24"/>
              </w:rPr>
              <w:t>platelate</w:t>
            </w:r>
            <w:proofErr w:type="spellEnd"/>
            <w:r w:rsidR="008722DA">
              <w:rPr>
                <w:rFonts w:ascii="Times New Roman" w:hAnsi="Times New Roman" w:cs="Times New Roman"/>
                <w:sz w:val="24"/>
                <w:szCs w:val="24"/>
              </w:rPr>
              <w:t xml:space="preserve"> </w:t>
            </w:r>
            <w:r w:rsidR="00A1175E" w:rsidRPr="008D23C3">
              <w:rPr>
                <w:rFonts w:ascii="Times New Roman" w:hAnsi="Times New Roman" w:cs="Times New Roman"/>
                <w:sz w:val="24"/>
                <w:szCs w:val="24"/>
              </w:rPr>
              <w:t>/associate anti-</w:t>
            </w:r>
            <w:proofErr w:type="spellStart"/>
            <w:r w:rsidR="00A1175E" w:rsidRPr="008D23C3">
              <w:rPr>
                <w:rFonts w:ascii="Times New Roman" w:hAnsi="Times New Roman" w:cs="Times New Roman"/>
                <w:sz w:val="24"/>
                <w:szCs w:val="24"/>
              </w:rPr>
              <w:t>GPllb</w:t>
            </w:r>
            <w:proofErr w:type="spellEnd"/>
            <w:r w:rsidR="00A1175E" w:rsidRPr="008D23C3">
              <w:rPr>
                <w:rFonts w:ascii="Times New Roman" w:hAnsi="Times New Roman" w:cs="Times New Roman"/>
                <w:sz w:val="24"/>
                <w:szCs w:val="24"/>
              </w:rPr>
              <w:t>/</w:t>
            </w:r>
            <w:proofErr w:type="spellStart"/>
            <w:r w:rsidR="00A1175E" w:rsidRPr="008D23C3">
              <w:rPr>
                <w:rFonts w:ascii="Times New Roman" w:hAnsi="Times New Roman" w:cs="Times New Roman"/>
                <w:sz w:val="24"/>
                <w:szCs w:val="24"/>
              </w:rPr>
              <w:t>llla</w:t>
            </w:r>
            <w:proofErr w:type="spellEnd"/>
            <w:r w:rsidR="00A1175E" w:rsidRPr="008D23C3">
              <w:rPr>
                <w:rFonts w:ascii="Times New Roman" w:hAnsi="Times New Roman" w:cs="Times New Roman"/>
                <w:sz w:val="24"/>
                <w:szCs w:val="24"/>
              </w:rPr>
              <w:t xml:space="preserve"> antibody level</w:t>
            </w:r>
          </w:p>
        </w:tc>
      </w:tr>
      <w:tr w:rsidR="005D33C9" w14:paraId="1B4A824D" w14:textId="77777777" w:rsidTr="00B503EE">
        <w:trPr>
          <w:trHeight w:val="312"/>
        </w:trPr>
        <w:tc>
          <w:tcPr>
            <w:tcW w:w="9366" w:type="dxa"/>
          </w:tcPr>
          <w:p w14:paraId="06CA55CE" w14:textId="19AF198E" w:rsidR="005D33C9" w:rsidRPr="00AF4618" w:rsidRDefault="008D23C3" w:rsidP="00370ACF">
            <w:pPr>
              <w:spacing w:line="276" w:lineRule="auto"/>
              <w:jc w:val="both"/>
              <w:rPr>
                <w:rFonts w:ascii="Times New Roman" w:eastAsia="Times New Roman" w:hAnsi="Times New Roman" w:cs="Times New Roman"/>
                <w:sz w:val="24"/>
                <w:szCs w:val="24"/>
                <w:lang w:val="en-IN" w:eastAsia="en-IN"/>
              </w:rPr>
            </w:pPr>
            <w:r>
              <w:rPr>
                <w:rFonts w:ascii="Times New Roman" w:hAnsi="Times New Roman" w:cs="Times New Roman"/>
                <w:sz w:val="24"/>
                <w:szCs w:val="24"/>
              </w:rPr>
              <w:t xml:space="preserve">        c))</w:t>
            </w:r>
            <w:r>
              <w:t xml:space="preserve"> </w:t>
            </w:r>
            <w:r w:rsidRPr="008D23C3">
              <w:rPr>
                <w:rFonts w:ascii="Times New Roman" w:eastAsia="Times New Roman" w:hAnsi="Times New Roman" w:cs="Times New Roman"/>
                <w:sz w:val="24"/>
                <w:szCs w:val="24"/>
                <w:lang w:val="en-IN" w:eastAsia="en-IN"/>
              </w:rPr>
              <w:t xml:space="preserve">A higher proportion of reticulate </w:t>
            </w:r>
            <w:proofErr w:type="spellStart"/>
            <w:r w:rsidRPr="008D23C3">
              <w:rPr>
                <w:rFonts w:ascii="Times New Roman" w:eastAsia="Times New Roman" w:hAnsi="Times New Roman" w:cs="Times New Roman"/>
                <w:sz w:val="24"/>
                <w:szCs w:val="24"/>
                <w:lang w:val="en-IN" w:eastAsia="en-IN"/>
              </w:rPr>
              <w:t>platelates</w:t>
            </w:r>
            <w:proofErr w:type="spellEnd"/>
          </w:p>
        </w:tc>
      </w:tr>
      <w:tr w:rsidR="005D33C9" w14:paraId="7A1DE0D1" w14:textId="77777777" w:rsidTr="00B503EE">
        <w:trPr>
          <w:trHeight w:val="326"/>
        </w:trPr>
        <w:tc>
          <w:tcPr>
            <w:tcW w:w="9366" w:type="dxa"/>
          </w:tcPr>
          <w:p w14:paraId="14757BDF" w14:textId="3C59721C" w:rsidR="005D33C9" w:rsidRPr="008D23C3" w:rsidRDefault="008D23C3" w:rsidP="00370ACF">
            <w:pPr>
              <w:spacing w:after="120" w:line="276" w:lineRule="auto"/>
              <w:jc w:val="both"/>
              <w:rPr>
                <w:rFonts w:ascii="Times New Roman" w:eastAsia="Times New Roman" w:hAnsi="Times New Roman" w:cs="Times New Roman"/>
                <w:sz w:val="24"/>
                <w:szCs w:val="24"/>
                <w:lang w:val="en-IN" w:eastAsia="en-IN"/>
              </w:rPr>
            </w:pPr>
            <w:r>
              <w:rPr>
                <w:rFonts w:ascii="Times New Roman" w:hAnsi="Times New Roman" w:cs="Times New Roman"/>
                <w:sz w:val="24"/>
                <w:szCs w:val="24"/>
              </w:rPr>
              <w:t xml:space="preserve">        d)</w:t>
            </w:r>
            <w:r>
              <w:t xml:space="preserve"> </w:t>
            </w:r>
            <w:r w:rsidRPr="008D23C3">
              <w:rPr>
                <w:rFonts w:ascii="Times New Roman" w:eastAsia="Times New Roman" w:hAnsi="Times New Roman" w:cs="Times New Roman"/>
                <w:sz w:val="24"/>
                <w:szCs w:val="24"/>
                <w:lang w:val="en-IN" w:eastAsia="en-IN"/>
              </w:rPr>
              <w:t xml:space="preserve"> Plasma TPO level that is normal or slightly elevated (&lt;300pg/mL)</w:t>
            </w:r>
          </w:p>
        </w:tc>
      </w:tr>
      <w:tr w:rsidR="005D33C9" w14:paraId="1C29E4D0" w14:textId="77777777" w:rsidTr="00B503EE">
        <w:trPr>
          <w:trHeight w:val="326"/>
        </w:trPr>
        <w:tc>
          <w:tcPr>
            <w:tcW w:w="9366" w:type="dxa"/>
          </w:tcPr>
          <w:p w14:paraId="6746A4B7" w14:textId="30AE41EA" w:rsidR="005D33C9" w:rsidRPr="0012553E" w:rsidRDefault="0012553E" w:rsidP="00370ACF">
            <w:pPr>
              <w:spacing w:after="120" w:line="276" w:lineRule="auto"/>
              <w:jc w:val="both"/>
              <w:rPr>
                <w:rFonts w:ascii="Times New Roman" w:eastAsia="Times New Roman" w:hAnsi="Times New Roman" w:cs="Times New Roman"/>
                <w:sz w:val="24"/>
                <w:szCs w:val="24"/>
                <w:lang w:val="en-IN" w:eastAsia="en-IN"/>
              </w:rPr>
            </w:pPr>
            <w:r>
              <w:rPr>
                <w:rFonts w:ascii="Times New Roman" w:hAnsi="Times New Roman" w:cs="Times New Roman"/>
                <w:sz w:val="24"/>
                <w:szCs w:val="24"/>
              </w:rPr>
              <w:t xml:space="preserve">3. </w:t>
            </w:r>
            <w:r w:rsidRPr="0012553E">
              <w:rPr>
                <w:rFonts w:ascii="Times New Roman" w:eastAsia="Times New Roman" w:hAnsi="Times New Roman" w:cs="Times New Roman"/>
                <w:sz w:val="24"/>
                <w:szCs w:val="24"/>
                <w:lang w:val="en-IN" w:eastAsia="en-IN"/>
              </w:rPr>
              <w:t xml:space="preserve"> The following illnesses are not included:</w:t>
            </w:r>
          </w:p>
        </w:tc>
      </w:tr>
      <w:tr w:rsidR="005D33C9" w14:paraId="248F69F4" w14:textId="77777777" w:rsidTr="00B503EE">
        <w:trPr>
          <w:trHeight w:val="980"/>
        </w:trPr>
        <w:tc>
          <w:tcPr>
            <w:tcW w:w="9366" w:type="dxa"/>
          </w:tcPr>
          <w:p w14:paraId="0E3BBB5C" w14:textId="00D93AC8" w:rsidR="005D33C9" w:rsidRPr="0012553E" w:rsidRDefault="006232D5" w:rsidP="00370ACF">
            <w:pPr>
              <w:spacing w:after="120" w:line="276" w:lineRule="auto"/>
              <w:jc w:val="both"/>
              <w:rPr>
                <w:rFonts w:ascii="Times New Roman" w:eastAsia="Times New Roman" w:hAnsi="Times New Roman" w:cs="Times New Roman"/>
                <w:sz w:val="24"/>
                <w:szCs w:val="24"/>
                <w:lang w:val="en-IN" w:eastAsia="en-IN"/>
              </w:rPr>
            </w:pPr>
            <w:r w:rsidRPr="006232D5">
              <w:rPr>
                <w:rFonts w:ascii="Times New Roman" w:hAnsi="Times New Roman" w:cs="Times New Roman"/>
                <w:sz w:val="24"/>
                <w:szCs w:val="24"/>
              </w:rPr>
              <w:t xml:space="preserve">     </w:t>
            </w:r>
            <w:r w:rsidR="0012553E" w:rsidRPr="0012553E">
              <w:rPr>
                <w:rFonts w:ascii="Times New Roman" w:eastAsia="Times New Roman" w:hAnsi="Times New Roman" w:cs="Times New Roman"/>
                <w:sz w:val="24"/>
                <w:szCs w:val="24"/>
                <w:lang w:val="en-IN" w:eastAsia="en-IN"/>
              </w:rPr>
              <w:t xml:space="preserve">TP aplastic </w:t>
            </w:r>
            <w:proofErr w:type="spellStart"/>
            <w:proofErr w:type="gramStart"/>
            <w:r w:rsidR="0012553E" w:rsidRPr="0012553E">
              <w:rPr>
                <w:rFonts w:ascii="Times New Roman" w:eastAsia="Times New Roman" w:hAnsi="Times New Roman" w:cs="Times New Roman"/>
                <w:sz w:val="24"/>
                <w:szCs w:val="24"/>
                <w:lang w:val="en-IN" w:eastAsia="en-IN"/>
              </w:rPr>
              <w:t>anemia</w:t>
            </w:r>
            <w:proofErr w:type="spellEnd"/>
            <w:r w:rsidR="008722DA">
              <w:rPr>
                <w:rFonts w:ascii="Times New Roman" w:eastAsia="Times New Roman" w:hAnsi="Times New Roman" w:cs="Times New Roman"/>
                <w:sz w:val="24"/>
                <w:szCs w:val="24"/>
                <w:lang w:val="en-IN" w:eastAsia="en-IN"/>
              </w:rPr>
              <w:t xml:space="preserve"> </w:t>
            </w:r>
            <w:r w:rsidR="0012553E" w:rsidRPr="0012553E">
              <w:rPr>
                <w:rFonts w:ascii="Times New Roman" w:eastAsia="Times New Roman" w:hAnsi="Times New Roman" w:cs="Times New Roman"/>
                <w:sz w:val="24"/>
                <w:szCs w:val="24"/>
                <w:lang w:val="en-IN" w:eastAsia="en-IN"/>
              </w:rPr>
              <w:t>,</w:t>
            </w:r>
            <w:proofErr w:type="gramEnd"/>
            <w:r w:rsidR="0012553E" w:rsidRPr="0012553E">
              <w:rPr>
                <w:rFonts w:ascii="Times New Roman" w:eastAsia="Times New Roman" w:hAnsi="Times New Roman" w:cs="Times New Roman"/>
                <w:sz w:val="24"/>
                <w:szCs w:val="24"/>
                <w:lang w:val="en-IN" w:eastAsia="en-IN"/>
              </w:rPr>
              <w:t xml:space="preserve"> MDS, PNH, SLE, </w:t>
            </w:r>
            <w:proofErr w:type="spellStart"/>
            <w:r w:rsidR="0012553E" w:rsidRPr="0012553E">
              <w:rPr>
                <w:rFonts w:ascii="Times New Roman" w:eastAsia="Times New Roman" w:hAnsi="Times New Roman" w:cs="Times New Roman"/>
                <w:sz w:val="24"/>
                <w:szCs w:val="24"/>
                <w:lang w:val="en-IN" w:eastAsia="en-IN"/>
              </w:rPr>
              <w:t>leukemia</w:t>
            </w:r>
            <w:proofErr w:type="spellEnd"/>
            <w:r w:rsidR="0012553E" w:rsidRPr="0012553E">
              <w:rPr>
                <w:rFonts w:ascii="Times New Roman" w:eastAsia="Times New Roman" w:hAnsi="Times New Roman" w:cs="Times New Roman"/>
                <w:sz w:val="24"/>
                <w:szCs w:val="24"/>
                <w:lang w:val="en-IN" w:eastAsia="en-IN"/>
              </w:rPr>
              <w:t xml:space="preserve">, malignant lymphoma, DIC, TTP, </w:t>
            </w:r>
            <w:proofErr w:type="spellStart"/>
            <w:r w:rsidR="0012553E" w:rsidRPr="0012553E">
              <w:rPr>
                <w:rFonts w:ascii="Times New Roman" w:eastAsia="Times New Roman" w:hAnsi="Times New Roman" w:cs="Times New Roman"/>
                <w:sz w:val="24"/>
                <w:szCs w:val="24"/>
                <w:lang w:val="en-IN" w:eastAsia="en-IN"/>
              </w:rPr>
              <w:t>setsis</w:t>
            </w:r>
            <w:proofErr w:type="spellEnd"/>
            <w:r w:rsidR="0012553E" w:rsidRPr="0012553E">
              <w:rPr>
                <w:rFonts w:ascii="Times New Roman" w:eastAsia="Times New Roman" w:hAnsi="Times New Roman" w:cs="Times New Roman"/>
                <w:sz w:val="24"/>
                <w:szCs w:val="24"/>
                <w:lang w:val="en-IN" w:eastAsia="en-IN"/>
              </w:rPr>
              <w:t>, sarcoidosis, viral infection, and others are drug- or radiation-induced conditions</w:t>
            </w:r>
            <w:r w:rsidR="008722DA">
              <w:rPr>
                <w:rFonts w:ascii="Times New Roman" w:eastAsia="Times New Roman" w:hAnsi="Times New Roman" w:cs="Times New Roman"/>
                <w:sz w:val="24"/>
                <w:szCs w:val="24"/>
                <w:lang w:val="en-IN" w:eastAsia="en-IN"/>
              </w:rPr>
              <w:t xml:space="preserve"> </w:t>
            </w:r>
            <w:r w:rsidR="0012553E" w:rsidRPr="0012553E">
              <w:rPr>
                <w:rFonts w:ascii="Times New Roman" w:eastAsia="Times New Roman" w:hAnsi="Times New Roman" w:cs="Times New Roman"/>
                <w:sz w:val="24"/>
                <w:szCs w:val="24"/>
                <w:lang w:val="en-IN" w:eastAsia="en-IN"/>
              </w:rPr>
              <w:t>.</w:t>
            </w:r>
            <w:proofErr w:type="spellStart"/>
            <w:r w:rsidR="0012553E" w:rsidRPr="0012553E">
              <w:rPr>
                <w:rFonts w:ascii="Times New Roman" w:eastAsia="Times New Roman" w:hAnsi="Times New Roman" w:cs="Times New Roman"/>
                <w:sz w:val="24"/>
                <w:szCs w:val="24"/>
                <w:lang w:val="en-IN" w:eastAsia="en-IN"/>
              </w:rPr>
              <w:t>Kasabach</w:t>
            </w:r>
            <w:proofErr w:type="spellEnd"/>
            <w:r w:rsidR="0012553E" w:rsidRPr="0012553E">
              <w:rPr>
                <w:rFonts w:ascii="Times New Roman" w:eastAsia="Times New Roman" w:hAnsi="Times New Roman" w:cs="Times New Roman"/>
                <w:sz w:val="24"/>
                <w:szCs w:val="24"/>
                <w:lang w:val="en-IN" w:eastAsia="en-IN"/>
              </w:rPr>
              <w:t>-Merritt syndrome, May-</w:t>
            </w:r>
            <w:proofErr w:type="spellStart"/>
            <w:r w:rsidR="0012553E" w:rsidRPr="0012553E">
              <w:rPr>
                <w:rFonts w:ascii="Times New Roman" w:eastAsia="Times New Roman" w:hAnsi="Times New Roman" w:cs="Times New Roman"/>
                <w:sz w:val="24"/>
                <w:szCs w:val="24"/>
                <w:lang w:val="en-IN" w:eastAsia="en-IN"/>
              </w:rPr>
              <w:t>Hegllin</w:t>
            </w:r>
            <w:proofErr w:type="spellEnd"/>
            <w:r w:rsidR="0012553E" w:rsidRPr="0012553E">
              <w:rPr>
                <w:rFonts w:ascii="Times New Roman" w:eastAsia="Times New Roman" w:hAnsi="Times New Roman" w:cs="Times New Roman"/>
                <w:sz w:val="24"/>
                <w:szCs w:val="24"/>
                <w:lang w:val="en-IN" w:eastAsia="en-IN"/>
              </w:rPr>
              <w:t xml:space="preserve"> abnormalities, Bernard-Soulier syndrome, and </w:t>
            </w:r>
            <w:proofErr w:type="spellStart"/>
            <w:r w:rsidR="0012553E" w:rsidRPr="0012553E">
              <w:rPr>
                <w:rFonts w:ascii="Times New Roman" w:eastAsia="Times New Roman" w:hAnsi="Times New Roman" w:cs="Times New Roman"/>
                <w:sz w:val="24"/>
                <w:szCs w:val="24"/>
                <w:lang w:val="en-IN" w:eastAsia="en-IN"/>
              </w:rPr>
              <w:t>Wiskott</w:t>
            </w:r>
            <w:proofErr w:type="spellEnd"/>
            <w:r w:rsidR="0012553E" w:rsidRPr="0012553E">
              <w:rPr>
                <w:rFonts w:ascii="Times New Roman" w:eastAsia="Times New Roman" w:hAnsi="Times New Roman" w:cs="Times New Roman"/>
                <w:sz w:val="24"/>
                <w:szCs w:val="24"/>
                <w:lang w:val="en-IN" w:eastAsia="en-IN"/>
              </w:rPr>
              <w:t>-Aldrich syndrome</w:t>
            </w:r>
          </w:p>
        </w:tc>
      </w:tr>
    </w:tbl>
    <w:p w14:paraId="2CE06B97" w14:textId="77777777" w:rsidR="005D33C9" w:rsidRDefault="005D33C9" w:rsidP="00370ACF">
      <w:pPr>
        <w:spacing w:line="276" w:lineRule="auto"/>
        <w:jc w:val="both"/>
        <w:rPr>
          <w:rFonts w:ascii="Times New Roman" w:hAnsi="Times New Roman" w:cs="Times New Roman"/>
          <w:sz w:val="24"/>
          <w:szCs w:val="24"/>
        </w:rPr>
      </w:pPr>
    </w:p>
    <w:p w14:paraId="625D8FF8" w14:textId="77777777" w:rsidR="0012553E" w:rsidRDefault="00BC76CA" w:rsidP="00370ACF">
      <w:pPr>
        <w:spacing w:line="276" w:lineRule="auto"/>
        <w:jc w:val="both"/>
        <w:rPr>
          <w:rFonts w:ascii="Times New Roman" w:eastAsia="Times New Roman" w:hAnsi="Times New Roman" w:cs="Times New Roman"/>
          <w:sz w:val="24"/>
          <w:szCs w:val="24"/>
          <w:lang w:val="en-IN" w:eastAsia="en-IN"/>
        </w:rPr>
      </w:pPr>
      <w:r w:rsidRPr="00BC76CA">
        <w:rPr>
          <w:rFonts w:ascii="Times New Roman" w:hAnsi="Times New Roman" w:cs="Times New Roman"/>
          <w:b/>
          <w:sz w:val="24"/>
          <w:szCs w:val="24"/>
        </w:rPr>
        <w:t>Abbreviations:</w:t>
      </w:r>
      <w:r>
        <w:t xml:space="preserve"> </w:t>
      </w:r>
      <w:r w:rsidR="0012553E" w:rsidRPr="0012553E">
        <w:rPr>
          <w:rFonts w:ascii="Times New Roman" w:eastAsia="Times New Roman" w:hAnsi="Times New Roman" w:cs="Times New Roman"/>
          <w:sz w:val="24"/>
          <w:szCs w:val="24"/>
          <w:lang w:val="en-IN" w:eastAsia="en-IN"/>
        </w:rPr>
        <w:t xml:space="preserve">GP stands for glycoprotein; TPO stands for thrombopoietin; TP stands for thrombocytopenia; MDS stands for </w:t>
      </w:r>
      <w:proofErr w:type="spellStart"/>
      <w:r w:rsidR="0012553E" w:rsidRPr="0012553E">
        <w:rPr>
          <w:rFonts w:ascii="Times New Roman" w:eastAsia="Times New Roman" w:hAnsi="Times New Roman" w:cs="Times New Roman"/>
          <w:sz w:val="24"/>
          <w:szCs w:val="24"/>
          <w:lang w:val="en-IN" w:eastAsia="en-IN"/>
        </w:rPr>
        <w:t>myelodisplastic</w:t>
      </w:r>
      <w:proofErr w:type="spellEnd"/>
      <w:r w:rsidR="0012553E" w:rsidRPr="0012553E">
        <w:rPr>
          <w:rFonts w:ascii="Times New Roman" w:eastAsia="Times New Roman" w:hAnsi="Times New Roman" w:cs="Times New Roman"/>
          <w:sz w:val="24"/>
          <w:szCs w:val="24"/>
          <w:lang w:val="en-IN" w:eastAsia="en-IN"/>
        </w:rPr>
        <w:t xml:space="preserve"> syndrome; PNH stands for paroxysmal nocturnal hemoglobinemia; SLE stands for systemic lupus erythematosus; DIC stands for disseminated intravascular coagulation; and TTP stands for thrombotic thrombocytopenia.</w:t>
      </w:r>
    </w:p>
    <w:p w14:paraId="45F47A9B" w14:textId="40BB42B6" w:rsidR="00E17ED8" w:rsidRDefault="00E17ED8" w:rsidP="00370ACF">
      <w:pPr>
        <w:spacing w:line="276" w:lineRule="auto"/>
        <w:jc w:val="both"/>
        <w:rPr>
          <w:rFonts w:ascii="Times New Roman" w:eastAsia="Times New Roman" w:hAnsi="Times New Roman" w:cs="Times New Roman"/>
          <w:sz w:val="24"/>
          <w:szCs w:val="24"/>
          <w:lang w:val="en-IN" w:eastAsia="en-IN"/>
        </w:rPr>
      </w:pPr>
      <w:r w:rsidRPr="00E17ED8">
        <w:rPr>
          <w:rFonts w:ascii="Times New Roman" w:hAnsi="Times New Roman" w:cs="Times New Roman"/>
          <w:b/>
          <w:bCs/>
          <w:sz w:val="24"/>
          <w:szCs w:val="24"/>
        </w:rPr>
        <w:t>Table</w:t>
      </w:r>
      <w:r>
        <w:rPr>
          <w:rFonts w:ascii="Times New Roman" w:hAnsi="Times New Roman" w:cs="Times New Roman"/>
          <w:b/>
          <w:bCs/>
          <w:sz w:val="24"/>
          <w:szCs w:val="24"/>
        </w:rPr>
        <w:t xml:space="preserve"> </w:t>
      </w:r>
      <w:r w:rsidRPr="00E17ED8">
        <w:rPr>
          <w:rFonts w:ascii="Times New Roman" w:hAnsi="Times New Roman" w:cs="Times New Roman"/>
          <w:b/>
          <w:bCs/>
          <w:sz w:val="24"/>
          <w:szCs w:val="24"/>
        </w:rPr>
        <w:t xml:space="preserve">2: Adjudication criteria for the diagnosis of </w:t>
      </w:r>
      <w:proofErr w:type="gramStart"/>
      <w:r w:rsidRPr="00E17ED8">
        <w:rPr>
          <w:rFonts w:ascii="Times New Roman" w:hAnsi="Times New Roman" w:cs="Times New Roman"/>
          <w:b/>
          <w:bCs/>
          <w:sz w:val="24"/>
          <w:szCs w:val="24"/>
        </w:rPr>
        <w:t>thrombocytopenia</w:t>
      </w:r>
      <w:r>
        <w:t xml:space="preserve"> </w:t>
      </w:r>
      <w:r w:rsidRPr="00E17ED8">
        <w:rPr>
          <w:b/>
          <w:bCs/>
        </w:rPr>
        <w:t>:</w:t>
      </w:r>
      <w:proofErr w:type="gramEnd"/>
    </w:p>
    <w:tbl>
      <w:tblPr>
        <w:tblStyle w:val="TableGrid"/>
        <w:tblW w:w="0" w:type="auto"/>
        <w:tblLook w:val="04A0" w:firstRow="1" w:lastRow="0" w:firstColumn="1" w:lastColumn="0" w:noHBand="0" w:noVBand="1"/>
      </w:tblPr>
      <w:tblGrid>
        <w:gridCol w:w="4673"/>
        <w:gridCol w:w="4677"/>
      </w:tblGrid>
      <w:tr w:rsidR="001770C5" w14:paraId="0CC6EE95" w14:textId="77777777" w:rsidTr="001770C5">
        <w:tc>
          <w:tcPr>
            <w:tcW w:w="4788" w:type="dxa"/>
          </w:tcPr>
          <w:p w14:paraId="33BE4897" w14:textId="33026A7C" w:rsidR="001770C5" w:rsidRDefault="001770C5" w:rsidP="00370ACF">
            <w:pPr>
              <w:spacing w:line="276" w:lineRule="auto"/>
              <w:jc w:val="both"/>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t>Diagnosis</w:t>
            </w:r>
          </w:p>
        </w:tc>
        <w:tc>
          <w:tcPr>
            <w:tcW w:w="4788" w:type="dxa"/>
          </w:tcPr>
          <w:p w14:paraId="25F395CF" w14:textId="238B9D63" w:rsidR="001770C5" w:rsidRDefault="001770C5" w:rsidP="00370ACF">
            <w:pPr>
              <w:spacing w:line="276" w:lineRule="auto"/>
              <w:jc w:val="both"/>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t>Adjudication criteria</w:t>
            </w:r>
          </w:p>
        </w:tc>
      </w:tr>
      <w:tr w:rsidR="001770C5" w14:paraId="0DE10C8E" w14:textId="77777777" w:rsidTr="001770C5">
        <w:tc>
          <w:tcPr>
            <w:tcW w:w="4788" w:type="dxa"/>
          </w:tcPr>
          <w:p w14:paraId="46BB8F70" w14:textId="31566CCF" w:rsidR="001770C5" w:rsidRDefault="001770C5" w:rsidP="00370ACF">
            <w:pPr>
              <w:spacing w:line="276" w:lineRule="auto"/>
              <w:jc w:val="both"/>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t>Mild thromb</w:t>
            </w:r>
            <w:r w:rsidR="00E17ED8">
              <w:rPr>
                <w:rFonts w:ascii="Times New Roman" w:eastAsia="Times New Roman" w:hAnsi="Times New Roman" w:cs="Times New Roman"/>
                <w:sz w:val="24"/>
                <w:szCs w:val="24"/>
                <w:lang w:val="en-IN" w:eastAsia="en-IN"/>
              </w:rPr>
              <w:t>o</w:t>
            </w:r>
            <w:r>
              <w:rPr>
                <w:rFonts w:ascii="Times New Roman" w:eastAsia="Times New Roman" w:hAnsi="Times New Roman" w:cs="Times New Roman"/>
                <w:sz w:val="24"/>
                <w:szCs w:val="24"/>
                <w:lang w:val="en-IN" w:eastAsia="en-IN"/>
              </w:rPr>
              <w:t>cytopenia</w:t>
            </w:r>
          </w:p>
        </w:tc>
        <w:tc>
          <w:tcPr>
            <w:tcW w:w="4788" w:type="dxa"/>
          </w:tcPr>
          <w:p w14:paraId="3554D2BA" w14:textId="7B33E23E" w:rsidR="00E17ED8" w:rsidRPr="004229FE" w:rsidRDefault="004229FE" w:rsidP="00370ACF">
            <w:pPr>
              <w:pStyle w:val="ListParagraph"/>
              <w:numPr>
                <w:ilvl w:val="0"/>
                <w:numId w:val="22"/>
              </w:numPr>
              <w:spacing w:line="276" w:lineRule="auto"/>
              <w:jc w:val="both"/>
              <w:rPr>
                <w:rFonts w:ascii="Times New Roman" w:eastAsia="Times New Roman" w:hAnsi="Times New Roman" w:cs="Times New Roman"/>
                <w:sz w:val="24"/>
                <w:szCs w:val="24"/>
                <w:lang w:val="en-IN" w:eastAsia="en-IN"/>
              </w:rPr>
            </w:pPr>
            <w:r w:rsidRPr="004229FE">
              <w:rPr>
                <w:rFonts w:ascii="Times New Roman" w:eastAsia="Times New Roman" w:hAnsi="Times New Roman" w:cs="Times New Roman"/>
                <w:sz w:val="24"/>
                <w:szCs w:val="24"/>
                <w:lang w:val="en-IN" w:eastAsia="en-IN"/>
              </w:rPr>
              <w:t>A reliable platelet count falls between 100 and 150 ×</w:t>
            </w:r>
            <m:oMath>
              <m:sSup>
                <m:sSupPr>
                  <m:ctrlPr>
                    <w:rPr>
                      <w:rFonts w:ascii="Cambria Math" w:eastAsia="Times New Roman" w:hAnsi="Cambria Math" w:cs="Times New Roman"/>
                      <w:i/>
                      <w:sz w:val="24"/>
                      <w:szCs w:val="24"/>
                      <w:lang w:val="en-IN" w:eastAsia="en-IN"/>
                    </w:rPr>
                  </m:ctrlPr>
                </m:sSupPr>
                <m:e>
                  <m:r>
                    <w:rPr>
                      <w:rFonts w:ascii="Cambria Math" w:eastAsia="Times New Roman" w:hAnsi="Cambria Math" w:cs="Times New Roman"/>
                      <w:sz w:val="24"/>
                      <w:szCs w:val="24"/>
                      <w:lang w:val="en-IN" w:eastAsia="en-IN"/>
                    </w:rPr>
                    <m:t>10</m:t>
                  </m:r>
                </m:e>
                <m:sup>
                  <m:r>
                    <w:rPr>
                      <w:rFonts w:ascii="Cambria Math" w:eastAsia="Times New Roman" w:hAnsi="Cambria Math" w:cs="Times New Roman"/>
                      <w:sz w:val="24"/>
                      <w:szCs w:val="24"/>
                      <w:lang w:val="en-IN" w:eastAsia="en-IN"/>
                    </w:rPr>
                    <m:t>9</m:t>
                  </m:r>
                </m:sup>
              </m:sSup>
            </m:oMath>
            <w:r w:rsidRPr="004229FE">
              <w:rPr>
                <w:rFonts w:ascii="Times New Roman" w:eastAsia="Times New Roman" w:hAnsi="Times New Roman" w:cs="Times New Roman"/>
                <w:sz w:val="24"/>
                <w:szCs w:val="24"/>
                <w:lang w:val="en-IN" w:eastAsia="en-IN"/>
              </w:rPr>
              <w:t xml:space="preserve">/L. Take into account gestational thrombocytopenia if a patient is expecting. Mild thrombocytopenia takes precedence over other diagnoses (such Hepatitis C or a family history of thrombocytopenia). </w:t>
            </w:r>
          </w:p>
          <w:p w14:paraId="247A9634" w14:textId="1224FCD2" w:rsidR="001770C5" w:rsidRPr="00E17ED8" w:rsidRDefault="001770C5" w:rsidP="00370ACF">
            <w:pPr>
              <w:spacing w:line="276" w:lineRule="auto"/>
              <w:jc w:val="both"/>
              <w:rPr>
                <w:rFonts w:ascii="Times New Roman" w:eastAsia="Times New Roman" w:hAnsi="Times New Roman" w:cs="Times New Roman"/>
                <w:sz w:val="24"/>
                <w:szCs w:val="24"/>
                <w:lang w:val="en-IN" w:eastAsia="en-IN"/>
              </w:rPr>
            </w:pPr>
          </w:p>
        </w:tc>
      </w:tr>
      <w:tr w:rsidR="001770C5" w14:paraId="1299453D" w14:textId="77777777" w:rsidTr="001770C5">
        <w:tc>
          <w:tcPr>
            <w:tcW w:w="4788" w:type="dxa"/>
          </w:tcPr>
          <w:p w14:paraId="0DAB57E4" w14:textId="4E1D9654" w:rsidR="001770C5" w:rsidRDefault="001770C5" w:rsidP="00370ACF">
            <w:pPr>
              <w:spacing w:line="276" w:lineRule="auto"/>
              <w:jc w:val="both"/>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t>Primary ITP</w:t>
            </w:r>
          </w:p>
        </w:tc>
        <w:tc>
          <w:tcPr>
            <w:tcW w:w="4788" w:type="dxa"/>
          </w:tcPr>
          <w:p w14:paraId="63763850" w14:textId="2D708867" w:rsidR="004229FE" w:rsidRPr="004229FE" w:rsidRDefault="004229FE" w:rsidP="00370ACF">
            <w:pPr>
              <w:pStyle w:val="ListParagraph"/>
              <w:numPr>
                <w:ilvl w:val="0"/>
                <w:numId w:val="22"/>
              </w:numPr>
              <w:spacing w:line="276" w:lineRule="auto"/>
              <w:jc w:val="both"/>
              <w:rPr>
                <w:rFonts w:ascii="Times New Roman" w:eastAsia="Times New Roman" w:hAnsi="Times New Roman" w:cs="Times New Roman"/>
                <w:sz w:val="24"/>
                <w:szCs w:val="24"/>
                <w:lang w:val="en-IN" w:eastAsia="en-IN"/>
              </w:rPr>
            </w:pPr>
            <w:r w:rsidRPr="004229FE">
              <w:rPr>
                <w:rFonts w:ascii="Times New Roman" w:eastAsia="Times New Roman" w:hAnsi="Times New Roman" w:cs="Times New Roman"/>
                <w:sz w:val="24"/>
                <w:szCs w:val="24"/>
                <w:lang w:val="en-IN" w:eastAsia="en-IN"/>
              </w:rPr>
              <w:t>In patients with platelets &lt;100 × 10^9/L with other diagnoses, the initial ITP diagnosis should be maintained if the platelet count increases to &gt;100.</w:t>
            </w:r>
          </w:p>
          <w:p w14:paraId="736931EE" w14:textId="382CBD7E" w:rsidR="001770C5" w:rsidRDefault="001770C5" w:rsidP="00370ACF">
            <w:pPr>
              <w:pStyle w:val="ListParagraph"/>
              <w:spacing w:line="276" w:lineRule="auto"/>
              <w:jc w:val="both"/>
              <w:rPr>
                <w:rFonts w:ascii="Times New Roman" w:eastAsia="Times New Roman" w:hAnsi="Times New Roman" w:cs="Times New Roman"/>
                <w:sz w:val="24"/>
                <w:szCs w:val="24"/>
                <w:lang w:val="en-IN" w:eastAsia="en-IN"/>
              </w:rPr>
            </w:pPr>
          </w:p>
          <w:p w14:paraId="01577111" w14:textId="7C554B33" w:rsidR="004229FE" w:rsidRPr="001770C5" w:rsidRDefault="004229FE" w:rsidP="00370ACF">
            <w:pPr>
              <w:pStyle w:val="ListParagraph"/>
              <w:spacing w:line="276" w:lineRule="auto"/>
              <w:jc w:val="both"/>
              <w:rPr>
                <w:rFonts w:ascii="Times New Roman" w:eastAsia="Times New Roman" w:hAnsi="Times New Roman" w:cs="Times New Roman"/>
                <w:sz w:val="24"/>
                <w:szCs w:val="24"/>
                <w:lang w:val="en-IN" w:eastAsia="en-IN"/>
              </w:rPr>
            </w:pPr>
          </w:p>
        </w:tc>
      </w:tr>
      <w:tr w:rsidR="001770C5" w14:paraId="33E96AF0" w14:textId="77777777" w:rsidTr="001770C5">
        <w:tc>
          <w:tcPr>
            <w:tcW w:w="4788" w:type="dxa"/>
          </w:tcPr>
          <w:p w14:paraId="65DAFA0D" w14:textId="77777777" w:rsidR="001770C5" w:rsidRDefault="00D104FC" w:rsidP="00370ACF">
            <w:pPr>
              <w:spacing w:line="276" w:lineRule="auto"/>
              <w:jc w:val="both"/>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lastRenderedPageBreak/>
              <w:t>Secondary ITP</w:t>
            </w:r>
          </w:p>
          <w:p w14:paraId="563C4D89" w14:textId="77777777" w:rsidR="00D104FC" w:rsidRDefault="00D104FC" w:rsidP="00370ACF">
            <w:pPr>
              <w:pStyle w:val="ListParagraph"/>
              <w:numPr>
                <w:ilvl w:val="0"/>
                <w:numId w:val="12"/>
              </w:numPr>
              <w:spacing w:line="276" w:lineRule="auto"/>
              <w:jc w:val="both"/>
              <w:rPr>
                <w:rFonts w:ascii="Times New Roman" w:eastAsia="Times New Roman" w:hAnsi="Times New Roman" w:cs="Times New Roman"/>
                <w:sz w:val="24"/>
                <w:szCs w:val="24"/>
                <w:lang w:val="en-IN" w:eastAsia="en-IN"/>
              </w:rPr>
            </w:pPr>
            <w:proofErr w:type="spellStart"/>
            <w:r>
              <w:rPr>
                <w:rFonts w:ascii="Times New Roman" w:eastAsia="Times New Roman" w:hAnsi="Times New Roman" w:cs="Times New Roman"/>
                <w:sz w:val="24"/>
                <w:szCs w:val="24"/>
                <w:lang w:val="en-IN" w:eastAsia="en-IN"/>
              </w:rPr>
              <w:t>Hepatatis</w:t>
            </w:r>
            <w:proofErr w:type="spellEnd"/>
            <w:r>
              <w:rPr>
                <w:rFonts w:ascii="Times New Roman" w:eastAsia="Times New Roman" w:hAnsi="Times New Roman" w:cs="Times New Roman"/>
                <w:sz w:val="24"/>
                <w:szCs w:val="24"/>
                <w:lang w:val="en-IN" w:eastAsia="en-IN"/>
              </w:rPr>
              <w:t xml:space="preserve"> C</w:t>
            </w:r>
          </w:p>
          <w:p w14:paraId="2995D737" w14:textId="77777777" w:rsidR="00D104FC" w:rsidRDefault="00D104FC" w:rsidP="00370ACF">
            <w:pPr>
              <w:pStyle w:val="ListParagraph"/>
              <w:numPr>
                <w:ilvl w:val="0"/>
                <w:numId w:val="12"/>
              </w:numPr>
              <w:spacing w:line="276" w:lineRule="auto"/>
              <w:jc w:val="both"/>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t>HIV</w:t>
            </w:r>
          </w:p>
          <w:p w14:paraId="2A0F0085" w14:textId="77777777" w:rsidR="00D104FC" w:rsidRDefault="00D104FC" w:rsidP="00370ACF">
            <w:pPr>
              <w:pStyle w:val="ListParagraph"/>
              <w:numPr>
                <w:ilvl w:val="0"/>
                <w:numId w:val="12"/>
              </w:numPr>
              <w:spacing w:line="276" w:lineRule="auto"/>
              <w:jc w:val="both"/>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t>Non-specific infection</w:t>
            </w:r>
          </w:p>
          <w:p w14:paraId="2E609412" w14:textId="77777777" w:rsidR="00D104FC" w:rsidRDefault="00D104FC" w:rsidP="00370ACF">
            <w:pPr>
              <w:pStyle w:val="ListParagraph"/>
              <w:numPr>
                <w:ilvl w:val="0"/>
                <w:numId w:val="12"/>
              </w:numPr>
              <w:spacing w:line="276" w:lineRule="auto"/>
              <w:jc w:val="both"/>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t>Pregnancy associated ITP</w:t>
            </w:r>
          </w:p>
          <w:p w14:paraId="40C93EFA" w14:textId="77777777" w:rsidR="00D104FC" w:rsidRDefault="00D104FC" w:rsidP="00370ACF">
            <w:pPr>
              <w:pStyle w:val="ListParagraph"/>
              <w:numPr>
                <w:ilvl w:val="0"/>
                <w:numId w:val="12"/>
              </w:numPr>
              <w:spacing w:line="276" w:lineRule="auto"/>
              <w:jc w:val="both"/>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t>Lymphoma</w:t>
            </w:r>
          </w:p>
          <w:p w14:paraId="1D639A2A" w14:textId="459AA31B" w:rsidR="00D104FC" w:rsidRDefault="00D104FC" w:rsidP="00370ACF">
            <w:pPr>
              <w:pStyle w:val="ListParagraph"/>
              <w:numPr>
                <w:ilvl w:val="0"/>
                <w:numId w:val="12"/>
              </w:numPr>
              <w:spacing w:line="276" w:lineRule="auto"/>
              <w:jc w:val="both"/>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t>Sarcoidosis</w:t>
            </w:r>
          </w:p>
          <w:p w14:paraId="1D01E126" w14:textId="564C5DD6" w:rsidR="00D104FC" w:rsidRPr="00D104FC" w:rsidRDefault="00D104FC" w:rsidP="00370ACF">
            <w:pPr>
              <w:pStyle w:val="ListParagraph"/>
              <w:numPr>
                <w:ilvl w:val="0"/>
                <w:numId w:val="12"/>
              </w:numPr>
              <w:spacing w:line="276" w:lineRule="auto"/>
              <w:jc w:val="both"/>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t>Other autoimmune disease</w:t>
            </w:r>
          </w:p>
        </w:tc>
        <w:tc>
          <w:tcPr>
            <w:tcW w:w="4788" w:type="dxa"/>
          </w:tcPr>
          <w:p w14:paraId="25FD4F01" w14:textId="7F305015" w:rsidR="001770C5" w:rsidRPr="009E2D3F" w:rsidRDefault="009E2D3F" w:rsidP="00370ACF">
            <w:pPr>
              <w:pStyle w:val="ListParagraph"/>
              <w:numPr>
                <w:ilvl w:val="0"/>
                <w:numId w:val="12"/>
              </w:numPr>
              <w:spacing w:line="276" w:lineRule="auto"/>
              <w:jc w:val="both"/>
              <w:rPr>
                <w:rFonts w:ascii="Times New Roman" w:eastAsia="Times New Roman" w:hAnsi="Times New Roman" w:cs="Times New Roman"/>
                <w:sz w:val="24"/>
                <w:szCs w:val="24"/>
                <w:lang w:val="en-IN" w:eastAsia="en-IN"/>
              </w:rPr>
            </w:pPr>
            <w:r w:rsidRPr="009E2D3F">
              <w:rPr>
                <w:rFonts w:ascii="Times New Roman" w:eastAsia="Times New Roman" w:hAnsi="Times New Roman" w:cs="Times New Roman"/>
                <w:sz w:val="24"/>
                <w:szCs w:val="24"/>
                <w:lang w:val="en-IN" w:eastAsia="en-IN"/>
              </w:rPr>
              <w:t>Even if the underlying illness is cured and the ITP persists, the diagnosis of secondary ITP should stand.</w:t>
            </w:r>
          </w:p>
          <w:p w14:paraId="7E63D885" w14:textId="77777777" w:rsidR="009E2D3F" w:rsidRPr="009E2D3F" w:rsidRDefault="009E2D3F" w:rsidP="00370ACF">
            <w:pPr>
              <w:pStyle w:val="ListParagraph"/>
              <w:numPr>
                <w:ilvl w:val="0"/>
                <w:numId w:val="12"/>
              </w:numPr>
              <w:spacing w:line="276" w:lineRule="auto"/>
              <w:jc w:val="both"/>
              <w:rPr>
                <w:rFonts w:ascii="Times New Roman" w:eastAsia="Times New Roman" w:hAnsi="Times New Roman" w:cs="Times New Roman"/>
                <w:sz w:val="24"/>
                <w:szCs w:val="24"/>
                <w:lang w:val="en-IN" w:eastAsia="en-IN"/>
              </w:rPr>
            </w:pPr>
            <w:r w:rsidRPr="009E2D3F">
              <w:rPr>
                <w:rFonts w:ascii="Times New Roman" w:eastAsia="Times New Roman" w:hAnsi="Times New Roman" w:cs="Times New Roman"/>
                <w:sz w:val="24"/>
                <w:szCs w:val="24"/>
                <w:lang w:val="en-IN" w:eastAsia="en-IN"/>
              </w:rPr>
              <w:t>The diagnosis of primary ITP should be made if the ITP persists postpartum or precedes pregnancy, in which case the accompanying ITP platelets should improve with ITP treatment.</w:t>
            </w:r>
          </w:p>
          <w:p w14:paraId="6C271F52" w14:textId="186624A6" w:rsidR="009E2D3F" w:rsidRPr="00D104FC" w:rsidRDefault="009E2D3F" w:rsidP="00370ACF">
            <w:pPr>
              <w:pStyle w:val="ListParagraph"/>
              <w:spacing w:line="276" w:lineRule="auto"/>
              <w:jc w:val="both"/>
              <w:rPr>
                <w:rFonts w:ascii="Times New Roman" w:eastAsia="Times New Roman" w:hAnsi="Times New Roman" w:cs="Times New Roman"/>
                <w:sz w:val="24"/>
                <w:szCs w:val="24"/>
                <w:lang w:val="en-IN" w:eastAsia="en-IN"/>
              </w:rPr>
            </w:pPr>
          </w:p>
        </w:tc>
      </w:tr>
      <w:tr w:rsidR="001770C5" w14:paraId="77AAA73D" w14:textId="77777777" w:rsidTr="001770C5">
        <w:tc>
          <w:tcPr>
            <w:tcW w:w="4788" w:type="dxa"/>
          </w:tcPr>
          <w:p w14:paraId="1CB848D7" w14:textId="0318A28E" w:rsidR="001770C5" w:rsidRPr="009E2D3F" w:rsidRDefault="009E2D3F" w:rsidP="00370ACF">
            <w:pPr>
              <w:spacing w:line="276" w:lineRule="auto"/>
              <w:jc w:val="both"/>
              <w:rPr>
                <w:rFonts w:ascii="Times New Roman" w:eastAsia="Times New Roman" w:hAnsi="Times New Roman" w:cs="Times New Roman"/>
                <w:sz w:val="24"/>
                <w:szCs w:val="24"/>
                <w:lang w:val="en-IN" w:eastAsia="en-IN"/>
              </w:rPr>
            </w:pPr>
            <w:r w:rsidRPr="009E2D3F">
              <w:rPr>
                <w:rFonts w:ascii="Times New Roman" w:hAnsi="Times New Roman" w:cs="Times New Roman"/>
                <w:sz w:val="24"/>
                <w:szCs w:val="24"/>
              </w:rPr>
              <w:t>Drug-induced ITP</w:t>
            </w:r>
          </w:p>
        </w:tc>
        <w:tc>
          <w:tcPr>
            <w:tcW w:w="4788" w:type="dxa"/>
          </w:tcPr>
          <w:p w14:paraId="01737981" w14:textId="2AC4BBB6" w:rsidR="009E2D3F" w:rsidRPr="009E2D3F" w:rsidRDefault="009E2D3F" w:rsidP="00370ACF">
            <w:pPr>
              <w:pStyle w:val="ListParagraph"/>
              <w:numPr>
                <w:ilvl w:val="0"/>
                <w:numId w:val="14"/>
              </w:numPr>
              <w:spacing w:line="276" w:lineRule="auto"/>
              <w:jc w:val="both"/>
              <w:rPr>
                <w:rFonts w:ascii="Times New Roman" w:eastAsia="Times New Roman" w:hAnsi="Times New Roman" w:cs="Times New Roman"/>
                <w:sz w:val="24"/>
                <w:szCs w:val="24"/>
                <w:lang w:val="en-IN" w:eastAsia="en-IN"/>
              </w:rPr>
            </w:pPr>
            <w:r w:rsidRPr="009E2D3F">
              <w:rPr>
                <w:rFonts w:ascii="Times New Roman" w:eastAsia="Times New Roman" w:hAnsi="Times New Roman" w:cs="Times New Roman"/>
                <w:sz w:val="24"/>
                <w:szCs w:val="24"/>
                <w:lang w:val="en-IN" w:eastAsia="en-IN"/>
              </w:rPr>
              <w:t xml:space="preserve">With no additional medicines involved, thrombocytopenia usually develops 5–10 days after the first drug exposure and platelet count recovery usually happens after stopping the drug. To verify the information, either a drug test or the evidence of drug-induced antibodies in the platelets </w:t>
            </w:r>
          </w:p>
          <w:p w14:paraId="64CF16CD" w14:textId="77777777" w:rsidR="001770C5" w:rsidRPr="009E2D3F" w:rsidRDefault="001770C5" w:rsidP="00370ACF">
            <w:pPr>
              <w:pStyle w:val="ListParagraph"/>
              <w:spacing w:line="276" w:lineRule="auto"/>
              <w:jc w:val="both"/>
              <w:rPr>
                <w:rFonts w:ascii="Times New Roman" w:eastAsia="Times New Roman" w:hAnsi="Times New Roman" w:cs="Times New Roman"/>
                <w:sz w:val="24"/>
                <w:szCs w:val="24"/>
                <w:lang w:val="en-IN" w:eastAsia="en-IN"/>
              </w:rPr>
            </w:pPr>
          </w:p>
        </w:tc>
      </w:tr>
      <w:tr w:rsidR="001770C5" w:rsidRPr="00247A74" w14:paraId="10686B36" w14:textId="77777777" w:rsidTr="001770C5">
        <w:tc>
          <w:tcPr>
            <w:tcW w:w="4788" w:type="dxa"/>
          </w:tcPr>
          <w:p w14:paraId="34BD1609" w14:textId="77777777" w:rsidR="009E2D3F" w:rsidRPr="00247A74" w:rsidRDefault="009E2D3F" w:rsidP="00370ACF">
            <w:pPr>
              <w:spacing w:line="276" w:lineRule="auto"/>
              <w:jc w:val="both"/>
              <w:rPr>
                <w:rFonts w:ascii="Times New Roman" w:hAnsi="Times New Roman" w:cs="Times New Roman"/>
                <w:sz w:val="24"/>
                <w:szCs w:val="24"/>
              </w:rPr>
            </w:pPr>
            <w:r w:rsidRPr="00247A74">
              <w:rPr>
                <w:rFonts w:ascii="Times New Roman" w:hAnsi="Times New Roman" w:cs="Times New Roman"/>
                <w:sz w:val="24"/>
                <w:szCs w:val="24"/>
              </w:rPr>
              <w:t>Non-immune thrombocytopenia</w:t>
            </w:r>
          </w:p>
          <w:p w14:paraId="38C8616D" w14:textId="599CE1A0" w:rsidR="009E2D3F" w:rsidRPr="00247A74" w:rsidRDefault="009E2D3F" w:rsidP="00370ACF">
            <w:pPr>
              <w:pStyle w:val="ListParagraph"/>
              <w:numPr>
                <w:ilvl w:val="0"/>
                <w:numId w:val="14"/>
              </w:numPr>
              <w:spacing w:line="276" w:lineRule="auto"/>
              <w:jc w:val="both"/>
              <w:rPr>
                <w:rFonts w:ascii="Times New Roman" w:hAnsi="Times New Roman" w:cs="Times New Roman"/>
                <w:sz w:val="24"/>
                <w:szCs w:val="24"/>
              </w:rPr>
            </w:pPr>
            <w:r w:rsidRPr="00247A74">
              <w:rPr>
                <w:rFonts w:ascii="Times New Roman" w:hAnsi="Times New Roman" w:cs="Times New Roman"/>
                <w:sz w:val="24"/>
                <w:szCs w:val="24"/>
              </w:rPr>
              <w:t>Alcohol related</w:t>
            </w:r>
          </w:p>
          <w:p w14:paraId="3A53EBBB" w14:textId="689D1196" w:rsidR="009E2D3F" w:rsidRPr="00247A74" w:rsidRDefault="009E2D3F" w:rsidP="00370ACF">
            <w:pPr>
              <w:pStyle w:val="ListParagraph"/>
              <w:numPr>
                <w:ilvl w:val="0"/>
                <w:numId w:val="14"/>
              </w:numPr>
              <w:spacing w:line="276" w:lineRule="auto"/>
              <w:jc w:val="both"/>
              <w:rPr>
                <w:rFonts w:ascii="Times New Roman" w:hAnsi="Times New Roman" w:cs="Times New Roman"/>
                <w:sz w:val="24"/>
                <w:szCs w:val="24"/>
              </w:rPr>
            </w:pPr>
            <w:r w:rsidRPr="00247A74">
              <w:rPr>
                <w:rFonts w:ascii="Times New Roman" w:hAnsi="Times New Roman" w:cs="Times New Roman"/>
                <w:sz w:val="24"/>
                <w:szCs w:val="24"/>
              </w:rPr>
              <w:t>Incidental thrombocytopenia in pregnancy (gestational thrombocytopenia)</w:t>
            </w:r>
          </w:p>
          <w:p w14:paraId="1F3B06B5" w14:textId="50418F79" w:rsidR="009E2D3F" w:rsidRPr="00247A74" w:rsidRDefault="009E2D3F" w:rsidP="00370ACF">
            <w:pPr>
              <w:pStyle w:val="ListParagraph"/>
              <w:numPr>
                <w:ilvl w:val="0"/>
                <w:numId w:val="14"/>
              </w:numPr>
              <w:spacing w:line="276" w:lineRule="auto"/>
              <w:jc w:val="both"/>
              <w:rPr>
                <w:rFonts w:ascii="Times New Roman" w:hAnsi="Times New Roman" w:cs="Times New Roman"/>
                <w:sz w:val="24"/>
                <w:szCs w:val="24"/>
              </w:rPr>
            </w:pPr>
            <w:r w:rsidRPr="00247A74">
              <w:rPr>
                <w:rFonts w:ascii="Times New Roman" w:hAnsi="Times New Roman" w:cs="Times New Roman"/>
                <w:sz w:val="24"/>
                <w:szCs w:val="24"/>
              </w:rPr>
              <w:t xml:space="preserve">Hypertensive disorders of pregnancy </w:t>
            </w:r>
          </w:p>
          <w:p w14:paraId="13A834A2" w14:textId="3C5A4EC7" w:rsidR="009E2D3F" w:rsidRPr="00247A74" w:rsidRDefault="009E2D3F" w:rsidP="00370ACF">
            <w:pPr>
              <w:pStyle w:val="ListParagraph"/>
              <w:numPr>
                <w:ilvl w:val="0"/>
                <w:numId w:val="14"/>
              </w:numPr>
              <w:spacing w:line="276" w:lineRule="auto"/>
              <w:jc w:val="both"/>
              <w:rPr>
                <w:rFonts w:ascii="Times New Roman" w:hAnsi="Times New Roman" w:cs="Times New Roman"/>
                <w:sz w:val="24"/>
                <w:szCs w:val="24"/>
              </w:rPr>
            </w:pPr>
            <w:r w:rsidRPr="00247A74">
              <w:rPr>
                <w:rFonts w:ascii="Times New Roman" w:hAnsi="Times New Roman" w:cs="Times New Roman"/>
                <w:sz w:val="24"/>
                <w:szCs w:val="24"/>
              </w:rPr>
              <w:t xml:space="preserve">Liver disease </w:t>
            </w:r>
          </w:p>
          <w:p w14:paraId="277D1401" w14:textId="7EE6811B" w:rsidR="009E2D3F" w:rsidRPr="00247A74" w:rsidRDefault="009E2D3F" w:rsidP="00370ACF">
            <w:pPr>
              <w:pStyle w:val="ListParagraph"/>
              <w:numPr>
                <w:ilvl w:val="0"/>
                <w:numId w:val="14"/>
              </w:numPr>
              <w:spacing w:line="276" w:lineRule="auto"/>
              <w:jc w:val="both"/>
              <w:rPr>
                <w:rFonts w:ascii="Times New Roman" w:hAnsi="Times New Roman" w:cs="Times New Roman"/>
                <w:sz w:val="24"/>
                <w:szCs w:val="24"/>
              </w:rPr>
            </w:pPr>
            <w:r w:rsidRPr="00247A74">
              <w:rPr>
                <w:rFonts w:ascii="Times New Roman" w:hAnsi="Times New Roman" w:cs="Times New Roman"/>
                <w:sz w:val="24"/>
                <w:szCs w:val="24"/>
              </w:rPr>
              <w:t>Drug-induced bone marrow suppression</w:t>
            </w:r>
          </w:p>
          <w:p w14:paraId="68DEB729" w14:textId="0461C924" w:rsidR="001770C5" w:rsidRPr="009E2D3F" w:rsidRDefault="009E2D3F" w:rsidP="00370ACF">
            <w:pPr>
              <w:pStyle w:val="ListParagraph"/>
              <w:numPr>
                <w:ilvl w:val="0"/>
                <w:numId w:val="14"/>
              </w:numPr>
              <w:spacing w:line="276" w:lineRule="auto"/>
              <w:jc w:val="both"/>
              <w:rPr>
                <w:rFonts w:ascii="Times New Roman" w:eastAsia="Times New Roman" w:hAnsi="Times New Roman" w:cs="Times New Roman"/>
                <w:sz w:val="24"/>
                <w:szCs w:val="24"/>
                <w:lang w:val="en-IN" w:eastAsia="en-IN"/>
              </w:rPr>
            </w:pPr>
            <w:r w:rsidRPr="00247A74">
              <w:rPr>
                <w:rFonts w:ascii="Times New Roman" w:hAnsi="Times New Roman" w:cs="Times New Roman"/>
                <w:sz w:val="24"/>
                <w:szCs w:val="24"/>
              </w:rPr>
              <w:t>Thrombocytopenia associated with malignancy including aplastic anem</w:t>
            </w:r>
            <w:r>
              <w:t>ia</w:t>
            </w:r>
          </w:p>
        </w:tc>
        <w:tc>
          <w:tcPr>
            <w:tcW w:w="4788" w:type="dxa"/>
          </w:tcPr>
          <w:p w14:paraId="2D55BD66" w14:textId="39C9338A" w:rsidR="00247A74" w:rsidRPr="00247A74" w:rsidRDefault="00247A74" w:rsidP="00370ACF">
            <w:pPr>
              <w:pStyle w:val="ListParagraph"/>
              <w:numPr>
                <w:ilvl w:val="0"/>
                <w:numId w:val="14"/>
              </w:numPr>
              <w:spacing w:line="276" w:lineRule="auto"/>
              <w:jc w:val="both"/>
              <w:rPr>
                <w:rFonts w:ascii="Times New Roman" w:eastAsia="Times New Roman" w:hAnsi="Times New Roman" w:cs="Times New Roman"/>
                <w:sz w:val="24"/>
                <w:szCs w:val="24"/>
                <w:lang w:val="en-IN" w:eastAsia="en-IN"/>
              </w:rPr>
            </w:pPr>
            <w:r w:rsidRPr="00247A74">
              <w:rPr>
                <w:rFonts w:ascii="Times New Roman" w:eastAsia="Times New Roman" w:hAnsi="Times New Roman" w:cs="Times New Roman"/>
                <w:sz w:val="24"/>
                <w:szCs w:val="24"/>
                <w:lang w:val="en-IN" w:eastAsia="en-IN"/>
              </w:rPr>
              <w:t xml:space="preserve">The platelet count is normally higher than 70 </w:t>
            </w:r>
            <m:oMath>
              <m:sSup>
                <m:sSupPr>
                  <m:ctrlPr>
                    <w:rPr>
                      <w:rFonts w:ascii="Cambria Math" w:eastAsia="Times New Roman" w:hAnsi="Cambria Math" w:cs="Times New Roman"/>
                      <w:i/>
                      <w:sz w:val="24"/>
                      <w:szCs w:val="24"/>
                      <w:lang w:val="en-IN" w:eastAsia="en-IN"/>
                    </w:rPr>
                  </m:ctrlPr>
                </m:sSupPr>
                <m:e>
                  <m:r>
                    <w:rPr>
                      <w:rFonts w:ascii="Cambria Math" w:eastAsia="Times New Roman" w:hAnsi="Cambria Math" w:cs="Times New Roman"/>
                      <w:sz w:val="24"/>
                      <w:szCs w:val="24"/>
                      <w:lang w:val="en-IN" w:eastAsia="en-IN"/>
                    </w:rPr>
                    <m:t>10</m:t>
                  </m:r>
                </m:e>
                <m:sup>
                  <m:r>
                    <w:rPr>
                      <w:rFonts w:ascii="Cambria Math" w:eastAsia="Times New Roman" w:hAnsi="Cambria Math" w:cs="Times New Roman"/>
                      <w:sz w:val="24"/>
                      <w:szCs w:val="24"/>
                      <w:lang w:val="en-IN" w:eastAsia="en-IN"/>
                    </w:rPr>
                    <m:t>9</m:t>
                  </m:r>
                </m:sup>
              </m:sSup>
            </m:oMath>
            <w:r w:rsidRPr="00247A74">
              <w:rPr>
                <w:rFonts w:ascii="Times New Roman" w:eastAsia="Times New Roman" w:hAnsi="Times New Roman" w:cs="Times New Roman"/>
                <w:sz w:val="24"/>
                <w:szCs w:val="24"/>
                <w:lang w:val="en-IN" w:eastAsia="en-IN"/>
              </w:rPr>
              <w:t xml:space="preserve"> /L during pregnancy for incidental thrombocytopenia of pregnancy (gestational thrombocytopenia), and normalization of </w:t>
            </w:r>
            <w:r w:rsidRPr="00247A74">
              <w:rPr>
                <w:rFonts w:ascii="Times New Roman" w:eastAsia="Times New Roman" w:hAnsi="Times New Roman" w:cs="Times New Roman"/>
                <w:sz w:val="24"/>
                <w:szCs w:val="24"/>
                <w:lang w:val="en-IN" w:eastAsia="en-IN"/>
              </w:rPr>
              <w:br/>
              <w:t>platelet count postdelivery, no history of thrombocytopenia (apart from during a previous pregnancy), and no thrombocytopenia in the fetus or infant.</w:t>
            </w:r>
          </w:p>
          <w:p w14:paraId="43257E3B" w14:textId="7BBF9C73" w:rsidR="001770C5" w:rsidRPr="00247A74" w:rsidRDefault="00247A74" w:rsidP="00370ACF">
            <w:pPr>
              <w:pStyle w:val="ListParagraph"/>
              <w:numPr>
                <w:ilvl w:val="0"/>
                <w:numId w:val="15"/>
              </w:numPr>
              <w:spacing w:line="276" w:lineRule="auto"/>
              <w:jc w:val="both"/>
              <w:rPr>
                <w:rFonts w:ascii="Times New Roman" w:eastAsia="Times New Roman" w:hAnsi="Times New Roman" w:cs="Times New Roman"/>
                <w:sz w:val="24"/>
                <w:szCs w:val="24"/>
                <w:lang w:val="en-IN" w:eastAsia="en-IN"/>
              </w:rPr>
            </w:pPr>
            <w:r w:rsidRPr="00247A74">
              <w:rPr>
                <w:rFonts w:ascii="Times New Roman" w:eastAsia="Times New Roman" w:hAnsi="Times New Roman" w:cs="Times New Roman"/>
                <w:sz w:val="24"/>
                <w:szCs w:val="24"/>
                <w:lang w:val="en-IN" w:eastAsia="en-IN"/>
              </w:rPr>
              <w:t xml:space="preserve">Non-immune thrombocytopenia is usually not caused by fatty liver disease alone (without additional stigmas of chronic liver disease). </w:t>
            </w:r>
            <w:r w:rsidRPr="00247A74">
              <w:rPr>
                <w:rFonts w:ascii="Times New Roman" w:eastAsia="Times New Roman" w:hAnsi="Times New Roman" w:cs="Times New Roman"/>
                <w:sz w:val="24"/>
                <w:szCs w:val="24"/>
                <w:lang w:val="en-IN" w:eastAsia="en-IN"/>
              </w:rPr>
              <w:br/>
            </w:r>
          </w:p>
        </w:tc>
      </w:tr>
      <w:tr w:rsidR="001770C5" w14:paraId="4919CF52" w14:textId="77777777" w:rsidTr="001770C5">
        <w:tc>
          <w:tcPr>
            <w:tcW w:w="4788" w:type="dxa"/>
          </w:tcPr>
          <w:p w14:paraId="1A85E353" w14:textId="77777777" w:rsidR="00247A74" w:rsidRPr="00247A74" w:rsidRDefault="00247A74" w:rsidP="00370ACF">
            <w:pPr>
              <w:spacing w:line="276" w:lineRule="auto"/>
              <w:jc w:val="both"/>
              <w:rPr>
                <w:rFonts w:ascii="Times New Roman" w:hAnsi="Times New Roman" w:cs="Times New Roman"/>
                <w:sz w:val="24"/>
                <w:szCs w:val="24"/>
              </w:rPr>
            </w:pPr>
            <w:r w:rsidRPr="00247A74">
              <w:rPr>
                <w:rFonts w:ascii="Times New Roman" w:hAnsi="Times New Roman" w:cs="Times New Roman"/>
                <w:sz w:val="24"/>
                <w:szCs w:val="24"/>
              </w:rPr>
              <w:t xml:space="preserve">Other thrombocytopenia disorders </w:t>
            </w:r>
          </w:p>
          <w:p w14:paraId="38C431ED" w14:textId="77777777" w:rsidR="00247A74" w:rsidRPr="00247A74" w:rsidRDefault="00247A74" w:rsidP="00370ACF">
            <w:pPr>
              <w:spacing w:line="276" w:lineRule="auto"/>
              <w:jc w:val="both"/>
              <w:rPr>
                <w:rFonts w:ascii="Times New Roman" w:hAnsi="Times New Roman" w:cs="Times New Roman"/>
                <w:sz w:val="24"/>
                <w:szCs w:val="24"/>
              </w:rPr>
            </w:pPr>
            <w:r w:rsidRPr="00247A74">
              <w:rPr>
                <w:rFonts w:ascii="Times New Roman" w:hAnsi="Times New Roman" w:cs="Times New Roman"/>
                <w:sz w:val="24"/>
                <w:szCs w:val="24"/>
              </w:rPr>
              <w:t xml:space="preserve">• Cyclical thrombocytopenia </w:t>
            </w:r>
          </w:p>
          <w:p w14:paraId="21DF3556" w14:textId="77777777" w:rsidR="00247A74" w:rsidRPr="00247A74" w:rsidRDefault="00247A74" w:rsidP="00370ACF">
            <w:pPr>
              <w:spacing w:line="276" w:lineRule="auto"/>
              <w:jc w:val="both"/>
              <w:rPr>
                <w:rFonts w:ascii="Times New Roman" w:hAnsi="Times New Roman" w:cs="Times New Roman"/>
                <w:sz w:val="24"/>
                <w:szCs w:val="24"/>
              </w:rPr>
            </w:pPr>
            <w:r w:rsidRPr="00247A74">
              <w:rPr>
                <w:rFonts w:ascii="Times New Roman" w:hAnsi="Times New Roman" w:cs="Times New Roman"/>
                <w:sz w:val="24"/>
                <w:szCs w:val="24"/>
              </w:rPr>
              <w:t xml:space="preserve">• Heparin-induced thrombocytopenia </w:t>
            </w:r>
          </w:p>
          <w:p w14:paraId="10E5BEED" w14:textId="59BC24DE" w:rsidR="001770C5" w:rsidRDefault="00247A74" w:rsidP="00370ACF">
            <w:pPr>
              <w:spacing w:line="276" w:lineRule="auto"/>
              <w:jc w:val="both"/>
              <w:rPr>
                <w:rFonts w:ascii="Times New Roman" w:eastAsia="Times New Roman" w:hAnsi="Times New Roman" w:cs="Times New Roman"/>
                <w:sz w:val="24"/>
                <w:szCs w:val="24"/>
                <w:lang w:val="en-IN" w:eastAsia="en-IN"/>
              </w:rPr>
            </w:pPr>
            <w:r w:rsidRPr="00247A74">
              <w:rPr>
                <w:rFonts w:ascii="Times New Roman" w:hAnsi="Times New Roman" w:cs="Times New Roman"/>
                <w:sz w:val="24"/>
                <w:szCs w:val="24"/>
              </w:rPr>
              <w:t>• Thrombotic microangiopathies</w:t>
            </w:r>
          </w:p>
        </w:tc>
        <w:tc>
          <w:tcPr>
            <w:tcW w:w="4788" w:type="dxa"/>
          </w:tcPr>
          <w:p w14:paraId="140176A2" w14:textId="77777777" w:rsidR="00247A74" w:rsidRPr="00247A74" w:rsidRDefault="00247A74" w:rsidP="00370ACF">
            <w:pPr>
              <w:pStyle w:val="ListParagraph"/>
              <w:numPr>
                <w:ilvl w:val="0"/>
                <w:numId w:val="15"/>
              </w:numPr>
              <w:spacing w:after="240" w:line="276" w:lineRule="auto"/>
              <w:jc w:val="both"/>
              <w:rPr>
                <w:rFonts w:ascii="Times New Roman" w:eastAsia="Times New Roman" w:hAnsi="Times New Roman" w:cs="Times New Roman"/>
                <w:sz w:val="24"/>
                <w:szCs w:val="24"/>
                <w:lang w:val="en-IN" w:eastAsia="en-IN"/>
              </w:rPr>
            </w:pPr>
            <w:r w:rsidRPr="00247A74">
              <w:rPr>
                <w:rFonts w:ascii="Times New Roman" w:eastAsia="Times New Roman" w:hAnsi="Times New Roman" w:cs="Times New Roman"/>
                <w:sz w:val="24"/>
                <w:szCs w:val="24"/>
                <w:lang w:val="en-IN" w:eastAsia="en-IN"/>
              </w:rPr>
              <w:t xml:space="preserve">Independent of therapy, there should be evidence of significant changes in platelet counts in cases of cyclical thrombocytopenia. If variations </w:t>
            </w:r>
            <w:r w:rsidRPr="00247A74">
              <w:rPr>
                <w:rFonts w:ascii="Times New Roman" w:eastAsia="Times New Roman" w:hAnsi="Times New Roman" w:cs="Times New Roman"/>
                <w:sz w:val="24"/>
                <w:szCs w:val="24"/>
                <w:lang w:val="en-IN" w:eastAsia="en-IN"/>
              </w:rPr>
              <w:lastRenderedPageBreak/>
              <w:t>disappear but the platelet count remains low, ITP should be suspected.</w:t>
            </w:r>
          </w:p>
          <w:p w14:paraId="58DA4870" w14:textId="77777777" w:rsidR="001770C5" w:rsidRDefault="001770C5" w:rsidP="00370ACF">
            <w:pPr>
              <w:spacing w:line="276" w:lineRule="auto"/>
              <w:jc w:val="both"/>
              <w:rPr>
                <w:rFonts w:ascii="Times New Roman" w:eastAsia="Times New Roman" w:hAnsi="Times New Roman" w:cs="Times New Roman"/>
                <w:sz w:val="24"/>
                <w:szCs w:val="24"/>
                <w:lang w:val="en-IN" w:eastAsia="en-IN"/>
              </w:rPr>
            </w:pPr>
          </w:p>
        </w:tc>
      </w:tr>
    </w:tbl>
    <w:p w14:paraId="23E75C5E" w14:textId="77777777" w:rsidR="001770C5" w:rsidRPr="0012553E" w:rsidRDefault="001770C5" w:rsidP="00370ACF">
      <w:pPr>
        <w:spacing w:line="276" w:lineRule="auto"/>
        <w:jc w:val="both"/>
        <w:rPr>
          <w:rFonts w:ascii="Times New Roman" w:eastAsia="Times New Roman" w:hAnsi="Times New Roman" w:cs="Times New Roman"/>
          <w:sz w:val="24"/>
          <w:szCs w:val="24"/>
          <w:lang w:val="en-IN" w:eastAsia="en-IN"/>
        </w:rPr>
      </w:pPr>
    </w:p>
    <w:p w14:paraId="01285DEE" w14:textId="56B4F2AF" w:rsidR="008722DA" w:rsidRPr="008722DA" w:rsidRDefault="008722DA" w:rsidP="00370ACF">
      <w:pPr>
        <w:spacing w:after="0" w:line="276" w:lineRule="auto"/>
        <w:jc w:val="both"/>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t xml:space="preserve">    </w:t>
      </w:r>
      <w:r w:rsidRPr="008722DA">
        <w:rPr>
          <w:rFonts w:ascii="Times New Roman" w:eastAsia="Times New Roman" w:hAnsi="Times New Roman" w:cs="Times New Roman"/>
          <w:sz w:val="24"/>
          <w:szCs w:val="24"/>
          <w:lang w:val="en-IN" w:eastAsia="en-IN"/>
        </w:rPr>
        <w:t xml:space="preserve">The method of making a clinical diagnosis of thrombocytopenic diseases is dependent on the provider and the region, is not standardized, and is subject to ascertainment bias. We created a diagnosis procedure that is more accurate for patients with thrombocytopenic diseases. </w:t>
      </w:r>
      <w:r>
        <w:rPr>
          <w:rFonts w:ascii="Times New Roman" w:eastAsia="Times New Roman" w:hAnsi="Times New Roman" w:cs="Times New Roman"/>
          <w:sz w:val="24"/>
          <w:szCs w:val="24"/>
          <w:lang w:val="en-IN" w:eastAsia="en-IN"/>
        </w:rPr>
        <w:t xml:space="preserve"> </w:t>
      </w:r>
      <w:r w:rsidRPr="008722DA">
        <w:rPr>
          <w:rFonts w:ascii="Times New Roman" w:eastAsia="Times New Roman" w:hAnsi="Times New Roman" w:cs="Times New Roman"/>
          <w:sz w:val="24"/>
          <w:szCs w:val="24"/>
          <w:lang w:val="en-IN" w:eastAsia="en-IN"/>
        </w:rPr>
        <w:t>Patients whose diagnosis changed from one visit to the next, those who experienced thrombocytopenia during pregnancy (due to overlap with other reasons), and those in which the origin of the</w:t>
      </w:r>
      <w:r>
        <w:rPr>
          <w:rFonts w:ascii="Times New Roman" w:eastAsia="Times New Roman" w:hAnsi="Times New Roman" w:cs="Times New Roman"/>
          <w:sz w:val="24"/>
          <w:szCs w:val="24"/>
          <w:lang w:val="en-IN" w:eastAsia="en-IN"/>
        </w:rPr>
        <w:t xml:space="preserve"> </w:t>
      </w:r>
      <w:r w:rsidRPr="008722DA">
        <w:rPr>
          <w:rFonts w:ascii="Times New Roman" w:eastAsia="Times New Roman" w:hAnsi="Times New Roman" w:cs="Times New Roman"/>
          <w:sz w:val="24"/>
          <w:szCs w:val="24"/>
          <w:lang w:val="en-IN" w:eastAsia="en-IN"/>
        </w:rPr>
        <w:t xml:space="preserve">thrombocytopenia remained unknown were all subject to the adjudication </w:t>
      </w:r>
      <w:proofErr w:type="gramStart"/>
      <w:r w:rsidRPr="008722DA">
        <w:rPr>
          <w:rFonts w:ascii="Times New Roman" w:eastAsia="Times New Roman" w:hAnsi="Times New Roman" w:cs="Times New Roman"/>
          <w:sz w:val="24"/>
          <w:szCs w:val="24"/>
          <w:lang w:val="en-IN" w:eastAsia="en-IN"/>
        </w:rPr>
        <w:t>criteria</w:t>
      </w:r>
      <w:r>
        <w:rPr>
          <w:rFonts w:ascii="Times New Roman" w:eastAsia="Times New Roman" w:hAnsi="Times New Roman" w:cs="Times New Roman"/>
          <w:sz w:val="24"/>
          <w:szCs w:val="24"/>
          <w:lang w:val="en-IN" w:eastAsia="en-IN"/>
        </w:rPr>
        <w:t xml:space="preserve"> </w:t>
      </w:r>
      <w:r w:rsidRPr="008722DA">
        <w:rPr>
          <w:rFonts w:ascii="Times New Roman" w:eastAsia="Times New Roman" w:hAnsi="Times New Roman" w:cs="Times New Roman"/>
          <w:sz w:val="24"/>
          <w:szCs w:val="24"/>
          <w:lang w:val="en-IN" w:eastAsia="en-IN"/>
        </w:rPr>
        <w:t>.Hierarchical</w:t>
      </w:r>
      <w:proofErr w:type="gramEnd"/>
      <w:r w:rsidRPr="008722DA">
        <w:rPr>
          <w:rFonts w:ascii="Times New Roman" w:eastAsia="Times New Roman" w:hAnsi="Times New Roman" w:cs="Times New Roman"/>
          <w:sz w:val="24"/>
          <w:szCs w:val="24"/>
          <w:lang w:val="en-IN" w:eastAsia="en-IN"/>
        </w:rPr>
        <w:t xml:space="preserve"> guidelines were used as adjudication criteria to determine when a patient should be classified as primary, secondary, or non-ITP, or when the diagnosis was deemed "unknown" due to uncertainty.</w:t>
      </w:r>
      <w:r>
        <w:rPr>
          <w:rFonts w:ascii="Times New Roman" w:eastAsia="Times New Roman" w:hAnsi="Times New Roman" w:cs="Times New Roman"/>
          <w:sz w:val="24"/>
          <w:szCs w:val="24"/>
          <w:lang w:val="en-IN" w:eastAsia="en-IN"/>
        </w:rPr>
        <w:t xml:space="preserve"> </w:t>
      </w:r>
      <w:r w:rsidRPr="008722DA">
        <w:rPr>
          <w:rFonts w:ascii="Times New Roman" w:eastAsia="Times New Roman" w:hAnsi="Times New Roman" w:cs="Times New Roman"/>
          <w:sz w:val="24"/>
          <w:szCs w:val="24"/>
          <w:lang w:val="en-IN" w:eastAsia="en-IN"/>
        </w:rPr>
        <w:t xml:space="preserve">According to our findings, 70.7% of patients who matched the criteria for adjudication had a change in diagnosis. </w:t>
      </w:r>
    </w:p>
    <w:p w14:paraId="448D42CC" w14:textId="159A2CCA" w:rsidR="008722DA" w:rsidRDefault="008722DA" w:rsidP="00370ACF">
      <w:pPr>
        <w:spacing w:after="0" w:line="276" w:lineRule="auto"/>
        <w:jc w:val="both"/>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t xml:space="preserve">     A</w:t>
      </w:r>
      <w:r w:rsidRPr="008722DA">
        <w:rPr>
          <w:rFonts w:ascii="Times New Roman" w:eastAsia="Times New Roman" w:hAnsi="Times New Roman" w:cs="Times New Roman"/>
          <w:sz w:val="24"/>
          <w:szCs w:val="24"/>
          <w:lang w:val="en-IN" w:eastAsia="en-IN"/>
        </w:rPr>
        <w:t xml:space="preserve">djudication standards (92/130), and that the five most frequent modifications were from unknown to primary ITP (n = 15); from primary ITP to secondary ITP (n = 10); and from unknown to non-ITP. </w:t>
      </w:r>
      <w:r>
        <w:rPr>
          <w:rFonts w:ascii="Times New Roman" w:eastAsia="Times New Roman" w:hAnsi="Times New Roman" w:cs="Times New Roman"/>
          <w:sz w:val="24"/>
          <w:szCs w:val="24"/>
          <w:lang w:val="en-IN" w:eastAsia="en-IN"/>
        </w:rPr>
        <w:t xml:space="preserve"> </w:t>
      </w:r>
      <w:r w:rsidRPr="008722DA">
        <w:rPr>
          <w:rFonts w:ascii="Times New Roman" w:eastAsia="Times New Roman" w:hAnsi="Times New Roman" w:cs="Times New Roman"/>
          <w:sz w:val="24"/>
          <w:szCs w:val="24"/>
          <w:lang w:val="en-IN" w:eastAsia="en-IN"/>
        </w:rPr>
        <w:t xml:space="preserve">(n¼10); distinct reason for non-ITP (n¼10); and key ITP for non-ITP (n¼9). </w:t>
      </w:r>
      <w:r>
        <w:rPr>
          <w:rFonts w:ascii="Times New Roman" w:eastAsia="Times New Roman" w:hAnsi="Times New Roman" w:cs="Times New Roman"/>
          <w:sz w:val="24"/>
          <w:szCs w:val="24"/>
          <w:lang w:val="en-IN" w:eastAsia="en-IN"/>
        </w:rPr>
        <w:t xml:space="preserve"> </w:t>
      </w:r>
      <w:r w:rsidRPr="008722DA">
        <w:rPr>
          <w:rFonts w:ascii="Times New Roman" w:eastAsia="Times New Roman" w:hAnsi="Times New Roman" w:cs="Times New Roman"/>
          <w:sz w:val="24"/>
          <w:szCs w:val="24"/>
          <w:lang w:val="en-IN" w:eastAsia="en-IN"/>
        </w:rPr>
        <w:t>The employment of an independent adjudicator, the range of thrombocytopenic illnesses included, and the application of a systematic approach to the identification of thrombocytopenic disorders were the study's strengths.</w:t>
      </w:r>
      <w:r>
        <w:rPr>
          <w:rFonts w:ascii="Times New Roman" w:eastAsia="Times New Roman" w:hAnsi="Times New Roman" w:cs="Times New Roman"/>
          <w:sz w:val="24"/>
          <w:szCs w:val="24"/>
          <w:lang w:val="en-IN" w:eastAsia="en-IN"/>
        </w:rPr>
        <w:t xml:space="preserve"> </w:t>
      </w:r>
      <w:r w:rsidRPr="008722DA">
        <w:rPr>
          <w:rFonts w:ascii="Times New Roman" w:eastAsia="Times New Roman" w:hAnsi="Times New Roman" w:cs="Times New Roman"/>
          <w:sz w:val="24"/>
          <w:szCs w:val="24"/>
          <w:lang w:val="en-IN" w:eastAsia="en-IN"/>
        </w:rPr>
        <w:t xml:space="preserve">The lengthy process's drawbacks were the requirement for further prospective validation studies and the possibility that it would be challenging to implement in abusive clinical settings. </w:t>
      </w:r>
    </w:p>
    <w:p w14:paraId="5493B66B" w14:textId="77777777" w:rsidR="004229FE" w:rsidRDefault="004229FE" w:rsidP="00370ACF">
      <w:pPr>
        <w:spacing w:after="0" w:line="276" w:lineRule="auto"/>
        <w:jc w:val="both"/>
        <w:rPr>
          <w:rFonts w:ascii="Times New Roman" w:eastAsia="Times New Roman" w:hAnsi="Times New Roman" w:cs="Times New Roman"/>
          <w:sz w:val="24"/>
          <w:szCs w:val="24"/>
          <w:lang w:val="en-IN" w:eastAsia="en-IN"/>
        </w:rPr>
      </w:pPr>
    </w:p>
    <w:p w14:paraId="4CF609E9" w14:textId="2F937E1C" w:rsidR="00C20BE5" w:rsidRDefault="00F161D7" w:rsidP="00370ACF">
      <w:pPr>
        <w:spacing w:after="0" w:line="276" w:lineRule="auto"/>
        <w:jc w:val="both"/>
        <w:rPr>
          <w:rFonts w:ascii="Times New Roman" w:eastAsia="Times New Roman" w:hAnsi="Times New Roman" w:cs="Times New Roman"/>
          <w:b/>
          <w:bCs/>
          <w:sz w:val="28"/>
          <w:szCs w:val="28"/>
          <w:lang w:val="en-IN" w:eastAsia="en-IN"/>
        </w:rPr>
      </w:pPr>
      <w:r w:rsidRPr="007E73A5">
        <w:rPr>
          <w:rFonts w:ascii="Times New Roman" w:eastAsia="Times New Roman" w:hAnsi="Times New Roman" w:cs="Times New Roman"/>
          <w:b/>
          <w:bCs/>
          <w:sz w:val="28"/>
          <w:szCs w:val="28"/>
          <w:lang w:val="en-IN" w:eastAsia="en-IN"/>
        </w:rPr>
        <w:t xml:space="preserve"> </w:t>
      </w:r>
      <w:proofErr w:type="gramStart"/>
      <w:r w:rsidR="007E73A5" w:rsidRPr="007E73A5">
        <w:rPr>
          <w:rFonts w:ascii="Times New Roman" w:eastAsia="Times New Roman" w:hAnsi="Times New Roman" w:cs="Times New Roman"/>
          <w:b/>
          <w:bCs/>
          <w:sz w:val="28"/>
          <w:szCs w:val="28"/>
          <w:lang w:val="en-IN" w:eastAsia="en-IN"/>
        </w:rPr>
        <w:t>Tre</w:t>
      </w:r>
      <w:r w:rsidR="007E73A5">
        <w:rPr>
          <w:rFonts w:ascii="Times New Roman" w:eastAsia="Times New Roman" w:hAnsi="Times New Roman" w:cs="Times New Roman"/>
          <w:b/>
          <w:bCs/>
          <w:sz w:val="28"/>
          <w:szCs w:val="28"/>
          <w:lang w:val="en-IN" w:eastAsia="en-IN"/>
        </w:rPr>
        <w:t>a</w:t>
      </w:r>
      <w:r w:rsidR="007E73A5" w:rsidRPr="007E73A5">
        <w:rPr>
          <w:rFonts w:ascii="Times New Roman" w:eastAsia="Times New Roman" w:hAnsi="Times New Roman" w:cs="Times New Roman"/>
          <w:b/>
          <w:bCs/>
          <w:sz w:val="28"/>
          <w:szCs w:val="28"/>
          <w:lang w:val="en-IN" w:eastAsia="en-IN"/>
        </w:rPr>
        <w:t>tment :</w:t>
      </w:r>
      <w:proofErr w:type="gramEnd"/>
    </w:p>
    <w:p w14:paraId="5957B194" w14:textId="0722E1EC" w:rsidR="000C425A" w:rsidRPr="007E73A5" w:rsidRDefault="000C425A" w:rsidP="00370ACF">
      <w:pPr>
        <w:spacing w:after="0" w:line="276" w:lineRule="auto"/>
        <w:jc w:val="both"/>
        <w:rPr>
          <w:rFonts w:ascii="Times New Roman" w:eastAsia="Times New Roman" w:hAnsi="Times New Roman" w:cs="Times New Roman"/>
          <w:b/>
          <w:bCs/>
          <w:sz w:val="28"/>
          <w:szCs w:val="28"/>
          <w:lang w:val="en-IN" w:eastAsia="en-IN"/>
        </w:rPr>
      </w:pPr>
      <w:r>
        <w:rPr>
          <w:rFonts w:ascii="Times New Roman" w:eastAsia="Times New Roman" w:hAnsi="Times New Roman" w:cs="Times New Roman"/>
          <w:b/>
          <w:bCs/>
          <w:sz w:val="28"/>
          <w:szCs w:val="28"/>
          <w:lang w:val="en-IN" w:eastAsia="en-IN"/>
        </w:rPr>
        <w:t xml:space="preserve"> First</w:t>
      </w:r>
      <w:r w:rsidRPr="000C425A">
        <w:rPr>
          <w:rFonts w:ascii="Times New Roman" w:eastAsia="Times New Roman" w:hAnsi="Times New Roman" w:cs="Times New Roman"/>
          <w:sz w:val="28"/>
          <w:szCs w:val="28"/>
          <w:lang w:val="en-IN" w:eastAsia="en-IN"/>
        </w:rPr>
        <w:t>-</w:t>
      </w:r>
      <w:r>
        <w:rPr>
          <w:rFonts w:ascii="Times New Roman" w:eastAsia="Times New Roman" w:hAnsi="Times New Roman" w:cs="Times New Roman"/>
          <w:b/>
          <w:bCs/>
          <w:sz w:val="28"/>
          <w:szCs w:val="28"/>
          <w:lang w:val="en-IN" w:eastAsia="en-IN"/>
        </w:rPr>
        <w:t xml:space="preserve"> line </w:t>
      </w:r>
      <w:proofErr w:type="gramStart"/>
      <w:r>
        <w:rPr>
          <w:rFonts w:ascii="Times New Roman" w:eastAsia="Times New Roman" w:hAnsi="Times New Roman" w:cs="Times New Roman"/>
          <w:b/>
          <w:bCs/>
          <w:sz w:val="28"/>
          <w:szCs w:val="28"/>
          <w:lang w:val="en-IN" w:eastAsia="en-IN"/>
        </w:rPr>
        <w:t>treatment :</w:t>
      </w:r>
      <w:proofErr w:type="gramEnd"/>
    </w:p>
    <w:p w14:paraId="4AD39EEC" w14:textId="43DEE2F2" w:rsidR="007E73A5" w:rsidRPr="007E73A5" w:rsidRDefault="007E73A5" w:rsidP="00370ACF">
      <w:pPr>
        <w:spacing w:line="276" w:lineRule="auto"/>
        <w:jc w:val="both"/>
        <w:rPr>
          <w:rFonts w:ascii="Times New Roman" w:eastAsia="Times New Roman" w:hAnsi="Times New Roman" w:cs="Times New Roman"/>
          <w:sz w:val="24"/>
          <w:szCs w:val="24"/>
          <w:lang w:val="en-IN" w:eastAsia="en-IN"/>
        </w:rPr>
      </w:pPr>
      <w:r>
        <w:t xml:space="preserve">      </w:t>
      </w:r>
      <w:r w:rsidR="000C425A">
        <w:t xml:space="preserve">  </w:t>
      </w:r>
      <w:r>
        <w:t xml:space="preserve"> </w:t>
      </w:r>
      <w:r w:rsidRPr="007E73A5">
        <w:rPr>
          <w:rFonts w:ascii="Times New Roman" w:eastAsia="Times New Roman" w:hAnsi="Times New Roman" w:cs="Times New Roman"/>
          <w:sz w:val="24"/>
          <w:szCs w:val="24"/>
          <w:lang w:val="en-IN" w:eastAsia="en-IN"/>
        </w:rPr>
        <w:t xml:space="preserve">Corticosteroids are the main treatment for ITP in adults. It has been demonstrated that dexamethasone and prednisone alter B-cell and dendritic cell activation, which reduces the immune system's ability to destroy </w:t>
      </w:r>
      <w:proofErr w:type="gramStart"/>
      <w:r w:rsidRPr="007E73A5">
        <w:rPr>
          <w:rFonts w:ascii="Times New Roman" w:eastAsia="Times New Roman" w:hAnsi="Times New Roman" w:cs="Times New Roman"/>
          <w:sz w:val="24"/>
          <w:szCs w:val="24"/>
          <w:lang w:val="en-IN" w:eastAsia="en-IN"/>
        </w:rPr>
        <w:t>platelets .</w:t>
      </w:r>
      <w:proofErr w:type="gramEnd"/>
      <w:r w:rsidRPr="007E73A5">
        <w:rPr>
          <w:rFonts w:ascii="Times New Roman" w:eastAsia="Times New Roman" w:hAnsi="Times New Roman" w:cs="Times New Roman"/>
          <w:sz w:val="24"/>
          <w:szCs w:val="24"/>
          <w:lang w:val="en-IN" w:eastAsia="en-IN"/>
        </w:rPr>
        <w:t xml:space="preserve"> Steroids can help up to 80% of patients, however many of them relapse after taking them. </w:t>
      </w:r>
      <w:r>
        <w:rPr>
          <w:rFonts w:ascii="Times New Roman" w:eastAsia="Times New Roman" w:hAnsi="Times New Roman" w:cs="Times New Roman"/>
          <w:sz w:val="24"/>
          <w:szCs w:val="24"/>
          <w:lang w:val="en-IN" w:eastAsia="en-IN"/>
        </w:rPr>
        <w:t xml:space="preserve"> </w:t>
      </w:r>
      <w:r w:rsidRPr="007E73A5">
        <w:rPr>
          <w:rFonts w:ascii="Times New Roman" w:eastAsia="Times New Roman" w:hAnsi="Times New Roman" w:cs="Times New Roman"/>
          <w:sz w:val="24"/>
          <w:szCs w:val="24"/>
          <w:lang w:val="en-IN" w:eastAsia="en-IN"/>
        </w:rPr>
        <w:t xml:space="preserve">are progressively smaller. The cornerstone of treatment for a long time was prednisone, usually administered at a dose of 1 mg/kg/d for a period of two to four weeks. However, new research indicates that high-dose dexamethasone </w:t>
      </w:r>
      <w:proofErr w:type="gramStart"/>
      <w:r w:rsidRPr="007E73A5">
        <w:rPr>
          <w:rFonts w:ascii="Times New Roman" w:eastAsia="Times New Roman" w:hAnsi="Times New Roman" w:cs="Times New Roman"/>
          <w:sz w:val="24"/>
          <w:szCs w:val="24"/>
          <w:lang w:val="en-IN" w:eastAsia="en-IN"/>
        </w:rPr>
        <w:t>is</w:t>
      </w:r>
      <w:r>
        <w:rPr>
          <w:rFonts w:ascii="Times New Roman" w:eastAsia="Times New Roman" w:hAnsi="Times New Roman" w:cs="Times New Roman"/>
          <w:sz w:val="24"/>
          <w:szCs w:val="24"/>
          <w:lang w:val="en-IN" w:eastAsia="en-IN"/>
        </w:rPr>
        <w:t xml:space="preserve">  </w:t>
      </w:r>
      <w:r w:rsidRPr="007E73A5">
        <w:rPr>
          <w:rFonts w:ascii="Times New Roman" w:eastAsia="Times New Roman" w:hAnsi="Times New Roman" w:cs="Times New Roman"/>
          <w:sz w:val="24"/>
          <w:szCs w:val="24"/>
          <w:lang w:val="en-IN" w:eastAsia="en-IN"/>
        </w:rPr>
        <w:t>much</w:t>
      </w:r>
      <w:proofErr w:type="gramEnd"/>
      <w:r w:rsidRPr="007E73A5">
        <w:rPr>
          <w:rFonts w:ascii="Times New Roman" w:eastAsia="Times New Roman" w:hAnsi="Times New Roman" w:cs="Times New Roman"/>
          <w:sz w:val="24"/>
          <w:szCs w:val="24"/>
          <w:lang w:val="en-IN" w:eastAsia="en-IN"/>
        </w:rPr>
        <w:t xml:space="preserve"> more efficacious. A Hong Kong trial including 125 patients whose baseline platelet counts were less than 20 x </w:t>
      </w:r>
      <m:oMath>
        <m:sSup>
          <m:sSupPr>
            <m:ctrlPr>
              <w:rPr>
                <w:rFonts w:ascii="Cambria Math" w:eastAsia="Times New Roman" w:hAnsi="Cambria Math" w:cs="Times New Roman"/>
                <w:i/>
                <w:sz w:val="24"/>
                <w:szCs w:val="24"/>
                <w:lang w:val="en-IN" w:eastAsia="en-IN"/>
              </w:rPr>
            </m:ctrlPr>
          </m:sSupPr>
          <m:e>
            <m:r>
              <w:rPr>
                <w:rFonts w:ascii="Cambria Math" w:eastAsia="Times New Roman" w:hAnsi="Cambria Math" w:cs="Times New Roman"/>
                <w:sz w:val="24"/>
                <w:szCs w:val="24"/>
                <w:lang w:val="en-IN" w:eastAsia="en-IN"/>
              </w:rPr>
              <m:t>10</m:t>
            </m:r>
          </m:e>
          <m:sup>
            <m:r>
              <w:rPr>
                <w:rFonts w:ascii="Cambria Math" w:eastAsia="Times New Roman" w:hAnsi="Cambria Math" w:cs="Times New Roman"/>
                <w:sz w:val="24"/>
                <w:szCs w:val="24"/>
                <w:lang w:val="en-IN" w:eastAsia="en-IN"/>
              </w:rPr>
              <m:t>9</m:t>
            </m:r>
          </m:sup>
        </m:sSup>
      </m:oMath>
      <w:r w:rsidRPr="007E73A5">
        <w:rPr>
          <w:rFonts w:ascii="Times New Roman" w:eastAsia="Times New Roman" w:hAnsi="Times New Roman" w:cs="Times New Roman"/>
          <w:sz w:val="24"/>
          <w:szCs w:val="24"/>
          <w:lang w:val="en-IN" w:eastAsia="en-IN"/>
        </w:rPr>
        <w:t xml:space="preserve">/L showed that in 50% of responders, a single, brief course of dexamethasone (40 mg daily for four days) resulted in a stable platelet count higher than 50 × </w:t>
      </w:r>
      <m:oMath>
        <m:sSup>
          <m:sSupPr>
            <m:ctrlPr>
              <w:rPr>
                <w:rFonts w:ascii="Cambria Math" w:eastAsia="Times New Roman" w:hAnsi="Cambria Math" w:cs="Times New Roman"/>
                <w:i/>
                <w:sz w:val="24"/>
                <w:szCs w:val="24"/>
                <w:lang w:val="en-IN" w:eastAsia="en-IN"/>
              </w:rPr>
            </m:ctrlPr>
          </m:sSupPr>
          <m:e>
            <m:r>
              <w:rPr>
                <w:rFonts w:ascii="Cambria Math" w:eastAsia="Times New Roman" w:hAnsi="Cambria Math" w:cs="Times New Roman"/>
                <w:sz w:val="24"/>
                <w:szCs w:val="24"/>
                <w:lang w:val="en-IN" w:eastAsia="en-IN"/>
              </w:rPr>
              <m:t>10</m:t>
            </m:r>
          </m:e>
          <m:sup>
            <m:r>
              <w:rPr>
                <w:rFonts w:ascii="Cambria Math" w:eastAsia="Times New Roman" w:hAnsi="Cambria Math" w:cs="Times New Roman"/>
                <w:sz w:val="24"/>
                <w:szCs w:val="24"/>
                <w:lang w:val="en-IN" w:eastAsia="en-IN"/>
              </w:rPr>
              <m:t>9</m:t>
            </m:r>
          </m:sup>
        </m:sSup>
      </m:oMath>
      <w:r w:rsidRPr="007E73A5">
        <w:rPr>
          <w:rFonts w:ascii="Times New Roman" w:eastAsia="Times New Roman" w:hAnsi="Times New Roman" w:cs="Times New Roman"/>
          <w:sz w:val="24"/>
          <w:szCs w:val="24"/>
          <w:lang w:val="en-IN" w:eastAsia="en-IN"/>
        </w:rPr>
        <w:t>/L.</w:t>
      </w:r>
    </w:p>
    <w:p w14:paraId="53E9DD46" w14:textId="0EBA1ECC" w:rsidR="00EB1DEA" w:rsidRPr="00EB1DEA" w:rsidRDefault="000C425A" w:rsidP="00370ACF">
      <w:pPr>
        <w:spacing w:after="0" w:line="276" w:lineRule="auto"/>
        <w:jc w:val="both"/>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t xml:space="preserve">       </w:t>
      </w:r>
      <w:r w:rsidR="00EB1DEA" w:rsidRPr="00EB1DEA">
        <w:rPr>
          <w:rFonts w:ascii="Times New Roman" w:eastAsia="Times New Roman" w:hAnsi="Times New Roman" w:cs="Times New Roman"/>
          <w:sz w:val="24"/>
          <w:szCs w:val="24"/>
          <w:lang w:val="en-IN" w:eastAsia="en-IN"/>
        </w:rPr>
        <w:t xml:space="preserve">For ITP patients who are pregnant and require treatment, corticosteroids are thought to be </w:t>
      </w:r>
      <w:proofErr w:type="gramStart"/>
      <w:r w:rsidR="00EB1DEA" w:rsidRPr="00EB1DEA">
        <w:rPr>
          <w:rFonts w:ascii="Times New Roman" w:eastAsia="Times New Roman" w:hAnsi="Times New Roman" w:cs="Times New Roman"/>
          <w:sz w:val="24"/>
          <w:szCs w:val="24"/>
          <w:lang w:val="en-IN" w:eastAsia="en-IN"/>
        </w:rPr>
        <w:t>safe .</w:t>
      </w:r>
      <w:proofErr w:type="gramEnd"/>
      <w:r w:rsidR="00EB1DEA" w:rsidRPr="00EB1DEA">
        <w:rPr>
          <w:rFonts w:ascii="Times New Roman" w:eastAsia="Times New Roman" w:hAnsi="Times New Roman" w:cs="Times New Roman"/>
          <w:sz w:val="24"/>
          <w:szCs w:val="24"/>
          <w:lang w:val="en-IN" w:eastAsia="en-IN"/>
        </w:rPr>
        <w:t xml:space="preserve"> It's evident that high-dose dexamethasone, or corticosteroids in general, work well as an initial treatment for ITP. The corticosteroid adverse effect profile, which includes diabetes, hypertension, and weight gain, can be </w:t>
      </w:r>
      <w:proofErr w:type="gramStart"/>
      <w:r w:rsidR="00EB1DEA" w:rsidRPr="00EB1DEA">
        <w:rPr>
          <w:rFonts w:ascii="Times New Roman" w:eastAsia="Times New Roman" w:hAnsi="Times New Roman" w:cs="Times New Roman"/>
          <w:sz w:val="24"/>
          <w:szCs w:val="24"/>
          <w:lang w:val="en-IN" w:eastAsia="en-IN"/>
        </w:rPr>
        <w:t xml:space="preserve">an </w:t>
      </w:r>
      <w:r w:rsidR="00EB1DEA">
        <w:rPr>
          <w:rFonts w:ascii="Times New Roman" w:eastAsia="Times New Roman" w:hAnsi="Times New Roman" w:cs="Times New Roman"/>
          <w:sz w:val="24"/>
          <w:szCs w:val="24"/>
          <w:lang w:val="en-IN" w:eastAsia="en-IN"/>
        </w:rPr>
        <w:t xml:space="preserve"> </w:t>
      </w:r>
      <w:r w:rsidR="00EB1DEA" w:rsidRPr="00EB1DEA">
        <w:rPr>
          <w:rFonts w:ascii="Times New Roman" w:eastAsia="Times New Roman" w:hAnsi="Times New Roman" w:cs="Times New Roman"/>
          <w:sz w:val="24"/>
          <w:szCs w:val="24"/>
          <w:lang w:val="en-IN" w:eastAsia="en-IN"/>
        </w:rPr>
        <w:t>issue</w:t>
      </w:r>
      <w:proofErr w:type="gramEnd"/>
      <w:r w:rsidR="00EB1DEA" w:rsidRPr="00EB1DEA">
        <w:rPr>
          <w:rFonts w:ascii="Times New Roman" w:eastAsia="Times New Roman" w:hAnsi="Times New Roman" w:cs="Times New Roman"/>
          <w:sz w:val="24"/>
          <w:szCs w:val="24"/>
          <w:lang w:val="en-IN" w:eastAsia="en-IN"/>
        </w:rPr>
        <w:t xml:space="preserve"> for certain patients, but corticosteroids are still a first-line medication that is suitable and typically safe to use . </w:t>
      </w:r>
      <w:r>
        <w:rPr>
          <w:rFonts w:ascii="Times New Roman" w:eastAsia="Times New Roman" w:hAnsi="Times New Roman" w:cs="Times New Roman"/>
          <w:sz w:val="24"/>
          <w:szCs w:val="24"/>
          <w:lang w:val="en-IN" w:eastAsia="en-IN"/>
        </w:rPr>
        <w:t xml:space="preserve"> </w:t>
      </w:r>
      <w:r w:rsidR="00EB1DEA" w:rsidRPr="00EB1DEA">
        <w:rPr>
          <w:rFonts w:ascii="Times New Roman" w:eastAsia="Times New Roman" w:hAnsi="Times New Roman" w:cs="Times New Roman"/>
          <w:sz w:val="24"/>
          <w:szCs w:val="24"/>
          <w:lang w:val="en-IN" w:eastAsia="en-IN"/>
        </w:rPr>
        <w:t xml:space="preserve">Intravenous immunoglobulin (IVIG) or </w:t>
      </w:r>
      <w:r w:rsidR="00EB1DEA" w:rsidRPr="00EB1DEA">
        <w:rPr>
          <w:rFonts w:ascii="Times New Roman" w:eastAsia="Times New Roman" w:hAnsi="Times New Roman" w:cs="Times New Roman"/>
          <w:sz w:val="24"/>
          <w:szCs w:val="24"/>
          <w:lang w:val="en-IN" w:eastAsia="en-IN"/>
        </w:rPr>
        <w:lastRenderedPageBreak/>
        <w:t>Rhₒ(D) immune globulin (anti-</w:t>
      </w:r>
      <w:proofErr w:type="spellStart"/>
      <w:r w:rsidR="00EB1DEA" w:rsidRPr="00EB1DEA">
        <w:rPr>
          <w:rFonts w:ascii="Times New Roman" w:eastAsia="Times New Roman" w:hAnsi="Times New Roman" w:cs="Times New Roman"/>
          <w:sz w:val="24"/>
          <w:szCs w:val="24"/>
          <w:lang w:val="en-IN" w:eastAsia="en-IN"/>
        </w:rPr>
        <w:t>RhD</w:t>
      </w:r>
      <w:proofErr w:type="spellEnd"/>
      <w:r w:rsidR="00EB1DEA" w:rsidRPr="00EB1DEA">
        <w:rPr>
          <w:rFonts w:ascii="Times New Roman" w:eastAsia="Times New Roman" w:hAnsi="Times New Roman" w:cs="Times New Roman"/>
          <w:sz w:val="24"/>
          <w:szCs w:val="24"/>
          <w:lang w:val="en-IN" w:eastAsia="en-IN"/>
        </w:rPr>
        <w:t xml:space="preserve">) can be added to treat steroid-resistant patients in order to improve the outcome. Furthermore, in cases when corticosteroids are prohibited, patients may benefit from these two </w:t>
      </w:r>
      <w:proofErr w:type="gramStart"/>
      <w:r w:rsidR="00EB1DEA" w:rsidRPr="00EB1DEA">
        <w:rPr>
          <w:rFonts w:ascii="Times New Roman" w:eastAsia="Times New Roman" w:hAnsi="Times New Roman" w:cs="Times New Roman"/>
          <w:sz w:val="24"/>
          <w:szCs w:val="24"/>
          <w:lang w:val="en-IN" w:eastAsia="en-IN"/>
        </w:rPr>
        <w:t>treatments .</w:t>
      </w:r>
      <w:proofErr w:type="gramEnd"/>
      <w:r w:rsidR="00EB1DEA" w:rsidRPr="00EB1DEA">
        <w:rPr>
          <w:rFonts w:ascii="Times New Roman" w:eastAsia="Times New Roman" w:hAnsi="Times New Roman" w:cs="Times New Roman"/>
          <w:sz w:val="24"/>
          <w:szCs w:val="24"/>
          <w:lang w:val="en-IN" w:eastAsia="en-IN"/>
        </w:rPr>
        <w:t xml:space="preserve"> Additionally, IVIG is recommended when platelet counts must </w:t>
      </w:r>
      <w:proofErr w:type="gramStart"/>
      <w:r w:rsidR="00EB1DEA" w:rsidRPr="00EB1DEA">
        <w:rPr>
          <w:rFonts w:ascii="Times New Roman" w:eastAsia="Times New Roman" w:hAnsi="Times New Roman" w:cs="Times New Roman"/>
          <w:sz w:val="24"/>
          <w:szCs w:val="24"/>
          <w:lang w:val="en-IN" w:eastAsia="en-IN"/>
        </w:rPr>
        <w:t xml:space="preserve">be </w:t>
      </w:r>
      <w:r>
        <w:rPr>
          <w:rFonts w:ascii="Times New Roman" w:eastAsia="Times New Roman" w:hAnsi="Times New Roman" w:cs="Times New Roman"/>
          <w:sz w:val="24"/>
          <w:szCs w:val="24"/>
          <w:lang w:val="en-IN" w:eastAsia="en-IN"/>
        </w:rPr>
        <w:t xml:space="preserve"> </w:t>
      </w:r>
      <w:r w:rsidR="00EB1DEA" w:rsidRPr="00EB1DEA">
        <w:rPr>
          <w:rFonts w:ascii="Times New Roman" w:eastAsia="Times New Roman" w:hAnsi="Times New Roman" w:cs="Times New Roman"/>
          <w:sz w:val="24"/>
          <w:szCs w:val="24"/>
          <w:lang w:val="en-IN" w:eastAsia="en-IN"/>
        </w:rPr>
        <w:t>elevated</w:t>
      </w:r>
      <w:proofErr w:type="gramEnd"/>
      <w:r w:rsidR="00EB1DEA" w:rsidRPr="00EB1DEA">
        <w:rPr>
          <w:rFonts w:ascii="Times New Roman" w:eastAsia="Times New Roman" w:hAnsi="Times New Roman" w:cs="Times New Roman"/>
          <w:sz w:val="24"/>
          <w:szCs w:val="24"/>
          <w:lang w:val="en-IN" w:eastAsia="en-IN"/>
        </w:rPr>
        <w:t xml:space="preserve"> quickly, as in situations involving severe and ongoing bleeding, and in certain patients, it may be used in combination with corticosteroids. The usual dosage is an infusion of 1 g/kg/day for a duration of one to two days; however, the doctor's preference may influence the </w:t>
      </w:r>
      <w:proofErr w:type="gramStart"/>
      <w:r w:rsidR="00EB1DEA" w:rsidRPr="00EB1DEA">
        <w:rPr>
          <w:rFonts w:ascii="Times New Roman" w:eastAsia="Times New Roman" w:hAnsi="Times New Roman" w:cs="Times New Roman"/>
          <w:sz w:val="24"/>
          <w:szCs w:val="24"/>
          <w:lang w:val="en-IN" w:eastAsia="en-IN"/>
        </w:rPr>
        <w:t>regimen .</w:t>
      </w:r>
      <w:proofErr w:type="gramEnd"/>
      <w:r w:rsidR="00EB1DEA" w:rsidRPr="00EB1DEA">
        <w:rPr>
          <w:rFonts w:ascii="Times New Roman" w:eastAsia="Times New Roman" w:hAnsi="Times New Roman" w:cs="Times New Roman"/>
          <w:sz w:val="24"/>
          <w:szCs w:val="24"/>
          <w:lang w:val="en-IN" w:eastAsia="en-IN"/>
        </w:rPr>
        <w:t xml:space="preserve"> In a trial of 19 individuals with chronic ITP, IVIG had a 75% response rate, stopping active bleeding within 12 hours of the onset of bleeding and increasing platelet counts.</w:t>
      </w:r>
    </w:p>
    <w:p w14:paraId="68CD503A" w14:textId="0FAECB97" w:rsidR="000C425A" w:rsidRPr="000C425A" w:rsidRDefault="000C425A" w:rsidP="00370ACF">
      <w:pPr>
        <w:spacing w:after="0" w:line="276" w:lineRule="auto"/>
        <w:jc w:val="both"/>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t xml:space="preserve">       </w:t>
      </w:r>
      <w:r w:rsidRPr="000C425A">
        <w:rPr>
          <w:rFonts w:ascii="Times New Roman" w:eastAsia="Times New Roman" w:hAnsi="Times New Roman" w:cs="Times New Roman"/>
          <w:sz w:val="24"/>
          <w:szCs w:val="24"/>
          <w:lang w:val="en-IN" w:eastAsia="en-IN"/>
        </w:rPr>
        <w:t>Intravenous immunoglobulin (IVIG) or Rhₒ(D) immune globulin (anti-</w:t>
      </w:r>
      <w:proofErr w:type="spellStart"/>
      <w:r w:rsidRPr="000C425A">
        <w:rPr>
          <w:rFonts w:ascii="Times New Roman" w:eastAsia="Times New Roman" w:hAnsi="Times New Roman" w:cs="Times New Roman"/>
          <w:sz w:val="24"/>
          <w:szCs w:val="24"/>
          <w:lang w:val="en-IN" w:eastAsia="en-IN"/>
        </w:rPr>
        <w:t>RhD</w:t>
      </w:r>
      <w:proofErr w:type="spellEnd"/>
      <w:r w:rsidRPr="000C425A">
        <w:rPr>
          <w:rFonts w:ascii="Times New Roman" w:eastAsia="Times New Roman" w:hAnsi="Times New Roman" w:cs="Times New Roman"/>
          <w:sz w:val="24"/>
          <w:szCs w:val="24"/>
          <w:lang w:val="en-IN" w:eastAsia="en-IN"/>
        </w:rPr>
        <w:t xml:space="preserve">) can be added to treat steroid-resistant patients in order to improve the outcome. Patients who cannot receive corticosteroids can also receive these two </w:t>
      </w:r>
      <w:proofErr w:type="gramStart"/>
      <w:r w:rsidRPr="000C425A">
        <w:rPr>
          <w:rFonts w:ascii="Times New Roman" w:eastAsia="Times New Roman" w:hAnsi="Times New Roman" w:cs="Times New Roman"/>
          <w:sz w:val="24"/>
          <w:szCs w:val="24"/>
          <w:lang w:val="en-IN" w:eastAsia="en-IN"/>
        </w:rPr>
        <w:t>therapies .</w:t>
      </w:r>
      <w:proofErr w:type="gramEnd"/>
      <w:r w:rsidRPr="000C425A">
        <w:rPr>
          <w:rFonts w:ascii="Times New Roman" w:eastAsia="Times New Roman" w:hAnsi="Times New Roman" w:cs="Times New Roman"/>
          <w:sz w:val="24"/>
          <w:szCs w:val="24"/>
          <w:lang w:val="en-IN" w:eastAsia="en-IN"/>
        </w:rPr>
        <w:t xml:space="preserve"> When platelet levels must be checked, IVIG is also indicated. </w:t>
      </w:r>
      <w:r>
        <w:rPr>
          <w:rFonts w:ascii="Times New Roman" w:eastAsia="Times New Roman" w:hAnsi="Times New Roman" w:cs="Times New Roman"/>
          <w:sz w:val="24"/>
          <w:szCs w:val="24"/>
          <w:lang w:val="en-IN" w:eastAsia="en-IN"/>
        </w:rPr>
        <w:t xml:space="preserve"> </w:t>
      </w:r>
      <w:r w:rsidRPr="000C425A">
        <w:rPr>
          <w:rFonts w:ascii="Times New Roman" w:eastAsia="Times New Roman" w:hAnsi="Times New Roman" w:cs="Times New Roman"/>
          <w:sz w:val="24"/>
          <w:szCs w:val="24"/>
          <w:lang w:val="en-IN" w:eastAsia="en-IN"/>
        </w:rPr>
        <w:t>elevated quickly, for example in situations involving severe and ongoing bleeding, and in some patients, it may be used in combination with corticosteroids. According to the physician's desire, regimens can differ from the standard one- to two-day infusion of 1 g/kg/</w:t>
      </w:r>
      <w:proofErr w:type="gramStart"/>
      <w:r w:rsidRPr="000C425A">
        <w:rPr>
          <w:rFonts w:ascii="Times New Roman" w:eastAsia="Times New Roman" w:hAnsi="Times New Roman" w:cs="Times New Roman"/>
          <w:sz w:val="24"/>
          <w:szCs w:val="24"/>
          <w:lang w:val="en-IN" w:eastAsia="en-IN"/>
        </w:rPr>
        <w:t>day .</w:t>
      </w:r>
      <w:proofErr w:type="gramEnd"/>
      <w:r w:rsidRPr="000C425A">
        <w:rPr>
          <w:rFonts w:ascii="Times New Roman" w:eastAsia="Times New Roman" w:hAnsi="Times New Roman" w:cs="Times New Roman"/>
          <w:sz w:val="24"/>
          <w:szCs w:val="24"/>
          <w:lang w:val="en-IN" w:eastAsia="en-IN"/>
        </w:rPr>
        <w:t xml:space="preserve"> Research conducted on 19 individuals suffering from chronic ITP revealed that 75% of them responded to IVIG, resulting in a stoppage of bleeding within 12 hours of the onset of bleeding and an elevation of platelets.</w:t>
      </w:r>
    </w:p>
    <w:p w14:paraId="0E4FD0B3" w14:textId="77777777" w:rsidR="00EB1DEA" w:rsidRPr="00EB1DEA" w:rsidRDefault="00EB1DEA" w:rsidP="00370ACF">
      <w:pPr>
        <w:spacing w:after="0" w:line="276" w:lineRule="auto"/>
        <w:jc w:val="both"/>
        <w:rPr>
          <w:rFonts w:ascii="Times New Roman" w:eastAsia="Times New Roman" w:hAnsi="Times New Roman" w:cs="Times New Roman"/>
          <w:sz w:val="24"/>
          <w:szCs w:val="24"/>
          <w:lang w:val="en-IN" w:eastAsia="en-IN"/>
        </w:rPr>
      </w:pPr>
    </w:p>
    <w:p w14:paraId="4CF22C1B" w14:textId="77777777" w:rsidR="00370ACF" w:rsidRDefault="00370ACF" w:rsidP="00370ACF">
      <w:pPr>
        <w:spacing w:line="276" w:lineRule="auto"/>
        <w:jc w:val="both"/>
        <w:rPr>
          <w:rFonts w:ascii="Times New Roman" w:hAnsi="Times New Roman" w:cs="Times New Roman"/>
          <w:b/>
          <w:bCs/>
          <w:sz w:val="28"/>
          <w:szCs w:val="28"/>
        </w:rPr>
      </w:pPr>
    </w:p>
    <w:p w14:paraId="388C514E" w14:textId="55698A79" w:rsidR="00BC76CA" w:rsidRDefault="00E774BF" w:rsidP="00370ACF">
      <w:pPr>
        <w:spacing w:line="276" w:lineRule="auto"/>
        <w:jc w:val="both"/>
        <w:rPr>
          <w:rFonts w:ascii="Times New Roman" w:hAnsi="Times New Roman" w:cs="Times New Roman"/>
          <w:b/>
          <w:bCs/>
          <w:sz w:val="28"/>
          <w:szCs w:val="28"/>
        </w:rPr>
      </w:pPr>
      <w:r w:rsidRPr="00E774BF">
        <w:rPr>
          <w:rFonts w:ascii="Times New Roman" w:hAnsi="Times New Roman" w:cs="Times New Roman"/>
          <w:b/>
          <w:bCs/>
          <w:sz w:val="28"/>
          <w:szCs w:val="28"/>
        </w:rPr>
        <w:t>Second line treatment:</w:t>
      </w:r>
    </w:p>
    <w:p w14:paraId="014ED20D" w14:textId="40A7F88E" w:rsidR="00792332" w:rsidRDefault="00792332" w:rsidP="00370ACF">
      <w:pPr>
        <w:spacing w:after="0" w:line="276" w:lineRule="auto"/>
        <w:jc w:val="both"/>
        <w:rPr>
          <w:rFonts w:ascii="Times New Roman" w:eastAsia="Times New Roman" w:hAnsi="Times New Roman" w:cs="Times New Roman"/>
          <w:sz w:val="24"/>
          <w:szCs w:val="24"/>
          <w:lang w:val="en-IN" w:eastAsia="en-IN"/>
        </w:rPr>
      </w:pPr>
      <w:r w:rsidRPr="00792332">
        <w:rPr>
          <w:rFonts w:ascii="Times New Roman" w:eastAsia="Times New Roman" w:hAnsi="Times New Roman" w:cs="Times New Roman"/>
          <w:sz w:val="24"/>
          <w:szCs w:val="24"/>
          <w:lang w:val="en-IN" w:eastAsia="en-IN"/>
        </w:rPr>
        <w:t xml:space="preserve">Thus, the choices for second-line treatment of adults with ITP are the main topic of discussion here. Since many individuals will not be able to take corticosteroids to produce a long-lasting </w:t>
      </w:r>
      <w:proofErr w:type="gramStart"/>
      <w:r w:rsidRPr="00792332">
        <w:rPr>
          <w:rFonts w:ascii="Times New Roman" w:eastAsia="Times New Roman" w:hAnsi="Times New Roman" w:cs="Times New Roman"/>
          <w:sz w:val="24"/>
          <w:szCs w:val="24"/>
          <w:lang w:val="en-IN" w:eastAsia="en-IN"/>
        </w:rPr>
        <w:t xml:space="preserve">remission </w:t>
      </w:r>
      <w:r>
        <w:rPr>
          <w:rFonts w:ascii="Times New Roman" w:eastAsia="Times New Roman" w:hAnsi="Times New Roman" w:cs="Times New Roman"/>
          <w:sz w:val="24"/>
          <w:szCs w:val="24"/>
          <w:lang w:val="en-IN" w:eastAsia="en-IN"/>
        </w:rPr>
        <w:t xml:space="preserve"> </w:t>
      </w:r>
      <w:r w:rsidRPr="00792332">
        <w:rPr>
          <w:rFonts w:ascii="Times New Roman" w:eastAsia="Times New Roman" w:hAnsi="Times New Roman" w:cs="Times New Roman"/>
          <w:sz w:val="24"/>
          <w:szCs w:val="24"/>
          <w:lang w:val="en-IN" w:eastAsia="en-IN"/>
        </w:rPr>
        <w:t>and</w:t>
      </w:r>
      <w:proofErr w:type="gramEnd"/>
      <w:r w:rsidRPr="00792332">
        <w:rPr>
          <w:rFonts w:ascii="Times New Roman" w:eastAsia="Times New Roman" w:hAnsi="Times New Roman" w:cs="Times New Roman"/>
          <w:sz w:val="24"/>
          <w:szCs w:val="24"/>
          <w:lang w:val="en-IN" w:eastAsia="en-IN"/>
        </w:rPr>
        <w:t xml:space="preserve"> may experience severe and symptomatic thrombocytopenia; most patients will need second-line therapy since the long-term adverse effects of corticosteroids are intolerable [20, 21]. There are significant differences between the three main possibilities. Table II outlines the benefits and dangers associated with each of the three options: rituximab, splenectomy, and TPO-receptor agonists. First, there is a difference between therapies that alter the course of the disease (splenectomy, rituximab) in the hopes of achieving a long-lasting, total remission, and therapies that only offer symptomatic relief by keeping platelet counts elevated as long as the therapy is continued.</w:t>
      </w:r>
    </w:p>
    <w:p w14:paraId="47B575F3" w14:textId="77777777" w:rsidR="00792332" w:rsidRDefault="00792332" w:rsidP="00370ACF">
      <w:pPr>
        <w:spacing w:after="0" w:line="276" w:lineRule="auto"/>
        <w:jc w:val="both"/>
        <w:rPr>
          <w:rFonts w:ascii="Times New Roman" w:eastAsia="Times New Roman" w:hAnsi="Times New Roman" w:cs="Times New Roman"/>
          <w:sz w:val="24"/>
          <w:szCs w:val="24"/>
          <w:lang w:val="en-IN" w:eastAsia="en-IN"/>
        </w:rPr>
      </w:pPr>
    </w:p>
    <w:p w14:paraId="5AC68EA2" w14:textId="69A761A2" w:rsidR="00792332" w:rsidRPr="00792332" w:rsidRDefault="00792332" w:rsidP="00370ACF">
      <w:pPr>
        <w:spacing w:after="0" w:line="276" w:lineRule="auto"/>
        <w:jc w:val="both"/>
        <w:rPr>
          <w:rFonts w:ascii="Times New Roman" w:eastAsia="Times New Roman" w:hAnsi="Times New Roman" w:cs="Times New Roman"/>
          <w:b/>
          <w:bCs/>
          <w:sz w:val="24"/>
          <w:szCs w:val="24"/>
          <w:lang w:val="en-IN" w:eastAsia="en-IN"/>
        </w:rPr>
      </w:pPr>
      <w:r w:rsidRPr="00792332">
        <w:rPr>
          <w:rFonts w:ascii="Times New Roman" w:hAnsi="Times New Roman" w:cs="Times New Roman"/>
          <w:b/>
          <w:bCs/>
          <w:sz w:val="24"/>
          <w:szCs w:val="24"/>
        </w:rPr>
        <w:t>Splenectomy.</w:t>
      </w:r>
    </w:p>
    <w:p w14:paraId="6C9C6FBB" w14:textId="53D1C7D9" w:rsidR="00792332" w:rsidRDefault="00792332" w:rsidP="00370ACF">
      <w:pPr>
        <w:spacing w:line="276" w:lineRule="auto"/>
        <w:jc w:val="both"/>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t xml:space="preserve">     </w:t>
      </w:r>
      <w:r w:rsidRPr="00792332">
        <w:rPr>
          <w:rFonts w:ascii="Times New Roman" w:eastAsia="Times New Roman" w:hAnsi="Times New Roman" w:cs="Times New Roman"/>
          <w:sz w:val="24"/>
          <w:szCs w:val="24"/>
          <w:lang w:val="en-IN" w:eastAsia="en-IN"/>
        </w:rPr>
        <w:t xml:space="preserve">Therefore, the primary focus of this discussion is on options for adults with ITP's second-line treatment. Given that many people won't be able to use corticosteroids to achieve a permanent remission and may develop severe and symptomatic thrombocytopenia; the majority of patients will require second-line therapy since corticosteroids have unbearable long-term side effects [20, 21]. The three primary options differ greatly from one another. The advantages and risks of the three options—rituximab, splenectomy, and TPO-receptor agonists—are listed in Table II. First, there is a distinction between treatments that aim to achieve a complete and long-lasting remission </w:t>
      </w:r>
      <w:r w:rsidRPr="00792332">
        <w:rPr>
          <w:rFonts w:ascii="Times New Roman" w:eastAsia="Times New Roman" w:hAnsi="Times New Roman" w:cs="Times New Roman"/>
          <w:sz w:val="24"/>
          <w:szCs w:val="24"/>
          <w:lang w:val="en-IN" w:eastAsia="en-IN"/>
        </w:rPr>
        <w:lastRenderedPageBreak/>
        <w:t xml:space="preserve">by changing the course of the disease (rituximab, splenectomy) and those that merely provide symptomatic relief by maintaining elevated platelet counts as long as concluded that the data did not offer enough proof to back up the choice of whether to perform or postpone a splenectomy [24]. Surgical problems are becoming less frequent with </w:t>
      </w:r>
      <w:proofErr w:type="gramStart"/>
      <w:r w:rsidRPr="00792332">
        <w:rPr>
          <w:rFonts w:ascii="Times New Roman" w:eastAsia="Times New Roman" w:hAnsi="Times New Roman" w:cs="Times New Roman"/>
          <w:sz w:val="24"/>
          <w:szCs w:val="24"/>
          <w:lang w:val="en-IN" w:eastAsia="en-IN"/>
        </w:rPr>
        <w:t xml:space="preserve">the </w:t>
      </w:r>
      <w:r>
        <w:rPr>
          <w:rFonts w:ascii="Times New Roman" w:eastAsia="Times New Roman" w:hAnsi="Times New Roman" w:cs="Times New Roman"/>
          <w:sz w:val="24"/>
          <w:szCs w:val="24"/>
          <w:lang w:val="en-IN" w:eastAsia="en-IN"/>
        </w:rPr>
        <w:t xml:space="preserve"> </w:t>
      </w:r>
      <w:r w:rsidRPr="00792332">
        <w:rPr>
          <w:rFonts w:ascii="Times New Roman" w:eastAsia="Times New Roman" w:hAnsi="Times New Roman" w:cs="Times New Roman"/>
          <w:sz w:val="24"/>
          <w:szCs w:val="24"/>
          <w:lang w:val="en-IN" w:eastAsia="en-IN"/>
        </w:rPr>
        <w:t>practice</w:t>
      </w:r>
      <w:proofErr w:type="gramEnd"/>
      <w:r w:rsidRPr="00792332">
        <w:rPr>
          <w:rFonts w:ascii="Times New Roman" w:eastAsia="Times New Roman" w:hAnsi="Times New Roman" w:cs="Times New Roman"/>
          <w:sz w:val="24"/>
          <w:szCs w:val="24"/>
          <w:lang w:val="en-IN" w:eastAsia="en-IN"/>
        </w:rPr>
        <w:t xml:space="preserve"> laparoscopic surgery, but they're still important. </w:t>
      </w:r>
      <w:r>
        <w:rPr>
          <w:rFonts w:ascii="Times New Roman" w:eastAsia="Times New Roman" w:hAnsi="Times New Roman" w:cs="Times New Roman"/>
          <w:sz w:val="24"/>
          <w:szCs w:val="24"/>
          <w:lang w:val="en-IN" w:eastAsia="en-IN"/>
        </w:rPr>
        <w:t xml:space="preserve"> </w:t>
      </w:r>
      <w:r w:rsidRPr="00792332">
        <w:rPr>
          <w:rFonts w:ascii="Times New Roman" w:eastAsia="Times New Roman" w:hAnsi="Times New Roman" w:cs="Times New Roman"/>
          <w:sz w:val="24"/>
          <w:szCs w:val="24"/>
          <w:lang w:val="en-IN" w:eastAsia="en-IN"/>
        </w:rPr>
        <w:t xml:space="preserve">In 29 cases of laparoscopic splenectomy for ITP, the surgery-related mortality was 0.2% (3 of 1301 patients); complications necessitating further care happened in 9.6% of patients [3]. </w:t>
      </w:r>
    </w:p>
    <w:p w14:paraId="1F9A8A89" w14:textId="1EE8372B" w:rsidR="00697FC4" w:rsidRPr="00697FC4" w:rsidRDefault="00697FC4" w:rsidP="00370ACF">
      <w:pPr>
        <w:spacing w:line="276" w:lineRule="auto"/>
        <w:jc w:val="both"/>
        <w:rPr>
          <w:rFonts w:ascii="Times New Roman" w:eastAsia="Times New Roman" w:hAnsi="Times New Roman" w:cs="Times New Roman"/>
          <w:b/>
          <w:bCs/>
          <w:sz w:val="24"/>
          <w:szCs w:val="24"/>
          <w:lang w:val="en-IN" w:eastAsia="en-IN"/>
        </w:rPr>
      </w:pPr>
      <w:r w:rsidRPr="00697FC4">
        <w:rPr>
          <w:rFonts w:ascii="Times New Roman" w:hAnsi="Times New Roman" w:cs="Times New Roman"/>
          <w:b/>
          <w:bCs/>
          <w:sz w:val="24"/>
          <w:szCs w:val="24"/>
        </w:rPr>
        <w:t>Rituximab</w:t>
      </w:r>
    </w:p>
    <w:p w14:paraId="3E851F4B" w14:textId="10C1E976" w:rsidR="00697FC4" w:rsidRDefault="00697FC4" w:rsidP="00370ACF">
      <w:pPr>
        <w:spacing w:after="0" w:line="276" w:lineRule="auto"/>
        <w:jc w:val="both"/>
        <w:rPr>
          <w:rFonts w:ascii="Times New Roman" w:eastAsia="Times New Roman" w:hAnsi="Times New Roman" w:cs="Times New Roman"/>
          <w:sz w:val="24"/>
          <w:szCs w:val="24"/>
          <w:lang w:val="en-IN" w:eastAsia="en-IN"/>
        </w:rPr>
      </w:pPr>
      <w:r w:rsidRPr="00697FC4">
        <w:rPr>
          <w:rFonts w:ascii="Times New Roman" w:eastAsia="Times New Roman" w:hAnsi="Times New Roman" w:cs="Times New Roman"/>
          <w:sz w:val="24"/>
          <w:szCs w:val="24"/>
          <w:lang w:val="en-IN" w:eastAsia="en-IN"/>
        </w:rPr>
        <w:t>There are fewer statistics available for rituximab side effects and the likelihood of lasting remissions than there are for splenectomy. A comprehensive analysis found that 63% (95% CI, 53–73%) of patients had an overall response (platelet count greater than 50,000/</w:t>
      </w:r>
      <w:proofErr w:type="spellStart"/>
      <w:r w:rsidRPr="00697FC4">
        <w:rPr>
          <w:rFonts w:ascii="Times New Roman" w:eastAsia="Times New Roman" w:hAnsi="Times New Roman" w:cs="Times New Roman"/>
          <w:sz w:val="24"/>
          <w:szCs w:val="24"/>
          <w:lang w:val="en-IN" w:eastAsia="en-IN"/>
        </w:rPr>
        <w:t>lL</w:t>
      </w:r>
      <w:proofErr w:type="spellEnd"/>
      <w:r w:rsidRPr="00697FC4">
        <w:rPr>
          <w:rFonts w:ascii="Times New Roman" w:eastAsia="Times New Roman" w:hAnsi="Times New Roman" w:cs="Times New Roman"/>
          <w:sz w:val="24"/>
          <w:szCs w:val="24"/>
          <w:lang w:val="en-IN" w:eastAsia="en-IN"/>
        </w:rPr>
        <w:t>) and 44% (95% CI, 30–58%) of patients had a full platelet count response (platelet count more than 150,000/</w:t>
      </w:r>
      <w:proofErr w:type="spellStart"/>
      <w:r w:rsidRPr="00697FC4">
        <w:rPr>
          <w:rFonts w:ascii="Times New Roman" w:eastAsia="Times New Roman" w:hAnsi="Times New Roman" w:cs="Times New Roman"/>
          <w:sz w:val="24"/>
          <w:szCs w:val="24"/>
          <w:lang w:val="en-IN" w:eastAsia="en-IN"/>
        </w:rPr>
        <w:t>lL</w:t>
      </w:r>
      <w:proofErr w:type="spellEnd"/>
      <w:r w:rsidRPr="00697FC4">
        <w:rPr>
          <w:rFonts w:ascii="Times New Roman" w:eastAsia="Times New Roman" w:hAnsi="Times New Roman" w:cs="Times New Roman"/>
          <w:sz w:val="24"/>
          <w:szCs w:val="24"/>
          <w:lang w:val="en-IN" w:eastAsia="en-IN"/>
        </w:rPr>
        <w:t xml:space="preserve">) [8]. Just 10.5 months were the median response time [8]. Response rates of 31% [7] and 33% [9] have been recorded in other trials. The information about the dangers associated with rituximab treatment for ITP patients is inconclusive. According to the systematic evaluation, 9 (2.9%) of the 306 individuals had died and 10 (3.7%) experienced serious or potentially fatal toxicities. </w:t>
      </w:r>
    </w:p>
    <w:p w14:paraId="77327F81" w14:textId="77777777" w:rsidR="00B763D5" w:rsidRPr="00B763D5" w:rsidRDefault="00B763D5" w:rsidP="00370ACF">
      <w:pPr>
        <w:spacing w:after="0" w:line="276" w:lineRule="auto"/>
        <w:jc w:val="both"/>
        <w:rPr>
          <w:rFonts w:ascii="Times New Roman" w:eastAsia="Times New Roman" w:hAnsi="Times New Roman" w:cs="Times New Roman"/>
          <w:sz w:val="28"/>
          <w:szCs w:val="28"/>
          <w:lang w:val="en-IN" w:eastAsia="en-IN"/>
        </w:rPr>
      </w:pPr>
    </w:p>
    <w:p w14:paraId="10144E51" w14:textId="506848C9" w:rsidR="00C73FAE" w:rsidRDefault="00B763D5" w:rsidP="00370ACF">
      <w:pPr>
        <w:spacing w:after="240" w:line="276" w:lineRule="auto"/>
        <w:jc w:val="both"/>
        <w:rPr>
          <w:rFonts w:ascii="Times New Roman" w:eastAsia="Times New Roman" w:hAnsi="Times New Roman" w:cs="Times New Roman"/>
          <w:b/>
          <w:bCs/>
          <w:sz w:val="28"/>
          <w:szCs w:val="28"/>
          <w:lang w:val="en-IN" w:eastAsia="en-IN"/>
        </w:rPr>
      </w:pPr>
      <w:r w:rsidRPr="00B763D5">
        <w:rPr>
          <w:rFonts w:ascii="Times New Roman" w:hAnsi="Times New Roman" w:cs="Times New Roman"/>
          <w:b/>
          <w:bCs/>
          <w:sz w:val="28"/>
          <w:szCs w:val="28"/>
        </w:rPr>
        <w:t>Treatment for patients with chronic refractory ITP:</w:t>
      </w:r>
    </w:p>
    <w:p w14:paraId="6524F0FC" w14:textId="01B4CC75" w:rsidR="00B763D5" w:rsidRPr="00C73FAE" w:rsidRDefault="00B763D5" w:rsidP="00370ACF">
      <w:pPr>
        <w:spacing w:after="240" w:line="276" w:lineRule="auto"/>
        <w:jc w:val="both"/>
        <w:rPr>
          <w:rFonts w:ascii="Times New Roman" w:eastAsia="Times New Roman" w:hAnsi="Times New Roman" w:cs="Times New Roman"/>
          <w:b/>
          <w:bCs/>
          <w:sz w:val="28"/>
          <w:szCs w:val="28"/>
          <w:lang w:val="en-IN" w:eastAsia="en-IN"/>
        </w:rPr>
      </w:pPr>
      <w:r w:rsidRPr="00B763D5">
        <w:rPr>
          <w:rFonts w:ascii="Times New Roman" w:eastAsia="Times New Roman" w:hAnsi="Times New Roman" w:cs="Times New Roman"/>
          <w:sz w:val="24"/>
          <w:szCs w:val="24"/>
          <w:lang w:val="en-IN" w:eastAsia="en-IN"/>
        </w:rPr>
        <w:t xml:space="preserve">Since there is little prospect of bringing about a long-lasting remission in patients with chronic refractory ITP, achieving enough stable </w:t>
      </w:r>
      <w:proofErr w:type="gramStart"/>
      <w:r w:rsidRPr="00B763D5">
        <w:rPr>
          <w:rFonts w:ascii="Times New Roman" w:eastAsia="Times New Roman" w:hAnsi="Times New Roman" w:cs="Times New Roman"/>
          <w:sz w:val="24"/>
          <w:szCs w:val="24"/>
          <w:lang w:val="en-IN" w:eastAsia="en-IN"/>
        </w:rPr>
        <w:t xml:space="preserve">plate </w:t>
      </w:r>
      <w:r>
        <w:rPr>
          <w:rFonts w:ascii="Times New Roman" w:eastAsia="Times New Roman" w:hAnsi="Times New Roman" w:cs="Times New Roman"/>
          <w:sz w:val="24"/>
          <w:szCs w:val="24"/>
          <w:lang w:val="en-IN" w:eastAsia="en-IN"/>
        </w:rPr>
        <w:t xml:space="preserve"> </w:t>
      </w:r>
      <w:r w:rsidRPr="00B763D5">
        <w:rPr>
          <w:rFonts w:ascii="Times New Roman" w:eastAsia="Times New Roman" w:hAnsi="Times New Roman" w:cs="Times New Roman"/>
          <w:sz w:val="24"/>
          <w:szCs w:val="24"/>
          <w:lang w:val="en-IN" w:eastAsia="en-IN"/>
        </w:rPr>
        <w:t>levels</w:t>
      </w:r>
      <w:proofErr w:type="gramEnd"/>
      <w:r w:rsidRPr="00B763D5">
        <w:rPr>
          <w:rFonts w:ascii="Times New Roman" w:eastAsia="Times New Roman" w:hAnsi="Times New Roman" w:cs="Times New Roman"/>
          <w:sz w:val="24"/>
          <w:szCs w:val="24"/>
          <w:lang w:val="en-IN" w:eastAsia="en-IN"/>
        </w:rPr>
        <w:t xml:space="preserve">, while reducing </w:t>
      </w:r>
      <w:proofErr w:type="spellStart"/>
      <w:r w:rsidRPr="00B763D5">
        <w:rPr>
          <w:rFonts w:ascii="Times New Roman" w:eastAsia="Times New Roman" w:hAnsi="Times New Roman" w:cs="Times New Roman"/>
          <w:sz w:val="24"/>
          <w:szCs w:val="24"/>
          <w:lang w:val="en-IN" w:eastAsia="en-IN"/>
        </w:rPr>
        <w:t>unfavorable</w:t>
      </w:r>
      <w:proofErr w:type="spellEnd"/>
      <w:r w:rsidRPr="00B763D5">
        <w:rPr>
          <w:rFonts w:ascii="Times New Roman" w:eastAsia="Times New Roman" w:hAnsi="Times New Roman" w:cs="Times New Roman"/>
          <w:sz w:val="24"/>
          <w:szCs w:val="24"/>
          <w:lang w:val="en-IN" w:eastAsia="en-IN"/>
        </w:rPr>
        <w:t xml:space="preserve"> incidents. Generally speaking, corticosteroids are used in combination with other medications to treat individuals with refractory ITP. </w:t>
      </w:r>
      <w:r>
        <w:rPr>
          <w:rFonts w:ascii="Times New Roman" w:eastAsia="Times New Roman" w:hAnsi="Times New Roman" w:cs="Times New Roman"/>
          <w:sz w:val="24"/>
          <w:szCs w:val="24"/>
          <w:lang w:val="en-IN" w:eastAsia="en-IN"/>
        </w:rPr>
        <w:t xml:space="preserve"> </w:t>
      </w:r>
      <w:r w:rsidRPr="00B763D5">
        <w:rPr>
          <w:rFonts w:ascii="Times New Roman" w:eastAsia="Times New Roman" w:hAnsi="Times New Roman" w:cs="Times New Roman"/>
          <w:sz w:val="24"/>
          <w:szCs w:val="24"/>
          <w:lang w:val="en-IN" w:eastAsia="en-IN"/>
        </w:rPr>
        <w:t>Selecting the best course of action for chronic refractory ITP presents a number of issues for clinicians. Even if a number of choices are employed in practice, the majority of the current therapy recommendations are not supported by evidence because they are based on expert opinion and uncontrolled cohort studies. The inconsistency in the criteria used to define platelet count outcomes among research poses a challenge to the assessment and comparison of published trials. Additionally, key clinical outcomes like bleeding and quality of life are not consistently measured.</w:t>
      </w:r>
      <w:r w:rsidRPr="00B763D5">
        <w:t xml:space="preserve"> </w:t>
      </w:r>
      <w:r w:rsidRPr="00B763D5">
        <w:rPr>
          <w:rFonts w:ascii="Times New Roman" w:eastAsia="Times New Roman" w:hAnsi="Times New Roman" w:cs="Times New Roman"/>
          <w:sz w:val="24"/>
          <w:szCs w:val="24"/>
          <w:lang w:val="en-IN" w:eastAsia="en-IN"/>
        </w:rPr>
        <w:t>With these agents, responses rarely go over 30–35%, and with certain agents, such azathioprine, a response could not show up for several weeks.</w:t>
      </w:r>
    </w:p>
    <w:p w14:paraId="2AA2C7DB" w14:textId="77777777" w:rsidR="00636983" w:rsidRDefault="00C73FAE" w:rsidP="00370ACF">
      <w:pPr>
        <w:spacing w:after="240" w:line="276" w:lineRule="auto"/>
        <w:jc w:val="both"/>
        <w:rPr>
          <w:rFonts w:ascii="Times New Roman" w:hAnsi="Times New Roman" w:cs="Times New Roman"/>
          <w:b/>
          <w:bCs/>
          <w:sz w:val="28"/>
          <w:szCs w:val="28"/>
        </w:rPr>
      </w:pPr>
      <w:r w:rsidRPr="00C73FAE">
        <w:rPr>
          <w:rFonts w:ascii="Times New Roman" w:hAnsi="Times New Roman" w:cs="Times New Roman"/>
          <w:b/>
          <w:bCs/>
          <w:sz w:val="28"/>
          <w:szCs w:val="28"/>
        </w:rPr>
        <w:t>New</w:t>
      </w:r>
      <w:r w:rsidR="00A974F5">
        <w:rPr>
          <w:rFonts w:ascii="Times New Roman" w:hAnsi="Times New Roman" w:cs="Times New Roman"/>
          <w:b/>
          <w:bCs/>
          <w:sz w:val="28"/>
          <w:szCs w:val="28"/>
        </w:rPr>
        <w:t xml:space="preserve"> </w:t>
      </w:r>
      <w:r w:rsidRPr="00C73FAE">
        <w:rPr>
          <w:rFonts w:ascii="Times New Roman" w:hAnsi="Times New Roman" w:cs="Times New Roman"/>
          <w:b/>
          <w:bCs/>
          <w:sz w:val="28"/>
          <w:szCs w:val="28"/>
        </w:rPr>
        <w:t xml:space="preserve">treatment </w:t>
      </w:r>
      <w:proofErr w:type="gramStart"/>
      <w:r w:rsidRPr="00C73FAE">
        <w:rPr>
          <w:rFonts w:ascii="Times New Roman" w:hAnsi="Times New Roman" w:cs="Times New Roman"/>
          <w:b/>
          <w:bCs/>
          <w:sz w:val="28"/>
          <w:szCs w:val="28"/>
        </w:rPr>
        <w:t>approaches</w:t>
      </w:r>
      <w:r w:rsidR="00A974F5">
        <w:rPr>
          <w:rFonts w:ascii="Times New Roman" w:hAnsi="Times New Roman" w:cs="Times New Roman"/>
          <w:b/>
          <w:bCs/>
          <w:sz w:val="28"/>
          <w:szCs w:val="28"/>
        </w:rPr>
        <w:t xml:space="preserve"> :</w:t>
      </w:r>
      <w:proofErr w:type="gramEnd"/>
    </w:p>
    <w:p w14:paraId="7C9846DF" w14:textId="13430751" w:rsidR="00C73FAE" w:rsidRPr="00C73FAE" w:rsidRDefault="00C73FAE" w:rsidP="00370ACF">
      <w:pPr>
        <w:spacing w:after="240" w:line="276" w:lineRule="auto"/>
        <w:jc w:val="both"/>
        <w:rPr>
          <w:rFonts w:ascii="Times New Roman" w:eastAsia="Times New Roman" w:hAnsi="Times New Roman" w:cs="Times New Roman"/>
          <w:b/>
          <w:bCs/>
          <w:sz w:val="28"/>
          <w:szCs w:val="28"/>
          <w:lang w:val="en-IN" w:eastAsia="en-IN"/>
        </w:rPr>
      </w:pPr>
      <w:r w:rsidRPr="00C73FAE">
        <w:rPr>
          <w:rFonts w:ascii="Times New Roman" w:eastAsia="Times New Roman" w:hAnsi="Times New Roman" w:cs="Times New Roman"/>
          <w:sz w:val="24"/>
          <w:szCs w:val="24"/>
          <w:lang w:val="en-IN" w:eastAsia="en-IN"/>
        </w:rPr>
        <w:t xml:space="preserve">Thrombopoietic growth factors, such as Romiplostim and </w:t>
      </w:r>
      <w:proofErr w:type="spellStart"/>
      <w:r w:rsidRPr="00C73FAE">
        <w:rPr>
          <w:rFonts w:ascii="Times New Roman" w:eastAsia="Times New Roman" w:hAnsi="Times New Roman" w:cs="Times New Roman"/>
          <w:sz w:val="24"/>
          <w:szCs w:val="24"/>
          <w:lang w:val="en-IN" w:eastAsia="en-IN"/>
        </w:rPr>
        <w:t>Eltrombopag</w:t>
      </w:r>
      <w:proofErr w:type="spellEnd"/>
      <w:r w:rsidRPr="00C73FAE">
        <w:rPr>
          <w:rFonts w:ascii="Times New Roman" w:eastAsia="Times New Roman" w:hAnsi="Times New Roman" w:cs="Times New Roman"/>
          <w:sz w:val="24"/>
          <w:szCs w:val="24"/>
          <w:lang w:val="en-IN" w:eastAsia="en-IN"/>
        </w:rPr>
        <w:t xml:space="preserve">, target the thrombopoietin (TPO) receptor and offer a unique therapeutic approach for the treatment of </w:t>
      </w:r>
      <w:proofErr w:type="gramStart"/>
      <w:r w:rsidRPr="00C73FAE">
        <w:rPr>
          <w:rFonts w:ascii="Times New Roman" w:eastAsia="Times New Roman" w:hAnsi="Times New Roman" w:cs="Times New Roman"/>
          <w:sz w:val="24"/>
          <w:szCs w:val="24"/>
          <w:lang w:val="en-IN" w:eastAsia="en-IN"/>
        </w:rPr>
        <w:t>ITP .</w:t>
      </w:r>
      <w:proofErr w:type="gramEnd"/>
      <w:r w:rsidRPr="00C73FAE">
        <w:rPr>
          <w:rFonts w:ascii="Times New Roman" w:eastAsia="Times New Roman" w:hAnsi="Times New Roman" w:cs="Times New Roman"/>
          <w:sz w:val="24"/>
          <w:szCs w:val="24"/>
          <w:lang w:val="en-IN" w:eastAsia="en-IN"/>
        </w:rPr>
        <w:t xml:space="preserve"> Romiplostim is an Fc-peptide fusion protein, while </w:t>
      </w:r>
      <w:proofErr w:type="spellStart"/>
      <w:r w:rsidRPr="00C73FAE">
        <w:rPr>
          <w:rFonts w:ascii="Times New Roman" w:eastAsia="Times New Roman" w:hAnsi="Times New Roman" w:cs="Times New Roman"/>
          <w:sz w:val="24"/>
          <w:szCs w:val="24"/>
          <w:lang w:val="en-IN" w:eastAsia="en-IN"/>
        </w:rPr>
        <w:t>eltrombopag</w:t>
      </w:r>
      <w:proofErr w:type="spellEnd"/>
      <w:r w:rsidRPr="00C73FAE">
        <w:rPr>
          <w:rFonts w:ascii="Times New Roman" w:eastAsia="Times New Roman" w:hAnsi="Times New Roman" w:cs="Times New Roman"/>
          <w:sz w:val="24"/>
          <w:szCs w:val="24"/>
          <w:lang w:val="en-IN" w:eastAsia="en-IN"/>
        </w:rPr>
        <w:t xml:space="preserve"> is a tiny, orally administered hydrazone chemical molecule. Both medications stimulate megakaryocyte development and maturation, which raises platelet production. They are agonists for the TPO receptor. The outcome of the </w:t>
      </w:r>
      <w:proofErr w:type="spellStart"/>
      <w:proofErr w:type="gramStart"/>
      <w:r w:rsidRPr="00C73FAE">
        <w:rPr>
          <w:rFonts w:ascii="Times New Roman" w:eastAsia="Times New Roman" w:hAnsi="Times New Roman" w:cs="Times New Roman"/>
          <w:sz w:val="24"/>
          <w:szCs w:val="24"/>
          <w:lang w:val="en-IN" w:eastAsia="en-IN"/>
        </w:rPr>
        <w:t>The</w:t>
      </w:r>
      <w:proofErr w:type="spellEnd"/>
      <w:proofErr w:type="gramEnd"/>
      <w:r w:rsidRPr="00C73FAE">
        <w:rPr>
          <w:rFonts w:ascii="Times New Roman" w:eastAsia="Times New Roman" w:hAnsi="Times New Roman" w:cs="Times New Roman"/>
          <w:sz w:val="24"/>
          <w:szCs w:val="24"/>
          <w:lang w:val="en-IN" w:eastAsia="en-IN"/>
        </w:rPr>
        <w:t xml:space="preserve"> first phase III trials in individuals with and without splenectomies have been published. They are randomized, controlled, </w:t>
      </w:r>
      <w:proofErr w:type="gramStart"/>
      <w:r w:rsidRPr="00C73FAE">
        <w:rPr>
          <w:rFonts w:ascii="Times New Roman" w:eastAsia="Times New Roman" w:hAnsi="Times New Roman" w:cs="Times New Roman"/>
          <w:sz w:val="24"/>
          <w:szCs w:val="24"/>
          <w:lang w:val="en-IN" w:eastAsia="en-IN"/>
        </w:rPr>
        <w:t xml:space="preserve">and </w:t>
      </w:r>
      <w:r>
        <w:rPr>
          <w:rFonts w:ascii="Times New Roman" w:eastAsia="Times New Roman" w:hAnsi="Times New Roman" w:cs="Times New Roman"/>
          <w:sz w:val="24"/>
          <w:szCs w:val="24"/>
          <w:lang w:val="en-IN" w:eastAsia="en-IN"/>
        </w:rPr>
        <w:t xml:space="preserve"> </w:t>
      </w:r>
      <w:r w:rsidRPr="00C73FAE">
        <w:rPr>
          <w:rFonts w:ascii="Times New Roman" w:eastAsia="Times New Roman" w:hAnsi="Times New Roman" w:cs="Times New Roman"/>
          <w:sz w:val="24"/>
          <w:szCs w:val="24"/>
          <w:lang w:val="en-IN" w:eastAsia="en-IN"/>
        </w:rPr>
        <w:t>issued</w:t>
      </w:r>
      <w:proofErr w:type="gramEnd"/>
      <w:r w:rsidRPr="00C73FAE">
        <w:rPr>
          <w:rFonts w:ascii="Times New Roman" w:eastAsia="Times New Roman" w:hAnsi="Times New Roman" w:cs="Times New Roman"/>
          <w:sz w:val="24"/>
          <w:szCs w:val="24"/>
          <w:lang w:val="en-IN" w:eastAsia="en-IN"/>
        </w:rPr>
        <w:t xml:space="preserve"> for romiplostim . In both </w:t>
      </w:r>
      <w:proofErr w:type="spellStart"/>
      <w:r w:rsidRPr="00C73FAE">
        <w:rPr>
          <w:rFonts w:ascii="Times New Roman" w:eastAsia="Times New Roman" w:hAnsi="Times New Roman" w:cs="Times New Roman"/>
          <w:sz w:val="24"/>
          <w:szCs w:val="24"/>
          <w:lang w:val="en-IN" w:eastAsia="en-IN"/>
        </w:rPr>
        <w:t>splenectomized</w:t>
      </w:r>
      <w:proofErr w:type="spellEnd"/>
      <w:r w:rsidRPr="00C73FAE">
        <w:rPr>
          <w:rFonts w:ascii="Times New Roman" w:eastAsia="Times New Roman" w:hAnsi="Times New Roman" w:cs="Times New Roman"/>
          <w:sz w:val="24"/>
          <w:szCs w:val="24"/>
          <w:lang w:val="en-IN" w:eastAsia="en-IN"/>
        </w:rPr>
        <w:t xml:space="preserve"> and non-</w:t>
      </w:r>
      <w:proofErr w:type="spellStart"/>
      <w:r w:rsidRPr="00C73FAE">
        <w:rPr>
          <w:rFonts w:ascii="Times New Roman" w:eastAsia="Times New Roman" w:hAnsi="Times New Roman" w:cs="Times New Roman"/>
          <w:sz w:val="24"/>
          <w:szCs w:val="24"/>
          <w:lang w:val="en-IN" w:eastAsia="en-IN"/>
        </w:rPr>
        <w:t>splenectomized</w:t>
      </w:r>
      <w:proofErr w:type="spellEnd"/>
      <w:r w:rsidRPr="00C73FAE">
        <w:rPr>
          <w:rFonts w:ascii="Times New Roman" w:eastAsia="Times New Roman" w:hAnsi="Times New Roman" w:cs="Times New Roman"/>
          <w:sz w:val="24"/>
          <w:szCs w:val="24"/>
          <w:lang w:val="en-IN" w:eastAsia="en-IN"/>
        </w:rPr>
        <w:t xml:space="preserve"> patients, </w:t>
      </w:r>
      <w:r w:rsidRPr="00C73FAE">
        <w:rPr>
          <w:rFonts w:ascii="Times New Roman" w:eastAsia="Times New Roman" w:hAnsi="Times New Roman" w:cs="Times New Roman"/>
          <w:sz w:val="24"/>
          <w:szCs w:val="24"/>
          <w:lang w:val="en-IN" w:eastAsia="en-IN"/>
        </w:rPr>
        <w:lastRenderedPageBreak/>
        <w:t xml:space="preserve">romiplostim elevated and maintained platelet levels; 83% of patients treated with romiplostim experienced an overall platelet response, compared with 7% of patients receiving a placebo (P &lt; 0.0001; Cochran-Mantel-Haenszel test); Adrian Newland's article provides a more detailed description of these results. For the treatment of people with persistent ITP, romiplostim has now received approval in the USA and Australia. Published are the first phase III trials involving both </w:t>
      </w:r>
      <w:proofErr w:type="spellStart"/>
      <w:r w:rsidRPr="00C73FAE">
        <w:rPr>
          <w:rFonts w:ascii="Times New Roman" w:eastAsia="Times New Roman" w:hAnsi="Times New Roman" w:cs="Times New Roman"/>
          <w:sz w:val="24"/>
          <w:szCs w:val="24"/>
          <w:lang w:val="en-IN" w:eastAsia="en-IN"/>
        </w:rPr>
        <w:t>splenectomized</w:t>
      </w:r>
      <w:proofErr w:type="spellEnd"/>
      <w:r w:rsidRPr="00C73FAE">
        <w:rPr>
          <w:rFonts w:ascii="Times New Roman" w:eastAsia="Times New Roman" w:hAnsi="Times New Roman" w:cs="Times New Roman"/>
          <w:sz w:val="24"/>
          <w:szCs w:val="24"/>
          <w:lang w:val="en-IN" w:eastAsia="en-IN"/>
        </w:rPr>
        <w:t xml:space="preserve"> and non-</w:t>
      </w:r>
      <w:proofErr w:type="spellStart"/>
      <w:r w:rsidRPr="00C73FAE">
        <w:rPr>
          <w:rFonts w:ascii="Times New Roman" w:eastAsia="Times New Roman" w:hAnsi="Times New Roman" w:cs="Times New Roman"/>
          <w:sz w:val="24"/>
          <w:szCs w:val="24"/>
          <w:lang w:val="en-IN" w:eastAsia="en-IN"/>
        </w:rPr>
        <w:t>splenectomized</w:t>
      </w:r>
      <w:proofErr w:type="spellEnd"/>
      <w:r w:rsidRPr="00C73FAE">
        <w:rPr>
          <w:rFonts w:ascii="Times New Roman" w:eastAsia="Times New Roman" w:hAnsi="Times New Roman" w:cs="Times New Roman"/>
          <w:sz w:val="24"/>
          <w:szCs w:val="24"/>
          <w:lang w:val="en-IN" w:eastAsia="en-IN"/>
        </w:rPr>
        <w:t xml:space="preserve"> people. </w:t>
      </w:r>
      <w:r>
        <w:rPr>
          <w:rFonts w:ascii="Times New Roman" w:eastAsia="Times New Roman" w:hAnsi="Times New Roman" w:cs="Times New Roman"/>
          <w:sz w:val="24"/>
          <w:szCs w:val="24"/>
          <w:lang w:val="en-IN" w:eastAsia="en-IN"/>
        </w:rPr>
        <w:t xml:space="preserve"> </w:t>
      </w:r>
    </w:p>
    <w:p w14:paraId="2D2E19B8" w14:textId="2ED736A1" w:rsidR="00C73FAE" w:rsidRDefault="00C73FAE" w:rsidP="00013F76">
      <w:pPr>
        <w:spacing w:after="240" w:line="276" w:lineRule="auto"/>
        <w:rPr>
          <w:rFonts w:ascii="Times New Roman" w:eastAsia="Times New Roman" w:hAnsi="Times New Roman" w:cs="Times New Roman"/>
          <w:sz w:val="24"/>
          <w:szCs w:val="24"/>
          <w:lang w:val="en-IN" w:eastAsia="en-IN"/>
        </w:rPr>
      </w:pPr>
      <w:r w:rsidRPr="00C73FAE">
        <w:rPr>
          <w:rFonts w:ascii="Times New Roman" w:eastAsia="Times New Roman" w:hAnsi="Times New Roman" w:cs="Times New Roman"/>
          <w:sz w:val="24"/>
          <w:szCs w:val="24"/>
          <w:lang w:val="en-IN" w:eastAsia="en-IN"/>
        </w:rPr>
        <w:t xml:space="preserve">They are managed, randomized, and </w:t>
      </w:r>
      <w:proofErr w:type="gramStart"/>
      <w:r w:rsidRPr="00C73FAE">
        <w:rPr>
          <w:rFonts w:ascii="Times New Roman" w:eastAsia="Times New Roman" w:hAnsi="Times New Roman" w:cs="Times New Roman"/>
          <w:sz w:val="24"/>
          <w:szCs w:val="24"/>
          <w:lang w:val="en-IN" w:eastAsia="en-IN"/>
        </w:rPr>
        <w:t>romiplostim ,</w:t>
      </w:r>
      <w:proofErr w:type="gramEnd"/>
      <w:r w:rsidRPr="00C73FAE">
        <w:rPr>
          <w:rFonts w:ascii="Times New Roman" w:eastAsia="Times New Roman" w:hAnsi="Times New Roman" w:cs="Times New Roman"/>
          <w:sz w:val="24"/>
          <w:szCs w:val="24"/>
          <w:lang w:val="en-IN" w:eastAsia="en-IN"/>
        </w:rPr>
        <w:t xml:space="preserve"> a release. Romiplostim increased and maintained platelet levels in both </w:t>
      </w:r>
      <w:proofErr w:type="spellStart"/>
      <w:r w:rsidRPr="00C73FAE">
        <w:rPr>
          <w:rFonts w:ascii="Times New Roman" w:eastAsia="Times New Roman" w:hAnsi="Times New Roman" w:cs="Times New Roman"/>
          <w:sz w:val="24"/>
          <w:szCs w:val="24"/>
          <w:lang w:val="en-IN" w:eastAsia="en-IN"/>
        </w:rPr>
        <w:t>splenectomized</w:t>
      </w:r>
      <w:proofErr w:type="spellEnd"/>
      <w:r w:rsidRPr="00C73FAE">
        <w:rPr>
          <w:rFonts w:ascii="Times New Roman" w:eastAsia="Times New Roman" w:hAnsi="Times New Roman" w:cs="Times New Roman"/>
          <w:sz w:val="24"/>
          <w:szCs w:val="24"/>
          <w:lang w:val="en-IN" w:eastAsia="en-IN"/>
        </w:rPr>
        <w:t xml:space="preserve"> and non-</w:t>
      </w:r>
      <w:proofErr w:type="spellStart"/>
      <w:r w:rsidRPr="00C73FAE">
        <w:rPr>
          <w:rFonts w:ascii="Times New Roman" w:eastAsia="Times New Roman" w:hAnsi="Times New Roman" w:cs="Times New Roman"/>
          <w:sz w:val="24"/>
          <w:szCs w:val="24"/>
          <w:lang w:val="en-IN" w:eastAsia="en-IN"/>
        </w:rPr>
        <w:t>splenectomized</w:t>
      </w:r>
      <w:proofErr w:type="spellEnd"/>
      <w:r w:rsidRPr="00C73FAE">
        <w:rPr>
          <w:rFonts w:ascii="Times New Roman" w:eastAsia="Times New Roman" w:hAnsi="Times New Roman" w:cs="Times New Roman"/>
          <w:sz w:val="24"/>
          <w:szCs w:val="24"/>
          <w:lang w:val="en-IN" w:eastAsia="en-IN"/>
        </w:rPr>
        <w:t xml:space="preserve"> patients; 83% of patients treated with romiplostim had an overall platelet response, compared with 7% of patients receiving a placebo (P &lt; 0.0001; Cochran-Mantel-Haenszel test); Adrian Newland's article goes into further detail about these findings. Romiplostim is currently approved in the USA and Australia</w:t>
      </w:r>
      <w:r w:rsidR="00A974F5">
        <w:rPr>
          <w:rFonts w:ascii="Times New Roman" w:eastAsia="Times New Roman" w:hAnsi="Times New Roman" w:cs="Times New Roman"/>
          <w:sz w:val="24"/>
          <w:szCs w:val="24"/>
          <w:lang w:val="en-IN" w:eastAsia="en-IN"/>
        </w:rPr>
        <w:t xml:space="preserve"> </w:t>
      </w:r>
      <w:r w:rsidRPr="00C73FAE">
        <w:rPr>
          <w:rFonts w:ascii="Times New Roman" w:eastAsia="Times New Roman" w:hAnsi="Times New Roman" w:cs="Times New Roman"/>
          <w:sz w:val="24"/>
          <w:szCs w:val="24"/>
          <w:lang w:val="en-IN" w:eastAsia="en-IN"/>
        </w:rPr>
        <w:t>for the treatment of individuals with chronic ITP.</w:t>
      </w:r>
      <w:r w:rsidRPr="00C73FAE">
        <w:rPr>
          <w:rFonts w:ascii="Times New Roman" w:eastAsia="Times New Roman" w:hAnsi="Times New Roman" w:cs="Times New Roman"/>
          <w:sz w:val="24"/>
          <w:szCs w:val="24"/>
          <w:lang w:val="en-IN" w:eastAsia="en-IN"/>
        </w:rPr>
        <w:br/>
      </w:r>
    </w:p>
    <w:p w14:paraId="7A14D1F2" w14:textId="77777777" w:rsidR="00370ACF" w:rsidRDefault="00370ACF" w:rsidP="00370ACF">
      <w:pPr>
        <w:spacing w:after="240" w:line="276" w:lineRule="auto"/>
        <w:jc w:val="both"/>
        <w:rPr>
          <w:rFonts w:ascii="Times New Roman" w:eastAsia="Times New Roman" w:hAnsi="Times New Roman" w:cs="Times New Roman"/>
          <w:b/>
          <w:bCs/>
          <w:sz w:val="28"/>
          <w:szCs w:val="28"/>
          <w:lang w:val="en-IN" w:eastAsia="en-IN"/>
        </w:rPr>
      </w:pPr>
    </w:p>
    <w:p w14:paraId="72E526F4" w14:textId="77777777" w:rsidR="00370ACF" w:rsidRDefault="00370ACF" w:rsidP="00370ACF">
      <w:pPr>
        <w:spacing w:after="240" w:line="276" w:lineRule="auto"/>
        <w:jc w:val="both"/>
        <w:rPr>
          <w:rFonts w:ascii="Times New Roman" w:eastAsia="Times New Roman" w:hAnsi="Times New Roman" w:cs="Times New Roman"/>
          <w:b/>
          <w:bCs/>
          <w:sz w:val="28"/>
          <w:szCs w:val="28"/>
          <w:lang w:val="en-IN" w:eastAsia="en-IN"/>
        </w:rPr>
      </w:pPr>
    </w:p>
    <w:p w14:paraId="29E60FD9" w14:textId="0BC72BBA" w:rsidR="00B763D5" w:rsidRDefault="004A0214" w:rsidP="00370ACF">
      <w:pPr>
        <w:spacing w:after="240" w:line="276" w:lineRule="auto"/>
        <w:jc w:val="both"/>
        <w:rPr>
          <w:rFonts w:ascii="Times New Roman" w:eastAsia="Times New Roman" w:hAnsi="Times New Roman" w:cs="Times New Roman"/>
          <w:b/>
          <w:bCs/>
          <w:sz w:val="28"/>
          <w:szCs w:val="28"/>
          <w:lang w:val="en-IN" w:eastAsia="en-IN"/>
        </w:rPr>
      </w:pPr>
      <w:r w:rsidRPr="004A0214">
        <w:rPr>
          <w:rFonts w:ascii="Times New Roman" w:eastAsia="Times New Roman" w:hAnsi="Times New Roman" w:cs="Times New Roman"/>
          <w:b/>
          <w:bCs/>
          <w:sz w:val="28"/>
          <w:szCs w:val="28"/>
          <w:lang w:val="en-IN" w:eastAsia="en-IN"/>
        </w:rPr>
        <w:t>Conclusion:</w:t>
      </w:r>
    </w:p>
    <w:p w14:paraId="4F7932B7" w14:textId="68741FB4" w:rsidR="00FD7970" w:rsidRPr="00FD7970" w:rsidRDefault="00FD7970" w:rsidP="00370ACF">
      <w:pPr>
        <w:spacing w:line="276" w:lineRule="auto"/>
        <w:jc w:val="both"/>
        <w:rPr>
          <w:rFonts w:ascii="Times New Roman" w:eastAsia="Times New Roman" w:hAnsi="Times New Roman" w:cs="Times New Roman"/>
          <w:sz w:val="24"/>
          <w:szCs w:val="24"/>
          <w:lang w:val="en-IN" w:eastAsia="en-IN"/>
        </w:rPr>
      </w:pPr>
      <w:r w:rsidRPr="00FD7970">
        <w:rPr>
          <w:rFonts w:ascii="Times New Roman" w:eastAsia="Times New Roman" w:hAnsi="Times New Roman" w:cs="Times New Roman"/>
          <w:sz w:val="24"/>
          <w:szCs w:val="24"/>
          <w:lang w:val="en-IN" w:eastAsia="en-IN"/>
        </w:rPr>
        <w:t xml:space="preserve">In conclusion, the existence of active bleeding, the patient's age, the platelet count, and their lifestyle all play a role in the decision of whether or not to treat an ITP patient. </w:t>
      </w:r>
      <w:r>
        <w:rPr>
          <w:rFonts w:ascii="Times New Roman" w:eastAsia="Times New Roman" w:hAnsi="Times New Roman" w:cs="Times New Roman"/>
          <w:sz w:val="24"/>
          <w:szCs w:val="24"/>
          <w:lang w:val="en-IN" w:eastAsia="en-IN"/>
        </w:rPr>
        <w:t xml:space="preserve"> </w:t>
      </w:r>
      <w:r w:rsidRPr="00FD7970">
        <w:rPr>
          <w:rFonts w:ascii="Times New Roman" w:eastAsia="Times New Roman" w:hAnsi="Times New Roman" w:cs="Times New Roman"/>
          <w:sz w:val="24"/>
          <w:szCs w:val="24"/>
          <w:lang w:val="en-IN" w:eastAsia="en-IN"/>
        </w:rPr>
        <w:t>concerning the likelihood of bleeding, the existence of extra risk factors for bleeding, possible side effects from the available treatment, and the patient's personal preferences. In stable, asymptomatic patients, a vigilant observation strategy may be preferable to therapy because current treatment choices involve side effects that can be even more harmful than the disease itself. Although there are guidelines for treating individuals with ITP, they are still primarily based on</w:t>
      </w:r>
      <w:r>
        <w:rPr>
          <w:rFonts w:ascii="Times New Roman" w:eastAsia="Times New Roman" w:hAnsi="Times New Roman" w:cs="Times New Roman"/>
          <w:sz w:val="24"/>
          <w:szCs w:val="24"/>
          <w:lang w:val="en-IN" w:eastAsia="en-IN"/>
        </w:rPr>
        <w:t xml:space="preserve"> </w:t>
      </w:r>
      <w:r w:rsidRPr="00FD7970">
        <w:rPr>
          <w:rFonts w:ascii="Times New Roman" w:eastAsia="Times New Roman" w:hAnsi="Times New Roman" w:cs="Times New Roman"/>
          <w:sz w:val="24"/>
          <w:szCs w:val="24"/>
          <w:lang w:val="en-IN" w:eastAsia="en-IN"/>
        </w:rPr>
        <w:t xml:space="preserve">There are established guidelines for the treatment of patients with ITP, but they still primarily rely on expert clinical judgment rather than empirical facts due to a dearth of data from studies and randomized, controlled trials. We require additional information from carefully planned, randomized, controlled trials looking into novel medications in the </w:t>
      </w:r>
      <w:proofErr w:type="gramStart"/>
      <w:r w:rsidRPr="00FD7970">
        <w:rPr>
          <w:rFonts w:ascii="Times New Roman" w:eastAsia="Times New Roman" w:hAnsi="Times New Roman" w:cs="Times New Roman"/>
          <w:sz w:val="24"/>
          <w:szCs w:val="24"/>
          <w:lang w:val="en-IN" w:eastAsia="en-IN"/>
        </w:rPr>
        <w:t xml:space="preserve">treatment </w:t>
      </w:r>
      <w:r>
        <w:rPr>
          <w:rFonts w:ascii="Times New Roman" w:eastAsia="Times New Roman" w:hAnsi="Times New Roman" w:cs="Times New Roman"/>
          <w:sz w:val="24"/>
          <w:szCs w:val="24"/>
          <w:lang w:val="en-IN" w:eastAsia="en-IN"/>
        </w:rPr>
        <w:t xml:space="preserve"> </w:t>
      </w:r>
      <w:r w:rsidRPr="00FD7970">
        <w:rPr>
          <w:rFonts w:ascii="Times New Roman" w:eastAsia="Times New Roman" w:hAnsi="Times New Roman" w:cs="Times New Roman"/>
          <w:sz w:val="24"/>
          <w:szCs w:val="24"/>
          <w:lang w:val="en-IN" w:eastAsia="en-IN"/>
        </w:rPr>
        <w:t>of</w:t>
      </w:r>
      <w:proofErr w:type="gramEnd"/>
      <w:r w:rsidRPr="00FD7970">
        <w:rPr>
          <w:rFonts w:ascii="Times New Roman" w:eastAsia="Times New Roman" w:hAnsi="Times New Roman" w:cs="Times New Roman"/>
          <w:sz w:val="24"/>
          <w:szCs w:val="24"/>
          <w:lang w:val="en-IN" w:eastAsia="en-IN"/>
        </w:rPr>
        <w:t xml:space="preserve"> individuals with ITP. Based on the phase III findings, romiplostim appears to be a promising treatment choice for people with this chronic illness due to its good efficacy and tolerability. </w:t>
      </w:r>
    </w:p>
    <w:p w14:paraId="72E34902" w14:textId="779B6EBE" w:rsidR="00FD7970" w:rsidRPr="00FD7970" w:rsidRDefault="00FD7970" w:rsidP="00370ACF">
      <w:pPr>
        <w:spacing w:after="0" w:line="276" w:lineRule="auto"/>
        <w:jc w:val="both"/>
        <w:rPr>
          <w:rFonts w:ascii="Times New Roman" w:eastAsia="Times New Roman" w:hAnsi="Times New Roman" w:cs="Times New Roman"/>
          <w:sz w:val="24"/>
          <w:szCs w:val="24"/>
          <w:lang w:val="en-IN" w:eastAsia="en-IN"/>
        </w:rPr>
      </w:pPr>
    </w:p>
    <w:p w14:paraId="540B1F02" w14:textId="6C394D74" w:rsidR="00FD7970" w:rsidRPr="00FD7970" w:rsidRDefault="00FD7970" w:rsidP="00370ACF">
      <w:pPr>
        <w:spacing w:after="0" w:line="276" w:lineRule="auto"/>
        <w:jc w:val="both"/>
        <w:rPr>
          <w:rFonts w:ascii="Times New Roman" w:eastAsia="Times New Roman" w:hAnsi="Times New Roman" w:cs="Times New Roman"/>
          <w:sz w:val="24"/>
          <w:szCs w:val="24"/>
          <w:lang w:val="en-IN" w:eastAsia="en-IN"/>
        </w:rPr>
      </w:pPr>
      <w:r w:rsidRPr="00FD7970">
        <w:rPr>
          <w:rFonts w:ascii="Times New Roman" w:eastAsia="Times New Roman" w:hAnsi="Times New Roman" w:cs="Times New Roman"/>
          <w:sz w:val="24"/>
          <w:szCs w:val="24"/>
          <w:lang w:val="en-IN" w:eastAsia="en-IN"/>
        </w:rPr>
        <w:t xml:space="preserve"> </w:t>
      </w:r>
    </w:p>
    <w:p w14:paraId="5468A404" w14:textId="77777777" w:rsidR="00635834" w:rsidRDefault="00635834" w:rsidP="00370ACF">
      <w:pPr>
        <w:spacing w:line="276" w:lineRule="auto"/>
        <w:jc w:val="both"/>
        <w:rPr>
          <w:rFonts w:ascii="Times New Roman" w:eastAsia="Times New Roman" w:hAnsi="Times New Roman" w:cs="Times New Roman"/>
          <w:sz w:val="24"/>
          <w:szCs w:val="24"/>
          <w:lang w:val="en-IN" w:eastAsia="en-IN"/>
        </w:rPr>
      </w:pPr>
    </w:p>
    <w:p w14:paraId="19FAC92C" w14:textId="77777777" w:rsidR="00013F76" w:rsidRDefault="00013F76" w:rsidP="00370ACF">
      <w:pPr>
        <w:spacing w:line="276" w:lineRule="auto"/>
        <w:jc w:val="both"/>
        <w:rPr>
          <w:rFonts w:ascii="Times New Roman" w:hAnsi="Times New Roman" w:cs="Times New Roman"/>
          <w:b/>
          <w:bCs/>
          <w:sz w:val="28"/>
          <w:szCs w:val="28"/>
        </w:rPr>
      </w:pPr>
    </w:p>
    <w:p w14:paraId="4C0A020E" w14:textId="77777777" w:rsidR="009A6AF4" w:rsidRDefault="009A6AF4" w:rsidP="00370ACF">
      <w:pPr>
        <w:spacing w:line="276" w:lineRule="auto"/>
        <w:jc w:val="both"/>
        <w:rPr>
          <w:rFonts w:ascii="Times New Roman" w:hAnsi="Times New Roman" w:cs="Times New Roman"/>
          <w:b/>
          <w:bCs/>
          <w:sz w:val="28"/>
          <w:szCs w:val="28"/>
        </w:rPr>
      </w:pPr>
    </w:p>
    <w:p w14:paraId="21052074" w14:textId="3476C901" w:rsidR="0086375D" w:rsidRPr="00635834" w:rsidRDefault="0027002A" w:rsidP="00370ACF">
      <w:pPr>
        <w:spacing w:line="276" w:lineRule="auto"/>
        <w:jc w:val="both"/>
      </w:pPr>
      <w:proofErr w:type="spellStart"/>
      <w:proofErr w:type="gramStart"/>
      <w:r w:rsidRPr="0027002A">
        <w:rPr>
          <w:rFonts w:ascii="Times New Roman" w:hAnsi="Times New Roman" w:cs="Times New Roman"/>
          <w:b/>
          <w:bCs/>
          <w:sz w:val="28"/>
          <w:szCs w:val="28"/>
        </w:rPr>
        <w:lastRenderedPageBreak/>
        <w:t>Referance</w:t>
      </w:r>
      <w:proofErr w:type="spellEnd"/>
      <w:r w:rsidRPr="0027002A">
        <w:rPr>
          <w:rFonts w:ascii="Times New Roman" w:hAnsi="Times New Roman" w:cs="Times New Roman"/>
          <w:b/>
          <w:bCs/>
          <w:sz w:val="28"/>
          <w:szCs w:val="28"/>
        </w:rPr>
        <w:t xml:space="preserve"> :</w:t>
      </w:r>
      <w:proofErr w:type="gramEnd"/>
    </w:p>
    <w:p w14:paraId="4FF2801F" w14:textId="556DA238" w:rsidR="00F00C39" w:rsidRPr="00F00C39" w:rsidRDefault="00F00C39" w:rsidP="00370ACF">
      <w:pPr>
        <w:pStyle w:val="ListParagraph"/>
        <w:widowControl w:val="0"/>
        <w:numPr>
          <w:ilvl w:val="0"/>
          <w:numId w:val="26"/>
        </w:numPr>
        <w:tabs>
          <w:tab w:val="left" w:pos="826"/>
          <w:tab w:val="left" w:pos="828"/>
        </w:tabs>
        <w:autoSpaceDE w:val="0"/>
        <w:autoSpaceDN w:val="0"/>
        <w:spacing w:before="175" w:after="0" w:line="276" w:lineRule="auto"/>
        <w:ind w:right="486"/>
        <w:contextualSpacing w:val="0"/>
        <w:jc w:val="both"/>
        <w:rPr>
          <w:rFonts w:ascii="Times New Roman" w:hAnsi="Times New Roman" w:cs="Times New Roman"/>
          <w:sz w:val="24"/>
          <w:szCs w:val="24"/>
        </w:rPr>
      </w:pPr>
      <w:bookmarkStart w:id="0" w:name="_Hlk161250430"/>
      <w:r w:rsidRPr="00F00C39">
        <w:rPr>
          <w:rFonts w:ascii="Times New Roman" w:hAnsi="Times New Roman" w:cs="Times New Roman"/>
          <w:sz w:val="24"/>
          <w:szCs w:val="24"/>
        </w:rPr>
        <w:t xml:space="preserve">Adeline </w:t>
      </w:r>
      <w:proofErr w:type="spellStart"/>
      <w:r w:rsidRPr="00F00C39">
        <w:rPr>
          <w:rFonts w:ascii="Times New Roman" w:hAnsi="Times New Roman" w:cs="Times New Roman"/>
          <w:sz w:val="24"/>
          <w:szCs w:val="24"/>
        </w:rPr>
        <w:t>Furdol</w:t>
      </w:r>
      <w:proofErr w:type="spellEnd"/>
      <w:r w:rsidRPr="00F00C39">
        <w:rPr>
          <w:rFonts w:ascii="Times New Roman" w:hAnsi="Times New Roman" w:cs="Times New Roman"/>
          <w:sz w:val="24"/>
          <w:szCs w:val="24"/>
        </w:rPr>
        <w:t xml:space="preserve">, MD, Etienne Riviere, MD, PhD, Adult primary immune </w:t>
      </w:r>
      <w:proofErr w:type="spellStart"/>
      <w:r w:rsidRPr="00F00C39">
        <w:rPr>
          <w:rFonts w:ascii="Times New Roman" w:hAnsi="Times New Roman" w:cs="Times New Roman"/>
          <w:sz w:val="24"/>
          <w:szCs w:val="24"/>
        </w:rPr>
        <w:t>thromboc</w:t>
      </w:r>
      <w:r w:rsidR="00492697">
        <w:rPr>
          <w:rFonts w:ascii="Times New Roman" w:hAnsi="Times New Roman" w:cs="Times New Roman"/>
          <w:sz w:val="24"/>
          <w:szCs w:val="24"/>
        </w:rPr>
        <w:t>y</w:t>
      </w:r>
      <w:r w:rsidRPr="00F00C39">
        <w:rPr>
          <w:rFonts w:ascii="Times New Roman" w:hAnsi="Times New Roman" w:cs="Times New Roman"/>
          <w:sz w:val="24"/>
          <w:szCs w:val="24"/>
        </w:rPr>
        <w:t>toenia</w:t>
      </w:r>
      <w:proofErr w:type="spellEnd"/>
      <w:r w:rsidRPr="00F00C39">
        <w:rPr>
          <w:rFonts w:ascii="Times New Roman" w:hAnsi="Times New Roman" w:cs="Times New Roman"/>
          <w:sz w:val="24"/>
          <w:szCs w:val="24"/>
        </w:rPr>
        <w:t>, spleen histology finding and outcomes according to rituximab use based on analysis of 41 cases, Page no.</w:t>
      </w:r>
      <w:r w:rsidR="00AF6E50">
        <w:rPr>
          <w:rFonts w:ascii="Times New Roman" w:hAnsi="Times New Roman" w:cs="Times New Roman"/>
          <w:sz w:val="24"/>
          <w:szCs w:val="24"/>
        </w:rPr>
        <w:t>1 to 2</w:t>
      </w:r>
    </w:p>
    <w:p w14:paraId="2529FE94" w14:textId="0C6D5A22" w:rsidR="00F00C39" w:rsidRPr="00F00C39" w:rsidRDefault="00F00C39" w:rsidP="00370ACF">
      <w:pPr>
        <w:pStyle w:val="ListParagraph"/>
        <w:widowControl w:val="0"/>
        <w:numPr>
          <w:ilvl w:val="0"/>
          <w:numId w:val="26"/>
        </w:numPr>
        <w:tabs>
          <w:tab w:val="left" w:pos="826"/>
          <w:tab w:val="left" w:pos="828"/>
        </w:tabs>
        <w:autoSpaceDE w:val="0"/>
        <w:autoSpaceDN w:val="0"/>
        <w:spacing w:after="0" w:line="276" w:lineRule="auto"/>
        <w:ind w:right="222"/>
        <w:contextualSpacing w:val="0"/>
        <w:jc w:val="both"/>
        <w:rPr>
          <w:rFonts w:ascii="Times New Roman" w:hAnsi="Times New Roman" w:cs="Times New Roman"/>
          <w:sz w:val="24"/>
          <w:szCs w:val="24"/>
        </w:rPr>
      </w:pPr>
      <w:r w:rsidRPr="00F00C39">
        <w:rPr>
          <w:rFonts w:ascii="Times New Roman" w:hAnsi="Times New Roman" w:cs="Times New Roman"/>
          <w:sz w:val="24"/>
          <w:szCs w:val="24"/>
        </w:rPr>
        <w:t xml:space="preserve">Francesco Rodeghiero, Roberto Stasi, Blood journal, Standardization of terminology definition and outcomes criteria in immune thrombocytopenic purpura (ITP) of adults and children: report from an international working group </w:t>
      </w:r>
      <w:proofErr w:type="gramStart"/>
      <w:r w:rsidRPr="00F00C39">
        <w:rPr>
          <w:rFonts w:ascii="Times New Roman" w:hAnsi="Times New Roman" w:cs="Times New Roman"/>
          <w:sz w:val="24"/>
          <w:szCs w:val="24"/>
        </w:rPr>
        <w:t>2008 ,Page</w:t>
      </w:r>
      <w:proofErr w:type="gramEnd"/>
      <w:r w:rsidRPr="00F00C39">
        <w:rPr>
          <w:rFonts w:ascii="Times New Roman" w:hAnsi="Times New Roman" w:cs="Times New Roman"/>
          <w:sz w:val="24"/>
          <w:szCs w:val="24"/>
        </w:rPr>
        <w:t xml:space="preserve"> no.</w:t>
      </w:r>
      <w:r w:rsidR="00AE38BB">
        <w:rPr>
          <w:rFonts w:ascii="Times New Roman" w:hAnsi="Times New Roman" w:cs="Times New Roman"/>
          <w:sz w:val="24"/>
          <w:szCs w:val="24"/>
        </w:rPr>
        <w:t>3 to 5</w:t>
      </w:r>
    </w:p>
    <w:p w14:paraId="57183B05" w14:textId="6947DA6B" w:rsidR="00F00C39" w:rsidRPr="00F00C39" w:rsidRDefault="00F00C39" w:rsidP="00370ACF">
      <w:pPr>
        <w:pStyle w:val="ListParagraph"/>
        <w:widowControl w:val="0"/>
        <w:numPr>
          <w:ilvl w:val="0"/>
          <w:numId w:val="26"/>
        </w:numPr>
        <w:tabs>
          <w:tab w:val="left" w:pos="828"/>
          <w:tab w:val="left" w:pos="886"/>
        </w:tabs>
        <w:autoSpaceDE w:val="0"/>
        <w:autoSpaceDN w:val="0"/>
        <w:spacing w:after="0" w:line="276" w:lineRule="auto"/>
        <w:ind w:right="184"/>
        <w:contextualSpacing w:val="0"/>
        <w:jc w:val="both"/>
        <w:rPr>
          <w:rFonts w:ascii="Times New Roman" w:hAnsi="Times New Roman" w:cs="Times New Roman"/>
          <w:sz w:val="24"/>
          <w:szCs w:val="24"/>
        </w:rPr>
      </w:pPr>
      <w:r w:rsidRPr="00F00C39">
        <w:rPr>
          <w:rFonts w:ascii="Times New Roman" w:hAnsi="Times New Roman" w:cs="Times New Roman"/>
          <w:sz w:val="24"/>
          <w:szCs w:val="24"/>
        </w:rPr>
        <w:t xml:space="preserve">Adam </w:t>
      </w:r>
      <w:proofErr w:type="spellStart"/>
      <w:r w:rsidRPr="00F00C39">
        <w:rPr>
          <w:rFonts w:ascii="Times New Roman" w:hAnsi="Times New Roman" w:cs="Times New Roman"/>
          <w:sz w:val="24"/>
          <w:szCs w:val="24"/>
        </w:rPr>
        <w:t>Cuker</w:t>
      </w:r>
      <w:proofErr w:type="spellEnd"/>
      <w:r w:rsidRPr="00F00C39">
        <w:rPr>
          <w:rFonts w:ascii="Times New Roman" w:hAnsi="Times New Roman" w:cs="Times New Roman"/>
          <w:sz w:val="24"/>
          <w:szCs w:val="24"/>
        </w:rPr>
        <w:t xml:space="preserve">, Douglas B. Cines, Immune thrombocytopenia, Department of medicine of pathology and laboratory medicine university of </w:t>
      </w:r>
      <w:proofErr w:type="spellStart"/>
      <w:proofErr w:type="gramStart"/>
      <w:r w:rsidRPr="00F00C39">
        <w:rPr>
          <w:rFonts w:ascii="Times New Roman" w:hAnsi="Times New Roman" w:cs="Times New Roman"/>
          <w:sz w:val="24"/>
          <w:szCs w:val="24"/>
        </w:rPr>
        <w:t>Pennsylvania,Philadelphia</w:t>
      </w:r>
      <w:proofErr w:type="spellEnd"/>
      <w:proofErr w:type="gramEnd"/>
      <w:r w:rsidRPr="00F00C39">
        <w:rPr>
          <w:rFonts w:ascii="Times New Roman" w:hAnsi="Times New Roman" w:cs="Times New Roman"/>
          <w:sz w:val="24"/>
          <w:szCs w:val="24"/>
        </w:rPr>
        <w:t xml:space="preserve"> PA ,</w:t>
      </w:r>
      <w:r w:rsidRPr="00F00C39">
        <w:rPr>
          <w:rFonts w:ascii="Times New Roman" w:hAnsi="Times New Roman" w:cs="Times New Roman"/>
          <w:spacing w:val="40"/>
          <w:sz w:val="24"/>
          <w:szCs w:val="24"/>
        </w:rPr>
        <w:t xml:space="preserve"> </w:t>
      </w:r>
      <w:r w:rsidRPr="00F00C39">
        <w:rPr>
          <w:rFonts w:ascii="Times New Roman" w:hAnsi="Times New Roman" w:cs="Times New Roman"/>
          <w:sz w:val="24"/>
          <w:szCs w:val="24"/>
        </w:rPr>
        <w:t>Page no.</w:t>
      </w:r>
      <w:r w:rsidR="00013F76">
        <w:rPr>
          <w:rFonts w:ascii="Times New Roman" w:hAnsi="Times New Roman" w:cs="Times New Roman"/>
          <w:sz w:val="24"/>
          <w:szCs w:val="24"/>
        </w:rPr>
        <w:t>5 to 6</w:t>
      </w:r>
    </w:p>
    <w:p w14:paraId="579D250D" w14:textId="1AFA7B73" w:rsidR="00F00C39" w:rsidRPr="00F00C39" w:rsidRDefault="00F00C39" w:rsidP="00370ACF">
      <w:pPr>
        <w:pStyle w:val="ListParagraph"/>
        <w:widowControl w:val="0"/>
        <w:numPr>
          <w:ilvl w:val="0"/>
          <w:numId w:val="26"/>
        </w:numPr>
        <w:tabs>
          <w:tab w:val="left" w:pos="826"/>
          <w:tab w:val="left" w:pos="828"/>
        </w:tabs>
        <w:autoSpaceDE w:val="0"/>
        <w:autoSpaceDN w:val="0"/>
        <w:spacing w:after="0" w:line="276" w:lineRule="auto"/>
        <w:ind w:right="161"/>
        <w:contextualSpacing w:val="0"/>
        <w:jc w:val="both"/>
        <w:rPr>
          <w:rFonts w:ascii="Times New Roman" w:hAnsi="Times New Roman" w:cs="Times New Roman"/>
          <w:sz w:val="24"/>
          <w:szCs w:val="24"/>
        </w:rPr>
      </w:pPr>
      <w:r w:rsidRPr="00F00C39">
        <w:rPr>
          <w:rFonts w:ascii="Times New Roman" w:hAnsi="Times New Roman" w:cs="Times New Roman"/>
          <w:sz w:val="24"/>
          <w:szCs w:val="24"/>
        </w:rPr>
        <w:t>Roberto Stasi, Maria Laura Evangelista, Idiopathic thrombocytopenic purpura: current concept in pathophysiology and management 2008 Page no.</w:t>
      </w:r>
      <w:r w:rsidR="00013F76">
        <w:rPr>
          <w:rFonts w:ascii="Times New Roman" w:hAnsi="Times New Roman" w:cs="Times New Roman"/>
          <w:sz w:val="24"/>
          <w:szCs w:val="24"/>
        </w:rPr>
        <w:t>245 to 256</w:t>
      </w:r>
    </w:p>
    <w:p w14:paraId="42A355B0" w14:textId="0F832356" w:rsidR="00F00C39" w:rsidRPr="00F00C39" w:rsidRDefault="00F00C39" w:rsidP="00370ACF">
      <w:pPr>
        <w:pStyle w:val="ListParagraph"/>
        <w:widowControl w:val="0"/>
        <w:numPr>
          <w:ilvl w:val="0"/>
          <w:numId w:val="26"/>
        </w:numPr>
        <w:tabs>
          <w:tab w:val="left" w:pos="826"/>
          <w:tab w:val="left" w:pos="828"/>
        </w:tabs>
        <w:autoSpaceDE w:val="0"/>
        <w:autoSpaceDN w:val="0"/>
        <w:spacing w:after="0" w:line="276" w:lineRule="auto"/>
        <w:ind w:right="511"/>
        <w:contextualSpacing w:val="0"/>
        <w:jc w:val="both"/>
        <w:rPr>
          <w:rFonts w:ascii="Times New Roman" w:hAnsi="Times New Roman" w:cs="Times New Roman"/>
          <w:sz w:val="24"/>
          <w:szCs w:val="24"/>
        </w:rPr>
      </w:pPr>
      <w:r w:rsidRPr="00F00C39">
        <w:rPr>
          <w:rFonts w:ascii="Times New Roman" w:hAnsi="Times New Roman" w:cs="Times New Roman"/>
          <w:sz w:val="24"/>
          <w:szCs w:val="24"/>
        </w:rPr>
        <w:t xml:space="preserve">Drew Proven, John W Semple, Recent advance in the mechanism and treatment of immune </w:t>
      </w:r>
      <w:proofErr w:type="spellStart"/>
      <w:proofErr w:type="gramStart"/>
      <w:r w:rsidRPr="00F00C39">
        <w:rPr>
          <w:rFonts w:ascii="Times New Roman" w:hAnsi="Times New Roman" w:cs="Times New Roman"/>
          <w:sz w:val="24"/>
          <w:szCs w:val="24"/>
        </w:rPr>
        <w:t>thrombocytopenia</w:t>
      </w:r>
      <w:r w:rsidR="00013F76">
        <w:rPr>
          <w:rFonts w:ascii="Times New Roman" w:hAnsi="Times New Roman" w:cs="Times New Roman"/>
          <w:sz w:val="24"/>
          <w:szCs w:val="24"/>
        </w:rPr>
        <w:t>.Page</w:t>
      </w:r>
      <w:proofErr w:type="spellEnd"/>
      <w:proofErr w:type="gramEnd"/>
      <w:r w:rsidR="00013F76">
        <w:rPr>
          <w:rFonts w:ascii="Times New Roman" w:hAnsi="Times New Roman" w:cs="Times New Roman"/>
          <w:sz w:val="24"/>
          <w:szCs w:val="24"/>
        </w:rPr>
        <w:t xml:space="preserve"> no. 4 to 6</w:t>
      </w:r>
    </w:p>
    <w:p w14:paraId="0F1B2558" w14:textId="6297DE21" w:rsidR="00F00C39" w:rsidRPr="00F00C39" w:rsidRDefault="00F00C39" w:rsidP="00370ACF">
      <w:pPr>
        <w:pStyle w:val="ListParagraph"/>
        <w:widowControl w:val="0"/>
        <w:numPr>
          <w:ilvl w:val="0"/>
          <w:numId w:val="26"/>
        </w:numPr>
        <w:tabs>
          <w:tab w:val="left" w:pos="826"/>
          <w:tab w:val="left" w:pos="828"/>
        </w:tabs>
        <w:autoSpaceDE w:val="0"/>
        <w:autoSpaceDN w:val="0"/>
        <w:spacing w:after="0" w:line="276" w:lineRule="auto"/>
        <w:ind w:right="1432"/>
        <w:contextualSpacing w:val="0"/>
        <w:jc w:val="both"/>
        <w:rPr>
          <w:rFonts w:ascii="Times New Roman" w:hAnsi="Times New Roman" w:cs="Times New Roman"/>
          <w:sz w:val="24"/>
          <w:szCs w:val="24"/>
        </w:rPr>
      </w:pPr>
      <w:r w:rsidRPr="00F00C39">
        <w:rPr>
          <w:rFonts w:ascii="Times New Roman" w:hAnsi="Times New Roman" w:cs="Times New Roman"/>
          <w:sz w:val="24"/>
          <w:szCs w:val="24"/>
        </w:rPr>
        <w:t xml:space="preserve">Nichola Cooper MD MBBS, Waleed Ghanima MB </w:t>
      </w:r>
      <w:proofErr w:type="spellStart"/>
      <w:proofErr w:type="gramStart"/>
      <w:r w:rsidRPr="00F00C39">
        <w:rPr>
          <w:rFonts w:ascii="Times New Roman" w:hAnsi="Times New Roman" w:cs="Times New Roman"/>
          <w:sz w:val="24"/>
          <w:szCs w:val="24"/>
        </w:rPr>
        <w:t>Ch.B</w:t>
      </w:r>
      <w:proofErr w:type="spellEnd"/>
      <w:proofErr w:type="gramEnd"/>
      <w:r w:rsidRPr="00F00C39">
        <w:rPr>
          <w:rFonts w:ascii="Times New Roman" w:hAnsi="Times New Roman" w:cs="Times New Roman"/>
          <w:sz w:val="24"/>
          <w:szCs w:val="24"/>
        </w:rPr>
        <w:t xml:space="preserve"> </w:t>
      </w:r>
      <w:proofErr w:type="spellStart"/>
      <w:r w:rsidRPr="00F00C39">
        <w:rPr>
          <w:rFonts w:ascii="Times New Roman" w:hAnsi="Times New Roman" w:cs="Times New Roman"/>
          <w:sz w:val="24"/>
          <w:szCs w:val="24"/>
        </w:rPr>
        <w:t>Ph.D</w:t>
      </w:r>
      <w:proofErr w:type="spellEnd"/>
      <w:r w:rsidRPr="00F00C39">
        <w:rPr>
          <w:rFonts w:ascii="Times New Roman" w:hAnsi="Times New Roman" w:cs="Times New Roman"/>
          <w:sz w:val="24"/>
          <w:szCs w:val="24"/>
        </w:rPr>
        <w:t xml:space="preserve">, Immune </w:t>
      </w:r>
      <w:r w:rsidRPr="00F00C39">
        <w:rPr>
          <w:rFonts w:ascii="Times New Roman" w:hAnsi="Times New Roman" w:cs="Times New Roman"/>
          <w:spacing w:val="-2"/>
          <w:sz w:val="24"/>
          <w:szCs w:val="24"/>
        </w:rPr>
        <w:t>thrombocytopenia</w:t>
      </w:r>
      <w:r w:rsidR="00C36210">
        <w:rPr>
          <w:rFonts w:ascii="Times New Roman" w:hAnsi="Times New Roman" w:cs="Times New Roman"/>
          <w:spacing w:val="-2"/>
          <w:sz w:val="24"/>
          <w:szCs w:val="24"/>
        </w:rPr>
        <w:t xml:space="preserve"> </w:t>
      </w:r>
      <w:proofErr w:type="spellStart"/>
      <w:r w:rsidR="00C36210">
        <w:rPr>
          <w:rFonts w:ascii="Times New Roman" w:hAnsi="Times New Roman" w:cs="Times New Roman"/>
          <w:spacing w:val="-2"/>
          <w:sz w:val="24"/>
          <w:szCs w:val="24"/>
        </w:rPr>
        <w:t>pg</w:t>
      </w:r>
      <w:proofErr w:type="spellEnd"/>
      <w:r w:rsidR="00C36210">
        <w:rPr>
          <w:rFonts w:ascii="Times New Roman" w:hAnsi="Times New Roman" w:cs="Times New Roman"/>
          <w:spacing w:val="-2"/>
          <w:sz w:val="24"/>
          <w:szCs w:val="24"/>
        </w:rPr>
        <w:t xml:space="preserve"> no. 945 to 946</w:t>
      </w:r>
    </w:p>
    <w:p w14:paraId="1F7463BB" w14:textId="77777777" w:rsidR="00F00C39" w:rsidRPr="00F00C39" w:rsidRDefault="00F00C39" w:rsidP="00370ACF">
      <w:pPr>
        <w:pStyle w:val="ListParagraph"/>
        <w:widowControl w:val="0"/>
        <w:numPr>
          <w:ilvl w:val="0"/>
          <w:numId w:val="26"/>
        </w:numPr>
        <w:tabs>
          <w:tab w:val="left" w:pos="826"/>
          <w:tab w:val="left" w:pos="828"/>
        </w:tabs>
        <w:autoSpaceDE w:val="0"/>
        <w:autoSpaceDN w:val="0"/>
        <w:spacing w:after="0" w:line="276" w:lineRule="auto"/>
        <w:ind w:right="815"/>
        <w:contextualSpacing w:val="0"/>
        <w:jc w:val="both"/>
        <w:rPr>
          <w:rFonts w:ascii="Times New Roman" w:hAnsi="Times New Roman" w:cs="Times New Roman"/>
          <w:sz w:val="24"/>
          <w:szCs w:val="24"/>
        </w:rPr>
      </w:pPr>
      <w:r w:rsidRPr="00F00C39">
        <w:rPr>
          <w:rFonts w:ascii="Times New Roman" w:hAnsi="Times New Roman" w:cs="Times New Roman"/>
          <w:sz w:val="24"/>
          <w:szCs w:val="24"/>
        </w:rPr>
        <w:t xml:space="preserve">Olsson B, Anderson PO, T-cell mediated cytotoxic </w:t>
      </w:r>
      <w:proofErr w:type="spellStart"/>
      <w:r w:rsidRPr="00F00C39">
        <w:rPr>
          <w:rFonts w:ascii="Times New Roman" w:hAnsi="Times New Roman" w:cs="Times New Roman"/>
          <w:sz w:val="24"/>
          <w:szCs w:val="24"/>
        </w:rPr>
        <w:t>towords</w:t>
      </w:r>
      <w:proofErr w:type="spellEnd"/>
      <w:r w:rsidRPr="00F00C39">
        <w:rPr>
          <w:rFonts w:ascii="Times New Roman" w:hAnsi="Times New Roman" w:cs="Times New Roman"/>
          <w:sz w:val="24"/>
          <w:szCs w:val="24"/>
        </w:rPr>
        <w:t xml:space="preserve"> platelets in chronic idiopathic thrombocytopenic purpura Nat med 2003</w:t>
      </w:r>
    </w:p>
    <w:p w14:paraId="4F22D0B4" w14:textId="4E15F49C" w:rsidR="00F00C39" w:rsidRPr="00F00C39" w:rsidRDefault="00F00C39" w:rsidP="00370ACF">
      <w:pPr>
        <w:pStyle w:val="ListParagraph"/>
        <w:widowControl w:val="0"/>
        <w:numPr>
          <w:ilvl w:val="0"/>
          <w:numId w:val="26"/>
        </w:numPr>
        <w:tabs>
          <w:tab w:val="left" w:pos="826"/>
          <w:tab w:val="left" w:pos="828"/>
        </w:tabs>
        <w:autoSpaceDE w:val="0"/>
        <w:autoSpaceDN w:val="0"/>
        <w:spacing w:after="0" w:line="276" w:lineRule="auto"/>
        <w:ind w:right="267"/>
        <w:contextualSpacing w:val="0"/>
        <w:jc w:val="both"/>
        <w:rPr>
          <w:rFonts w:ascii="Times New Roman" w:hAnsi="Times New Roman" w:cs="Times New Roman"/>
          <w:sz w:val="24"/>
          <w:szCs w:val="24"/>
        </w:rPr>
      </w:pPr>
      <w:r w:rsidRPr="00F00C39">
        <w:rPr>
          <w:rFonts w:ascii="Times New Roman" w:hAnsi="Times New Roman" w:cs="Times New Roman"/>
          <w:sz w:val="24"/>
          <w:szCs w:val="24"/>
        </w:rPr>
        <w:t xml:space="preserve">Anurag Singh, Primary immune thrombocytopenia novel insights into </w:t>
      </w:r>
      <w:proofErr w:type="spellStart"/>
      <w:r w:rsidRPr="00F00C39">
        <w:rPr>
          <w:rFonts w:ascii="Times New Roman" w:hAnsi="Times New Roman" w:cs="Times New Roman"/>
          <w:sz w:val="24"/>
          <w:szCs w:val="24"/>
        </w:rPr>
        <w:t>pathophysiogy</w:t>
      </w:r>
      <w:proofErr w:type="spellEnd"/>
      <w:r w:rsidRPr="00F00C39">
        <w:rPr>
          <w:rFonts w:ascii="Times New Roman" w:hAnsi="Times New Roman" w:cs="Times New Roman"/>
          <w:sz w:val="24"/>
          <w:szCs w:val="24"/>
        </w:rPr>
        <w:t xml:space="preserve"> and disease management, Journal of clinical </w:t>
      </w:r>
      <w:proofErr w:type="spellStart"/>
      <w:proofErr w:type="gramStart"/>
      <w:r w:rsidRPr="00F00C39">
        <w:rPr>
          <w:rFonts w:ascii="Times New Roman" w:hAnsi="Times New Roman" w:cs="Times New Roman"/>
          <w:sz w:val="24"/>
          <w:szCs w:val="24"/>
        </w:rPr>
        <w:t>medicine,Page</w:t>
      </w:r>
      <w:proofErr w:type="spellEnd"/>
      <w:proofErr w:type="gramEnd"/>
      <w:r w:rsidRPr="00F00C39">
        <w:rPr>
          <w:rFonts w:ascii="Times New Roman" w:hAnsi="Times New Roman" w:cs="Times New Roman"/>
          <w:sz w:val="24"/>
          <w:szCs w:val="24"/>
        </w:rPr>
        <w:t xml:space="preserve"> no.</w:t>
      </w:r>
      <w:r w:rsidR="00635834">
        <w:rPr>
          <w:rFonts w:ascii="Times New Roman" w:hAnsi="Times New Roman" w:cs="Times New Roman"/>
          <w:sz w:val="24"/>
          <w:szCs w:val="24"/>
        </w:rPr>
        <w:t>2 to 3</w:t>
      </w:r>
    </w:p>
    <w:p w14:paraId="05AD6615" w14:textId="258C2720" w:rsidR="00F00C39" w:rsidRPr="00F00C39" w:rsidRDefault="00F00C39" w:rsidP="00370ACF">
      <w:pPr>
        <w:pStyle w:val="ListParagraph"/>
        <w:widowControl w:val="0"/>
        <w:numPr>
          <w:ilvl w:val="0"/>
          <w:numId w:val="26"/>
        </w:numPr>
        <w:tabs>
          <w:tab w:val="left" w:pos="826"/>
          <w:tab w:val="left" w:pos="828"/>
        </w:tabs>
        <w:autoSpaceDE w:val="0"/>
        <w:autoSpaceDN w:val="0"/>
        <w:spacing w:after="0" w:line="276" w:lineRule="auto"/>
        <w:ind w:right="875"/>
        <w:contextualSpacing w:val="0"/>
        <w:jc w:val="both"/>
        <w:rPr>
          <w:rFonts w:ascii="Times New Roman" w:hAnsi="Times New Roman" w:cs="Times New Roman"/>
          <w:sz w:val="24"/>
          <w:szCs w:val="24"/>
        </w:rPr>
      </w:pPr>
      <w:r w:rsidRPr="00F00C39">
        <w:rPr>
          <w:rFonts w:ascii="Times New Roman" w:hAnsi="Times New Roman" w:cs="Times New Roman"/>
          <w:sz w:val="24"/>
          <w:szCs w:val="24"/>
        </w:rPr>
        <w:t>Mihnea-</w:t>
      </w:r>
      <w:proofErr w:type="spellStart"/>
      <w:r w:rsidRPr="00F00C39">
        <w:rPr>
          <w:rFonts w:ascii="Times New Roman" w:hAnsi="Times New Roman" w:cs="Times New Roman"/>
          <w:sz w:val="24"/>
          <w:szCs w:val="24"/>
        </w:rPr>
        <w:t>Alexandu</w:t>
      </w:r>
      <w:proofErr w:type="spellEnd"/>
      <w:r w:rsidRPr="00F00C39">
        <w:rPr>
          <w:rFonts w:ascii="Times New Roman" w:hAnsi="Times New Roman" w:cs="Times New Roman"/>
          <w:sz w:val="24"/>
          <w:szCs w:val="24"/>
        </w:rPr>
        <w:t xml:space="preserve"> Caman, </w:t>
      </w:r>
      <w:proofErr w:type="spellStart"/>
      <w:r w:rsidRPr="00F00C39">
        <w:rPr>
          <w:rFonts w:ascii="Times New Roman" w:hAnsi="Times New Roman" w:cs="Times New Roman"/>
          <w:sz w:val="24"/>
          <w:szCs w:val="24"/>
        </w:rPr>
        <w:t>Pathophsiology</w:t>
      </w:r>
      <w:proofErr w:type="spellEnd"/>
      <w:r w:rsidRPr="00F00C39">
        <w:rPr>
          <w:rFonts w:ascii="Times New Roman" w:hAnsi="Times New Roman" w:cs="Times New Roman"/>
          <w:sz w:val="24"/>
          <w:szCs w:val="24"/>
        </w:rPr>
        <w:t xml:space="preserve"> diagnosis and treatment of immune thrombocytopenia, </w:t>
      </w:r>
      <w:proofErr w:type="gramStart"/>
      <w:r w:rsidRPr="00F00C39">
        <w:rPr>
          <w:rFonts w:ascii="Times New Roman" w:hAnsi="Times New Roman" w:cs="Times New Roman"/>
          <w:sz w:val="24"/>
          <w:szCs w:val="24"/>
        </w:rPr>
        <w:t>International</w:t>
      </w:r>
      <w:proofErr w:type="gramEnd"/>
      <w:r w:rsidRPr="00F00C39">
        <w:rPr>
          <w:rFonts w:ascii="Times New Roman" w:hAnsi="Times New Roman" w:cs="Times New Roman"/>
          <w:sz w:val="24"/>
          <w:szCs w:val="24"/>
        </w:rPr>
        <w:t xml:space="preserve"> journal of medical student, Page no.</w:t>
      </w:r>
      <w:r w:rsidR="00C36210">
        <w:rPr>
          <w:rFonts w:ascii="Times New Roman" w:hAnsi="Times New Roman" w:cs="Times New Roman"/>
          <w:sz w:val="24"/>
          <w:szCs w:val="24"/>
        </w:rPr>
        <w:t>1 to 2</w:t>
      </w:r>
    </w:p>
    <w:p w14:paraId="6831DB30" w14:textId="77777777" w:rsidR="00F00C39" w:rsidRPr="00F00C39" w:rsidRDefault="00F00C39" w:rsidP="00370ACF">
      <w:pPr>
        <w:pStyle w:val="ListParagraph"/>
        <w:widowControl w:val="0"/>
        <w:numPr>
          <w:ilvl w:val="0"/>
          <w:numId w:val="26"/>
        </w:numPr>
        <w:tabs>
          <w:tab w:val="left" w:pos="826"/>
          <w:tab w:val="left" w:pos="828"/>
        </w:tabs>
        <w:autoSpaceDE w:val="0"/>
        <w:autoSpaceDN w:val="0"/>
        <w:spacing w:after="0" w:line="276" w:lineRule="auto"/>
        <w:ind w:right="674"/>
        <w:contextualSpacing w:val="0"/>
        <w:jc w:val="both"/>
        <w:rPr>
          <w:rFonts w:ascii="Times New Roman" w:hAnsi="Times New Roman" w:cs="Times New Roman"/>
          <w:sz w:val="24"/>
          <w:szCs w:val="24"/>
        </w:rPr>
      </w:pPr>
      <w:r w:rsidRPr="00F00C39">
        <w:rPr>
          <w:rFonts w:ascii="Times New Roman" w:hAnsi="Times New Roman" w:cs="Times New Roman"/>
          <w:sz w:val="24"/>
          <w:szCs w:val="24"/>
        </w:rPr>
        <w:t xml:space="preserve">Siyu Sun, Rolf T. </w:t>
      </w:r>
      <w:proofErr w:type="gramStart"/>
      <w:r w:rsidRPr="00F00C39">
        <w:rPr>
          <w:rFonts w:ascii="Times New Roman" w:hAnsi="Times New Roman" w:cs="Times New Roman"/>
          <w:sz w:val="24"/>
          <w:szCs w:val="24"/>
        </w:rPr>
        <w:t>U</w:t>
      </w:r>
      <w:r w:rsidRPr="00F00C39">
        <w:rPr>
          <w:rFonts w:ascii="Times New Roman" w:hAnsi="Times New Roman" w:cs="Times New Roman"/>
          <w:sz w:val="24"/>
          <w:szCs w:val="24"/>
          <w:u w:val="single"/>
        </w:rPr>
        <w:t>rbanus</w:t>
      </w:r>
      <w:r w:rsidRPr="00F00C39">
        <w:rPr>
          <w:rFonts w:ascii="Times New Roman" w:hAnsi="Times New Roman" w:cs="Times New Roman"/>
          <w:sz w:val="24"/>
          <w:szCs w:val="24"/>
        </w:rPr>
        <w:t xml:space="preserve"> ,</w:t>
      </w:r>
      <w:proofErr w:type="gramEnd"/>
      <w:r w:rsidRPr="00F00C39">
        <w:rPr>
          <w:rFonts w:ascii="Times New Roman" w:hAnsi="Times New Roman" w:cs="Times New Roman"/>
          <w:sz w:val="24"/>
          <w:szCs w:val="24"/>
        </w:rPr>
        <w:t xml:space="preserve"> Platelets activation mechanism and consequences of immune thrombocytopenia, cells, Page no. 4</w:t>
      </w:r>
    </w:p>
    <w:p w14:paraId="5BB2BD0B" w14:textId="087FAEB0" w:rsidR="00F00C39" w:rsidRPr="00F00C39" w:rsidRDefault="00F00C39" w:rsidP="00370ACF">
      <w:pPr>
        <w:pStyle w:val="ListParagraph"/>
        <w:widowControl w:val="0"/>
        <w:numPr>
          <w:ilvl w:val="0"/>
          <w:numId w:val="26"/>
        </w:numPr>
        <w:tabs>
          <w:tab w:val="left" w:pos="828"/>
          <w:tab w:val="left" w:pos="884"/>
        </w:tabs>
        <w:autoSpaceDE w:val="0"/>
        <w:autoSpaceDN w:val="0"/>
        <w:spacing w:after="0" w:line="276" w:lineRule="auto"/>
        <w:ind w:right="1893"/>
        <w:contextualSpacing w:val="0"/>
        <w:jc w:val="both"/>
        <w:rPr>
          <w:rFonts w:ascii="Times New Roman" w:hAnsi="Times New Roman" w:cs="Times New Roman"/>
          <w:sz w:val="24"/>
          <w:szCs w:val="24"/>
        </w:rPr>
      </w:pPr>
      <w:proofErr w:type="spellStart"/>
      <w:r w:rsidRPr="00F00C39">
        <w:rPr>
          <w:rFonts w:ascii="Times New Roman" w:hAnsi="Times New Roman" w:cs="Times New Roman"/>
          <w:sz w:val="24"/>
          <w:szCs w:val="24"/>
        </w:rPr>
        <w:t>Shosaku</w:t>
      </w:r>
      <w:proofErr w:type="spellEnd"/>
      <w:r w:rsidRPr="00F00C39">
        <w:rPr>
          <w:rFonts w:ascii="Times New Roman" w:hAnsi="Times New Roman" w:cs="Times New Roman"/>
          <w:sz w:val="24"/>
          <w:szCs w:val="24"/>
        </w:rPr>
        <w:t xml:space="preserve"> Nomura, Advance in diagnosis and treatment for immune thrombocytopenia, Page no. 17-18</w:t>
      </w:r>
    </w:p>
    <w:p w14:paraId="730B2B74" w14:textId="77777777" w:rsidR="00F00C39" w:rsidRDefault="00F00C39" w:rsidP="00370ACF">
      <w:pPr>
        <w:pStyle w:val="ListParagraph"/>
        <w:widowControl w:val="0"/>
        <w:numPr>
          <w:ilvl w:val="0"/>
          <w:numId w:val="26"/>
        </w:numPr>
        <w:tabs>
          <w:tab w:val="left" w:pos="826"/>
          <w:tab w:val="left" w:pos="828"/>
        </w:tabs>
        <w:autoSpaceDE w:val="0"/>
        <w:autoSpaceDN w:val="0"/>
        <w:spacing w:after="0" w:line="276" w:lineRule="auto"/>
        <w:ind w:right="1158"/>
        <w:contextualSpacing w:val="0"/>
        <w:jc w:val="both"/>
        <w:rPr>
          <w:rFonts w:ascii="Times New Roman" w:hAnsi="Times New Roman" w:cs="Times New Roman"/>
          <w:sz w:val="24"/>
          <w:szCs w:val="24"/>
        </w:rPr>
      </w:pPr>
      <w:r w:rsidRPr="00F00C39">
        <w:rPr>
          <w:rFonts w:ascii="Times New Roman" w:hAnsi="Times New Roman" w:cs="Times New Roman"/>
          <w:sz w:val="24"/>
          <w:szCs w:val="24"/>
        </w:rPr>
        <w:t xml:space="preserve">Mohamad Hosein </w:t>
      </w:r>
      <w:proofErr w:type="spellStart"/>
      <w:r w:rsidRPr="00F00C39">
        <w:rPr>
          <w:rFonts w:ascii="Times New Roman" w:hAnsi="Times New Roman" w:cs="Times New Roman"/>
          <w:sz w:val="24"/>
          <w:szCs w:val="24"/>
        </w:rPr>
        <w:t>Lookzadeh</w:t>
      </w:r>
      <w:proofErr w:type="spellEnd"/>
      <w:r w:rsidRPr="00F00C39">
        <w:rPr>
          <w:rFonts w:ascii="Times New Roman" w:hAnsi="Times New Roman" w:cs="Times New Roman"/>
          <w:sz w:val="24"/>
          <w:szCs w:val="24"/>
        </w:rPr>
        <w:t>, Immune and Non-immune etiology of thrombocytopenia</w:t>
      </w:r>
      <w:r w:rsidRPr="00F00C39">
        <w:rPr>
          <w:rFonts w:ascii="Times New Roman" w:hAnsi="Times New Roman" w:cs="Times New Roman"/>
          <w:spacing w:val="40"/>
          <w:sz w:val="24"/>
          <w:szCs w:val="24"/>
        </w:rPr>
        <w:t xml:space="preserve"> </w:t>
      </w:r>
      <w:r w:rsidRPr="00F00C39">
        <w:rPr>
          <w:rFonts w:ascii="Times New Roman" w:hAnsi="Times New Roman" w:cs="Times New Roman"/>
          <w:sz w:val="24"/>
          <w:szCs w:val="24"/>
        </w:rPr>
        <w:t>neonatal and maternal causes, World journal of peri and neonatology, Page no. 79</w:t>
      </w:r>
      <w:bookmarkEnd w:id="0"/>
    </w:p>
    <w:p w14:paraId="76D4B708" w14:textId="606E9296" w:rsidR="00A11147" w:rsidRPr="00492697" w:rsidRDefault="00A11147" w:rsidP="00370ACF">
      <w:pPr>
        <w:pStyle w:val="ListParagraph"/>
        <w:widowControl w:val="0"/>
        <w:numPr>
          <w:ilvl w:val="0"/>
          <w:numId w:val="26"/>
        </w:numPr>
        <w:tabs>
          <w:tab w:val="left" w:pos="826"/>
          <w:tab w:val="left" w:pos="828"/>
        </w:tabs>
        <w:autoSpaceDE w:val="0"/>
        <w:autoSpaceDN w:val="0"/>
        <w:spacing w:after="0" w:line="276" w:lineRule="auto"/>
        <w:ind w:right="1158"/>
        <w:contextualSpacing w:val="0"/>
        <w:jc w:val="both"/>
        <w:rPr>
          <w:rFonts w:ascii="Times New Roman" w:hAnsi="Times New Roman" w:cs="Times New Roman"/>
          <w:sz w:val="24"/>
          <w:szCs w:val="24"/>
        </w:rPr>
      </w:pPr>
      <w:r w:rsidRPr="00492697">
        <w:rPr>
          <w:rFonts w:ascii="Times New Roman" w:hAnsi="Times New Roman" w:cs="Times New Roman"/>
          <w:sz w:val="24"/>
          <w:szCs w:val="24"/>
        </w:rPr>
        <w:t xml:space="preserve">Margot samson, Treatment for primary immune </w:t>
      </w:r>
      <w:proofErr w:type="spellStart"/>
      <w:proofErr w:type="gramStart"/>
      <w:r w:rsidRPr="00492697">
        <w:rPr>
          <w:rFonts w:ascii="Times New Roman" w:hAnsi="Times New Roman" w:cs="Times New Roman"/>
          <w:sz w:val="24"/>
          <w:szCs w:val="24"/>
        </w:rPr>
        <w:t>thrombocytopenis</w:t>
      </w:r>
      <w:proofErr w:type="spellEnd"/>
      <w:r w:rsidRPr="00492697">
        <w:rPr>
          <w:rFonts w:ascii="Times New Roman" w:hAnsi="Times New Roman" w:cs="Times New Roman"/>
          <w:sz w:val="24"/>
          <w:szCs w:val="24"/>
        </w:rPr>
        <w:t xml:space="preserve"> :</w:t>
      </w:r>
      <w:proofErr w:type="gramEnd"/>
      <w:r w:rsidRPr="00492697">
        <w:rPr>
          <w:rFonts w:ascii="Times New Roman" w:hAnsi="Times New Roman" w:cs="Times New Roman"/>
          <w:sz w:val="24"/>
          <w:szCs w:val="24"/>
        </w:rPr>
        <w:t xml:space="preserve"> A review, Emergency medicine university of central </w:t>
      </w:r>
      <w:proofErr w:type="spellStart"/>
      <w:r w:rsidRPr="00492697">
        <w:rPr>
          <w:rFonts w:ascii="Times New Roman" w:hAnsi="Times New Roman" w:cs="Times New Roman"/>
          <w:sz w:val="24"/>
          <w:szCs w:val="24"/>
        </w:rPr>
        <w:t>florida</w:t>
      </w:r>
      <w:proofErr w:type="spellEnd"/>
      <w:r w:rsidRPr="00492697">
        <w:rPr>
          <w:rFonts w:ascii="Times New Roman" w:hAnsi="Times New Roman" w:cs="Times New Roman"/>
          <w:sz w:val="24"/>
          <w:szCs w:val="24"/>
        </w:rPr>
        <w:t xml:space="preserve"> college of medicine, page no.</w:t>
      </w:r>
      <w:r w:rsidR="00AF6E50">
        <w:rPr>
          <w:rFonts w:ascii="Times New Roman" w:hAnsi="Times New Roman" w:cs="Times New Roman"/>
          <w:sz w:val="24"/>
          <w:szCs w:val="24"/>
        </w:rPr>
        <w:t>2 to 7</w:t>
      </w:r>
      <w:r w:rsidRPr="00492697">
        <w:rPr>
          <w:rFonts w:ascii="Times New Roman" w:hAnsi="Times New Roman" w:cs="Times New Roman"/>
          <w:sz w:val="24"/>
          <w:szCs w:val="24"/>
        </w:rPr>
        <w:t xml:space="preserve"> </w:t>
      </w:r>
    </w:p>
    <w:p w14:paraId="330F8E59" w14:textId="11C1C424" w:rsidR="00A11147" w:rsidRPr="00492697" w:rsidRDefault="00A11147" w:rsidP="00370ACF">
      <w:pPr>
        <w:pStyle w:val="ListParagraph"/>
        <w:widowControl w:val="0"/>
        <w:numPr>
          <w:ilvl w:val="0"/>
          <w:numId w:val="26"/>
        </w:numPr>
        <w:tabs>
          <w:tab w:val="left" w:pos="826"/>
          <w:tab w:val="left" w:pos="828"/>
        </w:tabs>
        <w:autoSpaceDE w:val="0"/>
        <w:autoSpaceDN w:val="0"/>
        <w:spacing w:after="0" w:line="276" w:lineRule="auto"/>
        <w:ind w:right="1158"/>
        <w:contextualSpacing w:val="0"/>
        <w:jc w:val="both"/>
        <w:rPr>
          <w:rFonts w:ascii="Times New Roman" w:hAnsi="Times New Roman" w:cs="Times New Roman"/>
          <w:sz w:val="24"/>
          <w:szCs w:val="24"/>
        </w:rPr>
      </w:pPr>
      <w:r w:rsidRPr="00492697">
        <w:rPr>
          <w:rFonts w:ascii="Times New Roman" w:hAnsi="Times New Roman" w:cs="Times New Roman"/>
          <w:sz w:val="24"/>
          <w:szCs w:val="24"/>
        </w:rPr>
        <w:t>James N. George</w:t>
      </w:r>
      <w:r w:rsidR="00492697" w:rsidRPr="00492697">
        <w:rPr>
          <w:rFonts w:ascii="Times New Roman" w:hAnsi="Times New Roman" w:cs="Times New Roman"/>
          <w:sz w:val="24"/>
          <w:szCs w:val="24"/>
        </w:rPr>
        <w:t xml:space="preserve">, Sequence of </w:t>
      </w:r>
      <w:proofErr w:type="gramStart"/>
      <w:r w:rsidR="00492697" w:rsidRPr="00492697">
        <w:rPr>
          <w:rFonts w:ascii="Times New Roman" w:hAnsi="Times New Roman" w:cs="Times New Roman"/>
          <w:sz w:val="24"/>
          <w:szCs w:val="24"/>
        </w:rPr>
        <w:t>treatment  for</w:t>
      </w:r>
      <w:proofErr w:type="gramEnd"/>
      <w:r w:rsidR="00492697" w:rsidRPr="00492697">
        <w:rPr>
          <w:rFonts w:ascii="Times New Roman" w:hAnsi="Times New Roman" w:cs="Times New Roman"/>
          <w:sz w:val="24"/>
          <w:szCs w:val="24"/>
        </w:rPr>
        <w:t xml:space="preserve"> adult with primary immune thrombocytopenia, page no. </w:t>
      </w:r>
      <w:r w:rsidR="00AF6E50">
        <w:rPr>
          <w:rFonts w:ascii="Times New Roman" w:hAnsi="Times New Roman" w:cs="Times New Roman"/>
          <w:sz w:val="24"/>
          <w:szCs w:val="24"/>
        </w:rPr>
        <w:t>12 to 13</w:t>
      </w:r>
    </w:p>
    <w:p w14:paraId="20C32E0D" w14:textId="5B813C61" w:rsidR="00492697" w:rsidRPr="00492697" w:rsidRDefault="00492697" w:rsidP="00370ACF">
      <w:pPr>
        <w:pStyle w:val="ListParagraph"/>
        <w:widowControl w:val="0"/>
        <w:numPr>
          <w:ilvl w:val="0"/>
          <w:numId w:val="26"/>
        </w:numPr>
        <w:tabs>
          <w:tab w:val="left" w:pos="826"/>
          <w:tab w:val="left" w:pos="828"/>
        </w:tabs>
        <w:autoSpaceDE w:val="0"/>
        <w:autoSpaceDN w:val="0"/>
        <w:spacing w:after="0" w:line="276" w:lineRule="auto"/>
        <w:ind w:right="1158"/>
        <w:contextualSpacing w:val="0"/>
        <w:jc w:val="both"/>
        <w:rPr>
          <w:rFonts w:ascii="Times New Roman" w:hAnsi="Times New Roman" w:cs="Times New Roman"/>
          <w:sz w:val="24"/>
          <w:szCs w:val="24"/>
        </w:rPr>
      </w:pPr>
      <w:r w:rsidRPr="00492697">
        <w:rPr>
          <w:rFonts w:ascii="Times New Roman" w:hAnsi="Times New Roman" w:cs="Times New Roman"/>
          <w:sz w:val="24"/>
          <w:szCs w:val="24"/>
        </w:rPr>
        <w:t xml:space="preserve">Roberto Stasi, immune thrombocytopenia </w:t>
      </w:r>
      <w:proofErr w:type="gramStart"/>
      <w:r w:rsidRPr="00492697">
        <w:rPr>
          <w:rFonts w:ascii="Times New Roman" w:hAnsi="Times New Roman" w:cs="Times New Roman"/>
          <w:sz w:val="24"/>
          <w:szCs w:val="24"/>
        </w:rPr>
        <w:t>purpura :</w:t>
      </w:r>
      <w:proofErr w:type="gramEnd"/>
      <w:r w:rsidRPr="00492697">
        <w:rPr>
          <w:rFonts w:ascii="Times New Roman" w:hAnsi="Times New Roman" w:cs="Times New Roman"/>
          <w:sz w:val="24"/>
          <w:szCs w:val="24"/>
        </w:rPr>
        <w:t xml:space="preserve"> the treatment paradigm, Department of medical sciences, page no. </w:t>
      </w:r>
      <w:r w:rsidR="00AF6E50">
        <w:rPr>
          <w:rFonts w:ascii="Times New Roman" w:hAnsi="Times New Roman" w:cs="Times New Roman"/>
          <w:sz w:val="24"/>
          <w:szCs w:val="24"/>
        </w:rPr>
        <w:t>13 to 17</w:t>
      </w:r>
    </w:p>
    <w:p w14:paraId="0714A3AE" w14:textId="77777777" w:rsidR="0086375D" w:rsidRPr="00492697" w:rsidRDefault="0086375D" w:rsidP="00370ACF">
      <w:pPr>
        <w:spacing w:line="276" w:lineRule="auto"/>
        <w:jc w:val="both"/>
        <w:rPr>
          <w:rFonts w:ascii="Times New Roman" w:hAnsi="Times New Roman" w:cs="Times New Roman"/>
          <w:sz w:val="24"/>
          <w:szCs w:val="24"/>
        </w:rPr>
      </w:pPr>
    </w:p>
    <w:p w14:paraId="3DD7F6DE" w14:textId="77777777" w:rsidR="0086375D" w:rsidRDefault="0086375D" w:rsidP="00370ACF">
      <w:pPr>
        <w:spacing w:line="276" w:lineRule="auto"/>
        <w:jc w:val="both"/>
      </w:pPr>
    </w:p>
    <w:p w14:paraId="21268661" w14:textId="77777777" w:rsidR="0086375D" w:rsidRDefault="0086375D" w:rsidP="00370ACF">
      <w:pPr>
        <w:spacing w:line="276" w:lineRule="auto"/>
        <w:jc w:val="both"/>
      </w:pPr>
    </w:p>
    <w:p w14:paraId="2CA9B972" w14:textId="3B574C0F" w:rsidR="009F2A17" w:rsidRDefault="009F2A17" w:rsidP="00370ACF">
      <w:pPr>
        <w:spacing w:line="276" w:lineRule="auto"/>
        <w:jc w:val="both"/>
      </w:pPr>
    </w:p>
    <w:sdt>
      <w:sdtPr>
        <w:rPr>
          <w:rFonts w:asciiTheme="minorHAnsi" w:eastAsiaTheme="minorHAnsi" w:hAnsiTheme="minorHAnsi" w:cstheme="minorBidi"/>
          <w:color w:val="auto"/>
          <w:sz w:val="22"/>
          <w:szCs w:val="22"/>
        </w:rPr>
        <w:id w:val="1960605082"/>
        <w:docPartObj>
          <w:docPartGallery w:val="Bibliographies"/>
          <w:docPartUnique/>
        </w:docPartObj>
      </w:sdtPr>
      <w:sdtEndPr>
        <w:rPr>
          <w:rFonts w:eastAsiaTheme="minorEastAsia"/>
          <w:sz w:val="20"/>
          <w:szCs w:val="20"/>
        </w:rPr>
      </w:sdtEndPr>
      <w:sdtContent>
        <w:p w14:paraId="063C02D7" w14:textId="77777777" w:rsidR="009F2A17" w:rsidRDefault="009F2A17" w:rsidP="00370ACF">
          <w:pPr>
            <w:pStyle w:val="Heading1"/>
            <w:spacing w:line="276" w:lineRule="auto"/>
            <w:jc w:val="both"/>
          </w:pPr>
        </w:p>
        <w:sdt>
          <w:sdtPr>
            <w:id w:val="-573587230"/>
            <w:bibliography/>
          </w:sdtPr>
          <w:sdtContent>
            <w:p w14:paraId="47459CF7" w14:textId="77777777" w:rsidR="009F2A17" w:rsidRDefault="009F2A17" w:rsidP="00370ACF">
              <w:pPr>
                <w:pStyle w:val="Bibliography"/>
                <w:spacing w:line="276" w:lineRule="auto"/>
                <w:ind w:left="720" w:hanging="720"/>
                <w:jc w:val="both"/>
                <w:rPr>
                  <w:noProof/>
                  <w:sz w:val="24"/>
                  <w:szCs w:val="24"/>
                </w:rPr>
              </w:pPr>
              <w:r>
                <w:fldChar w:fldCharType="begin"/>
              </w:r>
              <w:r>
                <w:instrText xml:space="preserve"> BIBLIOGRAPHY </w:instrText>
              </w:r>
              <w:r>
                <w:fldChar w:fldCharType="separate"/>
              </w:r>
            </w:p>
            <w:p w14:paraId="54A385AC" w14:textId="77777777" w:rsidR="009F2A17" w:rsidRDefault="009F2A17" w:rsidP="00370ACF">
              <w:pPr>
                <w:spacing w:line="276" w:lineRule="auto"/>
                <w:jc w:val="both"/>
              </w:pPr>
              <w:r>
                <w:rPr>
                  <w:b/>
                  <w:bCs/>
                  <w:noProof/>
                </w:rPr>
                <w:fldChar w:fldCharType="end"/>
              </w:r>
            </w:p>
          </w:sdtContent>
        </w:sdt>
      </w:sdtContent>
    </w:sdt>
    <w:p w14:paraId="204BFE70" w14:textId="77777777" w:rsidR="009F2A17" w:rsidRPr="00C128AF" w:rsidRDefault="009F2A17" w:rsidP="00370ACF">
      <w:pPr>
        <w:spacing w:line="276" w:lineRule="auto"/>
        <w:jc w:val="both"/>
        <w:rPr>
          <w:rFonts w:ascii="Times New Roman" w:hAnsi="Times New Roman" w:cs="Times New Roman"/>
          <w:b/>
          <w:sz w:val="28"/>
          <w:szCs w:val="28"/>
        </w:rPr>
      </w:pPr>
    </w:p>
    <w:p w14:paraId="1E6CD832" w14:textId="77777777" w:rsidR="0086375D" w:rsidRDefault="0086375D" w:rsidP="00370ACF">
      <w:pPr>
        <w:spacing w:line="276" w:lineRule="auto"/>
        <w:jc w:val="both"/>
      </w:pPr>
    </w:p>
    <w:p w14:paraId="50AEB0E8" w14:textId="77777777" w:rsidR="0086375D" w:rsidRDefault="0086375D" w:rsidP="00370ACF">
      <w:pPr>
        <w:spacing w:line="276" w:lineRule="auto"/>
        <w:jc w:val="both"/>
      </w:pPr>
    </w:p>
    <w:p w14:paraId="58C59DB4" w14:textId="77777777" w:rsidR="0086375D" w:rsidRDefault="0086375D" w:rsidP="00370ACF">
      <w:pPr>
        <w:spacing w:line="276" w:lineRule="auto"/>
        <w:jc w:val="both"/>
      </w:pPr>
    </w:p>
    <w:p w14:paraId="303FF209" w14:textId="77777777" w:rsidR="0086375D" w:rsidRDefault="0086375D" w:rsidP="00370ACF">
      <w:pPr>
        <w:spacing w:line="276" w:lineRule="auto"/>
        <w:jc w:val="both"/>
      </w:pPr>
    </w:p>
    <w:p w14:paraId="20350F79" w14:textId="77777777" w:rsidR="0086375D" w:rsidRDefault="0086375D" w:rsidP="00370ACF">
      <w:pPr>
        <w:spacing w:line="276" w:lineRule="auto"/>
        <w:jc w:val="both"/>
      </w:pPr>
    </w:p>
    <w:p w14:paraId="2E9F6462" w14:textId="77777777" w:rsidR="0086375D" w:rsidRPr="006765F4" w:rsidRDefault="0086375D" w:rsidP="00370ACF">
      <w:pPr>
        <w:spacing w:line="276" w:lineRule="auto"/>
        <w:jc w:val="both"/>
        <w:rPr>
          <w:rFonts w:ascii="Times New Roman" w:hAnsi="Times New Roman" w:cs="Times New Roman"/>
          <w:sz w:val="24"/>
          <w:szCs w:val="24"/>
        </w:rPr>
      </w:pPr>
    </w:p>
    <w:sectPr w:rsidR="0086375D" w:rsidRPr="006765F4" w:rsidSect="005F6C7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E598F8" w14:textId="77777777" w:rsidR="005F6C79" w:rsidRDefault="005F6C79" w:rsidP="00BD19D3">
      <w:pPr>
        <w:spacing w:after="0" w:line="240" w:lineRule="auto"/>
      </w:pPr>
      <w:r>
        <w:separator/>
      </w:r>
    </w:p>
  </w:endnote>
  <w:endnote w:type="continuationSeparator" w:id="0">
    <w:p w14:paraId="0F22D85F" w14:textId="77777777" w:rsidR="005F6C79" w:rsidRDefault="005F6C79" w:rsidP="00BD19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E63225" w14:textId="77777777" w:rsidR="005F6C79" w:rsidRDefault="005F6C79" w:rsidP="00BD19D3">
      <w:pPr>
        <w:spacing w:after="0" w:line="240" w:lineRule="auto"/>
      </w:pPr>
      <w:r>
        <w:separator/>
      </w:r>
    </w:p>
  </w:footnote>
  <w:footnote w:type="continuationSeparator" w:id="0">
    <w:p w14:paraId="62D0ACD4" w14:textId="77777777" w:rsidR="005F6C79" w:rsidRDefault="005F6C79" w:rsidP="00BD19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F331A"/>
    <w:multiLevelType w:val="hybridMultilevel"/>
    <w:tmpl w:val="F61EA846"/>
    <w:lvl w:ilvl="0" w:tplc="04090017">
      <w:start w:val="1"/>
      <w:numFmt w:val="lowerLetter"/>
      <w:lvlText w:val="%1)"/>
      <w:lvlJc w:val="left"/>
      <w:pPr>
        <w:ind w:left="206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8C2B39"/>
    <w:multiLevelType w:val="hybridMultilevel"/>
    <w:tmpl w:val="B1A23710"/>
    <w:lvl w:ilvl="0" w:tplc="4009000F">
      <w:start w:val="1"/>
      <w:numFmt w:val="decimal"/>
      <w:lvlText w:val="%1."/>
      <w:lvlJc w:val="left"/>
      <w:pPr>
        <w:ind w:left="1910" w:hanging="360"/>
      </w:pPr>
    </w:lvl>
    <w:lvl w:ilvl="1" w:tplc="40090019" w:tentative="1">
      <w:start w:val="1"/>
      <w:numFmt w:val="lowerLetter"/>
      <w:lvlText w:val="%2."/>
      <w:lvlJc w:val="left"/>
      <w:pPr>
        <w:ind w:left="2630" w:hanging="360"/>
      </w:pPr>
    </w:lvl>
    <w:lvl w:ilvl="2" w:tplc="4009001B" w:tentative="1">
      <w:start w:val="1"/>
      <w:numFmt w:val="lowerRoman"/>
      <w:lvlText w:val="%3."/>
      <w:lvlJc w:val="right"/>
      <w:pPr>
        <w:ind w:left="3350" w:hanging="180"/>
      </w:pPr>
    </w:lvl>
    <w:lvl w:ilvl="3" w:tplc="4009000F" w:tentative="1">
      <w:start w:val="1"/>
      <w:numFmt w:val="decimal"/>
      <w:lvlText w:val="%4."/>
      <w:lvlJc w:val="left"/>
      <w:pPr>
        <w:ind w:left="4070" w:hanging="360"/>
      </w:pPr>
    </w:lvl>
    <w:lvl w:ilvl="4" w:tplc="40090019" w:tentative="1">
      <w:start w:val="1"/>
      <w:numFmt w:val="lowerLetter"/>
      <w:lvlText w:val="%5."/>
      <w:lvlJc w:val="left"/>
      <w:pPr>
        <w:ind w:left="4790" w:hanging="360"/>
      </w:pPr>
    </w:lvl>
    <w:lvl w:ilvl="5" w:tplc="4009001B" w:tentative="1">
      <w:start w:val="1"/>
      <w:numFmt w:val="lowerRoman"/>
      <w:lvlText w:val="%6."/>
      <w:lvlJc w:val="right"/>
      <w:pPr>
        <w:ind w:left="5510" w:hanging="180"/>
      </w:pPr>
    </w:lvl>
    <w:lvl w:ilvl="6" w:tplc="4009000F" w:tentative="1">
      <w:start w:val="1"/>
      <w:numFmt w:val="decimal"/>
      <w:lvlText w:val="%7."/>
      <w:lvlJc w:val="left"/>
      <w:pPr>
        <w:ind w:left="6230" w:hanging="360"/>
      </w:pPr>
    </w:lvl>
    <w:lvl w:ilvl="7" w:tplc="40090019" w:tentative="1">
      <w:start w:val="1"/>
      <w:numFmt w:val="lowerLetter"/>
      <w:lvlText w:val="%8."/>
      <w:lvlJc w:val="left"/>
      <w:pPr>
        <w:ind w:left="6950" w:hanging="360"/>
      </w:pPr>
    </w:lvl>
    <w:lvl w:ilvl="8" w:tplc="4009001B" w:tentative="1">
      <w:start w:val="1"/>
      <w:numFmt w:val="lowerRoman"/>
      <w:lvlText w:val="%9."/>
      <w:lvlJc w:val="right"/>
      <w:pPr>
        <w:ind w:left="7670" w:hanging="180"/>
      </w:pPr>
    </w:lvl>
  </w:abstractNum>
  <w:abstractNum w:abstractNumId="2" w15:restartNumberingAfterBreak="0">
    <w:nsid w:val="07F43EB8"/>
    <w:multiLevelType w:val="hybridMultilevel"/>
    <w:tmpl w:val="AB2C475A"/>
    <w:lvl w:ilvl="0" w:tplc="4009000F">
      <w:start w:val="1"/>
      <w:numFmt w:val="decimal"/>
      <w:lvlText w:val="%1."/>
      <w:lvlJc w:val="left"/>
      <w:pPr>
        <w:ind w:left="2630" w:hanging="360"/>
      </w:pPr>
    </w:lvl>
    <w:lvl w:ilvl="1" w:tplc="40090019" w:tentative="1">
      <w:start w:val="1"/>
      <w:numFmt w:val="lowerLetter"/>
      <w:lvlText w:val="%2."/>
      <w:lvlJc w:val="left"/>
      <w:pPr>
        <w:ind w:left="3350" w:hanging="360"/>
      </w:pPr>
    </w:lvl>
    <w:lvl w:ilvl="2" w:tplc="4009001B" w:tentative="1">
      <w:start w:val="1"/>
      <w:numFmt w:val="lowerRoman"/>
      <w:lvlText w:val="%3."/>
      <w:lvlJc w:val="right"/>
      <w:pPr>
        <w:ind w:left="4070" w:hanging="180"/>
      </w:pPr>
    </w:lvl>
    <w:lvl w:ilvl="3" w:tplc="4009000F" w:tentative="1">
      <w:start w:val="1"/>
      <w:numFmt w:val="decimal"/>
      <w:lvlText w:val="%4."/>
      <w:lvlJc w:val="left"/>
      <w:pPr>
        <w:ind w:left="4790" w:hanging="360"/>
      </w:pPr>
    </w:lvl>
    <w:lvl w:ilvl="4" w:tplc="40090019" w:tentative="1">
      <w:start w:val="1"/>
      <w:numFmt w:val="lowerLetter"/>
      <w:lvlText w:val="%5."/>
      <w:lvlJc w:val="left"/>
      <w:pPr>
        <w:ind w:left="5510" w:hanging="360"/>
      </w:pPr>
    </w:lvl>
    <w:lvl w:ilvl="5" w:tplc="4009001B" w:tentative="1">
      <w:start w:val="1"/>
      <w:numFmt w:val="lowerRoman"/>
      <w:lvlText w:val="%6."/>
      <w:lvlJc w:val="right"/>
      <w:pPr>
        <w:ind w:left="6230" w:hanging="180"/>
      </w:pPr>
    </w:lvl>
    <w:lvl w:ilvl="6" w:tplc="4009000F" w:tentative="1">
      <w:start w:val="1"/>
      <w:numFmt w:val="decimal"/>
      <w:lvlText w:val="%7."/>
      <w:lvlJc w:val="left"/>
      <w:pPr>
        <w:ind w:left="6950" w:hanging="360"/>
      </w:pPr>
    </w:lvl>
    <w:lvl w:ilvl="7" w:tplc="40090019" w:tentative="1">
      <w:start w:val="1"/>
      <w:numFmt w:val="lowerLetter"/>
      <w:lvlText w:val="%8."/>
      <w:lvlJc w:val="left"/>
      <w:pPr>
        <w:ind w:left="7670" w:hanging="360"/>
      </w:pPr>
    </w:lvl>
    <w:lvl w:ilvl="8" w:tplc="4009001B" w:tentative="1">
      <w:start w:val="1"/>
      <w:numFmt w:val="lowerRoman"/>
      <w:lvlText w:val="%9."/>
      <w:lvlJc w:val="right"/>
      <w:pPr>
        <w:ind w:left="8390" w:hanging="180"/>
      </w:pPr>
    </w:lvl>
  </w:abstractNum>
  <w:abstractNum w:abstractNumId="3" w15:restartNumberingAfterBreak="0">
    <w:nsid w:val="0B9F734C"/>
    <w:multiLevelType w:val="hybridMultilevel"/>
    <w:tmpl w:val="E0C0E386"/>
    <w:lvl w:ilvl="0" w:tplc="4009000F">
      <w:start w:val="1"/>
      <w:numFmt w:val="decimal"/>
      <w:lvlText w:val="%1."/>
      <w:lvlJc w:val="left"/>
      <w:pPr>
        <w:ind w:left="1910" w:hanging="360"/>
      </w:pPr>
    </w:lvl>
    <w:lvl w:ilvl="1" w:tplc="40090019" w:tentative="1">
      <w:start w:val="1"/>
      <w:numFmt w:val="lowerLetter"/>
      <w:lvlText w:val="%2."/>
      <w:lvlJc w:val="left"/>
      <w:pPr>
        <w:ind w:left="2630" w:hanging="360"/>
      </w:pPr>
    </w:lvl>
    <w:lvl w:ilvl="2" w:tplc="4009001B" w:tentative="1">
      <w:start w:val="1"/>
      <w:numFmt w:val="lowerRoman"/>
      <w:lvlText w:val="%3."/>
      <w:lvlJc w:val="right"/>
      <w:pPr>
        <w:ind w:left="3350" w:hanging="180"/>
      </w:pPr>
    </w:lvl>
    <w:lvl w:ilvl="3" w:tplc="4009000F" w:tentative="1">
      <w:start w:val="1"/>
      <w:numFmt w:val="decimal"/>
      <w:lvlText w:val="%4."/>
      <w:lvlJc w:val="left"/>
      <w:pPr>
        <w:ind w:left="4070" w:hanging="360"/>
      </w:pPr>
    </w:lvl>
    <w:lvl w:ilvl="4" w:tplc="40090019" w:tentative="1">
      <w:start w:val="1"/>
      <w:numFmt w:val="lowerLetter"/>
      <w:lvlText w:val="%5."/>
      <w:lvlJc w:val="left"/>
      <w:pPr>
        <w:ind w:left="4790" w:hanging="360"/>
      </w:pPr>
    </w:lvl>
    <w:lvl w:ilvl="5" w:tplc="4009001B" w:tentative="1">
      <w:start w:val="1"/>
      <w:numFmt w:val="lowerRoman"/>
      <w:lvlText w:val="%6."/>
      <w:lvlJc w:val="right"/>
      <w:pPr>
        <w:ind w:left="5510" w:hanging="180"/>
      </w:pPr>
    </w:lvl>
    <w:lvl w:ilvl="6" w:tplc="4009000F" w:tentative="1">
      <w:start w:val="1"/>
      <w:numFmt w:val="decimal"/>
      <w:lvlText w:val="%7."/>
      <w:lvlJc w:val="left"/>
      <w:pPr>
        <w:ind w:left="6230" w:hanging="360"/>
      </w:pPr>
    </w:lvl>
    <w:lvl w:ilvl="7" w:tplc="40090019" w:tentative="1">
      <w:start w:val="1"/>
      <w:numFmt w:val="lowerLetter"/>
      <w:lvlText w:val="%8."/>
      <w:lvlJc w:val="left"/>
      <w:pPr>
        <w:ind w:left="6950" w:hanging="360"/>
      </w:pPr>
    </w:lvl>
    <w:lvl w:ilvl="8" w:tplc="4009001B" w:tentative="1">
      <w:start w:val="1"/>
      <w:numFmt w:val="lowerRoman"/>
      <w:lvlText w:val="%9."/>
      <w:lvlJc w:val="right"/>
      <w:pPr>
        <w:ind w:left="7670" w:hanging="180"/>
      </w:pPr>
    </w:lvl>
  </w:abstractNum>
  <w:abstractNum w:abstractNumId="4" w15:restartNumberingAfterBreak="0">
    <w:nsid w:val="0CA82F2D"/>
    <w:multiLevelType w:val="hybridMultilevel"/>
    <w:tmpl w:val="D1E4D26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0CB95A51"/>
    <w:multiLevelType w:val="hybridMultilevel"/>
    <w:tmpl w:val="34589C2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D064A30"/>
    <w:multiLevelType w:val="hybridMultilevel"/>
    <w:tmpl w:val="A43AE9F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0D5769D6"/>
    <w:multiLevelType w:val="hybridMultilevel"/>
    <w:tmpl w:val="280816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211F0D"/>
    <w:multiLevelType w:val="hybridMultilevel"/>
    <w:tmpl w:val="E5EE943A"/>
    <w:lvl w:ilvl="0" w:tplc="4009000F">
      <w:start w:val="1"/>
      <w:numFmt w:val="decimal"/>
      <w:lvlText w:val="%1."/>
      <w:lvlJc w:val="left"/>
      <w:pPr>
        <w:ind w:left="1910" w:hanging="360"/>
      </w:pPr>
    </w:lvl>
    <w:lvl w:ilvl="1" w:tplc="40090019" w:tentative="1">
      <w:start w:val="1"/>
      <w:numFmt w:val="lowerLetter"/>
      <w:lvlText w:val="%2."/>
      <w:lvlJc w:val="left"/>
      <w:pPr>
        <w:ind w:left="2630" w:hanging="360"/>
      </w:pPr>
    </w:lvl>
    <w:lvl w:ilvl="2" w:tplc="4009001B" w:tentative="1">
      <w:start w:val="1"/>
      <w:numFmt w:val="lowerRoman"/>
      <w:lvlText w:val="%3."/>
      <w:lvlJc w:val="right"/>
      <w:pPr>
        <w:ind w:left="3350" w:hanging="180"/>
      </w:pPr>
    </w:lvl>
    <w:lvl w:ilvl="3" w:tplc="4009000F" w:tentative="1">
      <w:start w:val="1"/>
      <w:numFmt w:val="decimal"/>
      <w:lvlText w:val="%4."/>
      <w:lvlJc w:val="left"/>
      <w:pPr>
        <w:ind w:left="4070" w:hanging="360"/>
      </w:pPr>
    </w:lvl>
    <w:lvl w:ilvl="4" w:tplc="40090019" w:tentative="1">
      <w:start w:val="1"/>
      <w:numFmt w:val="lowerLetter"/>
      <w:lvlText w:val="%5."/>
      <w:lvlJc w:val="left"/>
      <w:pPr>
        <w:ind w:left="4790" w:hanging="360"/>
      </w:pPr>
    </w:lvl>
    <w:lvl w:ilvl="5" w:tplc="4009001B" w:tentative="1">
      <w:start w:val="1"/>
      <w:numFmt w:val="lowerRoman"/>
      <w:lvlText w:val="%6."/>
      <w:lvlJc w:val="right"/>
      <w:pPr>
        <w:ind w:left="5510" w:hanging="180"/>
      </w:pPr>
    </w:lvl>
    <w:lvl w:ilvl="6" w:tplc="4009000F" w:tentative="1">
      <w:start w:val="1"/>
      <w:numFmt w:val="decimal"/>
      <w:lvlText w:val="%7."/>
      <w:lvlJc w:val="left"/>
      <w:pPr>
        <w:ind w:left="6230" w:hanging="360"/>
      </w:pPr>
    </w:lvl>
    <w:lvl w:ilvl="7" w:tplc="40090019" w:tentative="1">
      <w:start w:val="1"/>
      <w:numFmt w:val="lowerLetter"/>
      <w:lvlText w:val="%8."/>
      <w:lvlJc w:val="left"/>
      <w:pPr>
        <w:ind w:left="6950" w:hanging="360"/>
      </w:pPr>
    </w:lvl>
    <w:lvl w:ilvl="8" w:tplc="4009001B" w:tentative="1">
      <w:start w:val="1"/>
      <w:numFmt w:val="lowerRoman"/>
      <w:lvlText w:val="%9."/>
      <w:lvlJc w:val="right"/>
      <w:pPr>
        <w:ind w:left="7670" w:hanging="180"/>
      </w:pPr>
    </w:lvl>
  </w:abstractNum>
  <w:abstractNum w:abstractNumId="9" w15:restartNumberingAfterBreak="0">
    <w:nsid w:val="1D753BED"/>
    <w:multiLevelType w:val="hybridMultilevel"/>
    <w:tmpl w:val="7562AEFC"/>
    <w:lvl w:ilvl="0" w:tplc="40090001">
      <w:start w:val="1"/>
      <w:numFmt w:val="bullet"/>
      <w:lvlText w:val=""/>
      <w:lvlJc w:val="left"/>
      <w:pPr>
        <w:ind w:left="1920" w:hanging="360"/>
      </w:pPr>
      <w:rPr>
        <w:rFonts w:ascii="Symbol" w:hAnsi="Symbol" w:hint="default"/>
      </w:rPr>
    </w:lvl>
    <w:lvl w:ilvl="1" w:tplc="40090003" w:tentative="1">
      <w:start w:val="1"/>
      <w:numFmt w:val="bullet"/>
      <w:lvlText w:val="o"/>
      <w:lvlJc w:val="left"/>
      <w:pPr>
        <w:ind w:left="2640" w:hanging="360"/>
      </w:pPr>
      <w:rPr>
        <w:rFonts w:ascii="Courier New" w:hAnsi="Courier New" w:cs="Courier New" w:hint="default"/>
      </w:rPr>
    </w:lvl>
    <w:lvl w:ilvl="2" w:tplc="40090005" w:tentative="1">
      <w:start w:val="1"/>
      <w:numFmt w:val="bullet"/>
      <w:lvlText w:val=""/>
      <w:lvlJc w:val="left"/>
      <w:pPr>
        <w:ind w:left="3360" w:hanging="360"/>
      </w:pPr>
      <w:rPr>
        <w:rFonts w:ascii="Wingdings" w:hAnsi="Wingdings" w:hint="default"/>
      </w:rPr>
    </w:lvl>
    <w:lvl w:ilvl="3" w:tplc="40090001" w:tentative="1">
      <w:start w:val="1"/>
      <w:numFmt w:val="bullet"/>
      <w:lvlText w:val=""/>
      <w:lvlJc w:val="left"/>
      <w:pPr>
        <w:ind w:left="4080" w:hanging="360"/>
      </w:pPr>
      <w:rPr>
        <w:rFonts w:ascii="Symbol" w:hAnsi="Symbol" w:hint="default"/>
      </w:rPr>
    </w:lvl>
    <w:lvl w:ilvl="4" w:tplc="40090003" w:tentative="1">
      <w:start w:val="1"/>
      <w:numFmt w:val="bullet"/>
      <w:lvlText w:val="o"/>
      <w:lvlJc w:val="left"/>
      <w:pPr>
        <w:ind w:left="4800" w:hanging="360"/>
      </w:pPr>
      <w:rPr>
        <w:rFonts w:ascii="Courier New" w:hAnsi="Courier New" w:cs="Courier New" w:hint="default"/>
      </w:rPr>
    </w:lvl>
    <w:lvl w:ilvl="5" w:tplc="40090005" w:tentative="1">
      <w:start w:val="1"/>
      <w:numFmt w:val="bullet"/>
      <w:lvlText w:val=""/>
      <w:lvlJc w:val="left"/>
      <w:pPr>
        <w:ind w:left="5520" w:hanging="360"/>
      </w:pPr>
      <w:rPr>
        <w:rFonts w:ascii="Wingdings" w:hAnsi="Wingdings" w:hint="default"/>
      </w:rPr>
    </w:lvl>
    <w:lvl w:ilvl="6" w:tplc="40090001" w:tentative="1">
      <w:start w:val="1"/>
      <w:numFmt w:val="bullet"/>
      <w:lvlText w:val=""/>
      <w:lvlJc w:val="left"/>
      <w:pPr>
        <w:ind w:left="6240" w:hanging="360"/>
      </w:pPr>
      <w:rPr>
        <w:rFonts w:ascii="Symbol" w:hAnsi="Symbol" w:hint="default"/>
      </w:rPr>
    </w:lvl>
    <w:lvl w:ilvl="7" w:tplc="40090003" w:tentative="1">
      <w:start w:val="1"/>
      <w:numFmt w:val="bullet"/>
      <w:lvlText w:val="o"/>
      <w:lvlJc w:val="left"/>
      <w:pPr>
        <w:ind w:left="6960" w:hanging="360"/>
      </w:pPr>
      <w:rPr>
        <w:rFonts w:ascii="Courier New" w:hAnsi="Courier New" w:cs="Courier New" w:hint="default"/>
      </w:rPr>
    </w:lvl>
    <w:lvl w:ilvl="8" w:tplc="40090005" w:tentative="1">
      <w:start w:val="1"/>
      <w:numFmt w:val="bullet"/>
      <w:lvlText w:val=""/>
      <w:lvlJc w:val="left"/>
      <w:pPr>
        <w:ind w:left="7680" w:hanging="360"/>
      </w:pPr>
      <w:rPr>
        <w:rFonts w:ascii="Wingdings" w:hAnsi="Wingdings" w:hint="default"/>
      </w:rPr>
    </w:lvl>
  </w:abstractNum>
  <w:abstractNum w:abstractNumId="10" w15:restartNumberingAfterBreak="0">
    <w:nsid w:val="1E5F5265"/>
    <w:multiLevelType w:val="hybridMultilevel"/>
    <w:tmpl w:val="44F864DE"/>
    <w:lvl w:ilvl="0" w:tplc="4009000F">
      <w:start w:val="1"/>
      <w:numFmt w:val="decimal"/>
      <w:lvlText w:val="%1."/>
      <w:lvlJc w:val="left"/>
      <w:pPr>
        <w:ind w:left="2630" w:hanging="360"/>
      </w:pPr>
    </w:lvl>
    <w:lvl w:ilvl="1" w:tplc="40090019" w:tentative="1">
      <w:start w:val="1"/>
      <w:numFmt w:val="lowerLetter"/>
      <w:lvlText w:val="%2."/>
      <w:lvlJc w:val="left"/>
      <w:pPr>
        <w:ind w:left="3350" w:hanging="360"/>
      </w:pPr>
    </w:lvl>
    <w:lvl w:ilvl="2" w:tplc="4009001B" w:tentative="1">
      <w:start w:val="1"/>
      <w:numFmt w:val="lowerRoman"/>
      <w:lvlText w:val="%3."/>
      <w:lvlJc w:val="right"/>
      <w:pPr>
        <w:ind w:left="4070" w:hanging="180"/>
      </w:pPr>
    </w:lvl>
    <w:lvl w:ilvl="3" w:tplc="4009000F" w:tentative="1">
      <w:start w:val="1"/>
      <w:numFmt w:val="decimal"/>
      <w:lvlText w:val="%4."/>
      <w:lvlJc w:val="left"/>
      <w:pPr>
        <w:ind w:left="4790" w:hanging="360"/>
      </w:pPr>
    </w:lvl>
    <w:lvl w:ilvl="4" w:tplc="40090019" w:tentative="1">
      <w:start w:val="1"/>
      <w:numFmt w:val="lowerLetter"/>
      <w:lvlText w:val="%5."/>
      <w:lvlJc w:val="left"/>
      <w:pPr>
        <w:ind w:left="5510" w:hanging="360"/>
      </w:pPr>
    </w:lvl>
    <w:lvl w:ilvl="5" w:tplc="4009001B" w:tentative="1">
      <w:start w:val="1"/>
      <w:numFmt w:val="lowerRoman"/>
      <w:lvlText w:val="%6."/>
      <w:lvlJc w:val="right"/>
      <w:pPr>
        <w:ind w:left="6230" w:hanging="180"/>
      </w:pPr>
    </w:lvl>
    <w:lvl w:ilvl="6" w:tplc="4009000F" w:tentative="1">
      <w:start w:val="1"/>
      <w:numFmt w:val="decimal"/>
      <w:lvlText w:val="%7."/>
      <w:lvlJc w:val="left"/>
      <w:pPr>
        <w:ind w:left="6950" w:hanging="360"/>
      </w:pPr>
    </w:lvl>
    <w:lvl w:ilvl="7" w:tplc="40090019" w:tentative="1">
      <w:start w:val="1"/>
      <w:numFmt w:val="lowerLetter"/>
      <w:lvlText w:val="%8."/>
      <w:lvlJc w:val="left"/>
      <w:pPr>
        <w:ind w:left="7670" w:hanging="360"/>
      </w:pPr>
    </w:lvl>
    <w:lvl w:ilvl="8" w:tplc="4009001B" w:tentative="1">
      <w:start w:val="1"/>
      <w:numFmt w:val="lowerRoman"/>
      <w:lvlText w:val="%9."/>
      <w:lvlJc w:val="right"/>
      <w:pPr>
        <w:ind w:left="8390" w:hanging="180"/>
      </w:pPr>
    </w:lvl>
  </w:abstractNum>
  <w:abstractNum w:abstractNumId="11" w15:restartNumberingAfterBreak="0">
    <w:nsid w:val="20B15839"/>
    <w:multiLevelType w:val="multilevel"/>
    <w:tmpl w:val="AA644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71644F"/>
    <w:multiLevelType w:val="hybridMultilevel"/>
    <w:tmpl w:val="E144894E"/>
    <w:lvl w:ilvl="0" w:tplc="40090001">
      <w:start w:val="1"/>
      <w:numFmt w:val="bullet"/>
      <w:lvlText w:val=""/>
      <w:lvlJc w:val="left"/>
      <w:pPr>
        <w:ind w:left="1200" w:hanging="360"/>
      </w:pPr>
      <w:rPr>
        <w:rFonts w:ascii="Symbol" w:hAnsi="Symbol" w:hint="default"/>
      </w:rPr>
    </w:lvl>
    <w:lvl w:ilvl="1" w:tplc="40090003" w:tentative="1">
      <w:start w:val="1"/>
      <w:numFmt w:val="bullet"/>
      <w:lvlText w:val="o"/>
      <w:lvlJc w:val="left"/>
      <w:pPr>
        <w:ind w:left="1920" w:hanging="360"/>
      </w:pPr>
      <w:rPr>
        <w:rFonts w:ascii="Courier New" w:hAnsi="Courier New" w:cs="Courier New" w:hint="default"/>
      </w:rPr>
    </w:lvl>
    <w:lvl w:ilvl="2" w:tplc="40090005" w:tentative="1">
      <w:start w:val="1"/>
      <w:numFmt w:val="bullet"/>
      <w:lvlText w:val=""/>
      <w:lvlJc w:val="left"/>
      <w:pPr>
        <w:ind w:left="2640" w:hanging="360"/>
      </w:pPr>
      <w:rPr>
        <w:rFonts w:ascii="Wingdings" w:hAnsi="Wingdings" w:hint="default"/>
      </w:rPr>
    </w:lvl>
    <w:lvl w:ilvl="3" w:tplc="40090001" w:tentative="1">
      <w:start w:val="1"/>
      <w:numFmt w:val="bullet"/>
      <w:lvlText w:val=""/>
      <w:lvlJc w:val="left"/>
      <w:pPr>
        <w:ind w:left="3360" w:hanging="360"/>
      </w:pPr>
      <w:rPr>
        <w:rFonts w:ascii="Symbol" w:hAnsi="Symbol" w:hint="default"/>
      </w:rPr>
    </w:lvl>
    <w:lvl w:ilvl="4" w:tplc="40090003" w:tentative="1">
      <w:start w:val="1"/>
      <w:numFmt w:val="bullet"/>
      <w:lvlText w:val="o"/>
      <w:lvlJc w:val="left"/>
      <w:pPr>
        <w:ind w:left="4080" w:hanging="360"/>
      </w:pPr>
      <w:rPr>
        <w:rFonts w:ascii="Courier New" w:hAnsi="Courier New" w:cs="Courier New" w:hint="default"/>
      </w:rPr>
    </w:lvl>
    <w:lvl w:ilvl="5" w:tplc="40090005" w:tentative="1">
      <w:start w:val="1"/>
      <w:numFmt w:val="bullet"/>
      <w:lvlText w:val=""/>
      <w:lvlJc w:val="left"/>
      <w:pPr>
        <w:ind w:left="4800" w:hanging="360"/>
      </w:pPr>
      <w:rPr>
        <w:rFonts w:ascii="Wingdings" w:hAnsi="Wingdings" w:hint="default"/>
      </w:rPr>
    </w:lvl>
    <w:lvl w:ilvl="6" w:tplc="40090001" w:tentative="1">
      <w:start w:val="1"/>
      <w:numFmt w:val="bullet"/>
      <w:lvlText w:val=""/>
      <w:lvlJc w:val="left"/>
      <w:pPr>
        <w:ind w:left="5520" w:hanging="360"/>
      </w:pPr>
      <w:rPr>
        <w:rFonts w:ascii="Symbol" w:hAnsi="Symbol" w:hint="default"/>
      </w:rPr>
    </w:lvl>
    <w:lvl w:ilvl="7" w:tplc="40090003" w:tentative="1">
      <w:start w:val="1"/>
      <w:numFmt w:val="bullet"/>
      <w:lvlText w:val="o"/>
      <w:lvlJc w:val="left"/>
      <w:pPr>
        <w:ind w:left="6240" w:hanging="360"/>
      </w:pPr>
      <w:rPr>
        <w:rFonts w:ascii="Courier New" w:hAnsi="Courier New" w:cs="Courier New" w:hint="default"/>
      </w:rPr>
    </w:lvl>
    <w:lvl w:ilvl="8" w:tplc="40090005" w:tentative="1">
      <w:start w:val="1"/>
      <w:numFmt w:val="bullet"/>
      <w:lvlText w:val=""/>
      <w:lvlJc w:val="left"/>
      <w:pPr>
        <w:ind w:left="6960" w:hanging="360"/>
      </w:pPr>
      <w:rPr>
        <w:rFonts w:ascii="Wingdings" w:hAnsi="Wingdings" w:hint="default"/>
      </w:rPr>
    </w:lvl>
  </w:abstractNum>
  <w:abstractNum w:abstractNumId="13" w15:restartNumberingAfterBreak="0">
    <w:nsid w:val="29B25826"/>
    <w:multiLevelType w:val="hybridMultilevel"/>
    <w:tmpl w:val="07164A60"/>
    <w:lvl w:ilvl="0" w:tplc="40090001">
      <w:start w:val="1"/>
      <w:numFmt w:val="bullet"/>
      <w:lvlText w:val=""/>
      <w:lvlJc w:val="left"/>
      <w:pPr>
        <w:ind w:left="780" w:hanging="360"/>
      </w:pPr>
      <w:rPr>
        <w:rFonts w:ascii="Symbol" w:hAnsi="Symbol"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abstractNum w:abstractNumId="14" w15:restartNumberingAfterBreak="0">
    <w:nsid w:val="30852667"/>
    <w:multiLevelType w:val="hybridMultilevel"/>
    <w:tmpl w:val="EFA89256"/>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5" w15:restartNumberingAfterBreak="0">
    <w:nsid w:val="33FB6AAA"/>
    <w:multiLevelType w:val="multilevel"/>
    <w:tmpl w:val="73D05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F96B06"/>
    <w:multiLevelType w:val="hybridMultilevel"/>
    <w:tmpl w:val="1AF6BCA0"/>
    <w:lvl w:ilvl="0" w:tplc="40090001">
      <w:start w:val="1"/>
      <w:numFmt w:val="bullet"/>
      <w:lvlText w:val=""/>
      <w:lvlJc w:val="left"/>
      <w:pPr>
        <w:ind w:left="1320" w:hanging="360"/>
      </w:pPr>
      <w:rPr>
        <w:rFonts w:ascii="Symbol" w:hAnsi="Symbol" w:hint="default"/>
      </w:rPr>
    </w:lvl>
    <w:lvl w:ilvl="1" w:tplc="40090003" w:tentative="1">
      <w:start w:val="1"/>
      <w:numFmt w:val="bullet"/>
      <w:lvlText w:val="o"/>
      <w:lvlJc w:val="left"/>
      <w:pPr>
        <w:ind w:left="2040" w:hanging="360"/>
      </w:pPr>
      <w:rPr>
        <w:rFonts w:ascii="Courier New" w:hAnsi="Courier New" w:cs="Courier New" w:hint="default"/>
      </w:rPr>
    </w:lvl>
    <w:lvl w:ilvl="2" w:tplc="40090005" w:tentative="1">
      <w:start w:val="1"/>
      <w:numFmt w:val="bullet"/>
      <w:lvlText w:val=""/>
      <w:lvlJc w:val="left"/>
      <w:pPr>
        <w:ind w:left="2760" w:hanging="360"/>
      </w:pPr>
      <w:rPr>
        <w:rFonts w:ascii="Wingdings" w:hAnsi="Wingdings" w:hint="default"/>
      </w:rPr>
    </w:lvl>
    <w:lvl w:ilvl="3" w:tplc="40090001" w:tentative="1">
      <w:start w:val="1"/>
      <w:numFmt w:val="bullet"/>
      <w:lvlText w:val=""/>
      <w:lvlJc w:val="left"/>
      <w:pPr>
        <w:ind w:left="3480" w:hanging="360"/>
      </w:pPr>
      <w:rPr>
        <w:rFonts w:ascii="Symbol" w:hAnsi="Symbol" w:hint="default"/>
      </w:rPr>
    </w:lvl>
    <w:lvl w:ilvl="4" w:tplc="40090003" w:tentative="1">
      <w:start w:val="1"/>
      <w:numFmt w:val="bullet"/>
      <w:lvlText w:val="o"/>
      <w:lvlJc w:val="left"/>
      <w:pPr>
        <w:ind w:left="4200" w:hanging="360"/>
      </w:pPr>
      <w:rPr>
        <w:rFonts w:ascii="Courier New" w:hAnsi="Courier New" w:cs="Courier New" w:hint="default"/>
      </w:rPr>
    </w:lvl>
    <w:lvl w:ilvl="5" w:tplc="40090005" w:tentative="1">
      <w:start w:val="1"/>
      <w:numFmt w:val="bullet"/>
      <w:lvlText w:val=""/>
      <w:lvlJc w:val="left"/>
      <w:pPr>
        <w:ind w:left="4920" w:hanging="360"/>
      </w:pPr>
      <w:rPr>
        <w:rFonts w:ascii="Wingdings" w:hAnsi="Wingdings" w:hint="default"/>
      </w:rPr>
    </w:lvl>
    <w:lvl w:ilvl="6" w:tplc="40090001" w:tentative="1">
      <w:start w:val="1"/>
      <w:numFmt w:val="bullet"/>
      <w:lvlText w:val=""/>
      <w:lvlJc w:val="left"/>
      <w:pPr>
        <w:ind w:left="5640" w:hanging="360"/>
      </w:pPr>
      <w:rPr>
        <w:rFonts w:ascii="Symbol" w:hAnsi="Symbol" w:hint="default"/>
      </w:rPr>
    </w:lvl>
    <w:lvl w:ilvl="7" w:tplc="40090003" w:tentative="1">
      <w:start w:val="1"/>
      <w:numFmt w:val="bullet"/>
      <w:lvlText w:val="o"/>
      <w:lvlJc w:val="left"/>
      <w:pPr>
        <w:ind w:left="6360" w:hanging="360"/>
      </w:pPr>
      <w:rPr>
        <w:rFonts w:ascii="Courier New" w:hAnsi="Courier New" w:cs="Courier New" w:hint="default"/>
      </w:rPr>
    </w:lvl>
    <w:lvl w:ilvl="8" w:tplc="40090005" w:tentative="1">
      <w:start w:val="1"/>
      <w:numFmt w:val="bullet"/>
      <w:lvlText w:val=""/>
      <w:lvlJc w:val="left"/>
      <w:pPr>
        <w:ind w:left="7080" w:hanging="360"/>
      </w:pPr>
      <w:rPr>
        <w:rFonts w:ascii="Wingdings" w:hAnsi="Wingdings" w:hint="default"/>
      </w:rPr>
    </w:lvl>
  </w:abstractNum>
  <w:abstractNum w:abstractNumId="17" w15:restartNumberingAfterBreak="0">
    <w:nsid w:val="3D800C4E"/>
    <w:multiLevelType w:val="hybridMultilevel"/>
    <w:tmpl w:val="A148C8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527174"/>
    <w:multiLevelType w:val="hybridMultilevel"/>
    <w:tmpl w:val="97A28A9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482D332D"/>
    <w:multiLevelType w:val="hybridMultilevel"/>
    <w:tmpl w:val="0CD8071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0" w15:restartNumberingAfterBreak="0">
    <w:nsid w:val="4AA559B9"/>
    <w:multiLevelType w:val="hybridMultilevel"/>
    <w:tmpl w:val="1A5A405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4C58202B"/>
    <w:multiLevelType w:val="hybridMultilevel"/>
    <w:tmpl w:val="5066B3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4D417910"/>
    <w:multiLevelType w:val="hybridMultilevel"/>
    <w:tmpl w:val="D0945F8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5400446C"/>
    <w:multiLevelType w:val="hybridMultilevel"/>
    <w:tmpl w:val="59F8D4FE"/>
    <w:lvl w:ilvl="0" w:tplc="D0829174">
      <w:start w:val="1"/>
      <w:numFmt w:val="decimal"/>
      <w:lvlText w:val="%1."/>
      <w:lvlJc w:val="left"/>
      <w:pPr>
        <w:ind w:left="1190" w:hanging="339"/>
        <w:jc w:val="left"/>
      </w:pPr>
      <w:rPr>
        <w:rFonts w:ascii="Times New Roman" w:eastAsia="Times New Roman" w:hAnsi="Times New Roman" w:cs="Times New Roman" w:hint="default"/>
        <w:b w:val="0"/>
        <w:bCs w:val="0"/>
        <w:i w:val="0"/>
        <w:iCs w:val="0"/>
        <w:spacing w:val="0"/>
        <w:w w:val="102"/>
        <w:sz w:val="22"/>
        <w:szCs w:val="22"/>
        <w:lang w:val="en-US" w:eastAsia="en-US" w:bidi="ar-SA"/>
      </w:rPr>
    </w:lvl>
    <w:lvl w:ilvl="1" w:tplc="97760942">
      <w:numFmt w:val="bullet"/>
      <w:lvlText w:val="•"/>
      <w:lvlJc w:val="left"/>
      <w:pPr>
        <w:ind w:left="1980" w:hanging="339"/>
      </w:pPr>
      <w:rPr>
        <w:rFonts w:hint="default"/>
        <w:lang w:val="en-US" w:eastAsia="en-US" w:bidi="ar-SA"/>
      </w:rPr>
    </w:lvl>
    <w:lvl w:ilvl="2" w:tplc="6F860B8C">
      <w:numFmt w:val="bullet"/>
      <w:lvlText w:val="•"/>
      <w:lvlJc w:val="left"/>
      <w:pPr>
        <w:ind w:left="2778" w:hanging="339"/>
      </w:pPr>
      <w:rPr>
        <w:rFonts w:hint="default"/>
        <w:lang w:val="en-US" w:eastAsia="en-US" w:bidi="ar-SA"/>
      </w:rPr>
    </w:lvl>
    <w:lvl w:ilvl="3" w:tplc="46DCB7E8">
      <w:numFmt w:val="bullet"/>
      <w:lvlText w:val="•"/>
      <w:lvlJc w:val="left"/>
      <w:pPr>
        <w:ind w:left="3576" w:hanging="339"/>
      </w:pPr>
      <w:rPr>
        <w:rFonts w:hint="default"/>
        <w:lang w:val="en-US" w:eastAsia="en-US" w:bidi="ar-SA"/>
      </w:rPr>
    </w:lvl>
    <w:lvl w:ilvl="4" w:tplc="D2D612FA">
      <w:numFmt w:val="bullet"/>
      <w:lvlText w:val="•"/>
      <w:lvlJc w:val="left"/>
      <w:pPr>
        <w:ind w:left="4374" w:hanging="339"/>
      </w:pPr>
      <w:rPr>
        <w:rFonts w:hint="default"/>
        <w:lang w:val="en-US" w:eastAsia="en-US" w:bidi="ar-SA"/>
      </w:rPr>
    </w:lvl>
    <w:lvl w:ilvl="5" w:tplc="4854541A">
      <w:numFmt w:val="bullet"/>
      <w:lvlText w:val="•"/>
      <w:lvlJc w:val="left"/>
      <w:pPr>
        <w:ind w:left="5172" w:hanging="339"/>
      </w:pPr>
      <w:rPr>
        <w:rFonts w:hint="default"/>
        <w:lang w:val="en-US" w:eastAsia="en-US" w:bidi="ar-SA"/>
      </w:rPr>
    </w:lvl>
    <w:lvl w:ilvl="6" w:tplc="CB726B38">
      <w:numFmt w:val="bullet"/>
      <w:lvlText w:val="•"/>
      <w:lvlJc w:val="left"/>
      <w:pPr>
        <w:ind w:left="5970" w:hanging="339"/>
      </w:pPr>
      <w:rPr>
        <w:rFonts w:hint="default"/>
        <w:lang w:val="en-US" w:eastAsia="en-US" w:bidi="ar-SA"/>
      </w:rPr>
    </w:lvl>
    <w:lvl w:ilvl="7" w:tplc="9B90643C">
      <w:numFmt w:val="bullet"/>
      <w:lvlText w:val="•"/>
      <w:lvlJc w:val="left"/>
      <w:pPr>
        <w:ind w:left="6768" w:hanging="339"/>
      </w:pPr>
      <w:rPr>
        <w:rFonts w:hint="default"/>
        <w:lang w:val="en-US" w:eastAsia="en-US" w:bidi="ar-SA"/>
      </w:rPr>
    </w:lvl>
    <w:lvl w:ilvl="8" w:tplc="B8784FBE">
      <w:numFmt w:val="bullet"/>
      <w:lvlText w:val="•"/>
      <w:lvlJc w:val="left"/>
      <w:pPr>
        <w:ind w:left="7566" w:hanging="339"/>
      </w:pPr>
      <w:rPr>
        <w:rFonts w:hint="default"/>
        <w:lang w:val="en-US" w:eastAsia="en-US" w:bidi="ar-SA"/>
      </w:rPr>
    </w:lvl>
  </w:abstractNum>
  <w:abstractNum w:abstractNumId="24" w15:restartNumberingAfterBreak="0">
    <w:nsid w:val="64F25953"/>
    <w:multiLevelType w:val="hybridMultilevel"/>
    <w:tmpl w:val="5038E7A6"/>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68BB1A5D"/>
    <w:multiLevelType w:val="hybridMultilevel"/>
    <w:tmpl w:val="403CB746"/>
    <w:lvl w:ilvl="0" w:tplc="4009000F">
      <w:start w:val="1"/>
      <w:numFmt w:val="decimal"/>
      <w:lvlText w:val="%1."/>
      <w:lvlJc w:val="left"/>
      <w:pPr>
        <w:ind w:left="1068" w:hanging="360"/>
      </w:pPr>
    </w:lvl>
    <w:lvl w:ilvl="1" w:tplc="40090019" w:tentative="1">
      <w:start w:val="1"/>
      <w:numFmt w:val="lowerLetter"/>
      <w:lvlText w:val="%2."/>
      <w:lvlJc w:val="left"/>
      <w:pPr>
        <w:ind w:left="1788" w:hanging="360"/>
      </w:pPr>
    </w:lvl>
    <w:lvl w:ilvl="2" w:tplc="4009001B" w:tentative="1">
      <w:start w:val="1"/>
      <w:numFmt w:val="lowerRoman"/>
      <w:lvlText w:val="%3."/>
      <w:lvlJc w:val="right"/>
      <w:pPr>
        <w:ind w:left="2508" w:hanging="180"/>
      </w:pPr>
    </w:lvl>
    <w:lvl w:ilvl="3" w:tplc="4009000F" w:tentative="1">
      <w:start w:val="1"/>
      <w:numFmt w:val="decimal"/>
      <w:lvlText w:val="%4."/>
      <w:lvlJc w:val="left"/>
      <w:pPr>
        <w:ind w:left="3228" w:hanging="360"/>
      </w:pPr>
    </w:lvl>
    <w:lvl w:ilvl="4" w:tplc="40090019" w:tentative="1">
      <w:start w:val="1"/>
      <w:numFmt w:val="lowerLetter"/>
      <w:lvlText w:val="%5."/>
      <w:lvlJc w:val="left"/>
      <w:pPr>
        <w:ind w:left="3948" w:hanging="360"/>
      </w:pPr>
    </w:lvl>
    <w:lvl w:ilvl="5" w:tplc="4009001B" w:tentative="1">
      <w:start w:val="1"/>
      <w:numFmt w:val="lowerRoman"/>
      <w:lvlText w:val="%6."/>
      <w:lvlJc w:val="right"/>
      <w:pPr>
        <w:ind w:left="4668" w:hanging="180"/>
      </w:pPr>
    </w:lvl>
    <w:lvl w:ilvl="6" w:tplc="4009000F" w:tentative="1">
      <w:start w:val="1"/>
      <w:numFmt w:val="decimal"/>
      <w:lvlText w:val="%7."/>
      <w:lvlJc w:val="left"/>
      <w:pPr>
        <w:ind w:left="5388" w:hanging="360"/>
      </w:pPr>
    </w:lvl>
    <w:lvl w:ilvl="7" w:tplc="40090019" w:tentative="1">
      <w:start w:val="1"/>
      <w:numFmt w:val="lowerLetter"/>
      <w:lvlText w:val="%8."/>
      <w:lvlJc w:val="left"/>
      <w:pPr>
        <w:ind w:left="6108" w:hanging="360"/>
      </w:pPr>
    </w:lvl>
    <w:lvl w:ilvl="8" w:tplc="4009001B" w:tentative="1">
      <w:start w:val="1"/>
      <w:numFmt w:val="lowerRoman"/>
      <w:lvlText w:val="%9."/>
      <w:lvlJc w:val="right"/>
      <w:pPr>
        <w:ind w:left="6828" w:hanging="180"/>
      </w:pPr>
    </w:lvl>
  </w:abstractNum>
  <w:abstractNum w:abstractNumId="26" w15:restartNumberingAfterBreak="0">
    <w:nsid w:val="707C0839"/>
    <w:multiLevelType w:val="hybridMultilevel"/>
    <w:tmpl w:val="60D43B6A"/>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7" w15:restartNumberingAfterBreak="0">
    <w:nsid w:val="721F6AA5"/>
    <w:multiLevelType w:val="hybridMultilevel"/>
    <w:tmpl w:val="F444648A"/>
    <w:lvl w:ilvl="0" w:tplc="9132CEF4">
      <w:start w:val="1"/>
      <w:numFmt w:val="lowerLetter"/>
      <w:lvlText w:val="%1)"/>
      <w:lvlJc w:val="left"/>
      <w:pPr>
        <w:ind w:left="840" w:hanging="360"/>
      </w:pPr>
      <w:rPr>
        <w:rFonts w:hint="default"/>
      </w:rPr>
    </w:lvl>
    <w:lvl w:ilvl="1" w:tplc="40090019" w:tentative="1">
      <w:start w:val="1"/>
      <w:numFmt w:val="lowerLetter"/>
      <w:lvlText w:val="%2."/>
      <w:lvlJc w:val="left"/>
      <w:pPr>
        <w:ind w:left="1560" w:hanging="360"/>
      </w:pPr>
    </w:lvl>
    <w:lvl w:ilvl="2" w:tplc="4009001B" w:tentative="1">
      <w:start w:val="1"/>
      <w:numFmt w:val="lowerRoman"/>
      <w:lvlText w:val="%3."/>
      <w:lvlJc w:val="right"/>
      <w:pPr>
        <w:ind w:left="2280" w:hanging="180"/>
      </w:pPr>
    </w:lvl>
    <w:lvl w:ilvl="3" w:tplc="4009000F" w:tentative="1">
      <w:start w:val="1"/>
      <w:numFmt w:val="decimal"/>
      <w:lvlText w:val="%4."/>
      <w:lvlJc w:val="left"/>
      <w:pPr>
        <w:ind w:left="3000" w:hanging="360"/>
      </w:pPr>
    </w:lvl>
    <w:lvl w:ilvl="4" w:tplc="40090019" w:tentative="1">
      <w:start w:val="1"/>
      <w:numFmt w:val="lowerLetter"/>
      <w:lvlText w:val="%5."/>
      <w:lvlJc w:val="left"/>
      <w:pPr>
        <w:ind w:left="3720" w:hanging="360"/>
      </w:pPr>
    </w:lvl>
    <w:lvl w:ilvl="5" w:tplc="4009001B" w:tentative="1">
      <w:start w:val="1"/>
      <w:numFmt w:val="lowerRoman"/>
      <w:lvlText w:val="%6."/>
      <w:lvlJc w:val="right"/>
      <w:pPr>
        <w:ind w:left="4440" w:hanging="180"/>
      </w:pPr>
    </w:lvl>
    <w:lvl w:ilvl="6" w:tplc="4009000F" w:tentative="1">
      <w:start w:val="1"/>
      <w:numFmt w:val="decimal"/>
      <w:lvlText w:val="%7."/>
      <w:lvlJc w:val="left"/>
      <w:pPr>
        <w:ind w:left="5160" w:hanging="360"/>
      </w:pPr>
    </w:lvl>
    <w:lvl w:ilvl="7" w:tplc="40090019" w:tentative="1">
      <w:start w:val="1"/>
      <w:numFmt w:val="lowerLetter"/>
      <w:lvlText w:val="%8."/>
      <w:lvlJc w:val="left"/>
      <w:pPr>
        <w:ind w:left="5880" w:hanging="360"/>
      </w:pPr>
    </w:lvl>
    <w:lvl w:ilvl="8" w:tplc="4009001B" w:tentative="1">
      <w:start w:val="1"/>
      <w:numFmt w:val="lowerRoman"/>
      <w:lvlText w:val="%9."/>
      <w:lvlJc w:val="right"/>
      <w:pPr>
        <w:ind w:left="6600" w:hanging="180"/>
      </w:pPr>
    </w:lvl>
  </w:abstractNum>
  <w:abstractNum w:abstractNumId="28" w15:restartNumberingAfterBreak="0">
    <w:nsid w:val="729936B2"/>
    <w:multiLevelType w:val="hybridMultilevel"/>
    <w:tmpl w:val="78DC33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51F6A47"/>
    <w:multiLevelType w:val="hybridMultilevel"/>
    <w:tmpl w:val="E86AC384"/>
    <w:lvl w:ilvl="0" w:tplc="4009000F">
      <w:start w:val="1"/>
      <w:numFmt w:val="decimal"/>
      <w:lvlText w:val="%1."/>
      <w:lvlJc w:val="left"/>
      <w:pPr>
        <w:ind w:left="1910" w:hanging="360"/>
      </w:pPr>
    </w:lvl>
    <w:lvl w:ilvl="1" w:tplc="40090019" w:tentative="1">
      <w:start w:val="1"/>
      <w:numFmt w:val="lowerLetter"/>
      <w:lvlText w:val="%2."/>
      <w:lvlJc w:val="left"/>
      <w:pPr>
        <w:ind w:left="2630" w:hanging="360"/>
      </w:pPr>
    </w:lvl>
    <w:lvl w:ilvl="2" w:tplc="4009001B" w:tentative="1">
      <w:start w:val="1"/>
      <w:numFmt w:val="lowerRoman"/>
      <w:lvlText w:val="%3."/>
      <w:lvlJc w:val="right"/>
      <w:pPr>
        <w:ind w:left="3350" w:hanging="180"/>
      </w:pPr>
    </w:lvl>
    <w:lvl w:ilvl="3" w:tplc="4009000F" w:tentative="1">
      <w:start w:val="1"/>
      <w:numFmt w:val="decimal"/>
      <w:lvlText w:val="%4."/>
      <w:lvlJc w:val="left"/>
      <w:pPr>
        <w:ind w:left="4070" w:hanging="360"/>
      </w:pPr>
    </w:lvl>
    <w:lvl w:ilvl="4" w:tplc="40090019" w:tentative="1">
      <w:start w:val="1"/>
      <w:numFmt w:val="lowerLetter"/>
      <w:lvlText w:val="%5."/>
      <w:lvlJc w:val="left"/>
      <w:pPr>
        <w:ind w:left="4790" w:hanging="360"/>
      </w:pPr>
    </w:lvl>
    <w:lvl w:ilvl="5" w:tplc="4009001B" w:tentative="1">
      <w:start w:val="1"/>
      <w:numFmt w:val="lowerRoman"/>
      <w:lvlText w:val="%6."/>
      <w:lvlJc w:val="right"/>
      <w:pPr>
        <w:ind w:left="5510" w:hanging="180"/>
      </w:pPr>
    </w:lvl>
    <w:lvl w:ilvl="6" w:tplc="4009000F" w:tentative="1">
      <w:start w:val="1"/>
      <w:numFmt w:val="decimal"/>
      <w:lvlText w:val="%7."/>
      <w:lvlJc w:val="left"/>
      <w:pPr>
        <w:ind w:left="6230" w:hanging="360"/>
      </w:pPr>
    </w:lvl>
    <w:lvl w:ilvl="7" w:tplc="40090019" w:tentative="1">
      <w:start w:val="1"/>
      <w:numFmt w:val="lowerLetter"/>
      <w:lvlText w:val="%8."/>
      <w:lvlJc w:val="left"/>
      <w:pPr>
        <w:ind w:left="6950" w:hanging="360"/>
      </w:pPr>
    </w:lvl>
    <w:lvl w:ilvl="8" w:tplc="4009001B" w:tentative="1">
      <w:start w:val="1"/>
      <w:numFmt w:val="lowerRoman"/>
      <w:lvlText w:val="%9."/>
      <w:lvlJc w:val="right"/>
      <w:pPr>
        <w:ind w:left="7670" w:hanging="180"/>
      </w:pPr>
    </w:lvl>
  </w:abstractNum>
  <w:abstractNum w:abstractNumId="30" w15:restartNumberingAfterBreak="0">
    <w:nsid w:val="79D40BA0"/>
    <w:multiLevelType w:val="hybridMultilevel"/>
    <w:tmpl w:val="B83C728C"/>
    <w:lvl w:ilvl="0" w:tplc="4009000F">
      <w:start w:val="1"/>
      <w:numFmt w:val="decimal"/>
      <w:lvlText w:val="%1."/>
      <w:lvlJc w:val="left"/>
      <w:pPr>
        <w:ind w:left="1571" w:hanging="360"/>
      </w:pPr>
    </w:lvl>
    <w:lvl w:ilvl="1" w:tplc="40090019" w:tentative="1">
      <w:start w:val="1"/>
      <w:numFmt w:val="lowerLetter"/>
      <w:lvlText w:val="%2."/>
      <w:lvlJc w:val="left"/>
      <w:pPr>
        <w:ind w:left="2291" w:hanging="360"/>
      </w:pPr>
    </w:lvl>
    <w:lvl w:ilvl="2" w:tplc="4009001B" w:tentative="1">
      <w:start w:val="1"/>
      <w:numFmt w:val="lowerRoman"/>
      <w:lvlText w:val="%3."/>
      <w:lvlJc w:val="right"/>
      <w:pPr>
        <w:ind w:left="3011" w:hanging="180"/>
      </w:pPr>
    </w:lvl>
    <w:lvl w:ilvl="3" w:tplc="4009000F" w:tentative="1">
      <w:start w:val="1"/>
      <w:numFmt w:val="decimal"/>
      <w:lvlText w:val="%4."/>
      <w:lvlJc w:val="left"/>
      <w:pPr>
        <w:ind w:left="3731" w:hanging="360"/>
      </w:pPr>
    </w:lvl>
    <w:lvl w:ilvl="4" w:tplc="40090019" w:tentative="1">
      <w:start w:val="1"/>
      <w:numFmt w:val="lowerLetter"/>
      <w:lvlText w:val="%5."/>
      <w:lvlJc w:val="left"/>
      <w:pPr>
        <w:ind w:left="4451" w:hanging="360"/>
      </w:pPr>
    </w:lvl>
    <w:lvl w:ilvl="5" w:tplc="4009001B" w:tentative="1">
      <w:start w:val="1"/>
      <w:numFmt w:val="lowerRoman"/>
      <w:lvlText w:val="%6."/>
      <w:lvlJc w:val="right"/>
      <w:pPr>
        <w:ind w:left="5171" w:hanging="180"/>
      </w:pPr>
    </w:lvl>
    <w:lvl w:ilvl="6" w:tplc="4009000F" w:tentative="1">
      <w:start w:val="1"/>
      <w:numFmt w:val="decimal"/>
      <w:lvlText w:val="%7."/>
      <w:lvlJc w:val="left"/>
      <w:pPr>
        <w:ind w:left="5891" w:hanging="360"/>
      </w:pPr>
    </w:lvl>
    <w:lvl w:ilvl="7" w:tplc="40090019" w:tentative="1">
      <w:start w:val="1"/>
      <w:numFmt w:val="lowerLetter"/>
      <w:lvlText w:val="%8."/>
      <w:lvlJc w:val="left"/>
      <w:pPr>
        <w:ind w:left="6611" w:hanging="360"/>
      </w:pPr>
    </w:lvl>
    <w:lvl w:ilvl="8" w:tplc="4009001B" w:tentative="1">
      <w:start w:val="1"/>
      <w:numFmt w:val="lowerRoman"/>
      <w:lvlText w:val="%9."/>
      <w:lvlJc w:val="right"/>
      <w:pPr>
        <w:ind w:left="7331" w:hanging="180"/>
      </w:pPr>
    </w:lvl>
  </w:abstractNum>
  <w:abstractNum w:abstractNumId="31" w15:restartNumberingAfterBreak="0">
    <w:nsid w:val="7B914555"/>
    <w:multiLevelType w:val="hybridMultilevel"/>
    <w:tmpl w:val="C310E8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B52936"/>
    <w:multiLevelType w:val="multilevel"/>
    <w:tmpl w:val="69229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E640FC9"/>
    <w:multiLevelType w:val="multilevel"/>
    <w:tmpl w:val="6D5A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30464702">
    <w:abstractNumId w:val="33"/>
  </w:num>
  <w:num w:numId="2" w16cid:durableId="1350061062">
    <w:abstractNumId w:val="15"/>
  </w:num>
  <w:num w:numId="3" w16cid:durableId="113913200">
    <w:abstractNumId w:val="11"/>
  </w:num>
  <w:num w:numId="4" w16cid:durableId="305547463">
    <w:abstractNumId w:val="32"/>
  </w:num>
  <w:num w:numId="5" w16cid:durableId="456997310">
    <w:abstractNumId w:val="28"/>
  </w:num>
  <w:num w:numId="6" w16cid:durableId="125781238">
    <w:abstractNumId w:val="31"/>
  </w:num>
  <w:num w:numId="7" w16cid:durableId="1192382357">
    <w:abstractNumId w:val="17"/>
  </w:num>
  <w:num w:numId="8" w16cid:durableId="94905725">
    <w:abstractNumId w:val="0"/>
  </w:num>
  <w:num w:numId="9" w16cid:durableId="1157185776">
    <w:abstractNumId w:val="7"/>
  </w:num>
  <w:num w:numId="10" w16cid:durableId="472600427">
    <w:abstractNumId w:val="5"/>
  </w:num>
  <w:num w:numId="11" w16cid:durableId="1033843056">
    <w:abstractNumId w:val="27"/>
  </w:num>
  <w:num w:numId="12" w16cid:durableId="483787514">
    <w:abstractNumId w:val="22"/>
  </w:num>
  <w:num w:numId="13" w16cid:durableId="2118595717">
    <w:abstractNumId w:val="6"/>
  </w:num>
  <w:num w:numId="14" w16cid:durableId="581450148">
    <w:abstractNumId w:val="4"/>
  </w:num>
  <w:num w:numId="15" w16cid:durableId="414977385">
    <w:abstractNumId w:val="13"/>
  </w:num>
  <w:num w:numId="16" w16cid:durableId="468936669">
    <w:abstractNumId w:val="19"/>
  </w:num>
  <w:num w:numId="17" w16cid:durableId="664934614">
    <w:abstractNumId w:val="26"/>
  </w:num>
  <w:num w:numId="18" w16cid:durableId="1597666669">
    <w:abstractNumId w:val="14"/>
  </w:num>
  <w:num w:numId="19" w16cid:durableId="594362552">
    <w:abstractNumId w:val="12"/>
  </w:num>
  <w:num w:numId="20" w16cid:durableId="1861507395">
    <w:abstractNumId w:val="9"/>
  </w:num>
  <w:num w:numId="21" w16cid:durableId="1342973932">
    <w:abstractNumId w:val="18"/>
  </w:num>
  <w:num w:numId="22" w16cid:durableId="2107145145">
    <w:abstractNumId w:val="20"/>
  </w:num>
  <w:num w:numId="23" w16cid:durableId="592473557">
    <w:abstractNumId w:val="21"/>
  </w:num>
  <w:num w:numId="24" w16cid:durableId="2073845433">
    <w:abstractNumId w:val="24"/>
  </w:num>
  <w:num w:numId="25" w16cid:durableId="1509560301">
    <w:abstractNumId w:val="16"/>
  </w:num>
  <w:num w:numId="26" w16cid:durableId="852957091">
    <w:abstractNumId w:val="23"/>
  </w:num>
  <w:num w:numId="27" w16cid:durableId="268315616">
    <w:abstractNumId w:val="30"/>
  </w:num>
  <w:num w:numId="28" w16cid:durableId="2015524300">
    <w:abstractNumId w:val="29"/>
  </w:num>
  <w:num w:numId="29" w16cid:durableId="1881044499">
    <w:abstractNumId w:val="1"/>
  </w:num>
  <w:num w:numId="30" w16cid:durableId="706955325">
    <w:abstractNumId w:val="3"/>
  </w:num>
  <w:num w:numId="31" w16cid:durableId="1228763517">
    <w:abstractNumId w:val="2"/>
  </w:num>
  <w:num w:numId="32" w16cid:durableId="930430498">
    <w:abstractNumId w:val="25"/>
  </w:num>
  <w:num w:numId="33" w16cid:durableId="1760984239">
    <w:abstractNumId w:val="8"/>
  </w:num>
  <w:num w:numId="34" w16cid:durableId="149954066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19D3"/>
    <w:rsid w:val="000018C3"/>
    <w:rsid w:val="00005410"/>
    <w:rsid w:val="00013F76"/>
    <w:rsid w:val="0001453B"/>
    <w:rsid w:val="00017F83"/>
    <w:rsid w:val="000671C2"/>
    <w:rsid w:val="00090840"/>
    <w:rsid w:val="00090963"/>
    <w:rsid w:val="000C425A"/>
    <w:rsid w:val="000D1DE1"/>
    <w:rsid w:val="000E7163"/>
    <w:rsid w:val="000F5DEE"/>
    <w:rsid w:val="0012553E"/>
    <w:rsid w:val="001546CB"/>
    <w:rsid w:val="00164545"/>
    <w:rsid w:val="00166D5B"/>
    <w:rsid w:val="00172F3A"/>
    <w:rsid w:val="001770C5"/>
    <w:rsid w:val="00183C14"/>
    <w:rsid w:val="0019202B"/>
    <w:rsid w:val="001A1590"/>
    <w:rsid w:val="001B6D58"/>
    <w:rsid w:val="001C36D7"/>
    <w:rsid w:val="00213317"/>
    <w:rsid w:val="00221C49"/>
    <w:rsid w:val="00231EE2"/>
    <w:rsid w:val="0024401A"/>
    <w:rsid w:val="00247044"/>
    <w:rsid w:val="00247A74"/>
    <w:rsid w:val="002527D9"/>
    <w:rsid w:val="0027002A"/>
    <w:rsid w:val="0032163B"/>
    <w:rsid w:val="00370ACF"/>
    <w:rsid w:val="00382CDC"/>
    <w:rsid w:val="003F263A"/>
    <w:rsid w:val="003F7901"/>
    <w:rsid w:val="004229FE"/>
    <w:rsid w:val="004618B6"/>
    <w:rsid w:val="00463730"/>
    <w:rsid w:val="00477CEA"/>
    <w:rsid w:val="004855D0"/>
    <w:rsid w:val="004862EF"/>
    <w:rsid w:val="00492697"/>
    <w:rsid w:val="004A0214"/>
    <w:rsid w:val="004B0A01"/>
    <w:rsid w:val="004D2B31"/>
    <w:rsid w:val="00546A6C"/>
    <w:rsid w:val="005833DC"/>
    <w:rsid w:val="005D33C9"/>
    <w:rsid w:val="005F6C79"/>
    <w:rsid w:val="006232D5"/>
    <w:rsid w:val="00635834"/>
    <w:rsid w:val="00636983"/>
    <w:rsid w:val="00644F85"/>
    <w:rsid w:val="006765F4"/>
    <w:rsid w:val="00697FC4"/>
    <w:rsid w:val="006B3AB2"/>
    <w:rsid w:val="006C01CA"/>
    <w:rsid w:val="00717FC1"/>
    <w:rsid w:val="00792332"/>
    <w:rsid w:val="007942B2"/>
    <w:rsid w:val="007A7FF7"/>
    <w:rsid w:val="007C752A"/>
    <w:rsid w:val="007E73A5"/>
    <w:rsid w:val="00810CFC"/>
    <w:rsid w:val="00824032"/>
    <w:rsid w:val="00840FA7"/>
    <w:rsid w:val="00857546"/>
    <w:rsid w:val="0086375D"/>
    <w:rsid w:val="00867476"/>
    <w:rsid w:val="0086772F"/>
    <w:rsid w:val="008722DA"/>
    <w:rsid w:val="0087407B"/>
    <w:rsid w:val="00896901"/>
    <w:rsid w:val="008D23C3"/>
    <w:rsid w:val="008D3557"/>
    <w:rsid w:val="008D5537"/>
    <w:rsid w:val="008E493E"/>
    <w:rsid w:val="00913F0A"/>
    <w:rsid w:val="00934125"/>
    <w:rsid w:val="00993A8E"/>
    <w:rsid w:val="009A6AF4"/>
    <w:rsid w:val="009E2D3F"/>
    <w:rsid w:val="009F283B"/>
    <w:rsid w:val="009F2A17"/>
    <w:rsid w:val="00A11147"/>
    <w:rsid w:val="00A1175E"/>
    <w:rsid w:val="00A1447A"/>
    <w:rsid w:val="00A47F38"/>
    <w:rsid w:val="00A974F5"/>
    <w:rsid w:val="00AA4BF6"/>
    <w:rsid w:val="00AE38BB"/>
    <w:rsid w:val="00AE4AE0"/>
    <w:rsid w:val="00AF4618"/>
    <w:rsid w:val="00AF6E50"/>
    <w:rsid w:val="00B22969"/>
    <w:rsid w:val="00B36192"/>
    <w:rsid w:val="00B503EE"/>
    <w:rsid w:val="00B763D5"/>
    <w:rsid w:val="00B87DFB"/>
    <w:rsid w:val="00BC76CA"/>
    <w:rsid w:val="00BD19D3"/>
    <w:rsid w:val="00BF51AF"/>
    <w:rsid w:val="00BF6E14"/>
    <w:rsid w:val="00C070E6"/>
    <w:rsid w:val="00C11861"/>
    <w:rsid w:val="00C11BB6"/>
    <w:rsid w:val="00C128AF"/>
    <w:rsid w:val="00C20BE5"/>
    <w:rsid w:val="00C36210"/>
    <w:rsid w:val="00C73FAE"/>
    <w:rsid w:val="00CA78F2"/>
    <w:rsid w:val="00CB5A01"/>
    <w:rsid w:val="00CC29C0"/>
    <w:rsid w:val="00CE4F26"/>
    <w:rsid w:val="00D104FC"/>
    <w:rsid w:val="00D21870"/>
    <w:rsid w:val="00D378CB"/>
    <w:rsid w:val="00D605B4"/>
    <w:rsid w:val="00D95AEE"/>
    <w:rsid w:val="00DB33CB"/>
    <w:rsid w:val="00DE71B3"/>
    <w:rsid w:val="00E17ED8"/>
    <w:rsid w:val="00E774BF"/>
    <w:rsid w:val="00E87451"/>
    <w:rsid w:val="00E94DF8"/>
    <w:rsid w:val="00EB1DEA"/>
    <w:rsid w:val="00ED047D"/>
    <w:rsid w:val="00EF3A22"/>
    <w:rsid w:val="00EF76CA"/>
    <w:rsid w:val="00F00C39"/>
    <w:rsid w:val="00F161D7"/>
    <w:rsid w:val="00F33807"/>
    <w:rsid w:val="00F469B9"/>
    <w:rsid w:val="00F8041F"/>
    <w:rsid w:val="00F96C6A"/>
    <w:rsid w:val="00FA5BB9"/>
    <w:rsid w:val="00FD7970"/>
    <w:rsid w:val="00FF55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C656C8"/>
  <w15:docId w15:val="{F253C382-766D-404D-AE7E-446E3BBDC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7044"/>
  </w:style>
  <w:style w:type="paragraph" w:styleId="Heading1">
    <w:name w:val="heading 1"/>
    <w:basedOn w:val="Normal"/>
    <w:next w:val="Normal"/>
    <w:link w:val="Heading1Char"/>
    <w:uiPriority w:val="9"/>
    <w:qFormat/>
    <w:rsid w:val="00247044"/>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47044"/>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247044"/>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247044"/>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247044"/>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247044"/>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247044"/>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247044"/>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247044"/>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19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19D3"/>
  </w:style>
  <w:style w:type="paragraph" w:styleId="Footer">
    <w:name w:val="footer"/>
    <w:basedOn w:val="Normal"/>
    <w:link w:val="FooterChar"/>
    <w:uiPriority w:val="99"/>
    <w:unhideWhenUsed/>
    <w:rsid w:val="00BD19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19D3"/>
  </w:style>
  <w:style w:type="paragraph" w:styleId="NormalWeb">
    <w:name w:val="Normal (Web)"/>
    <w:basedOn w:val="Normal"/>
    <w:uiPriority w:val="99"/>
    <w:semiHidden/>
    <w:unhideWhenUsed/>
    <w:rsid w:val="000018C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247044"/>
    <w:rPr>
      <w:rFonts w:asciiTheme="majorHAnsi" w:eastAsiaTheme="majorEastAsia" w:hAnsiTheme="majorHAnsi" w:cstheme="majorBidi"/>
      <w:color w:val="404040" w:themeColor="text1" w:themeTint="BF"/>
      <w:sz w:val="28"/>
      <w:szCs w:val="28"/>
    </w:rPr>
  </w:style>
  <w:style w:type="character" w:styleId="Hyperlink">
    <w:name w:val="Hyperlink"/>
    <w:basedOn w:val="DefaultParagraphFont"/>
    <w:uiPriority w:val="99"/>
    <w:unhideWhenUsed/>
    <w:rsid w:val="007A7FF7"/>
    <w:rPr>
      <w:color w:val="0563C1" w:themeColor="hyperlink"/>
      <w:u w:val="single"/>
    </w:rPr>
  </w:style>
  <w:style w:type="character" w:customStyle="1" w:styleId="Heading3Char">
    <w:name w:val="Heading 3 Char"/>
    <w:basedOn w:val="DefaultParagraphFont"/>
    <w:link w:val="Heading3"/>
    <w:uiPriority w:val="9"/>
    <w:semiHidden/>
    <w:rsid w:val="00247044"/>
    <w:rPr>
      <w:rFonts w:asciiTheme="majorHAnsi" w:eastAsiaTheme="majorEastAsia" w:hAnsiTheme="majorHAnsi" w:cstheme="majorBidi"/>
      <w:color w:val="44546A" w:themeColor="text2"/>
      <w:sz w:val="24"/>
      <w:szCs w:val="24"/>
    </w:rPr>
  </w:style>
  <w:style w:type="character" w:customStyle="1" w:styleId="Caption1">
    <w:name w:val="Caption1"/>
    <w:basedOn w:val="DefaultParagraphFont"/>
    <w:rsid w:val="007A7FF7"/>
  </w:style>
  <w:style w:type="paragraph" w:styleId="BalloonText">
    <w:name w:val="Balloon Text"/>
    <w:basedOn w:val="Normal"/>
    <w:link w:val="BalloonTextChar"/>
    <w:uiPriority w:val="99"/>
    <w:semiHidden/>
    <w:unhideWhenUsed/>
    <w:rsid w:val="008740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407B"/>
    <w:rPr>
      <w:rFonts w:ascii="Tahoma" w:hAnsi="Tahoma" w:cs="Tahoma"/>
      <w:sz w:val="16"/>
      <w:szCs w:val="16"/>
    </w:rPr>
  </w:style>
  <w:style w:type="character" w:styleId="PlaceholderText">
    <w:name w:val="Placeholder Text"/>
    <w:basedOn w:val="DefaultParagraphFont"/>
    <w:uiPriority w:val="99"/>
    <w:semiHidden/>
    <w:rsid w:val="000671C2"/>
    <w:rPr>
      <w:color w:val="808080"/>
    </w:rPr>
  </w:style>
  <w:style w:type="table" w:styleId="TableGrid">
    <w:name w:val="Table Grid"/>
    <w:basedOn w:val="TableNormal"/>
    <w:uiPriority w:val="39"/>
    <w:rsid w:val="005D33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5D33C9"/>
    <w:pPr>
      <w:ind w:left="720"/>
      <w:contextualSpacing/>
    </w:pPr>
  </w:style>
  <w:style w:type="character" w:customStyle="1" w:styleId="Heading1Char">
    <w:name w:val="Heading 1 Char"/>
    <w:basedOn w:val="DefaultParagraphFont"/>
    <w:link w:val="Heading1"/>
    <w:uiPriority w:val="9"/>
    <w:rsid w:val="00247044"/>
    <w:rPr>
      <w:rFonts w:asciiTheme="majorHAnsi" w:eastAsiaTheme="majorEastAsia" w:hAnsiTheme="majorHAnsi" w:cstheme="majorBidi"/>
      <w:color w:val="2F5496" w:themeColor="accent1" w:themeShade="BF"/>
      <w:sz w:val="32"/>
      <w:szCs w:val="32"/>
    </w:rPr>
  </w:style>
  <w:style w:type="paragraph" w:styleId="Bibliography">
    <w:name w:val="Bibliography"/>
    <w:basedOn w:val="Normal"/>
    <w:next w:val="Normal"/>
    <w:uiPriority w:val="37"/>
    <w:unhideWhenUsed/>
    <w:rsid w:val="009F2A17"/>
  </w:style>
  <w:style w:type="character" w:customStyle="1" w:styleId="Heading4Char">
    <w:name w:val="Heading 4 Char"/>
    <w:basedOn w:val="DefaultParagraphFont"/>
    <w:link w:val="Heading4"/>
    <w:uiPriority w:val="9"/>
    <w:semiHidden/>
    <w:rsid w:val="00247044"/>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247044"/>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247044"/>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247044"/>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247044"/>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247044"/>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247044"/>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247044"/>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247044"/>
    <w:rPr>
      <w:rFonts w:asciiTheme="majorHAnsi" w:eastAsiaTheme="majorEastAsia" w:hAnsiTheme="majorHAnsi" w:cstheme="majorBidi"/>
      <w:color w:val="4472C4" w:themeColor="accent1"/>
      <w:spacing w:val="-10"/>
      <w:sz w:val="56"/>
      <w:szCs w:val="56"/>
    </w:rPr>
  </w:style>
  <w:style w:type="paragraph" w:styleId="Subtitle">
    <w:name w:val="Subtitle"/>
    <w:basedOn w:val="Normal"/>
    <w:next w:val="Normal"/>
    <w:link w:val="SubtitleChar"/>
    <w:uiPriority w:val="11"/>
    <w:qFormat/>
    <w:rsid w:val="00247044"/>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247044"/>
    <w:rPr>
      <w:rFonts w:asciiTheme="majorHAnsi" w:eastAsiaTheme="majorEastAsia" w:hAnsiTheme="majorHAnsi" w:cstheme="majorBidi"/>
      <w:sz w:val="24"/>
      <w:szCs w:val="24"/>
    </w:rPr>
  </w:style>
  <w:style w:type="character" w:styleId="Strong">
    <w:name w:val="Strong"/>
    <w:basedOn w:val="DefaultParagraphFont"/>
    <w:uiPriority w:val="22"/>
    <w:qFormat/>
    <w:rsid w:val="00247044"/>
    <w:rPr>
      <w:b/>
      <w:bCs/>
    </w:rPr>
  </w:style>
  <w:style w:type="character" w:styleId="Emphasis">
    <w:name w:val="Emphasis"/>
    <w:basedOn w:val="DefaultParagraphFont"/>
    <w:uiPriority w:val="20"/>
    <w:qFormat/>
    <w:rsid w:val="00247044"/>
    <w:rPr>
      <w:i/>
      <w:iCs/>
    </w:rPr>
  </w:style>
  <w:style w:type="paragraph" w:styleId="NoSpacing">
    <w:name w:val="No Spacing"/>
    <w:uiPriority w:val="1"/>
    <w:qFormat/>
    <w:rsid w:val="00247044"/>
    <w:pPr>
      <w:spacing w:after="0" w:line="240" w:lineRule="auto"/>
    </w:pPr>
  </w:style>
  <w:style w:type="paragraph" w:styleId="Quote">
    <w:name w:val="Quote"/>
    <w:basedOn w:val="Normal"/>
    <w:next w:val="Normal"/>
    <w:link w:val="QuoteChar"/>
    <w:uiPriority w:val="29"/>
    <w:qFormat/>
    <w:rsid w:val="00247044"/>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247044"/>
    <w:rPr>
      <w:i/>
      <w:iCs/>
      <w:color w:val="404040" w:themeColor="text1" w:themeTint="BF"/>
    </w:rPr>
  </w:style>
  <w:style w:type="paragraph" w:styleId="IntenseQuote">
    <w:name w:val="Intense Quote"/>
    <w:basedOn w:val="Normal"/>
    <w:next w:val="Normal"/>
    <w:link w:val="IntenseQuoteChar"/>
    <w:uiPriority w:val="30"/>
    <w:qFormat/>
    <w:rsid w:val="00247044"/>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247044"/>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247044"/>
    <w:rPr>
      <w:i/>
      <w:iCs/>
      <w:color w:val="404040" w:themeColor="text1" w:themeTint="BF"/>
    </w:rPr>
  </w:style>
  <w:style w:type="character" w:styleId="IntenseEmphasis">
    <w:name w:val="Intense Emphasis"/>
    <w:basedOn w:val="DefaultParagraphFont"/>
    <w:uiPriority w:val="21"/>
    <w:qFormat/>
    <w:rsid w:val="00247044"/>
    <w:rPr>
      <w:b/>
      <w:bCs/>
      <w:i/>
      <w:iCs/>
    </w:rPr>
  </w:style>
  <w:style w:type="character" w:styleId="SubtleReference">
    <w:name w:val="Subtle Reference"/>
    <w:basedOn w:val="DefaultParagraphFont"/>
    <w:uiPriority w:val="31"/>
    <w:qFormat/>
    <w:rsid w:val="00247044"/>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247044"/>
    <w:rPr>
      <w:b/>
      <w:bCs/>
      <w:smallCaps/>
      <w:spacing w:val="5"/>
      <w:u w:val="single"/>
    </w:rPr>
  </w:style>
  <w:style w:type="character" w:styleId="BookTitle">
    <w:name w:val="Book Title"/>
    <w:basedOn w:val="DefaultParagraphFont"/>
    <w:uiPriority w:val="33"/>
    <w:qFormat/>
    <w:rsid w:val="00247044"/>
    <w:rPr>
      <w:b/>
      <w:bCs/>
      <w:smallCaps/>
    </w:rPr>
  </w:style>
  <w:style w:type="paragraph" w:styleId="TOCHeading">
    <w:name w:val="TOC Heading"/>
    <w:basedOn w:val="Heading1"/>
    <w:next w:val="Normal"/>
    <w:uiPriority w:val="39"/>
    <w:semiHidden/>
    <w:unhideWhenUsed/>
    <w:qFormat/>
    <w:rsid w:val="00247044"/>
    <w:pPr>
      <w:outlineLvl w:val="9"/>
    </w:pPr>
  </w:style>
  <w:style w:type="character" w:styleId="UnresolvedMention">
    <w:name w:val="Unresolved Mention"/>
    <w:basedOn w:val="DefaultParagraphFont"/>
    <w:uiPriority w:val="99"/>
    <w:semiHidden/>
    <w:unhideWhenUsed/>
    <w:rsid w:val="00AE38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45603">
      <w:bodyDiv w:val="1"/>
      <w:marLeft w:val="0"/>
      <w:marRight w:val="0"/>
      <w:marTop w:val="0"/>
      <w:marBottom w:val="0"/>
      <w:divBdr>
        <w:top w:val="none" w:sz="0" w:space="0" w:color="auto"/>
        <w:left w:val="none" w:sz="0" w:space="0" w:color="auto"/>
        <w:bottom w:val="none" w:sz="0" w:space="0" w:color="auto"/>
        <w:right w:val="none" w:sz="0" w:space="0" w:color="auto"/>
      </w:divBdr>
    </w:div>
    <w:div w:id="94785391">
      <w:bodyDiv w:val="1"/>
      <w:marLeft w:val="0"/>
      <w:marRight w:val="0"/>
      <w:marTop w:val="0"/>
      <w:marBottom w:val="0"/>
      <w:divBdr>
        <w:top w:val="none" w:sz="0" w:space="0" w:color="auto"/>
        <w:left w:val="none" w:sz="0" w:space="0" w:color="auto"/>
        <w:bottom w:val="none" w:sz="0" w:space="0" w:color="auto"/>
        <w:right w:val="none" w:sz="0" w:space="0" w:color="auto"/>
      </w:divBdr>
    </w:div>
    <w:div w:id="136530510">
      <w:bodyDiv w:val="1"/>
      <w:marLeft w:val="0"/>
      <w:marRight w:val="0"/>
      <w:marTop w:val="0"/>
      <w:marBottom w:val="0"/>
      <w:divBdr>
        <w:top w:val="none" w:sz="0" w:space="0" w:color="auto"/>
        <w:left w:val="none" w:sz="0" w:space="0" w:color="auto"/>
        <w:bottom w:val="none" w:sz="0" w:space="0" w:color="auto"/>
        <w:right w:val="none" w:sz="0" w:space="0" w:color="auto"/>
      </w:divBdr>
    </w:div>
    <w:div w:id="136731362">
      <w:bodyDiv w:val="1"/>
      <w:marLeft w:val="0"/>
      <w:marRight w:val="0"/>
      <w:marTop w:val="0"/>
      <w:marBottom w:val="0"/>
      <w:divBdr>
        <w:top w:val="none" w:sz="0" w:space="0" w:color="auto"/>
        <w:left w:val="none" w:sz="0" w:space="0" w:color="auto"/>
        <w:bottom w:val="none" w:sz="0" w:space="0" w:color="auto"/>
        <w:right w:val="none" w:sz="0" w:space="0" w:color="auto"/>
      </w:divBdr>
    </w:div>
    <w:div w:id="157312662">
      <w:bodyDiv w:val="1"/>
      <w:marLeft w:val="0"/>
      <w:marRight w:val="0"/>
      <w:marTop w:val="0"/>
      <w:marBottom w:val="0"/>
      <w:divBdr>
        <w:top w:val="none" w:sz="0" w:space="0" w:color="auto"/>
        <w:left w:val="none" w:sz="0" w:space="0" w:color="auto"/>
        <w:bottom w:val="none" w:sz="0" w:space="0" w:color="auto"/>
        <w:right w:val="none" w:sz="0" w:space="0" w:color="auto"/>
      </w:divBdr>
    </w:div>
    <w:div w:id="164562847">
      <w:bodyDiv w:val="1"/>
      <w:marLeft w:val="0"/>
      <w:marRight w:val="0"/>
      <w:marTop w:val="0"/>
      <w:marBottom w:val="0"/>
      <w:divBdr>
        <w:top w:val="none" w:sz="0" w:space="0" w:color="auto"/>
        <w:left w:val="none" w:sz="0" w:space="0" w:color="auto"/>
        <w:bottom w:val="none" w:sz="0" w:space="0" w:color="auto"/>
        <w:right w:val="none" w:sz="0" w:space="0" w:color="auto"/>
      </w:divBdr>
    </w:div>
    <w:div w:id="179710700">
      <w:bodyDiv w:val="1"/>
      <w:marLeft w:val="0"/>
      <w:marRight w:val="0"/>
      <w:marTop w:val="0"/>
      <w:marBottom w:val="0"/>
      <w:divBdr>
        <w:top w:val="none" w:sz="0" w:space="0" w:color="auto"/>
        <w:left w:val="none" w:sz="0" w:space="0" w:color="auto"/>
        <w:bottom w:val="none" w:sz="0" w:space="0" w:color="auto"/>
        <w:right w:val="none" w:sz="0" w:space="0" w:color="auto"/>
      </w:divBdr>
    </w:div>
    <w:div w:id="194739375">
      <w:bodyDiv w:val="1"/>
      <w:marLeft w:val="0"/>
      <w:marRight w:val="0"/>
      <w:marTop w:val="0"/>
      <w:marBottom w:val="0"/>
      <w:divBdr>
        <w:top w:val="none" w:sz="0" w:space="0" w:color="auto"/>
        <w:left w:val="none" w:sz="0" w:space="0" w:color="auto"/>
        <w:bottom w:val="none" w:sz="0" w:space="0" w:color="auto"/>
        <w:right w:val="none" w:sz="0" w:space="0" w:color="auto"/>
      </w:divBdr>
    </w:div>
    <w:div w:id="260964469">
      <w:bodyDiv w:val="1"/>
      <w:marLeft w:val="0"/>
      <w:marRight w:val="0"/>
      <w:marTop w:val="0"/>
      <w:marBottom w:val="0"/>
      <w:divBdr>
        <w:top w:val="none" w:sz="0" w:space="0" w:color="auto"/>
        <w:left w:val="none" w:sz="0" w:space="0" w:color="auto"/>
        <w:bottom w:val="none" w:sz="0" w:space="0" w:color="auto"/>
        <w:right w:val="none" w:sz="0" w:space="0" w:color="auto"/>
      </w:divBdr>
    </w:div>
    <w:div w:id="268896639">
      <w:bodyDiv w:val="1"/>
      <w:marLeft w:val="0"/>
      <w:marRight w:val="0"/>
      <w:marTop w:val="0"/>
      <w:marBottom w:val="0"/>
      <w:divBdr>
        <w:top w:val="none" w:sz="0" w:space="0" w:color="auto"/>
        <w:left w:val="none" w:sz="0" w:space="0" w:color="auto"/>
        <w:bottom w:val="none" w:sz="0" w:space="0" w:color="auto"/>
        <w:right w:val="none" w:sz="0" w:space="0" w:color="auto"/>
      </w:divBdr>
    </w:div>
    <w:div w:id="303393283">
      <w:bodyDiv w:val="1"/>
      <w:marLeft w:val="0"/>
      <w:marRight w:val="0"/>
      <w:marTop w:val="0"/>
      <w:marBottom w:val="0"/>
      <w:divBdr>
        <w:top w:val="none" w:sz="0" w:space="0" w:color="auto"/>
        <w:left w:val="none" w:sz="0" w:space="0" w:color="auto"/>
        <w:bottom w:val="none" w:sz="0" w:space="0" w:color="auto"/>
        <w:right w:val="none" w:sz="0" w:space="0" w:color="auto"/>
      </w:divBdr>
    </w:div>
    <w:div w:id="348719088">
      <w:bodyDiv w:val="1"/>
      <w:marLeft w:val="0"/>
      <w:marRight w:val="0"/>
      <w:marTop w:val="0"/>
      <w:marBottom w:val="0"/>
      <w:divBdr>
        <w:top w:val="none" w:sz="0" w:space="0" w:color="auto"/>
        <w:left w:val="none" w:sz="0" w:space="0" w:color="auto"/>
        <w:bottom w:val="none" w:sz="0" w:space="0" w:color="auto"/>
        <w:right w:val="none" w:sz="0" w:space="0" w:color="auto"/>
      </w:divBdr>
    </w:div>
    <w:div w:id="373162561">
      <w:bodyDiv w:val="1"/>
      <w:marLeft w:val="0"/>
      <w:marRight w:val="0"/>
      <w:marTop w:val="0"/>
      <w:marBottom w:val="0"/>
      <w:divBdr>
        <w:top w:val="none" w:sz="0" w:space="0" w:color="auto"/>
        <w:left w:val="none" w:sz="0" w:space="0" w:color="auto"/>
        <w:bottom w:val="none" w:sz="0" w:space="0" w:color="auto"/>
        <w:right w:val="none" w:sz="0" w:space="0" w:color="auto"/>
      </w:divBdr>
    </w:div>
    <w:div w:id="465241255">
      <w:bodyDiv w:val="1"/>
      <w:marLeft w:val="0"/>
      <w:marRight w:val="0"/>
      <w:marTop w:val="0"/>
      <w:marBottom w:val="0"/>
      <w:divBdr>
        <w:top w:val="none" w:sz="0" w:space="0" w:color="auto"/>
        <w:left w:val="none" w:sz="0" w:space="0" w:color="auto"/>
        <w:bottom w:val="none" w:sz="0" w:space="0" w:color="auto"/>
        <w:right w:val="none" w:sz="0" w:space="0" w:color="auto"/>
      </w:divBdr>
    </w:div>
    <w:div w:id="523254377">
      <w:bodyDiv w:val="1"/>
      <w:marLeft w:val="0"/>
      <w:marRight w:val="0"/>
      <w:marTop w:val="0"/>
      <w:marBottom w:val="0"/>
      <w:divBdr>
        <w:top w:val="none" w:sz="0" w:space="0" w:color="auto"/>
        <w:left w:val="none" w:sz="0" w:space="0" w:color="auto"/>
        <w:bottom w:val="none" w:sz="0" w:space="0" w:color="auto"/>
        <w:right w:val="none" w:sz="0" w:space="0" w:color="auto"/>
      </w:divBdr>
    </w:div>
    <w:div w:id="529101579">
      <w:bodyDiv w:val="1"/>
      <w:marLeft w:val="0"/>
      <w:marRight w:val="0"/>
      <w:marTop w:val="0"/>
      <w:marBottom w:val="0"/>
      <w:divBdr>
        <w:top w:val="none" w:sz="0" w:space="0" w:color="auto"/>
        <w:left w:val="none" w:sz="0" w:space="0" w:color="auto"/>
        <w:bottom w:val="none" w:sz="0" w:space="0" w:color="auto"/>
        <w:right w:val="none" w:sz="0" w:space="0" w:color="auto"/>
      </w:divBdr>
    </w:div>
    <w:div w:id="589582805">
      <w:bodyDiv w:val="1"/>
      <w:marLeft w:val="0"/>
      <w:marRight w:val="0"/>
      <w:marTop w:val="0"/>
      <w:marBottom w:val="0"/>
      <w:divBdr>
        <w:top w:val="none" w:sz="0" w:space="0" w:color="auto"/>
        <w:left w:val="none" w:sz="0" w:space="0" w:color="auto"/>
        <w:bottom w:val="none" w:sz="0" w:space="0" w:color="auto"/>
        <w:right w:val="none" w:sz="0" w:space="0" w:color="auto"/>
      </w:divBdr>
    </w:div>
    <w:div w:id="699429869">
      <w:bodyDiv w:val="1"/>
      <w:marLeft w:val="0"/>
      <w:marRight w:val="0"/>
      <w:marTop w:val="0"/>
      <w:marBottom w:val="0"/>
      <w:divBdr>
        <w:top w:val="none" w:sz="0" w:space="0" w:color="auto"/>
        <w:left w:val="none" w:sz="0" w:space="0" w:color="auto"/>
        <w:bottom w:val="none" w:sz="0" w:space="0" w:color="auto"/>
        <w:right w:val="none" w:sz="0" w:space="0" w:color="auto"/>
      </w:divBdr>
      <w:divsChild>
        <w:div w:id="1199857138">
          <w:marLeft w:val="0"/>
          <w:marRight w:val="0"/>
          <w:marTop w:val="0"/>
          <w:marBottom w:val="360"/>
          <w:divBdr>
            <w:top w:val="none" w:sz="0" w:space="0" w:color="auto"/>
            <w:left w:val="none" w:sz="0" w:space="0" w:color="auto"/>
            <w:bottom w:val="none" w:sz="0" w:space="0" w:color="auto"/>
            <w:right w:val="none" w:sz="0" w:space="0" w:color="auto"/>
          </w:divBdr>
        </w:div>
      </w:divsChild>
    </w:div>
    <w:div w:id="700010029">
      <w:bodyDiv w:val="1"/>
      <w:marLeft w:val="0"/>
      <w:marRight w:val="0"/>
      <w:marTop w:val="0"/>
      <w:marBottom w:val="0"/>
      <w:divBdr>
        <w:top w:val="none" w:sz="0" w:space="0" w:color="auto"/>
        <w:left w:val="none" w:sz="0" w:space="0" w:color="auto"/>
        <w:bottom w:val="none" w:sz="0" w:space="0" w:color="auto"/>
        <w:right w:val="none" w:sz="0" w:space="0" w:color="auto"/>
      </w:divBdr>
    </w:div>
    <w:div w:id="757408758">
      <w:bodyDiv w:val="1"/>
      <w:marLeft w:val="0"/>
      <w:marRight w:val="0"/>
      <w:marTop w:val="0"/>
      <w:marBottom w:val="0"/>
      <w:divBdr>
        <w:top w:val="none" w:sz="0" w:space="0" w:color="auto"/>
        <w:left w:val="none" w:sz="0" w:space="0" w:color="auto"/>
        <w:bottom w:val="none" w:sz="0" w:space="0" w:color="auto"/>
        <w:right w:val="none" w:sz="0" w:space="0" w:color="auto"/>
      </w:divBdr>
    </w:div>
    <w:div w:id="763308355">
      <w:bodyDiv w:val="1"/>
      <w:marLeft w:val="0"/>
      <w:marRight w:val="0"/>
      <w:marTop w:val="0"/>
      <w:marBottom w:val="0"/>
      <w:divBdr>
        <w:top w:val="none" w:sz="0" w:space="0" w:color="auto"/>
        <w:left w:val="none" w:sz="0" w:space="0" w:color="auto"/>
        <w:bottom w:val="none" w:sz="0" w:space="0" w:color="auto"/>
        <w:right w:val="none" w:sz="0" w:space="0" w:color="auto"/>
      </w:divBdr>
    </w:div>
    <w:div w:id="763839691">
      <w:bodyDiv w:val="1"/>
      <w:marLeft w:val="0"/>
      <w:marRight w:val="0"/>
      <w:marTop w:val="0"/>
      <w:marBottom w:val="0"/>
      <w:divBdr>
        <w:top w:val="none" w:sz="0" w:space="0" w:color="auto"/>
        <w:left w:val="none" w:sz="0" w:space="0" w:color="auto"/>
        <w:bottom w:val="none" w:sz="0" w:space="0" w:color="auto"/>
        <w:right w:val="none" w:sz="0" w:space="0" w:color="auto"/>
      </w:divBdr>
    </w:div>
    <w:div w:id="795295217">
      <w:bodyDiv w:val="1"/>
      <w:marLeft w:val="0"/>
      <w:marRight w:val="0"/>
      <w:marTop w:val="0"/>
      <w:marBottom w:val="0"/>
      <w:divBdr>
        <w:top w:val="none" w:sz="0" w:space="0" w:color="auto"/>
        <w:left w:val="none" w:sz="0" w:space="0" w:color="auto"/>
        <w:bottom w:val="none" w:sz="0" w:space="0" w:color="auto"/>
        <w:right w:val="none" w:sz="0" w:space="0" w:color="auto"/>
      </w:divBdr>
    </w:div>
    <w:div w:id="821779774">
      <w:bodyDiv w:val="1"/>
      <w:marLeft w:val="0"/>
      <w:marRight w:val="0"/>
      <w:marTop w:val="0"/>
      <w:marBottom w:val="0"/>
      <w:divBdr>
        <w:top w:val="none" w:sz="0" w:space="0" w:color="auto"/>
        <w:left w:val="none" w:sz="0" w:space="0" w:color="auto"/>
        <w:bottom w:val="none" w:sz="0" w:space="0" w:color="auto"/>
        <w:right w:val="none" w:sz="0" w:space="0" w:color="auto"/>
      </w:divBdr>
    </w:div>
    <w:div w:id="855844243">
      <w:bodyDiv w:val="1"/>
      <w:marLeft w:val="0"/>
      <w:marRight w:val="0"/>
      <w:marTop w:val="0"/>
      <w:marBottom w:val="0"/>
      <w:divBdr>
        <w:top w:val="none" w:sz="0" w:space="0" w:color="auto"/>
        <w:left w:val="none" w:sz="0" w:space="0" w:color="auto"/>
        <w:bottom w:val="none" w:sz="0" w:space="0" w:color="auto"/>
        <w:right w:val="none" w:sz="0" w:space="0" w:color="auto"/>
      </w:divBdr>
    </w:div>
    <w:div w:id="878593064">
      <w:bodyDiv w:val="1"/>
      <w:marLeft w:val="0"/>
      <w:marRight w:val="0"/>
      <w:marTop w:val="0"/>
      <w:marBottom w:val="0"/>
      <w:divBdr>
        <w:top w:val="none" w:sz="0" w:space="0" w:color="auto"/>
        <w:left w:val="none" w:sz="0" w:space="0" w:color="auto"/>
        <w:bottom w:val="none" w:sz="0" w:space="0" w:color="auto"/>
        <w:right w:val="none" w:sz="0" w:space="0" w:color="auto"/>
      </w:divBdr>
    </w:div>
    <w:div w:id="892236974">
      <w:bodyDiv w:val="1"/>
      <w:marLeft w:val="0"/>
      <w:marRight w:val="0"/>
      <w:marTop w:val="0"/>
      <w:marBottom w:val="0"/>
      <w:divBdr>
        <w:top w:val="none" w:sz="0" w:space="0" w:color="auto"/>
        <w:left w:val="none" w:sz="0" w:space="0" w:color="auto"/>
        <w:bottom w:val="none" w:sz="0" w:space="0" w:color="auto"/>
        <w:right w:val="none" w:sz="0" w:space="0" w:color="auto"/>
      </w:divBdr>
    </w:div>
    <w:div w:id="899293171">
      <w:bodyDiv w:val="1"/>
      <w:marLeft w:val="0"/>
      <w:marRight w:val="0"/>
      <w:marTop w:val="0"/>
      <w:marBottom w:val="0"/>
      <w:divBdr>
        <w:top w:val="none" w:sz="0" w:space="0" w:color="auto"/>
        <w:left w:val="none" w:sz="0" w:space="0" w:color="auto"/>
        <w:bottom w:val="none" w:sz="0" w:space="0" w:color="auto"/>
        <w:right w:val="none" w:sz="0" w:space="0" w:color="auto"/>
      </w:divBdr>
    </w:div>
    <w:div w:id="905070385">
      <w:bodyDiv w:val="1"/>
      <w:marLeft w:val="0"/>
      <w:marRight w:val="0"/>
      <w:marTop w:val="0"/>
      <w:marBottom w:val="0"/>
      <w:divBdr>
        <w:top w:val="none" w:sz="0" w:space="0" w:color="auto"/>
        <w:left w:val="none" w:sz="0" w:space="0" w:color="auto"/>
        <w:bottom w:val="none" w:sz="0" w:space="0" w:color="auto"/>
        <w:right w:val="none" w:sz="0" w:space="0" w:color="auto"/>
      </w:divBdr>
    </w:div>
    <w:div w:id="958147099">
      <w:bodyDiv w:val="1"/>
      <w:marLeft w:val="0"/>
      <w:marRight w:val="0"/>
      <w:marTop w:val="0"/>
      <w:marBottom w:val="0"/>
      <w:divBdr>
        <w:top w:val="none" w:sz="0" w:space="0" w:color="auto"/>
        <w:left w:val="none" w:sz="0" w:space="0" w:color="auto"/>
        <w:bottom w:val="none" w:sz="0" w:space="0" w:color="auto"/>
        <w:right w:val="none" w:sz="0" w:space="0" w:color="auto"/>
      </w:divBdr>
    </w:div>
    <w:div w:id="974480986">
      <w:bodyDiv w:val="1"/>
      <w:marLeft w:val="0"/>
      <w:marRight w:val="0"/>
      <w:marTop w:val="0"/>
      <w:marBottom w:val="0"/>
      <w:divBdr>
        <w:top w:val="none" w:sz="0" w:space="0" w:color="auto"/>
        <w:left w:val="none" w:sz="0" w:space="0" w:color="auto"/>
        <w:bottom w:val="none" w:sz="0" w:space="0" w:color="auto"/>
        <w:right w:val="none" w:sz="0" w:space="0" w:color="auto"/>
      </w:divBdr>
    </w:div>
    <w:div w:id="983198758">
      <w:bodyDiv w:val="1"/>
      <w:marLeft w:val="0"/>
      <w:marRight w:val="0"/>
      <w:marTop w:val="0"/>
      <w:marBottom w:val="0"/>
      <w:divBdr>
        <w:top w:val="none" w:sz="0" w:space="0" w:color="auto"/>
        <w:left w:val="none" w:sz="0" w:space="0" w:color="auto"/>
        <w:bottom w:val="none" w:sz="0" w:space="0" w:color="auto"/>
        <w:right w:val="none" w:sz="0" w:space="0" w:color="auto"/>
      </w:divBdr>
    </w:div>
    <w:div w:id="1006326982">
      <w:bodyDiv w:val="1"/>
      <w:marLeft w:val="0"/>
      <w:marRight w:val="0"/>
      <w:marTop w:val="0"/>
      <w:marBottom w:val="0"/>
      <w:divBdr>
        <w:top w:val="none" w:sz="0" w:space="0" w:color="auto"/>
        <w:left w:val="none" w:sz="0" w:space="0" w:color="auto"/>
        <w:bottom w:val="none" w:sz="0" w:space="0" w:color="auto"/>
        <w:right w:val="none" w:sz="0" w:space="0" w:color="auto"/>
      </w:divBdr>
    </w:div>
    <w:div w:id="1149327830">
      <w:bodyDiv w:val="1"/>
      <w:marLeft w:val="0"/>
      <w:marRight w:val="0"/>
      <w:marTop w:val="0"/>
      <w:marBottom w:val="0"/>
      <w:divBdr>
        <w:top w:val="none" w:sz="0" w:space="0" w:color="auto"/>
        <w:left w:val="none" w:sz="0" w:space="0" w:color="auto"/>
        <w:bottom w:val="none" w:sz="0" w:space="0" w:color="auto"/>
        <w:right w:val="none" w:sz="0" w:space="0" w:color="auto"/>
      </w:divBdr>
    </w:div>
    <w:div w:id="1166869769">
      <w:bodyDiv w:val="1"/>
      <w:marLeft w:val="0"/>
      <w:marRight w:val="0"/>
      <w:marTop w:val="0"/>
      <w:marBottom w:val="0"/>
      <w:divBdr>
        <w:top w:val="none" w:sz="0" w:space="0" w:color="auto"/>
        <w:left w:val="none" w:sz="0" w:space="0" w:color="auto"/>
        <w:bottom w:val="none" w:sz="0" w:space="0" w:color="auto"/>
        <w:right w:val="none" w:sz="0" w:space="0" w:color="auto"/>
      </w:divBdr>
    </w:div>
    <w:div w:id="1181552723">
      <w:bodyDiv w:val="1"/>
      <w:marLeft w:val="0"/>
      <w:marRight w:val="0"/>
      <w:marTop w:val="0"/>
      <w:marBottom w:val="0"/>
      <w:divBdr>
        <w:top w:val="none" w:sz="0" w:space="0" w:color="auto"/>
        <w:left w:val="none" w:sz="0" w:space="0" w:color="auto"/>
        <w:bottom w:val="none" w:sz="0" w:space="0" w:color="auto"/>
        <w:right w:val="none" w:sz="0" w:space="0" w:color="auto"/>
      </w:divBdr>
    </w:div>
    <w:div w:id="1202551750">
      <w:bodyDiv w:val="1"/>
      <w:marLeft w:val="0"/>
      <w:marRight w:val="0"/>
      <w:marTop w:val="0"/>
      <w:marBottom w:val="0"/>
      <w:divBdr>
        <w:top w:val="none" w:sz="0" w:space="0" w:color="auto"/>
        <w:left w:val="none" w:sz="0" w:space="0" w:color="auto"/>
        <w:bottom w:val="none" w:sz="0" w:space="0" w:color="auto"/>
        <w:right w:val="none" w:sz="0" w:space="0" w:color="auto"/>
      </w:divBdr>
    </w:div>
    <w:div w:id="1219174028">
      <w:bodyDiv w:val="1"/>
      <w:marLeft w:val="0"/>
      <w:marRight w:val="0"/>
      <w:marTop w:val="0"/>
      <w:marBottom w:val="0"/>
      <w:divBdr>
        <w:top w:val="none" w:sz="0" w:space="0" w:color="auto"/>
        <w:left w:val="none" w:sz="0" w:space="0" w:color="auto"/>
        <w:bottom w:val="none" w:sz="0" w:space="0" w:color="auto"/>
        <w:right w:val="none" w:sz="0" w:space="0" w:color="auto"/>
      </w:divBdr>
    </w:div>
    <w:div w:id="1233271200">
      <w:bodyDiv w:val="1"/>
      <w:marLeft w:val="0"/>
      <w:marRight w:val="0"/>
      <w:marTop w:val="0"/>
      <w:marBottom w:val="0"/>
      <w:divBdr>
        <w:top w:val="none" w:sz="0" w:space="0" w:color="auto"/>
        <w:left w:val="none" w:sz="0" w:space="0" w:color="auto"/>
        <w:bottom w:val="none" w:sz="0" w:space="0" w:color="auto"/>
        <w:right w:val="none" w:sz="0" w:space="0" w:color="auto"/>
      </w:divBdr>
    </w:div>
    <w:div w:id="1240991396">
      <w:bodyDiv w:val="1"/>
      <w:marLeft w:val="0"/>
      <w:marRight w:val="0"/>
      <w:marTop w:val="0"/>
      <w:marBottom w:val="0"/>
      <w:divBdr>
        <w:top w:val="none" w:sz="0" w:space="0" w:color="auto"/>
        <w:left w:val="none" w:sz="0" w:space="0" w:color="auto"/>
        <w:bottom w:val="none" w:sz="0" w:space="0" w:color="auto"/>
        <w:right w:val="none" w:sz="0" w:space="0" w:color="auto"/>
      </w:divBdr>
    </w:div>
    <w:div w:id="1297250783">
      <w:bodyDiv w:val="1"/>
      <w:marLeft w:val="0"/>
      <w:marRight w:val="0"/>
      <w:marTop w:val="0"/>
      <w:marBottom w:val="0"/>
      <w:divBdr>
        <w:top w:val="none" w:sz="0" w:space="0" w:color="auto"/>
        <w:left w:val="none" w:sz="0" w:space="0" w:color="auto"/>
        <w:bottom w:val="none" w:sz="0" w:space="0" w:color="auto"/>
        <w:right w:val="none" w:sz="0" w:space="0" w:color="auto"/>
      </w:divBdr>
    </w:div>
    <w:div w:id="1297565082">
      <w:bodyDiv w:val="1"/>
      <w:marLeft w:val="0"/>
      <w:marRight w:val="0"/>
      <w:marTop w:val="0"/>
      <w:marBottom w:val="0"/>
      <w:divBdr>
        <w:top w:val="none" w:sz="0" w:space="0" w:color="auto"/>
        <w:left w:val="none" w:sz="0" w:space="0" w:color="auto"/>
        <w:bottom w:val="none" w:sz="0" w:space="0" w:color="auto"/>
        <w:right w:val="none" w:sz="0" w:space="0" w:color="auto"/>
      </w:divBdr>
    </w:div>
    <w:div w:id="1310402155">
      <w:bodyDiv w:val="1"/>
      <w:marLeft w:val="0"/>
      <w:marRight w:val="0"/>
      <w:marTop w:val="0"/>
      <w:marBottom w:val="0"/>
      <w:divBdr>
        <w:top w:val="none" w:sz="0" w:space="0" w:color="auto"/>
        <w:left w:val="none" w:sz="0" w:space="0" w:color="auto"/>
        <w:bottom w:val="none" w:sz="0" w:space="0" w:color="auto"/>
        <w:right w:val="none" w:sz="0" w:space="0" w:color="auto"/>
      </w:divBdr>
    </w:div>
    <w:div w:id="1337611507">
      <w:bodyDiv w:val="1"/>
      <w:marLeft w:val="0"/>
      <w:marRight w:val="0"/>
      <w:marTop w:val="0"/>
      <w:marBottom w:val="0"/>
      <w:divBdr>
        <w:top w:val="none" w:sz="0" w:space="0" w:color="auto"/>
        <w:left w:val="none" w:sz="0" w:space="0" w:color="auto"/>
        <w:bottom w:val="none" w:sz="0" w:space="0" w:color="auto"/>
        <w:right w:val="none" w:sz="0" w:space="0" w:color="auto"/>
      </w:divBdr>
    </w:div>
    <w:div w:id="1351224711">
      <w:bodyDiv w:val="1"/>
      <w:marLeft w:val="0"/>
      <w:marRight w:val="0"/>
      <w:marTop w:val="0"/>
      <w:marBottom w:val="0"/>
      <w:divBdr>
        <w:top w:val="none" w:sz="0" w:space="0" w:color="auto"/>
        <w:left w:val="none" w:sz="0" w:space="0" w:color="auto"/>
        <w:bottom w:val="none" w:sz="0" w:space="0" w:color="auto"/>
        <w:right w:val="none" w:sz="0" w:space="0" w:color="auto"/>
      </w:divBdr>
    </w:div>
    <w:div w:id="1368288034">
      <w:bodyDiv w:val="1"/>
      <w:marLeft w:val="0"/>
      <w:marRight w:val="0"/>
      <w:marTop w:val="0"/>
      <w:marBottom w:val="0"/>
      <w:divBdr>
        <w:top w:val="none" w:sz="0" w:space="0" w:color="auto"/>
        <w:left w:val="none" w:sz="0" w:space="0" w:color="auto"/>
        <w:bottom w:val="none" w:sz="0" w:space="0" w:color="auto"/>
        <w:right w:val="none" w:sz="0" w:space="0" w:color="auto"/>
      </w:divBdr>
    </w:div>
    <w:div w:id="1383553619">
      <w:bodyDiv w:val="1"/>
      <w:marLeft w:val="0"/>
      <w:marRight w:val="0"/>
      <w:marTop w:val="0"/>
      <w:marBottom w:val="0"/>
      <w:divBdr>
        <w:top w:val="none" w:sz="0" w:space="0" w:color="auto"/>
        <w:left w:val="none" w:sz="0" w:space="0" w:color="auto"/>
        <w:bottom w:val="none" w:sz="0" w:space="0" w:color="auto"/>
        <w:right w:val="none" w:sz="0" w:space="0" w:color="auto"/>
      </w:divBdr>
    </w:div>
    <w:div w:id="1392535292">
      <w:bodyDiv w:val="1"/>
      <w:marLeft w:val="0"/>
      <w:marRight w:val="0"/>
      <w:marTop w:val="0"/>
      <w:marBottom w:val="0"/>
      <w:divBdr>
        <w:top w:val="none" w:sz="0" w:space="0" w:color="auto"/>
        <w:left w:val="none" w:sz="0" w:space="0" w:color="auto"/>
        <w:bottom w:val="none" w:sz="0" w:space="0" w:color="auto"/>
        <w:right w:val="none" w:sz="0" w:space="0" w:color="auto"/>
      </w:divBdr>
    </w:div>
    <w:div w:id="1396122122">
      <w:bodyDiv w:val="1"/>
      <w:marLeft w:val="0"/>
      <w:marRight w:val="0"/>
      <w:marTop w:val="0"/>
      <w:marBottom w:val="0"/>
      <w:divBdr>
        <w:top w:val="none" w:sz="0" w:space="0" w:color="auto"/>
        <w:left w:val="none" w:sz="0" w:space="0" w:color="auto"/>
        <w:bottom w:val="none" w:sz="0" w:space="0" w:color="auto"/>
        <w:right w:val="none" w:sz="0" w:space="0" w:color="auto"/>
      </w:divBdr>
    </w:div>
    <w:div w:id="1409578871">
      <w:bodyDiv w:val="1"/>
      <w:marLeft w:val="0"/>
      <w:marRight w:val="0"/>
      <w:marTop w:val="0"/>
      <w:marBottom w:val="0"/>
      <w:divBdr>
        <w:top w:val="none" w:sz="0" w:space="0" w:color="auto"/>
        <w:left w:val="none" w:sz="0" w:space="0" w:color="auto"/>
        <w:bottom w:val="none" w:sz="0" w:space="0" w:color="auto"/>
        <w:right w:val="none" w:sz="0" w:space="0" w:color="auto"/>
      </w:divBdr>
    </w:div>
    <w:div w:id="1414232009">
      <w:bodyDiv w:val="1"/>
      <w:marLeft w:val="0"/>
      <w:marRight w:val="0"/>
      <w:marTop w:val="0"/>
      <w:marBottom w:val="0"/>
      <w:divBdr>
        <w:top w:val="none" w:sz="0" w:space="0" w:color="auto"/>
        <w:left w:val="none" w:sz="0" w:space="0" w:color="auto"/>
        <w:bottom w:val="none" w:sz="0" w:space="0" w:color="auto"/>
        <w:right w:val="none" w:sz="0" w:space="0" w:color="auto"/>
      </w:divBdr>
    </w:div>
    <w:div w:id="1480341759">
      <w:bodyDiv w:val="1"/>
      <w:marLeft w:val="0"/>
      <w:marRight w:val="0"/>
      <w:marTop w:val="0"/>
      <w:marBottom w:val="0"/>
      <w:divBdr>
        <w:top w:val="none" w:sz="0" w:space="0" w:color="auto"/>
        <w:left w:val="none" w:sz="0" w:space="0" w:color="auto"/>
        <w:bottom w:val="none" w:sz="0" w:space="0" w:color="auto"/>
        <w:right w:val="none" w:sz="0" w:space="0" w:color="auto"/>
      </w:divBdr>
    </w:div>
    <w:div w:id="1488477777">
      <w:bodyDiv w:val="1"/>
      <w:marLeft w:val="0"/>
      <w:marRight w:val="0"/>
      <w:marTop w:val="0"/>
      <w:marBottom w:val="0"/>
      <w:divBdr>
        <w:top w:val="none" w:sz="0" w:space="0" w:color="auto"/>
        <w:left w:val="none" w:sz="0" w:space="0" w:color="auto"/>
        <w:bottom w:val="none" w:sz="0" w:space="0" w:color="auto"/>
        <w:right w:val="none" w:sz="0" w:space="0" w:color="auto"/>
      </w:divBdr>
    </w:div>
    <w:div w:id="1496337275">
      <w:bodyDiv w:val="1"/>
      <w:marLeft w:val="0"/>
      <w:marRight w:val="0"/>
      <w:marTop w:val="0"/>
      <w:marBottom w:val="0"/>
      <w:divBdr>
        <w:top w:val="none" w:sz="0" w:space="0" w:color="auto"/>
        <w:left w:val="none" w:sz="0" w:space="0" w:color="auto"/>
        <w:bottom w:val="none" w:sz="0" w:space="0" w:color="auto"/>
        <w:right w:val="none" w:sz="0" w:space="0" w:color="auto"/>
      </w:divBdr>
    </w:div>
    <w:div w:id="1552762241">
      <w:bodyDiv w:val="1"/>
      <w:marLeft w:val="0"/>
      <w:marRight w:val="0"/>
      <w:marTop w:val="0"/>
      <w:marBottom w:val="0"/>
      <w:divBdr>
        <w:top w:val="none" w:sz="0" w:space="0" w:color="auto"/>
        <w:left w:val="none" w:sz="0" w:space="0" w:color="auto"/>
        <w:bottom w:val="none" w:sz="0" w:space="0" w:color="auto"/>
        <w:right w:val="none" w:sz="0" w:space="0" w:color="auto"/>
      </w:divBdr>
    </w:div>
    <w:div w:id="1556310269">
      <w:bodyDiv w:val="1"/>
      <w:marLeft w:val="0"/>
      <w:marRight w:val="0"/>
      <w:marTop w:val="0"/>
      <w:marBottom w:val="0"/>
      <w:divBdr>
        <w:top w:val="none" w:sz="0" w:space="0" w:color="auto"/>
        <w:left w:val="none" w:sz="0" w:space="0" w:color="auto"/>
        <w:bottom w:val="none" w:sz="0" w:space="0" w:color="auto"/>
        <w:right w:val="none" w:sz="0" w:space="0" w:color="auto"/>
      </w:divBdr>
      <w:divsChild>
        <w:div w:id="1536888308">
          <w:marLeft w:val="0"/>
          <w:marRight w:val="0"/>
          <w:marTop w:val="0"/>
          <w:marBottom w:val="180"/>
          <w:divBdr>
            <w:top w:val="none" w:sz="0" w:space="0" w:color="auto"/>
            <w:left w:val="none" w:sz="0" w:space="0" w:color="auto"/>
            <w:bottom w:val="none" w:sz="0" w:space="0" w:color="auto"/>
            <w:right w:val="none" w:sz="0" w:space="0" w:color="auto"/>
          </w:divBdr>
        </w:div>
      </w:divsChild>
    </w:div>
    <w:div w:id="1654677119">
      <w:bodyDiv w:val="1"/>
      <w:marLeft w:val="0"/>
      <w:marRight w:val="0"/>
      <w:marTop w:val="0"/>
      <w:marBottom w:val="0"/>
      <w:divBdr>
        <w:top w:val="none" w:sz="0" w:space="0" w:color="auto"/>
        <w:left w:val="none" w:sz="0" w:space="0" w:color="auto"/>
        <w:bottom w:val="none" w:sz="0" w:space="0" w:color="auto"/>
        <w:right w:val="none" w:sz="0" w:space="0" w:color="auto"/>
      </w:divBdr>
    </w:div>
    <w:div w:id="1679041444">
      <w:bodyDiv w:val="1"/>
      <w:marLeft w:val="0"/>
      <w:marRight w:val="0"/>
      <w:marTop w:val="0"/>
      <w:marBottom w:val="0"/>
      <w:divBdr>
        <w:top w:val="none" w:sz="0" w:space="0" w:color="auto"/>
        <w:left w:val="none" w:sz="0" w:space="0" w:color="auto"/>
        <w:bottom w:val="none" w:sz="0" w:space="0" w:color="auto"/>
        <w:right w:val="none" w:sz="0" w:space="0" w:color="auto"/>
      </w:divBdr>
    </w:div>
    <w:div w:id="1742867194">
      <w:bodyDiv w:val="1"/>
      <w:marLeft w:val="0"/>
      <w:marRight w:val="0"/>
      <w:marTop w:val="0"/>
      <w:marBottom w:val="0"/>
      <w:divBdr>
        <w:top w:val="none" w:sz="0" w:space="0" w:color="auto"/>
        <w:left w:val="none" w:sz="0" w:space="0" w:color="auto"/>
        <w:bottom w:val="none" w:sz="0" w:space="0" w:color="auto"/>
        <w:right w:val="none" w:sz="0" w:space="0" w:color="auto"/>
      </w:divBdr>
    </w:div>
    <w:div w:id="1754620002">
      <w:bodyDiv w:val="1"/>
      <w:marLeft w:val="0"/>
      <w:marRight w:val="0"/>
      <w:marTop w:val="0"/>
      <w:marBottom w:val="0"/>
      <w:divBdr>
        <w:top w:val="none" w:sz="0" w:space="0" w:color="auto"/>
        <w:left w:val="none" w:sz="0" w:space="0" w:color="auto"/>
        <w:bottom w:val="none" w:sz="0" w:space="0" w:color="auto"/>
        <w:right w:val="none" w:sz="0" w:space="0" w:color="auto"/>
      </w:divBdr>
    </w:div>
    <w:div w:id="1765615635">
      <w:bodyDiv w:val="1"/>
      <w:marLeft w:val="0"/>
      <w:marRight w:val="0"/>
      <w:marTop w:val="0"/>
      <w:marBottom w:val="0"/>
      <w:divBdr>
        <w:top w:val="none" w:sz="0" w:space="0" w:color="auto"/>
        <w:left w:val="none" w:sz="0" w:space="0" w:color="auto"/>
        <w:bottom w:val="none" w:sz="0" w:space="0" w:color="auto"/>
        <w:right w:val="none" w:sz="0" w:space="0" w:color="auto"/>
      </w:divBdr>
    </w:div>
    <w:div w:id="1796096900">
      <w:bodyDiv w:val="1"/>
      <w:marLeft w:val="0"/>
      <w:marRight w:val="0"/>
      <w:marTop w:val="0"/>
      <w:marBottom w:val="0"/>
      <w:divBdr>
        <w:top w:val="none" w:sz="0" w:space="0" w:color="auto"/>
        <w:left w:val="none" w:sz="0" w:space="0" w:color="auto"/>
        <w:bottom w:val="none" w:sz="0" w:space="0" w:color="auto"/>
        <w:right w:val="none" w:sz="0" w:space="0" w:color="auto"/>
      </w:divBdr>
    </w:div>
    <w:div w:id="1798638470">
      <w:bodyDiv w:val="1"/>
      <w:marLeft w:val="0"/>
      <w:marRight w:val="0"/>
      <w:marTop w:val="0"/>
      <w:marBottom w:val="0"/>
      <w:divBdr>
        <w:top w:val="none" w:sz="0" w:space="0" w:color="auto"/>
        <w:left w:val="none" w:sz="0" w:space="0" w:color="auto"/>
        <w:bottom w:val="none" w:sz="0" w:space="0" w:color="auto"/>
        <w:right w:val="none" w:sz="0" w:space="0" w:color="auto"/>
      </w:divBdr>
    </w:div>
    <w:div w:id="1805270499">
      <w:bodyDiv w:val="1"/>
      <w:marLeft w:val="0"/>
      <w:marRight w:val="0"/>
      <w:marTop w:val="0"/>
      <w:marBottom w:val="0"/>
      <w:divBdr>
        <w:top w:val="none" w:sz="0" w:space="0" w:color="auto"/>
        <w:left w:val="none" w:sz="0" w:space="0" w:color="auto"/>
        <w:bottom w:val="none" w:sz="0" w:space="0" w:color="auto"/>
        <w:right w:val="none" w:sz="0" w:space="0" w:color="auto"/>
      </w:divBdr>
    </w:div>
    <w:div w:id="1868715064">
      <w:bodyDiv w:val="1"/>
      <w:marLeft w:val="0"/>
      <w:marRight w:val="0"/>
      <w:marTop w:val="0"/>
      <w:marBottom w:val="0"/>
      <w:divBdr>
        <w:top w:val="none" w:sz="0" w:space="0" w:color="auto"/>
        <w:left w:val="none" w:sz="0" w:space="0" w:color="auto"/>
        <w:bottom w:val="none" w:sz="0" w:space="0" w:color="auto"/>
        <w:right w:val="none" w:sz="0" w:space="0" w:color="auto"/>
      </w:divBdr>
    </w:div>
    <w:div w:id="1899583618">
      <w:bodyDiv w:val="1"/>
      <w:marLeft w:val="0"/>
      <w:marRight w:val="0"/>
      <w:marTop w:val="0"/>
      <w:marBottom w:val="0"/>
      <w:divBdr>
        <w:top w:val="none" w:sz="0" w:space="0" w:color="auto"/>
        <w:left w:val="none" w:sz="0" w:space="0" w:color="auto"/>
        <w:bottom w:val="none" w:sz="0" w:space="0" w:color="auto"/>
        <w:right w:val="none" w:sz="0" w:space="0" w:color="auto"/>
      </w:divBdr>
    </w:div>
    <w:div w:id="1957255162">
      <w:bodyDiv w:val="1"/>
      <w:marLeft w:val="0"/>
      <w:marRight w:val="0"/>
      <w:marTop w:val="0"/>
      <w:marBottom w:val="0"/>
      <w:divBdr>
        <w:top w:val="none" w:sz="0" w:space="0" w:color="auto"/>
        <w:left w:val="none" w:sz="0" w:space="0" w:color="auto"/>
        <w:bottom w:val="none" w:sz="0" w:space="0" w:color="auto"/>
        <w:right w:val="none" w:sz="0" w:space="0" w:color="auto"/>
      </w:divBdr>
    </w:div>
    <w:div w:id="1962960035">
      <w:bodyDiv w:val="1"/>
      <w:marLeft w:val="0"/>
      <w:marRight w:val="0"/>
      <w:marTop w:val="0"/>
      <w:marBottom w:val="0"/>
      <w:divBdr>
        <w:top w:val="none" w:sz="0" w:space="0" w:color="auto"/>
        <w:left w:val="none" w:sz="0" w:space="0" w:color="auto"/>
        <w:bottom w:val="none" w:sz="0" w:space="0" w:color="auto"/>
        <w:right w:val="none" w:sz="0" w:space="0" w:color="auto"/>
      </w:divBdr>
    </w:div>
    <w:div w:id="1990670705">
      <w:bodyDiv w:val="1"/>
      <w:marLeft w:val="0"/>
      <w:marRight w:val="0"/>
      <w:marTop w:val="0"/>
      <w:marBottom w:val="0"/>
      <w:divBdr>
        <w:top w:val="none" w:sz="0" w:space="0" w:color="auto"/>
        <w:left w:val="none" w:sz="0" w:space="0" w:color="auto"/>
        <w:bottom w:val="none" w:sz="0" w:space="0" w:color="auto"/>
        <w:right w:val="none" w:sz="0" w:space="0" w:color="auto"/>
      </w:divBdr>
    </w:div>
    <w:div w:id="1991517002">
      <w:bodyDiv w:val="1"/>
      <w:marLeft w:val="0"/>
      <w:marRight w:val="0"/>
      <w:marTop w:val="0"/>
      <w:marBottom w:val="0"/>
      <w:divBdr>
        <w:top w:val="none" w:sz="0" w:space="0" w:color="auto"/>
        <w:left w:val="none" w:sz="0" w:space="0" w:color="auto"/>
        <w:bottom w:val="none" w:sz="0" w:space="0" w:color="auto"/>
        <w:right w:val="none" w:sz="0" w:space="0" w:color="auto"/>
      </w:divBdr>
      <w:divsChild>
        <w:div w:id="639580577">
          <w:marLeft w:val="0"/>
          <w:marRight w:val="0"/>
          <w:marTop w:val="0"/>
          <w:marBottom w:val="240"/>
          <w:divBdr>
            <w:top w:val="none" w:sz="0" w:space="0" w:color="auto"/>
            <w:left w:val="none" w:sz="0" w:space="0" w:color="auto"/>
            <w:bottom w:val="none" w:sz="0" w:space="0" w:color="auto"/>
            <w:right w:val="none" w:sz="0" w:space="0" w:color="auto"/>
          </w:divBdr>
        </w:div>
      </w:divsChild>
    </w:div>
    <w:div w:id="2040886160">
      <w:bodyDiv w:val="1"/>
      <w:marLeft w:val="0"/>
      <w:marRight w:val="0"/>
      <w:marTop w:val="0"/>
      <w:marBottom w:val="0"/>
      <w:divBdr>
        <w:top w:val="none" w:sz="0" w:space="0" w:color="auto"/>
        <w:left w:val="none" w:sz="0" w:space="0" w:color="auto"/>
        <w:bottom w:val="none" w:sz="0" w:space="0" w:color="auto"/>
        <w:right w:val="none" w:sz="0" w:space="0" w:color="auto"/>
      </w:divBdr>
    </w:div>
    <w:div w:id="2081441192">
      <w:bodyDiv w:val="1"/>
      <w:marLeft w:val="0"/>
      <w:marRight w:val="0"/>
      <w:marTop w:val="0"/>
      <w:marBottom w:val="0"/>
      <w:divBdr>
        <w:top w:val="none" w:sz="0" w:space="0" w:color="auto"/>
        <w:left w:val="none" w:sz="0" w:space="0" w:color="auto"/>
        <w:bottom w:val="none" w:sz="0" w:space="0" w:color="auto"/>
        <w:right w:val="none" w:sz="0" w:space="0" w:color="auto"/>
      </w:divBdr>
    </w:div>
    <w:div w:id="2083990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okalsanjana65@gmail.com" TargetMode="Externa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eekshakamble4@gmail.com"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Salunkeragini95@gmail.com" TargetMode="External"/><Relationship Id="rId4" Type="http://schemas.openxmlformats.org/officeDocument/2006/relationships/settings" Target="settings.xml"/><Relationship Id="rId9" Type="http://schemas.openxmlformats.org/officeDocument/2006/relationships/hyperlink" Target="mailto:Sakshipachkudave@gmail.com"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Ade17</b:Tag>
    <b:SourceType>JournalArticle</b:SourceType>
    <b:Guid>{8C8AFB31-63B4-4205-9CE2-BE364BAF313D}</b:Guid>
    <b:Author>
      <b:Author>
        <b:NameList>
          <b:Person>
            <b:Last>Adeline furudoli</b:Last>
            <b:First>MD</b:First>
            <b:Middle>Etienne Riviere, MD</b:Middle>
          </b:Person>
        </b:NameList>
      </b:Author>
    </b:Author>
    <b:Title>Adult primery immune thrombocytopenia </b:Title>
    <b:JournalName>spleen Histology finding and outcome according to Rituximab Use Based on analysis of 41 cases</b:JournalName>
    <b:Year>2017</b:Year>
    <b:Pages>2</b:Pages>
    <b:RefOrder>1</b:RefOrder>
  </b:Source>
</b:Sources>
</file>

<file path=customXml/itemProps1.xml><?xml version="1.0" encoding="utf-8"?>
<ds:datastoreItem xmlns:ds="http://schemas.openxmlformats.org/officeDocument/2006/customXml" ds:itemID="{D69BFD8F-FB99-409B-B45F-21EAF44CE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16</Pages>
  <Words>4925</Words>
  <Characters>28078</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mokal</dc:creator>
  <cp:keywords/>
  <dc:description/>
  <cp:lastModifiedBy>sanjana mokal</cp:lastModifiedBy>
  <cp:revision>15</cp:revision>
  <dcterms:created xsi:type="dcterms:W3CDTF">2024-03-22T15:38:00Z</dcterms:created>
  <dcterms:modified xsi:type="dcterms:W3CDTF">2024-04-11T13:00:00Z</dcterms:modified>
</cp:coreProperties>
</file>