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1265B" w14:textId="68441043" w:rsidR="00151A66" w:rsidRPr="00151A66" w:rsidRDefault="00151A66" w:rsidP="00151A66">
      <w:pPr>
        <w:spacing w:after="0" w:line="360" w:lineRule="auto"/>
        <w:jc w:val="center"/>
        <w:rPr>
          <w:rFonts w:ascii="Times New Roman" w:hAnsi="Times New Roman" w:cs="Times New Roman"/>
          <w:b/>
          <w:sz w:val="28"/>
          <w:szCs w:val="28"/>
        </w:rPr>
      </w:pPr>
      <w:r w:rsidRPr="00151A66">
        <w:rPr>
          <w:rFonts w:ascii="Times New Roman" w:hAnsi="Times New Roman" w:cs="Times New Roman"/>
          <w:b/>
          <w:sz w:val="28"/>
          <w:szCs w:val="28"/>
        </w:rPr>
        <w:t>A STUDY ON FINANCIAL PERFORMANCE ANALYSIS OF IDFC FIRST BANK LIMITED</w:t>
      </w:r>
    </w:p>
    <w:p w14:paraId="736B6AC8" w14:textId="2983C327" w:rsidR="00DA52F4" w:rsidRPr="001E51F3" w:rsidRDefault="00151A66" w:rsidP="00F53740">
      <w:pPr>
        <w:spacing w:before="54"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sz w:val="24"/>
          <w:szCs w:val="24"/>
        </w:rPr>
        <w:t>SANTHOSH S</w:t>
      </w:r>
      <w:r w:rsidR="00965ED9" w:rsidRPr="00965ED9">
        <w:rPr>
          <w:rFonts w:ascii="Times New Roman" w:hAnsi="Times New Roman" w:cs="Times New Roman"/>
          <w:b/>
          <w:bCs/>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4B1AD0">
        <w:rPr>
          <w:rFonts w:ascii="Times New Roman" w:hAnsi="Times New Roman" w:cs="Times New Roman"/>
          <w:b/>
          <w:bCs/>
          <w:color w:val="000000" w:themeColor="text1"/>
          <w:sz w:val="24"/>
          <w:szCs w:val="24"/>
        </w:rPr>
        <w:t>M</w:t>
      </w:r>
      <w:r>
        <w:rPr>
          <w:rFonts w:ascii="Times New Roman" w:hAnsi="Times New Roman" w:cs="Times New Roman"/>
          <w:b/>
          <w:bCs/>
          <w:color w:val="000000" w:themeColor="text1"/>
          <w:sz w:val="24"/>
          <w:szCs w:val="24"/>
        </w:rPr>
        <w:t>sR.RAMYA</w:t>
      </w:r>
      <w:r w:rsidR="004B1AD0" w:rsidRPr="004B1AD0">
        <w:rPr>
          <w:rFonts w:ascii="Times New Roman" w:hAnsi="Times New Roman" w:cs="Times New Roman"/>
          <w:b/>
          <w:bCs/>
          <w:color w:val="000000" w:themeColor="text1"/>
          <w:sz w:val="24"/>
          <w:szCs w:val="24"/>
          <w:vertAlign w:val="superscript"/>
        </w:rPr>
        <w:t>2</w:t>
      </w:r>
    </w:p>
    <w:p w14:paraId="7C6E1520" w14:textId="7385FF6D" w:rsidR="00DA52F4"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Final Year MBA,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32FD95CE" w14:textId="078455FF" w:rsidR="004B1AD0" w:rsidRPr="001E51F3"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Assistant Professor, Department of Management Studies,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262D7931" w14:textId="2426DDEB" w:rsidR="00DA52F4" w:rsidRPr="001E51F3" w:rsidRDefault="00DA52F4" w:rsidP="00F53740">
      <w:pPr>
        <w:spacing w:before="54"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5D4E40D" w14:textId="38BCFC58" w:rsidR="00151A66" w:rsidRPr="00151A66" w:rsidRDefault="00151A66" w:rsidP="00151A66">
      <w:pPr>
        <w:pBdr>
          <w:bottom w:val="single" w:sz="4" w:space="1" w:color="auto"/>
        </w:pBdr>
        <w:spacing w:before="54" w:after="0" w:line="360" w:lineRule="auto"/>
        <w:ind w:firstLine="720"/>
        <w:jc w:val="both"/>
        <w:rPr>
          <w:rFonts w:ascii="Times New Roman" w:hAnsi="Times New Roman" w:cs="Times New Roman"/>
          <w:b/>
          <w:bCs/>
          <w:color w:val="000000" w:themeColor="text1"/>
          <w:sz w:val="24"/>
          <w:szCs w:val="24"/>
        </w:rPr>
      </w:pPr>
      <w:r w:rsidRPr="00151A66">
        <w:rPr>
          <w:rFonts w:ascii="Times New Roman" w:hAnsi="Times New Roman" w:cs="Times New Roman"/>
          <w:b/>
          <w:bCs/>
          <w:sz w:val="24"/>
          <w:szCs w:val="24"/>
        </w:rPr>
        <w:t xml:space="preserve">The study entitled the financial performance analysis </w:t>
      </w:r>
      <w:r>
        <w:rPr>
          <w:rFonts w:ascii="Times New Roman" w:hAnsi="Times New Roman" w:cs="Times New Roman"/>
          <w:b/>
          <w:bCs/>
          <w:sz w:val="24"/>
          <w:szCs w:val="24"/>
        </w:rPr>
        <w:t>of IDFC First Bank Limited</w:t>
      </w:r>
      <w:r w:rsidRPr="00151A66">
        <w:rPr>
          <w:rFonts w:ascii="Times New Roman" w:hAnsi="Times New Roman" w:cs="Times New Roman"/>
          <w:b/>
          <w:bCs/>
          <w:sz w:val="24"/>
          <w:szCs w:val="24"/>
        </w:rPr>
        <w:t xml:space="preserve">. The </w:t>
      </w:r>
      <w:r>
        <w:rPr>
          <w:rFonts w:ascii="Times New Roman" w:hAnsi="Times New Roman" w:cs="Times New Roman"/>
          <w:b/>
          <w:bCs/>
          <w:sz w:val="24"/>
          <w:szCs w:val="24"/>
        </w:rPr>
        <w:t>aim</w:t>
      </w:r>
      <w:r w:rsidRPr="00151A66">
        <w:rPr>
          <w:rFonts w:ascii="Times New Roman" w:hAnsi="Times New Roman" w:cs="Times New Roman"/>
          <w:b/>
          <w:bCs/>
          <w:sz w:val="24"/>
          <w:szCs w:val="24"/>
        </w:rPr>
        <w:t xml:space="preserve"> of this study is to compare the current financial performance with </w:t>
      </w:r>
      <w:r>
        <w:rPr>
          <w:rFonts w:ascii="Times New Roman" w:hAnsi="Times New Roman" w:cs="Times New Roman"/>
          <w:b/>
          <w:bCs/>
          <w:sz w:val="24"/>
          <w:szCs w:val="24"/>
        </w:rPr>
        <w:t>past</w:t>
      </w:r>
      <w:r w:rsidRPr="00151A66">
        <w:rPr>
          <w:rFonts w:ascii="Times New Roman" w:hAnsi="Times New Roman" w:cs="Times New Roman"/>
          <w:b/>
          <w:bCs/>
          <w:sz w:val="24"/>
          <w:szCs w:val="24"/>
        </w:rPr>
        <w:t xml:space="preserve"> five years and to study the existing financial position of </w:t>
      </w:r>
      <w:r>
        <w:rPr>
          <w:rFonts w:ascii="Times New Roman" w:hAnsi="Times New Roman" w:cs="Times New Roman"/>
          <w:b/>
          <w:bCs/>
          <w:sz w:val="24"/>
          <w:szCs w:val="24"/>
        </w:rPr>
        <w:t>the bank</w:t>
      </w:r>
      <w:r w:rsidRPr="00151A66">
        <w:rPr>
          <w:rFonts w:ascii="Times New Roman" w:hAnsi="Times New Roman" w:cs="Times New Roman"/>
          <w:b/>
          <w:bCs/>
          <w:sz w:val="24"/>
          <w:szCs w:val="24"/>
        </w:rPr>
        <w:t xml:space="preserve">. </w:t>
      </w:r>
      <w:r>
        <w:rPr>
          <w:rFonts w:ascii="Times New Roman" w:hAnsi="Times New Roman" w:cs="Times New Roman"/>
          <w:b/>
          <w:bCs/>
          <w:sz w:val="24"/>
          <w:szCs w:val="24"/>
        </w:rPr>
        <w:t>S</w:t>
      </w:r>
      <w:r w:rsidRPr="00151A66">
        <w:rPr>
          <w:rFonts w:ascii="Times New Roman" w:hAnsi="Times New Roman" w:cs="Times New Roman"/>
          <w:b/>
          <w:bCs/>
          <w:sz w:val="24"/>
          <w:szCs w:val="24"/>
        </w:rPr>
        <w:t xml:space="preserve">econdary data </w:t>
      </w:r>
      <w:r>
        <w:rPr>
          <w:rFonts w:ascii="Times New Roman" w:hAnsi="Times New Roman" w:cs="Times New Roman"/>
          <w:b/>
          <w:bCs/>
          <w:sz w:val="24"/>
          <w:szCs w:val="24"/>
        </w:rPr>
        <w:t xml:space="preserve">is used in this study </w:t>
      </w:r>
      <w:r w:rsidRPr="00151A66">
        <w:rPr>
          <w:rFonts w:ascii="Times New Roman" w:hAnsi="Times New Roman" w:cs="Times New Roman"/>
          <w:b/>
          <w:bCs/>
          <w:sz w:val="24"/>
          <w:szCs w:val="24"/>
        </w:rPr>
        <w:t xml:space="preserve">through annual report. </w:t>
      </w:r>
      <w:r>
        <w:rPr>
          <w:rFonts w:ascii="Times New Roman" w:hAnsi="Times New Roman" w:cs="Times New Roman"/>
          <w:b/>
          <w:bCs/>
          <w:sz w:val="24"/>
          <w:szCs w:val="24"/>
        </w:rPr>
        <w:t>Financial data like</w:t>
      </w:r>
      <w:r w:rsidRPr="00151A66">
        <w:rPr>
          <w:rFonts w:ascii="Times New Roman" w:hAnsi="Times New Roman" w:cs="Times New Roman"/>
          <w:b/>
          <w:bCs/>
          <w:sz w:val="24"/>
          <w:szCs w:val="24"/>
        </w:rPr>
        <w:t xml:space="preserve">, comparative balance sheet, common size balance sheet, comparative balance sheet </w:t>
      </w:r>
      <w:proofErr w:type="spellStart"/>
      <w:proofErr w:type="gramStart"/>
      <w:r w:rsidRPr="00151A66">
        <w:rPr>
          <w:rFonts w:ascii="Times New Roman" w:hAnsi="Times New Roman" w:cs="Times New Roman"/>
          <w:b/>
          <w:bCs/>
          <w:sz w:val="24"/>
          <w:szCs w:val="24"/>
        </w:rPr>
        <w:t>analysis,that</w:t>
      </w:r>
      <w:proofErr w:type="spellEnd"/>
      <w:proofErr w:type="gramEnd"/>
      <w:r w:rsidRPr="00151A66">
        <w:rPr>
          <w:rFonts w:ascii="Times New Roman" w:hAnsi="Times New Roman" w:cs="Times New Roman"/>
          <w:b/>
          <w:bCs/>
          <w:sz w:val="24"/>
          <w:szCs w:val="24"/>
        </w:rPr>
        <w:t xml:space="preserve"> the current liabilities is higher than the current asset in every year and it is to be suggest that the company can concentrate on their increasing the level of the current asset. </w:t>
      </w:r>
      <w:r>
        <w:rPr>
          <w:rFonts w:ascii="Times New Roman" w:hAnsi="Times New Roman" w:cs="Times New Roman"/>
          <w:b/>
          <w:bCs/>
          <w:sz w:val="24"/>
          <w:szCs w:val="24"/>
        </w:rPr>
        <w:t>Hence</w:t>
      </w:r>
      <w:r w:rsidRPr="00151A66">
        <w:rPr>
          <w:rFonts w:ascii="Times New Roman" w:hAnsi="Times New Roman" w:cs="Times New Roman"/>
          <w:b/>
          <w:bCs/>
          <w:sz w:val="24"/>
          <w:szCs w:val="24"/>
        </w:rPr>
        <w:t xml:space="preserve"> the company improves this financial position. The study of financial performance on </w:t>
      </w:r>
      <w:r>
        <w:rPr>
          <w:rFonts w:ascii="Times New Roman" w:hAnsi="Times New Roman" w:cs="Times New Roman"/>
          <w:b/>
          <w:bCs/>
          <w:sz w:val="24"/>
          <w:szCs w:val="24"/>
        </w:rPr>
        <w:t>the bank</w:t>
      </w:r>
      <w:r w:rsidRPr="00151A66">
        <w:rPr>
          <w:rFonts w:ascii="Times New Roman" w:hAnsi="Times New Roman" w:cs="Times New Roman"/>
          <w:b/>
          <w:bCs/>
          <w:sz w:val="24"/>
          <w:szCs w:val="24"/>
        </w:rPr>
        <w:t xml:space="preserve"> has revealed the great deal of their various financial aspects for </w:t>
      </w:r>
      <w:r>
        <w:rPr>
          <w:rFonts w:ascii="Times New Roman" w:hAnsi="Times New Roman" w:cs="Times New Roman"/>
          <w:b/>
          <w:bCs/>
          <w:sz w:val="24"/>
          <w:szCs w:val="24"/>
        </w:rPr>
        <w:t xml:space="preserve">past </w:t>
      </w:r>
      <w:r w:rsidRPr="00151A66">
        <w:rPr>
          <w:rFonts w:ascii="Times New Roman" w:hAnsi="Times New Roman" w:cs="Times New Roman"/>
          <w:b/>
          <w:bCs/>
          <w:sz w:val="24"/>
          <w:szCs w:val="24"/>
        </w:rPr>
        <w:t>five years. The comparative analysis unlocks the overall performance methodology</w:t>
      </w:r>
    </w:p>
    <w:p w14:paraId="5501AD32" w14:textId="1C4E9EED" w:rsidR="00DA52F4" w:rsidRPr="00E211B7" w:rsidRDefault="00DA52F4" w:rsidP="00F53740">
      <w:pPr>
        <w:pBdr>
          <w:bottom w:val="single" w:sz="4" w:space="1" w:color="auto"/>
        </w:pBdr>
        <w:spacing w:before="54" w:after="0" w:line="360" w:lineRule="auto"/>
        <w:jc w:val="both"/>
        <w:rPr>
          <w:rFonts w:ascii="Times New Roman" w:hAnsi="Times New Roman" w:cs="Times New Roman"/>
          <w:color w:val="000000" w:themeColor="text1"/>
          <w:sz w:val="24"/>
          <w:szCs w:val="24"/>
        </w:rPr>
      </w:pPr>
      <w:r w:rsidRPr="00E211B7">
        <w:rPr>
          <w:rFonts w:ascii="Times New Roman" w:hAnsi="Times New Roman" w:cs="Times New Roman"/>
          <w:b/>
          <w:bCs/>
          <w:color w:val="000000" w:themeColor="text1"/>
          <w:sz w:val="24"/>
          <w:szCs w:val="24"/>
        </w:rPr>
        <w:t>Keywords:</w:t>
      </w:r>
      <w:r w:rsidRPr="00E211B7">
        <w:rPr>
          <w:rFonts w:ascii="Times New Roman" w:hAnsi="Times New Roman" w:cs="Times New Roman"/>
          <w:color w:val="000000" w:themeColor="text1"/>
          <w:sz w:val="24"/>
          <w:szCs w:val="24"/>
        </w:rPr>
        <w:t xml:space="preserve"> </w:t>
      </w:r>
      <w:r w:rsidR="00151A66">
        <w:rPr>
          <w:rFonts w:ascii="Times New Roman" w:hAnsi="Times New Roman" w:cs="Times New Roman"/>
          <w:sz w:val="24"/>
          <w:szCs w:val="24"/>
        </w:rPr>
        <w:t>C</w:t>
      </w:r>
      <w:r w:rsidR="00151A66" w:rsidRPr="00151A66">
        <w:rPr>
          <w:rFonts w:ascii="Times New Roman" w:hAnsi="Times New Roman" w:cs="Times New Roman"/>
          <w:sz w:val="24"/>
          <w:szCs w:val="24"/>
        </w:rPr>
        <w:t>omparative</w:t>
      </w:r>
      <w:r w:rsidR="00151A66">
        <w:rPr>
          <w:rFonts w:ascii="Times New Roman" w:hAnsi="Times New Roman" w:cs="Times New Roman"/>
          <w:sz w:val="24"/>
          <w:szCs w:val="24"/>
        </w:rPr>
        <w:t xml:space="preserve"> &amp;</w:t>
      </w:r>
      <w:r w:rsidR="00151A66" w:rsidRPr="00151A66">
        <w:rPr>
          <w:rFonts w:ascii="Times New Roman" w:hAnsi="Times New Roman" w:cs="Times New Roman"/>
          <w:sz w:val="24"/>
          <w:szCs w:val="24"/>
        </w:rPr>
        <w:t xml:space="preserve"> </w:t>
      </w:r>
      <w:r w:rsidR="00151A66">
        <w:rPr>
          <w:rFonts w:ascii="Times New Roman" w:hAnsi="Times New Roman" w:cs="Times New Roman"/>
          <w:sz w:val="24"/>
          <w:szCs w:val="24"/>
        </w:rPr>
        <w:t>C</w:t>
      </w:r>
      <w:r w:rsidR="00151A66" w:rsidRPr="00151A66">
        <w:rPr>
          <w:rFonts w:ascii="Times New Roman" w:hAnsi="Times New Roman" w:cs="Times New Roman"/>
          <w:sz w:val="24"/>
          <w:szCs w:val="24"/>
        </w:rPr>
        <w:t xml:space="preserve">ommon size </w:t>
      </w:r>
      <w:r w:rsidR="00151A66">
        <w:rPr>
          <w:rFonts w:ascii="Times New Roman" w:hAnsi="Times New Roman" w:cs="Times New Roman"/>
          <w:sz w:val="24"/>
          <w:szCs w:val="24"/>
        </w:rPr>
        <w:t>B</w:t>
      </w:r>
      <w:r w:rsidR="00151A66" w:rsidRPr="00151A66">
        <w:rPr>
          <w:rFonts w:ascii="Times New Roman" w:hAnsi="Times New Roman" w:cs="Times New Roman"/>
          <w:sz w:val="24"/>
          <w:szCs w:val="24"/>
        </w:rPr>
        <w:t xml:space="preserve">alance </w:t>
      </w:r>
      <w:r w:rsidR="00151A66">
        <w:rPr>
          <w:rFonts w:ascii="Times New Roman" w:hAnsi="Times New Roman" w:cs="Times New Roman"/>
          <w:sz w:val="24"/>
          <w:szCs w:val="24"/>
        </w:rPr>
        <w:t>S</w:t>
      </w:r>
      <w:r w:rsidR="00151A66" w:rsidRPr="00151A66">
        <w:rPr>
          <w:rFonts w:ascii="Times New Roman" w:hAnsi="Times New Roman" w:cs="Times New Roman"/>
          <w:sz w:val="24"/>
          <w:szCs w:val="24"/>
        </w:rPr>
        <w:t xml:space="preserve">heet, </w:t>
      </w:r>
      <w:r w:rsidR="00151A66">
        <w:rPr>
          <w:rFonts w:ascii="Times New Roman" w:hAnsi="Times New Roman" w:cs="Times New Roman"/>
          <w:sz w:val="24"/>
          <w:szCs w:val="24"/>
        </w:rPr>
        <w:t>C</w:t>
      </w:r>
      <w:r w:rsidR="00151A66" w:rsidRPr="00151A66">
        <w:rPr>
          <w:rFonts w:ascii="Times New Roman" w:hAnsi="Times New Roman" w:cs="Times New Roman"/>
          <w:sz w:val="24"/>
          <w:szCs w:val="24"/>
        </w:rPr>
        <w:t xml:space="preserve">omparative </w:t>
      </w:r>
      <w:r w:rsidR="00151A66">
        <w:rPr>
          <w:rFonts w:ascii="Times New Roman" w:hAnsi="Times New Roman" w:cs="Times New Roman"/>
          <w:sz w:val="24"/>
          <w:szCs w:val="24"/>
        </w:rPr>
        <w:t>B</w:t>
      </w:r>
      <w:r w:rsidR="00151A66" w:rsidRPr="00151A66">
        <w:rPr>
          <w:rFonts w:ascii="Times New Roman" w:hAnsi="Times New Roman" w:cs="Times New Roman"/>
          <w:sz w:val="24"/>
          <w:szCs w:val="24"/>
        </w:rPr>
        <w:t xml:space="preserve">alance </w:t>
      </w:r>
      <w:r w:rsidR="00151A66">
        <w:rPr>
          <w:rFonts w:ascii="Times New Roman" w:hAnsi="Times New Roman" w:cs="Times New Roman"/>
          <w:sz w:val="24"/>
          <w:szCs w:val="24"/>
        </w:rPr>
        <w:t>S</w:t>
      </w:r>
      <w:r w:rsidR="00151A66" w:rsidRPr="00151A66">
        <w:rPr>
          <w:rFonts w:ascii="Times New Roman" w:hAnsi="Times New Roman" w:cs="Times New Roman"/>
          <w:sz w:val="24"/>
          <w:szCs w:val="24"/>
        </w:rPr>
        <w:t xml:space="preserve">heet </w:t>
      </w:r>
      <w:r w:rsidR="00151A66">
        <w:rPr>
          <w:rFonts w:ascii="Times New Roman" w:hAnsi="Times New Roman" w:cs="Times New Roman"/>
          <w:sz w:val="24"/>
          <w:szCs w:val="24"/>
        </w:rPr>
        <w:t>A</w:t>
      </w:r>
      <w:r w:rsidR="00151A66" w:rsidRPr="00151A66">
        <w:rPr>
          <w:rFonts w:ascii="Times New Roman" w:hAnsi="Times New Roman" w:cs="Times New Roman"/>
          <w:sz w:val="24"/>
          <w:szCs w:val="24"/>
        </w:rPr>
        <w:t>nalysis</w:t>
      </w:r>
      <w:r w:rsidR="00151A66" w:rsidRPr="00E211B7">
        <w:rPr>
          <w:rFonts w:ascii="Times New Roman" w:hAnsi="Times New Roman" w:cs="Times New Roman"/>
          <w:color w:val="000000" w:themeColor="text1"/>
          <w:sz w:val="24"/>
          <w:szCs w:val="24"/>
        </w:rPr>
        <w:t xml:space="preserve"> </w:t>
      </w:r>
      <w:r w:rsidR="00E211B7" w:rsidRPr="00E211B7">
        <w:rPr>
          <w:rFonts w:ascii="Times New Roman" w:hAnsi="Times New Roman" w:cs="Times New Roman"/>
          <w:color w:val="000000" w:themeColor="text1"/>
          <w:sz w:val="24"/>
          <w:szCs w:val="24"/>
        </w:rPr>
        <w:t>….</w:t>
      </w:r>
    </w:p>
    <w:p w14:paraId="3A77E206" w14:textId="4B00AECB" w:rsidR="00E211B7" w:rsidRPr="00E211B7" w:rsidRDefault="00DA52F4" w:rsidP="00247E17">
      <w:pPr>
        <w:pStyle w:val="ListParagraph"/>
        <w:numPr>
          <w:ilvl w:val="0"/>
          <w:numId w:val="25"/>
        </w:numPr>
        <w:spacing w:before="54" w:after="0" w:line="360" w:lineRule="auto"/>
        <w:jc w:val="both"/>
        <w:rPr>
          <w:rFonts w:ascii="Times New Roman" w:hAnsi="Times New Roman" w:cs="Times New Roman"/>
          <w:color w:val="000000" w:themeColor="text1"/>
          <w:sz w:val="20"/>
          <w:szCs w:val="20"/>
        </w:rPr>
      </w:pPr>
      <w:r w:rsidRPr="00E211B7">
        <w:rPr>
          <w:rFonts w:ascii="Times New Roman" w:hAnsi="Times New Roman" w:cs="Times New Roman"/>
          <w:b/>
          <w:bCs/>
          <w:color w:val="000000" w:themeColor="text1"/>
          <w:sz w:val="24"/>
          <w:szCs w:val="24"/>
        </w:rPr>
        <w:t>INTRODUCTION</w:t>
      </w:r>
      <w:r w:rsidR="009F6540" w:rsidRPr="00E211B7">
        <w:rPr>
          <w:rFonts w:ascii="Times New Roman" w:hAnsi="Times New Roman" w:cs="Times New Roman"/>
          <w:b/>
          <w:bCs/>
          <w:color w:val="000000" w:themeColor="text1"/>
          <w:sz w:val="24"/>
          <w:szCs w:val="24"/>
        </w:rPr>
        <w:t xml:space="preserve"> </w:t>
      </w:r>
    </w:p>
    <w:p w14:paraId="30FCA51E" w14:textId="15710BAB" w:rsidR="00912EB7" w:rsidRPr="00912EB7" w:rsidRDefault="00912EB7" w:rsidP="00912EB7">
      <w:pPr>
        <w:spacing w:after="0" w:line="360" w:lineRule="auto"/>
        <w:ind w:left="332" w:firstLine="360"/>
        <w:jc w:val="both"/>
        <w:rPr>
          <w:rFonts w:ascii="Times New Roman" w:hAnsi="Times New Roman" w:cs="Times New Roman"/>
          <w:sz w:val="20"/>
          <w:szCs w:val="20"/>
        </w:rPr>
      </w:pPr>
      <w:r w:rsidRPr="00912EB7">
        <w:rPr>
          <w:rFonts w:ascii="Times New Roman" w:hAnsi="Times New Roman" w:cs="Times New Roman"/>
          <w:sz w:val="20"/>
          <w:szCs w:val="20"/>
        </w:rPr>
        <w:t>Financial Performance Analysis is largely a study of relationship among the various financial factors in a business as disclosed by a single set of performance and a study of the trend of these factors as shown in a serried of performance”</w:t>
      </w:r>
      <w:r w:rsidRPr="00912EB7">
        <w:rPr>
          <w:rFonts w:ascii="Times New Roman" w:hAnsi="Times New Roman" w:cs="Times New Roman"/>
          <w:b/>
          <w:sz w:val="20"/>
          <w:szCs w:val="20"/>
        </w:rPr>
        <w:t xml:space="preserve"> </w:t>
      </w:r>
      <w:r w:rsidRPr="00912EB7">
        <w:rPr>
          <w:rFonts w:ascii="Times New Roman" w:hAnsi="Times New Roman" w:cs="Times New Roman"/>
          <w:sz w:val="20"/>
          <w:szCs w:val="20"/>
        </w:rPr>
        <w:t>Finance is the allocation of assets and liabilities over time under conditions of certainty and uncertainty. A key point in finance is the time value of money, which states that a unit of currency today is worth more than the same unit of currency tomorrow. Financial performance is a subjective measure of how well a firm can use assets from its primary mode of business and generate revenues. The term is also used as a general measure of a firm's overall financial health over a given period. Analysts and investors use financial performance to compare similar firms across the same industry or to compare industries or sectors in aggregate.</w:t>
      </w:r>
    </w:p>
    <w:p w14:paraId="05019A8F" w14:textId="0A3A6005" w:rsidR="00E211B7" w:rsidRDefault="00E211B7"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OBJECTIVES OF THE STUDY</w:t>
      </w:r>
    </w:p>
    <w:p w14:paraId="143C106C" w14:textId="77777777" w:rsidR="00912EB7" w:rsidRPr="00912EB7" w:rsidRDefault="00912EB7" w:rsidP="00912EB7">
      <w:pPr>
        <w:pStyle w:val="ListParagraph"/>
        <w:numPr>
          <w:ilvl w:val="0"/>
          <w:numId w:val="38"/>
        </w:numPr>
        <w:spacing w:after="0" w:line="360" w:lineRule="auto"/>
        <w:jc w:val="both"/>
        <w:rPr>
          <w:rFonts w:ascii="Times New Roman" w:hAnsi="Times New Roman" w:cs="Times New Roman"/>
          <w:sz w:val="20"/>
          <w:szCs w:val="20"/>
        </w:rPr>
      </w:pPr>
      <w:r w:rsidRPr="00912EB7">
        <w:rPr>
          <w:rFonts w:ascii="Times New Roman" w:hAnsi="Times New Roman" w:cs="Times New Roman"/>
          <w:sz w:val="20"/>
          <w:szCs w:val="20"/>
        </w:rPr>
        <w:t>To analysis the financial performance of the IDFC First Bank.</w:t>
      </w:r>
    </w:p>
    <w:p w14:paraId="5F4EBD6C" w14:textId="77777777" w:rsidR="00912EB7" w:rsidRPr="00912EB7" w:rsidRDefault="00912EB7" w:rsidP="00912EB7">
      <w:pPr>
        <w:pStyle w:val="ListParagraph"/>
        <w:numPr>
          <w:ilvl w:val="0"/>
          <w:numId w:val="38"/>
        </w:numPr>
        <w:spacing w:after="0" w:line="360" w:lineRule="auto"/>
        <w:jc w:val="both"/>
        <w:rPr>
          <w:rFonts w:ascii="Times New Roman" w:hAnsi="Times New Roman" w:cs="Times New Roman"/>
          <w:sz w:val="20"/>
          <w:szCs w:val="20"/>
        </w:rPr>
      </w:pPr>
      <w:r w:rsidRPr="00912EB7">
        <w:rPr>
          <w:rFonts w:ascii="Times New Roman" w:hAnsi="Times New Roman" w:cs="Times New Roman"/>
          <w:sz w:val="20"/>
          <w:szCs w:val="20"/>
        </w:rPr>
        <w:t>To trace the history and loans offer by the IDFC First Bank.</w:t>
      </w:r>
    </w:p>
    <w:p w14:paraId="6AC5CF4B" w14:textId="77777777" w:rsidR="00912EB7" w:rsidRPr="00912EB7" w:rsidRDefault="00912EB7" w:rsidP="00912EB7">
      <w:pPr>
        <w:pStyle w:val="ListParagraph"/>
        <w:numPr>
          <w:ilvl w:val="0"/>
          <w:numId w:val="38"/>
        </w:numPr>
        <w:spacing w:after="0" w:line="360" w:lineRule="auto"/>
        <w:jc w:val="both"/>
        <w:rPr>
          <w:rFonts w:ascii="Times New Roman" w:hAnsi="Times New Roman" w:cs="Times New Roman"/>
          <w:sz w:val="20"/>
          <w:szCs w:val="20"/>
        </w:rPr>
      </w:pPr>
      <w:r w:rsidRPr="00912EB7">
        <w:rPr>
          <w:rFonts w:ascii="Times New Roman" w:hAnsi="Times New Roman" w:cs="Times New Roman"/>
          <w:sz w:val="20"/>
          <w:szCs w:val="20"/>
        </w:rPr>
        <w:t>To measure the growth of IDFC First Bank in terms of the financial performance.</w:t>
      </w:r>
    </w:p>
    <w:p w14:paraId="41AE6223" w14:textId="77777777" w:rsidR="00912EB7" w:rsidRDefault="00912EB7" w:rsidP="00912EB7">
      <w:pPr>
        <w:pStyle w:val="ListParagraph"/>
        <w:numPr>
          <w:ilvl w:val="0"/>
          <w:numId w:val="38"/>
        </w:numPr>
        <w:spacing w:after="0" w:line="360" w:lineRule="auto"/>
        <w:jc w:val="both"/>
        <w:rPr>
          <w:rFonts w:ascii="Times New Roman" w:hAnsi="Times New Roman" w:cs="Times New Roman"/>
          <w:sz w:val="20"/>
          <w:szCs w:val="20"/>
        </w:rPr>
      </w:pPr>
      <w:r w:rsidRPr="00912EB7">
        <w:rPr>
          <w:rFonts w:ascii="Times New Roman" w:hAnsi="Times New Roman" w:cs="Times New Roman"/>
          <w:sz w:val="20"/>
          <w:szCs w:val="20"/>
        </w:rPr>
        <w:t>To find out the liquidity position of the concern through ratio analysis and trend analysis.</w:t>
      </w:r>
    </w:p>
    <w:p w14:paraId="155037FC" w14:textId="20895263" w:rsidR="00C872A4" w:rsidRDefault="00C872A4" w:rsidP="00C872A4">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C872A4">
        <w:rPr>
          <w:rFonts w:ascii="Times New Roman" w:hAnsi="Times New Roman" w:cs="Times New Roman"/>
          <w:b/>
          <w:bCs/>
          <w:color w:val="000000" w:themeColor="text1"/>
          <w:sz w:val="24"/>
          <w:szCs w:val="24"/>
        </w:rPr>
        <w:t xml:space="preserve">REVIEW OF LITERATURE </w:t>
      </w:r>
    </w:p>
    <w:p w14:paraId="2FED7B42" w14:textId="77777777" w:rsidR="00C872A4" w:rsidRPr="00C872A4" w:rsidRDefault="00C872A4" w:rsidP="00C872A4">
      <w:pPr>
        <w:pStyle w:val="ListParagraph"/>
        <w:numPr>
          <w:ilvl w:val="0"/>
          <w:numId w:val="41"/>
        </w:numPr>
        <w:tabs>
          <w:tab w:val="left" w:pos="851"/>
        </w:tabs>
        <w:spacing w:after="0" w:line="360" w:lineRule="auto"/>
        <w:ind w:left="567" w:firstLine="0"/>
        <w:jc w:val="both"/>
        <w:rPr>
          <w:rFonts w:ascii="Times New Roman" w:hAnsi="Times New Roman" w:cs="Times New Roman"/>
          <w:sz w:val="20"/>
          <w:szCs w:val="20"/>
        </w:rPr>
      </w:pPr>
      <w:proofErr w:type="spellStart"/>
      <w:r w:rsidRPr="00C872A4">
        <w:rPr>
          <w:rFonts w:ascii="Times New Roman" w:hAnsi="Times New Roman" w:cs="Times New Roman"/>
          <w:b/>
          <w:sz w:val="20"/>
          <w:szCs w:val="20"/>
        </w:rPr>
        <w:t>GhoshSaibal</w:t>
      </w:r>
      <w:proofErr w:type="spellEnd"/>
      <w:r w:rsidRPr="00C872A4">
        <w:rPr>
          <w:rFonts w:ascii="Times New Roman" w:hAnsi="Times New Roman" w:cs="Times New Roman"/>
          <w:b/>
          <w:sz w:val="20"/>
          <w:szCs w:val="20"/>
        </w:rPr>
        <w:t xml:space="preserve"> (2018</w:t>
      </w:r>
      <w:r w:rsidRPr="00C872A4">
        <w:rPr>
          <w:rFonts w:ascii="Times New Roman" w:hAnsi="Times New Roman" w:cs="Times New Roman"/>
          <w:sz w:val="20"/>
          <w:szCs w:val="20"/>
        </w:rPr>
        <w:t xml:space="preserve">) studied that with international standards, Indian banks would need to improve their technological orientation and expand the possibilities for augmenting their financial activities in order to improve their profit efficiency in the near future. He studied that banks have to re-orient their strategies in the light of their own strength and the kind of market in which their likely to operate on. In the perspective of this domestic and international development, the banking sector has to chart perfect for development. </w:t>
      </w:r>
    </w:p>
    <w:p w14:paraId="449E5091" w14:textId="77777777" w:rsidR="00C872A4" w:rsidRPr="00C872A4" w:rsidRDefault="00C872A4" w:rsidP="00C872A4">
      <w:pPr>
        <w:pStyle w:val="ListParagraph"/>
        <w:numPr>
          <w:ilvl w:val="0"/>
          <w:numId w:val="41"/>
        </w:numPr>
        <w:tabs>
          <w:tab w:val="left" w:pos="851"/>
        </w:tabs>
        <w:spacing w:after="0" w:line="360" w:lineRule="auto"/>
        <w:ind w:left="567" w:firstLine="0"/>
        <w:jc w:val="both"/>
        <w:rPr>
          <w:rFonts w:ascii="Times New Roman" w:hAnsi="Times New Roman" w:cs="Times New Roman"/>
          <w:sz w:val="20"/>
          <w:szCs w:val="20"/>
        </w:rPr>
      </w:pPr>
      <w:proofErr w:type="spellStart"/>
      <w:r w:rsidRPr="00C872A4">
        <w:rPr>
          <w:rFonts w:ascii="Times New Roman" w:hAnsi="Times New Roman" w:cs="Times New Roman"/>
          <w:b/>
          <w:sz w:val="20"/>
          <w:szCs w:val="20"/>
        </w:rPr>
        <w:lastRenderedPageBreak/>
        <w:t>GoelCheenu&amp;RekhiBhutaniChitwan</w:t>
      </w:r>
      <w:proofErr w:type="spellEnd"/>
      <w:r w:rsidRPr="00C872A4">
        <w:rPr>
          <w:rFonts w:ascii="Times New Roman" w:hAnsi="Times New Roman" w:cs="Times New Roman"/>
          <w:b/>
          <w:sz w:val="20"/>
          <w:szCs w:val="20"/>
        </w:rPr>
        <w:t xml:space="preserve"> (2018</w:t>
      </w:r>
      <w:r w:rsidRPr="00C872A4">
        <w:rPr>
          <w:rFonts w:ascii="Times New Roman" w:hAnsi="Times New Roman" w:cs="Times New Roman"/>
          <w:sz w:val="20"/>
          <w:szCs w:val="20"/>
        </w:rPr>
        <w:t xml:space="preserve">) studied that the analysis supports that new banks are more efficient than old ones. The public sector banks are as not profitable as other sectors are. It means that efficiency and profitability are inter related. Concluded that a review of fundamental analysis research in accounting the paper has outlined the development of different accounting valuation model and reviewed related empirical work. </w:t>
      </w:r>
    </w:p>
    <w:p w14:paraId="0885B05B" w14:textId="77777777" w:rsidR="00C872A4" w:rsidRPr="00C872A4" w:rsidRDefault="00C872A4" w:rsidP="00C872A4">
      <w:pPr>
        <w:pStyle w:val="ListParagraph"/>
        <w:numPr>
          <w:ilvl w:val="0"/>
          <w:numId w:val="41"/>
        </w:numPr>
        <w:tabs>
          <w:tab w:val="left" w:pos="851"/>
        </w:tabs>
        <w:spacing w:after="0" w:line="360" w:lineRule="auto"/>
        <w:ind w:left="567" w:firstLine="0"/>
        <w:jc w:val="both"/>
        <w:rPr>
          <w:rFonts w:ascii="Times New Roman" w:hAnsi="Times New Roman" w:cs="Times New Roman"/>
          <w:sz w:val="20"/>
          <w:szCs w:val="20"/>
        </w:rPr>
      </w:pPr>
      <w:r w:rsidRPr="00C872A4">
        <w:rPr>
          <w:rFonts w:ascii="Times New Roman" w:hAnsi="Times New Roman" w:cs="Times New Roman"/>
          <w:b/>
          <w:sz w:val="20"/>
          <w:szCs w:val="20"/>
        </w:rPr>
        <w:t xml:space="preserve">Dr. </w:t>
      </w:r>
      <w:proofErr w:type="spellStart"/>
      <w:r w:rsidRPr="00C872A4">
        <w:rPr>
          <w:rFonts w:ascii="Times New Roman" w:hAnsi="Times New Roman" w:cs="Times New Roman"/>
          <w:b/>
          <w:sz w:val="20"/>
          <w:szCs w:val="20"/>
        </w:rPr>
        <w:t>KoundalVirender</w:t>
      </w:r>
      <w:proofErr w:type="spellEnd"/>
      <w:r w:rsidRPr="00C872A4">
        <w:rPr>
          <w:rFonts w:ascii="Times New Roman" w:hAnsi="Times New Roman" w:cs="Times New Roman"/>
          <w:b/>
          <w:sz w:val="20"/>
          <w:szCs w:val="20"/>
        </w:rPr>
        <w:t xml:space="preserve"> (2018</w:t>
      </w:r>
      <w:r w:rsidRPr="00C872A4">
        <w:rPr>
          <w:rFonts w:ascii="Times New Roman" w:hAnsi="Times New Roman" w:cs="Times New Roman"/>
          <w:sz w:val="20"/>
          <w:szCs w:val="20"/>
        </w:rPr>
        <w:t>) studied that although various Reforms have produced favorable effects on commercial banks in India and because of this transformation is taking place almost in all categories of the banks. Concluded that net profit margin, operating profit margin, return on capital employed, return on equity and debt equity ratio there is no significant difference in these ratios before after merger. Significant difference with respect to gross profit margin</w:t>
      </w:r>
    </w:p>
    <w:p w14:paraId="0BCB5932" w14:textId="77777777" w:rsidR="00C872A4" w:rsidRPr="00C872A4" w:rsidRDefault="00C872A4" w:rsidP="00C872A4">
      <w:pPr>
        <w:pStyle w:val="ListParagraph"/>
        <w:numPr>
          <w:ilvl w:val="0"/>
          <w:numId w:val="41"/>
        </w:numPr>
        <w:tabs>
          <w:tab w:val="left" w:pos="851"/>
        </w:tabs>
        <w:spacing w:after="0" w:line="360" w:lineRule="auto"/>
        <w:ind w:left="567" w:firstLine="0"/>
        <w:jc w:val="both"/>
        <w:rPr>
          <w:rFonts w:ascii="Times New Roman" w:hAnsi="Times New Roman" w:cs="Times New Roman"/>
          <w:sz w:val="20"/>
          <w:szCs w:val="20"/>
        </w:rPr>
      </w:pPr>
      <w:r w:rsidRPr="00C872A4">
        <w:rPr>
          <w:rFonts w:ascii="Times New Roman" w:hAnsi="Times New Roman" w:cs="Times New Roman"/>
          <w:b/>
          <w:sz w:val="20"/>
          <w:szCs w:val="20"/>
        </w:rPr>
        <w:t>Mishra Kumar Aswini&amp; et.al. (2019</w:t>
      </w:r>
      <w:r w:rsidRPr="00C872A4">
        <w:rPr>
          <w:rFonts w:ascii="Times New Roman" w:hAnsi="Times New Roman" w:cs="Times New Roman"/>
          <w:sz w:val="20"/>
          <w:szCs w:val="20"/>
        </w:rPr>
        <w:t xml:space="preserve">) studied that DEA provide significant insights on efficiency of different banks and places private sector ones at an advantage situation and there by hints out the possibility of further improvisation of most of the public sector banks. </w:t>
      </w:r>
    </w:p>
    <w:p w14:paraId="1329873E" w14:textId="77777777" w:rsidR="00C872A4" w:rsidRPr="00C872A4" w:rsidRDefault="00C872A4" w:rsidP="00C872A4">
      <w:pPr>
        <w:pStyle w:val="ListParagraph"/>
        <w:numPr>
          <w:ilvl w:val="0"/>
          <w:numId w:val="41"/>
        </w:numPr>
        <w:tabs>
          <w:tab w:val="left" w:pos="851"/>
        </w:tabs>
        <w:spacing w:after="0" w:line="360" w:lineRule="auto"/>
        <w:ind w:left="567" w:firstLine="0"/>
        <w:jc w:val="both"/>
        <w:rPr>
          <w:rFonts w:ascii="Times New Roman" w:hAnsi="Times New Roman" w:cs="Times New Roman"/>
          <w:sz w:val="20"/>
          <w:szCs w:val="20"/>
        </w:rPr>
      </w:pPr>
      <w:r w:rsidRPr="00C872A4">
        <w:rPr>
          <w:rFonts w:ascii="Times New Roman" w:hAnsi="Times New Roman" w:cs="Times New Roman"/>
          <w:b/>
          <w:sz w:val="20"/>
          <w:szCs w:val="20"/>
        </w:rPr>
        <w:t>Kamraj K. &amp;Somu A. (2019)</w:t>
      </w:r>
      <w:r w:rsidRPr="00C872A4">
        <w:rPr>
          <w:rFonts w:ascii="Times New Roman" w:hAnsi="Times New Roman" w:cs="Times New Roman"/>
          <w:sz w:val="20"/>
          <w:szCs w:val="20"/>
        </w:rPr>
        <w:t xml:space="preserve"> studied that Indian overseas bank is one of the oldest nationalized commercial banks in India. Banking industry is an indicator of for many development activities in the nation. Indian overseas bank has higher potential to provide better and quality services to the billions of people in India. Concluded that this analysis the position of NPAs in selected banks SBI, PNB &amp; Central bank of India It also highlights the policies pursued by the banks to tackle the NPAs and suggest a multi-pronged strategy for speedy recovery of NPAs in banking sector. </w:t>
      </w:r>
    </w:p>
    <w:p w14:paraId="30DFC541" w14:textId="1FD1B259" w:rsidR="00E211B7" w:rsidRPr="00E211B7" w:rsidRDefault="00F53740"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LIMITATIONS OF THE STUDY</w:t>
      </w:r>
    </w:p>
    <w:p w14:paraId="29B7AE11" w14:textId="77777777" w:rsidR="00912EB7" w:rsidRPr="00912EB7" w:rsidRDefault="00912EB7" w:rsidP="00912EB7">
      <w:pPr>
        <w:pStyle w:val="ListParagraph"/>
        <w:numPr>
          <w:ilvl w:val="0"/>
          <w:numId w:val="40"/>
        </w:numPr>
        <w:spacing w:after="0" w:line="360" w:lineRule="auto"/>
        <w:jc w:val="both"/>
        <w:rPr>
          <w:rFonts w:ascii="Times New Roman" w:hAnsi="Times New Roman" w:cs="Times New Roman"/>
          <w:b/>
          <w:sz w:val="20"/>
          <w:szCs w:val="20"/>
        </w:rPr>
      </w:pPr>
      <w:r w:rsidRPr="00912EB7">
        <w:rPr>
          <w:rFonts w:ascii="Times New Roman" w:hAnsi="Times New Roman" w:cs="Times New Roman"/>
          <w:sz w:val="20"/>
          <w:szCs w:val="20"/>
        </w:rPr>
        <w:t>The study is based on the secondary data only.</w:t>
      </w:r>
    </w:p>
    <w:p w14:paraId="069D7F9F" w14:textId="77777777" w:rsidR="00912EB7" w:rsidRPr="00912EB7" w:rsidRDefault="00912EB7" w:rsidP="00912EB7">
      <w:pPr>
        <w:pStyle w:val="ListParagraph"/>
        <w:numPr>
          <w:ilvl w:val="0"/>
          <w:numId w:val="40"/>
        </w:numPr>
        <w:spacing w:after="0" w:line="360" w:lineRule="auto"/>
        <w:jc w:val="both"/>
        <w:rPr>
          <w:rFonts w:ascii="Times New Roman" w:hAnsi="Times New Roman" w:cs="Times New Roman"/>
          <w:b/>
          <w:sz w:val="20"/>
          <w:szCs w:val="20"/>
        </w:rPr>
      </w:pPr>
      <w:r w:rsidRPr="00912EB7">
        <w:rPr>
          <w:rFonts w:ascii="Times New Roman" w:hAnsi="Times New Roman" w:cs="Times New Roman"/>
          <w:sz w:val="20"/>
          <w:szCs w:val="20"/>
        </w:rPr>
        <w:t>The study is limited to five years balance sheet.</w:t>
      </w:r>
    </w:p>
    <w:p w14:paraId="6335A823" w14:textId="77777777" w:rsidR="00912EB7" w:rsidRPr="00912EB7" w:rsidRDefault="00912EB7" w:rsidP="00912EB7">
      <w:pPr>
        <w:pStyle w:val="ListParagraph"/>
        <w:numPr>
          <w:ilvl w:val="0"/>
          <w:numId w:val="40"/>
        </w:numPr>
        <w:spacing w:after="0" w:line="360" w:lineRule="auto"/>
        <w:jc w:val="both"/>
        <w:rPr>
          <w:rFonts w:ascii="Times New Roman" w:hAnsi="Times New Roman" w:cs="Times New Roman"/>
          <w:b/>
          <w:sz w:val="20"/>
          <w:szCs w:val="20"/>
        </w:rPr>
      </w:pPr>
      <w:r w:rsidRPr="00912EB7">
        <w:rPr>
          <w:rFonts w:ascii="Times New Roman" w:hAnsi="Times New Roman" w:cs="Times New Roman"/>
          <w:sz w:val="20"/>
          <w:szCs w:val="20"/>
        </w:rPr>
        <w:t>As the study is done with the help of Ratio analysis and trend analysis only.</w:t>
      </w:r>
    </w:p>
    <w:p w14:paraId="1C803B75" w14:textId="77777777" w:rsidR="00912EB7" w:rsidRPr="00912EB7" w:rsidRDefault="00912EB7" w:rsidP="00912EB7">
      <w:pPr>
        <w:pStyle w:val="ListParagraph"/>
        <w:numPr>
          <w:ilvl w:val="0"/>
          <w:numId w:val="40"/>
        </w:numPr>
        <w:spacing w:after="0" w:line="360" w:lineRule="auto"/>
        <w:jc w:val="both"/>
        <w:rPr>
          <w:rFonts w:ascii="Times New Roman" w:hAnsi="Times New Roman" w:cs="Times New Roman"/>
          <w:b/>
          <w:sz w:val="20"/>
          <w:szCs w:val="20"/>
        </w:rPr>
      </w:pPr>
      <w:r w:rsidRPr="00912EB7">
        <w:rPr>
          <w:rFonts w:ascii="Times New Roman" w:hAnsi="Times New Roman" w:cs="Times New Roman"/>
          <w:sz w:val="20"/>
          <w:szCs w:val="20"/>
        </w:rPr>
        <w:t>The study finds out insufficient data from the report.</w:t>
      </w:r>
    </w:p>
    <w:p w14:paraId="7E75AAD4" w14:textId="77777777" w:rsidR="00912EB7" w:rsidRPr="00912EB7" w:rsidRDefault="00912EB7" w:rsidP="00912EB7">
      <w:pPr>
        <w:pStyle w:val="ListParagraph"/>
        <w:numPr>
          <w:ilvl w:val="0"/>
          <w:numId w:val="40"/>
        </w:numPr>
        <w:spacing w:after="0" w:line="360" w:lineRule="auto"/>
        <w:jc w:val="both"/>
        <w:rPr>
          <w:rFonts w:ascii="Times New Roman" w:hAnsi="Times New Roman" w:cs="Times New Roman"/>
          <w:b/>
          <w:sz w:val="20"/>
          <w:szCs w:val="20"/>
        </w:rPr>
      </w:pPr>
      <w:r w:rsidRPr="00912EB7">
        <w:rPr>
          <w:rFonts w:ascii="Times New Roman" w:hAnsi="Times New Roman" w:cs="Times New Roman"/>
          <w:sz w:val="20"/>
          <w:szCs w:val="20"/>
        </w:rPr>
        <w:t>The report is calculating by few statistical tools only.</w:t>
      </w:r>
    </w:p>
    <w:p w14:paraId="7A033264" w14:textId="3779B19E" w:rsidR="00DA52F4" w:rsidRPr="00E211B7"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METHODOLOGY</w:t>
      </w:r>
    </w:p>
    <w:p w14:paraId="1B91FB4F" w14:textId="31349155" w:rsidR="00E211B7" w:rsidRPr="00F53740" w:rsidRDefault="00247E17" w:rsidP="00C872A4">
      <w:pPr>
        <w:pStyle w:val="Subtitle"/>
        <w:spacing w:line="360" w:lineRule="auto"/>
        <w:ind w:firstLine="692"/>
        <w:jc w:val="both"/>
        <w:rPr>
          <w:bCs w:val="0"/>
          <w:sz w:val="20"/>
          <w:szCs w:val="20"/>
        </w:rPr>
      </w:pPr>
      <w:r>
        <w:rPr>
          <w:sz w:val="20"/>
          <w:szCs w:val="20"/>
        </w:rPr>
        <w:t xml:space="preserve"> </w:t>
      </w:r>
      <w:r w:rsidR="00E211B7" w:rsidRPr="00F53740">
        <w:rPr>
          <w:sz w:val="20"/>
          <w:szCs w:val="20"/>
        </w:rPr>
        <w:t>Research Design</w:t>
      </w:r>
    </w:p>
    <w:p w14:paraId="673E470D" w14:textId="73AF539F" w:rsidR="00912EB7" w:rsidRPr="00912EB7" w:rsidRDefault="00912EB7" w:rsidP="00912EB7">
      <w:pPr>
        <w:tabs>
          <w:tab w:val="left" w:pos="90"/>
        </w:tabs>
        <w:spacing w:line="360" w:lineRule="auto"/>
        <w:ind w:left="90"/>
        <w:jc w:val="both"/>
        <w:rPr>
          <w:rFonts w:ascii="Times New Roman" w:hAnsi="Times New Roman" w:cs="Times New Roman"/>
          <w:b/>
          <w:sz w:val="20"/>
          <w:szCs w:val="20"/>
        </w:rPr>
      </w:pPr>
      <w:r>
        <w:rPr>
          <w:rFonts w:ascii="Times New Roman" w:hAnsi="Times New Roman" w:cs="Times New Roman"/>
          <w:sz w:val="20"/>
          <w:szCs w:val="20"/>
        </w:rPr>
        <w:tab/>
      </w:r>
      <w:r w:rsidRPr="00912EB7">
        <w:rPr>
          <w:rFonts w:ascii="Times New Roman" w:hAnsi="Times New Roman" w:cs="Times New Roman"/>
          <w:sz w:val="20"/>
          <w:szCs w:val="20"/>
        </w:rPr>
        <w:t>A</w:t>
      </w:r>
      <w:r w:rsidRPr="00912EB7">
        <w:rPr>
          <w:rFonts w:ascii="Times New Roman" w:hAnsi="Times New Roman" w:cs="Times New Roman"/>
          <w:sz w:val="20"/>
          <w:szCs w:val="20"/>
        </w:rPr>
        <w:t>n exploratory research design was adopted. Exploratory research is one which largely interprets the already available information. It lays particular emphasis on analysis and interpretation of the existing and available information and it makes use of secondary data.</w:t>
      </w:r>
    </w:p>
    <w:p w14:paraId="2F3C66E8" w14:textId="6A585A43" w:rsidR="00DA52F4" w:rsidRDefault="00DA52F4" w:rsidP="00C872A4">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C872A4">
        <w:rPr>
          <w:rFonts w:ascii="Times New Roman" w:hAnsi="Times New Roman" w:cs="Times New Roman"/>
          <w:b/>
          <w:bCs/>
          <w:color w:val="000000" w:themeColor="text1"/>
          <w:sz w:val="24"/>
          <w:szCs w:val="24"/>
        </w:rPr>
        <w:t>RESULTS AND DISCUSSION</w:t>
      </w:r>
    </w:p>
    <w:p w14:paraId="5A5D8C62" w14:textId="77777777" w:rsidR="00C872A4" w:rsidRPr="00C872A4" w:rsidRDefault="00C872A4" w:rsidP="00C872A4">
      <w:pPr>
        <w:spacing w:after="0" w:line="360" w:lineRule="auto"/>
        <w:ind w:left="332"/>
        <w:rPr>
          <w:rFonts w:ascii="Times New Roman" w:hAnsi="Times New Roman" w:cs="Times New Roman"/>
          <w:b/>
          <w:sz w:val="20"/>
          <w:szCs w:val="20"/>
        </w:rPr>
      </w:pPr>
      <w:r w:rsidRPr="00C872A4">
        <w:rPr>
          <w:rFonts w:ascii="Times New Roman" w:hAnsi="Times New Roman" w:cs="Times New Roman"/>
          <w:b/>
          <w:sz w:val="20"/>
          <w:szCs w:val="20"/>
        </w:rPr>
        <w:t>CURRENT RATIO</w:t>
      </w:r>
    </w:p>
    <w:tbl>
      <w:tblPr>
        <w:tblStyle w:val="TableGrid"/>
        <w:tblW w:w="0" w:type="auto"/>
        <w:jc w:val="center"/>
        <w:tblLook w:val="04A0" w:firstRow="1" w:lastRow="0" w:firstColumn="1" w:lastColumn="0" w:noHBand="0" w:noVBand="1"/>
      </w:tblPr>
      <w:tblGrid>
        <w:gridCol w:w="1588"/>
        <w:gridCol w:w="2410"/>
        <w:gridCol w:w="2552"/>
        <w:gridCol w:w="1417"/>
      </w:tblGrid>
      <w:tr w:rsidR="00C872A4" w:rsidRPr="00C872A4" w14:paraId="627C5B75" w14:textId="77777777" w:rsidTr="00C872A4">
        <w:trPr>
          <w:trHeight w:val="20"/>
          <w:jc w:val="center"/>
        </w:trPr>
        <w:tc>
          <w:tcPr>
            <w:tcW w:w="1588" w:type="dxa"/>
            <w:vAlign w:val="center"/>
          </w:tcPr>
          <w:p w14:paraId="51DF6A9C" w14:textId="77777777" w:rsidR="00C872A4" w:rsidRPr="00C872A4" w:rsidRDefault="00C872A4" w:rsidP="00C872A4">
            <w:pPr>
              <w:ind w:left="-74"/>
              <w:jc w:val="center"/>
              <w:rPr>
                <w:rFonts w:ascii="Times New Roman" w:hAnsi="Times New Roman" w:cs="Times New Roman"/>
                <w:b/>
              </w:rPr>
            </w:pPr>
            <w:r w:rsidRPr="00C872A4">
              <w:rPr>
                <w:rFonts w:ascii="Times New Roman" w:hAnsi="Times New Roman" w:cs="Times New Roman"/>
                <w:b/>
              </w:rPr>
              <w:t>YEAR</w:t>
            </w:r>
          </w:p>
        </w:tc>
        <w:tc>
          <w:tcPr>
            <w:tcW w:w="2410" w:type="dxa"/>
            <w:vAlign w:val="center"/>
          </w:tcPr>
          <w:p w14:paraId="0309C8CE" w14:textId="77777777" w:rsidR="00C872A4" w:rsidRPr="00C872A4" w:rsidRDefault="00C872A4" w:rsidP="00C872A4">
            <w:pPr>
              <w:ind w:left="332"/>
              <w:jc w:val="center"/>
              <w:rPr>
                <w:rFonts w:ascii="Times New Roman" w:hAnsi="Times New Roman" w:cs="Times New Roman"/>
                <w:b/>
              </w:rPr>
            </w:pPr>
            <w:r w:rsidRPr="00C872A4">
              <w:rPr>
                <w:rFonts w:ascii="Times New Roman" w:hAnsi="Times New Roman" w:cs="Times New Roman"/>
                <w:b/>
              </w:rPr>
              <w:t>CURRENT ASSETS</w:t>
            </w:r>
          </w:p>
          <w:p w14:paraId="29692A0E" w14:textId="77777777" w:rsidR="00C872A4" w:rsidRPr="00C872A4" w:rsidRDefault="00C872A4" w:rsidP="00C872A4">
            <w:pPr>
              <w:ind w:left="332"/>
              <w:jc w:val="center"/>
              <w:rPr>
                <w:rFonts w:ascii="Times New Roman" w:hAnsi="Times New Roman" w:cs="Times New Roman"/>
                <w:b/>
              </w:rPr>
            </w:pPr>
            <w:r w:rsidRPr="00C872A4">
              <w:rPr>
                <w:rFonts w:ascii="Times New Roman" w:hAnsi="Times New Roman" w:cs="Times New Roman"/>
                <w:b/>
              </w:rPr>
              <w:t>RS.</w:t>
            </w:r>
          </w:p>
        </w:tc>
        <w:tc>
          <w:tcPr>
            <w:tcW w:w="2552" w:type="dxa"/>
            <w:vAlign w:val="center"/>
          </w:tcPr>
          <w:p w14:paraId="427F1CCD" w14:textId="77777777" w:rsidR="00C872A4" w:rsidRPr="00C872A4" w:rsidRDefault="00C872A4" w:rsidP="00C872A4">
            <w:pPr>
              <w:ind w:left="332"/>
              <w:jc w:val="center"/>
              <w:rPr>
                <w:rFonts w:ascii="Times New Roman" w:hAnsi="Times New Roman" w:cs="Times New Roman"/>
                <w:b/>
              </w:rPr>
            </w:pPr>
            <w:r w:rsidRPr="00C872A4">
              <w:rPr>
                <w:rFonts w:ascii="Times New Roman" w:hAnsi="Times New Roman" w:cs="Times New Roman"/>
                <w:b/>
              </w:rPr>
              <w:t>CURRENT LIABILITIES RS.</w:t>
            </w:r>
          </w:p>
        </w:tc>
        <w:tc>
          <w:tcPr>
            <w:tcW w:w="1417" w:type="dxa"/>
            <w:vAlign w:val="center"/>
          </w:tcPr>
          <w:p w14:paraId="2180BA6B" w14:textId="77777777" w:rsidR="00C872A4" w:rsidRPr="00C872A4" w:rsidRDefault="00C872A4" w:rsidP="00C872A4">
            <w:pPr>
              <w:ind w:left="332"/>
              <w:jc w:val="center"/>
              <w:rPr>
                <w:rFonts w:ascii="Times New Roman" w:hAnsi="Times New Roman" w:cs="Times New Roman"/>
                <w:b/>
              </w:rPr>
            </w:pPr>
            <w:r w:rsidRPr="00C872A4">
              <w:rPr>
                <w:rFonts w:ascii="Times New Roman" w:hAnsi="Times New Roman" w:cs="Times New Roman"/>
                <w:b/>
              </w:rPr>
              <w:t>RATIO</w:t>
            </w:r>
          </w:p>
        </w:tc>
      </w:tr>
      <w:tr w:rsidR="00C872A4" w:rsidRPr="00C872A4" w14:paraId="2B5FAD08" w14:textId="77777777" w:rsidTr="00C872A4">
        <w:trPr>
          <w:jc w:val="center"/>
        </w:trPr>
        <w:tc>
          <w:tcPr>
            <w:tcW w:w="1588" w:type="dxa"/>
            <w:vAlign w:val="center"/>
          </w:tcPr>
          <w:p w14:paraId="57CD875F" w14:textId="77777777" w:rsidR="00C872A4" w:rsidRPr="00C872A4" w:rsidRDefault="00C872A4" w:rsidP="00C872A4">
            <w:pPr>
              <w:ind w:left="-74"/>
              <w:jc w:val="center"/>
              <w:rPr>
                <w:rFonts w:ascii="Times New Roman" w:hAnsi="Times New Roman" w:cs="Times New Roman"/>
              </w:rPr>
            </w:pPr>
            <w:r w:rsidRPr="00C872A4">
              <w:rPr>
                <w:rFonts w:ascii="Times New Roman" w:hAnsi="Times New Roman" w:cs="Times New Roman"/>
              </w:rPr>
              <w:t>2018-19</w:t>
            </w:r>
          </w:p>
        </w:tc>
        <w:tc>
          <w:tcPr>
            <w:tcW w:w="2410" w:type="dxa"/>
            <w:vAlign w:val="center"/>
          </w:tcPr>
          <w:p w14:paraId="02CF289F" w14:textId="77777777" w:rsidR="00C872A4" w:rsidRPr="00C872A4" w:rsidRDefault="00C872A4" w:rsidP="00C872A4">
            <w:pPr>
              <w:jc w:val="center"/>
              <w:rPr>
                <w:rFonts w:ascii="Times New Roman" w:hAnsi="Times New Roman" w:cs="Times New Roman"/>
              </w:rPr>
            </w:pPr>
            <w:r w:rsidRPr="00C872A4">
              <w:rPr>
                <w:rFonts w:ascii="Times New Roman" w:hAnsi="Times New Roman" w:cs="Times New Roman"/>
              </w:rPr>
              <w:t>134669.94</w:t>
            </w:r>
          </w:p>
        </w:tc>
        <w:tc>
          <w:tcPr>
            <w:tcW w:w="2552" w:type="dxa"/>
            <w:vAlign w:val="center"/>
          </w:tcPr>
          <w:p w14:paraId="60561ED2" w14:textId="77777777" w:rsidR="00C872A4" w:rsidRPr="00C872A4" w:rsidRDefault="00C872A4" w:rsidP="00C872A4">
            <w:pPr>
              <w:jc w:val="center"/>
              <w:rPr>
                <w:rFonts w:ascii="Times New Roman" w:hAnsi="Times New Roman" w:cs="Times New Roman"/>
              </w:rPr>
            </w:pPr>
            <w:r w:rsidRPr="00C872A4">
              <w:rPr>
                <w:rFonts w:ascii="Times New Roman" w:hAnsi="Times New Roman" w:cs="Times New Roman"/>
              </w:rPr>
              <w:t>122415.55</w:t>
            </w:r>
          </w:p>
        </w:tc>
        <w:tc>
          <w:tcPr>
            <w:tcW w:w="1417" w:type="dxa"/>
            <w:vAlign w:val="center"/>
          </w:tcPr>
          <w:p w14:paraId="62E94DEF" w14:textId="77777777" w:rsidR="00C872A4" w:rsidRPr="00C872A4" w:rsidRDefault="00C872A4" w:rsidP="00C872A4">
            <w:pPr>
              <w:jc w:val="center"/>
              <w:rPr>
                <w:rFonts w:ascii="Times New Roman" w:hAnsi="Times New Roman" w:cs="Times New Roman"/>
              </w:rPr>
            </w:pPr>
            <w:r w:rsidRPr="00C872A4">
              <w:rPr>
                <w:rFonts w:ascii="Times New Roman" w:hAnsi="Times New Roman" w:cs="Times New Roman"/>
              </w:rPr>
              <w:t>1.10</w:t>
            </w:r>
          </w:p>
        </w:tc>
      </w:tr>
      <w:tr w:rsidR="00C872A4" w:rsidRPr="00C872A4" w14:paraId="0291FCB2" w14:textId="77777777" w:rsidTr="00C872A4">
        <w:trPr>
          <w:jc w:val="center"/>
        </w:trPr>
        <w:tc>
          <w:tcPr>
            <w:tcW w:w="1588" w:type="dxa"/>
            <w:vAlign w:val="center"/>
          </w:tcPr>
          <w:p w14:paraId="107DD244" w14:textId="77777777" w:rsidR="00C872A4" w:rsidRPr="00C872A4" w:rsidRDefault="00C872A4" w:rsidP="00C872A4">
            <w:pPr>
              <w:ind w:left="-74"/>
              <w:jc w:val="center"/>
              <w:rPr>
                <w:rFonts w:ascii="Times New Roman" w:hAnsi="Times New Roman" w:cs="Times New Roman"/>
              </w:rPr>
            </w:pPr>
            <w:r w:rsidRPr="00C872A4">
              <w:rPr>
                <w:rFonts w:ascii="Times New Roman" w:hAnsi="Times New Roman" w:cs="Times New Roman"/>
              </w:rPr>
              <w:t>2019-20</w:t>
            </w:r>
          </w:p>
        </w:tc>
        <w:tc>
          <w:tcPr>
            <w:tcW w:w="2410" w:type="dxa"/>
            <w:vAlign w:val="center"/>
          </w:tcPr>
          <w:p w14:paraId="45F843AF" w14:textId="77777777" w:rsidR="00C872A4" w:rsidRPr="00C872A4" w:rsidRDefault="00C872A4" w:rsidP="00C872A4">
            <w:pPr>
              <w:jc w:val="center"/>
              <w:rPr>
                <w:rFonts w:ascii="Times New Roman" w:hAnsi="Times New Roman" w:cs="Times New Roman"/>
              </w:rPr>
            </w:pPr>
            <w:r w:rsidRPr="00C872A4">
              <w:rPr>
                <w:rFonts w:ascii="Times New Roman" w:hAnsi="Times New Roman" w:cs="Times New Roman"/>
              </w:rPr>
              <w:t>153916.62</w:t>
            </w:r>
          </w:p>
        </w:tc>
        <w:tc>
          <w:tcPr>
            <w:tcW w:w="2552" w:type="dxa"/>
            <w:vAlign w:val="center"/>
          </w:tcPr>
          <w:p w14:paraId="60496744" w14:textId="77777777" w:rsidR="00C872A4" w:rsidRPr="00C872A4" w:rsidRDefault="00C872A4" w:rsidP="00C872A4">
            <w:pPr>
              <w:jc w:val="center"/>
              <w:rPr>
                <w:rFonts w:ascii="Times New Roman" w:hAnsi="Times New Roman" w:cs="Times New Roman"/>
              </w:rPr>
            </w:pPr>
            <w:r w:rsidRPr="00C872A4">
              <w:rPr>
                <w:rFonts w:ascii="Times New Roman" w:hAnsi="Times New Roman" w:cs="Times New Roman"/>
              </w:rPr>
              <w:t>145277.60</w:t>
            </w:r>
          </w:p>
        </w:tc>
        <w:tc>
          <w:tcPr>
            <w:tcW w:w="1417" w:type="dxa"/>
            <w:vAlign w:val="center"/>
          </w:tcPr>
          <w:p w14:paraId="7B0B7B9C" w14:textId="77777777" w:rsidR="00C872A4" w:rsidRPr="00C872A4" w:rsidRDefault="00C872A4" w:rsidP="00C872A4">
            <w:pPr>
              <w:jc w:val="center"/>
              <w:rPr>
                <w:rFonts w:ascii="Times New Roman" w:hAnsi="Times New Roman" w:cs="Times New Roman"/>
              </w:rPr>
            </w:pPr>
            <w:r w:rsidRPr="00C872A4">
              <w:rPr>
                <w:rFonts w:ascii="Times New Roman" w:hAnsi="Times New Roman" w:cs="Times New Roman"/>
              </w:rPr>
              <w:t>1.06</w:t>
            </w:r>
          </w:p>
        </w:tc>
      </w:tr>
      <w:tr w:rsidR="00C872A4" w:rsidRPr="00C872A4" w14:paraId="0B4C1323" w14:textId="77777777" w:rsidTr="00C872A4">
        <w:trPr>
          <w:jc w:val="center"/>
        </w:trPr>
        <w:tc>
          <w:tcPr>
            <w:tcW w:w="1588" w:type="dxa"/>
            <w:vAlign w:val="center"/>
          </w:tcPr>
          <w:p w14:paraId="3597F73B" w14:textId="77777777" w:rsidR="00C872A4" w:rsidRPr="00C872A4" w:rsidRDefault="00C872A4" w:rsidP="00C872A4">
            <w:pPr>
              <w:ind w:left="-74"/>
              <w:jc w:val="center"/>
              <w:rPr>
                <w:rFonts w:ascii="Times New Roman" w:hAnsi="Times New Roman" w:cs="Times New Roman"/>
              </w:rPr>
            </w:pPr>
            <w:r w:rsidRPr="00C872A4">
              <w:rPr>
                <w:rFonts w:ascii="Times New Roman" w:hAnsi="Times New Roman" w:cs="Times New Roman"/>
              </w:rPr>
              <w:t>2020-21</w:t>
            </w:r>
          </w:p>
        </w:tc>
        <w:tc>
          <w:tcPr>
            <w:tcW w:w="2410" w:type="dxa"/>
            <w:vAlign w:val="center"/>
          </w:tcPr>
          <w:p w14:paraId="21F45F9D" w14:textId="77777777" w:rsidR="00C872A4" w:rsidRPr="00C872A4" w:rsidRDefault="00C872A4" w:rsidP="00C872A4">
            <w:pPr>
              <w:jc w:val="center"/>
              <w:rPr>
                <w:rFonts w:ascii="Times New Roman" w:hAnsi="Times New Roman" w:cs="Times New Roman"/>
              </w:rPr>
            </w:pPr>
            <w:r w:rsidRPr="00C872A4">
              <w:rPr>
                <w:rFonts w:ascii="Times New Roman" w:hAnsi="Times New Roman" w:cs="Times New Roman"/>
              </w:rPr>
              <w:t>170793.28</w:t>
            </w:r>
          </w:p>
        </w:tc>
        <w:tc>
          <w:tcPr>
            <w:tcW w:w="2552" w:type="dxa"/>
            <w:vAlign w:val="center"/>
          </w:tcPr>
          <w:p w14:paraId="3704D7F6" w14:textId="77777777" w:rsidR="00C872A4" w:rsidRPr="00C872A4" w:rsidRDefault="00C872A4" w:rsidP="00C872A4">
            <w:pPr>
              <w:jc w:val="center"/>
              <w:rPr>
                <w:rFonts w:ascii="Times New Roman" w:hAnsi="Times New Roman" w:cs="Times New Roman"/>
              </w:rPr>
            </w:pPr>
            <w:r w:rsidRPr="00C872A4">
              <w:rPr>
                <w:rFonts w:ascii="Times New Roman" w:hAnsi="Times New Roman" w:cs="Times New Roman"/>
              </w:rPr>
              <w:t>154003.49</w:t>
            </w:r>
          </w:p>
        </w:tc>
        <w:tc>
          <w:tcPr>
            <w:tcW w:w="1417" w:type="dxa"/>
            <w:vAlign w:val="center"/>
          </w:tcPr>
          <w:p w14:paraId="4FDDCE9C" w14:textId="77777777" w:rsidR="00C872A4" w:rsidRPr="00C872A4" w:rsidRDefault="00C872A4" w:rsidP="00C872A4">
            <w:pPr>
              <w:jc w:val="center"/>
              <w:rPr>
                <w:rFonts w:ascii="Times New Roman" w:hAnsi="Times New Roman" w:cs="Times New Roman"/>
              </w:rPr>
            </w:pPr>
            <w:r w:rsidRPr="00C872A4">
              <w:rPr>
                <w:rFonts w:ascii="Times New Roman" w:hAnsi="Times New Roman" w:cs="Times New Roman"/>
              </w:rPr>
              <w:t>1.10</w:t>
            </w:r>
          </w:p>
        </w:tc>
      </w:tr>
      <w:tr w:rsidR="00C872A4" w:rsidRPr="00C872A4" w14:paraId="12A46439" w14:textId="77777777" w:rsidTr="00C872A4">
        <w:trPr>
          <w:jc w:val="center"/>
        </w:trPr>
        <w:tc>
          <w:tcPr>
            <w:tcW w:w="1588" w:type="dxa"/>
            <w:vAlign w:val="center"/>
          </w:tcPr>
          <w:p w14:paraId="0086DEBD" w14:textId="77777777" w:rsidR="00C872A4" w:rsidRPr="00C872A4" w:rsidRDefault="00C872A4" w:rsidP="00C872A4">
            <w:pPr>
              <w:ind w:left="-74"/>
              <w:jc w:val="center"/>
              <w:rPr>
                <w:rFonts w:ascii="Times New Roman" w:hAnsi="Times New Roman" w:cs="Times New Roman"/>
              </w:rPr>
            </w:pPr>
            <w:r w:rsidRPr="00C872A4">
              <w:rPr>
                <w:rFonts w:ascii="Times New Roman" w:hAnsi="Times New Roman" w:cs="Times New Roman"/>
              </w:rPr>
              <w:t>2021-22</w:t>
            </w:r>
          </w:p>
        </w:tc>
        <w:tc>
          <w:tcPr>
            <w:tcW w:w="2410" w:type="dxa"/>
            <w:vAlign w:val="center"/>
          </w:tcPr>
          <w:p w14:paraId="511BB4E7" w14:textId="77777777" w:rsidR="00C872A4" w:rsidRPr="00C872A4" w:rsidRDefault="00C872A4" w:rsidP="00C872A4">
            <w:pPr>
              <w:jc w:val="center"/>
              <w:rPr>
                <w:rFonts w:ascii="Times New Roman" w:hAnsi="Times New Roman" w:cs="Times New Roman"/>
              </w:rPr>
            </w:pPr>
            <w:r w:rsidRPr="00C872A4">
              <w:rPr>
                <w:rFonts w:ascii="Times New Roman" w:hAnsi="Times New Roman" w:cs="Times New Roman"/>
              </w:rPr>
              <w:t>187111.73</w:t>
            </w:r>
          </w:p>
        </w:tc>
        <w:tc>
          <w:tcPr>
            <w:tcW w:w="2552" w:type="dxa"/>
            <w:vAlign w:val="center"/>
          </w:tcPr>
          <w:p w14:paraId="2EF7DD42" w14:textId="77777777" w:rsidR="00C872A4" w:rsidRPr="00C872A4" w:rsidRDefault="00C872A4" w:rsidP="00C872A4">
            <w:pPr>
              <w:jc w:val="center"/>
              <w:rPr>
                <w:rFonts w:ascii="Times New Roman" w:hAnsi="Times New Roman" w:cs="Times New Roman"/>
              </w:rPr>
            </w:pPr>
            <w:r w:rsidRPr="00C872A4">
              <w:rPr>
                <w:rFonts w:ascii="Times New Roman" w:hAnsi="Times New Roman" w:cs="Times New Roman"/>
              </w:rPr>
              <w:t>173431.05</w:t>
            </w:r>
          </w:p>
        </w:tc>
        <w:tc>
          <w:tcPr>
            <w:tcW w:w="1417" w:type="dxa"/>
            <w:vAlign w:val="center"/>
          </w:tcPr>
          <w:p w14:paraId="75EFFC06" w14:textId="77777777" w:rsidR="00C872A4" w:rsidRPr="00C872A4" w:rsidRDefault="00C872A4" w:rsidP="00C872A4">
            <w:pPr>
              <w:jc w:val="center"/>
              <w:rPr>
                <w:rFonts w:ascii="Times New Roman" w:hAnsi="Times New Roman" w:cs="Times New Roman"/>
              </w:rPr>
            </w:pPr>
            <w:r w:rsidRPr="00C872A4">
              <w:rPr>
                <w:rFonts w:ascii="Times New Roman" w:hAnsi="Times New Roman" w:cs="Times New Roman"/>
              </w:rPr>
              <w:t>1.07</w:t>
            </w:r>
          </w:p>
        </w:tc>
      </w:tr>
      <w:tr w:rsidR="00C872A4" w:rsidRPr="00C872A4" w14:paraId="1DF81B27" w14:textId="77777777" w:rsidTr="00C872A4">
        <w:trPr>
          <w:jc w:val="center"/>
        </w:trPr>
        <w:tc>
          <w:tcPr>
            <w:tcW w:w="1588" w:type="dxa"/>
            <w:vAlign w:val="center"/>
          </w:tcPr>
          <w:p w14:paraId="47A5A3DE" w14:textId="77777777" w:rsidR="00C872A4" w:rsidRPr="00C872A4" w:rsidRDefault="00C872A4" w:rsidP="00C872A4">
            <w:pPr>
              <w:ind w:left="-74"/>
              <w:jc w:val="center"/>
              <w:rPr>
                <w:rFonts w:ascii="Times New Roman" w:hAnsi="Times New Roman" w:cs="Times New Roman"/>
              </w:rPr>
            </w:pPr>
            <w:r w:rsidRPr="00C872A4">
              <w:rPr>
                <w:rFonts w:ascii="Times New Roman" w:hAnsi="Times New Roman" w:cs="Times New Roman"/>
              </w:rPr>
              <w:t>2022-23</w:t>
            </w:r>
          </w:p>
        </w:tc>
        <w:tc>
          <w:tcPr>
            <w:tcW w:w="2410" w:type="dxa"/>
            <w:vAlign w:val="center"/>
          </w:tcPr>
          <w:p w14:paraId="388C483A" w14:textId="77777777" w:rsidR="00C872A4" w:rsidRPr="00C872A4" w:rsidRDefault="00C872A4" w:rsidP="00C872A4">
            <w:pPr>
              <w:jc w:val="center"/>
              <w:rPr>
                <w:rFonts w:ascii="Times New Roman" w:hAnsi="Times New Roman" w:cs="Times New Roman"/>
              </w:rPr>
            </w:pPr>
            <w:r w:rsidRPr="00C872A4">
              <w:rPr>
                <w:rFonts w:ascii="Times New Roman" w:hAnsi="Times New Roman" w:cs="Times New Roman"/>
              </w:rPr>
              <w:t>226103.39</w:t>
            </w:r>
          </w:p>
        </w:tc>
        <w:tc>
          <w:tcPr>
            <w:tcW w:w="2552" w:type="dxa"/>
            <w:vAlign w:val="center"/>
          </w:tcPr>
          <w:p w14:paraId="78BBA4F8" w14:textId="77777777" w:rsidR="00C872A4" w:rsidRPr="00C872A4" w:rsidRDefault="00C872A4" w:rsidP="00C872A4">
            <w:pPr>
              <w:jc w:val="center"/>
              <w:rPr>
                <w:rFonts w:ascii="Times New Roman" w:hAnsi="Times New Roman" w:cs="Times New Roman"/>
              </w:rPr>
            </w:pPr>
            <w:r w:rsidRPr="00C872A4">
              <w:rPr>
                <w:rFonts w:ascii="Times New Roman" w:hAnsi="Times New Roman" w:cs="Times New Roman"/>
              </w:rPr>
              <w:t>199533.55</w:t>
            </w:r>
          </w:p>
        </w:tc>
        <w:tc>
          <w:tcPr>
            <w:tcW w:w="1417" w:type="dxa"/>
            <w:vAlign w:val="center"/>
          </w:tcPr>
          <w:p w14:paraId="51B4BE5F" w14:textId="77777777" w:rsidR="00C872A4" w:rsidRPr="00C872A4" w:rsidRDefault="00C872A4" w:rsidP="00C872A4">
            <w:pPr>
              <w:jc w:val="center"/>
              <w:rPr>
                <w:rFonts w:ascii="Times New Roman" w:hAnsi="Times New Roman" w:cs="Times New Roman"/>
              </w:rPr>
            </w:pPr>
            <w:r w:rsidRPr="00C872A4">
              <w:rPr>
                <w:rFonts w:ascii="Times New Roman" w:hAnsi="Times New Roman" w:cs="Times New Roman"/>
              </w:rPr>
              <w:t>1.13</w:t>
            </w:r>
          </w:p>
        </w:tc>
      </w:tr>
    </w:tbl>
    <w:p w14:paraId="0F50A34A" w14:textId="77777777" w:rsidR="00C872A4" w:rsidRPr="00C872A4" w:rsidRDefault="00C872A4" w:rsidP="00C872A4">
      <w:pPr>
        <w:spacing w:after="0" w:line="360" w:lineRule="auto"/>
        <w:rPr>
          <w:rFonts w:ascii="Times New Roman" w:hAnsi="Times New Roman" w:cs="Times New Roman"/>
          <w:b/>
          <w:sz w:val="20"/>
          <w:szCs w:val="20"/>
        </w:rPr>
      </w:pPr>
      <w:r w:rsidRPr="00C872A4">
        <w:rPr>
          <w:rFonts w:ascii="Times New Roman" w:hAnsi="Times New Roman" w:cs="Times New Roman"/>
          <w:b/>
          <w:sz w:val="20"/>
          <w:szCs w:val="20"/>
        </w:rPr>
        <w:t>INTERPRETATION</w:t>
      </w:r>
    </w:p>
    <w:p w14:paraId="2395161E" w14:textId="77777777" w:rsidR="00C872A4" w:rsidRPr="00C872A4" w:rsidRDefault="00C872A4" w:rsidP="00C872A4">
      <w:pPr>
        <w:spacing w:after="0" w:line="360" w:lineRule="auto"/>
        <w:ind w:left="332"/>
        <w:jc w:val="both"/>
        <w:rPr>
          <w:rFonts w:ascii="Times New Roman" w:hAnsi="Times New Roman" w:cs="Times New Roman"/>
          <w:sz w:val="20"/>
          <w:szCs w:val="20"/>
        </w:rPr>
      </w:pPr>
      <w:r w:rsidRPr="00C872A4">
        <w:rPr>
          <w:rFonts w:ascii="Times New Roman" w:hAnsi="Times New Roman" w:cs="Times New Roman"/>
          <w:sz w:val="20"/>
          <w:szCs w:val="20"/>
        </w:rPr>
        <w:tab/>
        <w:t xml:space="preserve">The above table shows clearly the current ratio of the bank for the year 2018-19 to 2022-23. The ratio was 1.10, 1.06, 1.10, 1.07, and 1.13. </w:t>
      </w:r>
      <w:proofErr w:type="gramStart"/>
      <w:r w:rsidRPr="00C872A4">
        <w:rPr>
          <w:rFonts w:ascii="Times New Roman" w:hAnsi="Times New Roman" w:cs="Times New Roman"/>
          <w:sz w:val="20"/>
          <w:szCs w:val="20"/>
        </w:rPr>
        <w:t>Generally</w:t>
      </w:r>
      <w:proofErr w:type="gramEnd"/>
      <w:r w:rsidRPr="00C872A4">
        <w:rPr>
          <w:rFonts w:ascii="Times New Roman" w:hAnsi="Times New Roman" w:cs="Times New Roman"/>
          <w:sz w:val="20"/>
          <w:szCs w:val="20"/>
        </w:rPr>
        <w:t xml:space="preserve"> the accepted norm 2:1 but current ratio was below. It measures the current ratio of bank not satisfied.</w:t>
      </w:r>
    </w:p>
    <w:p w14:paraId="35F99BB4" w14:textId="77777777" w:rsidR="00C872A4" w:rsidRDefault="00C872A4" w:rsidP="00965ED9">
      <w:pPr>
        <w:spacing w:after="0" w:line="360" w:lineRule="auto"/>
        <w:rPr>
          <w:rFonts w:ascii="Times New Roman" w:hAnsi="Times New Roman" w:cs="Times New Roman"/>
          <w:b/>
          <w:sz w:val="20"/>
          <w:szCs w:val="20"/>
          <w:lang w:eastAsia="en-IN"/>
        </w:rPr>
      </w:pPr>
    </w:p>
    <w:p w14:paraId="3828024A" w14:textId="77777777" w:rsidR="005B1385" w:rsidRDefault="005B1385" w:rsidP="00965ED9">
      <w:pPr>
        <w:spacing w:after="0" w:line="360" w:lineRule="auto"/>
        <w:rPr>
          <w:rFonts w:ascii="Times New Roman" w:hAnsi="Times New Roman" w:cs="Times New Roman"/>
          <w:b/>
          <w:sz w:val="20"/>
          <w:szCs w:val="20"/>
          <w:lang w:eastAsia="en-IN"/>
        </w:rPr>
      </w:pPr>
    </w:p>
    <w:p w14:paraId="20EAFB09" w14:textId="77777777" w:rsidR="005B1385" w:rsidRDefault="005B1385" w:rsidP="00965ED9">
      <w:pPr>
        <w:spacing w:after="0" w:line="360" w:lineRule="auto"/>
        <w:rPr>
          <w:rFonts w:ascii="Times New Roman" w:hAnsi="Times New Roman" w:cs="Times New Roman"/>
          <w:b/>
          <w:sz w:val="20"/>
          <w:szCs w:val="20"/>
          <w:lang w:eastAsia="en-IN"/>
        </w:rPr>
      </w:pPr>
    </w:p>
    <w:p w14:paraId="2CB9AF1B" w14:textId="6A7F6D8E" w:rsidR="005B1385" w:rsidRDefault="005B1385" w:rsidP="005B1385">
      <w:pPr>
        <w:spacing w:after="0" w:line="360" w:lineRule="auto"/>
        <w:jc w:val="center"/>
        <w:rPr>
          <w:rFonts w:ascii="Times New Roman" w:hAnsi="Times New Roman" w:cs="Times New Roman"/>
          <w:b/>
          <w:sz w:val="20"/>
          <w:szCs w:val="20"/>
          <w:lang w:eastAsia="en-IN"/>
        </w:rPr>
      </w:pPr>
      <w:r>
        <w:rPr>
          <w:noProof/>
          <w:lang w:val="en-IN" w:eastAsia="en-IN"/>
        </w:rPr>
        <w:lastRenderedPageBreak/>
        <w:drawing>
          <wp:inline distT="0" distB="0" distL="114300" distR="114300" wp14:anchorId="359ADD1E" wp14:editId="468CF255">
            <wp:extent cx="4572000" cy="2407920"/>
            <wp:effectExtent l="0" t="0" r="0" b="1143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2B00160" w14:textId="77777777" w:rsidR="005B1385" w:rsidRPr="005B1385" w:rsidRDefault="005B1385" w:rsidP="005B1385">
      <w:pPr>
        <w:spacing w:after="0" w:line="360" w:lineRule="auto"/>
        <w:rPr>
          <w:rFonts w:ascii="Times New Roman" w:hAnsi="Times New Roman" w:cs="Times New Roman"/>
          <w:b/>
          <w:sz w:val="20"/>
          <w:szCs w:val="20"/>
        </w:rPr>
      </w:pPr>
      <w:r w:rsidRPr="005B1385">
        <w:rPr>
          <w:rFonts w:ascii="Times New Roman" w:hAnsi="Times New Roman" w:cs="Times New Roman"/>
          <w:b/>
          <w:sz w:val="20"/>
          <w:szCs w:val="20"/>
        </w:rPr>
        <w:t>PROPRIETORY RATIO</w:t>
      </w:r>
    </w:p>
    <w:tbl>
      <w:tblPr>
        <w:tblStyle w:val="TableGrid"/>
        <w:tblW w:w="0" w:type="auto"/>
        <w:jc w:val="center"/>
        <w:tblLook w:val="04A0" w:firstRow="1" w:lastRow="0" w:firstColumn="1" w:lastColumn="0" w:noHBand="0" w:noVBand="1"/>
      </w:tblPr>
      <w:tblGrid>
        <w:gridCol w:w="1564"/>
        <w:gridCol w:w="2234"/>
        <w:gridCol w:w="2151"/>
        <w:gridCol w:w="1972"/>
      </w:tblGrid>
      <w:tr w:rsidR="005B1385" w:rsidRPr="005B1385" w14:paraId="62EDD303" w14:textId="77777777" w:rsidTr="005B1385">
        <w:trPr>
          <w:trHeight w:val="18"/>
          <w:jc w:val="center"/>
        </w:trPr>
        <w:tc>
          <w:tcPr>
            <w:tcW w:w="1564" w:type="dxa"/>
          </w:tcPr>
          <w:p w14:paraId="75318841" w14:textId="77777777" w:rsidR="005B1385" w:rsidRPr="005B1385" w:rsidRDefault="005B1385" w:rsidP="005B1385">
            <w:pPr>
              <w:spacing w:line="360" w:lineRule="auto"/>
              <w:jc w:val="center"/>
              <w:rPr>
                <w:rFonts w:ascii="Times New Roman" w:hAnsi="Times New Roman" w:cs="Times New Roman"/>
                <w:b/>
              </w:rPr>
            </w:pPr>
            <w:r w:rsidRPr="005B1385">
              <w:rPr>
                <w:rFonts w:ascii="Times New Roman" w:hAnsi="Times New Roman" w:cs="Times New Roman"/>
                <w:b/>
              </w:rPr>
              <w:t>YEAR</w:t>
            </w:r>
          </w:p>
        </w:tc>
        <w:tc>
          <w:tcPr>
            <w:tcW w:w="2234" w:type="dxa"/>
          </w:tcPr>
          <w:p w14:paraId="0845114A" w14:textId="77777777" w:rsidR="005B1385" w:rsidRPr="005B1385" w:rsidRDefault="005B1385" w:rsidP="005B1385">
            <w:pPr>
              <w:spacing w:line="360" w:lineRule="auto"/>
              <w:jc w:val="center"/>
              <w:rPr>
                <w:rFonts w:ascii="Times New Roman" w:hAnsi="Times New Roman" w:cs="Times New Roman"/>
                <w:b/>
              </w:rPr>
            </w:pPr>
            <w:r w:rsidRPr="005B1385">
              <w:rPr>
                <w:rFonts w:ascii="Times New Roman" w:hAnsi="Times New Roman" w:cs="Times New Roman"/>
                <w:b/>
              </w:rPr>
              <w:t>SHAREHOLDERS FUND RS.</w:t>
            </w:r>
          </w:p>
        </w:tc>
        <w:tc>
          <w:tcPr>
            <w:tcW w:w="2151" w:type="dxa"/>
          </w:tcPr>
          <w:p w14:paraId="5CB4F81B" w14:textId="77777777" w:rsidR="005B1385" w:rsidRPr="005B1385" w:rsidRDefault="005B1385" w:rsidP="005B1385">
            <w:pPr>
              <w:spacing w:line="360" w:lineRule="auto"/>
              <w:jc w:val="center"/>
              <w:rPr>
                <w:rFonts w:ascii="Times New Roman" w:hAnsi="Times New Roman" w:cs="Times New Roman"/>
                <w:b/>
              </w:rPr>
            </w:pPr>
            <w:r w:rsidRPr="005B1385">
              <w:rPr>
                <w:rFonts w:ascii="Times New Roman" w:hAnsi="Times New Roman" w:cs="Times New Roman"/>
                <w:b/>
              </w:rPr>
              <w:t>TOTAL TANGIBLE ASSETS RS.</w:t>
            </w:r>
          </w:p>
        </w:tc>
        <w:tc>
          <w:tcPr>
            <w:tcW w:w="1972" w:type="dxa"/>
          </w:tcPr>
          <w:p w14:paraId="259F14CD" w14:textId="77777777" w:rsidR="005B1385" w:rsidRPr="005B1385" w:rsidRDefault="005B1385" w:rsidP="005B1385">
            <w:pPr>
              <w:spacing w:line="360" w:lineRule="auto"/>
              <w:jc w:val="center"/>
              <w:rPr>
                <w:rFonts w:ascii="Times New Roman" w:hAnsi="Times New Roman" w:cs="Times New Roman"/>
                <w:b/>
              </w:rPr>
            </w:pPr>
            <w:r w:rsidRPr="005B1385">
              <w:rPr>
                <w:rFonts w:ascii="Times New Roman" w:hAnsi="Times New Roman" w:cs="Times New Roman"/>
                <w:b/>
              </w:rPr>
              <w:t>RATIO</w:t>
            </w:r>
          </w:p>
        </w:tc>
      </w:tr>
      <w:tr w:rsidR="005B1385" w:rsidRPr="005B1385" w14:paraId="25BA9D30" w14:textId="77777777" w:rsidTr="005B1385">
        <w:trPr>
          <w:trHeight w:val="324"/>
          <w:jc w:val="center"/>
        </w:trPr>
        <w:tc>
          <w:tcPr>
            <w:tcW w:w="1564" w:type="dxa"/>
          </w:tcPr>
          <w:p w14:paraId="58C5126C"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2018-19</w:t>
            </w:r>
          </w:p>
        </w:tc>
        <w:tc>
          <w:tcPr>
            <w:tcW w:w="2234" w:type="dxa"/>
          </w:tcPr>
          <w:p w14:paraId="1B60AE80"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1699.36</w:t>
            </w:r>
          </w:p>
        </w:tc>
        <w:tc>
          <w:tcPr>
            <w:tcW w:w="2151" w:type="dxa"/>
          </w:tcPr>
          <w:p w14:paraId="6713223D"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7242.73</w:t>
            </w:r>
          </w:p>
        </w:tc>
        <w:tc>
          <w:tcPr>
            <w:tcW w:w="1972" w:type="dxa"/>
          </w:tcPr>
          <w:p w14:paraId="641571C6"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0.23</w:t>
            </w:r>
          </w:p>
        </w:tc>
      </w:tr>
      <w:tr w:rsidR="005B1385" w:rsidRPr="005B1385" w14:paraId="68BD4DAC" w14:textId="77777777" w:rsidTr="005B1385">
        <w:trPr>
          <w:trHeight w:val="313"/>
          <w:jc w:val="center"/>
        </w:trPr>
        <w:tc>
          <w:tcPr>
            <w:tcW w:w="1564" w:type="dxa"/>
          </w:tcPr>
          <w:p w14:paraId="032CEF44"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2019-20</w:t>
            </w:r>
          </w:p>
        </w:tc>
        <w:tc>
          <w:tcPr>
            <w:tcW w:w="2234" w:type="dxa"/>
          </w:tcPr>
          <w:p w14:paraId="6DE3B959"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2450.52</w:t>
            </w:r>
          </w:p>
        </w:tc>
        <w:tc>
          <w:tcPr>
            <w:tcW w:w="2151" w:type="dxa"/>
          </w:tcPr>
          <w:p w14:paraId="544A8DA2"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10404.03</w:t>
            </w:r>
          </w:p>
        </w:tc>
        <w:tc>
          <w:tcPr>
            <w:tcW w:w="1972" w:type="dxa"/>
          </w:tcPr>
          <w:p w14:paraId="4B286BD3"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0.23</w:t>
            </w:r>
          </w:p>
        </w:tc>
      </w:tr>
      <w:tr w:rsidR="005B1385" w:rsidRPr="005B1385" w14:paraId="4A363FE9" w14:textId="77777777" w:rsidTr="005B1385">
        <w:trPr>
          <w:trHeight w:val="324"/>
          <w:jc w:val="center"/>
        </w:trPr>
        <w:tc>
          <w:tcPr>
            <w:tcW w:w="1564" w:type="dxa"/>
          </w:tcPr>
          <w:p w14:paraId="4159BF63"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2020-21</w:t>
            </w:r>
          </w:p>
        </w:tc>
        <w:tc>
          <w:tcPr>
            <w:tcW w:w="2234" w:type="dxa"/>
          </w:tcPr>
          <w:p w14:paraId="2B101521"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2487.71</w:t>
            </w:r>
          </w:p>
        </w:tc>
        <w:tc>
          <w:tcPr>
            <w:tcW w:w="2151" w:type="dxa"/>
          </w:tcPr>
          <w:p w14:paraId="23075680"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7811.53</w:t>
            </w:r>
          </w:p>
        </w:tc>
        <w:tc>
          <w:tcPr>
            <w:tcW w:w="1972" w:type="dxa"/>
          </w:tcPr>
          <w:p w14:paraId="6B8E3939"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0.31</w:t>
            </w:r>
          </w:p>
        </w:tc>
      </w:tr>
      <w:tr w:rsidR="005B1385" w:rsidRPr="005B1385" w14:paraId="08831316" w14:textId="77777777" w:rsidTr="005B1385">
        <w:trPr>
          <w:trHeight w:val="324"/>
          <w:jc w:val="center"/>
        </w:trPr>
        <w:tc>
          <w:tcPr>
            <w:tcW w:w="1564" w:type="dxa"/>
          </w:tcPr>
          <w:p w14:paraId="1E3E9F65"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2021-22</w:t>
            </w:r>
          </w:p>
        </w:tc>
        <w:tc>
          <w:tcPr>
            <w:tcW w:w="2234" w:type="dxa"/>
          </w:tcPr>
          <w:p w14:paraId="63759FAF"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2575.71</w:t>
            </w:r>
          </w:p>
        </w:tc>
        <w:tc>
          <w:tcPr>
            <w:tcW w:w="2151" w:type="dxa"/>
          </w:tcPr>
          <w:p w14:paraId="327BED0B"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5705.36</w:t>
            </w:r>
          </w:p>
        </w:tc>
        <w:tc>
          <w:tcPr>
            <w:tcW w:w="1972" w:type="dxa"/>
          </w:tcPr>
          <w:p w14:paraId="57418B1F"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0.45</w:t>
            </w:r>
          </w:p>
        </w:tc>
      </w:tr>
      <w:tr w:rsidR="005B1385" w:rsidRPr="005B1385" w14:paraId="70C178E0" w14:textId="77777777" w:rsidTr="005B1385">
        <w:trPr>
          <w:trHeight w:val="313"/>
          <w:jc w:val="center"/>
        </w:trPr>
        <w:tc>
          <w:tcPr>
            <w:tcW w:w="1564" w:type="dxa"/>
          </w:tcPr>
          <w:p w14:paraId="277FD8E8"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2022-23</w:t>
            </w:r>
          </w:p>
        </w:tc>
        <w:tc>
          <w:tcPr>
            <w:tcW w:w="2234" w:type="dxa"/>
          </w:tcPr>
          <w:p w14:paraId="6EB112AC"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1014.71</w:t>
            </w:r>
          </w:p>
        </w:tc>
        <w:tc>
          <w:tcPr>
            <w:tcW w:w="2151" w:type="dxa"/>
          </w:tcPr>
          <w:p w14:paraId="1A263AE3"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8049.21</w:t>
            </w:r>
          </w:p>
        </w:tc>
        <w:tc>
          <w:tcPr>
            <w:tcW w:w="1972" w:type="dxa"/>
          </w:tcPr>
          <w:p w14:paraId="47ADC73E" w14:textId="77777777" w:rsidR="005B1385" w:rsidRPr="005B1385" w:rsidRDefault="005B1385" w:rsidP="005B1385">
            <w:pPr>
              <w:spacing w:line="360" w:lineRule="auto"/>
              <w:jc w:val="center"/>
              <w:rPr>
                <w:rFonts w:ascii="Times New Roman" w:hAnsi="Times New Roman" w:cs="Times New Roman"/>
              </w:rPr>
            </w:pPr>
            <w:r w:rsidRPr="005B1385">
              <w:rPr>
                <w:rFonts w:ascii="Times New Roman" w:hAnsi="Times New Roman" w:cs="Times New Roman"/>
              </w:rPr>
              <w:t>0.13</w:t>
            </w:r>
          </w:p>
        </w:tc>
      </w:tr>
    </w:tbl>
    <w:p w14:paraId="493E2E15" w14:textId="77777777" w:rsidR="005B1385" w:rsidRPr="005B1385" w:rsidRDefault="005B1385" w:rsidP="005B1385">
      <w:pPr>
        <w:spacing w:after="0" w:line="360" w:lineRule="auto"/>
        <w:rPr>
          <w:rFonts w:ascii="Times New Roman" w:hAnsi="Times New Roman" w:cs="Times New Roman"/>
          <w:b/>
          <w:sz w:val="20"/>
          <w:szCs w:val="20"/>
        </w:rPr>
      </w:pPr>
      <w:r w:rsidRPr="005B1385">
        <w:rPr>
          <w:rFonts w:ascii="Times New Roman" w:hAnsi="Times New Roman" w:cs="Times New Roman"/>
          <w:b/>
          <w:sz w:val="20"/>
          <w:szCs w:val="20"/>
        </w:rPr>
        <w:t>INTERPRETATION</w:t>
      </w:r>
    </w:p>
    <w:p w14:paraId="717ABA09" w14:textId="77777777" w:rsidR="005B1385" w:rsidRPr="005B1385" w:rsidRDefault="005B1385" w:rsidP="005B1385">
      <w:pPr>
        <w:spacing w:after="0" w:line="360" w:lineRule="auto"/>
        <w:jc w:val="both"/>
        <w:rPr>
          <w:rFonts w:ascii="Times New Roman" w:hAnsi="Times New Roman" w:cs="Times New Roman"/>
          <w:sz w:val="20"/>
          <w:szCs w:val="20"/>
        </w:rPr>
      </w:pPr>
      <w:r w:rsidRPr="005B1385">
        <w:rPr>
          <w:rFonts w:ascii="Times New Roman" w:hAnsi="Times New Roman" w:cs="Times New Roman"/>
          <w:sz w:val="20"/>
          <w:szCs w:val="20"/>
        </w:rPr>
        <w:tab/>
        <w:t xml:space="preserve">The above table shows clearly the proprietary ratio of the bank for the year 2018-19 to 2022-23. The ratio was 0.23, 0.23, 0.31, 0.45, and 0.13. </w:t>
      </w:r>
      <w:proofErr w:type="gramStart"/>
      <w:r w:rsidRPr="005B1385">
        <w:rPr>
          <w:rFonts w:ascii="Times New Roman" w:hAnsi="Times New Roman" w:cs="Times New Roman"/>
          <w:sz w:val="20"/>
          <w:szCs w:val="20"/>
        </w:rPr>
        <w:t>Generally</w:t>
      </w:r>
      <w:proofErr w:type="gramEnd"/>
      <w:r w:rsidRPr="005B1385">
        <w:rPr>
          <w:rFonts w:ascii="Times New Roman" w:hAnsi="Times New Roman" w:cs="Times New Roman"/>
          <w:sz w:val="20"/>
          <w:szCs w:val="20"/>
        </w:rPr>
        <w:t xml:space="preserve"> the accepted norm of proprietary ratio less than 0.5 is loss position. </w:t>
      </w:r>
      <w:proofErr w:type="gramStart"/>
      <w:r w:rsidRPr="005B1385">
        <w:rPr>
          <w:rFonts w:ascii="Times New Roman" w:hAnsi="Times New Roman" w:cs="Times New Roman"/>
          <w:sz w:val="20"/>
          <w:szCs w:val="20"/>
        </w:rPr>
        <w:t>So</w:t>
      </w:r>
      <w:proofErr w:type="gramEnd"/>
      <w:r w:rsidRPr="005B1385">
        <w:rPr>
          <w:rFonts w:ascii="Times New Roman" w:hAnsi="Times New Roman" w:cs="Times New Roman"/>
          <w:sz w:val="20"/>
          <w:szCs w:val="20"/>
        </w:rPr>
        <w:t xml:space="preserve"> the proprietary ratio is below 0.5 for the study period. It measures the proprietary ratio of bank not satisfied.</w:t>
      </w:r>
    </w:p>
    <w:p w14:paraId="0C3FE661" w14:textId="456683D0" w:rsidR="005B1385" w:rsidRDefault="005B1385" w:rsidP="005B1385">
      <w:pPr>
        <w:spacing w:line="360" w:lineRule="auto"/>
        <w:jc w:val="center"/>
        <w:rPr>
          <w:rFonts w:ascii="Times New Roman" w:hAnsi="Times New Roman" w:cs="Times New Roman"/>
          <w:sz w:val="24"/>
          <w:szCs w:val="24"/>
        </w:rPr>
      </w:pPr>
      <w:r>
        <w:rPr>
          <w:noProof/>
          <w:lang w:val="en-IN" w:eastAsia="en-IN"/>
        </w:rPr>
        <w:drawing>
          <wp:inline distT="0" distB="0" distL="114300" distR="114300" wp14:anchorId="08DB9344" wp14:editId="3D299385">
            <wp:extent cx="4572000" cy="2743200"/>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5195D78" w14:textId="77777777" w:rsidR="002E1ACD" w:rsidRDefault="002E1ACD" w:rsidP="002E1ACD">
      <w:pPr>
        <w:spacing w:line="360" w:lineRule="auto"/>
        <w:jc w:val="center"/>
        <w:rPr>
          <w:rFonts w:ascii="Times New Roman" w:hAnsi="Times New Roman" w:cs="Times New Roman"/>
          <w:b/>
          <w:sz w:val="24"/>
          <w:szCs w:val="24"/>
        </w:rPr>
      </w:pPr>
    </w:p>
    <w:p w14:paraId="18D4DF61" w14:textId="77777777" w:rsidR="002E1ACD" w:rsidRDefault="002E1ACD" w:rsidP="002E1ACD">
      <w:pPr>
        <w:spacing w:line="360" w:lineRule="auto"/>
        <w:jc w:val="center"/>
        <w:rPr>
          <w:rFonts w:ascii="Times New Roman" w:hAnsi="Times New Roman" w:cs="Times New Roman"/>
          <w:b/>
          <w:sz w:val="24"/>
          <w:szCs w:val="24"/>
        </w:rPr>
      </w:pPr>
    </w:p>
    <w:p w14:paraId="0864B987" w14:textId="77777777" w:rsidR="002E1ACD" w:rsidRDefault="002E1ACD" w:rsidP="002E1ACD">
      <w:pPr>
        <w:spacing w:line="360" w:lineRule="auto"/>
        <w:jc w:val="center"/>
        <w:rPr>
          <w:rFonts w:ascii="Times New Roman" w:hAnsi="Times New Roman" w:cs="Times New Roman"/>
          <w:b/>
          <w:sz w:val="24"/>
          <w:szCs w:val="24"/>
        </w:rPr>
      </w:pPr>
    </w:p>
    <w:p w14:paraId="1D03FF3D" w14:textId="398A4423" w:rsidR="002E1ACD" w:rsidRPr="002E1ACD" w:rsidRDefault="002E1ACD" w:rsidP="002E1ACD">
      <w:pPr>
        <w:spacing w:after="0" w:line="360" w:lineRule="auto"/>
        <w:rPr>
          <w:rFonts w:ascii="Times New Roman" w:hAnsi="Times New Roman" w:cs="Times New Roman"/>
          <w:b/>
          <w:sz w:val="20"/>
          <w:szCs w:val="20"/>
        </w:rPr>
      </w:pPr>
      <w:r w:rsidRPr="002E1ACD">
        <w:rPr>
          <w:rFonts w:ascii="Times New Roman" w:hAnsi="Times New Roman" w:cs="Times New Roman"/>
          <w:b/>
          <w:sz w:val="20"/>
          <w:szCs w:val="20"/>
        </w:rPr>
        <w:lastRenderedPageBreak/>
        <w:t xml:space="preserve">TREND ANALYSIS </w:t>
      </w:r>
    </w:p>
    <w:tbl>
      <w:tblPr>
        <w:tblStyle w:val="TableGrid"/>
        <w:tblW w:w="9799" w:type="dxa"/>
        <w:tblLook w:val="0000" w:firstRow="0" w:lastRow="0" w:firstColumn="0" w:lastColumn="0" w:noHBand="0" w:noVBand="0"/>
      </w:tblPr>
      <w:tblGrid>
        <w:gridCol w:w="1322"/>
        <w:gridCol w:w="1310"/>
        <w:gridCol w:w="1326"/>
        <w:gridCol w:w="1554"/>
        <w:gridCol w:w="1529"/>
        <w:gridCol w:w="1389"/>
        <w:gridCol w:w="1369"/>
      </w:tblGrid>
      <w:tr w:rsidR="002E1ACD" w14:paraId="26A7EB0E" w14:textId="77777777" w:rsidTr="002E1ACD">
        <w:trPr>
          <w:trHeight w:val="882"/>
        </w:trPr>
        <w:tc>
          <w:tcPr>
            <w:tcW w:w="3958" w:type="dxa"/>
            <w:gridSpan w:val="3"/>
            <w:vAlign w:val="center"/>
          </w:tcPr>
          <w:p w14:paraId="3D63874D" w14:textId="6B3FC82A"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CURRENT ASSETS</w:t>
            </w:r>
          </w:p>
        </w:tc>
        <w:tc>
          <w:tcPr>
            <w:tcW w:w="3083" w:type="dxa"/>
            <w:gridSpan w:val="2"/>
            <w:vAlign w:val="center"/>
          </w:tcPr>
          <w:p w14:paraId="2E4A5B08" w14:textId="08EEDDE2"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CURRENT LIABILITIES</w:t>
            </w:r>
          </w:p>
        </w:tc>
        <w:tc>
          <w:tcPr>
            <w:tcW w:w="2758" w:type="dxa"/>
            <w:gridSpan w:val="2"/>
            <w:vAlign w:val="center"/>
          </w:tcPr>
          <w:p w14:paraId="75931560" w14:textId="4EC2ECDC"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WORKING CAPITAL</w:t>
            </w:r>
          </w:p>
        </w:tc>
      </w:tr>
      <w:tr w:rsidR="002E1ACD" w14:paraId="5D06D6C0" w14:textId="77777777" w:rsidTr="002E1ACD">
        <w:tblPrEx>
          <w:tblLook w:val="04A0" w:firstRow="1" w:lastRow="0" w:firstColumn="1" w:lastColumn="0" w:noHBand="0" w:noVBand="1"/>
        </w:tblPrEx>
        <w:trPr>
          <w:trHeight w:val="851"/>
        </w:trPr>
        <w:tc>
          <w:tcPr>
            <w:tcW w:w="1322" w:type="dxa"/>
            <w:vAlign w:val="center"/>
          </w:tcPr>
          <w:p w14:paraId="12F13036"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YEAR</w:t>
            </w:r>
          </w:p>
        </w:tc>
        <w:tc>
          <w:tcPr>
            <w:tcW w:w="1310" w:type="dxa"/>
            <w:vAlign w:val="center"/>
          </w:tcPr>
          <w:p w14:paraId="49D33CF7"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AMOUNT</w:t>
            </w:r>
          </w:p>
          <w:p w14:paraId="47D6B628"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RS.</w:t>
            </w:r>
          </w:p>
        </w:tc>
        <w:tc>
          <w:tcPr>
            <w:tcW w:w="1326" w:type="dxa"/>
            <w:vAlign w:val="center"/>
          </w:tcPr>
          <w:p w14:paraId="131701FD"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TREND %</w:t>
            </w:r>
          </w:p>
        </w:tc>
        <w:tc>
          <w:tcPr>
            <w:tcW w:w="1554" w:type="dxa"/>
            <w:vAlign w:val="center"/>
          </w:tcPr>
          <w:p w14:paraId="74B3F823"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AMOUNT</w:t>
            </w:r>
          </w:p>
          <w:p w14:paraId="37433D84"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RS.</w:t>
            </w:r>
          </w:p>
        </w:tc>
        <w:tc>
          <w:tcPr>
            <w:tcW w:w="1529" w:type="dxa"/>
            <w:vAlign w:val="center"/>
          </w:tcPr>
          <w:p w14:paraId="299BD2E3"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TREND</w:t>
            </w:r>
          </w:p>
          <w:p w14:paraId="59F61173"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w:t>
            </w:r>
          </w:p>
        </w:tc>
        <w:tc>
          <w:tcPr>
            <w:tcW w:w="1389" w:type="dxa"/>
            <w:vAlign w:val="center"/>
          </w:tcPr>
          <w:p w14:paraId="50085174"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AMOUNT</w:t>
            </w:r>
          </w:p>
          <w:p w14:paraId="6A299F76"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RS.</w:t>
            </w:r>
          </w:p>
        </w:tc>
        <w:tc>
          <w:tcPr>
            <w:tcW w:w="1369" w:type="dxa"/>
            <w:vAlign w:val="center"/>
          </w:tcPr>
          <w:p w14:paraId="59D76747"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TREND</w:t>
            </w:r>
          </w:p>
          <w:p w14:paraId="37A200D6"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w:t>
            </w:r>
          </w:p>
        </w:tc>
      </w:tr>
      <w:tr w:rsidR="002E1ACD" w14:paraId="43161956" w14:textId="77777777" w:rsidTr="002E1ACD">
        <w:tblPrEx>
          <w:tblLook w:val="04A0" w:firstRow="1" w:lastRow="0" w:firstColumn="1" w:lastColumn="0" w:noHBand="0" w:noVBand="1"/>
        </w:tblPrEx>
        <w:trPr>
          <w:trHeight w:val="400"/>
        </w:trPr>
        <w:tc>
          <w:tcPr>
            <w:tcW w:w="1322" w:type="dxa"/>
            <w:vAlign w:val="center"/>
          </w:tcPr>
          <w:p w14:paraId="6A6968C0"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2018-19</w:t>
            </w:r>
          </w:p>
        </w:tc>
        <w:tc>
          <w:tcPr>
            <w:tcW w:w="1310" w:type="dxa"/>
            <w:vAlign w:val="center"/>
          </w:tcPr>
          <w:p w14:paraId="68E48841" w14:textId="77777777" w:rsidR="002E1ACD" w:rsidRPr="002E1ACD" w:rsidRDefault="002E1ACD" w:rsidP="002E1ACD">
            <w:pPr>
              <w:jc w:val="center"/>
              <w:rPr>
                <w:rFonts w:ascii="Times New Roman" w:hAnsi="Times New Roman" w:cs="Times New Roman"/>
              </w:rPr>
            </w:pPr>
            <w:r w:rsidRPr="002E1ACD">
              <w:rPr>
                <w:rFonts w:ascii="Times New Roman" w:hAnsi="Times New Roman" w:cs="Times New Roman"/>
              </w:rPr>
              <w:t>134669.94</w:t>
            </w:r>
          </w:p>
        </w:tc>
        <w:tc>
          <w:tcPr>
            <w:tcW w:w="1326" w:type="dxa"/>
            <w:vAlign w:val="center"/>
          </w:tcPr>
          <w:p w14:paraId="224C2525"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100</w:t>
            </w:r>
          </w:p>
        </w:tc>
        <w:tc>
          <w:tcPr>
            <w:tcW w:w="1554" w:type="dxa"/>
            <w:vAlign w:val="center"/>
          </w:tcPr>
          <w:p w14:paraId="5E39B5C3" w14:textId="77777777" w:rsidR="002E1ACD" w:rsidRPr="002E1ACD" w:rsidRDefault="002E1ACD" w:rsidP="002E1ACD">
            <w:pPr>
              <w:jc w:val="center"/>
              <w:rPr>
                <w:rFonts w:ascii="Times New Roman" w:hAnsi="Times New Roman" w:cs="Times New Roman"/>
              </w:rPr>
            </w:pPr>
            <w:r w:rsidRPr="002E1ACD">
              <w:rPr>
                <w:rFonts w:ascii="Times New Roman" w:hAnsi="Times New Roman" w:cs="Times New Roman"/>
              </w:rPr>
              <w:t>122415.55</w:t>
            </w:r>
          </w:p>
        </w:tc>
        <w:tc>
          <w:tcPr>
            <w:tcW w:w="1529" w:type="dxa"/>
            <w:vAlign w:val="center"/>
          </w:tcPr>
          <w:p w14:paraId="66FED1F4"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100</w:t>
            </w:r>
          </w:p>
        </w:tc>
        <w:tc>
          <w:tcPr>
            <w:tcW w:w="1389" w:type="dxa"/>
            <w:vAlign w:val="center"/>
          </w:tcPr>
          <w:p w14:paraId="58C96EDB" w14:textId="77777777" w:rsidR="002E1ACD" w:rsidRPr="002E1ACD" w:rsidRDefault="002E1ACD" w:rsidP="002E1ACD">
            <w:pPr>
              <w:jc w:val="center"/>
              <w:rPr>
                <w:rFonts w:ascii="Times New Roman" w:hAnsi="Times New Roman" w:cs="Times New Roman"/>
              </w:rPr>
            </w:pPr>
            <w:r w:rsidRPr="002E1ACD">
              <w:rPr>
                <w:rFonts w:ascii="Times New Roman" w:hAnsi="Times New Roman" w:cs="Times New Roman"/>
              </w:rPr>
              <w:t>12254.39</w:t>
            </w:r>
          </w:p>
        </w:tc>
        <w:tc>
          <w:tcPr>
            <w:tcW w:w="1369" w:type="dxa"/>
            <w:vAlign w:val="center"/>
          </w:tcPr>
          <w:p w14:paraId="42AEB302"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100</w:t>
            </w:r>
          </w:p>
        </w:tc>
      </w:tr>
      <w:tr w:rsidR="002E1ACD" w14:paraId="09DE6735" w14:textId="77777777" w:rsidTr="002E1ACD">
        <w:tblPrEx>
          <w:tblLook w:val="04A0" w:firstRow="1" w:lastRow="0" w:firstColumn="1" w:lastColumn="0" w:noHBand="0" w:noVBand="1"/>
        </w:tblPrEx>
        <w:trPr>
          <w:trHeight w:val="418"/>
        </w:trPr>
        <w:tc>
          <w:tcPr>
            <w:tcW w:w="1322" w:type="dxa"/>
            <w:vAlign w:val="center"/>
          </w:tcPr>
          <w:p w14:paraId="41D6C844"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2019-20</w:t>
            </w:r>
          </w:p>
        </w:tc>
        <w:tc>
          <w:tcPr>
            <w:tcW w:w="1310" w:type="dxa"/>
            <w:vAlign w:val="center"/>
          </w:tcPr>
          <w:p w14:paraId="67CDB23E" w14:textId="77777777" w:rsidR="002E1ACD" w:rsidRPr="002E1ACD" w:rsidRDefault="002E1ACD" w:rsidP="002E1ACD">
            <w:pPr>
              <w:jc w:val="center"/>
              <w:rPr>
                <w:rFonts w:ascii="Times New Roman" w:hAnsi="Times New Roman" w:cs="Times New Roman"/>
              </w:rPr>
            </w:pPr>
            <w:r w:rsidRPr="002E1ACD">
              <w:rPr>
                <w:rFonts w:ascii="Times New Roman" w:hAnsi="Times New Roman" w:cs="Times New Roman"/>
              </w:rPr>
              <w:t>153916.62</w:t>
            </w:r>
          </w:p>
        </w:tc>
        <w:tc>
          <w:tcPr>
            <w:tcW w:w="1326" w:type="dxa"/>
            <w:vAlign w:val="center"/>
          </w:tcPr>
          <w:p w14:paraId="593BD0AF"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114.29</w:t>
            </w:r>
          </w:p>
        </w:tc>
        <w:tc>
          <w:tcPr>
            <w:tcW w:w="1554" w:type="dxa"/>
            <w:vAlign w:val="center"/>
          </w:tcPr>
          <w:p w14:paraId="66C1B372" w14:textId="77777777" w:rsidR="002E1ACD" w:rsidRPr="002E1ACD" w:rsidRDefault="002E1ACD" w:rsidP="002E1ACD">
            <w:pPr>
              <w:jc w:val="center"/>
              <w:rPr>
                <w:rFonts w:ascii="Times New Roman" w:hAnsi="Times New Roman" w:cs="Times New Roman"/>
              </w:rPr>
            </w:pPr>
            <w:r w:rsidRPr="002E1ACD">
              <w:rPr>
                <w:rFonts w:ascii="Times New Roman" w:hAnsi="Times New Roman" w:cs="Times New Roman"/>
              </w:rPr>
              <w:t>145277.60</w:t>
            </w:r>
          </w:p>
        </w:tc>
        <w:tc>
          <w:tcPr>
            <w:tcW w:w="1529" w:type="dxa"/>
            <w:vAlign w:val="center"/>
          </w:tcPr>
          <w:p w14:paraId="300E0F81"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118.67</w:t>
            </w:r>
          </w:p>
        </w:tc>
        <w:tc>
          <w:tcPr>
            <w:tcW w:w="1389" w:type="dxa"/>
            <w:vAlign w:val="center"/>
          </w:tcPr>
          <w:p w14:paraId="2675A1B4" w14:textId="77777777" w:rsidR="002E1ACD" w:rsidRPr="002E1ACD" w:rsidRDefault="002E1ACD" w:rsidP="002E1ACD">
            <w:pPr>
              <w:jc w:val="center"/>
              <w:rPr>
                <w:rFonts w:ascii="Times New Roman" w:hAnsi="Times New Roman" w:cs="Times New Roman"/>
              </w:rPr>
            </w:pPr>
            <w:r w:rsidRPr="002E1ACD">
              <w:rPr>
                <w:rFonts w:ascii="Times New Roman" w:hAnsi="Times New Roman" w:cs="Times New Roman"/>
              </w:rPr>
              <w:t>8639.02</w:t>
            </w:r>
          </w:p>
        </w:tc>
        <w:tc>
          <w:tcPr>
            <w:tcW w:w="1369" w:type="dxa"/>
            <w:vAlign w:val="center"/>
          </w:tcPr>
          <w:p w14:paraId="09C94811"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70.49</w:t>
            </w:r>
          </w:p>
        </w:tc>
      </w:tr>
      <w:tr w:rsidR="002E1ACD" w14:paraId="6BD613A0" w14:textId="77777777" w:rsidTr="002E1ACD">
        <w:tblPrEx>
          <w:tblLook w:val="04A0" w:firstRow="1" w:lastRow="0" w:firstColumn="1" w:lastColumn="0" w:noHBand="0" w:noVBand="1"/>
        </w:tblPrEx>
        <w:trPr>
          <w:trHeight w:val="418"/>
        </w:trPr>
        <w:tc>
          <w:tcPr>
            <w:tcW w:w="1322" w:type="dxa"/>
            <w:vAlign w:val="center"/>
          </w:tcPr>
          <w:p w14:paraId="342A041E"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2020-21</w:t>
            </w:r>
          </w:p>
        </w:tc>
        <w:tc>
          <w:tcPr>
            <w:tcW w:w="1310" w:type="dxa"/>
            <w:vAlign w:val="center"/>
          </w:tcPr>
          <w:p w14:paraId="4AECBEA7" w14:textId="77777777" w:rsidR="002E1ACD" w:rsidRPr="002E1ACD" w:rsidRDefault="002E1ACD" w:rsidP="002E1ACD">
            <w:pPr>
              <w:jc w:val="center"/>
              <w:rPr>
                <w:rFonts w:ascii="Times New Roman" w:hAnsi="Times New Roman" w:cs="Times New Roman"/>
              </w:rPr>
            </w:pPr>
            <w:r w:rsidRPr="002E1ACD">
              <w:rPr>
                <w:rFonts w:ascii="Times New Roman" w:hAnsi="Times New Roman" w:cs="Times New Roman"/>
              </w:rPr>
              <w:t>170793.28</w:t>
            </w:r>
          </w:p>
        </w:tc>
        <w:tc>
          <w:tcPr>
            <w:tcW w:w="1326" w:type="dxa"/>
            <w:vAlign w:val="center"/>
          </w:tcPr>
          <w:p w14:paraId="775AD8A4"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126.82</w:t>
            </w:r>
          </w:p>
        </w:tc>
        <w:tc>
          <w:tcPr>
            <w:tcW w:w="1554" w:type="dxa"/>
            <w:vAlign w:val="center"/>
          </w:tcPr>
          <w:p w14:paraId="733612D2" w14:textId="77777777" w:rsidR="002E1ACD" w:rsidRPr="002E1ACD" w:rsidRDefault="002E1ACD" w:rsidP="002E1ACD">
            <w:pPr>
              <w:jc w:val="center"/>
              <w:rPr>
                <w:rFonts w:ascii="Times New Roman" w:hAnsi="Times New Roman" w:cs="Times New Roman"/>
              </w:rPr>
            </w:pPr>
            <w:r w:rsidRPr="002E1ACD">
              <w:rPr>
                <w:rFonts w:ascii="Times New Roman" w:hAnsi="Times New Roman" w:cs="Times New Roman"/>
              </w:rPr>
              <w:t>154003.49</w:t>
            </w:r>
          </w:p>
        </w:tc>
        <w:tc>
          <w:tcPr>
            <w:tcW w:w="1529" w:type="dxa"/>
            <w:vAlign w:val="center"/>
          </w:tcPr>
          <w:p w14:paraId="7C7CFD3E"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125.80</w:t>
            </w:r>
          </w:p>
        </w:tc>
        <w:tc>
          <w:tcPr>
            <w:tcW w:w="1389" w:type="dxa"/>
            <w:vAlign w:val="center"/>
          </w:tcPr>
          <w:p w14:paraId="620C3692" w14:textId="270591E2" w:rsidR="002E1ACD" w:rsidRPr="002E1ACD" w:rsidRDefault="002E1ACD" w:rsidP="002E1ACD">
            <w:pPr>
              <w:jc w:val="center"/>
              <w:rPr>
                <w:rFonts w:ascii="Times New Roman" w:hAnsi="Times New Roman" w:cs="Times New Roman"/>
              </w:rPr>
            </w:pPr>
            <w:r w:rsidRPr="002E1ACD">
              <w:rPr>
                <w:rFonts w:ascii="Times New Roman" w:hAnsi="Times New Roman" w:cs="Times New Roman"/>
              </w:rPr>
              <w:t>16789.79</w:t>
            </w:r>
          </w:p>
        </w:tc>
        <w:tc>
          <w:tcPr>
            <w:tcW w:w="1369" w:type="dxa"/>
            <w:vAlign w:val="center"/>
          </w:tcPr>
          <w:p w14:paraId="09967368"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137.01</w:t>
            </w:r>
          </w:p>
        </w:tc>
      </w:tr>
      <w:tr w:rsidR="002E1ACD" w14:paraId="45C0B2DC" w14:textId="77777777" w:rsidTr="002E1ACD">
        <w:tblPrEx>
          <w:tblLook w:val="04A0" w:firstRow="1" w:lastRow="0" w:firstColumn="1" w:lastColumn="0" w:noHBand="0" w:noVBand="1"/>
        </w:tblPrEx>
        <w:trPr>
          <w:trHeight w:val="418"/>
        </w:trPr>
        <w:tc>
          <w:tcPr>
            <w:tcW w:w="1322" w:type="dxa"/>
            <w:vAlign w:val="center"/>
          </w:tcPr>
          <w:p w14:paraId="0EBBDFD5"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2021-22</w:t>
            </w:r>
          </w:p>
        </w:tc>
        <w:tc>
          <w:tcPr>
            <w:tcW w:w="1310" w:type="dxa"/>
            <w:vAlign w:val="center"/>
          </w:tcPr>
          <w:p w14:paraId="5886A7D9" w14:textId="77777777" w:rsidR="002E1ACD" w:rsidRPr="002E1ACD" w:rsidRDefault="002E1ACD" w:rsidP="002E1ACD">
            <w:pPr>
              <w:jc w:val="center"/>
              <w:rPr>
                <w:rFonts w:ascii="Times New Roman" w:hAnsi="Times New Roman" w:cs="Times New Roman"/>
              </w:rPr>
            </w:pPr>
            <w:r w:rsidRPr="002E1ACD">
              <w:rPr>
                <w:rFonts w:ascii="Times New Roman" w:hAnsi="Times New Roman" w:cs="Times New Roman"/>
              </w:rPr>
              <w:t>187111.73</w:t>
            </w:r>
          </w:p>
        </w:tc>
        <w:tc>
          <w:tcPr>
            <w:tcW w:w="1326" w:type="dxa"/>
            <w:vAlign w:val="center"/>
          </w:tcPr>
          <w:p w14:paraId="40E215E2"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138.94</w:t>
            </w:r>
          </w:p>
        </w:tc>
        <w:tc>
          <w:tcPr>
            <w:tcW w:w="1554" w:type="dxa"/>
            <w:vAlign w:val="center"/>
          </w:tcPr>
          <w:p w14:paraId="3C6E6814" w14:textId="77777777" w:rsidR="002E1ACD" w:rsidRPr="002E1ACD" w:rsidRDefault="002E1ACD" w:rsidP="002E1ACD">
            <w:pPr>
              <w:jc w:val="center"/>
              <w:rPr>
                <w:rFonts w:ascii="Times New Roman" w:hAnsi="Times New Roman" w:cs="Times New Roman"/>
              </w:rPr>
            </w:pPr>
            <w:r w:rsidRPr="002E1ACD">
              <w:rPr>
                <w:rFonts w:ascii="Times New Roman" w:hAnsi="Times New Roman" w:cs="Times New Roman"/>
              </w:rPr>
              <w:t>173431.05</w:t>
            </w:r>
          </w:p>
        </w:tc>
        <w:tc>
          <w:tcPr>
            <w:tcW w:w="1529" w:type="dxa"/>
            <w:vAlign w:val="center"/>
          </w:tcPr>
          <w:p w14:paraId="729B8D19"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141.67</w:t>
            </w:r>
          </w:p>
        </w:tc>
        <w:tc>
          <w:tcPr>
            <w:tcW w:w="1389" w:type="dxa"/>
            <w:vAlign w:val="center"/>
          </w:tcPr>
          <w:p w14:paraId="5480DD02" w14:textId="77777777" w:rsidR="002E1ACD" w:rsidRPr="002E1ACD" w:rsidRDefault="002E1ACD" w:rsidP="002E1ACD">
            <w:pPr>
              <w:jc w:val="center"/>
              <w:rPr>
                <w:rFonts w:ascii="Times New Roman" w:hAnsi="Times New Roman" w:cs="Times New Roman"/>
              </w:rPr>
            </w:pPr>
            <w:r w:rsidRPr="002E1ACD">
              <w:rPr>
                <w:rFonts w:ascii="Times New Roman" w:hAnsi="Times New Roman" w:cs="Times New Roman"/>
              </w:rPr>
              <w:t>13680.68</w:t>
            </w:r>
          </w:p>
        </w:tc>
        <w:tc>
          <w:tcPr>
            <w:tcW w:w="1369" w:type="dxa"/>
            <w:vAlign w:val="center"/>
          </w:tcPr>
          <w:p w14:paraId="6EAB8957"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111.63</w:t>
            </w:r>
          </w:p>
        </w:tc>
      </w:tr>
      <w:tr w:rsidR="002E1ACD" w14:paraId="088703DE" w14:textId="77777777" w:rsidTr="002E1ACD">
        <w:tblPrEx>
          <w:tblLook w:val="04A0" w:firstRow="1" w:lastRow="0" w:firstColumn="1" w:lastColumn="0" w:noHBand="0" w:noVBand="1"/>
        </w:tblPrEx>
        <w:trPr>
          <w:trHeight w:val="433"/>
        </w:trPr>
        <w:tc>
          <w:tcPr>
            <w:tcW w:w="1322" w:type="dxa"/>
            <w:vAlign w:val="center"/>
          </w:tcPr>
          <w:p w14:paraId="0C9A7D43"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2022-23</w:t>
            </w:r>
          </w:p>
        </w:tc>
        <w:tc>
          <w:tcPr>
            <w:tcW w:w="1310" w:type="dxa"/>
            <w:vAlign w:val="center"/>
          </w:tcPr>
          <w:p w14:paraId="1DC436ED" w14:textId="77777777" w:rsidR="002E1ACD" w:rsidRPr="002E1ACD" w:rsidRDefault="002E1ACD" w:rsidP="002E1ACD">
            <w:pPr>
              <w:jc w:val="center"/>
              <w:rPr>
                <w:rFonts w:ascii="Times New Roman" w:hAnsi="Times New Roman" w:cs="Times New Roman"/>
              </w:rPr>
            </w:pPr>
            <w:r w:rsidRPr="002E1ACD">
              <w:rPr>
                <w:rFonts w:ascii="Times New Roman" w:hAnsi="Times New Roman" w:cs="Times New Roman"/>
              </w:rPr>
              <w:t>226103.39</w:t>
            </w:r>
          </w:p>
        </w:tc>
        <w:tc>
          <w:tcPr>
            <w:tcW w:w="1326" w:type="dxa"/>
            <w:vAlign w:val="center"/>
          </w:tcPr>
          <w:p w14:paraId="0B7BF5CC"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167.89</w:t>
            </w:r>
          </w:p>
        </w:tc>
        <w:tc>
          <w:tcPr>
            <w:tcW w:w="1554" w:type="dxa"/>
            <w:vAlign w:val="center"/>
          </w:tcPr>
          <w:p w14:paraId="2D914277" w14:textId="77777777" w:rsidR="002E1ACD" w:rsidRPr="002E1ACD" w:rsidRDefault="002E1ACD" w:rsidP="002E1ACD">
            <w:pPr>
              <w:jc w:val="center"/>
              <w:rPr>
                <w:rFonts w:ascii="Times New Roman" w:hAnsi="Times New Roman" w:cs="Times New Roman"/>
              </w:rPr>
            </w:pPr>
            <w:r w:rsidRPr="002E1ACD">
              <w:rPr>
                <w:rFonts w:ascii="Times New Roman" w:hAnsi="Times New Roman" w:cs="Times New Roman"/>
              </w:rPr>
              <w:t>199533.55</w:t>
            </w:r>
          </w:p>
        </w:tc>
        <w:tc>
          <w:tcPr>
            <w:tcW w:w="1529" w:type="dxa"/>
            <w:vAlign w:val="center"/>
          </w:tcPr>
          <w:p w14:paraId="38AFA147"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162.99</w:t>
            </w:r>
          </w:p>
        </w:tc>
        <w:tc>
          <w:tcPr>
            <w:tcW w:w="1389" w:type="dxa"/>
            <w:vAlign w:val="center"/>
          </w:tcPr>
          <w:p w14:paraId="44CAF6A9" w14:textId="77777777" w:rsidR="002E1ACD" w:rsidRPr="002E1ACD" w:rsidRDefault="002E1ACD" w:rsidP="002E1ACD">
            <w:pPr>
              <w:jc w:val="center"/>
              <w:rPr>
                <w:rFonts w:ascii="Times New Roman" w:hAnsi="Times New Roman" w:cs="Times New Roman"/>
              </w:rPr>
            </w:pPr>
            <w:r w:rsidRPr="002E1ACD">
              <w:rPr>
                <w:rFonts w:ascii="Times New Roman" w:hAnsi="Times New Roman" w:cs="Times New Roman"/>
              </w:rPr>
              <w:t>26569.84</w:t>
            </w:r>
          </w:p>
        </w:tc>
        <w:tc>
          <w:tcPr>
            <w:tcW w:w="1369" w:type="dxa"/>
            <w:vAlign w:val="center"/>
          </w:tcPr>
          <w:p w14:paraId="39659161" w14:textId="77777777" w:rsidR="002E1ACD" w:rsidRPr="002E1ACD" w:rsidRDefault="002E1ACD" w:rsidP="002E1ACD">
            <w:pPr>
              <w:jc w:val="center"/>
              <w:rPr>
                <w:rFonts w:ascii="Times New Roman" w:hAnsi="Times New Roman" w:cs="Times New Roman"/>
                <w:b/>
              </w:rPr>
            </w:pPr>
            <w:r w:rsidRPr="002E1ACD">
              <w:rPr>
                <w:rFonts w:ascii="Times New Roman" w:hAnsi="Times New Roman" w:cs="Times New Roman"/>
                <w:b/>
              </w:rPr>
              <w:t>216.81</w:t>
            </w:r>
          </w:p>
        </w:tc>
      </w:tr>
    </w:tbl>
    <w:p w14:paraId="6AD58466" w14:textId="77777777" w:rsidR="002E1ACD" w:rsidRPr="002E1ACD" w:rsidRDefault="002E1ACD" w:rsidP="002E1ACD">
      <w:pPr>
        <w:spacing w:after="0" w:line="360" w:lineRule="auto"/>
        <w:jc w:val="both"/>
        <w:outlineLvl w:val="0"/>
        <w:rPr>
          <w:rFonts w:ascii="Times New Roman" w:hAnsi="Times New Roman" w:cs="Times New Roman"/>
          <w:b/>
          <w:sz w:val="20"/>
          <w:szCs w:val="20"/>
        </w:rPr>
      </w:pPr>
      <w:r w:rsidRPr="002E1ACD">
        <w:rPr>
          <w:rFonts w:ascii="Times New Roman" w:hAnsi="Times New Roman" w:cs="Times New Roman"/>
          <w:b/>
          <w:sz w:val="20"/>
          <w:szCs w:val="20"/>
        </w:rPr>
        <w:t>INTERPRETATION</w:t>
      </w:r>
    </w:p>
    <w:p w14:paraId="1C451AF1" w14:textId="77777777" w:rsidR="002E1ACD" w:rsidRPr="002E1ACD" w:rsidRDefault="002E1ACD" w:rsidP="002E1ACD">
      <w:pPr>
        <w:spacing w:after="0" w:line="360" w:lineRule="auto"/>
        <w:jc w:val="both"/>
        <w:rPr>
          <w:rFonts w:ascii="Times New Roman" w:hAnsi="Times New Roman" w:cs="Times New Roman"/>
          <w:b/>
          <w:sz w:val="20"/>
          <w:szCs w:val="20"/>
        </w:rPr>
      </w:pPr>
      <w:r w:rsidRPr="002E1ACD">
        <w:rPr>
          <w:rFonts w:ascii="Times New Roman" w:hAnsi="Times New Roman" w:cs="Times New Roman"/>
          <w:sz w:val="20"/>
          <w:szCs w:val="20"/>
        </w:rPr>
        <w:tab/>
        <w:t xml:space="preserve">The sales, Net profit and Total expenses percentage was above 100% in the year of 2022-23. The company Current Assets is 167.89% in 2022-23. Current Liabilities trend percentage is 162.99 and the working capital percentage is 216.81% in the year 2022-23. </w:t>
      </w:r>
    </w:p>
    <w:p w14:paraId="222759F5" w14:textId="441F9D8C" w:rsidR="002E1ACD" w:rsidRDefault="00E730D6" w:rsidP="00E730D6">
      <w:pPr>
        <w:spacing w:line="360" w:lineRule="auto"/>
        <w:jc w:val="center"/>
        <w:rPr>
          <w:rFonts w:ascii="Times New Roman" w:hAnsi="Times New Roman" w:cs="Times New Roman"/>
          <w:b/>
          <w:sz w:val="24"/>
          <w:szCs w:val="24"/>
        </w:rPr>
      </w:pPr>
      <w:r>
        <w:rPr>
          <w:noProof/>
          <w:lang w:val="en-IN" w:eastAsia="en-IN"/>
        </w:rPr>
        <w:drawing>
          <wp:inline distT="0" distB="0" distL="114300" distR="114300" wp14:anchorId="0BEBD323" wp14:editId="58FA7B3A">
            <wp:extent cx="4572000" cy="2743200"/>
            <wp:effectExtent l="0" t="0" r="0" b="0"/>
            <wp:docPr id="106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249565" w14:textId="5FA1ED99" w:rsidR="00A178B8" w:rsidRPr="00A178B8" w:rsidRDefault="00A178B8" w:rsidP="00A178B8">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A178B8">
        <w:rPr>
          <w:rFonts w:ascii="Times New Roman" w:hAnsi="Times New Roman" w:cs="Times New Roman"/>
          <w:b/>
          <w:bCs/>
          <w:color w:val="000000" w:themeColor="text1"/>
          <w:sz w:val="24"/>
          <w:szCs w:val="24"/>
        </w:rPr>
        <w:t>FINDINGS</w:t>
      </w:r>
    </w:p>
    <w:p w14:paraId="608C6241" w14:textId="3F6EEA70" w:rsidR="00A178B8" w:rsidRPr="00A178B8" w:rsidRDefault="00A178B8" w:rsidP="00A178B8">
      <w:pPr>
        <w:pStyle w:val="ListParagraph"/>
        <w:numPr>
          <w:ilvl w:val="0"/>
          <w:numId w:val="23"/>
        </w:numPr>
        <w:spacing w:after="0" w:line="360" w:lineRule="auto"/>
        <w:jc w:val="both"/>
        <w:rPr>
          <w:sz w:val="20"/>
          <w:szCs w:val="20"/>
        </w:rPr>
      </w:pPr>
      <w:r w:rsidRPr="00A178B8">
        <w:rPr>
          <w:rFonts w:ascii="Times New Roman" w:hAnsi="Times New Roman" w:cs="Times New Roman"/>
          <w:sz w:val="20"/>
          <w:szCs w:val="20"/>
        </w:rPr>
        <w:t xml:space="preserve">The current ratio of the bank for the year 2018-19 to 2022-23. The ratio was 1.10, 1.06, 1.10, 1.07, and 1.13. </w:t>
      </w:r>
      <w:proofErr w:type="gramStart"/>
      <w:r w:rsidRPr="00A178B8">
        <w:rPr>
          <w:rFonts w:ascii="Times New Roman" w:hAnsi="Times New Roman" w:cs="Times New Roman"/>
          <w:sz w:val="20"/>
          <w:szCs w:val="20"/>
        </w:rPr>
        <w:t>Generally</w:t>
      </w:r>
      <w:proofErr w:type="gramEnd"/>
      <w:r w:rsidRPr="00A178B8">
        <w:rPr>
          <w:rFonts w:ascii="Times New Roman" w:hAnsi="Times New Roman" w:cs="Times New Roman"/>
          <w:sz w:val="20"/>
          <w:szCs w:val="20"/>
        </w:rPr>
        <w:t xml:space="preserve"> the accepted norm 2:1 but current ratio was below. It measures the current ratio of bank not satisfied</w:t>
      </w:r>
    </w:p>
    <w:p w14:paraId="04A24E74" w14:textId="77777777" w:rsidR="00A178B8" w:rsidRPr="00A178B8" w:rsidRDefault="00A178B8" w:rsidP="00A178B8">
      <w:pPr>
        <w:pStyle w:val="ListParagraph"/>
        <w:numPr>
          <w:ilvl w:val="0"/>
          <w:numId w:val="23"/>
        </w:numPr>
        <w:spacing w:after="0" w:line="360" w:lineRule="auto"/>
        <w:jc w:val="both"/>
        <w:rPr>
          <w:sz w:val="20"/>
          <w:szCs w:val="20"/>
        </w:rPr>
      </w:pPr>
      <w:r w:rsidRPr="00A178B8">
        <w:rPr>
          <w:rFonts w:ascii="Times New Roman" w:hAnsi="Times New Roman" w:cs="Times New Roman"/>
          <w:sz w:val="20"/>
          <w:szCs w:val="20"/>
        </w:rPr>
        <w:t xml:space="preserve">The proprietary ratio of the bank for the year 2018-19 to 2022-23. The ratio was 0.23, 0.23, 0.31, 0.45, and 0.13. </w:t>
      </w:r>
      <w:proofErr w:type="gramStart"/>
      <w:r w:rsidRPr="00A178B8">
        <w:rPr>
          <w:rFonts w:ascii="Times New Roman" w:hAnsi="Times New Roman" w:cs="Times New Roman"/>
          <w:sz w:val="20"/>
          <w:szCs w:val="20"/>
        </w:rPr>
        <w:t>Generally</w:t>
      </w:r>
      <w:proofErr w:type="gramEnd"/>
      <w:r w:rsidRPr="00A178B8">
        <w:rPr>
          <w:rFonts w:ascii="Times New Roman" w:hAnsi="Times New Roman" w:cs="Times New Roman"/>
          <w:sz w:val="20"/>
          <w:szCs w:val="20"/>
        </w:rPr>
        <w:t xml:space="preserve"> the accepted norm of proprietary ratio less than 0.5 is loss position. </w:t>
      </w:r>
      <w:proofErr w:type="gramStart"/>
      <w:r w:rsidRPr="00A178B8">
        <w:rPr>
          <w:rFonts w:ascii="Times New Roman" w:hAnsi="Times New Roman" w:cs="Times New Roman"/>
          <w:sz w:val="20"/>
          <w:szCs w:val="20"/>
        </w:rPr>
        <w:t>So</w:t>
      </w:r>
      <w:proofErr w:type="gramEnd"/>
      <w:r w:rsidRPr="00A178B8">
        <w:rPr>
          <w:rFonts w:ascii="Times New Roman" w:hAnsi="Times New Roman" w:cs="Times New Roman"/>
          <w:sz w:val="20"/>
          <w:szCs w:val="20"/>
        </w:rPr>
        <w:t xml:space="preserve"> the proprietary ratio is below 0.5 for the study period. It measures the proprietary ratio of bank not satisfied</w:t>
      </w:r>
    </w:p>
    <w:p w14:paraId="61A87D26" w14:textId="77777777" w:rsidR="00A178B8" w:rsidRPr="00A178B8" w:rsidRDefault="00A178B8" w:rsidP="00A178B8">
      <w:pPr>
        <w:pStyle w:val="ListParagraph"/>
        <w:numPr>
          <w:ilvl w:val="0"/>
          <w:numId w:val="23"/>
        </w:numPr>
        <w:spacing w:after="0" w:line="360" w:lineRule="auto"/>
        <w:jc w:val="both"/>
        <w:rPr>
          <w:rFonts w:ascii="Times New Roman" w:hAnsi="Times New Roman" w:cs="Times New Roman"/>
          <w:sz w:val="20"/>
          <w:szCs w:val="20"/>
        </w:rPr>
      </w:pPr>
      <w:r w:rsidRPr="00A178B8">
        <w:rPr>
          <w:rFonts w:ascii="Times New Roman" w:hAnsi="Times New Roman" w:cs="Times New Roman"/>
          <w:sz w:val="20"/>
          <w:szCs w:val="20"/>
        </w:rPr>
        <w:t xml:space="preserve">The total debt ratio of the bank for the year 2018-19 to 2022-23. The ratio was 17.76, 14.48, 21.3, 32.06 and 27.36. </w:t>
      </w:r>
      <w:proofErr w:type="gramStart"/>
      <w:r w:rsidRPr="00A178B8">
        <w:rPr>
          <w:rFonts w:ascii="Times New Roman" w:hAnsi="Times New Roman" w:cs="Times New Roman"/>
          <w:sz w:val="20"/>
          <w:szCs w:val="20"/>
        </w:rPr>
        <w:t>Generally</w:t>
      </w:r>
      <w:proofErr w:type="gramEnd"/>
      <w:r w:rsidRPr="00A178B8">
        <w:rPr>
          <w:rFonts w:ascii="Times New Roman" w:hAnsi="Times New Roman" w:cs="Times New Roman"/>
          <w:sz w:val="20"/>
          <w:szCs w:val="20"/>
        </w:rPr>
        <w:t xml:space="preserve"> the norm of total debt ratio if high ratio is greater risk and lower safety. </w:t>
      </w:r>
      <w:proofErr w:type="gramStart"/>
      <w:r w:rsidRPr="00A178B8">
        <w:rPr>
          <w:rFonts w:ascii="Times New Roman" w:hAnsi="Times New Roman" w:cs="Times New Roman"/>
          <w:sz w:val="20"/>
          <w:szCs w:val="20"/>
        </w:rPr>
        <w:t>So</w:t>
      </w:r>
      <w:proofErr w:type="gramEnd"/>
      <w:r w:rsidRPr="00A178B8">
        <w:rPr>
          <w:rFonts w:ascii="Times New Roman" w:hAnsi="Times New Roman" w:cs="Times New Roman"/>
          <w:sz w:val="20"/>
          <w:szCs w:val="20"/>
        </w:rPr>
        <w:t xml:space="preserve"> the year of 2021-2022 is more risk for the bank</w:t>
      </w:r>
    </w:p>
    <w:p w14:paraId="17D5FFD0" w14:textId="77777777" w:rsidR="00A178B8" w:rsidRPr="00A178B8" w:rsidRDefault="00A178B8" w:rsidP="00A178B8">
      <w:pPr>
        <w:pStyle w:val="ListParagraph"/>
        <w:numPr>
          <w:ilvl w:val="0"/>
          <w:numId w:val="23"/>
        </w:numPr>
        <w:spacing w:after="0" w:line="360" w:lineRule="auto"/>
        <w:jc w:val="both"/>
        <w:rPr>
          <w:sz w:val="20"/>
          <w:szCs w:val="20"/>
        </w:rPr>
      </w:pPr>
      <w:r w:rsidRPr="00A178B8">
        <w:rPr>
          <w:rFonts w:ascii="Times New Roman" w:hAnsi="Times New Roman" w:cs="Times New Roman"/>
          <w:sz w:val="20"/>
          <w:szCs w:val="20"/>
        </w:rPr>
        <w:t xml:space="preserve">The cash position ratio of the bank for the year 2018-19 to 2022-23. The ratio was 0.06, 0.05, 0.05, 0.03 and 0.04. </w:t>
      </w:r>
      <w:proofErr w:type="gramStart"/>
      <w:r w:rsidRPr="00A178B8">
        <w:rPr>
          <w:rFonts w:ascii="Times New Roman" w:hAnsi="Times New Roman" w:cs="Times New Roman"/>
          <w:sz w:val="20"/>
          <w:szCs w:val="20"/>
        </w:rPr>
        <w:t>Generally</w:t>
      </w:r>
      <w:proofErr w:type="gramEnd"/>
      <w:r w:rsidRPr="00A178B8">
        <w:rPr>
          <w:rFonts w:ascii="Times New Roman" w:hAnsi="Times New Roman" w:cs="Times New Roman"/>
          <w:sz w:val="20"/>
          <w:szCs w:val="20"/>
        </w:rPr>
        <w:t xml:space="preserve"> the accepted norm 0.75:1 but cash position ratio was below. It measures the cash position ratio of bank not satisfied</w:t>
      </w:r>
    </w:p>
    <w:p w14:paraId="07C37C59" w14:textId="77777777" w:rsidR="00A178B8" w:rsidRPr="00A178B8" w:rsidRDefault="00A178B8" w:rsidP="00A178B8">
      <w:pPr>
        <w:pStyle w:val="ListParagraph"/>
        <w:numPr>
          <w:ilvl w:val="0"/>
          <w:numId w:val="23"/>
        </w:numPr>
        <w:spacing w:after="0" w:line="360" w:lineRule="auto"/>
        <w:jc w:val="both"/>
        <w:rPr>
          <w:sz w:val="20"/>
          <w:szCs w:val="20"/>
        </w:rPr>
      </w:pPr>
      <w:r w:rsidRPr="00A178B8">
        <w:rPr>
          <w:rFonts w:ascii="Times New Roman" w:hAnsi="Times New Roman" w:cs="Times New Roman"/>
          <w:sz w:val="20"/>
          <w:szCs w:val="20"/>
        </w:rPr>
        <w:lastRenderedPageBreak/>
        <w:t>The return on total asset ratio of the bank for the year 2018-19 to 2022-23. The ratio was 0.00073, 0.0055, 0.0061, 0.0031 and 0.0063. It measures the return on total asset ratio of bank not satisfied because decreasing level</w:t>
      </w:r>
    </w:p>
    <w:p w14:paraId="71861521" w14:textId="77777777" w:rsidR="00A178B8" w:rsidRPr="00A178B8" w:rsidRDefault="00A178B8" w:rsidP="00A178B8">
      <w:pPr>
        <w:pStyle w:val="ListParagraph"/>
        <w:numPr>
          <w:ilvl w:val="0"/>
          <w:numId w:val="23"/>
        </w:numPr>
        <w:spacing w:after="0" w:line="360" w:lineRule="auto"/>
        <w:jc w:val="both"/>
        <w:rPr>
          <w:rFonts w:ascii="Times New Roman" w:hAnsi="Times New Roman" w:cs="Times New Roman"/>
          <w:sz w:val="20"/>
          <w:szCs w:val="20"/>
        </w:rPr>
      </w:pPr>
      <w:r w:rsidRPr="00A178B8">
        <w:rPr>
          <w:rFonts w:ascii="Times New Roman" w:hAnsi="Times New Roman" w:cs="Times New Roman"/>
          <w:sz w:val="20"/>
          <w:szCs w:val="20"/>
        </w:rPr>
        <w:t>The fixed asset to net worth ratio of the bank for the year 2018-19 to 2022-23. The ratio was 0.14, 0.09, 0.09, 0.09 and 0.09. It measures the return on fixed asset to Net worth ratio of bank not satisfied because asset value is low compare to net worth value.</w:t>
      </w:r>
    </w:p>
    <w:p w14:paraId="3FE59909" w14:textId="77777777" w:rsidR="00A178B8" w:rsidRPr="00A178B8" w:rsidRDefault="00A178B8" w:rsidP="00A178B8">
      <w:pPr>
        <w:pStyle w:val="ListParagraph"/>
        <w:numPr>
          <w:ilvl w:val="0"/>
          <w:numId w:val="23"/>
        </w:numPr>
        <w:spacing w:after="0" w:line="360" w:lineRule="auto"/>
        <w:jc w:val="both"/>
        <w:rPr>
          <w:rFonts w:ascii="Times New Roman" w:hAnsi="Times New Roman" w:cs="Times New Roman"/>
          <w:sz w:val="20"/>
          <w:szCs w:val="20"/>
        </w:rPr>
      </w:pPr>
      <w:r w:rsidRPr="00A178B8">
        <w:rPr>
          <w:rFonts w:ascii="Times New Roman" w:hAnsi="Times New Roman" w:cs="Times New Roman"/>
          <w:sz w:val="20"/>
          <w:szCs w:val="20"/>
        </w:rPr>
        <w:t>The return on shareholders fund ratio of the bank for the year 2018-19 to 2022-23. The ratio was 0.59, 0.37, 0.44, 0.24 and 1.48. The profit level is increase.</w:t>
      </w:r>
    </w:p>
    <w:p w14:paraId="662CC675" w14:textId="77777777" w:rsidR="00A178B8" w:rsidRPr="00A178B8" w:rsidRDefault="00A178B8" w:rsidP="00A178B8">
      <w:pPr>
        <w:pStyle w:val="ListParagraph"/>
        <w:numPr>
          <w:ilvl w:val="0"/>
          <w:numId w:val="23"/>
        </w:numPr>
        <w:spacing w:after="0" w:line="360" w:lineRule="auto"/>
        <w:jc w:val="both"/>
        <w:rPr>
          <w:sz w:val="20"/>
          <w:szCs w:val="20"/>
        </w:rPr>
      </w:pPr>
      <w:r w:rsidRPr="00A178B8">
        <w:rPr>
          <w:rFonts w:ascii="Times New Roman" w:hAnsi="Times New Roman" w:cs="Times New Roman"/>
          <w:sz w:val="20"/>
          <w:szCs w:val="20"/>
        </w:rPr>
        <w:t xml:space="preserve">The fixed asset ratio of the bank for the year 2018-19 to 2022-23. The ratio was 0.14, 0.11, 0.09, 0.09 and 0.09. </w:t>
      </w:r>
      <w:proofErr w:type="gramStart"/>
      <w:r w:rsidRPr="00A178B8">
        <w:rPr>
          <w:rFonts w:ascii="Times New Roman" w:hAnsi="Times New Roman" w:cs="Times New Roman"/>
          <w:sz w:val="20"/>
          <w:szCs w:val="20"/>
        </w:rPr>
        <w:t>Generally</w:t>
      </w:r>
      <w:proofErr w:type="gramEnd"/>
      <w:r w:rsidRPr="00A178B8">
        <w:rPr>
          <w:rFonts w:ascii="Times New Roman" w:hAnsi="Times New Roman" w:cs="Times New Roman"/>
          <w:sz w:val="20"/>
          <w:szCs w:val="20"/>
        </w:rPr>
        <w:t xml:space="preserve"> the accepted norm 0.67 but fixed asset ratio was below. It measures the fixed asset ratio of bank not satisfied</w:t>
      </w:r>
    </w:p>
    <w:p w14:paraId="5EC66EB0" w14:textId="77777777" w:rsidR="00A178B8" w:rsidRPr="00A178B8" w:rsidRDefault="00A178B8" w:rsidP="00A178B8">
      <w:pPr>
        <w:pStyle w:val="ListParagraph"/>
        <w:numPr>
          <w:ilvl w:val="0"/>
          <w:numId w:val="23"/>
        </w:numPr>
        <w:spacing w:after="0" w:line="360" w:lineRule="auto"/>
        <w:jc w:val="both"/>
        <w:rPr>
          <w:rFonts w:ascii="Times New Roman" w:hAnsi="Times New Roman" w:cs="Times New Roman"/>
          <w:sz w:val="20"/>
          <w:szCs w:val="20"/>
        </w:rPr>
      </w:pPr>
      <w:r w:rsidRPr="00A178B8">
        <w:rPr>
          <w:rFonts w:ascii="Times New Roman" w:hAnsi="Times New Roman" w:cs="Times New Roman"/>
          <w:sz w:val="20"/>
          <w:szCs w:val="20"/>
        </w:rPr>
        <w:t xml:space="preserve">The payout ratio of the bank for the year 2018-19 to 2022-23. The ratio was 0.81, 2.07, 1.79, 1.94 and 2.01. The earning per share was flexible in the bank. </w:t>
      </w:r>
    </w:p>
    <w:p w14:paraId="7D913D43" w14:textId="77777777" w:rsidR="00A178B8" w:rsidRPr="00A178B8" w:rsidRDefault="00A178B8" w:rsidP="00A178B8">
      <w:pPr>
        <w:pStyle w:val="ListParagraph"/>
        <w:numPr>
          <w:ilvl w:val="0"/>
          <w:numId w:val="23"/>
        </w:numPr>
        <w:spacing w:after="0" w:line="360" w:lineRule="auto"/>
        <w:jc w:val="both"/>
        <w:rPr>
          <w:rFonts w:ascii="Times New Roman" w:hAnsi="Times New Roman" w:cs="Times New Roman"/>
          <w:b/>
          <w:sz w:val="20"/>
          <w:szCs w:val="20"/>
        </w:rPr>
      </w:pPr>
      <w:r w:rsidRPr="00A178B8">
        <w:rPr>
          <w:rFonts w:ascii="Times New Roman" w:hAnsi="Times New Roman" w:cs="Times New Roman"/>
          <w:sz w:val="20"/>
          <w:szCs w:val="20"/>
        </w:rPr>
        <w:t xml:space="preserve">The debt equity ratio of the bank for the year 2018-19 to 2022-23. The ratio was 24.69, 20.32, 19.38, 18.89 and 19.62. The bank debt is decreased in the final year. </w:t>
      </w:r>
    </w:p>
    <w:p w14:paraId="47E81FB0" w14:textId="77777777" w:rsidR="00A178B8" w:rsidRPr="00A178B8" w:rsidRDefault="00A178B8" w:rsidP="00A178B8">
      <w:pPr>
        <w:pStyle w:val="ListParagraph"/>
        <w:numPr>
          <w:ilvl w:val="0"/>
          <w:numId w:val="23"/>
        </w:numPr>
        <w:spacing w:after="0" w:line="360" w:lineRule="auto"/>
        <w:jc w:val="both"/>
        <w:rPr>
          <w:sz w:val="20"/>
          <w:szCs w:val="20"/>
        </w:rPr>
      </w:pPr>
      <w:r w:rsidRPr="00A178B8">
        <w:rPr>
          <w:rFonts w:ascii="Times New Roman" w:eastAsia="Times New Roman" w:hAnsi="Times New Roman" w:cs="Times New Roman"/>
          <w:sz w:val="20"/>
          <w:szCs w:val="20"/>
          <w:lang w:eastAsia="en-IN"/>
        </w:rPr>
        <w:t xml:space="preserve">The relationship between loans and advances to current assets ratio in the year of </w:t>
      </w:r>
      <w:r w:rsidRPr="00A178B8">
        <w:rPr>
          <w:rFonts w:ascii="Times New Roman" w:hAnsi="Times New Roman" w:cs="Times New Roman"/>
          <w:sz w:val="20"/>
          <w:szCs w:val="20"/>
        </w:rPr>
        <w:t xml:space="preserve">2018-19 is 0.61 </w:t>
      </w:r>
      <w:r w:rsidRPr="00A178B8">
        <w:rPr>
          <w:rFonts w:ascii="Times New Roman" w:eastAsia="Times New Roman" w:hAnsi="Times New Roman" w:cs="Times New Roman"/>
          <w:sz w:val="20"/>
          <w:szCs w:val="20"/>
          <w:lang w:eastAsia="en-IN"/>
        </w:rPr>
        <w:t>and increases in the beginning year of 2022 and then decreases gradually to the end of the year 2023</w:t>
      </w:r>
    </w:p>
    <w:p w14:paraId="2F146F97" w14:textId="77777777" w:rsidR="00A178B8" w:rsidRPr="00A178B8" w:rsidRDefault="00A178B8" w:rsidP="00A178B8">
      <w:pPr>
        <w:pStyle w:val="ListParagraph"/>
        <w:numPr>
          <w:ilvl w:val="0"/>
          <w:numId w:val="23"/>
        </w:numPr>
        <w:spacing w:after="0" w:line="360" w:lineRule="auto"/>
        <w:jc w:val="both"/>
        <w:rPr>
          <w:sz w:val="20"/>
          <w:szCs w:val="20"/>
        </w:rPr>
      </w:pPr>
      <w:r w:rsidRPr="00A178B8">
        <w:rPr>
          <w:rFonts w:ascii="Times New Roman" w:eastAsia="Times New Roman" w:hAnsi="Times New Roman" w:cs="Times New Roman"/>
          <w:sz w:val="20"/>
          <w:szCs w:val="20"/>
          <w:lang w:eastAsia="en-IN"/>
        </w:rPr>
        <w:t xml:space="preserve">The relationship between current assets to total assets ratio in the year of </w:t>
      </w:r>
      <w:r w:rsidRPr="00A178B8">
        <w:rPr>
          <w:rFonts w:ascii="Times New Roman" w:hAnsi="Times New Roman" w:cs="Times New Roman"/>
          <w:sz w:val="20"/>
          <w:szCs w:val="20"/>
        </w:rPr>
        <w:t xml:space="preserve">2018-19 is 0.98 </w:t>
      </w:r>
      <w:r w:rsidRPr="00A178B8">
        <w:rPr>
          <w:rFonts w:ascii="Times New Roman" w:eastAsia="Times New Roman" w:hAnsi="Times New Roman" w:cs="Times New Roman"/>
          <w:sz w:val="20"/>
          <w:szCs w:val="20"/>
          <w:lang w:eastAsia="en-IN"/>
        </w:rPr>
        <w:t xml:space="preserve">and decreases in the year of </w:t>
      </w:r>
      <w:r w:rsidRPr="00A178B8">
        <w:rPr>
          <w:rFonts w:ascii="Times New Roman" w:hAnsi="Times New Roman" w:cs="Times New Roman"/>
          <w:sz w:val="20"/>
          <w:szCs w:val="20"/>
        </w:rPr>
        <w:t xml:space="preserve">2019-20 </w:t>
      </w:r>
      <w:r w:rsidRPr="00A178B8">
        <w:rPr>
          <w:rFonts w:ascii="Times New Roman" w:eastAsia="Times New Roman" w:hAnsi="Times New Roman" w:cs="Times New Roman"/>
          <w:sz w:val="20"/>
          <w:szCs w:val="20"/>
          <w:lang w:eastAsia="en-IN"/>
        </w:rPr>
        <w:t xml:space="preserve">to </w:t>
      </w:r>
      <w:r w:rsidRPr="00A178B8">
        <w:rPr>
          <w:rFonts w:ascii="Times New Roman" w:hAnsi="Times New Roman" w:cs="Times New Roman"/>
          <w:sz w:val="20"/>
          <w:szCs w:val="20"/>
        </w:rPr>
        <w:t>2022-23 is same percentage of the assets and</w:t>
      </w:r>
      <w:r w:rsidRPr="00A178B8">
        <w:rPr>
          <w:rFonts w:ascii="Times New Roman" w:eastAsia="Times New Roman" w:hAnsi="Times New Roman" w:cs="Times New Roman"/>
          <w:sz w:val="20"/>
          <w:szCs w:val="20"/>
          <w:lang w:eastAsia="en-IN"/>
        </w:rPr>
        <w:t xml:space="preserve"> then decreases gradually to the end of the year</w:t>
      </w:r>
    </w:p>
    <w:p w14:paraId="3E09C6BA" w14:textId="77777777" w:rsidR="00A178B8" w:rsidRPr="00A178B8" w:rsidRDefault="00A178B8" w:rsidP="00A178B8">
      <w:pPr>
        <w:pStyle w:val="ListParagraph"/>
        <w:numPr>
          <w:ilvl w:val="0"/>
          <w:numId w:val="23"/>
        </w:numPr>
        <w:spacing w:after="0" w:line="360" w:lineRule="auto"/>
        <w:jc w:val="both"/>
        <w:rPr>
          <w:sz w:val="20"/>
          <w:szCs w:val="20"/>
        </w:rPr>
      </w:pPr>
      <w:r w:rsidRPr="00A178B8">
        <w:rPr>
          <w:rFonts w:ascii="Times New Roman" w:hAnsi="Times New Roman" w:cs="Times New Roman"/>
          <w:sz w:val="20"/>
          <w:szCs w:val="20"/>
        </w:rPr>
        <w:t xml:space="preserve">The </w:t>
      </w:r>
      <w:r w:rsidRPr="00A178B8">
        <w:rPr>
          <w:rFonts w:ascii="Times New Roman" w:hAnsi="Times New Roman" w:cs="Times New Roman"/>
          <w:bCs/>
          <w:sz w:val="20"/>
          <w:szCs w:val="20"/>
        </w:rPr>
        <w:t>ratio on total assets</w:t>
      </w:r>
      <w:r w:rsidRPr="00A178B8">
        <w:rPr>
          <w:rFonts w:ascii="Times New Roman" w:hAnsi="Times New Roman" w:cs="Times New Roman"/>
          <w:sz w:val="20"/>
          <w:szCs w:val="20"/>
        </w:rPr>
        <w:t xml:space="preserve"> of the company during the study period. It was 0.007 in the year 2018-19 and then reached increase to 0.737 again in the next year 2022-23 onwards it ultimately comes down to 0.631</w:t>
      </w:r>
    </w:p>
    <w:p w14:paraId="1819A35E" w14:textId="77777777" w:rsidR="00A178B8" w:rsidRPr="00A178B8" w:rsidRDefault="00A178B8" w:rsidP="00A178B8">
      <w:pPr>
        <w:spacing w:after="0" w:line="360" w:lineRule="auto"/>
        <w:jc w:val="both"/>
        <w:rPr>
          <w:rFonts w:ascii="Times New Roman" w:hAnsi="Times New Roman" w:cs="Times New Roman"/>
          <w:b/>
          <w:sz w:val="20"/>
          <w:szCs w:val="20"/>
        </w:rPr>
      </w:pPr>
      <w:r w:rsidRPr="00A178B8">
        <w:rPr>
          <w:rFonts w:ascii="Times New Roman" w:hAnsi="Times New Roman" w:cs="Times New Roman"/>
          <w:b/>
          <w:sz w:val="20"/>
          <w:szCs w:val="20"/>
        </w:rPr>
        <w:t>TREND ANALYSIS</w:t>
      </w:r>
    </w:p>
    <w:p w14:paraId="2A9CFFCD" w14:textId="77777777" w:rsidR="00A178B8" w:rsidRPr="00A178B8" w:rsidRDefault="00A178B8" w:rsidP="00A178B8">
      <w:pPr>
        <w:spacing w:after="0" w:line="360" w:lineRule="auto"/>
        <w:ind w:firstLine="720"/>
        <w:jc w:val="both"/>
        <w:rPr>
          <w:rFonts w:ascii="Times New Roman" w:hAnsi="Times New Roman" w:cs="Times New Roman"/>
          <w:sz w:val="20"/>
          <w:szCs w:val="20"/>
        </w:rPr>
      </w:pPr>
      <w:r w:rsidRPr="00A178B8">
        <w:rPr>
          <w:rFonts w:ascii="Times New Roman" w:hAnsi="Times New Roman" w:cs="Times New Roman"/>
          <w:sz w:val="20"/>
          <w:szCs w:val="20"/>
        </w:rPr>
        <w:t>The sales, Net profit and Total expenses percentage was above 100% in the year of 2022-23. The company Current Assets is 167.89% in 2022-23. Current Liabilities trend percentage is 162.99 and the working capital percentage is 216.81% in the year 2022-23</w:t>
      </w:r>
    </w:p>
    <w:p w14:paraId="640E2D38" w14:textId="77777777" w:rsidR="00A178B8" w:rsidRPr="00A178B8" w:rsidRDefault="00A178B8" w:rsidP="00A178B8">
      <w:pPr>
        <w:spacing w:after="0" w:line="360" w:lineRule="auto"/>
        <w:jc w:val="both"/>
        <w:rPr>
          <w:rFonts w:ascii="Times New Roman" w:hAnsi="Times New Roman" w:cs="Times New Roman"/>
          <w:b/>
          <w:sz w:val="20"/>
          <w:szCs w:val="20"/>
        </w:rPr>
      </w:pPr>
      <w:r w:rsidRPr="00A178B8">
        <w:rPr>
          <w:rFonts w:ascii="Times New Roman" w:hAnsi="Times New Roman" w:cs="Times New Roman"/>
          <w:b/>
          <w:sz w:val="20"/>
          <w:szCs w:val="20"/>
        </w:rPr>
        <w:t>CORRELATION</w:t>
      </w:r>
    </w:p>
    <w:p w14:paraId="0EE99DB4" w14:textId="77777777" w:rsidR="00A178B8" w:rsidRDefault="00A178B8" w:rsidP="00A178B8">
      <w:pPr>
        <w:tabs>
          <w:tab w:val="left" w:pos="720"/>
        </w:tabs>
        <w:spacing w:after="0" w:line="360" w:lineRule="auto"/>
        <w:jc w:val="both"/>
        <w:rPr>
          <w:rFonts w:ascii="Times New Roman" w:hAnsi="Times New Roman" w:cs="Times New Roman"/>
          <w:sz w:val="20"/>
          <w:szCs w:val="20"/>
        </w:rPr>
      </w:pPr>
      <w:r w:rsidRPr="00A178B8">
        <w:rPr>
          <w:rFonts w:ascii="Times New Roman" w:hAnsi="Times New Roman" w:cs="Times New Roman"/>
          <w:sz w:val="20"/>
          <w:szCs w:val="20"/>
        </w:rPr>
        <w:tab/>
        <w:t>The above calculation reveals that inventory and debtors are positively correlated. It shows that when inventory value increases, the debtor value also get increases and vice-versa.</w:t>
      </w:r>
    </w:p>
    <w:p w14:paraId="3ACC9243" w14:textId="77777777" w:rsidR="00A178B8" w:rsidRDefault="00A178B8" w:rsidP="00A178B8">
      <w:pPr>
        <w:pStyle w:val="ListParagraph"/>
        <w:numPr>
          <w:ilvl w:val="0"/>
          <w:numId w:val="25"/>
        </w:numPr>
        <w:spacing w:after="0" w:line="360" w:lineRule="auto"/>
        <w:rPr>
          <w:rFonts w:ascii="Times New Roman" w:hAnsi="Times New Roman" w:cs="Times New Roman"/>
          <w:b/>
          <w:sz w:val="24"/>
          <w:szCs w:val="24"/>
        </w:rPr>
      </w:pPr>
      <w:r>
        <w:rPr>
          <w:rFonts w:ascii="Times New Roman" w:hAnsi="Times New Roman" w:cs="Times New Roman"/>
          <w:b/>
          <w:sz w:val="24"/>
          <w:szCs w:val="24"/>
        </w:rPr>
        <w:t>SUGGESTIONS</w:t>
      </w:r>
    </w:p>
    <w:p w14:paraId="5513EF27" w14:textId="77777777" w:rsidR="00A178B8" w:rsidRPr="00A178B8" w:rsidRDefault="00A178B8" w:rsidP="00A178B8">
      <w:pPr>
        <w:pStyle w:val="ListParagraph"/>
        <w:numPr>
          <w:ilvl w:val="0"/>
          <w:numId w:val="42"/>
        </w:numPr>
        <w:spacing w:before="240" w:after="0" w:line="360" w:lineRule="auto"/>
        <w:ind w:left="567" w:hanging="283"/>
        <w:jc w:val="both"/>
        <w:rPr>
          <w:rFonts w:ascii="Times New Roman" w:hAnsi="Times New Roman" w:cs="Times New Roman"/>
          <w:sz w:val="20"/>
          <w:szCs w:val="20"/>
        </w:rPr>
      </w:pPr>
      <w:r w:rsidRPr="00A178B8">
        <w:rPr>
          <w:rFonts w:ascii="Times New Roman" w:hAnsi="Times New Roman" w:cs="Times New Roman"/>
          <w:sz w:val="20"/>
          <w:szCs w:val="20"/>
        </w:rPr>
        <w:t>It is suggested that the bank can increase the current account holders from the various company not having current account. These funds can be utilized by the bank and increase their income without any payment of interest to the current account holders.</w:t>
      </w:r>
    </w:p>
    <w:p w14:paraId="78CA8AB3" w14:textId="77777777" w:rsidR="00A178B8" w:rsidRPr="00A178B8" w:rsidRDefault="00A178B8" w:rsidP="00A178B8">
      <w:pPr>
        <w:pStyle w:val="ListParagraph"/>
        <w:numPr>
          <w:ilvl w:val="0"/>
          <w:numId w:val="42"/>
        </w:numPr>
        <w:spacing w:before="240" w:after="0" w:line="360" w:lineRule="auto"/>
        <w:ind w:left="567" w:hanging="283"/>
        <w:jc w:val="both"/>
        <w:rPr>
          <w:rFonts w:ascii="Times New Roman" w:hAnsi="Times New Roman" w:cs="Times New Roman"/>
          <w:sz w:val="20"/>
          <w:szCs w:val="20"/>
        </w:rPr>
      </w:pPr>
      <w:r w:rsidRPr="00A178B8">
        <w:rPr>
          <w:rFonts w:ascii="Times New Roman" w:hAnsi="Times New Roman" w:cs="Times New Roman"/>
          <w:sz w:val="20"/>
          <w:szCs w:val="20"/>
        </w:rPr>
        <w:t>The Net profit and Total asset are correlated positively the bank should retain the same in future.</w:t>
      </w:r>
    </w:p>
    <w:p w14:paraId="0D37E593" w14:textId="77777777" w:rsidR="00A178B8" w:rsidRPr="00A178B8" w:rsidRDefault="00A178B8" w:rsidP="00A178B8">
      <w:pPr>
        <w:pStyle w:val="ListParagraph"/>
        <w:numPr>
          <w:ilvl w:val="0"/>
          <w:numId w:val="42"/>
        </w:numPr>
        <w:spacing w:before="240" w:after="0" w:line="360" w:lineRule="auto"/>
        <w:ind w:left="567" w:hanging="283"/>
        <w:jc w:val="both"/>
        <w:rPr>
          <w:rFonts w:ascii="Times New Roman" w:hAnsi="Times New Roman" w:cs="Times New Roman"/>
          <w:sz w:val="20"/>
          <w:szCs w:val="20"/>
        </w:rPr>
      </w:pPr>
      <w:r w:rsidRPr="00A178B8">
        <w:rPr>
          <w:rFonts w:ascii="Times New Roman" w:hAnsi="Times New Roman" w:cs="Times New Roman"/>
          <w:sz w:val="20"/>
          <w:szCs w:val="20"/>
        </w:rPr>
        <w:t xml:space="preserve">The investments are made by the bank was mainly in government securities with low revenue.  </w:t>
      </w:r>
      <w:proofErr w:type="gramStart"/>
      <w:r w:rsidRPr="00A178B8">
        <w:rPr>
          <w:rFonts w:ascii="Times New Roman" w:hAnsi="Times New Roman" w:cs="Times New Roman"/>
          <w:sz w:val="20"/>
          <w:szCs w:val="20"/>
        </w:rPr>
        <w:t>So</w:t>
      </w:r>
      <w:proofErr w:type="gramEnd"/>
      <w:r w:rsidRPr="00A178B8">
        <w:rPr>
          <w:rFonts w:ascii="Times New Roman" w:hAnsi="Times New Roman" w:cs="Times New Roman"/>
          <w:sz w:val="20"/>
          <w:szCs w:val="20"/>
        </w:rPr>
        <w:t xml:space="preserve"> the bank should concentrate is investing high yielding securities for earning high return.</w:t>
      </w:r>
    </w:p>
    <w:p w14:paraId="346EE549" w14:textId="77777777" w:rsidR="00A178B8" w:rsidRPr="00A178B8" w:rsidRDefault="00A178B8" w:rsidP="00A178B8">
      <w:pPr>
        <w:pStyle w:val="ListParagraph"/>
        <w:numPr>
          <w:ilvl w:val="0"/>
          <w:numId w:val="42"/>
        </w:numPr>
        <w:spacing w:before="240" w:after="0" w:line="360" w:lineRule="auto"/>
        <w:ind w:left="567" w:hanging="283"/>
        <w:jc w:val="both"/>
        <w:rPr>
          <w:rFonts w:ascii="Times New Roman" w:hAnsi="Times New Roman" w:cs="Times New Roman"/>
          <w:sz w:val="20"/>
          <w:szCs w:val="20"/>
        </w:rPr>
      </w:pPr>
      <w:r w:rsidRPr="00A178B8">
        <w:rPr>
          <w:rFonts w:ascii="Times New Roman" w:hAnsi="Times New Roman" w:cs="Times New Roman"/>
          <w:sz w:val="20"/>
          <w:szCs w:val="20"/>
        </w:rPr>
        <w:t xml:space="preserve">The bank has to do their major transaction with cash, so it has to be increased.  </w:t>
      </w:r>
      <w:proofErr w:type="gramStart"/>
      <w:r w:rsidRPr="00A178B8">
        <w:rPr>
          <w:rFonts w:ascii="Times New Roman" w:hAnsi="Times New Roman" w:cs="Times New Roman"/>
          <w:sz w:val="20"/>
          <w:szCs w:val="20"/>
        </w:rPr>
        <w:t>So</w:t>
      </w:r>
      <w:proofErr w:type="gramEnd"/>
      <w:r w:rsidRPr="00A178B8">
        <w:rPr>
          <w:rFonts w:ascii="Times New Roman" w:hAnsi="Times New Roman" w:cs="Times New Roman"/>
          <w:sz w:val="20"/>
          <w:szCs w:val="20"/>
        </w:rPr>
        <w:t xml:space="preserve"> liquidity position of the bank has to be increased.</w:t>
      </w:r>
    </w:p>
    <w:p w14:paraId="56701F01" w14:textId="750E3122" w:rsidR="00323040" w:rsidRPr="00323040" w:rsidRDefault="00323040" w:rsidP="00C45E57">
      <w:pPr>
        <w:pStyle w:val="ListParagraph"/>
        <w:numPr>
          <w:ilvl w:val="0"/>
          <w:numId w:val="25"/>
        </w:numPr>
        <w:spacing w:after="0" w:line="360" w:lineRule="auto"/>
        <w:rPr>
          <w:rFonts w:ascii="Times New Roman" w:hAnsi="Times New Roman" w:cs="Times New Roman"/>
          <w:sz w:val="20"/>
          <w:szCs w:val="20"/>
          <w:lang w:eastAsia="en-IN"/>
        </w:rPr>
      </w:pPr>
      <w:r w:rsidRPr="00323040">
        <w:rPr>
          <w:rFonts w:ascii="Times New Roman" w:hAnsi="Times New Roman" w:cs="Times New Roman"/>
          <w:b/>
          <w:sz w:val="24"/>
          <w:szCs w:val="24"/>
        </w:rPr>
        <w:t>CONCLUSION</w:t>
      </w:r>
    </w:p>
    <w:p w14:paraId="7EB0CB1A" w14:textId="4D74335C" w:rsidR="00A178B8" w:rsidRPr="00A178B8" w:rsidRDefault="00A178B8" w:rsidP="00A178B8">
      <w:pPr>
        <w:spacing w:line="360" w:lineRule="auto"/>
        <w:ind w:left="332"/>
        <w:jc w:val="both"/>
        <w:rPr>
          <w:rFonts w:ascii="Times New Roman" w:hAnsi="Times New Roman" w:cs="Times New Roman"/>
          <w:sz w:val="20"/>
          <w:szCs w:val="20"/>
        </w:rPr>
      </w:pPr>
      <w:r>
        <w:rPr>
          <w:rFonts w:ascii="Times New Roman" w:hAnsi="Times New Roman" w:cs="Times New Roman"/>
          <w:sz w:val="20"/>
          <w:szCs w:val="20"/>
        </w:rPr>
        <w:tab/>
      </w:r>
      <w:r w:rsidRPr="00A178B8">
        <w:rPr>
          <w:rFonts w:ascii="Times New Roman" w:hAnsi="Times New Roman" w:cs="Times New Roman"/>
          <w:sz w:val="20"/>
          <w:szCs w:val="20"/>
        </w:rPr>
        <w:t xml:space="preserve">The study shows that the bank’s performance is satisfactory.  In some area they are lacking in banking position.  If they improve their customer service and technology they will come up with the standard level.  According to the least square method the Net profit is expected to increase next five year.  </w:t>
      </w:r>
      <w:proofErr w:type="gramStart"/>
      <w:r w:rsidRPr="00A178B8">
        <w:rPr>
          <w:rFonts w:ascii="Times New Roman" w:hAnsi="Times New Roman" w:cs="Times New Roman"/>
          <w:sz w:val="20"/>
          <w:szCs w:val="20"/>
        </w:rPr>
        <w:t>So</w:t>
      </w:r>
      <w:proofErr w:type="gramEnd"/>
      <w:r w:rsidRPr="00A178B8">
        <w:rPr>
          <w:rFonts w:ascii="Times New Roman" w:hAnsi="Times New Roman" w:cs="Times New Roman"/>
          <w:sz w:val="20"/>
          <w:szCs w:val="20"/>
        </w:rPr>
        <w:t xml:space="preserve"> the bank shows good future. This study reveals the findings and recommendations which would be useful for the development and improvement to the bank.</w:t>
      </w:r>
    </w:p>
    <w:p w14:paraId="2F36A7ED" w14:textId="77777777" w:rsidR="00A178B8" w:rsidRDefault="00C45E57" w:rsidP="00323040">
      <w:pPr>
        <w:pStyle w:val="Heading5"/>
        <w:tabs>
          <w:tab w:val="left" w:pos="426"/>
        </w:tabs>
        <w:spacing w:before="0" w:after="0" w:line="360" w:lineRule="auto"/>
        <w:ind w:left="0" w:firstLine="0"/>
        <w:jc w:val="both"/>
        <w:rPr>
          <w:b/>
          <w:sz w:val="24"/>
          <w:szCs w:val="24"/>
        </w:rPr>
      </w:pPr>
      <w:r>
        <w:rPr>
          <w:b/>
          <w:sz w:val="24"/>
          <w:szCs w:val="24"/>
        </w:rPr>
        <w:tab/>
      </w:r>
    </w:p>
    <w:p w14:paraId="2ADC325B" w14:textId="77777777" w:rsidR="00A178B8" w:rsidRDefault="00A178B8" w:rsidP="00323040">
      <w:pPr>
        <w:pStyle w:val="Heading5"/>
        <w:tabs>
          <w:tab w:val="left" w:pos="426"/>
        </w:tabs>
        <w:spacing w:before="0" w:after="0" w:line="360" w:lineRule="auto"/>
        <w:ind w:left="0" w:firstLine="0"/>
        <w:jc w:val="both"/>
        <w:rPr>
          <w:b/>
          <w:sz w:val="24"/>
          <w:szCs w:val="24"/>
        </w:rPr>
      </w:pPr>
    </w:p>
    <w:p w14:paraId="4FCF7719" w14:textId="5ED4F587" w:rsidR="00323040" w:rsidRPr="00323040" w:rsidRDefault="00323040" w:rsidP="00323040">
      <w:pPr>
        <w:pStyle w:val="Heading5"/>
        <w:tabs>
          <w:tab w:val="left" w:pos="426"/>
        </w:tabs>
        <w:spacing w:before="0" w:after="0" w:line="360" w:lineRule="auto"/>
        <w:ind w:left="0" w:firstLine="0"/>
        <w:jc w:val="both"/>
        <w:rPr>
          <w:b/>
          <w:sz w:val="24"/>
          <w:szCs w:val="24"/>
        </w:rPr>
      </w:pPr>
      <w:r w:rsidRPr="00323040">
        <w:rPr>
          <w:b/>
          <w:sz w:val="24"/>
          <w:szCs w:val="24"/>
        </w:rPr>
        <w:t>BIBLIOGRAPHY</w:t>
      </w:r>
    </w:p>
    <w:p w14:paraId="6C9394D1" w14:textId="77777777" w:rsidR="00A178B8" w:rsidRPr="00A178B8" w:rsidRDefault="00A178B8" w:rsidP="00A178B8">
      <w:pPr>
        <w:pStyle w:val="ListParagraph"/>
        <w:numPr>
          <w:ilvl w:val="0"/>
          <w:numId w:val="44"/>
        </w:numPr>
        <w:tabs>
          <w:tab w:val="clear" w:pos="720"/>
        </w:tabs>
        <w:spacing w:after="0" w:line="360" w:lineRule="auto"/>
        <w:jc w:val="both"/>
        <w:rPr>
          <w:rFonts w:ascii="Times New Roman" w:eastAsia="Times New Roman" w:hAnsi="Times New Roman" w:cs="Times New Roman"/>
          <w:sz w:val="20"/>
          <w:szCs w:val="20"/>
        </w:rPr>
      </w:pPr>
      <w:hyperlink r:id="rId11" w:history="1">
        <w:proofErr w:type="spellStart"/>
        <w:r w:rsidRPr="00A178B8">
          <w:rPr>
            <w:rFonts w:ascii="Times New Roman" w:eastAsia="Times New Roman" w:hAnsi="Times New Roman" w:cs="Times New Roman"/>
            <w:b/>
            <w:sz w:val="20"/>
            <w:szCs w:val="20"/>
          </w:rPr>
          <w:t>NeşeYalçınSeçme</w:t>
        </w:r>
        <w:proofErr w:type="spellEnd"/>
      </w:hyperlink>
      <w:r w:rsidRPr="00A178B8">
        <w:rPr>
          <w:rFonts w:ascii="Times New Roman" w:eastAsia="Times New Roman" w:hAnsi="Times New Roman" w:cs="Times New Roman"/>
          <w:b/>
          <w:sz w:val="20"/>
          <w:szCs w:val="20"/>
        </w:rPr>
        <w:t xml:space="preserve"> (2018) - </w:t>
      </w:r>
      <w:hyperlink r:id="rId12" w:tooltip="Go to Expert Systems with Applications on ScienceDirect" w:history="1">
        <w:r w:rsidRPr="00A178B8">
          <w:rPr>
            <w:rFonts w:ascii="Times New Roman" w:eastAsia="Times New Roman" w:hAnsi="Times New Roman" w:cs="Times New Roman"/>
            <w:sz w:val="20"/>
            <w:szCs w:val="20"/>
          </w:rPr>
          <w:t>Expert Systems with Applications</w:t>
        </w:r>
      </w:hyperlink>
      <w:r w:rsidRPr="00A178B8">
        <w:rPr>
          <w:rFonts w:ascii="Times New Roman" w:eastAsia="Times New Roman" w:hAnsi="Times New Roman" w:cs="Times New Roman"/>
          <w:sz w:val="20"/>
          <w:szCs w:val="20"/>
        </w:rPr>
        <w:t xml:space="preserve">, </w:t>
      </w:r>
      <w:hyperlink r:id="rId13" w:tooltip="Go to table of contents for this volume/issue" w:history="1">
        <w:r w:rsidRPr="00A178B8">
          <w:rPr>
            <w:rFonts w:ascii="Times New Roman" w:eastAsia="Times New Roman" w:hAnsi="Times New Roman" w:cs="Times New Roman"/>
            <w:sz w:val="20"/>
            <w:szCs w:val="20"/>
          </w:rPr>
          <w:t>Volume 36, Issue 9</w:t>
        </w:r>
      </w:hyperlink>
      <w:r w:rsidRPr="00A178B8">
        <w:rPr>
          <w:rFonts w:ascii="Times New Roman" w:eastAsia="Times New Roman" w:hAnsi="Times New Roman" w:cs="Times New Roman"/>
          <w:sz w:val="20"/>
          <w:szCs w:val="20"/>
        </w:rPr>
        <w:t>, November, Pages 11699–11709</w:t>
      </w:r>
    </w:p>
    <w:p w14:paraId="74C0FDC6" w14:textId="77777777" w:rsidR="00A178B8" w:rsidRPr="00A178B8" w:rsidRDefault="00A178B8" w:rsidP="00A178B8">
      <w:pPr>
        <w:pStyle w:val="ListParagraph"/>
        <w:numPr>
          <w:ilvl w:val="0"/>
          <w:numId w:val="44"/>
        </w:numPr>
        <w:tabs>
          <w:tab w:val="clear" w:pos="720"/>
        </w:tabs>
        <w:spacing w:after="0" w:line="360" w:lineRule="auto"/>
        <w:jc w:val="both"/>
        <w:rPr>
          <w:rFonts w:ascii="Times New Roman" w:hAnsi="Times New Roman" w:cs="Times New Roman"/>
          <w:sz w:val="20"/>
          <w:szCs w:val="20"/>
        </w:rPr>
      </w:pPr>
      <w:proofErr w:type="spellStart"/>
      <w:r w:rsidRPr="00A178B8">
        <w:rPr>
          <w:rFonts w:ascii="Times New Roman" w:hAnsi="Times New Roman" w:cs="Times New Roman"/>
          <w:b/>
          <w:sz w:val="20"/>
          <w:szCs w:val="20"/>
        </w:rPr>
        <w:t>KarligashKenjegalieva</w:t>
      </w:r>
      <w:proofErr w:type="spellEnd"/>
      <w:r w:rsidRPr="00A178B8">
        <w:rPr>
          <w:rFonts w:ascii="Times New Roman" w:hAnsi="Times New Roman" w:cs="Times New Roman"/>
          <w:b/>
          <w:sz w:val="20"/>
          <w:szCs w:val="20"/>
        </w:rPr>
        <w:t xml:space="preserve"> (2018) - </w:t>
      </w:r>
      <w:r w:rsidRPr="00A178B8">
        <w:rPr>
          <w:rFonts w:ascii="Times New Roman" w:hAnsi="Times New Roman" w:cs="Times New Roman"/>
          <w:sz w:val="20"/>
          <w:szCs w:val="20"/>
        </w:rPr>
        <w:t>European Journal of Operational Research, Volume 198, Issue 1, 1 October, Pages 326–340.</w:t>
      </w:r>
    </w:p>
    <w:p w14:paraId="2AD48BD8" w14:textId="77777777" w:rsidR="00A178B8" w:rsidRPr="00A178B8" w:rsidRDefault="00A178B8" w:rsidP="00A178B8">
      <w:pPr>
        <w:pStyle w:val="ListParagraph"/>
        <w:numPr>
          <w:ilvl w:val="0"/>
          <w:numId w:val="44"/>
        </w:numPr>
        <w:tabs>
          <w:tab w:val="clear" w:pos="720"/>
        </w:tabs>
        <w:spacing w:after="0" w:line="360" w:lineRule="auto"/>
        <w:jc w:val="both"/>
        <w:rPr>
          <w:rFonts w:ascii="Times New Roman" w:eastAsia="Times New Roman" w:hAnsi="Times New Roman" w:cs="Times New Roman"/>
          <w:sz w:val="20"/>
          <w:szCs w:val="20"/>
        </w:rPr>
      </w:pPr>
      <w:hyperlink r:id="rId14" w:history="1">
        <w:proofErr w:type="spellStart"/>
        <w:r w:rsidRPr="00A178B8">
          <w:rPr>
            <w:rFonts w:ascii="Times New Roman" w:eastAsia="Times New Roman" w:hAnsi="Times New Roman" w:cs="Times New Roman"/>
            <w:b/>
            <w:sz w:val="20"/>
            <w:szCs w:val="20"/>
          </w:rPr>
          <w:t>MerveKiliç</w:t>
        </w:r>
        <w:proofErr w:type="spellEnd"/>
      </w:hyperlink>
      <w:r w:rsidRPr="00A178B8">
        <w:rPr>
          <w:rFonts w:ascii="Times New Roman" w:eastAsia="Times New Roman" w:hAnsi="Times New Roman" w:cs="Times New Roman"/>
          <w:b/>
          <w:sz w:val="20"/>
          <w:szCs w:val="20"/>
          <w:vertAlign w:val="superscript"/>
        </w:rPr>
        <w:t xml:space="preserve">, </w:t>
      </w:r>
      <w:r w:rsidRPr="00A178B8">
        <w:rPr>
          <w:rFonts w:ascii="Times New Roman" w:eastAsia="Times New Roman" w:hAnsi="Times New Roman" w:cs="Times New Roman"/>
          <w:b/>
          <w:sz w:val="20"/>
          <w:szCs w:val="20"/>
        </w:rPr>
        <w:t xml:space="preserve"> (2011) - </w:t>
      </w:r>
      <w:hyperlink r:id="rId15" w:tooltip="Go to Procedia - Social and Behavioral Sciences on ScienceDirect" w:history="1">
        <w:r w:rsidRPr="00A178B8">
          <w:rPr>
            <w:rFonts w:ascii="Times New Roman" w:eastAsia="Times New Roman" w:hAnsi="Times New Roman" w:cs="Times New Roman"/>
            <w:sz w:val="20"/>
            <w:szCs w:val="20"/>
          </w:rPr>
          <w:t>Procedia - Social and Behavioral Sciences</w:t>
        </w:r>
      </w:hyperlink>
      <w:r w:rsidRPr="00A178B8">
        <w:rPr>
          <w:rFonts w:ascii="Times New Roman" w:eastAsia="Times New Roman" w:hAnsi="Times New Roman" w:cs="Times New Roman"/>
          <w:sz w:val="20"/>
          <w:szCs w:val="20"/>
        </w:rPr>
        <w:t xml:space="preserve">, </w:t>
      </w:r>
      <w:hyperlink r:id="rId16" w:tooltip="Go to table of contents for this volume/issue" w:history="1">
        <w:r w:rsidRPr="00A178B8">
          <w:rPr>
            <w:rFonts w:ascii="Times New Roman" w:eastAsia="Times New Roman" w:hAnsi="Times New Roman" w:cs="Times New Roman"/>
            <w:sz w:val="20"/>
            <w:szCs w:val="20"/>
          </w:rPr>
          <w:t>Volume 24</w:t>
        </w:r>
      </w:hyperlink>
      <w:r w:rsidRPr="00A178B8">
        <w:rPr>
          <w:rFonts w:ascii="Times New Roman" w:eastAsia="Times New Roman" w:hAnsi="Times New Roman" w:cs="Times New Roman"/>
          <w:sz w:val="20"/>
          <w:szCs w:val="20"/>
        </w:rPr>
        <w:t>, Pages 946–959</w:t>
      </w:r>
    </w:p>
    <w:p w14:paraId="37059B23" w14:textId="77777777" w:rsidR="00A178B8" w:rsidRPr="00A178B8" w:rsidRDefault="00A178B8" w:rsidP="00A178B8">
      <w:pPr>
        <w:pStyle w:val="ListParagraph"/>
        <w:numPr>
          <w:ilvl w:val="0"/>
          <w:numId w:val="44"/>
        </w:numPr>
        <w:tabs>
          <w:tab w:val="clear" w:pos="720"/>
        </w:tabs>
        <w:spacing w:after="0" w:line="360" w:lineRule="auto"/>
        <w:jc w:val="both"/>
        <w:rPr>
          <w:rFonts w:ascii="Times New Roman" w:eastAsia="Times New Roman" w:hAnsi="Times New Roman" w:cs="Times New Roman"/>
          <w:sz w:val="20"/>
          <w:szCs w:val="20"/>
        </w:rPr>
      </w:pPr>
      <w:hyperlink r:id="rId17" w:history="1">
        <w:r w:rsidRPr="00A178B8">
          <w:rPr>
            <w:rFonts w:ascii="Times New Roman" w:eastAsia="Times New Roman" w:hAnsi="Times New Roman" w:cs="Times New Roman"/>
            <w:b/>
            <w:sz w:val="20"/>
            <w:szCs w:val="20"/>
          </w:rPr>
          <w:t xml:space="preserve">Gheorghe </w:t>
        </w:r>
        <w:proofErr w:type="spellStart"/>
        <w:r w:rsidRPr="00A178B8">
          <w:rPr>
            <w:rFonts w:ascii="Times New Roman" w:eastAsia="Times New Roman" w:hAnsi="Times New Roman" w:cs="Times New Roman"/>
            <w:b/>
            <w:sz w:val="20"/>
            <w:szCs w:val="20"/>
          </w:rPr>
          <w:t>Chitan</w:t>
        </w:r>
        <w:proofErr w:type="spellEnd"/>
      </w:hyperlink>
      <w:r w:rsidRPr="00A178B8">
        <w:rPr>
          <w:rFonts w:ascii="Times New Roman" w:hAnsi="Times New Roman" w:cs="Times New Roman"/>
          <w:b/>
          <w:sz w:val="20"/>
          <w:szCs w:val="20"/>
        </w:rPr>
        <w:t xml:space="preserve"> (2019) - </w:t>
      </w:r>
      <w:hyperlink r:id="rId18" w:tooltip="Go to Procedia Economics and Finance on ScienceDirect" w:history="1">
        <w:r w:rsidRPr="00A178B8">
          <w:rPr>
            <w:rFonts w:ascii="Times New Roman" w:eastAsia="Times New Roman" w:hAnsi="Times New Roman" w:cs="Times New Roman"/>
            <w:sz w:val="20"/>
            <w:szCs w:val="20"/>
          </w:rPr>
          <w:t>Procedia Economics and Finance</w:t>
        </w:r>
      </w:hyperlink>
      <w:r w:rsidRPr="00A178B8">
        <w:rPr>
          <w:rFonts w:ascii="Times New Roman" w:eastAsia="Times New Roman" w:hAnsi="Times New Roman" w:cs="Times New Roman"/>
          <w:sz w:val="20"/>
          <w:szCs w:val="20"/>
        </w:rPr>
        <w:t xml:space="preserve">, </w:t>
      </w:r>
      <w:hyperlink r:id="rId19" w:tooltip="Go to table of contents for this volume/issue" w:history="1">
        <w:r w:rsidRPr="00A178B8">
          <w:rPr>
            <w:rFonts w:ascii="Times New Roman" w:eastAsia="Times New Roman" w:hAnsi="Times New Roman" w:cs="Times New Roman"/>
            <w:sz w:val="20"/>
            <w:szCs w:val="20"/>
          </w:rPr>
          <w:t>Volume 3</w:t>
        </w:r>
      </w:hyperlink>
      <w:r w:rsidRPr="00A178B8">
        <w:rPr>
          <w:rFonts w:ascii="Times New Roman" w:eastAsia="Times New Roman" w:hAnsi="Times New Roman" w:cs="Times New Roman"/>
          <w:sz w:val="20"/>
          <w:szCs w:val="20"/>
        </w:rPr>
        <w:t>, Pages 549–554.</w:t>
      </w:r>
    </w:p>
    <w:p w14:paraId="6D1D53FF" w14:textId="77777777" w:rsidR="00A178B8" w:rsidRPr="00A178B8" w:rsidRDefault="00A178B8" w:rsidP="00A178B8">
      <w:pPr>
        <w:pStyle w:val="FootnoteText"/>
        <w:numPr>
          <w:ilvl w:val="0"/>
          <w:numId w:val="44"/>
        </w:numPr>
        <w:tabs>
          <w:tab w:val="clear" w:pos="720"/>
        </w:tabs>
        <w:spacing w:line="360" w:lineRule="auto"/>
        <w:jc w:val="both"/>
        <w:rPr>
          <w:rFonts w:ascii="Times New Roman" w:hAnsi="Times New Roman" w:cs="Times New Roman"/>
        </w:rPr>
      </w:pPr>
      <w:r w:rsidRPr="00A178B8">
        <w:rPr>
          <w:rFonts w:ascii="Times New Roman" w:hAnsi="Times New Roman" w:cs="Times New Roman"/>
          <w:b/>
        </w:rPr>
        <w:t xml:space="preserve">Hung-Yi Wu (2019) - </w:t>
      </w:r>
      <w:r w:rsidRPr="00A178B8">
        <w:rPr>
          <w:rFonts w:ascii="Times New Roman" w:hAnsi="Times New Roman" w:cs="Times New Roman"/>
        </w:rPr>
        <w:t>Evaluation and Program Planning, Volume 35, Issue 3, August, Pages 303–320.</w:t>
      </w:r>
    </w:p>
    <w:p w14:paraId="192C4604" w14:textId="77777777" w:rsidR="00A178B8" w:rsidRPr="00A178B8" w:rsidRDefault="00A178B8" w:rsidP="00A178B8">
      <w:pPr>
        <w:pStyle w:val="ListParagraph"/>
        <w:numPr>
          <w:ilvl w:val="0"/>
          <w:numId w:val="44"/>
        </w:numPr>
        <w:tabs>
          <w:tab w:val="clear" w:pos="720"/>
        </w:tabs>
        <w:spacing w:after="0" w:line="360" w:lineRule="auto"/>
        <w:jc w:val="both"/>
        <w:rPr>
          <w:rFonts w:ascii="Times New Roman" w:eastAsia="Times New Roman" w:hAnsi="Times New Roman" w:cs="Times New Roman"/>
          <w:sz w:val="20"/>
          <w:szCs w:val="20"/>
        </w:rPr>
      </w:pPr>
      <w:hyperlink r:id="rId20" w:history="1">
        <w:proofErr w:type="spellStart"/>
        <w:r w:rsidRPr="00A178B8">
          <w:rPr>
            <w:rFonts w:ascii="Times New Roman" w:eastAsia="Times New Roman" w:hAnsi="Times New Roman" w:cs="Times New Roman"/>
            <w:b/>
            <w:sz w:val="20"/>
            <w:szCs w:val="20"/>
          </w:rPr>
          <w:t>AncaMunteanu</w:t>
        </w:r>
        <w:proofErr w:type="spellEnd"/>
      </w:hyperlink>
      <w:r w:rsidRPr="00A178B8">
        <w:rPr>
          <w:rFonts w:ascii="Times New Roman" w:hAnsi="Times New Roman" w:cs="Times New Roman"/>
          <w:b/>
          <w:sz w:val="20"/>
          <w:szCs w:val="20"/>
        </w:rPr>
        <w:t xml:space="preserve"> (2020) - </w:t>
      </w:r>
      <w:hyperlink r:id="rId21" w:tooltip="Go to Procedia Economics and Finance on ScienceDirect" w:history="1">
        <w:r w:rsidRPr="00A178B8">
          <w:rPr>
            <w:rFonts w:ascii="Times New Roman" w:eastAsia="Times New Roman" w:hAnsi="Times New Roman" w:cs="Times New Roman"/>
            <w:sz w:val="20"/>
            <w:szCs w:val="20"/>
          </w:rPr>
          <w:t>Procedia Economics and Finance</w:t>
        </w:r>
      </w:hyperlink>
      <w:r w:rsidRPr="00A178B8">
        <w:rPr>
          <w:rFonts w:ascii="Times New Roman" w:eastAsia="Times New Roman" w:hAnsi="Times New Roman" w:cs="Times New Roman"/>
          <w:sz w:val="20"/>
          <w:szCs w:val="20"/>
        </w:rPr>
        <w:t xml:space="preserve">, </w:t>
      </w:r>
      <w:hyperlink r:id="rId22" w:tooltip="Go to table of contents for this volume/issue" w:history="1">
        <w:r w:rsidRPr="00A178B8">
          <w:rPr>
            <w:rFonts w:ascii="Times New Roman" w:eastAsia="Times New Roman" w:hAnsi="Times New Roman" w:cs="Times New Roman"/>
            <w:sz w:val="20"/>
            <w:szCs w:val="20"/>
          </w:rPr>
          <w:t>Volume 3</w:t>
        </w:r>
      </w:hyperlink>
      <w:r w:rsidRPr="00A178B8">
        <w:rPr>
          <w:rFonts w:ascii="Times New Roman" w:eastAsia="Times New Roman" w:hAnsi="Times New Roman" w:cs="Times New Roman"/>
          <w:sz w:val="20"/>
          <w:szCs w:val="20"/>
        </w:rPr>
        <w:t>, Pages 597–603</w:t>
      </w:r>
    </w:p>
    <w:p w14:paraId="5286BBFA" w14:textId="77777777" w:rsidR="00A178B8" w:rsidRPr="00A178B8" w:rsidRDefault="00A178B8" w:rsidP="00A178B8">
      <w:pPr>
        <w:pStyle w:val="ListParagraph"/>
        <w:numPr>
          <w:ilvl w:val="0"/>
          <w:numId w:val="44"/>
        </w:numPr>
        <w:tabs>
          <w:tab w:val="clear" w:pos="720"/>
        </w:tabs>
        <w:spacing w:after="0" w:line="360" w:lineRule="auto"/>
        <w:jc w:val="both"/>
        <w:rPr>
          <w:rFonts w:ascii="Times New Roman" w:eastAsia="Times New Roman" w:hAnsi="Times New Roman" w:cs="Times New Roman"/>
          <w:sz w:val="20"/>
          <w:szCs w:val="20"/>
        </w:rPr>
      </w:pPr>
      <w:hyperlink r:id="rId23" w:history="1">
        <w:r w:rsidRPr="00A178B8">
          <w:rPr>
            <w:rFonts w:ascii="Times New Roman" w:eastAsia="Times New Roman" w:hAnsi="Times New Roman" w:cs="Times New Roman"/>
            <w:b/>
            <w:sz w:val="20"/>
            <w:szCs w:val="20"/>
          </w:rPr>
          <w:t>Meng-Wen Wu</w:t>
        </w:r>
      </w:hyperlink>
      <w:r w:rsidRPr="00A178B8">
        <w:rPr>
          <w:rFonts w:ascii="Times New Roman" w:hAnsi="Times New Roman" w:cs="Times New Roman"/>
          <w:b/>
          <w:sz w:val="20"/>
          <w:szCs w:val="20"/>
        </w:rPr>
        <w:t xml:space="preserve"> (2020) - </w:t>
      </w:r>
      <w:hyperlink r:id="rId24" w:tooltip="Go to Journal of Banking &amp; Finance on ScienceDirect" w:history="1">
        <w:r w:rsidRPr="00A178B8">
          <w:rPr>
            <w:rFonts w:ascii="Times New Roman" w:eastAsia="Times New Roman" w:hAnsi="Times New Roman" w:cs="Times New Roman"/>
            <w:sz w:val="20"/>
            <w:szCs w:val="20"/>
          </w:rPr>
          <w:t>Journal of Banking &amp; Finance</w:t>
        </w:r>
      </w:hyperlink>
      <w:r w:rsidRPr="00A178B8">
        <w:rPr>
          <w:rFonts w:ascii="Times New Roman" w:eastAsia="Times New Roman" w:hAnsi="Times New Roman" w:cs="Times New Roman"/>
          <w:sz w:val="20"/>
          <w:szCs w:val="20"/>
        </w:rPr>
        <w:t xml:space="preserve">, </w:t>
      </w:r>
      <w:hyperlink r:id="rId25" w:tooltip="Go to table of contents for this volume/issue" w:history="1">
        <w:r w:rsidRPr="00A178B8">
          <w:rPr>
            <w:rFonts w:ascii="Times New Roman" w:eastAsia="Times New Roman" w:hAnsi="Times New Roman" w:cs="Times New Roman"/>
            <w:sz w:val="20"/>
            <w:szCs w:val="20"/>
          </w:rPr>
          <w:t>Volume 37, Issue 9</w:t>
        </w:r>
      </w:hyperlink>
      <w:r w:rsidRPr="00A178B8">
        <w:rPr>
          <w:rFonts w:ascii="Times New Roman" w:eastAsia="Times New Roman" w:hAnsi="Times New Roman" w:cs="Times New Roman"/>
          <w:sz w:val="20"/>
          <w:szCs w:val="20"/>
        </w:rPr>
        <w:t>, September, Pages 3529–3547</w:t>
      </w:r>
    </w:p>
    <w:p w14:paraId="15E64C53" w14:textId="77777777" w:rsidR="00A178B8" w:rsidRPr="00A178B8" w:rsidRDefault="00A178B8" w:rsidP="00A178B8">
      <w:pPr>
        <w:pStyle w:val="ListParagraph"/>
        <w:numPr>
          <w:ilvl w:val="0"/>
          <w:numId w:val="44"/>
        </w:numPr>
        <w:tabs>
          <w:tab w:val="clear" w:pos="720"/>
        </w:tabs>
        <w:spacing w:after="0" w:line="360" w:lineRule="auto"/>
        <w:jc w:val="both"/>
        <w:outlineLvl w:val="0"/>
        <w:rPr>
          <w:rFonts w:ascii="Times New Roman" w:eastAsia="Times New Roman" w:hAnsi="Times New Roman" w:cs="Times New Roman"/>
          <w:b/>
          <w:bCs/>
          <w:kern w:val="36"/>
          <w:sz w:val="20"/>
          <w:szCs w:val="20"/>
        </w:rPr>
      </w:pPr>
      <w:hyperlink r:id="rId26" w:history="1">
        <w:r w:rsidRPr="00A178B8">
          <w:rPr>
            <w:rFonts w:ascii="Times New Roman" w:eastAsia="Times New Roman" w:hAnsi="Times New Roman" w:cs="Times New Roman"/>
            <w:b/>
            <w:sz w:val="20"/>
            <w:szCs w:val="20"/>
          </w:rPr>
          <w:t>Joseph C. Paradi</w:t>
        </w:r>
      </w:hyperlink>
      <w:r w:rsidRPr="00A178B8">
        <w:rPr>
          <w:rFonts w:ascii="Times New Roman" w:hAnsi="Times New Roman" w:cs="Times New Roman"/>
          <w:b/>
          <w:sz w:val="20"/>
          <w:szCs w:val="20"/>
        </w:rPr>
        <w:t xml:space="preserve"> (2021) - </w:t>
      </w:r>
      <w:hyperlink r:id="rId27" w:tooltip="Go to Omega on ScienceDirect" w:history="1">
        <w:r w:rsidRPr="00A178B8">
          <w:rPr>
            <w:rFonts w:ascii="Times New Roman" w:eastAsia="Times New Roman" w:hAnsi="Times New Roman" w:cs="Times New Roman"/>
            <w:sz w:val="20"/>
            <w:szCs w:val="20"/>
          </w:rPr>
          <w:t>Omega</w:t>
        </w:r>
      </w:hyperlink>
      <w:r w:rsidRPr="00A178B8">
        <w:rPr>
          <w:rFonts w:ascii="Times New Roman" w:hAnsi="Times New Roman" w:cs="Times New Roman"/>
          <w:sz w:val="20"/>
          <w:szCs w:val="20"/>
        </w:rPr>
        <w:t>, ‘</w:t>
      </w:r>
      <w:r w:rsidRPr="00A178B8">
        <w:rPr>
          <w:rFonts w:ascii="Times New Roman" w:eastAsia="Times New Roman" w:hAnsi="Times New Roman" w:cs="Times New Roman"/>
          <w:b/>
          <w:bCs/>
          <w:kern w:val="36"/>
          <w:sz w:val="20"/>
          <w:szCs w:val="20"/>
        </w:rPr>
        <w:t xml:space="preserve">A survey on bank branch efficiency and performance research with data envelopment analysis’, </w:t>
      </w:r>
      <w:hyperlink r:id="rId28" w:tooltip="Go to table of contents for this volume/issue" w:history="1">
        <w:r w:rsidRPr="00A178B8">
          <w:rPr>
            <w:rFonts w:ascii="Times New Roman" w:eastAsia="Times New Roman" w:hAnsi="Times New Roman" w:cs="Times New Roman"/>
            <w:sz w:val="20"/>
            <w:szCs w:val="20"/>
          </w:rPr>
          <w:t>Volume 41, Issue 1</w:t>
        </w:r>
      </w:hyperlink>
      <w:r w:rsidRPr="00A178B8">
        <w:rPr>
          <w:rFonts w:ascii="Times New Roman" w:eastAsia="Times New Roman" w:hAnsi="Times New Roman" w:cs="Times New Roman"/>
          <w:sz w:val="20"/>
          <w:szCs w:val="20"/>
        </w:rPr>
        <w:t>, January, Pages 61–79</w:t>
      </w:r>
    </w:p>
    <w:p w14:paraId="3F0AD236" w14:textId="77777777" w:rsidR="00A178B8" w:rsidRPr="00A178B8" w:rsidRDefault="00A178B8" w:rsidP="00A178B8">
      <w:pPr>
        <w:pStyle w:val="ListParagraph"/>
        <w:numPr>
          <w:ilvl w:val="0"/>
          <w:numId w:val="44"/>
        </w:numPr>
        <w:tabs>
          <w:tab w:val="clear" w:pos="720"/>
        </w:tabs>
        <w:spacing w:after="0" w:line="360" w:lineRule="auto"/>
        <w:jc w:val="both"/>
        <w:rPr>
          <w:rFonts w:ascii="Times New Roman" w:eastAsia="Times New Roman" w:hAnsi="Times New Roman" w:cs="Times New Roman"/>
          <w:sz w:val="20"/>
          <w:szCs w:val="20"/>
        </w:rPr>
      </w:pPr>
      <w:proofErr w:type="spellStart"/>
      <w:r w:rsidRPr="00A178B8">
        <w:rPr>
          <w:rFonts w:ascii="Times New Roman" w:eastAsia="Times New Roman" w:hAnsi="Times New Roman" w:cs="Times New Roman"/>
          <w:b/>
          <w:sz w:val="20"/>
          <w:szCs w:val="20"/>
        </w:rPr>
        <w:t>GeorgiosEfthyvoulou</w:t>
      </w:r>
      <w:proofErr w:type="spellEnd"/>
      <w:r w:rsidRPr="00A178B8">
        <w:rPr>
          <w:rFonts w:ascii="Times New Roman" w:eastAsia="Times New Roman" w:hAnsi="Times New Roman" w:cs="Times New Roman"/>
          <w:b/>
          <w:sz w:val="20"/>
          <w:szCs w:val="20"/>
        </w:rPr>
        <w:t xml:space="preserve"> (2021) - </w:t>
      </w:r>
      <w:hyperlink r:id="rId29" w:tooltip="Go to Journal of Banking &amp; Finance on ScienceDirect" w:history="1">
        <w:r w:rsidRPr="00A178B8">
          <w:rPr>
            <w:rFonts w:ascii="Times New Roman" w:eastAsia="Times New Roman" w:hAnsi="Times New Roman" w:cs="Times New Roman"/>
            <w:sz w:val="20"/>
            <w:szCs w:val="20"/>
          </w:rPr>
          <w:t>Journal of Banking &amp; Finance</w:t>
        </w:r>
      </w:hyperlink>
      <w:r w:rsidRPr="00A178B8">
        <w:rPr>
          <w:rFonts w:ascii="Times New Roman" w:eastAsia="Times New Roman" w:hAnsi="Times New Roman" w:cs="Times New Roman"/>
          <w:sz w:val="20"/>
          <w:szCs w:val="20"/>
        </w:rPr>
        <w:t xml:space="preserve">, </w:t>
      </w:r>
      <w:hyperlink r:id="rId30" w:tooltip="Go to table of contents for this volume/issue" w:history="1">
        <w:r w:rsidRPr="00A178B8">
          <w:rPr>
            <w:rFonts w:ascii="Times New Roman" w:eastAsia="Times New Roman" w:hAnsi="Times New Roman" w:cs="Times New Roman"/>
            <w:sz w:val="20"/>
            <w:szCs w:val="20"/>
          </w:rPr>
          <w:t>Volume 40</w:t>
        </w:r>
      </w:hyperlink>
      <w:r w:rsidRPr="00A178B8">
        <w:rPr>
          <w:rFonts w:ascii="Times New Roman" w:eastAsia="Times New Roman" w:hAnsi="Times New Roman" w:cs="Times New Roman"/>
          <w:sz w:val="20"/>
          <w:szCs w:val="20"/>
        </w:rPr>
        <w:t>, March, Pages 11–27</w:t>
      </w:r>
    </w:p>
    <w:p w14:paraId="1D2F3517" w14:textId="77777777" w:rsidR="00A178B8" w:rsidRPr="00A178B8" w:rsidRDefault="00A178B8" w:rsidP="00A178B8">
      <w:pPr>
        <w:pStyle w:val="ListParagraph"/>
        <w:numPr>
          <w:ilvl w:val="0"/>
          <w:numId w:val="44"/>
        </w:numPr>
        <w:tabs>
          <w:tab w:val="clear" w:pos="720"/>
        </w:tabs>
        <w:spacing w:after="0" w:line="360" w:lineRule="auto"/>
        <w:jc w:val="both"/>
        <w:rPr>
          <w:rFonts w:ascii="Times New Roman" w:eastAsia="Times New Roman" w:hAnsi="Times New Roman" w:cs="Times New Roman"/>
          <w:sz w:val="20"/>
          <w:szCs w:val="20"/>
        </w:rPr>
      </w:pPr>
      <w:hyperlink r:id="rId31" w:history="1">
        <w:r w:rsidRPr="00A178B8">
          <w:rPr>
            <w:rFonts w:ascii="Times New Roman" w:eastAsia="Times New Roman" w:hAnsi="Times New Roman" w:cs="Times New Roman"/>
            <w:b/>
            <w:sz w:val="20"/>
            <w:szCs w:val="20"/>
          </w:rPr>
          <w:t>Rudra P. Pradhan</w:t>
        </w:r>
      </w:hyperlink>
      <w:r w:rsidRPr="00A178B8">
        <w:rPr>
          <w:rFonts w:ascii="Times New Roman" w:hAnsi="Times New Roman" w:cs="Times New Roman"/>
          <w:b/>
          <w:sz w:val="20"/>
          <w:szCs w:val="20"/>
        </w:rPr>
        <w:t xml:space="preserve"> (2022) - </w:t>
      </w:r>
      <w:hyperlink r:id="rId32" w:tooltip="Go to Review of Financial Economics on ScienceDirect" w:history="1">
        <w:r w:rsidRPr="00A178B8">
          <w:rPr>
            <w:rFonts w:ascii="Times New Roman" w:eastAsia="Times New Roman" w:hAnsi="Times New Roman" w:cs="Times New Roman"/>
            <w:sz w:val="20"/>
            <w:szCs w:val="20"/>
          </w:rPr>
          <w:t>Review of Financial Economics</w:t>
        </w:r>
      </w:hyperlink>
      <w:r w:rsidRPr="00A178B8">
        <w:rPr>
          <w:rFonts w:ascii="Times New Roman" w:eastAsia="Times New Roman" w:hAnsi="Times New Roman" w:cs="Times New Roman"/>
          <w:sz w:val="20"/>
          <w:szCs w:val="20"/>
        </w:rPr>
        <w:t xml:space="preserve">, </w:t>
      </w:r>
      <w:hyperlink r:id="rId33" w:tooltip="Go to table of contents for this volume/issue" w:history="1">
        <w:r w:rsidRPr="00A178B8">
          <w:rPr>
            <w:rFonts w:ascii="Times New Roman" w:eastAsia="Times New Roman" w:hAnsi="Times New Roman" w:cs="Times New Roman"/>
            <w:sz w:val="20"/>
            <w:szCs w:val="20"/>
          </w:rPr>
          <w:t>Volume 23, Issue 4</w:t>
        </w:r>
      </w:hyperlink>
      <w:r w:rsidRPr="00A178B8">
        <w:rPr>
          <w:rFonts w:ascii="Times New Roman" w:eastAsia="Times New Roman" w:hAnsi="Times New Roman" w:cs="Times New Roman"/>
          <w:sz w:val="20"/>
          <w:szCs w:val="20"/>
        </w:rPr>
        <w:t>, November, Pages 155–173</w:t>
      </w:r>
    </w:p>
    <w:p w14:paraId="3714742B" w14:textId="77777777" w:rsidR="00A178B8" w:rsidRPr="00A178B8" w:rsidRDefault="00A178B8" w:rsidP="00A178B8">
      <w:pPr>
        <w:pStyle w:val="ListParagraph"/>
        <w:numPr>
          <w:ilvl w:val="0"/>
          <w:numId w:val="44"/>
        </w:numPr>
        <w:tabs>
          <w:tab w:val="clear" w:pos="720"/>
        </w:tabs>
        <w:spacing w:after="0" w:line="360" w:lineRule="auto"/>
        <w:jc w:val="both"/>
        <w:rPr>
          <w:rFonts w:ascii="Times New Roman" w:hAnsi="Times New Roman" w:cs="Times New Roman"/>
          <w:sz w:val="20"/>
          <w:szCs w:val="20"/>
        </w:rPr>
      </w:pPr>
      <w:proofErr w:type="spellStart"/>
      <w:r w:rsidRPr="00A178B8">
        <w:rPr>
          <w:rFonts w:ascii="Times New Roman" w:hAnsi="Times New Roman" w:cs="Times New Roman"/>
          <w:b/>
          <w:sz w:val="20"/>
          <w:szCs w:val="20"/>
        </w:rPr>
        <w:t>SmitaShukla</w:t>
      </w:r>
      <w:proofErr w:type="spellEnd"/>
      <w:r w:rsidRPr="00A178B8">
        <w:rPr>
          <w:rFonts w:ascii="Times New Roman" w:hAnsi="Times New Roman" w:cs="Times New Roman"/>
          <w:b/>
          <w:sz w:val="20"/>
          <w:szCs w:val="20"/>
        </w:rPr>
        <w:t xml:space="preserve">, </w:t>
      </w:r>
      <w:r w:rsidRPr="00A178B8">
        <w:rPr>
          <w:rStyle w:val="authordegrees"/>
          <w:b/>
          <w:sz w:val="20"/>
          <w:szCs w:val="20"/>
        </w:rPr>
        <w:t>Dr.</w:t>
      </w:r>
      <w:r w:rsidRPr="00A178B8">
        <w:rPr>
          <w:rFonts w:ascii="Times New Roman" w:hAnsi="Times New Roman" w:cs="Times New Roman"/>
          <w:b/>
          <w:sz w:val="20"/>
          <w:szCs w:val="20"/>
        </w:rPr>
        <w:t xml:space="preserve"> (2022) - </w:t>
      </w:r>
      <w:r w:rsidRPr="00A178B8">
        <w:rPr>
          <w:rFonts w:ascii="Times New Roman" w:hAnsi="Times New Roman" w:cs="Times New Roman"/>
          <w:sz w:val="20"/>
          <w:szCs w:val="20"/>
        </w:rPr>
        <w:t>Procedia Economics and Finance, Volume 11, Pages 383–395</w:t>
      </w:r>
    </w:p>
    <w:p w14:paraId="444AED38" w14:textId="097B5CF5" w:rsidR="00323040" w:rsidRPr="00323040" w:rsidRDefault="00323040" w:rsidP="00323040">
      <w:pPr>
        <w:tabs>
          <w:tab w:val="left" w:pos="6288"/>
        </w:tabs>
        <w:rPr>
          <w:rFonts w:ascii="Times New Roman" w:hAnsi="Times New Roman" w:cs="Times New Roman"/>
          <w:sz w:val="20"/>
          <w:szCs w:val="20"/>
          <w:lang w:eastAsia="en-IN"/>
        </w:rPr>
      </w:pPr>
      <w:r>
        <w:rPr>
          <w:rFonts w:ascii="Times New Roman" w:hAnsi="Times New Roman" w:cs="Times New Roman"/>
          <w:sz w:val="20"/>
          <w:szCs w:val="20"/>
          <w:lang w:eastAsia="en-IN"/>
        </w:rPr>
        <w:tab/>
      </w:r>
    </w:p>
    <w:sectPr w:rsidR="00323040" w:rsidRPr="00323040" w:rsidSect="00522C18">
      <w:headerReference w:type="default" r:id="rId34"/>
      <w:footerReference w:type="default" r:id="rId3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9A52" w14:textId="77777777" w:rsidR="00522C18" w:rsidRDefault="00522C18" w:rsidP="00C556D7">
      <w:pPr>
        <w:spacing w:after="0" w:line="240" w:lineRule="auto"/>
      </w:pPr>
      <w:r>
        <w:separator/>
      </w:r>
    </w:p>
  </w:endnote>
  <w:endnote w:type="continuationSeparator" w:id="0">
    <w:p w14:paraId="52160EB1" w14:textId="77777777" w:rsidR="00522C18" w:rsidRDefault="00522C1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7693C" w14:textId="77777777" w:rsidR="00522C18" w:rsidRDefault="00522C18" w:rsidP="00C556D7">
      <w:pPr>
        <w:spacing w:after="0" w:line="240" w:lineRule="auto"/>
      </w:pPr>
      <w:r>
        <w:separator/>
      </w:r>
    </w:p>
  </w:footnote>
  <w:footnote w:type="continuationSeparator" w:id="0">
    <w:p w14:paraId="013551AC" w14:textId="77777777" w:rsidR="00522C18" w:rsidRDefault="00522C1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A036B1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4"/>
    <w:multiLevelType w:val="hybridMultilevel"/>
    <w:tmpl w:val="3E940890"/>
    <w:lvl w:ilvl="0" w:tplc="40090001">
      <w:start w:val="1"/>
      <w:numFmt w:val="bullet"/>
      <w:lvlText w:val=""/>
      <w:lvlJc w:val="left"/>
      <w:pPr>
        <w:ind w:left="1670" w:hanging="360"/>
      </w:pPr>
      <w:rPr>
        <w:rFonts w:ascii="Symbol" w:hAnsi="Symbol" w:hint="default"/>
      </w:rPr>
    </w:lvl>
    <w:lvl w:ilvl="1" w:tplc="40090003" w:tentative="1">
      <w:start w:val="1"/>
      <w:numFmt w:val="bullet"/>
      <w:lvlText w:val="o"/>
      <w:lvlJc w:val="left"/>
      <w:pPr>
        <w:ind w:left="2390" w:hanging="360"/>
      </w:pPr>
      <w:rPr>
        <w:rFonts w:ascii="Courier New" w:hAnsi="Courier New" w:cs="Courier New" w:hint="default"/>
      </w:rPr>
    </w:lvl>
    <w:lvl w:ilvl="2" w:tplc="40090005" w:tentative="1">
      <w:start w:val="1"/>
      <w:numFmt w:val="bullet"/>
      <w:lvlText w:val=""/>
      <w:lvlJc w:val="left"/>
      <w:pPr>
        <w:ind w:left="3110" w:hanging="360"/>
      </w:pPr>
      <w:rPr>
        <w:rFonts w:ascii="Wingdings" w:hAnsi="Wingdings" w:hint="default"/>
      </w:rPr>
    </w:lvl>
    <w:lvl w:ilvl="3" w:tplc="40090001" w:tentative="1">
      <w:start w:val="1"/>
      <w:numFmt w:val="bullet"/>
      <w:lvlText w:val=""/>
      <w:lvlJc w:val="left"/>
      <w:pPr>
        <w:ind w:left="3830" w:hanging="360"/>
      </w:pPr>
      <w:rPr>
        <w:rFonts w:ascii="Symbol" w:hAnsi="Symbol" w:hint="default"/>
      </w:rPr>
    </w:lvl>
    <w:lvl w:ilvl="4" w:tplc="40090003" w:tentative="1">
      <w:start w:val="1"/>
      <w:numFmt w:val="bullet"/>
      <w:lvlText w:val="o"/>
      <w:lvlJc w:val="left"/>
      <w:pPr>
        <w:ind w:left="4550" w:hanging="360"/>
      </w:pPr>
      <w:rPr>
        <w:rFonts w:ascii="Courier New" w:hAnsi="Courier New" w:cs="Courier New" w:hint="default"/>
      </w:rPr>
    </w:lvl>
    <w:lvl w:ilvl="5" w:tplc="40090005" w:tentative="1">
      <w:start w:val="1"/>
      <w:numFmt w:val="bullet"/>
      <w:lvlText w:val=""/>
      <w:lvlJc w:val="left"/>
      <w:pPr>
        <w:ind w:left="5270" w:hanging="360"/>
      </w:pPr>
      <w:rPr>
        <w:rFonts w:ascii="Wingdings" w:hAnsi="Wingdings" w:hint="default"/>
      </w:rPr>
    </w:lvl>
    <w:lvl w:ilvl="6" w:tplc="40090001" w:tentative="1">
      <w:start w:val="1"/>
      <w:numFmt w:val="bullet"/>
      <w:lvlText w:val=""/>
      <w:lvlJc w:val="left"/>
      <w:pPr>
        <w:ind w:left="5990" w:hanging="360"/>
      </w:pPr>
      <w:rPr>
        <w:rFonts w:ascii="Symbol" w:hAnsi="Symbol" w:hint="default"/>
      </w:rPr>
    </w:lvl>
    <w:lvl w:ilvl="7" w:tplc="40090003" w:tentative="1">
      <w:start w:val="1"/>
      <w:numFmt w:val="bullet"/>
      <w:lvlText w:val="o"/>
      <w:lvlJc w:val="left"/>
      <w:pPr>
        <w:ind w:left="6710" w:hanging="360"/>
      </w:pPr>
      <w:rPr>
        <w:rFonts w:ascii="Courier New" w:hAnsi="Courier New" w:cs="Courier New" w:hint="default"/>
      </w:rPr>
    </w:lvl>
    <w:lvl w:ilvl="8" w:tplc="40090005" w:tentative="1">
      <w:start w:val="1"/>
      <w:numFmt w:val="bullet"/>
      <w:lvlText w:val=""/>
      <w:lvlJc w:val="left"/>
      <w:pPr>
        <w:ind w:left="7430" w:hanging="360"/>
      </w:pPr>
      <w:rPr>
        <w:rFonts w:ascii="Wingdings" w:hAnsi="Wingdings" w:hint="default"/>
      </w:rPr>
    </w:lvl>
  </w:abstractNum>
  <w:abstractNum w:abstractNumId="3" w15:restartNumberingAfterBreak="0">
    <w:nsid w:val="00000009"/>
    <w:multiLevelType w:val="hybridMultilevel"/>
    <w:tmpl w:val="0ACC9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0F"/>
    <w:multiLevelType w:val="hybridMultilevel"/>
    <w:tmpl w:val="A788BCDA"/>
    <w:lvl w:ilvl="0" w:tplc="40090001">
      <w:start w:val="1"/>
      <w:numFmt w:val="bullet"/>
      <w:lvlText w:val=""/>
      <w:lvlJc w:val="left"/>
      <w:pPr>
        <w:tabs>
          <w:tab w:val="left" w:pos="720"/>
        </w:tabs>
        <w:ind w:left="720" w:hanging="360"/>
      </w:pPr>
      <w:rPr>
        <w:rFonts w:ascii="Symbol" w:hAnsi="Symbol" w:hint="default"/>
      </w:rPr>
    </w:lvl>
    <w:lvl w:ilvl="1" w:tplc="04090003" w:tentative="1">
      <w:start w:val="1"/>
      <w:numFmt w:val="bullet"/>
      <w:lvlText w:val="o"/>
      <w:lvlJc w:val="left"/>
      <w:pPr>
        <w:tabs>
          <w:tab w:val="left" w:pos="1440"/>
        </w:tabs>
        <w:ind w:left="1440" w:hanging="360"/>
      </w:pPr>
      <w:rPr>
        <w:rFonts w:ascii="Courier New" w:hAnsi="Courier New" w:cs="Courier New" w:hint="default"/>
      </w:rPr>
    </w:lvl>
    <w:lvl w:ilvl="2" w:tplc="04090005" w:tentative="1">
      <w:start w:val="1"/>
      <w:numFmt w:val="bullet"/>
      <w:lvlText w:val=""/>
      <w:lvlJc w:val="left"/>
      <w:pPr>
        <w:tabs>
          <w:tab w:val="left" w:pos="2160"/>
        </w:tabs>
        <w:ind w:left="2160" w:hanging="360"/>
      </w:pPr>
      <w:rPr>
        <w:rFonts w:ascii="Wingdings" w:hAnsi="Wingdings" w:hint="default"/>
      </w:rPr>
    </w:lvl>
    <w:lvl w:ilvl="3" w:tplc="04090001" w:tentative="1">
      <w:start w:val="1"/>
      <w:numFmt w:val="bullet"/>
      <w:lvlText w:val=""/>
      <w:lvlJc w:val="left"/>
      <w:pPr>
        <w:tabs>
          <w:tab w:val="left" w:pos="2880"/>
        </w:tabs>
        <w:ind w:left="2880" w:hanging="360"/>
      </w:pPr>
      <w:rPr>
        <w:rFonts w:ascii="Symbol" w:hAnsi="Symbol" w:hint="default"/>
      </w:rPr>
    </w:lvl>
    <w:lvl w:ilvl="4" w:tplc="04090003" w:tentative="1">
      <w:start w:val="1"/>
      <w:numFmt w:val="bullet"/>
      <w:lvlText w:val="o"/>
      <w:lvlJc w:val="left"/>
      <w:pPr>
        <w:tabs>
          <w:tab w:val="left" w:pos="3600"/>
        </w:tabs>
        <w:ind w:left="3600" w:hanging="360"/>
      </w:pPr>
      <w:rPr>
        <w:rFonts w:ascii="Courier New" w:hAnsi="Courier New" w:cs="Courier New" w:hint="default"/>
      </w:rPr>
    </w:lvl>
    <w:lvl w:ilvl="5" w:tplc="04090005" w:tentative="1">
      <w:start w:val="1"/>
      <w:numFmt w:val="bullet"/>
      <w:lvlText w:val=""/>
      <w:lvlJc w:val="left"/>
      <w:pPr>
        <w:tabs>
          <w:tab w:val="left" w:pos="4320"/>
        </w:tabs>
        <w:ind w:left="4320" w:hanging="360"/>
      </w:pPr>
      <w:rPr>
        <w:rFonts w:ascii="Wingdings" w:hAnsi="Wingdings" w:hint="default"/>
      </w:rPr>
    </w:lvl>
    <w:lvl w:ilvl="6" w:tplc="04090001" w:tentative="1">
      <w:start w:val="1"/>
      <w:numFmt w:val="bullet"/>
      <w:lvlText w:val=""/>
      <w:lvlJc w:val="left"/>
      <w:pPr>
        <w:tabs>
          <w:tab w:val="left" w:pos="5040"/>
        </w:tabs>
        <w:ind w:left="5040" w:hanging="360"/>
      </w:pPr>
      <w:rPr>
        <w:rFonts w:ascii="Symbol" w:hAnsi="Symbol" w:hint="default"/>
      </w:rPr>
    </w:lvl>
    <w:lvl w:ilvl="7" w:tplc="04090003" w:tentative="1">
      <w:start w:val="1"/>
      <w:numFmt w:val="bullet"/>
      <w:lvlText w:val="o"/>
      <w:lvlJc w:val="left"/>
      <w:pPr>
        <w:tabs>
          <w:tab w:val="left" w:pos="5760"/>
        </w:tabs>
        <w:ind w:left="5760" w:hanging="360"/>
      </w:pPr>
      <w:rPr>
        <w:rFonts w:ascii="Courier New" w:hAnsi="Courier New" w:cs="Courier New" w:hint="default"/>
      </w:rPr>
    </w:lvl>
    <w:lvl w:ilvl="8" w:tplc="04090005" w:tentative="1">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0000010"/>
    <w:multiLevelType w:val="hybridMultilevel"/>
    <w:tmpl w:val="9CF4D9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00000011"/>
    <w:multiLevelType w:val="hybridMultilevel"/>
    <w:tmpl w:val="EFEE1ED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00000013"/>
    <w:multiLevelType w:val="hybridMultilevel"/>
    <w:tmpl w:val="2D440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0000017"/>
    <w:multiLevelType w:val="hybridMultilevel"/>
    <w:tmpl w:val="3F82F000"/>
    <w:lvl w:ilvl="0" w:tplc="40090001">
      <w:start w:val="1"/>
      <w:numFmt w:val="bullet"/>
      <w:lvlText w:val=""/>
      <w:lvlJc w:val="left"/>
      <w:pPr>
        <w:ind w:left="720" w:hanging="360"/>
      </w:pPr>
      <w:rPr>
        <w:rFonts w:ascii="Symbol" w:hAnsi="Symbo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0000018"/>
    <w:multiLevelType w:val="hybridMultilevel"/>
    <w:tmpl w:val="A4ACCFD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000001B"/>
    <w:multiLevelType w:val="hybridMultilevel"/>
    <w:tmpl w:val="1F6CD6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000001F"/>
    <w:multiLevelType w:val="hybridMultilevel"/>
    <w:tmpl w:val="9070B7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00000021"/>
    <w:multiLevelType w:val="hybridMultilevel"/>
    <w:tmpl w:val="DEF4CEEE"/>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0000022"/>
    <w:multiLevelType w:val="hybridMultilevel"/>
    <w:tmpl w:val="ECDE9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00000023"/>
    <w:multiLevelType w:val="hybridMultilevel"/>
    <w:tmpl w:val="DC705BBE"/>
    <w:lvl w:ilvl="0" w:tplc="40090001">
      <w:start w:val="1"/>
      <w:numFmt w:val="bullet"/>
      <w:lvlText w:val=""/>
      <w:lvlJc w:val="left"/>
      <w:pPr>
        <w:tabs>
          <w:tab w:val="left" w:pos="720"/>
        </w:tabs>
        <w:ind w:left="720" w:hanging="360"/>
      </w:pPr>
      <w:rPr>
        <w:rFonts w:ascii="Symbol" w:hAnsi="Symbol" w:hint="default"/>
        <w:b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5"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D5F0561"/>
    <w:multiLevelType w:val="hybridMultilevel"/>
    <w:tmpl w:val="095427E2"/>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20"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C14C17"/>
    <w:multiLevelType w:val="hybridMultilevel"/>
    <w:tmpl w:val="ADDA287E"/>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23"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844ACB"/>
    <w:multiLevelType w:val="multilevel"/>
    <w:tmpl w:val="3364E252"/>
    <w:lvl w:ilvl="0">
      <w:start w:val="1"/>
      <w:numFmt w:val="decimal"/>
      <w:lvlText w:val="%1."/>
      <w:lvlJc w:val="left"/>
      <w:pPr>
        <w:ind w:left="692" w:hanging="360"/>
      </w:pPr>
      <w:rPr>
        <w:rFont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26"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444F3AC3"/>
    <w:multiLevelType w:val="multilevel"/>
    <w:tmpl w:val="DF30BD72"/>
    <w:lvl w:ilvl="0">
      <w:start w:val="1"/>
      <w:numFmt w:val="bullet"/>
      <w:lvlText w:val=""/>
      <w:lvlJc w:val="left"/>
      <w:pPr>
        <w:ind w:left="692" w:hanging="360"/>
      </w:pPr>
      <w:rPr>
        <w:rFonts w:ascii="Symbol" w:hAnsi="Symbol"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3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32542C"/>
    <w:multiLevelType w:val="hybridMultilevel"/>
    <w:tmpl w:val="0532A03C"/>
    <w:lvl w:ilvl="0" w:tplc="4009000D">
      <w:start w:val="1"/>
      <w:numFmt w:val="bullet"/>
      <w:lvlText w:val=""/>
      <w:lvlJc w:val="left"/>
      <w:pPr>
        <w:tabs>
          <w:tab w:val="left" w:pos="720"/>
        </w:tabs>
        <w:ind w:left="720" w:hanging="360"/>
      </w:pPr>
      <w:rPr>
        <w:rFonts w:ascii="Wingdings" w:hAnsi="Wingdings" w:hint="default"/>
      </w:rPr>
    </w:lvl>
    <w:lvl w:ilvl="1" w:tplc="FFFFFFFF" w:tentative="1">
      <w:start w:val="1"/>
      <w:numFmt w:val="bullet"/>
      <w:lvlText w:val="o"/>
      <w:lvlJc w:val="left"/>
      <w:pPr>
        <w:tabs>
          <w:tab w:val="left" w:pos="1440"/>
        </w:tabs>
        <w:ind w:left="1440" w:hanging="360"/>
      </w:pPr>
      <w:rPr>
        <w:rFonts w:ascii="Courier New" w:hAnsi="Courier New" w:cs="Courier New" w:hint="default"/>
      </w:rPr>
    </w:lvl>
    <w:lvl w:ilvl="2" w:tplc="FFFFFFFF" w:tentative="1">
      <w:start w:val="1"/>
      <w:numFmt w:val="bullet"/>
      <w:lvlText w:val=""/>
      <w:lvlJc w:val="left"/>
      <w:pPr>
        <w:tabs>
          <w:tab w:val="left" w:pos="2160"/>
        </w:tabs>
        <w:ind w:left="2160" w:hanging="360"/>
      </w:pPr>
      <w:rPr>
        <w:rFonts w:ascii="Wingdings" w:hAnsi="Wingdings" w:hint="default"/>
      </w:rPr>
    </w:lvl>
    <w:lvl w:ilvl="3" w:tplc="FFFFFFFF" w:tentative="1">
      <w:start w:val="1"/>
      <w:numFmt w:val="bullet"/>
      <w:lvlText w:val=""/>
      <w:lvlJc w:val="left"/>
      <w:pPr>
        <w:tabs>
          <w:tab w:val="left" w:pos="2880"/>
        </w:tabs>
        <w:ind w:left="2880" w:hanging="360"/>
      </w:pPr>
      <w:rPr>
        <w:rFonts w:ascii="Symbol" w:hAnsi="Symbol" w:hint="default"/>
      </w:rPr>
    </w:lvl>
    <w:lvl w:ilvl="4" w:tplc="FFFFFFFF" w:tentative="1">
      <w:start w:val="1"/>
      <w:numFmt w:val="bullet"/>
      <w:lvlText w:val="o"/>
      <w:lvlJc w:val="left"/>
      <w:pPr>
        <w:tabs>
          <w:tab w:val="left" w:pos="3600"/>
        </w:tabs>
        <w:ind w:left="3600" w:hanging="360"/>
      </w:pPr>
      <w:rPr>
        <w:rFonts w:ascii="Courier New" w:hAnsi="Courier New" w:cs="Courier New" w:hint="default"/>
      </w:rPr>
    </w:lvl>
    <w:lvl w:ilvl="5" w:tplc="FFFFFFFF" w:tentative="1">
      <w:start w:val="1"/>
      <w:numFmt w:val="bullet"/>
      <w:lvlText w:val=""/>
      <w:lvlJc w:val="left"/>
      <w:pPr>
        <w:tabs>
          <w:tab w:val="left" w:pos="4320"/>
        </w:tabs>
        <w:ind w:left="4320" w:hanging="360"/>
      </w:pPr>
      <w:rPr>
        <w:rFonts w:ascii="Wingdings" w:hAnsi="Wingdings" w:hint="default"/>
      </w:rPr>
    </w:lvl>
    <w:lvl w:ilvl="6" w:tplc="FFFFFFFF" w:tentative="1">
      <w:start w:val="1"/>
      <w:numFmt w:val="bullet"/>
      <w:lvlText w:val=""/>
      <w:lvlJc w:val="left"/>
      <w:pPr>
        <w:tabs>
          <w:tab w:val="left" w:pos="5040"/>
        </w:tabs>
        <w:ind w:left="5040" w:hanging="360"/>
      </w:pPr>
      <w:rPr>
        <w:rFonts w:ascii="Symbol" w:hAnsi="Symbol" w:hint="default"/>
      </w:rPr>
    </w:lvl>
    <w:lvl w:ilvl="7" w:tplc="FFFFFFFF" w:tentative="1">
      <w:start w:val="1"/>
      <w:numFmt w:val="bullet"/>
      <w:lvlText w:val="o"/>
      <w:lvlJc w:val="left"/>
      <w:pPr>
        <w:tabs>
          <w:tab w:val="left" w:pos="5760"/>
        </w:tabs>
        <w:ind w:left="5760" w:hanging="360"/>
      </w:pPr>
      <w:rPr>
        <w:rFonts w:ascii="Courier New" w:hAnsi="Courier New" w:cs="Courier New" w:hint="default"/>
      </w:rPr>
    </w:lvl>
    <w:lvl w:ilvl="8" w:tplc="FFFFFFFF" w:tentative="1">
      <w:start w:val="1"/>
      <w:numFmt w:val="bullet"/>
      <w:lvlText w:val=""/>
      <w:lvlJc w:val="left"/>
      <w:pPr>
        <w:tabs>
          <w:tab w:val="left" w:pos="6480"/>
        </w:tabs>
        <w:ind w:left="6480" w:hanging="360"/>
      </w:pPr>
      <w:rPr>
        <w:rFonts w:ascii="Wingdings" w:hAnsi="Wingdings" w:hint="default"/>
      </w:rPr>
    </w:lvl>
  </w:abstractNum>
  <w:abstractNum w:abstractNumId="3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9967E6"/>
    <w:multiLevelType w:val="hybridMultilevel"/>
    <w:tmpl w:val="3FBA1FA4"/>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39" w15:restartNumberingAfterBreak="0">
    <w:nsid w:val="6A6D1F4A"/>
    <w:multiLevelType w:val="hybridMultilevel"/>
    <w:tmpl w:val="FCF2536E"/>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4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7F6E72"/>
    <w:multiLevelType w:val="multilevel"/>
    <w:tmpl w:val="03565974"/>
    <w:lvl w:ilvl="0">
      <w:start w:val="1"/>
      <w:numFmt w:val="bullet"/>
      <w:lvlText w:val=""/>
      <w:lvlJc w:val="left"/>
      <w:pPr>
        <w:ind w:left="692" w:hanging="360"/>
      </w:pPr>
      <w:rPr>
        <w:rFonts w:ascii="Wingdings" w:hAnsi="Wingding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43" w15:restartNumberingAfterBreak="0">
    <w:nsid w:val="78D14780"/>
    <w:multiLevelType w:val="hybridMultilevel"/>
    <w:tmpl w:val="8E5289C6"/>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num w:numId="1" w16cid:durableId="1920796392">
    <w:abstractNumId w:val="24"/>
  </w:num>
  <w:num w:numId="2" w16cid:durableId="790048988">
    <w:abstractNumId w:val="20"/>
  </w:num>
  <w:num w:numId="3" w16cid:durableId="1993635357">
    <w:abstractNumId w:val="28"/>
  </w:num>
  <w:num w:numId="4" w16cid:durableId="1479104421">
    <w:abstractNumId w:val="29"/>
  </w:num>
  <w:num w:numId="5" w16cid:durableId="1066758610">
    <w:abstractNumId w:val="23"/>
  </w:num>
  <w:num w:numId="6" w16cid:durableId="590088686">
    <w:abstractNumId w:val="33"/>
  </w:num>
  <w:num w:numId="7" w16cid:durableId="924848298">
    <w:abstractNumId w:val="15"/>
  </w:num>
  <w:num w:numId="8" w16cid:durableId="781143302">
    <w:abstractNumId w:val="41"/>
  </w:num>
  <w:num w:numId="9" w16cid:durableId="851842906">
    <w:abstractNumId w:val="1"/>
  </w:num>
  <w:num w:numId="10" w16cid:durableId="350229811">
    <w:abstractNumId w:val="18"/>
  </w:num>
  <w:num w:numId="11" w16cid:durableId="2128309775">
    <w:abstractNumId w:val="37"/>
  </w:num>
  <w:num w:numId="12" w16cid:durableId="350029887">
    <w:abstractNumId w:val="32"/>
  </w:num>
  <w:num w:numId="13" w16cid:durableId="591670422">
    <w:abstractNumId w:val="27"/>
  </w:num>
  <w:num w:numId="14" w16cid:durableId="532691435">
    <w:abstractNumId w:val="17"/>
  </w:num>
  <w:num w:numId="15" w16cid:durableId="1268083021">
    <w:abstractNumId w:val="35"/>
  </w:num>
  <w:num w:numId="16" w16cid:durableId="1447193248">
    <w:abstractNumId w:val="26"/>
  </w:num>
  <w:num w:numId="17" w16cid:durableId="843742299">
    <w:abstractNumId w:val="30"/>
  </w:num>
  <w:num w:numId="18" w16cid:durableId="110824490">
    <w:abstractNumId w:val="16"/>
  </w:num>
  <w:num w:numId="19" w16cid:durableId="1376078544">
    <w:abstractNumId w:val="40"/>
  </w:num>
  <w:num w:numId="20" w16cid:durableId="888303389">
    <w:abstractNumId w:val="21"/>
  </w:num>
  <w:num w:numId="21" w16cid:durableId="164125617">
    <w:abstractNumId w:val="34"/>
  </w:num>
  <w:num w:numId="22" w16cid:durableId="140732670">
    <w:abstractNumId w:val="10"/>
  </w:num>
  <w:num w:numId="23" w16cid:durableId="1386755428">
    <w:abstractNumId w:val="3"/>
  </w:num>
  <w:num w:numId="24" w16cid:durableId="1064908056">
    <w:abstractNumId w:val="13"/>
  </w:num>
  <w:num w:numId="25" w16cid:durableId="1425417736">
    <w:abstractNumId w:val="25"/>
  </w:num>
  <w:num w:numId="26" w16cid:durableId="649362411">
    <w:abstractNumId w:val="8"/>
  </w:num>
  <w:num w:numId="27" w16cid:durableId="1642805495">
    <w:abstractNumId w:val="5"/>
  </w:num>
  <w:num w:numId="28" w16cid:durableId="398983547">
    <w:abstractNumId w:val="31"/>
  </w:num>
  <w:num w:numId="29" w16cid:durableId="2061248354">
    <w:abstractNumId w:val="14"/>
  </w:num>
  <w:num w:numId="30" w16cid:durableId="717314200">
    <w:abstractNumId w:val="7"/>
  </w:num>
  <w:num w:numId="31" w16cid:durableId="647561619">
    <w:abstractNumId w:val="22"/>
  </w:num>
  <w:num w:numId="32" w16cid:durableId="36857023">
    <w:abstractNumId w:val="11"/>
  </w:num>
  <w:num w:numId="33" w16cid:durableId="634062861">
    <w:abstractNumId w:val="43"/>
  </w:num>
  <w:num w:numId="34" w16cid:durableId="1753770610">
    <w:abstractNumId w:val="12"/>
  </w:num>
  <w:num w:numId="35" w16cid:durableId="1482841781">
    <w:abstractNumId w:val="42"/>
  </w:num>
  <w:num w:numId="36" w16cid:durableId="2120491320">
    <w:abstractNumId w:val="9"/>
  </w:num>
  <w:num w:numId="37" w16cid:durableId="778453063">
    <w:abstractNumId w:val="2"/>
  </w:num>
  <w:num w:numId="38" w16cid:durableId="1504735045">
    <w:abstractNumId w:val="39"/>
  </w:num>
  <w:num w:numId="39" w16cid:durableId="1094743044">
    <w:abstractNumId w:val="0"/>
  </w:num>
  <w:num w:numId="40" w16cid:durableId="2077043857">
    <w:abstractNumId w:val="38"/>
  </w:num>
  <w:num w:numId="41" w16cid:durableId="2132549887">
    <w:abstractNumId w:val="19"/>
  </w:num>
  <w:num w:numId="42" w16cid:durableId="1569069812">
    <w:abstractNumId w:val="6"/>
  </w:num>
  <w:num w:numId="43" w16cid:durableId="51077362">
    <w:abstractNumId w:val="4"/>
  </w:num>
  <w:num w:numId="44" w16cid:durableId="15296781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1A66"/>
    <w:rsid w:val="00157BEC"/>
    <w:rsid w:val="001669B3"/>
    <w:rsid w:val="00167C79"/>
    <w:rsid w:val="0017211F"/>
    <w:rsid w:val="00172FD5"/>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7E17"/>
    <w:rsid w:val="002650CA"/>
    <w:rsid w:val="00273038"/>
    <w:rsid w:val="002A579C"/>
    <w:rsid w:val="002E1ACD"/>
    <w:rsid w:val="002E72CF"/>
    <w:rsid w:val="002F3187"/>
    <w:rsid w:val="002F43A5"/>
    <w:rsid w:val="00323040"/>
    <w:rsid w:val="003265E6"/>
    <w:rsid w:val="00350F8D"/>
    <w:rsid w:val="00361C3F"/>
    <w:rsid w:val="003656D1"/>
    <w:rsid w:val="00392E5A"/>
    <w:rsid w:val="003A3AED"/>
    <w:rsid w:val="003B13EB"/>
    <w:rsid w:val="003B34DD"/>
    <w:rsid w:val="003C3221"/>
    <w:rsid w:val="003C3AC2"/>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97735"/>
    <w:rsid w:val="004A26D4"/>
    <w:rsid w:val="004A52B3"/>
    <w:rsid w:val="004B0E1D"/>
    <w:rsid w:val="004B1AD0"/>
    <w:rsid w:val="004D5813"/>
    <w:rsid w:val="004D5DC8"/>
    <w:rsid w:val="004D5FF5"/>
    <w:rsid w:val="00505045"/>
    <w:rsid w:val="005165E7"/>
    <w:rsid w:val="00522C18"/>
    <w:rsid w:val="00524B78"/>
    <w:rsid w:val="005256A9"/>
    <w:rsid w:val="00526DDB"/>
    <w:rsid w:val="005338E6"/>
    <w:rsid w:val="00535548"/>
    <w:rsid w:val="00557B92"/>
    <w:rsid w:val="00586318"/>
    <w:rsid w:val="005A48C2"/>
    <w:rsid w:val="005B1385"/>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2EB7"/>
    <w:rsid w:val="0091436C"/>
    <w:rsid w:val="0093005F"/>
    <w:rsid w:val="0093478F"/>
    <w:rsid w:val="0094277C"/>
    <w:rsid w:val="009446C5"/>
    <w:rsid w:val="0094642D"/>
    <w:rsid w:val="00965ED9"/>
    <w:rsid w:val="00971033"/>
    <w:rsid w:val="009A49D4"/>
    <w:rsid w:val="009B2984"/>
    <w:rsid w:val="009C713B"/>
    <w:rsid w:val="009E4D95"/>
    <w:rsid w:val="009E7E3D"/>
    <w:rsid w:val="009F6540"/>
    <w:rsid w:val="00A0162A"/>
    <w:rsid w:val="00A178B8"/>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45E57"/>
    <w:rsid w:val="00C556D7"/>
    <w:rsid w:val="00C56420"/>
    <w:rsid w:val="00C5653F"/>
    <w:rsid w:val="00C80495"/>
    <w:rsid w:val="00C8572B"/>
    <w:rsid w:val="00C872A4"/>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11B7"/>
    <w:rsid w:val="00E26448"/>
    <w:rsid w:val="00E26687"/>
    <w:rsid w:val="00E34078"/>
    <w:rsid w:val="00E35FB6"/>
    <w:rsid w:val="00E71348"/>
    <w:rsid w:val="00E730D6"/>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3740"/>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link w:val="NormalWebChar"/>
    <w:uiPriority w:val="99"/>
    <w:rsid w:val="00E21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E211B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211B7"/>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uiPriority w:val="11"/>
    <w:rsid w:val="00E211B7"/>
    <w:rPr>
      <w:rFonts w:ascii="Times New Roman" w:eastAsia="Times New Roman" w:hAnsi="Times New Roman" w:cs="Times New Roman"/>
      <w:b/>
      <w:bCs/>
      <w:sz w:val="28"/>
      <w:szCs w:val="24"/>
    </w:rPr>
  </w:style>
  <w:style w:type="character" w:customStyle="1" w:styleId="ListParagraphChar">
    <w:name w:val="List Paragraph Char"/>
    <w:basedOn w:val="DefaultParagraphFont"/>
    <w:link w:val="ListParagraph"/>
    <w:uiPriority w:val="34"/>
    <w:rsid w:val="00E211B7"/>
  </w:style>
  <w:style w:type="paragraph" w:styleId="BodyText">
    <w:name w:val="Body Text"/>
    <w:basedOn w:val="Normal"/>
    <w:link w:val="BodyTextChar"/>
    <w:uiPriority w:val="99"/>
    <w:qFormat/>
    <w:rsid w:val="003230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3040"/>
    <w:rPr>
      <w:rFonts w:ascii="Times New Roman" w:eastAsia="Times New Roman" w:hAnsi="Times New Roman" w:cs="Times New Roman"/>
      <w:sz w:val="24"/>
      <w:szCs w:val="24"/>
    </w:rPr>
  </w:style>
  <w:style w:type="character" w:customStyle="1" w:styleId="a">
    <w:name w:val="a"/>
    <w:basedOn w:val="DefaultParagraphFont"/>
    <w:rsid w:val="00965ED9"/>
  </w:style>
  <w:style w:type="paragraph" w:styleId="FootnoteText">
    <w:name w:val="footnote text"/>
    <w:basedOn w:val="Normal"/>
    <w:link w:val="FootnoteTextChar"/>
    <w:uiPriority w:val="99"/>
    <w:rsid w:val="00A178B8"/>
    <w:pPr>
      <w:spacing w:after="0" w:line="240" w:lineRule="auto"/>
    </w:pPr>
    <w:rPr>
      <w:rFonts w:ascii="Calibri" w:eastAsia="Calibri" w:hAnsi="Calibri" w:cs="SimSun"/>
      <w:sz w:val="20"/>
      <w:szCs w:val="20"/>
    </w:rPr>
  </w:style>
  <w:style w:type="character" w:customStyle="1" w:styleId="FootnoteTextChar">
    <w:name w:val="Footnote Text Char"/>
    <w:basedOn w:val="DefaultParagraphFont"/>
    <w:link w:val="FootnoteText"/>
    <w:uiPriority w:val="99"/>
    <w:rsid w:val="00A178B8"/>
    <w:rPr>
      <w:rFonts w:ascii="Calibri" w:eastAsia="Calibri" w:hAnsi="Calibri" w:cs="SimSun"/>
      <w:sz w:val="20"/>
      <w:szCs w:val="20"/>
    </w:rPr>
  </w:style>
  <w:style w:type="character" w:customStyle="1" w:styleId="authordegrees">
    <w:name w:val="authordegrees"/>
    <w:basedOn w:val="DefaultParagraphFont"/>
    <w:rsid w:val="00A1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ciencedirect.com/science/journal/09574174/36/9" TargetMode="External"/><Relationship Id="rId18" Type="http://schemas.openxmlformats.org/officeDocument/2006/relationships/hyperlink" Target="http://www.sciencedirect.com/science/journal/22125671" TargetMode="External"/><Relationship Id="rId26" Type="http://schemas.openxmlformats.org/officeDocument/2006/relationships/hyperlink" Target="http://www.sciencedirect.com/science/article/pii/S0305048312000254" TargetMode="External"/><Relationship Id="rId21" Type="http://schemas.openxmlformats.org/officeDocument/2006/relationships/hyperlink" Target="http://www.sciencedirect.com/science/journal/22125671"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ciencedirect.com/science/journal/09574174" TargetMode="External"/><Relationship Id="rId17" Type="http://schemas.openxmlformats.org/officeDocument/2006/relationships/hyperlink" Target="http://www.sciencedirect.com/science/article/pii/S2212567112001943" TargetMode="External"/><Relationship Id="rId25" Type="http://schemas.openxmlformats.org/officeDocument/2006/relationships/hyperlink" Target="http://www.sciencedirect.com/science/journal/03784266/37/9" TargetMode="External"/><Relationship Id="rId33" Type="http://schemas.openxmlformats.org/officeDocument/2006/relationships/hyperlink" Target="http://www.sciencedirect.com/science/journal/10583300/23/4" TargetMode="External"/><Relationship Id="rId2" Type="http://schemas.openxmlformats.org/officeDocument/2006/relationships/numbering" Target="numbering.xml"/><Relationship Id="rId16" Type="http://schemas.openxmlformats.org/officeDocument/2006/relationships/hyperlink" Target="http://www.sciencedirect.com/science/journal/18770428/24/supp/C" TargetMode="External"/><Relationship Id="rId20" Type="http://schemas.openxmlformats.org/officeDocument/2006/relationships/hyperlink" Target="http://www.sciencedirect.com/science/article/pii/S2212567112002018" TargetMode="External"/><Relationship Id="rId29" Type="http://schemas.openxmlformats.org/officeDocument/2006/relationships/hyperlink" Target="http://www.sciencedirect.com/science/journal/037842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095741740900253X" TargetMode="External"/><Relationship Id="rId24" Type="http://schemas.openxmlformats.org/officeDocument/2006/relationships/hyperlink" Target="http://www.sciencedirect.com/science/journal/03784266" TargetMode="External"/><Relationship Id="rId32" Type="http://schemas.openxmlformats.org/officeDocument/2006/relationships/hyperlink" Target="http://www.sciencedirect.com/science/journal/1058330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ncedirect.com/science/journal/18770428" TargetMode="External"/><Relationship Id="rId23" Type="http://schemas.openxmlformats.org/officeDocument/2006/relationships/hyperlink" Target="http://www.sciencedirect.com/science/article/pii/S0378426613002069" TargetMode="External"/><Relationship Id="rId28" Type="http://schemas.openxmlformats.org/officeDocument/2006/relationships/hyperlink" Target="http://www.sciencedirect.com/science/journal/03050483/41/1" TargetMode="External"/><Relationship Id="rId36"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hyperlink" Target="http://www.sciencedirect.com/science/journal/22125671/3/supp/C" TargetMode="External"/><Relationship Id="rId31" Type="http://schemas.openxmlformats.org/officeDocument/2006/relationships/hyperlink" Target="http://www.sciencedirect.com/science/article/pii/S1058330014000238"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www.sciencedirect.com/science/article/pii/S1877042811015564" TargetMode="External"/><Relationship Id="rId22" Type="http://schemas.openxmlformats.org/officeDocument/2006/relationships/hyperlink" Target="http://www.sciencedirect.com/science/journal/22125671/3/supp/C" TargetMode="External"/><Relationship Id="rId27" Type="http://schemas.openxmlformats.org/officeDocument/2006/relationships/hyperlink" Target="http://www.sciencedirect.com/science/journal/03050483" TargetMode="External"/><Relationship Id="rId30" Type="http://schemas.openxmlformats.org/officeDocument/2006/relationships/hyperlink" Target="http://www.sciencedirect.com/science/journal/03784266/40/supp/C" TargetMode="External"/><Relationship Id="rId35" Type="http://schemas.openxmlformats.org/officeDocument/2006/relationships/footer" Target="footer1.xml"/><Relationship Id="rId8" Type="http://schemas.openxmlformats.org/officeDocument/2006/relationships/chart" Target="charts/chart1.xm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Sheet1!$G$4:$G$8</c:f>
              <c:strCache>
                <c:ptCount val="5"/>
                <c:pt idx="0">
                  <c:v>2018-19</c:v>
                </c:pt>
                <c:pt idx="1">
                  <c:v>2019-20</c:v>
                </c:pt>
                <c:pt idx="2">
                  <c:v>2020-21</c:v>
                </c:pt>
                <c:pt idx="3">
                  <c:v>2021-22</c:v>
                </c:pt>
                <c:pt idx="4">
                  <c:v>2022-23</c:v>
                </c:pt>
              </c:strCache>
            </c:strRef>
          </c:cat>
          <c:val>
            <c:numRef>
              <c:f>Sheet1!$H$4:$H$8</c:f>
              <c:numCache>
                <c:formatCode>General</c:formatCode>
                <c:ptCount val="5"/>
                <c:pt idx="0">
                  <c:v>1.1000000000000001</c:v>
                </c:pt>
                <c:pt idx="1">
                  <c:v>1.06</c:v>
                </c:pt>
                <c:pt idx="2">
                  <c:v>1.1000000000000001</c:v>
                </c:pt>
                <c:pt idx="3">
                  <c:v>1.07</c:v>
                </c:pt>
                <c:pt idx="4">
                  <c:v>1.1299999999999999</c:v>
                </c:pt>
              </c:numCache>
            </c:numRef>
          </c:val>
          <c:extLst>
            <c:ext xmlns:c16="http://schemas.microsoft.com/office/drawing/2014/chart" uri="{C3380CC4-5D6E-409C-BE32-E72D297353CC}">
              <c16:uniqueId val="{00000000-FE93-48E6-9102-78FAD5C4A1D1}"/>
            </c:ext>
          </c:extLst>
        </c:ser>
        <c:dLbls>
          <c:showLegendKey val="0"/>
          <c:showVal val="0"/>
          <c:showCatName val="0"/>
          <c:showSerName val="0"/>
          <c:showPercent val="0"/>
          <c:showBubbleSize val="0"/>
        </c:dLbls>
        <c:gapWidth val="150"/>
        <c:axId val="116325760"/>
        <c:axId val="175752704"/>
      </c:barChart>
      <c:catAx>
        <c:axId val="116325760"/>
        <c:scaling>
          <c:orientation val="minMax"/>
        </c:scaling>
        <c:delete val="0"/>
        <c:axPos val="b"/>
        <c:title>
          <c:tx>
            <c:rich>
              <a:bodyPr/>
              <a:lstStyle/>
              <a:p>
                <a:pPr>
                  <a:defRPr/>
                </a:pPr>
                <a:r>
                  <a:rPr lang="en-US"/>
                  <a:t>YEAR</a:t>
                </a:r>
              </a:p>
            </c:rich>
          </c:tx>
          <c:overlay val="0"/>
        </c:title>
        <c:numFmt formatCode="General" sourceLinked="0"/>
        <c:majorTickMark val="out"/>
        <c:minorTickMark val="none"/>
        <c:tickLblPos val="nextTo"/>
        <c:crossAx val="175752704"/>
        <c:crosses val="autoZero"/>
        <c:auto val="1"/>
        <c:lblAlgn val="ctr"/>
        <c:lblOffset val="100"/>
        <c:noMultiLvlLbl val="0"/>
      </c:catAx>
      <c:valAx>
        <c:axId val="175752704"/>
        <c:scaling>
          <c:orientation val="minMax"/>
        </c:scaling>
        <c:delete val="0"/>
        <c:axPos val="l"/>
        <c:title>
          <c:tx>
            <c:rich>
              <a:bodyPr rot="-5400000" vert="horz"/>
              <a:lstStyle/>
              <a:p>
                <a:pPr>
                  <a:defRPr/>
                </a:pPr>
                <a:r>
                  <a:rPr lang="en-US"/>
                  <a:t>RATIO</a:t>
                </a:r>
              </a:p>
            </c:rich>
          </c:tx>
          <c:overlay val="0"/>
        </c:title>
        <c:numFmt formatCode="General" sourceLinked="1"/>
        <c:majorTickMark val="out"/>
        <c:minorTickMark val="none"/>
        <c:tickLblPos val="nextTo"/>
        <c:crossAx val="116325760"/>
        <c:crosses val="autoZero"/>
        <c:crossBetween val="between"/>
      </c:valAx>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Sheet1!$I$30:$I$34</c:f>
              <c:strCache>
                <c:ptCount val="5"/>
                <c:pt idx="0">
                  <c:v>2018-19</c:v>
                </c:pt>
                <c:pt idx="1">
                  <c:v>2019-20</c:v>
                </c:pt>
                <c:pt idx="2">
                  <c:v>2020-21</c:v>
                </c:pt>
                <c:pt idx="3">
                  <c:v>2021-22</c:v>
                </c:pt>
                <c:pt idx="4">
                  <c:v>2022-23</c:v>
                </c:pt>
              </c:strCache>
            </c:strRef>
          </c:cat>
          <c:val>
            <c:numRef>
              <c:f>Sheet1!$J$30:$J$34</c:f>
              <c:numCache>
                <c:formatCode>General</c:formatCode>
                <c:ptCount val="5"/>
                <c:pt idx="0">
                  <c:v>0.23</c:v>
                </c:pt>
                <c:pt idx="1">
                  <c:v>0.23</c:v>
                </c:pt>
                <c:pt idx="2">
                  <c:v>0.31</c:v>
                </c:pt>
                <c:pt idx="3">
                  <c:v>0.45</c:v>
                </c:pt>
                <c:pt idx="4">
                  <c:v>0.13</c:v>
                </c:pt>
              </c:numCache>
            </c:numRef>
          </c:val>
          <c:extLst>
            <c:ext xmlns:c16="http://schemas.microsoft.com/office/drawing/2014/chart" uri="{C3380CC4-5D6E-409C-BE32-E72D297353CC}">
              <c16:uniqueId val="{00000000-9A4A-4960-A994-D249928F5B0C}"/>
            </c:ext>
          </c:extLst>
        </c:ser>
        <c:dLbls>
          <c:showLegendKey val="0"/>
          <c:showVal val="0"/>
          <c:showCatName val="0"/>
          <c:showSerName val="0"/>
          <c:showPercent val="0"/>
          <c:showBubbleSize val="0"/>
        </c:dLbls>
        <c:gapWidth val="150"/>
        <c:axId val="175765376"/>
        <c:axId val="175771648"/>
      </c:barChart>
      <c:catAx>
        <c:axId val="175765376"/>
        <c:scaling>
          <c:orientation val="minMax"/>
        </c:scaling>
        <c:delete val="0"/>
        <c:axPos val="b"/>
        <c:title>
          <c:tx>
            <c:rich>
              <a:bodyPr/>
              <a:lstStyle/>
              <a:p>
                <a:pPr>
                  <a:defRPr/>
                </a:pPr>
                <a:r>
                  <a:rPr lang="en-US"/>
                  <a:t>YEAR</a:t>
                </a:r>
              </a:p>
            </c:rich>
          </c:tx>
          <c:overlay val="0"/>
        </c:title>
        <c:numFmt formatCode="General" sourceLinked="0"/>
        <c:majorTickMark val="out"/>
        <c:minorTickMark val="none"/>
        <c:tickLblPos val="nextTo"/>
        <c:crossAx val="175771648"/>
        <c:crosses val="autoZero"/>
        <c:auto val="1"/>
        <c:lblAlgn val="ctr"/>
        <c:lblOffset val="100"/>
        <c:noMultiLvlLbl val="0"/>
      </c:catAx>
      <c:valAx>
        <c:axId val="175771648"/>
        <c:scaling>
          <c:orientation val="minMax"/>
        </c:scaling>
        <c:delete val="0"/>
        <c:axPos val="l"/>
        <c:title>
          <c:tx>
            <c:rich>
              <a:bodyPr rot="-5400000" vert="horz"/>
              <a:lstStyle/>
              <a:p>
                <a:pPr>
                  <a:defRPr/>
                </a:pPr>
                <a:r>
                  <a:rPr lang="en-US"/>
                  <a:t>RATIO</a:t>
                </a:r>
              </a:p>
            </c:rich>
          </c:tx>
          <c:overlay val="0"/>
        </c:title>
        <c:numFmt formatCode="General" sourceLinked="1"/>
        <c:majorTickMark val="out"/>
        <c:minorTickMark val="none"/>
        <c:tickLblPos val="nextTo"/>
        <c:crossAx val="175765376"/>
        <c:crosses val="autoZero"/>
        <c:crossBetween val="between"/>
      </c:valAx>
    </c:plotArea>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Sheet1!$H$285</c:f>
              <c:strCache>
                <c:ptCount val="1"/>
                <c:pt idx="0">
                  <c:v>CURRENT ASSETS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Sheet1!$G$286:$G$290</c:f>
              <c:strCache>
                <c:ptCount val="5"/>
                <c:pt idx="0">
                  <c:v>2018-19</c:v>
                </c:pt>
                <c:pt idx="1">
                  <c:v>2019-20</c:v>
                </c:pt>
                <c:pt idx="2">
                  <c:v>2020-21</c:v>
                </c:pt>
                <c:pt idx="3">
                  <c:v>2021-22</c:v>
                </c:pt>
                <c:pt idx="4">
                  <c:v>2022-23</c:v>
                </c:pt>
              </c:strCache>
            </c:strRef>
          </c:cat>
          <c:val>
            <c:numRef>
              <c:f>Sheet1!$H$286:$H$290</c:f>
              <c:numCache>
                <c:formatCode>General</c:formatCode>
                <c:ptCount val="5"/>
                <c:pt idx="0">
                  <c:v>100</c:v>
                </c:pt>
                <c:pt idx="1">
                  <c:v>114.29</c:v>
                </c:pt>
                <c:pt idx="2">
                  <c:v>126.82</c:v>
                </c:pt>
                <c:pt idx="3">
                  <c:v>138.94</c:v>
                </c:pt>
                <c:pt idx="4">
                  <c:v>167.89</c:v>
                </c:pt>
              </c:numCache>
            </c:numRef>
          </c:val>
          <c:extLst>
            <c:ext xmlns:c16="http://schemas.microsoft.com/office/drawing/2014/chart" uri="{C3380CC4-5D6E-409C-BE32-E72D297353CC}">
              <c16:uniqueId val="{00000000-7F22-4FE1-9A65-7C40132C4383}"/>
            </c:ext>
          </c:extLst>
        </c:ser>
        <c:ser>
          <c:idx val="1"/>
          <c:order val="1"/>
          <c:tx>
            <c:strRef>
              <c:f>Sheet1!$I$285</c:f>
              <c:strCache>
                <c:ptCount val="1"/>
                <c:pt idx="0">
                  <c:v>CURRENT LIABILITIES </c:v>
                </c:pt>
              </c:strCache>
            </c:strRef>
          </c:tx>
          <c:invertIfNegative val="0"/>
          <c:dLbls>
            <c:dLbl>
              <c:idx val="0"/>
              <c:layout>
                <c:manualLayout>
                  <c:x val="2.7777777777777776E-2"/>
                  <c:y val="-8.4875562720133283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22-4FE1-9A65-7C40132C4383}"/>
                </c:ext>
              </c:extLst>
            </c:dLbl>
            <c:dLbl>
              <c:idx val="1"/>
              <c:layout>
                <c:manualLayout>
                  <c:x val="0"/>
                  <c:y val="-6.01851851851851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22-4FE1-9A65-7C40132C4383}"/>
                </c:ext>
              </c:extLst>
            </c:dLbl>
            <c:dLbl>
              <c:idx val="2"/>
              <c:layout>
                <c:manualLayout>
                  <c:x val="0"/>
                  <c:y val="-4.1666666666666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F22-4FE1-9A65-7C40132C4383}"/>
                </c:ext>
              </c:extLst>
            </c:dLbl>
            <c:dLbl>
              <c:idx val="3"/>
              <c:layout>
                <c:manualLayout>
                  <c:x val="0"/>
                  <c:y val="-6.48148148148148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F22-4FE1-9A65-7C40132C4383}"/>
                </c:ext>
              </c:extLst>
            </c:dLbl>
            <c:dLbl>
              <c:idx val="4"/>
              <c:layout>
                <c:manualLayout>
                  <c:x val="-2.7777777777778798E-3"/>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F22-4FE1-9A65-7C40132C438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Sheet1!$G$286:$G$290</c:f>
              <c:strCache>
                <c:ptCount val="5"/>
                <c:pt idx="0">
                  <c:v>2018-19</c:v>
                </c:pt>
                <c:pt idx="1">
                  <c:v>2019-20</c:v>
                </c:pt>
                <c:pt idx="2">
                  <c:v>2020-21</c:v>
                </c:pt>
                <c:pt idx="3">
                  <c:v>2021-22</c:v>
                </c:pt>
                <c:pt idx="4">
                  <c:v>2022-23</c:v>
                </c:pt>
              </c:strCache>
            </c:strRef>
          </c:cat>
          <c:val>
            <c:numRef>
              <c:f>Sheet1!$I$286:$I$290</c:f>
              <c:numCache>
                <c:formatCode>General</c:formatCode>
                <c:ptCount val="5"/>
                <c:pt idx="0">
                  <c:v>100</c:v>
                </c:pt>
                <c:pt idx="1">
                  <c:v>118.67</c:v>
                </c:pt>
                <c:pt idx="2">
                  <c:v>125.8</c:v>
                </c:pt>
                <c:pt idx="3">
                  <c:v>141.66999999999999</c:v>
                </c:pt>
                <c:pt idx="4">
                  <c:v>162.99</c:v>
                </c:pt>
              </c:numCache>
            </c:numRef>
          </c:val>
          <c:extLst>
            <c:ext xmlns:c16="http://schemas.microsoft.com/office/drawing/2014/chart" uri="{C3380CC4-5D6E-409C-BE32-E72D297353CC}">
              <c16:uniqueId val="{00000001-7F22-4FE1-9A65-7C40132C4383}"/>
            </c:ext>
          </c:extLst>
        </c:ser>
        <c:ser>
          <c:idx val="2"/>
          <c:order val="2"/>
          <c:tx>
            <c:strRef>
              <c:f>Sheet1!$J$285</c:f>
              <c:strCache>
                <c:ptCount val="1"/>
                <c:pt idx="0">
                  <c:v>WORKING CAPITAL  </c:v>
                </c:pt>
              </c:strCache>
            </c:strRef>
          </c:tx>
          <c:invertIfNegative val="0"/>
          <c:dLbls>
            <c:dLbl>
              <c:idx val="0"/>
              <c:layout>
                <c:manualLayout>
                  <c:x val="-2.5462668816039986E-17"/>
                  <c:y val="-6.01851851851852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22-4FE1-9A65-7C40132C4383}"/>
                </c:ext>
              </c:extLst>
            </c:dLbl>
            <c:dLbl>
              <c:idx val="2"/>
              <c:layout>
                <c:manualLayout>
                  <c:x val="-2.7777777777777779E-3"/>
                  <c:y val="-7.87037037037037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22-4FE1-9A65-7C40132C438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Sheet1!$G$286:$G$290</c:f>
              <c:strCache>
                <c:ptCount val="5"/>
                <c:pt idx="0">
                  <c:v>2018-19</c:v>
                </c:pt>
                <c:pt idx="1">
                  <c:v>2019-20</c:v>
                </c:pt>
                <c:pt idx="2">
                  <c:v>2020-21</c:v>
                </c:pt>
                <c:pt idx="3">
                  <c:v>2021-22</c:v>
                </c:pt>
                <c:pt idx="4">
                  <c:v>2022-23</c:v>
                </c:pt>
              </c:strCache>
            </c:strRef>
          </c:cat>
          <c:val>
            <c:numRef>
              <c:f>Sheet1!$J$286:$J$290</c:f>
              <c:numCache>
                <c:formatCode>General</c:formatCode>
                <c:ptCount val="5"/>
                <c:pt idx="0">
                  <c:v>100</c:v>
                </c:pt>
                <c:pt idx="1">
                  <c:v>70.489999999999995</c:v>
                </c:pt>
                <c:pt idx="2">
                  <c:v>137.01</c:v>
                </c:pt>
                <c:pt idx="3">
                  <c:v>111.63</c:v>
                </c:pt>
                <c:pt idx="4">
                  <c:v>216.81</c:v>
                </c:pt>
              </c:numCache>
            </c:numRef>
          </c:val>
          <c:extLst>
            <c:ext xmlns:c16="http://schemas.microsoft.com/office/drawing/2014/chart" uri="{C3380CC4-5D6E-409C-BE32-E72D297353CC}">
              <c16:uniqueId val="{00000002-7F22-4FE1-9A65-7C40132C4383}"/>
            </c:ext>
          </c:extLst>
        </c:ser>
        <c:dLbls>
          <c:showLegendKey val="0"/>
          <c:showVal val="0"/>
          <c:showCatName val="0"/>
          <c:showSerName val="0"/>
          <c:showPercent val="0"/>
          <c:showBubbleSize val="0"/>
        </c:dLbls>
        <c:gapWidth val="150"/>
        <c:axId val="176933888"/>
        <c:axId val="176944256"/>
      </c:barChart>
      <c:catAx>
        <c:axId val="176933888"/>
        <c:scaling>
          <c:orientation val="minMax"/>
        </c:scaling>
        <c:delete val="0"/>
        <c:axPos val="b"/>
        <c:title>
          <c:tx>
            <c:rich>
              <a:bodyPr/>
              <a:lstStyle/>
              <a:p>
                <a:pPr>
                  <a:defRPr/>
                </a:pPr>
                <a:r>
                  <a:rPr lang="en-US"/>
                  <a:t>YEAR</a:t>
                </a:r>
              </a:p>
            </c:rich>
          </c:tx>
          <c:overlay val="0"/>
        </c:title>
        <c:numFmt formatCode="General" sourceLinked="0"/>
        <c:majorTickMark val="out"/>
        <c:minorTickMark val="none"/>
        <c:tickLblPos val="nextTo"/>
        <c:crossAx val="176944256"/>
        <c:crosses val="autoZero"/>
        <c:auto val="1"/>
        <c:lblAlgn val="ctr"/>
        <c:lblOffset val="100"/>
        <c:noMultiLvlLbl val="0"/>
      </c:catAx>
      <c:valAx>
        <c:axId val="176944256"/>
        <c:scaling>
          <c:orientation val="minMax"/>
        </c:scaling>
        <c:delete val="0"/>
        <c:axPos val="l"/>
        <c:title>
          <c:tx>
            <c:rich>
              <a:bodyPr rot="-5400000" vert="horz"/>
              <a:lstStyle/>
              <a:p>
                <a:pPr>
                  <a:defRPr/>
                </a:pPr>
                <a:r>
                  <a:rPr lang="en-US"/>
                  <a:t>TREND VALUE</a:t>
                </a:r>
              </a:p>
            </c:rich>
          </c:tx>
          <c:overlay val="0"/>
        </c:title>
        <c:numFmt formatCode="General" sourceLinked="1"/>
        <c:majorTickMark val="out"/>
        <c:minorTickMark val="none"/>
        <c:tickLblPos val="nextTo"/>
        <c:crossAx val="176933888"/>
        <c:crosses val="autoZero"/>
        <c:crossBetween val="between"/>
      </c:valAx>
    </c:plotArea>
    <c:legend>
      <c:legendPos val="r"/>
      <c:overlay val="0"/>
    </c:legend>
    <c:plotVisOnly val="1"/>
    <c:dispBlanksAs val="gap"/>
    <c:showDLblsOverMax val="0"/>
  </c:chart>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Pages>
  <Words>2308</Words>
  <Characters>13159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THIRUPATHI P</cp:lastModifiedBy>
  <cp:revision>10</cp:revision>
  <cp:lastPrinted>2021-02-22T14:39:00Z</cp:lastPrinted>
  <dcterms:created xsi:type="dcterms:W3CDTF">2024-04-07T02:24:00Z</dcterms:created>
  <dcterms:modified xsi:type="dcterms:W3CDTF">2024-04-07T07:08:00Z</dcterms:modified>
</cp:coreProperties>
</file>