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hAnsi="Times New Roman"/>
          <w:b/>
          <w:sz w:val="20"/>
          <w:szCs w:val="24"/>
        </w:rPr>
      </w:pPr>
      <w:bookmarkStart w:id="0" w:name="_GoBack"/>
      <w:bookmarkEnd w:id="0"/>
      <w:r>
        <w:rPr>
          <w:rFonts w:ascii="Times New Roman" w:hAnsi="Times New Roman"/>
          <w:b/>
          <w:sz w:val="20"/>
          <w:szCs w:val="24"/>
        </w:rPr>
        <w:t>Mrs</w:t>
      </w:r>
      <w:r>
        <w:rPr>
          <w:rFonts w:ascii="Times New Roman" w:hAnsi="Times New Roman"/>
          <w:b/>
          <w:sz w:val="20"/>
          <w:szCs w:val="24"/>
        </w:rPr>
        <w:t xml:space="preserve">. </w:t>
      </w:r>
      <w:r>
        <w:rPr>
          <w:rFonts w:ascii="Times New Roman" w:hAnsi="Times New Roman"/>
          <w:b/>
          <w:sz w:val="20"/>
          <w:szCs w:val="24"/>
        </w:rPr>
        <w:t>Malarmathi</w:t>
      </w:r>
      <w:r>
        <w:rPr>
          <w:rFonts w:ascii="Times New Roman" w:hAnsi="Times New Roman"/>
          <w:b/>
          <w:sz w:val="20"/>
          <w:szCs w:val="24"/>
        </w:rPr>
        <w:t>. M, M.</w:t>
      </w:r>
      <w:r>
        <w:rPr>
          <w:rFonts w:ascii="Times New Roman" w:hAnsi="Times New Roman"/>
          <w:b/>
          <w:sz w:val="20"/>
          <w:szCs w:val="24"/>
        </w:rPr>
        <w:t xml:space="preserve"> </w:t>
      </w:r>
      <w:r>
        <w:rPr>
          <w:rFonts w:ascii="Times New Roman" w:hAnsi="Times New Roman"/>
          <w:b/>
          <w:sz w:val="20"/>
          <w:szCs w:val="24"/>
        </w:rPr>
        <w:t>Sc Nursing, Tutor, Department Of Medical Surgical Nursing, Kasturba Gandhi Nursing College,  Sri Balaji Vidyapeeth Puducherry.</w:t>
      </w:r>
    </w:p>
    <w:p>
      <w:pPr>
        <w:pStyle w:val="style0"/>
        <w:jc w:val="center"/>
        <w:rPr>
          <w:rFonts w:ascii="Times New Roman" w:hAnsi="Times New Roman"/>
          <w:b/>
          <w:sz w:val="32"/>
          <w:szCs w:val="24"/>
        </w:rPr>
      </w:pPr>
      <w:r>
        <w:rPr>
          <w:rFonts w:ascii="Times New Roman" w:hAnsi="Times New Roman"/>
          <w:b/>
          <w:sz w:val="32"/>
          <w:szCs w:val="24"/>
        </w:rPr>
        <w:t xml:space="preserve">Reye </w:t>
      </w:r>
      <w:r>
        <w:rPr>
          <w:rFonts w:ascii="Times New Roman" w:hAnsi="Times New Roman"/>
          <w:b/>
          <w:sz w:val="32"/>
          <w:szCs w:val="24"/>
        </w:rPr>
        <w:t xml:space="preserve">Syndrome – </w:t>
      </w:r>
      <w:r>
        <w:rPr>
          <w:rFonts w:ascii="Times New Roman" w:hAnsi="Times New Roman"/>
          <w:b/>
          <w:sz w:val="32"/>
          <w:szCs w:val="24"/>
        </w:rPr>
        <w:t xml:space="preserve">AN </w:t>
      </w:r>
      <w:r>
        <w:rPr>
          <w:rFonts w:ascii="Times New Roman" w:hAnsi="Times New Roman"/>
          <w:b/>
          <w:sz w:val="32"/>
          <w:szCs w:val="24"/>
        </w:rPr>
        <w:t>Overview</w:t>
      </w:r>
    </w:p>
    <w:p>
      <w:pPr>
        <w:pStyle w:val="style0"/>
        <w:jc w:val="left"/>
        <w:rPr>
          <w:rFonts w:ascii="Times New Roman" w:hAnsi="Times New Roman"/>
          <w:b/>
          <w:sz w:val="32"/>
          <w:szCs w:val="24"/>
        </w:rPr>
      </w:pPr>
      <w:r>
        <w:rPr>
          <w:rFonts w:ascii="Times New Roman" w:hAnsi="Times New Roman"/>
          <w:b/>
          <w:sz w:val="32"/>
          <w:szCs w:val="24"/>
          <w:lang w:val="en-US"/>
        </w:rPr>
        <w:t>Abstract</w:t>
      </w:r>
    </w:p>
    <w:p>
      <w:pPr>
        <w:pStyle w:val="style0"/>
        <w:jc w:val="both"/>
        <w:rPr>
          <w:rFonts w:ascii="Times New Roman" w:hAnsi="Times New Roman"/>
          <w:sz w:val="24"/>
          <w:szCs w:val="24"/>
        </w:rPr>
      </w:pPr>
      <w:r>
        <w:rPr>
          <w:rFonts w:ascii="Times New Roman" w:hAnsi="Times New Roman"/>
          <w:sz w:val="24"/>
          <w:szCs w:val="24"/>
        </w:rPr>
        <w:t>Acute non-inflammatory encephalopathy with fatty liver failure is the definition of Reye syndrome, a rare and potentially fatal juvenile condition. This syndrome was first outlined by Australian pathologist R.D.K. Reye in</w:t>
      </w:r>
      <w:r>
        <w:rPr>
          <w:rFonts w:ascii="Times New Roman" w:hAnsi="Times New Roman"/>
          <w:sz w:val="24"/>
          <w:szCs w:val="24"/>
        </w:rPr>
        <w:t xml:space="preserve"> 1963. Early in the 1970s, it </w:t>
      </w:r>
      <w:r>
        <w:rPr>
          <w:rFonts w:ascii="Times New Roman" w:hAnsi="Times New Roman"/>
          <w:sz w:val="24"/>
          <w:szCs w:val="24"/>
        </w:rPr>
        <w:t>became the focus of national surveillance in the United States, which resulted in strong recommendations against giving children aspiri</w:t>
      </w:r>
      <w:r>
        <w:rPr>
          <w:rFonts w:ascii="Times New Roman" w:hAnsi="Times New Roman"/>
          <w:sz w:val="24"/>
          <w:szCs w:val="24"/>
        </w:rPr>
        <w:t xml:space="preserve">n. It often </w:t>
      </w:r>
      <w:r>
        <w:rPr>
          <w:rFonts w:ascii="Times New Roman" w:hAnsi="Times New Roman"/>
          <w:sz w:val="24"/>
          <w:szCs w:val="24"/>
        </w:rPr>
        <w:t>starts with vomiting and bewilderment before quickly progressing to a coma and deat</w:t>
      </w:r>
      <w:r>
        <w:rPr>
          <w:rFonts w:ascii="Times New Roman" w:hAnsi="Times New Roman"/>
          <w:sz w:val="24"/>
          <w:szCs w:val="24"/>
        </w:rPr>
        <w:t xml:space="preserve">h. This exercise discusses the </w:t>
      </w:r>
      <w:r>
        <w:rPr>
          <w:rFonts w:ascii="Times New Roman" w:hAnsi="Times New Roman"/>
          <w:sz w:val="24"/>
          <w:szCs w:val="24"/>
        </w:rPr>
        <w:t xml:space="preserve">etiology, pathophysiology, and clinical manifestations of Reye syndrome and </w:t>
      </w:r>
      <w:r>
        <w:rPr>
          <w:rFonts w:ascii="Times New Roman" w:hAnsi="Times New Roman"/>
          <w:sz w:val="24"/>
          <w:szCs w:val="24"/>
        </w:rPr>
        <w:t>emphasizes</w:t>
      </w:r>
      <w:r>
        <w:rPr>
          <w:rFonts w:ascii="Times New Roman" w:hAnsi="Times New Roman"/>
          <w:sz w:val="24"/>
          <w:szCs w:val="24"/>
        </w:rPr>
        <w:t xml:space="preserve"> the value of an interdisciplinary approach to treatment.</w:t>
      </w:r>
    </w:p>
    <w:p>
      <w:pPr>
        <w:pStyle w:val="style0"/>
        <w:jc w:val="both"/>
        <w:rPr>
          <w:rFonts w:ascii="Times New Roman" w:hAnsi="Times New Roman"/>
          <w:sz w:val="24"/>
          <w:szCs w:val="24"/>
        </w:rPr>
      </w:pPr>
      <w:r>
        <w:rPr>
          <w:rFonts w:ascii="Times New Roman" w:hAnsi="Times New Roman"/>
          <w:sz w:val="24"/>
          <w:szCs w:val="24"/>
          <w:lang w:val="en-US"/>
        </w:rPr>
        <w:t>Key words: Reye syndrome, Treatment</w:t>
      </w:r>
    </w:p>
    <w:p>
      <w:pPr>
        <w:pStyle w:val="style0"/>
        <w:tabs>
          <w:tab w:val="left" w:leader="none" w:pos="2625"/>
        </w:tabs>
        <w:jc w:val="both"/>
        <w:rPr>
          <w:rFonts w:ascii="Times New Roman" w:hAnsi="Times New Roman"/>
          <w:b/>
          <w:sz w:val="24"/>
          <w:szCs w:val="24"/>
        </w:rPr>
      </w:pPr>
      <w:r>
        <w:rPr>
          <w:rFonts w:ascii="Times New Roman" w:hAnsi="Times New Roman"/>
          <w:b/>
          <w:sz w:val="24"/>
          <w:szCs w:val="24"/>
        </w:rPr>
        <w:t>Introduction</w:t>
      </w:r>
      <w:r>
        <w:rPr>
          <w:rFonts w:ascii="Times New Roman" w:hAnsi="Times New Roman"/>
          <w:b/>
          <w:sz w:val="24"/>
          <w:szCs w:val="24"/>
        </w:rPr>
        <w:tab/>
      </w:r>
    </w:p>
    <w:p>
      <w:pPr>
        <w:pStyle w:val="style0"/>
        <w:jc w:val="both"/>
        <w:rPr>
          <w:rFonts w:ascii="Times New Roman" w:hAnsi="Times New Roman"/>
          <w:sz w:val="24"/>
          <w:szCs w:val="24"/>
        </w:rPr>
      </w:pPr>
      <w:r>
        <w:rPr>
          <w:rFonts w:ascii="Times New Roman" w:hAnsi="Times New Roman"/>
          <w:sz w:val="24"/>
          <w:szCs w:val="24"/>
        </w:rPr>
        <w:t>In youngsters, syndrome often starts with vomiting and bewilderment before quickly progressing to a coma and death. This syndrome frequently manifests in the days following recovery from a viral illness treated with aspirin. Toxins, drug interactions, and inborn metabolic errors—particularly those involving the metabolism of fatty acids—may also predispose to or contribute to the developm</w:t>
      </w:r>
      <w:r>
        <w:rPr>
          <w:rFonts w:ascii="Times New Roman" w:hAnsi="Times New Roman"/>
          <w:sz w:val="24"/>
          <w:szCs w:val="24"/>
        </w:rPr>
        <w:t xml:space="preserve">ent of Reye syndrome. </w:t>
      </w:r>
      <w:r>
        <w:rPr>
          <w:rFonts w:ascii="Times New Roman" w:hAnsi="Times New Roman"/>
          <w:sz w:val="24"/>
          <w:szCs w:val="24"/>
        </w:rPr>
        <w:t xml:space="preserve"> </w:t>
      </w:r>
      <w:r>
        <w:rPr>
          <w:rFonts w:ascii="Times New Roman" w:hAnsi="Times New Roman"/>
          <w:sz w:val="24"/>
          <w:szCs w:val="24"/>
          <w:vertAlign w:val="superscript"/>
        </w:rPr>
        <w:t>(</w:t>
      </w:r>
      <w:r>
        <w:rPr>
          <w:rFonts w:ascii="Times New Roman" w:hAnsi="Times New Roman"/>
          <w:sz w:val="24"/>
          <w:szCs w:val="24"/>
          <w:vertAlign w:val="superscript"/>
        </w:rPr>
        <w:t>1</w:t>
      </w:r>
      <w:r>
        <w:rPr>
          <w:rFonts w:ascii="Times New Roman" w:hAnsi="Times New Roman"/>
          <w:sz w:val="24"/>
          <w:szCs w:val="24"/>
          <w:vertAlign w:val="superscript"/>
        </w:rPr>
        <w:t>)(</w:t>
      </w:r>
      <w:r>
        <w:rPr>
          <w:rFonts w:ascii="Times New Roman" w:hAnsi="Times New Roman"/>
          <w:sz w:val="24"/>
          <w:szCs w:val="24"/>
          <w:vertAlign w:val="superscript"/>
        </w:rPr>
        <w:t>2)</w:t>
      </w:r>
      <w:r>
        <w:rPr>
          <w:rFonts w:ascii="Times New Roman" w:hAnsi="Times New Roman"/>
          <w:sz w:val="24"/>
          <w:szCs w:val="24"/>
        </w:rPr>
        <w:t xml:space="preserve"> </w:t>
      </w:r>
    </w:p>
    <w:p>
      <w:pPr>
        <w:pStyle w:val="style0"/>
        <w:jc w:val="both"/>
        <w:rPr>
          <w:rFonts w:ascii="Times New Roman" w:hAnsi="Times New Roman"/>
          <w:b/>
          <w:sz w:val="24"/>
          <w:szCs w:val="24"/>
        </w:rPr>
      </w:pPr>
      <w:r>
        <w:rPr>
          <w:rFonts w:ascii="Times New Roman" w:hAnsi="Times New Roman"/>
          <w:b/>
          <w:sz w:val="24"/>
          <w:szCs w:val="24"/>
        </w:rPr>
        <w:t>Etiology</w:t>
      </w:r>
    </w:p>
    <w:p>
      <w:pPr>
        <w:pStyle w:val="style0"/>
        <w:jc w:val="both"/>
        <w:rPr>
          <w:rFonts w:ascii="Times New Roman" w:hAnsi="Times New Roman"/>
          <w:sz w:val="24"/>
          <w:szCs w:val="24"/>
        </w:rPr>
      </w:pPr>
      <w:r>
        <w:rPr>
          <w:rFonts w:ascii="Times New Roman" w:hAnsi="Times New Roman"/>
          <w:sz w:val="24"/>
          <w:szCs w:val="24"/>
        </w:rPr>
        <w:t xml:space="preserve">The most frequent causes of Reye syndrome are viral diseases like varicella and influenza A and B. According to surveillance data collected by the Centers for Disease Control and Prevention (CDC) between 1980 and 1997, influenza infection occurred in 73%, varicella infection in 21%, and gastrointestinal infections in 14% of instances of Reye syndrome. In 82% of instances, serum salicylate concentrations could be found. Coxsackie, parainfluenza, Epstein-Barr (EBV), cytomegalovirus (CMV), adenovirus, and hepatitis are less frequently related </w:t>
      </w:r>
      <w:r>
        <w:rPr>
          <w:rFonts w:ascii="Times New Roman" w:hAnsi="Times New Roman"/>
          <w:sz w:val="24"/>
          <w:szCs w:val="24"/>
        </w:rPr>
        <w:t>viral connections. It</w:t>
      </w:r>
      <w:r>
        <w:rPr>
          <w:rFonts w:ascii="Times New Roman" w:hAnsi="Times New Roman"/>
          <w:sz w:val="24"/>
          <w:szCs w:val="24"/>
        </w:rPr>
        <w:t xml:space="preserve"> has also been linked to bacterial diseases such Chlamydia, Bordetella pertussis, Mycoplasma, and Shigella. Studies on the epidemiology of disease have linked salicylate consumption to the emergence of Reye syndrome. While fewer than 0.1% of youngsters who used aspirin experienced More than 80% of kids with Reye syndrome had taken aspirin in the three weeks prior to their diagnosis. As a result of these findings, aspirin usage in children was discouraged in 1980. Following the widespread recommendations against giving aspirin to young children, the number of Reye syndrome cases that have been reported has substantially decreased. </w:t>
      </w:r>
      <w:r>
        <w:rPr>
          <w:rFonts w:ascii="Times New Roman" w:hAnsi="Times New Roman"/>
          <w:sz w:val="24"/>
          <w:szCs w:val="24"/>
          <w:vertAlign w:val="superscript"/>
        </w:rPr>
        <w:t>(3)</w:t>
      </w:r>
      <w:r>
        <w:rPr>
          <w:rFonts w:ascii="Times New Roman" w:hAnsi="Times New Roman"/>
          <w:sz w:val="24"/>
          <w:szCs w:val="24"/>
          <w:vertAlign w:val="superscript"/>
        </w:rPr>
        <w:t xml:space="preserve"> (</w:t>
      </w:r>
      <w:r>
        <w:rPr>
          <w:rFonts w:ascii="Times New Roman" w:hAnsi="Times New Roman"/>
          <w:sz w:val="24"/>
          <w:szCs w:val="24"/>
          <w:vertAlign w:val="superscript"/>
        </w:rPr>
        <w:t>4</w:t>
      </w:r>
      <w:r>
        <w:rPr>
          <w:rFonts w:ascii="Times New Roman" w:hAnsi="Times New Roman"/>
          <w:sz w:val="24"/>
          <w:szCs w:val="24"/>
          <w:vertAlign w:val="superscript"/>
        </w:rPr>
        <w:t>)</w:t>
      </w:r>
    </w:p>
    <w:p>
      <w:pPr>
        <w:pStyle w:val="style0"/>
        <w:jc w:val="both"/>
        <w:rPr>
          <w:rFonts w:ascii="Times New Roman" w:hAnsi="Times New Roman"/>
          <w:b/>
          <w:sz w:val="24"/>
          <w:szCs w:val="24"/>
        </w:rPr>
      </w:pPr>
      <w:r>
        <w:rPr>
          <w:rFonts w:ascii="Times New Roman" w:hAnsi="Times New Roman"/>
          <w:b/>
          <w:sz w:val="24"/>
          <w:szCs w:val="24"/>
        </w:rPr>
        <w:t>Pathophysiology</w:t>
      </w:r>
    </w:p>
    <w:p>
      <w:pPr>
        <w:pStyle w:val="style0"/>
        <w:jc w:val="both"/>
        <w:rPr>
          <w:rFonts w:ascii="Times New Roman" w:hAnsi="Times New Roman"/>
          <w:sz w:val="24"/>
          <w:szCs w:val="24"/>
        </w:rPr>
      </w:pPr>
      <w:r>
        <w:rPr>
          <w:rFonts w:ascii="Times New Roman" w:hAnsi="Times New Roman"/>
          <w:sz w:val="24"/>
          <w:szCs w:val="24"/>
        </w:rPr>
        <w:t xml:space="preserve">Reye syndrome's precise </w:t>
      </w:r>
      <w:r>
        <w:rPr>
          <w:rFonts w:ascii="Times New Roman" w:hAnsi="Times New Roman"/>
          <w:sz w:val="24"/>
          <w:szCs w:val="24"/>
        </w:rPr>
        <w:t xml:space="preserve">etiology is unknown, however it appears to include mitochondrial damage in the context of a viral infection. Aspirin may inflict or maintain damage to cellular mitochondria, which inhibits the metabolism </w:t>
      </w:r>
      <w:r>
        <w:rPr>
          <w:rFonts w:ascii="Times New Roman" w:hAnsi="Times New Roman"/>
          <w:sz w:val="24"/>
          <w:szCs w:val="24"/>
        </w:rPr>
        <w:t xml:space="preserve">of fatty acids. </w:t>
      </w:r>
      <w:r>
        <w:rPr>
          <w:rFonts w:ascii="Times New Roman" w:hAnsi="Times New Roman"/>
          <w:sz w:val="24"/>
          <w:szCs w:val="24"/>
        </w:rPr>
        <w:t>N</w:t>
      </w:r>
      <w:r>
        <w:rPr>
          <w:rFonts w:ascii="Times New Roman" w:hAnsi="Times New Roman"/>
          <w:sz w:val="24"/>
          <w:szCs w:val="24"/>
        </w:rPr>
        <w:t xml:space="preserve">eurologic symptoms are most likely </w:t>
      </w:r>
      <w:r>
        <w:rPr>
          <w:rFonts w:ascii="Times New Roman" w:hAnsi="Times New Roman"/>
          <w:sz w:val="24"/>
          <w:szCs w:val="24"/>
        </w:rPr>
        <w:t xml:space="preserve">caused by hepatic mitochondrial failure, which raises ammonia levels. Hyperammonemia may cause widespread cerebral edoema and subsequently increased intracranial pressure by inducing astrocyte edoema. Pathology studies have identified astrocyte edoema, neuronal loss, fatty kidney degeneration, and </w:t>
      </w:r>
      <w:r>
        <w:rPr>
          <w:rFonts w:ascii="Times New Roman" w:hAnsi="Times New Roman"/>
          <w:sz w:val="24"/>
          <w:szCs w:val="24"/>
        </w:rPr>
        <w:t>enlarged and fewer mitochondria.</w:t>
      </w:r>
    </w:p>
    <w:p>
      <w:pPr>
        <w:pStyle w:val="style0"/>
        <w:tabs>
          <w:tab w:val="left" w:leader="none" w:pos="3405"/>
        </w:tabs>
        <w:jc w:val="both"/>
        <w:rPr>
          <w:rFonts w:ascii="Times New Roman" w:hAnsi="Times New Roman"/>
          <w:b/>
          <w:sz w:val="24"/>
          <w:szCs w:val="24"/>
        </w:rPr>
      </w:pPr>
      <w:r>
        <w:rPr>
          <w:rFonts w:ascii="Times New Roman" w:hAnsi="Times New Roman"/>
          <w:b/>
          <w:sz w:val="24"/>
          <w:szCs w:val="24"/>
        </w:rPr>
        <w:t>History and Physical examination</w:t>
      </w:r>
      <w:r>
        <w:rPr>
          <w:rFonts w:ascii="Times New Roman" w:hAnsi="Times New Roman"/>
          <w:b/>
          <w:sz w:val="24"/>
          <w:szCs w:val="24"/>
        </w:rPr>
        <w:tab/>
      </w:r>
    </w:p>
    <w:p>
      <w:pPr>
        <w:pStyle w:val="style0"/>
        <w:jc w:val="both"/>
        <w:rPr>
          <w:rFonts w:ascii="Times New Roman" w:hAnsi="Times New Roman"/>
          <w:sz w:val="24"/>
          <w:szCs w:val="24"/>
        </w:rPr>
      </w:pPr>
      <w:r>
        <w:rPr>
          <w:rFonts w:ascii="Times New Roman" w:hAnsi="Times New Roman"/>
          <w:sz w:val="24"/>
          <w:szCs w:val="24"/>
        </w:rPr>
        <w:t>Making this uncommon diagnosis calls for a high degree of suspicion based on the patient's medical history, clinical symptoms, and lab results. Reye syndrome symptoms and signs often appear between 12 hours and 3 weeks after a viral illness, such as gastroenteritis or an upper respiratory tract infection, has subsided. Vomiting usually starts 3 to 6 days following a viral illness, on average. Clinical development is divided into 5 separate stages, according to the CDC:</w:t>
      </w:r>
    </w:p>
    <w:p>
      <w:pPr>
        <w:pStyle w:val="style0"/>
        <w:jc w:val="both"/>
        <w:rPr>
          <w:rFonts w:ascii="Times New Roman" w:hAnsi="Times New Roman"/>
          <w:sz w:val="24"/>
          <w:szCs w:val="24"/>
        </w:rPr>
      </w:pPr>
      <w:r>
        <w:rPr>
          <w:rFonts w:ascii="Times New Roman" w:hAnsi="Times New Roman"/>
          <w:sz w:val="24"/>
          <w:szCs w:val="24"/>
        </w:rPr>
        <w:t>Stage 1</w:t>
      </w:r>
    </w:p>
    <w:p>
      <w:pPr>
        <w:pStyle w:val="style0"/>
        <w:jc w:val="both"/>
        <w:rPr>
          <w:rFonts w:ascii="Times New Roman" w:hAnsi="Times New Roman"/>
          <w:sz w:val="24"/>
          <w:szCs w:val="24"/>
        </w:rPr>
      </w:pPr>
      <w:r>
        <w:rPr>
          <w:rFonts w:ascii="Times New Roman" w:hAnsi="Times New Roman"/>
          <w:sz w:val="24"/>
          <w:szCs w:val="24"/>
        </w:rPr>
        <w:t>Persistent, copious vomiting</w:t>
      </w:r>
      <w:r>
        <w:rPr>
          <w:rFonts w:ascii="Times New Roman" w:hAnsi="Times New Roman"/>
          <w:sz w:val="24"/>
          <w:szCs w:val="24"/>
        </w:rPr>
        <w:t xml:space="preserve">, </w:t>
      </w:r>
      <w:r>
        <w:rPr>
          <w:rFonts w:ascii="Times New Roman" w:hAnsi="Times New Roman"/>
          <w:sz w:val="24"/>
          <w:szCs w:val="24"/>
        </w:rPr>
        <w:t>Lethargy, nightmares, increased somnolence</w:t>
      </w:r>
      <w:r>
        <w:rPr>
          <w:rFonts w:ascii="Times New Roman" w:hAnsi="Times New Roman"/>
          <w:sz w:val="24"/>
          <w:szCs w:val="24"/>
        </w:rPr>
        <w:t xml:space="preserve"> and </w:t>
      </w:r>
      <w:r>
        <w:rPr>
          <w:rFonts w:ascii="Times New Roman" w:hAnsi="Times New Roman"/>
          <w:sz w:val="24"/>
          <w:szCs w:val="24"/>
        </w:rPr>
        <w:t>Confusion</w:t>
      </w:r>
    </w:p>
    <w:p>
      <w:pPr>
        <w:pStyle w:val="style0"/>
        <w:jc w:val="both"/>
        <w:rPr>
          <w:rFonts w:ascii="Times New Roman" w:hAnsi="Times New Roman"/>
          <w:sz w:val="24"/>
          <w:szCs w:val="24"/>
        </w:rPr>
      </w:pPr>
      <w:r>
        <w:rPr>
          <w:rFonts w:ascii="Times New Roman" w:hAnsi="Times New Roman"/>
          <w:sz w:val="24"/>
          <w:szCs w:val="24"/>
        </w:rPr>
        <w:t>Stage 2</w:t>
      </w:r>
    </w:p>
    <w:p>
      <w:pPr>
        <w:pStyle w:val="style0"/>
        <w:jc w:val="both"/>
        <w:rPr>
          <w:rFonts w:ascii="Times New Roman" w:hAnsi="Times New Roman"/>
          <w:sz w:val="24"/>
          <w:szCs w:val="24"/>
        </w:rPr>
      </w:pPr>
      <w:r>
        <w:rPr>
          <w:rFonts w:ascii="Times New Roman" w:hAnsi="Times New Roman"/>
          <w:sz w:val="24"/>
          <w:szCs w:val="24"/>
        </w:rPr>
        <w:t>Stupor, disorientation, combativeness, delirium</w:t>
      </w:r>
      <w:r>
        <w:rPr>
          <w:rFonts w:ascii="Times New Roman" w:hAnsi="Times New Roman"/>
          <w:sz w:val="24"/>
          <w:szCs w:val="24"/>
        </w:rPr>
        <w:t xml:space="preserve">, </w:t>
      </w:r>
      <w:r>
        <w:rPr>
          <w:rFonts w:ascii="Times New Roman" w:hAnsi="Times New Roman"/>
          <w:sz w:val="24"/>
          <w:szCs w:val="24"/>
        </w:rPr>
        <w:t>Hyperreflexia, positive Babinski sign, lack of appropriate response to noxious stimuli, dilated and sluggish pupils</w:t>
      </w:r>
      <w:r>
        <w:rPr>
          <w:rFonts w:ascii="Times New Roman" w:hAnsi="Times New Roman"/>
          <w:sz w:val="24"/>
          <w:szCs w:val="24"/>
        </w:rPr>
        <w:t xml:space="preserve">, Hyperventilation and </w:t>
      </w:r>
      <w:r>
        <w:rPr>
          <w:rFonts w:ascii="Times New Roman" w:hAnsi="Times New Roman"/>
          <w:sz w:val="24"/>
          <w:szCs w:val="24"/>
        </w:rPr>
        <w:t xml:space="preserve">tachycardia </w:t>
      </w:r>
    </w:p>
    <w:p>
      <w:pPr>
        <w:pStyle w:val="style0"/>
        <w:jc w:val="both"/>
        <w:rPr>
          <w:rFonts w:ascii="Times New Roman" w:hAnsi="Times New Roman"/>
          <w:sz w:val="24"/>
          <w:szCs w:val="24"/>
        </w:rPr>
      </w:pPr>
      <w:r>
        <w:rPr>
          <w:rFonts w:ascii="Times New Roman" w:hAnsi="Times New Roman"/>
          <w:sz w:val="24"/>
          <w:szCs w:val="24"/>
        </w:rPr>
        <w:t>Stage 3</w:t>
      </w:r>
    </w:p>
    <w:p>
      <w:pPr>
        <w:pStyle w:val="style0"/>
        <w:jc w:val="both"/>
        <w:rPr>
          <w:rFonts w:ascii="Times New Roman" w:hAnsi="Times New Roman"/>
          <w:sz w:val="24"/>
          <w:szCs w:val="24"/>
        </w:rPr>
      </w:pPr>
      <w:r>
        <w:rPr>
          <w:rFonts w:ascii="Times New Roman" w:hAnsi="Times New Roman"/>
          <w:sz w:val="24"/>
          <w:szCs w:val="24"/>
        </w:rPr>
        <w:t>Obtunded, comatose and</w:t>
      </w:r>
      <w:r>
        <w:rPr>
          <w:rFonts w:ascii="Times New Roman" w:hAnsi="Times New Roman"/>
          <w:sz w:val="24"/>
          <w:szCs w:val="24"/>
        </w:rPr>
        <w:t xml:space="preserve"> decorticate rigidity</w:t>
      </w:r>
    </w:p>
    <w:p>
      <w:pPr>
        <w:pStyle w:val="style0"/>
        <w:jc w:val="both"/>
        <w:rPr>
          <w:rFonts w:ascii="Times New Roman" w:hAnsi="Times New Roman"/>
          <w:sz w:val="24"/>
          <w:szCs w:val="24"/>
        </w:rPr>
      </w:pPr>
      <w:r>
        <w:rPr>
          <w:rFonts w:ascii="Times New Roman" w:hAnsi="Times New Roman"/>
          <w:sz w:val="24"/>
          <w:szCs w:val="24"/>
        </w:rPr>
        <w:t>Stage 4</w:t>
      </w:r>
    </w:p>
    <w:p>
      <w:pPr>
        <w:pStyle w:val="style0"/>
        <w:jc w:val="both"/>
        <w:rPr>
          <w:rFonts w:ascii="Times New Roman" w:hAnsi="Times New Roman"/>
          <w:sz w:val="24"/>
          <w:szCs w:val="24"/>
        </w:rPr>
      </w:pPr>
      <w:r>
        <w:rPr>
          <w:rFonts w:ascii="Times New Roman" w:hAnsi="Times New Roman"/>
          <w:sz w:val="24"/>
          <w:szCs w:val="24"/>
        </w:rPr>
        <w:t>Pupil dilation with minimal response to light or fixed and dilated pupils, deconjugate gaze with caloric stimuli</w:t>
      </w:r>
      <w:r>
        <w:rPr>
          <w:rFonts w:ascii="Times New Roman" w:hAnsi="Times New Roman"/>
          <w:sz w:val="24"/>
          <w:szCs w:val="24"/>
        </w:rPr>
        <w:t xml:space="preserve"> and </w:t>
      </w:r>
      <w:r>
        <w:rPr>
          <w:rFonts w:ascii="Times New Roman" w:hAnsi="Times New Roman"/>
          <w:sz w:val="24"/>
          <w:szCs w:val="24"/>
        </w:rPr>
        <w:t>Deep coma with decerebrate rigidity</w:t>
      </w:r>
    </w:p>
    <w:p>
      <w:pPr>
        <w:pStyle w:val="style0"/>
        <w:jc w:val="both"/>
        <w:rPr>
          <w:rFonts w:ascii="Times New Roman" w:hAnsi="Times New Roman"/>
          <w:sz w:val="24"/>
          <w:szCs w:val="24"/>
        </w:rPr>
      </w:pPr>
      <w:r>
        <w:rPr>
          <w:rFonts w:ascii="Times New Roman" w:hAnsi="Times New Roman"/>
          <w:sz w:val="24"/>
          <w:szCs w:val="24"/>
        </w:rPr>
        <w:t>Stage 5</w:t>
      </w:r>
    </w:p>
    <w:p>
      <w:pPr>
        <w:pStyle w:val="style0"/>
        <w:jc w:val="both"/>
        <w:rPr>
          <w:rFonts w:ascii="Times New Roman" w:hAnsi="Times New Roman"/>
          <w:sz w:val="24"/>
          <w:szCs w:val="24"/>
        </w:rPr>
      </w:pPr>
      <w:r>
        <w:rPr>
          <w:rFonts w:ascii="Times New Roman" w:hAnsi="Times New Roman"/>
          <w:sz w:val="24"/>
          <w:szCs w:val="24"/>
        </w:rPr>
        <w:t>Seizures</w:t>
      </w:r>
      <w:r>
        <w:rPr>
          <w:rFonts w:ascii="Times New Roman" w:hAnsi="Times New Roman"/>
          <w:sz w:val="24"/>
          <w:szCs w:val="24"/>
        </w:rPr>
        <w:t xml:space="preserve">, </w:t>
      </w:r>
      <w:r>
        <w:rPr>
          <w:rFonts w:ascii="Times New Roman" w:hAnsi="Times New Roman"/>
          <w:sz w:val="24"/>
          <w:szCs w:val="24"/>
        </w:rPr>
        <w:t>Flaccid paralysis, absent deep tendon reflexes, no pupillary response</w:t>
      </w:r>
      <w:r>
        <w:rPr>
          <w:rFonts w:ascii="Times New Roman" w:hAnsi="Times New Roman"/>
          <w:sz w:val="24"/>
          <w:szCs w:val="24"/>
        </w:rPr>
        <w:t xml:space="preserve">, </w:t>
      </w:r>
      <w:r>
        <w:rPr>
          <w:rFonts w:ascii="Times New Roman" w:hAnsi="Times New Roman"/>
          <w:sz w:val="24"/>
          <w:szCs w:val="24"/>
        </w:rPr>
        <w:t>Respiratory arrest</w:t>
      </w:r>
    </w:p>
    <w:p>
      <w:pPr>
        <w:pStyle w:val="style0"/>
        <w:tabs>
          <w:tab w:val="left" w:leader="none" w:pos="2040"/>
        </w:tabs>
        <w:jc w:val="both"/>
        <w:rPr>
          <w:rFonts w:ascii="Times New Roman" w:hAnsi="Times New Roman"/>
          <w:sz w:val="24"/>
          <w:szCs w:val="24"/>
          <w:vertAlign w:val="superscript"/>
        </w:rPr>
      </w:pPr>
      <w:r>
        <w:rPr>
          <w:rFonts w:ascii="Times New Roman" w:hAnsi="Times New Roman"/>
          <w:sz w:val="24"/>
          <w:szCs w:val="24"/>
        </w:rPr>
        <w:t xml:space="preserve">And </w:t>
      </w:r>
      <w:r>
        <w:rPr>
          <w:rFonts w:ascii="Times New Roman" w:hAnsi="Times New Roman"/>
          <w:sz w:val="24"/>
          <w:szCs w:val="24"/>
        </w:rPr>
        <w:t>Deaths</w:t>
      </w:r>
      <w:r>
        <w:rPr>
          <w:rFonts w:ascii="Times New Roman" w:hAnsi="Times New Roman"/>
          <w:sz w:val="24"/>
          <w:szCs w:val="24"/>
        </w:rPr>
        <w:t xml:space="preserve"> </w:t>
      </w:r>
      <w:r>
        <w:rPr>
          <w:rFonts w:ascii="Times New Roman" w:hAnsi="Times New Roman"/>
          <w:sz w:val="24"/>
          <w:szCs w:val="24"/>
          <w:vertAlign w:val="superscript"/>
        </w:rPr>
        <w:t>(</w:t>
      </w:r>
      <w:r>
        <w:rPr>
          <w:rFonts w:ascii="Times New Roman" w:hAnsi="Times New Roman"/>
          <w:sz w:val="24"/>
          <w:szCs w:val="24"/>
          <w:vertAlign w:val="superscript"/>
        </w:rPr>
        <w:t xml:space="preserve"> </w:t>
      </w:r>
      <w:r>
        <w:rPr>
          <w:rFonts w:ascii="Times New Roman" w:hAnsi="Times New Roman"/>
          <w:sz w:val="24"/>
          <w:szCs w:val="24"/>
          <w:vertAlign w:val="superscript"/>
        </w:rPr>
        <w:t>5,6)</w:t>
      </w:r>
      <w:r>
        <w:rPr>
          <w:rFonts w:ascii="Times New Roman" w:hAnsi="Times New Roman"/>
          <w:sz w:val="24"/>
          <w:szCs w:val="24"/>
          <w:vertAlign w:val="superscript"/>
        </w:rPr>
        <w:tab/>
      </w:r>
    </w:p>
    <w:p>
      <w:pPr>
        <w:pStyle w:val="style0"/>
        <w:jc w:val="both"/>
        <w:rPr>
          <w:rFonts w:ascii="Times New Roman" w:hAnsi="Times New Roman"/>
          <w:b/>
          <w:sz w:val="24"/>
          <w:szCs w:val="24"/>
        </w:rPr>
      </w:pPr>
      <w:r>
        <w:rPr>
          <w:rFonts w:ascii="Times New Roman" w:hAnsi="Times New Roman"/>
          <w:b/>
          <w:sz w:val="24"/>
          <w:szCs w:val="24"/>
        </w:rPr>
        <w:t xml:space="preserve">Diagnostic </w:t>
      </w:r>
      <w:r>
        <w:rPr>
          <w:rFonts w:ascii="Times New Roman" w:hAnsi="Times New Roman"/>
          <w:b/>
          <w:sz w:val="24"/>
          <w:szCs w:val="24"/>
        </w:rPr>
        <w:t>Evaluation</w:t>
      </w:r>
    </w:p>
    <w:p>
      <w:pPr>
        <w:pStyle w:val="style0"/>
        <w:jc w:val="both"/>
        <w:rPr>
          <w:rFonts w:ascii="Times New Roman" w:hAnsi="Times New Roman"/>
          <w:sz w:val="24"/>
          <w:szCs w:val="24"/>
        </w:rPr>
      </w:pPr>
      <w:r>
        <w:rPr>
          <w:rFonts w:ascii="Times New Roman" w:hAnsi="Times New Roman"/>
          <w:sz w:val="24"/>
          <w:szCs w:val="24"/>
        </w:rPr>
        <w:t>The following criteria have been used by the CDC to define Reye syndrome</w:t>
      </w:r>
    </w:p>
    <w:p>
      <w:pPr>
        <w:pStyle w:val="style0"/>
        <w:jc w:val="both"/>
        <w:rPr>
          <w:rFonts w:ascii="Times New Roman" w:hAnsi="Times New Roman"/>
          <w:sz w:val="24"/>
          <w:szCs w:val="24"/>
        </w:rPr>
      </w:pPr>
      <w:r>
        <w:rPr>
          <w:rFonts w:ascii="Times New Roman" w:hAnsi="Times New Roman"/>
          <w:sz w:val="24"/>
          <w:szCs w:val="24"/>
        </w:rPr>
        <w:t>"Acute non</w:t>
      </w:r>
      <w:r>
        <w:rPr>
          <w:rFonts w:ascii="Times New Roman" w:hAnsi="Times New Roman"/>
          <w:sz w:val="24"/>
          <w:szCs w:val="24"/>
        </w:rPr>
        <w:t xml:space="preserve"> </w:t>
      </w:r>
      <w:r>
        <w:rPr>
          <w:rFonts w:ascii="Times New Roman" w:hAnsi="Times New Roman"/>
          <w:sz w:val="24"/>
          <w:szCs w:val="24"/>
        </w:rPr>
        <w:t>inflammatory encephalopathy is de</w:t>
      </w:r>
      <w:r>
        <w:rPr>
          <w:rFonts w:ascii="Times New Roman" w:hAnsi="Times New Roman"/>
          <w:sz w:val="24"/>
          <w:szCs w:val="24"/>
        </w:rPr>
        <w:t>fined clinically as cerebral ed</w:t>
      </w:r>
      <w:r>
        <w:rPr>
          <w:rFonts w:ascii="Times New Roman" w:hAnsi="Times New Roman"/>
          <w:sz w:val="24"/>
          <w:szCs w:val="24"/>
        </w:rPr>
        <w:t>ema without perivascular or meningeal inflammation, as well as a change in consciousness and, if available, a record of cerebrospinal fluid (CSF) containing fewer than or equal to 8 leukocytes/cu.mm.</w:t>
      </w:r>
    </w:p>
    <w:p>
      <w:pPr>
        <w:pStyle w:val="style0"/>
        <w:jc w:val="both"/>
        <w:rPr>
          <w:rFonts w:ascii="Times New Roman" w:hAnsi="Times New Roman"/>
          <w:sz w:val="24"/>
          <w:szCs w:val="24"/>
        </w:rPr>
      </w:pPr>
    </w:p>
    <w:p>
      <w:pPr>
        <w:pStyle w:val="style0"/>
        <w:jc w:val="both"/>
        <w:rPr>
          <w:rFonts w:ascii="Times New Roman" w:hAnsi="Times New Roman"/>
          <w:sz w:val="24"/>
          <w:szCs w:val="24"/>
        </w:rPr>
      </w:pPr>
      <w:r>
        <w:rPr>
          <w:rFonts w:ascii="Times New Roman" w:hAnsi="Times New Roman"/>
          <w:sz w:val="24"/>
          <w:szCs w:val="24"/>
        </w:rPr>
        <w:t>liver biopsy or autopsy that is deemed to be diagnostic of Reye syndrome, or b) a threefold or more increase in the levels of serum glutamic-oxaloacetic transaminase (SGOT), serum glutamic-pyruvic transaminase (SGPT), or serum ammonia, are both regarded to be signs of hepatopathy.</w:t>
      </w:r>
    </w:p>
    <w:p>
      <w:pPr>
        <w:pStyle w:val="style0"/>
        <w:jc w:val="both"/>
        <w:rPr>
          <w:rFonts w:ascii="Times New Roman" w:hAnsi="Times New Roman"/>
          <w:sz w:val="24"/>
          <w:szCs w:val="24"/>
        </w:rPr>
      </w:pPr>
      <w:r>
        <w:rPr>
          <w:rFonts w:ascii="Times New Roman" w:hAnsi="Times New Roman"/>
          <w:sz w:val="24"/>
          <w:szCs w:val="24"/>
        </w:rPr>
        <w:t xml:space="preserve">Raised </w:t>
      </w:r>
      <w:r>
        <w:rPr>
          <w:rFonts w:ascii="Times New Roman" w:hAnsi="Times New Roman"/>
          <w:sz w:val="24"/>
          <w:szCs w:val="24"/>
        </w:rPr>
        <w:t xml:space="preserve">liver function tests (ALT, AST, </w:t>
      </w:r>
      <w:r>
        <w:rPr>
          <w:rFonts w:ascii="Times New Roman" w:hAnsi="Times New Roman"/>
          <w:sz w:val="24"/>
          <w:szCs w:val="24"/>
        </w:rPr>
        <w:t>bilirubin), hyperammonemia, abnormal coagulation studies, elevated amylase and lipase, decreased serum bicarbonate, and lab findings consistent with dehydration are among the anomalies in the body's chemical make-up that are linked to Reye syndrome. The most typical test result is an early spike in ammonia that occurs within 1 to 2 days of changes in mental status. The leukocyte count must be less than 8 in a lumbar puncture to meet diagnostic requirements. Opening pressure may increase in the later clinical stages of the disease, although it may also stay normal in the beginning</w:t>
      </w:r>
      <w:r>
        <w:rPr>
          <w:rFonts w:ascii="Times New Roman" w:hAnsi="Times New Roman"/>
          <w:sz w:val="24"/>
          <w:szCs w:val="24"/>
          <w:vertAlign w:val="superscript"/>
        </w:rPr>
        <w:t xml:space="preserve"> </w:t>
      </w:r>
      <w:r>
        <w:rPr>
          <w:rFonts w:ascii="Times New Roman" w:hAnsi="Times New Roman"/>
          <w:sz w:val="24"/>
          <w:szCs w:val="24"/>
          <w:vertAlign w:val="superscript"/>
        </w:rPr>
        <w:t>[8] [9] [10]</w:t>
      </w:r>
    </w:p>
    <w:p>
      <w:pPr>
        <w:pStyle w:val="style0"/>
        <w:jc w:val="both"/>
        <w:rPr>
          <w:rFonts w:ascii="Times New Roman" w:hAnsi="Times New Roman"/>
          <w:b/>
          <w:sz w:val="24"/>
          <w:szCs w:val="24"/>
        </w:rPr>
      </w:pPr>
      <w:r>
        <w:rPr>
          <w:rFonts w:ascii="Times New Roman" w:hAnsi="Times New Roman"/>
          <w:b/>
          <w:sz w:val="24"/>
          <w:szCs w:val="24"/>
        </w:rPr>
        <w:t>Management / Treatment</w:t>
      </w:r>
    </w:p>
    <w:p>
      <w:pPr>
        <w:pStyle w:val="style0"/>
        <w:jc w:val="both"/>
        <w:rPr>
          <w:rFonts w:ascii="Times New Roman" w:hAnsi="Times New Roman"/>
          <w:sz w:val="24"/>
          <w:szCs w:val="24"/>
        </w:rPr>
      </w:pPr>
      <w:r>
        <w:rPr>
          <w:rFonts w:ascii="Times New Roman" w:hAnsi="Times New Roman"/>
          <w:sz w:val="24"/>
          <w:szCs w:val="24"/>
        </w:rPr>
        <w:t xml:space="preserve">To preserve hemodynamic stability and appropriate respiratory function in Reye syndrome, which is a rapidly advancing condition, early invasive operations may be necessary. A Foley catheter may be used to track urine output, central venous access insertion, and airway intubation, among other procedures. It may also be necessary to perform further </w:t>
      </w:r>
      <w:r>
        <w:rPr>
          <w:rFonts w:ascii="Times New Roman" w:hAnsi="Times New Roman"/>
          <w:sz w:val="24"/>
          <w:szCs w:val="24"/>
        </w:rPr>
        <w:t>specialized</w:t>
      </w:r>
      <w:r>
        <w:rPr>
          <w:rFonts w:ascii="Times New Roman" w:hAnsi="Times New Roman"/>
          <w:sz w:val="24"/>
          <w:szCs w:val="24"/>
        </w:rPr>
        <w:t xml:space="preserve"> tests like liver biopsy and intracranial pressure monitoring. </w:t>
      </w:r>
    </w:p>
    <w:p>
      <w:pPr>
        <w:pStyle w:val="style0"/>
        <w:jc w:val="both"/>
        <w:rPr>
          <w:rFonts w:ascii="Times New Roman" w:hAnsi="Times New Roman"/>
          <w:sz w:val="24"/>
          <w:szCs w:val="24"/>
        </w:rPr>
      </w:pPr>
      <w:r>
        <w:rPr>
          <w:rFonts w:ascii="Times New Roman" w:hAnsi="Times New Roman"/>
          <w:sz w:val="24"/>
          <w:szCs w:val="24"/>
        </w:rPr>
        <w:t>Dextrose-containing fluids (D50, D10, D5, etc.) can be used to treat hypoglycemia with a blood glucose target of 100–120 mg/dl.</w:t>
      </w:r>
      <w:r>
        <w:rPr>
          <w:rFonts w:ascii="Times New Roman" w:hAnsi="Times New Roman"/>
          <w:sz w:val="24"/>
          <w:szCs w:val="24"/>
        </w:rPr>
        <w:t xml:space="preserve"> </w:t>
      </w:r>
      <w:r>
        <w:rPr>
          <w:rFonts w:ascii="Times New Roman" w:hAnsi="Times New Roman"/>
          <w:sz w:val="24"/>
          <w:szCs w:val="24"/>
        </w:rPr>
        <w:t>Treatment options for acidosis include breathing control and sodium bicarbonate (care must be taken not to overcorrect or correct too rapidly).Treatment options for hyperammonemia include phenyl</w:t>
      </w:r>
      <w:r>
        <w:rPr>
          <w:rFonts w:ascii="Times New Roman" w:hAnsi="Times New Roman"/>
          <w:sz w:val="24"/>
          <w:szCs w:val="24"/>
        </w:rPr>
        <w:t xml:space="preserve"> </w:t>
      </w:r>
      <w:r>
        <w:rPr>
          <w:rFonts w:ascii="Times New Roman" w:hAnsi="Times New Roman"/>
          <w:sz w:val="24"/>
          <w:szCs w:val="24"/>
        </w:rPr>
        <w:t>acetate-sodium benzoate (Immunol) and sodium polystyrene sulphate (Kayexalate), however hemodialysis may be necessary if the level is higher than 500mcg/dl., fresh frozen plasma (FFP), or vitamin K may be used to treat coaguloathy (particularly before invasive operations or with clinically substantial bleeding).</w:t>
      </w:r>
    </w:p>
    <w:p>
      <w:pPr>
        <w:pStyle w:val="style0"/>
        <w:jc w:val="both"/>
        <w:rPr>
          <w:rFonts w:ascii="Times New Roman" w:hAnsi="Times New Roman"/>
          <w:sz w:val="24"/>
          <w:szCs w:val="24"/>
        </w:rPr>
      </w:pPr>
      <w:r>
        <w:rPr>
          <w:rFonts w:ascii="Times New Roman" w:hAnsi="Times New Roman"/>
          <w:sz w:val="24"/>
          <w:szCs w:val="24"/>
        </w:rPr>
        <w:t>Treatment strategies for elevated ICP may include the following:</w:t>
      </w:r>
    </w:p>
    <w:p>
      <w:pPr>
        <w:pStyle w:val="style0"/>
        <w:jc w:val="both"/>
        <w:rPr>
          <w:rFonts w:ascii="Times New Roman" w:hAnsi="Times New Roman"/>
          <w:sz w:val="24"/>
          <w:szCs w:val="24"/>
        </w:rPr>
      </w:pPr>
      <w:r>
        <w:rPr>
          <w:rFonts w:ascii="Times New Roman" w:hAnsi="Times New Roman"/>
          <w:sz w:val="24"/>
          <w:szCs w:val="24"/>
        </w:rPr>
        <w:t>Raising the bed's head by 30 degrees</w:t>
      </w:r>
      <w:r>
        <w:rPr>
          <w:rFonts w:ascii="Times New Roman" w:hAnsi="Times New Roman"/>
          <w:sz w:val="24"/>
          <w:szCs w:val="24"/>
        </w:rPr>
        <w:t xml:space="preserve">, </w:t>
      </w:r>
      <w:r>
        <w:rPr>
          <w:rFonts w:ascii="Times New Roman" w:hAnsi="Times New Roman"/>
          <w:sz w:val="24"/>
          <w:szCs w:val="24"/>
        </w:rPr>
        <w:t>C</w:t>
      </w:r>
      <w:r>
        <w:rPr>
          <w:rFonts w:ascii="Times New Roman" w:hAnsi="Times New Roman"/>
          <w:sz w:val="24"/>
          <w:szCs w:val="24"/>
        </w:rPr>
        <w:t>ontrol</w:t>
      </w:r>
      <w:r>
        <w:rPr>
          <w:rFonts w:ascii="Times New Roman" w:hAnsi="Times New Roman"/>
          <w:sz w:val="24"/>
          <w:szCs w:val="24"/>
        </w:rPr>
        <w:t xml:space="preserve"> </w:t>
      </w:r>
      <w:r>
        <w:rPr>
          <w:rFonts w:ascii="Times New Roman" w:hAnsi="Times New Roman"/>
          <w:sz w:val="24"/>
          <w:szCs w:val="24"/>
        </w:rPr>
        <w:t xml:space="preserve"> of temperature to avoid </w:t>
      </w:r>
      <w:r>
        <w:rPr>
          <w:rFonts w:ascii="Times New Roman" w:hAnsi="Times New Roman"/>
          <w:sz w:val="24"/>
          <w:szCs w:val="24"/>
        </w:rPr>
        <w:t>rigors</w:t>
      </w:r>
      <w:r>
        <w:rPr>
          <w:rFonts w:ascii="Times New Roman" w:hAnsi="Times New Roman"/>
          <w:sz w:val="24"/>
          <w:szCs w:val="24"/>
        </w:rPr>
        <w:t xml:space="preserve"> and increased cerebral metabolism</w:t>
      </w:r>
      <w:r>
        <w:rPr>
          <w:rFonts w:ascii="Times New Roman" w:hAnsi="Times New Roman"/>
          <w:sz w:val="24"/>
          <w:szCs w:val="24"/>
        </w:rPr>
        <w:t xml:space="preserve">, </w:t>
      </w:r>
      <w:r>
        <w:rPr>
          <w:rFonts w:ascii="Times New Roman" w:hAnsi="Times New Roman"/>
          <w:sz w:val="24"/>
          <w:szCs w:val="24"/>
        </w:rPr>
        <w:t>ICP observing the use of Lasix</w:t>
      </w:r>
      <w:r>
        <w:rPr>
          <w:rFonts w:ascii="Times New Roman" w:hAnsi="Times New Roman"/>
          <w:sz w:val="24"/>
          <w:szCs w:val="24"/>
        </w:rPr>
        <w:t xml:space="preserve">, </w:t>
      </w:r>
      <w:r>
        <w:rPr>
          <w:rFonts w:ascii="Times New Roman" w:hAnsi="Times New Roman"/>
          <w:sz w:val="24"/>
          <w:szCs w:val="24"/>
        </w:rPr>
        <w:t xml:space="preserve">careful fluid management to avoid becoming </w:t>
      </w:r>
      <w:r>
        <w:rPr>
          <w:rFonts w:ascii="Times New Roman" w:hAnsi="Times New Roman"/>
          <w:sz w:val="24"/>
          <w:szCs w:val="24"/>
        </w:rPr>
        <w:t>over hydrated</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Anesthesia</w:t>
      </w:r>
      <w:r>
        <w:rPr>
          <w:rFonts w:ascii="Times New Roman" w:hAnsi="Times New Roman"/>
          <w:sz w:val="24"/>
          <w:szCs w:val="24"/>
        </w:rPr>
        <w:t xml:space="preserve"> and analgesia</w:t>
      </w:r>
      <w:r>
        <w:rPr>
          <w:rFonts w:ascii="Times New Roman" w:hAnsi="Times New Roman"/>
          <w:sz w:val="24"/>
          <w:szCs w:val="24"/>
        </w:rPr>
        <w:t xml:space="preserve">, </w:t>
      </w:r>
      <w:r>
        <w:rPr>
          <w:rFonts w:ascii="Times New Roman" w:hAnsi="Times New Roman"/>
          <w:sz w:val="24"/>
          <w:szCs w:val="24"/>
        </w:rPr>
        <w:t>Hypertonic saline or mannitol</w:t>
      </w:r>
      <w:r>
        <w:rPr>
          <w:rFonts w:ascii="Times New Roman" w:hAnsi="Times New Roman"/>
          <w:sz w:val="24"/>
          <w:szCs w:val="24"/>
        </w:rPr>
        <w:t xml:space="preserve"> and </w:t>
      </w:r>
      <w:r>
        <w:rPr>
          <w:rFonts w:ascii="Times New Roman" w:hAnsi="Times New Roman"/>
          <w:sz w:val="24"/>
          <w:szCs w:val="24"/>
        </w:rPr>
        <w:t>seizures and subsequent prevention</w:t>
      </w:r>
      <w:r>
        <w:rPr>
          <w:rFonts w:ascii="Times New Roman" w:hAnsi="Times New Roman"/>
          <w:sz w:val="24"/>
          <w:szCs w:val="24"/>
        </w:rPr>
        <w:t xml:space="preserve"> </w:t>
      </w:r>
      <w:r>
        <w:rPr>
          <w:rFonts w:ascii="Times New Roman" w:hAnsi="Times New Roman"/>
          <w:sz w:val="24"/>
          <w:szCs w:val="24"/>
          <w:vertAlign w:val="superscript"/>
        </w:rPr>
        <w:t>(11)</w:t>
      </w:r>
    </w:p>
    <w:p>
      <w:pPr>
        <w:pStyle w:val="style0"/>
        <w:tabs>
          <w:tab w:val="left" w:leader="none" w:pos="2205"/>
        </w:tabs>
        <w:jc w:val="both"/>
        <w:rPr>
          <w:rFonts w:ascii="Times New Roman" w:hAnsi="Times New Roman"/>
          <w:b/>
          <w:sz w:val="24"/>
          <w:szCs w:val="24"/>
        </w:rPr>
      </w:pPr>
      <w:r>
        <w:rPr>
          <w:rFonts w:ascii="Times New Roman" w:hAnsi="Times New Roman"/>
          <w:b/>
          <w:sz w:val="24"/>
          <w:szCs w:val="24"/>
        </w:rPr>
        <w:t xml:space="preserve">Conclusion </w:t>
      </w:r>
      <w:r>
        <w:rPr>
          <w:rFonts w:ascii="Times New Roman" w:hAnsi="Times New Roman"/>
          <w:b/>
          <w:sz w:val="24"/>
          <w:szCs w:val="24"/>
        </w:rPr>
        <w:tab/>
      </w:r>
    </w:p>
    <w:p>
      <w:pPr>
        <w:pStyle w:val="style0"/>
        <w:jc w:val="both"/>
        <w:rPr>
          <w:rFonts w:ascii="Times New Roman" w:hAnsi="Times New Roman"/>
          <w:sz w:val="24"/>
          <w:szCs w:val="24"/>
        </w:rPr>
      </w:pPr>
      <w:r>
        <w:rPr>
          <w:rFonts w:ascii="Times New Roman" w:hAnsi="Times New Roman"/>
          <w:sz w:val="24"/>
          <w:szCs w:val="24"/>
        </w:rPr>
        <w:t xml:space="preserve">This child had a fever and chronic joint pain that was indicative of juvenile rheumatic arthritis. He had been taking aspirin for a week, but within that week, he began to exhibit symptoms and signs that were highly suggestive of Reye's syndrome. With supportive care, he made good progress in the days after his admission. Aspirin consumption in this youngster was likely the cause of the rapid deterioration that resulted in hepatic encephalopathy and full recovery within a </w:t>
      </w:r>
      <w:r>
        <w:rPr>
          <w:rFonts w:ascii="Times New Roman" w:hAnsi="Times New Roman"/>
          <w:sz w:val="24"/>
          <w:szCs w:val="24"/>
        </w:rPr>
        <w:t xml:space="preserve">few days. Since aspirin has major adverse effects, it is not advised for children under the age of </w:t>
      </w:r>
      <w:r>
        <w:rPr>
          <w:rFonts w:ascii="Times New Roman" w:hAnsi="Times New Roman"/>
          <w:sz w:val="24"/>
          <w:szCs w:val="24"/>
        </w:rPr>
        <w:t>12.</w:t>
      </w:r>
    </w:p>
    <w:p>
      <w:pPr>
        <w:pStyle w:val="style0"/>
        <w:jc w:val="both"/>
        <w:rPr>
          <w:rFonts w:ascii="Times New Roman" w:hAnsi="Times New Roman"/>
          <w:b/>
          <w:sz w:val="24"/>
          <w:szCs w:val="24"/>
        </w:rPr>
      </w:pPr>
      <w:r>
        <w:rPr>
          <w:rFonts w:ascii="Times New Roman" w:hAnsi="Times New Roman"/>
          <w:b/>
          <w:sz w:val="24"/>
          <w:szCs w:val="24"/>
        </w:rPr>
        <w:t xml:space="preserve">Reference </w:t>
      </w:r>
    </w:p>
    <w:p>
      <w:pPr>
        <w:pStyle w:val="style0"/>
        <w:numPr>
          <w:ilvl w:val="0"/>
          <w:numId w:val="1"/>
        </w:numPr>
        <w:rPr>
          <w:rFonts w:ascii="Times New Roman" w:hAnsi="Times New Roman"/>
          <w:sz w:val="24"/>
          <w:szCs w:val="24"/>
        </w:rPr>
      </w:pPr>
      <w:r>
        <w:rPr>
          <w:rFonts w:ascii="Times New Roman" w:hAnsi="Times New Roman"/>
          <w:sz w:val="24"/>
          <w:szCs w:val="24"/>
        </w:rPr>
        <w:t>Mund ME, Gyo C, Brüggmann D, Quarcoo D, Groneberg DA. Acetylsalicylic acid as a potential pediatric health hazard: legislative aspects concerning accidental intoxications in the European Union. J Occup Med Toxicol. 2016;11:32. [PMC free article] [PubMed] [Ref list]</w:t>
      </w:r>
    </w:p>
    <w:p>
      <w:pPr>
        <w:pStyle w:val="style0"/>
        <w:numPr>
          <w:ilvl w:val="0"/>
          <w:numId w:val="1"/>
        </w:numPr>
        <w:rPr>
          <w:rFonts w:ascii="Times New Roman" w:hAnsi="Times New Roman"/>
          <w:sz w:val="24"/>
          <w:szCs w:val="24"/>
        </w:rPr>
      </w:pPr>
      <w:r>
        <w:rPr>
          <w:rFonts w:ascii="Times New Roman" w:hAnsi="Times New Roman"/>
          <w:sz w:val="24"/>
          <w:szCs w:val="24"/>
        </w:rPr>
        <w:t>Brannelly NT, Hamilton-Shield Killard AJ. The Measurement of Ammonia in Human Breath and its Potential in Clinical Diagnostics. Crit Rev Anal Chem. 2016 Nov;46(6):490-501. [PubMed] [Ref list]</w:t>
      </w:r>
    </w:p>
    <w:p>
      <w:pPr>
        <w:pStyle w:val="style0"/>
        <w:numPr>
          <w:ilvl w:val="0"/>
          <w:numId w:val="1"/>
        </w:numPr>
        <w:rPr>
          <w:rFonts w:ascii="Times New Roman" w:hAnsi="Times New Roman"/>
          <w:sz w:val="24"/>
          <w:szCs w:val="24"/>
        </w:rPr>
      </w:pPr>
      <w:r>
        <w:rPr>
          <w:rFonts w:ascii="Times New Roman" w:hAnsi="Times New Roman"/>
          <w:sz w:val="24"/>
          <w:szCs w:val="24"/>
        </w:rPr>
        <w:t>Tasker RC.  Update on pediatric neurocritical care. Paediatr Anaesth. 2014 Jul;24(7):717-23. [PubMed] [Ref list]</w:t>
      </w:r>
    </w:p>
    <w:p>
      <w:pPr>
        <w:pStyle w:val="style0"/>
        <w:numPr>
          <w:ilvl w:val="0"/>
          <w:numId w:val="1"/>
        </w:numPr>
        <w:rPr>
          <w:rFonts w:ascii="Times New Roman" w:hAnsi="Times New Roman"/>
          <w:sz w:val="24"/>
          <w:szCs w:val="24"/>
        </w:rPr>
      </w:pPr>
      <w:r>
        <w:rPr>
          <w:rFonts w:ascii="Times New Roman" w:hAnsi="Times New Roman"/>
          <w:sz w:val="24"/>
          <w:szCs w:val="24"/>
        </w:rPr>
        <w:t>Ahrens-Nicklas RC, Edmondson AC, Ficicioglu C. An 8-year-old girl with abdominal pain and mental status changes. Pediatr Emerg Care. 2015 Jun;31(6):459-62. [PubMed] [Ref list]</w:t>
      </w:r>
    </w:p>
    <w:p>
      <w:pPr>
        <w:pStyle w:val="style0"/>
        <w:numPr>
          <w:ilvl w:val="0"/>
          <w:numId w:val="1"/>
        </w:numPr>
        <w:rPr>
          <w:rFonts w:ascii="Times New Roman" w:hAnsi="Times New Roman"/>
          <w:sz w:val="24"/>
          <w:szCs w:val="24"/>
        </w:rPr>
      </w:pPr>
      <w:r>
        <w:rPr>
          <w:rFonts w:ascii="Times New Roman" w:hAnsi="Times New Roman"/>
          <w:sz w:val="24"/>
          <w:szCs w:val="24"/>
        </w:rPr>
        <w:t>Uppala R, Dudiak B, Beck ME, Bharathi SS, Zhang Y, Stolz DB, Goetzman ES. Aspirin increases mitochondrial fatty acid oxidation. Biochem Biophys Res Commun. 2017 Jan 08;482(2):346-351. [PMC free article] [PubMed] [Ref list]</w:t>
      </w:r>
    </w:p>
    <w:p>
      <w:pPr>
        <w:pStyle w:val="style0"/>
        <w:numPr>
          <w:ilvl w:val="0"/>
          <w:numId w:val="1"/>
        </w:numPr>
        <w:rPr>
          <w:rFonts w:ascii="Times New Roman" w:hAnsi="Times New Roman"/>
          <w:sz w:val="24"/>
          <w:szCs w:val="24"/>
        </w:rPr>
      </w:pPr>
      <w:r>
        <w:rPr>
          <w:rFonts w:ascii="Times New Roman" w:hAnsi="Times New Roman"/>
          <w:sz w:val="24"/>
          <w:szCs w:val="24"/>
        </w:rPr>
        <w:t>Clauson KA, Santamarina ML, Buettner CM, Cauffield JS. Evaluation of presence of aspirin-related warnings with willow bark. Ann Pharmacother. 2005 Jul-Aug;39(7-8):1234-7. [PubMed]</w:t>
      </w:r>
    </w:p>
    <w:p>
      <w:pPr>
        <w:pStyle w:val="style0"/>
        <w:numPr>
          <w:ilvl w:val="0"/>
          <w:numId w:val="1"/>
        </w:numPr>
        <w:rPr>
          <w:rFonts w:ascii="Times New Roman" w:hAnsi="Times New Roman"/>
          <w:sz w:val="24"/>
          <w:szCs w:val="24"/>
        </w:rPr>
      </w:pPr>
      <w:r>
        <w:rPr>
          <w:rFonts w:ascii="Times New Roman" w:hAnsi="Times New Roman"/>
          <w:sz w:val="24"/>
          <w:szCs w:val="24"/>
        </w:rPr>
        <w:t>Matsuishi T, Yamaguchi Y, Terasawa K, Ohtaki E, Kimura A, Yamashita F. The differential diagnosis of Reye syndrome: muscle biopsy evaluation. Brain Dev. 1987;9(6):610-4. [PubMed]</w:t>
      </w:r>
    </w:p>
    <w:p>
      <w:pPr>
        <w:pStyle w:val="style0"/>
        <w:numPr>
          <w:ilvl w:val="0"/>
          <w:numId w:val="1"/>
        </w:numPr>
        <w:rPr>
          <w:rFonts w:ascii="Times New Roman" w:hAnsi="Times New Roman"/>
          <w:sz w:val="24"/>
          <w:szCs w:val="24"/>
        </w:rPr>
      </w:pPr>
      <w:r>
        <w:rPr>
          <w:rFonts w:ascii="Times New Roman" w:hAnsi="Times New Roman"/>
          <w:sz w:val="24"/>
          <w:szCs w:val="24"/>
        </w:rPr>
        <w:t>Mitchell RA, Arcinue EL, Partin JC, Partin JS, Ram ML, Chang CH, Smialek J, Sarnaik A. Quantitative evaluation of the extent of hepatic enzyme changes in Reye syndrome compared with normal liver or with non-Reye liver disorders: objective criteria for animal models. Pediatr Res. 1985 Jan;19(1):19-22. [PubMed]</w:t>
      </w:r>
      <w:r>
        <w:rPr>
          <w:rFonts w:ascii="Times New Roman" w:hAnsi="Times New Roman"/>
          <w:sz w:val="24"/>
          <w:szCs w:val="24"/>
        </w:rPr>
        <w:tab/>
      </w:r>
    </w:p>
    <w:p>
      <w:pPr>
        <w:pStyle w:val="style0"/>
        <w:numPr>
          <w:ilvl w:val="0"/>
          <w:numId w:val="1"/>
        </w:numPr>
        <w:rPr>
          <w:rFonts w:ascii="Times New Roman" w:hAnsi="Times New Roman"/>
          <w:sz w:val="24"/>
          <w:szCs w:val="24"/>
        </w:rPr>
      </w:pPr>
      <w:r>
        <w:rPr>
          <w:rFonts w:ascii="Times New Roman" w:hAnsi="Times New Roman"/>
          <w:sz w:val="24"/>
          <w:szCs w:val="24"/>
        </w:rPr>
        <w:t>Belkengren RP, Sapala S. Reye syndrome: clinical guidelines for practitioners in ambulatory care. Pediatr Nurs. 1981 Mar-Apr;7(2):26-8. [PubMed]</w:t>
      </w:r>
    </w:p>
    <w:p>
      <w:pPr>
        <w:pStyle w:val="style0"/>
        <w:numPr>
          <w:ilvl w:val="0"/>
          <w:numId w:val="1"/>
        </w:numPr>
        <w:rPr>
          <w:rFonts w:ascii="Times New Roman" w:hAnsi="Times New Roman"/>
          <w:sz w:val="24"/>
          <w:szCs w:val="24"/>
        </w:rPr>
      </w:pPr>
      <w:r>
        <w:rPr>
          <w:rFonts w:ascii="Times New Roman" w:hAnsi="Times New Roman"/>
          <w:sz w:val="24"/>
          <w:szCs w:val="24"/>
        </w:rPr>
        <w:t>Selves A, Ruiz S, Crognier L, Conil JM, Bonneville F, Georges B, Dupuy M, Fourcade O, Geeraerts T. [Aspirin and its danger: Reye syndrome in young adult]. Ann Fr Anesth Reanim. 2013 Nov;32(11):814-6. [PubMed]</w:t>
      </w:r>
    </w:p>
    <w:p>
      <w:pPr>
        <w:pStyle w:val="style0"/>
        <w:numPr>
          <w:ilvl w:val="0"/>
          <w:numId w:val="1"/>
        </w:numPr>
        <w:rPr>
          <w:rFonts w:ascii="Times New Roman" w:hAnsi="Times New Roman"/>
          <w:sz w:val="24"/>
          <w:szCs w:val="24"/>
        </w:rPr>
      </w:pPr>
      <w:r>
        <w:rPr/>
        <w:fldChar w:fldCharType="begin"/>
      </w:r>
      <w:r>
        <w:instrText xml:space="preserve"> HYPERLINK "https://emedicine.medscape.com/article/803683-treatment" \t "_blank" </w:instrText>
      </w:r>
      <w:r>
        <w:rPr/>
        <w:fldChar w:fldCharType="separate"/>
      </w:r>
      <w:r>
        <w:rPr>
          <w:rStyle w:val="style85"/>
          <w:rFonts w:ascii="Times New Roman" w:hAnsi="Times New Roman"/>
          <w:color w:val="1a0dab"/>
          <w:sz w:val="24"/>
          <w:szCs w:val="24"/>
          <w:u w:val="none"/>
          <w:shd w:val="clear" w:color="auto" w:fill="ffffff"/>
        </w:rPr>
        <w:t>https://emedicine.medscape.com/article/803683-treatment</w:t>
      </w:r>
      <w:r>
        <w:rPr/>
        <w:fldChar w:fldCharType="end"/>
      </w: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p>
      <w:pPr>
        <w:pStyle w:val="style0"/>
        <w:jc w:val="both"/>
        <w:rPr>
          <w:rFonts w:ascii="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B7EE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d25ea1eb-9bf8-4cd5-a7df-03337918ee95"/>
    <w:basedOn w:val="style65"/>
    <w:next w:val="style4097"/>
    <w:link w:val="style31"/>
    <w:uiPriority w:val="99"/>
    <w:rPr>
      <w:sz w:val="22"/>
      <w:szCs w:val="22"/>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8c4c76a8-2b8b-4679-aaf9-cf236c7b49b8"/>
    <w:basedOn w:val="style65"/>
    <w:next w:val="style4098"/>
    <w:link w:val="style32"/>
    <w:uiPriority w:val="99"/>
    <w:rPr>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Words>1396</Words>
  <Pages>5</Pages>
  <Characters>8306</Characters>
  <Application>WPS Office</Application>
  <DocSecurity>0</DocSecurity>
  <Paragraphs>55</Paragraphs>
  <ScaleCrop>false</ScaleCrop>
  <LinksUpToDate>false</LinksUpToDate>
  <CharactersWithSpaces>9667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2022-10-11T07:28:00Z</dcterms:created>
  <dc:creator>21091116AI</dc:creator>
  <lastModifiedBy>21091116AI</lastModifiedBy>
  <dcterms:modified xsi:type="dcterms:W3CDTF">2024-02-27T05:16:53Z</dcterms:modified>
  <revision>17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0e0db059dfd44df6b529a920064ad60f</vt:lpwstr>
  </property>
</Properties>
</file>