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line="259" w:lineRule="auto"/>
        <w:ind w:left="1062" w:hanging="346"/>
      </w:pPr>
      <w:r>
        <w:rPr/>
        <mc:AlternateContent>
          <mc:Choice Requires="wps">
            <w:drawing>
              <wp:anchor distT="0" distB="0" distL="0" distR="0" allowOverlap="1" layoutInCell="1" locked="0" behindDoc="0" simplePos="0" relativeHeight="15728640">
                <wp:simplePos x="0" y="0"/>
                <wp:positionH relativeFrom="page">
                  <wp:posOffset>7621</wp:posOffset>
                </wp:positionH>
                <wp:positionV relativeFrom="page">
                  <wp:posOffset>2579877</wp:posOffset>
                </wp:positionV>
                <wp:extent cx="7553325" cy="6350"/>
                <wp:effectExtent l="0" t="0" r="0" b="0"/>
                <wp:wrapNone/>
                <wp:docPr id="1" name="Graphic 1"/>
                <wp:cNvGraphicFramePr>
                  <a:graphicFrameLocks/>
                </wp:cNvGraphicFramePr>
                <a:graphic>
                  <a:graphicData uri="http://schemas.microsoft.com/office/word/2010/wordprocessingShape">
                    <wps:wsp>
                      <wps:cNvPr id="1" name="Graphic 1"/>
                      <wps:cNvSpPr/>
                      <wps:spPr>
                        <a:xfrm>
                          <a:off x="0" y="0"/>
                          <a:ext cx="7553325" cy="6350"/>
                        </a:xfrm>
                        <a:custGeom>
                          <a:avLst/>
                          <a:gdLst/>
                          <a:ahLst/>
                          <a:cxnLst/>
                          <a:rect l="l" t="t" r="r" b="b"/>
                          <a:pathLst>
                            <a:path w="7553325" h="6350">
                              <a:moveTo>
                                <a:pt x="0" y="6350"/>
                              </a:moveTo>
                              <a:lnTo>
                                <a:pt x="7552943" y="6350"/>
                              </a:lnTo>
                              <a:lnTo>
                                <a:pt x="7552943" y="0"/>
                              </a:lnTo>
                              <a:lnTo>
                                <a:pt x="0" y="0"/>
                              </a:lnTo>
                              <a:lnTo>
                                <a:pt x="0" y="6350"/>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600080pt;margin-top:203.139984pt;width:594.719927pt;height:.5pt;mso-position-horizontal-relative:page;mso-position-vertical-relative:page;z-index:15728640" id="docshape1" filled="true" fillcolor="#4471c4" stroked="false">
                <v:fill type="solid"/>
                <w10:wrap type="none"/>
              </v:rect>
            </w:pict>
          </mc:Fallback>
        </mc:AlternateContent>
      </w:r>
      <w:r>
        <w:rPr/>
        <mc:AlternateContent>
          <mc:Choice Requires="wps">
            <w:drawing>
              <wp:anchor distT="0" distB="0" distL="0" distR="0" allowOverlap="1" layoutInCell="1" locked="0" behindDoc="0" simplePos="0" relativeHeight="15729152">
                <wp:simplePos x="0" y="0"/>
                <wp:positionH relativeFrom="page">
                  <wp:posOffset>22861</wp:posOffset>
                </wp:positionH>
                <wp:positionV relativeFrom="page">
                  <wp:posOffset>8881998</wp:posOffset>
                </wp:positionV>
                <wp:extent cx="7538084" cy="635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7538084" cy="6350"/>
                        </a:xfrm>
                        <a:custGeom>
                          <a:avLst/>
                          <a:gdLst/>
                          <a:ahLst/>
                          <a:cxnLst/>
                          <a:rect l="l" t="t" r="r" b="b"/>
                          <a:pathLst>
                            <a:path w="7538084" h="6350">
                              <a:moveTo>
                                <a:pt x="0" y="6349"/>
                              </a:moveTo>
                              <a:lnTo>
                                <a:pt x="7537702" y="6349"/>
                              </a:lnTo>
                              <a:lnTo>
                                <a:pt x="7537702" y="0"/>
                              </a:lnTo>
                              <a:lnTo>
                                <a:pt x="0" y="0"/>
                              </a:lnTo>
                              <a:lnTo>
                                <a:pt x="0" y="6349"/>
                              </a:lnTo>
                              <a:close/>
                            </a:path>
                          </a:pathLst>
                        </a:custGeom>
                        <a:solidFill>
                          <a:srgbClr val="4471C4"/>
                        </a:solidFill>
                      </wps:spPr>
                      <wps:bodyPr wrap="square" lIns="0" tIns="0" rIns="0" bIns="0" rtlCol="0">
                        <a:prstTxWarp prst="textNoShape">
                          <a:avLst/>
                        </a:prstTxWarp>
                        <a:noAutofit/>
                      </wps:bodyPr>
                    </wps:wsp>
                  </a:graphicData>
                </a:graphic>
              </wp:anchor>
            </w:drawing>
          </mc:Choice>
          <mc:Fallback>
            <w:pict>
              <v:rect style="position:absolute;margin-left:1.8001pt;margin-top:699.369995pt;width:593.519907pt;height:.5pt;mso-position-horizontal-relative:page;mso-position-vertical-relative:page;z-index:15729152" id="docshape2" filled="true" fillcolor="#4471c4" stroked="false">
                <v:fill type="solid"/>
                <w10:wrap type="none"/>
              </v:rect>
            </w:pict>
          </mc:Fallback>
        </mc:AlternateContent>
      </w:r>
      <w:r>
        <w:rPr/>
        <w:t>Optimizing</w:t>
      </w:r>
      <w:r>
        <w:rPr>
          <w:spacing w:val="-9"/>
        </w:rPr>
        <w:t> </w:t>
      </w:r>
      <w:r>
        <w:rPr/>
        <w:t>Supply</w:t>
      </w:r>
      <w:r>
        <w:rPr>
          <w:spacing w:val="-7"/>
        </w:rPr>
        <w:t> </w:t>
      </w:r>
      <w:r>
        <w:rPr/>
        <w:t>Chain</w:t>
      </w:r>
      <w:r>
        <w:rPr>
          <w:spacing w:val="-5"/>
        </w:rPr>
        <w:t> </w:t>
      </w:r>
      <w:r>
        <w:rPr/>
        <w:t>Management</w:t>
      </w:r>
      <w:r>
        <w:rPr>
          <w:spacing w:val="-6"/>
        </w:rPr>
        <w:t> </w:t>
      </w:r>
      <w:r>
        <w:rPr/>
        <w:t>Operations</w:t>
      </w:r>
      <w:r>
        <w:rPr>
          <w:spacing w:val="-7"/>
        </w:rPr>
        <w:t> </w:t>
      </w:r>
      <w:r>
        <w:rPr/>
        <w:t>in</w:t>
      </w:r>
      <w:r>
        <w:rPr>
          <w:spacing w:val="-7"/>
        </w:rPr>
        <w:t> </w:t>
      </w:r>
      <w:r>
        <w:rPr/>
        <w:t>Construction:</w:t>
      </w:r>
      <w:r>
        <w:rPr>
          <w:spacing w:val="-17"/>
        </w:rPr>
        <w:t> </w:t>
      </w:r>
      <w:r>
        <w:rPr/>
        <w:t>A Systematic Review of SCM Trends, Challenges, and Innovations</w:t>
      </w:r>
    </w:p>
    <w:p>
      <w:pPr>
        <w:spacing w:before="155"/>
        <w:ind w:left="2745" w:right="0" w:firstLine="0"/>
        <w:jc w:val="left"/>
        <w:rPr>
          <w:b/>
          <w:sz w:val="16"/>
        </w:rPr>
      </w:pPr>
      <w:r>
        <w:rPr>
          <w:b/>
          <w:spacing w:val="-2"/>
          <w:sz w:val="24"/>
        </w:rPr>
        <w:t>S.</w:t>
      </w:r>
      <w:r>
        <w:rPr>
          <w:b/>
          <w:spacing w:val="-10"/>
          <w:sz w:val="24"/>
        </w:rPr>
        <w:t> </w:t>
      </w:r>
      <w:r>
        <w:rPr>
          <w:b/>
          <w:spacing w:val="-2"/>
          <w:sz w:val="24"/>
        </w:rPr>
        <w:t>Vignesh*</w:t>
      </w:r>
      <w:r>
        <w:rPr>
          <w:b/>
          <w:spacing w:val="-2"/>
          <w:position w:val="8"/>
          <w:sz w:val="16"/>
        </w:rPr>
        <w:t>1</w:t>
      </w:r>
      <w:r>
        <w:rPr>
          <w:b/>
          <w:spacing w:val="-2"/>
          <w:sz w:val="24"/>
        </w:rPr>
        <w:t>,</w:t>
      </w:r>
      <w:r>
        <w:rPr>
          <w:b/>
          <w:spacing w:val="-5"/>
          <w:sz w:val="24"/>
        </w:rPr>
        <w:t> </w:t>
      </w:r>
      <w:r>
        <w:rPr>
          <w:b/>
          <w:spacing w:val="-2"/>
          <w:sz w:val="24"/>
        </w:rPr>
        <w:t>Mr.</w:t>
      </w:r>
      <w:r>
        <w:rPr>
          <w:b/>
          <w:spacing w:val="-5"/>
          <w:sz w:val="24"/>
        </w:rPr>
        <w:t> </w:t>
      </w:r>
      <w:r>
        <w:rPr>
          <w:b/>
          <w:spacing w:val="-2"/>
          <w:sz w:val="24"/>
        </w:rPr>
        <w:t>P.A.</w:t>
      </w:r>
      <w:r>
        <w:rPr>
          <w:b/>
          <w:spacing w:val="-5"/>
          <w:sz w:val="24"/>
        </w:rPr>
        <w:t> </w:t>
      </w:r>
      <w:r>
        <w:rPr>
          <w:b/>
          <w:spacing w:val="-2"/>
          <w:sz w:val="24"/>
        </w:rPr>
        <w:t>Prabakaran*</w:t>
      </w:r>
      <w:r>
        <w:rPr>
          <w:b/>
          <w:spacing w:val="-2"/>
          <w:position w:val="8"/>
          <w:sz w:val="16"/>
        </w:rPr>
        <w:t>2</w:t>
      </w:r>
    </w:p>
    <w:p>
      <w:pPr>
        <w:pStyle w:val="BodyText"/>
        <w:spacing w:line="259" w:lineRule="auto" w:before="180"/>
        <w:ind w:left="96" w:right="117"/>
        <w:jc w:val="center"/>
      </w:pPr>
      <w:r>
        <w:rPr/>
        <w:t>*</w:t>
      </w:r>
      <w:r>
        <w:rPr>
          <w:vertAlign w:val="superscript"/>
        </w:rPr>
        <w:t>1</w:t>
      </w:r>
      <w:r>
        <w:rPr>
          <w:vertAlign w:val="baseline"/>
        </w:rPr>
        <w:t>Student,</w:t>
      </w:r>
      <w:r>
        <w:rPr>
          <w:spacing w:val="-10"/>
          <w:vertAlign w:val="baseline"/>
        </w:rPr>
        <w:t> </w:t>
      </w:r>
      <w:r>
        <w:rPr>
          <w:vertAlign w:val="baseline"/>
        </w:rPr>
        <w:t>Construction</w:t>
      </w:r>
      <w:r>
        <w:rPr>
          <w:spacing w:val="-10"/>
          <w:vertAlign w:val="baseline"/>
        </w:rPr>
        <w:t> </w:t>
      </w:r>
      <w:r>
        <w:rPr>
          <w:vertAlign w:val="baseline"/>
        </w:rPr>
        <w:t>Management,</w:t>
      </w:r>
      <w:r>
        <w:rPr>
          <w:spacing w:val="-10"/>
          <w:vertAlign w:val="baseline"/>
        </w:rPr>
        <w:t> </w:t>
      </w:r>
      <w:r>
        <w:rPr>
          <w:vertAlign w:val="baseline"/>
        </w:rPr>
        <w:t>Kumaraguru</w:t>
      </w:r>
      <w:r>
        <w:rPr>
          <w:spacing w:val="-10"/>
          <w:vertAlign w:val="baseline"/>
        </w:rPr>
        <w:t> </w:t>
      </w:r>
      <w:r>
        <w:rPr>
          <w:vertAlign w:val="baseline"/>
        </w:rPr>
        <w:t>College</w:t>
      </w:r>
      <w:r>
        <w:rPr>
          <w:spacing w:val="-10"/>
          <w:vertAlign w:val="baseline"/>
        </w:rPr>
        <w:t> </w:t>
      </w:r>
      <w:r>
        <w:rPr>
          <w:vertAlign w:val="baseline"/>
        </w:rPr>
        <w:t>Of</w:t>
      </w:r>
      <w:r>
        <w:rPr>
          <w:spacing w:val="-15"/>
          <w:vertAlign w:val="baseline"/>
        </w:rPr>
        <w:t> </w:t>
      </w:r>
      <w:r>
        <w:rPr>
          <w:vertAlign w:val="baseline"/>
        </w:rPr>
        <w:t>Technology,</w:t>
      </w:r>
      <w:r>
        <w:rPr>
          <w:spacing w:val="-10"/>
          <w:vertAlign w:val="baseline"/>
        </w:rPr>
        <w:t> </w:t>
      </w:r>
      <w:r>
        <w:rPr>
          <w:vertAlign w:val="baseline"/>
        </w:rPr>
        <w:t>Coimbatore, Tamil Nadu, India.</w:t>
      </w:r>
    </w:p>
    <w:p>
      <w:pPr>
        <w:pStyle w:val="BodyText"/>
        <w:spacing w:line="259" w:lineRule="auto" w:before="160"/>
        <w:ind w:left="97" w:right="117"/>
        <w:jc w:val="center"/>
      </w:pPr>
      <w:r>
        <w:rPr/>
        <w:t>*</w:t>
      </w:r>
      <w:r>
        <w:rPr>
          <w:vertAlign w:val="superscript"/>
        </w:rPr>
        <w:t>2</w:t>
      </w:r>
      <w:r>
        <w:rPr>
          <w:vertAlign w:val="baseline"/>
        </w:rPr>
        <w:t>Assistant</w:t>
      </w:r>
      <w:r>
        <w:rPr>
          <w:spacing w:val="-12"/>
          <w:vertAlign w:val="baseline"/>
        </w:rPr>
        <w:t> </w:t>
      </w:r>
      <w:r>
        <w:rPr>
          <w:vertAlign w:val="baseline"/>
        </w:rPr>
        <w:t>Professor,</w:t>
      </w:r>
      <w:r>
        <w:rPr>
          <w:spacing w:val="-12"/>
          <w:vertAlign w:val="baseline"/>
        </w:rPr>
        <w:t> </w:t>
      </w:r>
      <w:r>
        <w:rPr>
          <w:vertAlign w:val="baseline"/>
        </w:rPr>
        <w:t>Construction</w:t>
      </w:r>
      <w:r>
        <w:rPr>
          <w:spacing w:val="-12"/>
          <w:vertAlign w:val="baseline"/>
        </w:rPr>
        <w:t> </w:t>
      </w:r>
      <w:r>
        <w:rPr>
          <w:vertAlign w:val="baseline"/>
        </w:rPr>
        <w:t>Management</w:t>
      </w:r>
      <w:r>
        <w:rPr>
          <w:spacing w:val="-10"/>
          <w:vertAlign w:val="baseline"/>
        </w:rPr>
        <w:t> </w:t>
      </w:r>
      <w:r>
        <w:rPr>
          <w:vertAlign w:val="baseline"/>
        </w:rPr>
        <w:t>Kumaraguru</w:t>
      </w:r>
      <w:r>
        <w:rPr>
          <w:spacing w:val="-13"/>
          <w:vertAlign w:val="baseline"/>
        </w:rPr>
        <w:t> </w:t>
      </w:r>
      <w:r>
        <w:rPr>
          <w:vertAlign w:val="baseline"/>
        </w:rPr>
        <w:t>College</w:t>
      </w:r>
      <w:r>
        <w:rPr>
          <w:spacing w:val="-11"/>
          <w:vertAlign w:val="baseline"/>
        </w:rPr>
        <w:t> </w:t>
      </w:r>
      <w:r>
        <w:rPr>
          <w:vertAlign w:val="baseline"/>
        </w:rPr>
        <w:t>Of</w:t>
      </w:r>
      <w:r>
        <w:rPr>
          <w:spacing w:val="-15"/>
          <w:vertAlign w:val="baseline"/>
        </w:rPr>
        <w:t> </w:t>
      </w:r>
      <w:r>
        <w:rPr>
          <w:vertAlign w:val="baseline"/>
        </w:rPr>
        <w:t>Technology, Coimbatore, Tamil Nadu, India.</w:t>
      </w:r>
    </w:p>
    <w:p>
      <w:pPr>
        <w:pStyle w:val="Heading1"/>
        <w:spacing w:before="160"/>
      </w:pPr>
      <w:r>
        <w:rPr>
          <w:spacing w:val="-2"/>
        </w:rPr>
        <w:t>ABSTRACT:</w:t>
      </w:r>
    </w:p>
    <w:p>
      <w:pPr>
        <w:pStyle w:val="BodyText"/>
        <w:spacing w:line="360" w:lineRule="auto" w:before="183"/>
        <w:ind w:right="115"/>
        <w:jc w:val="both"/>
      </w:pPr>
      <w:r>
        <w:rPr/>
        <w:t>This extensive literature study delves into various facets of supply chain management (SCM) within the construction industry, offering a critical review of contemporary theories and practices.</w:t>
      </w:r>
      <w:r>
        <w:rPr>
          <w:spacing w:val="-2"/>
        </w:rPr>
        <w:t> </w:t>
      </w:r>
      <w:r>
        <w:rPr/>
        <w:t>The</w:t>
      </w:r>
      <w:r>
        <w:rPr>
          <w:spacing w:val="-1"/>
        </w:rPr>
        <w:t> </w:t>
      </w:r>
      <w:r>
        <w:rPr/>
        <w:t>research spans diverse</w:t>
      </w:r>
      <w:r>
        <w:rPr>
          <w:spacing w:val="-1"/>
        </w:rPr>
        <w:t> </w:t>
      </w:r>
      <w:r>
        <w:rPr/>
        <w:t>topics such as contract termination management, claims processes, green supply chain management, and the integration of Industry 4.0 technologies. Through systematic literature reviews, analytical studies, and empirical investigations, the study explores challenges, best practices, and emerging trends in SCM. The development of reference models, analysis of key performance indicators, and validation through expert interviews contribute to a holistic understanding of SCM in construction. The study also addresses gaps in research, proposes frameworks, and identifies future directions for sustainable</w:t>
      </w:r>
      <w:r>
        <w:rPr>
          <w:spacing w:val="-14"/>
        </w:rPr>
        <w:t> </w:t>
      </w:r>
      <w:r>
        <w:rPr/>
        <w:t>and</w:t>
      </w:r>
      <w:r>
        <w:rPr>
          <w:spacing w:val="-13"/>
        </w:rPr>
        <w:t> </w:t>
      </w:r>
      <w:r>
        <w:rPr/>
        <w:t>efficient</w:t>
      </w:r>
      <w:r>
        <w:rPr>
          <w:spacing w:val="-13"/>
        </w:rPr>
        <w:t> </w:t>
      </w:r>
      <w:r>
        <w:rPr/>
        <w:t>supply</w:t>
      </w:r>
      <w:r>
        <w:rPr>
          <w:spacing w:val="-13"/>
        </w:rPr>
        <w:t> </w:t>
      </w:r>
      <w:r>
        <w:rPr/>
        <w:t>chain</w:t>
      </w:r>
      <w:r>
        <w:rPr>
          <w:spacing w:val="-13"/>
        </w:rPr>
        <w:t> </w:t>
      </w:r>
      <w:r>
        <w:rPr/>
        <w:t>practices.</w:t>
      </w:r>
      <w:r>
        <w:rPr>
          <w:spacing w:val="-14"/>
        </w:rPr>
        <w:t> </w:t>
      </w:r>
      <w:r>
        <w:rPr/>
        <w:t>The</w:t>
      </w:r>
      <w:r>
        <w:rPr>
          <w:spacing w:val="-14"/>
        </w:rPr>
        <w:t> </w:t>
      </w:r>
      <w:r>
        <w:rPr/>
        <w:t>research</w:t>
      </w:r>
      <w:r>
        <w:rPr>
          <w:spacing w:val="-13"/>
        </w:rPr>
        <w:t> </w:t>
      </w:r>
      <w:r>
        <w:rPr/>
        <w:t>identifies</w:t>
      </w:r>
      <w:r>
        <w:rPr>
          <w:spacing w:val="-13"/>
        </w:rPr>
        <w:t> </w:t>
      </w:r>
      <w:r>
        <w:rPr/>
        <w:t>a</w:t>
      </w:r>
      <w:r>
        <w:rPr>
          <w:spacing w:val="-14"/>
        </w:rPr>
        <w:t> </w:t>
      </w:r>
      <w:r>
        <w:rPr/>
        <w:t>gap</w:t>
      </w:r>
      <w:r>
        <w:rPr>
          <w:spacing w:val="-11"/>
        </w:rPr>
        <w:t> </w:t>
      </w:r>
      <w:r>
        <w:rPr/>
        <w:t>in</w:t>
      </w:r>
      <w:r>
        <w:rPr>
          <w:spacing w:val="-13"/>
        </w:rPr>
        <w:t> </w:t>
      </w:r>
      <w:r>
        <w:rPr/>
        <w:t>the</w:t>
      </w:r>
      <w:r>
        <w:rPr>
          <w:spacing w:val="-14"/>
        </w:rPr>
        <w:t> </w:t>
      </w:r>
      <w:r>
        <w:rPr/>
        <w:t>exploration of side-payment contracts for coordinating buffer space and addresses the challenges of applying previous supply chain management (SCM) studies directly to the construction domain. The introduction of the Buffer Space Holding (BSH) strategy as a means to enhance total</w:t>
      </w:r>
      <w:r>
        <w:rPr>
          <w:spacing w:val="-15"/>
        </w:rPr>
        <w:t> </w:t>
      </w:r>
      <w:r>
        <w:rPr/>
        <w:t>profit</w:t>
      </w:r>
      <w:r>
        <w:rPr>
          <w:spacing w:val="-15"/>
        </w:rPr>
        <w:t> </w:t>
      </w:r>
      <w:r>
        <w:rPr/>
        <w:t>and</w:t>
      </w:r>
      <w:r>
        <w:rPr>
          <w:spacing w:val="-15"/>
        </w:rPr>
        <w:t> </w:t>
      </w:r>
      <w:r>
        <w:rPr/>
        <w:t>individual</w:t>
      </w:r>
      <w:r>
        <w:rPr>
          <w:spacing w:val="-15"/>
        </w:rPr>
        <w:t> </w:t>
      </w:r>
      <w:r>
        <w:rPr/>
        <w:t>party</w:t>
      </w:r>
      <w:r>
        <w:rPr>
          <w:spacing w:val="-15"/>
        </w:rPr>
        <w:t> </w:t>
      </w:r>
      <w:r>
        <w:rPr/>
        <w:t>profits</w:t>
      </w:r>
      <w:r>
        <w:rPr>
          <w:spacing w:val="-15"/>
        </w:rPr>
        <w:t> </w:t>
      </w:r>
      <w:r>
        <w:rPr/>
        <w:t>sheds</w:t>
      </w:r>
      <w:r>
        <w:rPr>
          <w:spacing w:val="-15"/>
        </w:rPr>
        <w:t> </w:t>
      </w:r>
      <w:r>
        <w:rPr/>
        <w:t>light</w:t>
      </w:r>
      <w:r>
        <w:rPr>
          <w:spacing w:val="-15"/>
        </w:rPr>
        <w:t> </w:t>
      </w:r>
      <w:r>
        <w:rPr/>
        <w:t>on</w:t>
      </w:r>
      <w:r>
        <w:rPr>
          <w:spacing w:val="-15"/>
        </w:rPr>
        <w:t> </w:t>
      </w:r>
      <w:r>
        <w:rPr/>
        <w:t>potential</w:t>
      </w:r>
      <w:r>
        <w:rPr>
          <w:spacing w:val="-15"/>
        </w:rPr>
        <w:t> </w:t>
      </w:r>
      <w:r>
        <w:rPr/>
        <w:t>improvements</w:t>
      </w:r>
      <w:r>
        <w:rPr>
          <w:spacing w:val="-15"/>
        </w:rPr>
        <w:t> </w:t>
      </w:r>
      <w:r>
        <w:rPr/>
        <w:t>in</w:t>
      </w:r>
      <w:r>
        <w:rPr>
          <w:spacing w:val="-15"/>
        </w:rPr>
        <w:t> </w:t>
      </w:r>
      <w:r>
        <w:rPr/>
        <w:t>SCM</w:t>
      </w:r>
      <w:r>
        <w:rPr>
          <w:spacing w:val="-15"/>
        </w:rPr>
        <w:t> </w:t>
      </w:r>
      <w:r>
        <w:rPr/>
        <w:t>practices. The study also underscores the impact of reserving more shelf space on additional sales and greater profit potential. In summary, this literature study contributes a rich understanding of SCM</w:t>
      </w:r>
      <w:r>
        <w:rPr>
          <w:spacing w:val="-7"/>
        </w:rPr>
        <w:t> </w:t>
      </w:r>
      <w:r>
        <w:rPr/>
        <w:t>in</w:t>
      </w:r>
      <w:r>
        <w:rPr>
          <w:spacing w:val="-6"/>
        </w:rPr>
        <w:t> </w:t>
      </w:r>
      <w:r>
        <w:rPr/>
        <w:t>construction,</w:t>
      </w:r>
      <w:r>
        <w:rPr>
          <w:spacing w:val="-7"/>
        </w:rPr>
        <w:t> </w:t>
      </w:r>
      <w:r>
        <w:rPr/>
        <w:t>spanning</w:t>
      </w:r>
      <w:r>
        <w:rPr>
          <w:spacing w:val="-6"/>
        </w:rPr>
        <w:t> </w:t>
      </w:r>
      <w:r>
        <w:rPr/>
        <w:t>claims</w:t>
      </w:r>
      <w:r>
        <w:rPr>
          <w:spacing w:val="-6"/>
        </w:rPr>
        <w:t> </w:t>
      </w:r>
      <w:r>
        <w:rPr/>
        <w:t>management,</w:t>
      </w:r>
      <w:r>
        <w:rPr>
          <w:spacing w:val="-6"/>
        </w:rPr>
        <w:t> </w:t>
      </w:r>
      <w:r>
        <w:rPr/>
        <w:t>contract</w:t>
      </w:r>
      <w:r>
        <w:rPr>
          <w:spacing w:val="-6"/>
        </w:rPr>
        <w:t> </w:t>
      </w:r>
      <w:r>
        <w:rPr/>
        <w:t>termination,</w:t>
      </w:r>
      <w:r>
        <w:rPr>
          <w:spacing w:val="-7"/>
        </w:rPr>
        <w:t> </w:t>
      </w:r>
      <w:r>
        <w:rPr/>
        <w:t>green</w:t>
      </w:r>
      <w:r>
        <w:rPr>
          <w:spacing w:val="-7"/>
        </w:rPr>
        <w:t> </w:t>
      </w:r>
      <w:r>
        <w:rPr/>
        <w:t>practices,</w:t>
      </w:r>
      <w:r>
        <w:rPr>
          <w:spacing w:val="-7"/>
        </w:rPr>
        <w:t> </w:t>
      </w:r>
      <w:r>
        <w:rPr/>
        <w:t>and emerging technologies. The findings offer valuable insights for practitioners, policymakers, and researchers, providing a roadmap for future advancements in construction supply chain </w:t>
      </w:r>
      <w:r>
        <w:rPr>
          <w:spacing w:val="-2"/>
        </w:rPr>
        <w:t>management.</w:t>
      </w:r>
    </w:p>
    <w:p>
      <w:pPr>
        <w:pStyle w:val="BodyText"/>
        <w:spacing w:line="357" w:lineRule="auto" w:before="164"/>
        <w:ind w:right="121"/>
        <w:jc w:val="both"/>
      </w:pPr>
      <w:r>
        <w:rPr>
          <w:b/>
          <w:sz w:val="26"/>
        </w:rPr>
        <w:t>KEYWORDS: </w:t>
      </w:r>
      <w:r>
        <w:rPr/>
        <w:t>Supply Chain Management, Construction Industry, Contract Termination, Green Supply Chain Management, Sustainability and Smart Construction Objects.</w:t>
      </w:r>
    </w:p>
    <w:p>
      <w:pPr>
        <w:spacing w:after="0" w:line="357" w:lineRule="auto"/>
        <w:jc w:val="both"/>
        <w:sectPr>
          <w:type w:val="continuous"/>
          <w:pgSz w:w="11910" w:h="16840"/>
          <w:pgMar w:top="1360" w:bottom="280" w:left="1340" w:right="1320"/>
        </w:sectPr>
      </w:pPr>
    </w:p>
    <w:p>
      <w:pPr>
        <w:pStyle w:val="Heading1"/>
        <w:spacing w:before="64"/>
      </w:pPr>
      <w:r>
        <w:rPr>
          <w:spacing w:val="-2"/>
        </w:rPr>
        <w:t>INTRODUCTION:</w:t>
      </w:r>
    </w:p>
    <w:p>
      <w:pPr>
        <w:pStyle w:val="BodyText"/>
        <w:spacing w:before="8"/>
        <w:ind w:left="0"/>
        <w:rPr>
          <w:b/>
          <w:sz w:val="26"/>
        </w:rPr>
      </w:pPr>
    </w:p>
    <w:p>
      <w:pPr>
        <w:pStyle w:val="BodyText"/>
        <w:spacing w:line="360" w:lineRule="auto"/>
        <w:ind w:right="114"/>
        <w:jc w:val="both"/>
      </w:pPr>
      <w:r>
        <w:rPr/>
        <w:t>In</w:t>
      </w:r>
      <w:r>
        <w:rPr>
          <w:spacing w:val="-7"/>
        </w:rPr>
        <w:t> </w:t>
      </w:r>
      <w:r>
        <w:rPr/>
        <w:t>the</w:t>
      </w:r>
      <w:r>
        <w:rPr>
          <w:spacing w:val="-6"/>
        </w:rPr>
        <w:t> </w:t>
      </w:r>
      <w:r>
        <w:rPr/>
        <w:t>dynamic</w:t>
      </w:r>
      <w:r>
        <w:rPr>
          <w:spacing w:val="-7"/>
        </w:rPr>
        <w:t> </w:t>
      </w:r>
      <w:r>
        <w:rPr/>
        <w:t>landscape</w:t>
      </w:r>
      <w:r>
        <w:rPr>
          <w:spacing w:val="-5"/>
        </w:rPr>
        <w:t> </w:t>
      </w:r>
      <w:r>
        <w:rPr/>
        <w:t>of</w:t>
      </w:r>
      <w:r>
        <w:rPr>
          <w:spacing w:val="-7"/>
        </w:rPr>
        <w:t> </w:t>
      </w:r>
      <w:r>
        <w:rPr/>
        <w:t>the</w:t>
      </w:r>
      <w:r>
        <w:rPr>
          <w:spacing w:val="-4"/>
        </w:rPr>
        <w:t> </w:t>
      </w:r>
      <w:r>
        <w:rPr/>
        <w:t>construction</w:t>
      </w:r>
      <w:r>
        <w:rPr>
          <w:spacing w:val="-6"/>
        </w:rPr>
        <w:t> </w:t>
      </w:r>
      <w:r>
        <w:rPr/>
        <w:t>industry,</w:t>
      </w:r>
      <w:r>
        <w:rPr>
          <w:spacing w:val="-6"/>
        </w:rPr>
        <w:t> </w:t>
      </w:r>
      <w:r>
        <w:rPr/>
        <w:t>the</w:t>
      </w:r>
      <w:r>
        <w:rPr>
          <w:spacing w:val="-6"/>
        </w:rPr>
        <w:t> </w:t>
      </w:r>
      <w:r>
        <w:rPr/>
        <w:t>effective</w:t>
      </w:r>
      <w:r>
        <w:rPr>
          <w:spacing w:val="-7"/>
        </w:rPr>
        <w:t> </w:t>
      </w:r>
      <w:r>
        <w:rPr/>
        <w:t>management</w:t>
      </w:r>
      <w:r>
        <w:rPr>
          <w:spacing w:val="-6"/>
        </w:rPr>
        <w:t> </w:t>
      </w:r>
      <w:r>
        <w:rPr/>
        <w:t>of</w:t>
      </w:r>
      <w:r>
        <w:rPr>
          <w:spacing w:val="-7"/>
        </w:rPr>
        <w:t> </w:t>
      </w:r>
      <w:r>
        <w:rPr/>
        <w:t>the</w:t>
      </w:r>
      <w:r>
        <w:rPr>
          <w:spacing w:val="-4"/>
        </w:rPr>
        <w:t> </w:t>
      </w:r>
      <w:r>
        <w:rPr/>
        <w:t>supply chain plays a pivotal role in ensuring project success, cost efficiency, and sustainability.</w:t>
      </w:r>
      <w:r>
        <w:rPr>
          <w:spacing w:val="-1"/>
        </w:rPr>
        <w:t> </w:t>
      </w:r>
      <w:r>
        <w:rPr/>
        <w:t>This literature study delves into a comprehensive review of contemporary theories, practices, and models shaping Construction Supply Chain Management (CSCM).</w:t>
      </w:r>
      <w:r>
        <w:rPr>
          <w:spacing w:val="-11"/>
        </w:rPr>
        <w:t> </w:t>
      </w:r>
      <w:r>
        <w:rPr/>
        <w:t>Addressing diverse facets such as claims management, contract termination, and the integration of emerging technologies, this review aims to provide a thorough understanding of the challenges, opportunities, and evolving trends in the realm of construction supply chains. The study navigates through a multitude of research methodologies, encompassing systematic literature reviews, content analysis, simulation-based approaches, and surveys, ensuring a robust exploration</w:t>
      </w:r>
      <w:r>
        <w:rPr>
          <w:spacing w:val="-15"/>
        </w:rPr>
        <w:t> </w:t>
      </w:r>
      <w:r>
        <w:rPr/>
        <w:t>of</w:t>
      </w:r>
      <w:r>
        <w:rPr>
          <w:spacing w:val="-15"/>
        </w:rPr>
        <w:t> </w:t>
      </w:r>
      <w:r>
        <w:rPr/>
        <w:t>the</w:t>
      </w:r>
      <w:r>
        <w:rPr>
          <w:spacing w:val="-15"/>
        </w:rPr>
        <w:t> </w:t>
      </w:r>
      <w:r>
        <w:rPr/>
        <w:t>multifaceted</w:t>
      </w:r>
      <w:r>
        <w:rPr>
          <w:spacing w:val="-15"/>
        </w:rPr>
        <w:t> </w:t>
      </w:r>
      <w:r>
        <w:rPr/>
        <w:t>dimensions</w:t>
      </w:r>
      <w:r>
        <w:rPr>
          <w:spacing w:val="-15"/>
        </w:rPr>
        <w:t> </w:t>
      </w:r>
      <w:r>
        <w:rPr/>
        <w:t>of</w:t>
      </w:r>
      <w:r>
        <w:rPr>
          <w:spacing w:val="-15"/>
        </w:rPr>
        <w:t> </w:t>
      </w:r>
      <w:r>
        <w:rPr/>
        <w:t>CSCM.</w:t>
      </w:r>
      <w:r>
        <w:rPr>
          <w:spacing w:val="-15"/>
        </w:rPr>
        <w:t> </w:t>
      </w:r>
      <w:r>
        <w:rPr/>
        <w:t>Throughout</w:t>
      </w:r>
      <w:r>
        <w:rPr>
          <w:spacing w:val="-15"/>
        </w:rPr>
        <w:t> </w:t>
      </w:r>
      <w:r>
        <w:rPr/>
        <w:t>the</w:t>
      </w:r>
      <w:r>
        <w:rPr>
          <w:spacing w:val="-15"/>
        </w:rPr>
        <w:t> </w:t>
      </w:r>
      <w:r>
        <w:rPr/>
        <w:t>review,</w:t>
      </w:r>
      <w:r>
        <w:rPr>
          <w:spacing w:val="-15"/>
        </w:rPr>
        <w:t> </w:t>
      </w:r>
      <w:r>
        <w:rPr/>
        <w:t>attention</w:t>
      </w:r>
      <w:r>
        <w:rPr>
          <w:spacing w:val="-15"/>
        </w:rPr>
        <w:t> </w:t>
      </w:r>
      <w:r>
        <w:rPr/>
        <w:t>is</w:t>
      </w:r>
      <w:r>
        <w:rPr>
          <w:spacing w:val="-15"/>
        </w:rPr>
        <w:t> </w:t>
      </w:r>
      <w:r>
        <w:rPr/>
        <w:t>given to</w:t>
      </w:r>
      <w:r>
        <w:rPr>
          <w:spacing w:val="-2"/>
        </w:rPr>
        <w:t> </w:t>
      </w:r>
      <w:r>
        <w:rPr/>
        <w:t>the</w:t>
      </w:r>
      <w:r>
        <w:rPr>
          <w:spacing w:val="-3"/>
        </w:rPr>
        <w:t> </w:t>
      </w:r>
      <w:r>
        <w:rPr/>
        <w:t>unique</w:t>
      </w:r>
      <w:r>
        <w:rPr>
          <w:spacing w:val="-2"/>
        </w:rPr>
        <w:t> </w:t>
      </w:r>
      <w:r>
        <w:rPr/>
        <w:t>challenges within</w:t>
      </w:r>
      <w:r>
        <w:rPr>
          <w:spacing w:val="-2"/>
        </w:rPr>
        <w:t> </w:t>
      </w:r>
      <w:r>
        <w:rPr/>
        <w:t>the</w:t>
      </w:r>
      <w:r>
        <w:rPr>
          <w:spacing w:val="-2"/>
        </w:rPr>
        <w:t> </w:t>
      </w:r>
      <w:r>
        <w:rPr/>
        <w:t>construction</w:t>
      </w:r>
      <w:r>
        <w:rPr>
          <w:spacing w:val="-2"/>
        </w:rPr>
        <w:t> </w:t>
      </w:r>
      <w:r>
        <w:rPr/>
        <w:t>domain,</w:t>
      </w:r>
      <w:r>
        <w:rPr>
          <w:spacing w:val="-2"/>
        </w:rPr>
        <w:t> </w:t>
      </w:r>
      <w:r>
        <w:rPr/>
        <w:t>including</w:t>
      </w:r>
      <w:r>
        <w:rPr>
          <w:spacing w:val="-2"/>
        </w:rPr>
        <w:t> </w:t>
      </w:r>
      <w:r>
        <w:rPr/>
        <w:t>the</w:t>
      </w:r>
      <w:r>
        <w:rPr>
          <w:spacing w:val="-3"/>
        </w:rPr>
        <w:t> </w:t>
      </w:r>
      <w:r>
        <w:rPr/>
        <w:t>limited</w:t>
      </w:r>
      <w:r>
        <w:rPr>
          <w:spacing w:val="-2"/>
        </w:rPr>
        <w:t> </w:t>
      </w:r>
      <w:r>
        <w:rPr/>
        <w:t>applicability</w:t>
      </w:r>
      <w:r>
        <w:rPr>
          <w:spacing w:val="-2"/>
        </w:rPr>
        <w:t> </w:t>
      </w:r>
      <w:r>
        <w:rPr/>
        <w:t>of certain Supply Chain Management (SCM) practices and the need for specialized models to address industry-specific concerns. The exploration of barriers, opportunities, and the impact of individual practices on performance effectiveness adds depth to the analysis, offering valuable insights for practitioners, policymakers, and researchers in the construction supply </w:t>
      </w:r>
      <w:r>
        <w:rPr>
          <w:spacing w:val="-2"/>
        </w:rPr>
        <w:t>chain.</w:t>
      </w:r>
    </w:p>
    <w:p>
      <w:pPr>
        <w:pStyle w:val="Heading1"/>
        <w:spacing w:before="161"/>
      </w:pPr>
      <w:r>
        <w:rPr/>
        <w:t>LITERATURE</w:t>
      </w:r>
      <w:r>
        <w:rPr>
          <w:spacing w:val="-15"/>
        </w:rPr>
        <w:t> </w:t>
      </w:r>
      <w:r>
        <w:rPr>
          <w:spacing w:val="-2"/>
        </w:rPr>
        <w:t>RIEVEW:</w:t>
      </w:r>
    </w:p>
    <w:p>
      <w:pPr>
        <w:pStyle w:val="BodyText"/>
        <w:spacing w:before="184"/>
        <w:ind w:left="0"/>
        <w:rPr>
          <w:b/>
          <w:sz w:val="26"/>
        </w:rPr>
      </w:pPr>
    </w:p>
    <w:p>
      <w:pPr>
        <w:pStyle w:val="BodyText"/>
        <w:spacing w:line="360" w:lineRule="auto"/>
        <w:ind w:right="117"/>
        <w:jc w:val="both"/>
      </w:pPr>
      <w:r>
        <w:rPr>
          <w:b/>
          <w:i/>
        </w:rPr>
        <w:t>Dimitrios et.al (2018) </w:t>
      </w:r>
      <w:r>
        <w:rPr/>
        <w:t>presents a process reference model for claims management in construction supply chains, emphasizing the importance of strategic planning and development. The model was developed through a top-down approach, including the adaptation of existing models and practices, and validation through interviews with industry experts.</w:t>
      </w:r>
      <w:r>
        <w:rPr>
          <w:spacing w:val="-15"/>
        </w:rPr>
        <w:t> </w:t>
      </w:r>
      <w:r>
        <w:rPr/>
        <w:t>The</w:t>
      </w:r>
      <w:r>
        <w:rPr>
          <w:spacing w:val="-15"/>
        </w:rPr>
        <w:t> </w:t>
      </w:r>
      <w:r>
        <w:rPr/>
        <w:t>model</w:t>
      </w:r>
      <w:r>
        <w:rPr>
          <w:spacing w:val="-15"/>
        </w:rPr>
        <w:t> </w:t>
      </w:r>
      <w:r>
        <w:rPr/>
        <w:t>offers</w:t>
      </w:r>
      <w:r>
        <w:rPr>
          <w:spacing w:val="-15"/>
        </w:rPr>
        <w:t> </w:t>
      </w:r>
      <w:r>
        <w:rPr/>
        <w:t>unique</w:t>
      </w:r>
      <w:r>
        <w:rPr>
          <w:spacing w:val="-15"/>
        </w:rPr>
        <w:t> </w:t>
      </w:r>
      <w:r>
        <w:rPr/>
        <w:t>features,</w:t>
      </w:r>
      <w:r>
        <w:rPr>
          <w:spacing w:val="-15"/>
        </w:rPr>
        <w:t> </w:t>
      </w:r>
      <w:r>
        <w:rPr/>
        <w:t>such</w:t>
      </w:r>
      <w:r>
        <w:rPr>
          <w:spacing w:val="-15"/>
        </w:rPr>
        <w:t> </w:t>
      </w:r>
      <w:r>
        <w:rPr/>
        <w:t>as</w:t>
      </w:r>
      <w:r>
        <w:rPr>
          <w:spacing w:val="-15"/>
        </w:rPr>
        <w:t> </w:t>
      </w:r>
      <w:r>
        <w:rPr/>
        <w:t>a</w:t>
      </w:r>
      <w:r>
        <w:rPr>
          <w:spacing w:val="-15"/>
        </w:rPr>
        <w:t> </w:t>
      </w:r>
      <w:r>
        <w:rPr/>
        <w:t>focus</w:t>
      </w:r>
      <w:r>
        <w:rPr>
          <w:spacing w:val="-15"/>
        </w:rPr>
        <w:t> </w:t>
      </w:r>
      <w:r>
        <w:rPr/>
        <w:t>on</w:t>
      </w:r>
      <w:r>
        <w:rPr>
          <w:spacing w:val="-15"/>
        </w:rPr>
        <w:t> </w:t>
      </w:r>
      <w:r>
        <w:rPr/>
        <w:t>contract</w:t>
      </w:r>
      <w:r>
        <w:rPr>
          <w:spacing w:val="-15"/>
        </w:rPr>
        <w:t> </w:t>
      </w:r>
      <w:r>
        <w:rPr/>
        <w:t>cancellation</w:t>
      </w:r>
      <w:r>
        <w:rPr>
          <w:spacing w:val="-15"/>
        </w:rPr>
        <w:t> </w:t>
      </w:r>
      <w:r>
        <w:rPr/>
        <w:t>management and performance measurement processes and addresses weaknesses in existing approaches. The</w:t>
      </w:r>
      <w:r>
        <w:rPr>
          <w:spacing w:val="-15"/>
        </w:rPr>
        <w:t> </w:t>
      </w:r>
      <w:r>
        <w:rPr/>
        <w:t>article</w:t>
      </w:r>
      <w:r>
        <w:rPr>
          <w:spacing w:val="-15"/>
        </w:rPr>
        <w:t> </w:t>
      </w:r>
      <w:r>
        <w:rPr/>
        <w:t>highlights</w:t>
      </w:r>
      <w:r>
        <w:rPr>
          <w:spacing w:val="-15"/>
        </w:rPr>
        <w:t> </w:t>
      </w:r>
      <w:r>
        <w:rPr/>
        <w:t>the</w:t>
      </w:r>
      <w:r>
        <w:rPr>
          <w:spacing w:val="-14"/>
        </w:rPr>
        <w:t> </w:t>
      </w:r>
      <w:r>
        <w:rPr/>
        <w:t>need</w:t>
      </w:r>
      <w:r>
        <w:rPr>
          <w:spacing w:val="-14"/>
        </w:rPr>
        <w:t> </w:t>
      </w:r>
      <w:r>
        <w:rPr/>
        <w:t>for</w:t>
      </w:r>
      <w:r>
        <w:rPr>
          <w:spacing w:val="-15"/>
        </w:rPr>
        <w:t> </w:t>
      </w:r>
      <w:r>
        <w:rPr/>
        <w:t>formalizing</w:t>
      </w:r>
      <w:r>
        <w:rPr>
          <w:spacing w:val="-14"/>
        </w:rPr>
        <w:t> </w:t>
      </w:r>
      <w:r>
        <w:rPr/>
        <w:t>rules</w:t>
      </w:r>
      <w:r>
        <w:rPr>
          <w:spacing w:val="-14"/>
        </w:rPr>
        <w:t> </w:t>
      </w:r>
      <w:r>
        <w:rPr/>
        <w:t>for</w:t>
      </w:r>
      <w:r>
        <w:rPr>
          <w:spacing w:val="-15"/>
        </w:rPr>
        <w:t> </w:t>
      </w:r>
      <w:r>
        <w:rPr/>
        <w:t>strategic</w:t>
      </w:r>
      <w:r>
        <w:rPr>
          <w:spacing w:val="-14"/>
        </w:rPr>
        <w:t> </w:t>
      </w:r>
      <w:r>
        <w:rPr/>
        <w:t>claims</w:t>
      </w:r>
      <w:r>
        <w:rPr>
          <w:spacing w:val="-14"/>
        </w:rPr>
        <w:t> </w:t>
      </w:r>
      <w:r>
        <w:rPr/>
        <w:t>management</w:t>
      </w:r>
      <w:r>
        <w:rPr>
          <w:spacing w:val="-14"/>
        </w:rPr>
        <w:t> </w:t>
      </w:r>
      <w:r>
        <w:rPr/>
        <w:t>and</w:t>
      </w:r>
      <w:r>
        <w:rPr>
          <w:spacing w:val="-13"/>
        </w:rPr>
        <w:t> </w:t>
      </w:r>
      <w:r>
        <w:rPr/>
        <w:t>offers valuable insights for improving efficiency and decision-making in construction projects. Overall, the research provides a comprehensive tool for claims management and offers practical guidance for professionals and researchers in the construction industry.</w:t>
      </w:r>
    </w:p>
    <w:p>
      <w:pPr>
        <w:pStyle w:val="BodyText"/>
        <w:spacing w:line="360" w:lineRule="auto" w:before="159"/>
        <w:ind w:right="119"/>
        <w:jc w:val="both"/>
      </w:pPr>
      <w:r>
        <w:rPr>
          <w:b/>
          <w:i/>
        </w:rPr>
        <w:t>Mochamad et.al (2018) </w:t>
      </w:r>
      <w:r>
        <w:rPr/>
        <w:t>discuss about the "Factors for Implementing Green Supply Chain Management</w:t>
      </w:r>
      <w:r>
        <w:rPr>
          <w:spacing w:val="-8"/>
        </w:rPr>
        <w:t> </w:t>
      </w:r>
      <w:r>
        <w:rPr/>
        <w:t>in</w:t>
      </w:r>
      <w:r>
        <w:rPr>
          <w:spacing w:val="-8"/>
        </w:rPr>
        <w:t> </w:t>
      </w:r>
      <w:r>
        <w:rPr/>
        <w:t>the</w:t>
      </w:r>
      <w:r>
        <w:rPr>
          <w:spacing w:val="-9"/>
        </w:rPr>
        <w:t> </w:t>
      </w:r>
      <w:r>
        <w:rPr/>
        <w:t>Construction</w:t>
      </w:r>
      <w:r>
        <w:rPr>
          <w:spacing w:val="-8"/>
        </w:rPr>
        <w:t> </w:t>
      </w:r>
      <w:r>
        <w:rPr/>
        <w:t>Industry"</w:t>
      </w:r>
      <w:r>
        <w:rPr>
          <w:spacing w:val="-8"/>
        </w:rPr>
        <w:t> </w:t>
      </w:r>
      <w:r>
        <w:rPr/>
        <w:t>literature</w:t>
      </w:r>
      <w:r>
        <w:rPr>
          <w:spacing w:val="-9"/>
        </w:rPr>
        <w:t> </w:t>
      </w:r>
      <w:r>
        <w:rPr/>
        <w:t>review</w:t>
      </w:r>
      <w:r>
        <w:rPr>
          <w:spacing w:val="-9"/>
        </w:rPr>
        <w:t> </w:t>
      </w:r>
      <w:r>
        <w:rPr/>
        <w:t>provides</w:t>
      </w:r>
      <w:r>
        <w:rPr>
          <w:spacing w:val="-8"/>
        </w:rPr>
        <w:t> </w:t>
      </w:r>
      <w:r>
        <w:rPr/>
        <w:t>the</w:t>
      </w:r>
      <w:r>
        <w:rPr>
          <w:spacing w:val="-9"/>
        </w:rPr>
        <w:t> </w:t>
      </w:r>
      <w:r>
        <w:rPr/>
        <w:t>topic</w:t>
      </w:r>
      <w:r>
        <w:rPr>
          <w:spacing w:val="-9"/>
        </w:rPr>
        <w:t> </w:t>
      </w:r>
      <w:r>
        <w:rPr/>
        <w:t>of</w:t>
      </w:r>
      <w:r>
        <w:rPr>
          <w:spacing w:val="-9"/>
        </w:rPr>
        <w:t> </w:t>
      </w:r>
      <w:r>
        <w:rPr/>
        <w:t>green</w:t>
      </w:r>
      <w:r>
        <w:rPr>
          <w:spacing w:val="-8"/>
        </w:rPr>
        <w:t> </w:t>
      </w:r>
      <w:r>
        <w:rPr/>
        <w:t>supply chain</w:t>
      </w:r>
      <w:r>
        <w:rPr>
          <w:spacing w:val="36"/>
        </w:rPr>
        <w:t> </w:t>
      </w:r>
      <w:r>
        <w:rPr/>
        <w:t>management</w:t>
      </w:r>
      <w:r>
        <w:rPr>
          <w:spacing w:val="37"/>
        </w:rPr>
        <w:t> </w:t>
      </w:r>
      <w:r>
        <w:rPr/>
        <w:t>(GSCM)</w:t>
      </w:r>
      <w:r>
        <w:rPr>
          <w:spacing w:val="38"/>
        </w:rPr>
        <w:t> </w:t>
      </w:r>
      <w:r>
        <w:rPr/>
        <w:t>in</w:t>
      </w:r>
      <w:r>
        <w:rPr>
          <w:spacing w:val="38"/>
        </w:rPr>
        <w:t> </w:t>
      </w:r>
      <w:r>
        <w:rPr/>
        <w:t>the</w:t>
      </w:r>
      <w:r>
        <w:rPr>
          <w:spacing w:val="38"/>
        </w:rPr>
        <w:t> </w:t>
      </w:r>
      <w:r>
        <w:rPr/>
        <w:t>construction</w:t>
      </w:r>
      <w:r>
        <w:rPr>
          <w:spacing w:val="37"/>
        </w:rPr>
        <w:t> </w:t>
      </w:r>
      <w:r>
        <w:rPr/>
        <w:t>industry.</w:t>
      </w:r>
      <w:r>
        <w:rPr>
          <w:spacing w:val="31"/>
        </w:rPr>
        <w:t> </w:t>
      </w:r>
      <w:r>
        <w:rPr/>
        <w:t>The</w:t>
      </w:r>
      <w:r>
        <w:rPr>
          <w:spacing w:val="36"/>
        </w:rPr>
        <w:t> </w:t>
      </w:r>
      <w:r>
        <w:rPr/>
        <w:t>authors</w:t>
      </w:r>
      <w:r>
        <w:rPr>
          <w:spacing w:val="38"/>
        </w:rPr>
        <w:t> </w:t>
      </w:r>
      <w:r>
        <w:rPr/>
        <w:t>draw</w:t>
      </w:r>
      <w:r>
        <w:rPr>
          <w:spacing w:val="37"/>
        </w:rPr>
        <w:t> </w:t>
      </w:r>
      <w:r>
        <w:rPr/>
        <w:t>on</w:t>
      </w:r>
      <w:r>
        <w:rPr>
          <w:spacing w:val="38"/>
        </w:rPr>
        <w:t> </w:t>
      </w:r>
      <w:r>
        <w:rPr/>
        <w:t>a</w:t>
      </w:r>
      <w:r>
        <w:rPr>
          <w:spacing w:val="39"/>
        </w:rPr>
        <w:t> </w:t>
      </w:r>
      <w:r>
        <w:rPr/>
        <w:t>range</w:t>
      </w:r>
      <w:r>
        <w:rPr>
          <w:spacing w:val="37"/>
        </w:rPr>
        <w:t> </w:t>
      </w:r>
      <w:r>
        <w:rPr>
          <w:spacing w:val="-5"/>
        </w:rPr>
        <w:t>of</w:t>
      </w:r>
    </w:p>
    <w:p>
      <w:pPr>
        <w:spacing w:after="0" w:line="360" w:lineRule="auto"/>
        <w:jc w:val="both"/>
        <w:sectPr>
          <w:pgSz w:w="11910" w:h="16840"/>
          <w:pgMar w:top="1360" w:bottom="280" w:left="1340" w:right="1320"/>
        </w:sectPr>
      </w:pPr>
    </w:p>
    <w:p>
      <w:pPr>
        <w:pStyle w:val="BodyText"/>
        <w:ind w:left="2705"/>
        <w:rPr>
          <w:sz w:val="20"/>
        </w:rPr>
      </w:pPr>
      <w:r>
        <w:rPr>
          <w:sz w:val="20"/>
        </w:rPr>
        <w:drawing>
          <wp:inline distT="0" distB="0" distL="0" distR="0">
            <wp:extent cx="2120156" cy="331470"/>
            <wp:effectExtent l="0" t="0" r="0" b="0"/>
            <wp:docPr id="3" name="Image 3"/>
            <wp:cNvGraphicFramePr>
              <a:graphicFrameLocks/>
            </wp:cNvGraphicFramePr>
            <a:graphic>
              <a:graphicData uri="http://schemas.openxmlformats.org/drawingml/2006/picture">
                <pic:pic>
                  <pic:nvPicPr>
                    <pic:cNvPr id="3" name="Image 3"/>
                    <pic:cNvPicPr/>
                  </pic:nvPicPr>
                  <pic:blipFill>
                    <a:blip r:embed="rId5" cstate="print"/>
                    <a:stretch>
                      <a:fillRect/>
                    </a:stretch>
                  </pic:blipFill>
                  <pic:spPr>
                    <a:xfrm>
                      <a:off x="0" y="0"/>
                      <a:ext cx="2120156" cy="331470"/>
                    </a:xfrm>
                    <a:prstGeom prst="rect">
                      <a:avLst/>
                    </a:prstGeom>
                  </pic:spPr>
                </pic:pic>
              </a:graphicData>
            </a:graphic>
          </wp:inline>
        </w:drawing>
      </w:r>
      <w:r>
        <w:rPr>
          <w:sz w:val="20"/>
        </w:rPr>
      </w:r>
    </w:p>
    <w:p>
      <w:pPr>
        <w:pStyle w:val="BodyText"/>
        <w:spacing w:before="61"/>
        <w:ind w:left="0"/>
        <w:rPr>
          <w:sz w:val="28"/>
        </w:rPr>
      </w:pPr>
    </w:p>
    <w:p>
      <w:pPr>
        <w:spacing w:before="0"/>
        <w:ind w:left="0" w:right="0" w:firstLine="0"/>
        <w:jc w:val="center"/>
        <w:rPr>
          <w:rFonts w:ascii="Arial"/>
          <w:sz w:val="28"/>
        </w:rPr>
      </w:pPr>
      <w:r>
        <w:rPr>
          <w:rFonts w:ascii="Arial"/>
          <w:sz w:val="28"/>
        </w:rPr>
        <w:t>Only</w:t>
      </w:r>
      <w:r>
        <w:rPr>
          <w:rFonts w:ascii="Arial"/>
          <w:spacing w:val="-4"/>
          <w:sz w:val="28"/>
        </w:rPr>
        <w:t> </w:t>
      </w:r>
      <w:r>
        <w:rPr>
          <w:rFonts w:ascii="Arial"/>
          <w:sz w:val="28"/>
        </w:rPr>
        <w:t>two</w:t>
      </w:r>
      <w:r>
        <w:rPr>
          <w:rFonts w:ascii="Arial"/>
          <w:spacing w:val="-4"/>
          <w:sz w:val="28"/>
        </w:rPr>
        <w:t> </w:t>
      </w:r>
      <w:r>
        <w:rPr>
          <w:rFonts w:ascii="Arial"/>
          <w:sz w:val="28"/>
        </w:rPr>
        <w:t>pages</w:t>
      </w:r>
      <w:r>
        <w:rPr>
          <w:rFonts w:ascii="Arial"/>
          <w:spacing w:val="-4"/>
          <w:sz w:val="28"/>
        </w:rPr>
        <w:t> </w:t>
      </w:r>
      <w:r>
        <w:rPr>
          <w:rFonts w:ascii="Arial"/>
          <w:sz w:val="28"/>
        </w:rPr>
        <w:t>were</w:t>
      </w:r>
      <w:r>
        <w:rPr>
          <w:rFonts w:ascii="Arial"/>
          <w:spacing w:val="-4"/>
          <w:sz w:val="28"/>
        </w:rPr>
        <w:t> </w:t>
      </w:r>
      <w:r>
        <w:rPr>
          <w:rFonts w:ascii="Arial"/>
          <w:spacing w:val="-2"/>
          <w:sz w:val="28"/>
        </w:rPr>
        <w:t>converted.</w:t>
      </w:r>
    </w:p>
    <w:p>
      <w:pPr>
        <w:spacing w:before="161"/>
        <w:ind w:left="0" w:right="0" w:firstLine="0"/>
        <w:jc w:val="center"/>
        <w:rPr>
          <w:rFonts w:ascii="Arial"/>
          <w:sz w:val="28"/>
        </w:rPr>
      </w:pPr>
      <w:r>
        <w:rPr>
          <w:rFonts w:ascii="Arial"/>
          <w:sz w:val="28"/>
        </w:rPr>
        <w:t>Please</w:t>
      </w:r>
      <w:r>
        <w:rPr>
          <w:rFonts w:ascii="Arial"/>
          <w:spacing w:val="-6"/>
          <w:sz w:val="28"/>
        </w:rPr>
        <w:t> </w:t>
      </w:r>
      <w:r>
        <w:rPr>
          <w:rFonts w:ascii="Arial"/>
          <w:b/>
          <w:sz w:val="28"/>
        </w:rPr>
        <w:t>Sign</w:t>
      </w:r>
      <w:r>
        <w:rPr>
          <w:rFonts w:ascii="Arial"/>
          <w:b/>
          <w:spacing w:val="-4"/>
          <w:sz w:val="28"/>
        </w:rPr>
        <w:t> </w:t>
      </w:r>
      <w:r>
        <w:rPr>
          <w:rFonts w:ascii="Arial"/>
          <w:b/>
          <w:sz w:val="28"/>
        </w:rPr>
        <w:t>Up</w:t>
      </w:r>
      <w:r>
        <w:rPr>
          <w:rFonts w:ascii="Arial"/>
          <w:b/>
          <w:spacing w:val="-4"/>
          <w:sz w:val="28"/>
        </w:rPr>
        <w:t> </w:t>
      </w:r>
      <w:r>
        <w:rPr>
          <w:rFonts w:ascii="Arial"/>
          <w:sz w:val="28"/>
        </w:rPr>
        <w:t>to</w:t>
      </w:r>
      <w:r>
        <w:rPr>
          <w:rFonts w:ascii="Arial"/>
          <w:spacing w:val="-4"/>
          <w:sz w:val="28"/>
        </w:rPr>
        <w:t> </w:t>
      </w:r>
      <w:r>
        <w:rPr>
          <w:rFonts w:ascii="Arial"/>
          <w:sz w:val="28"/>
        </w:rPr>
        <w:t>convert</w:t>
      </w:r>
      <w:r>
        <w:rPr>
          <w:rFonts w:ascii="Arial"/>
          <w:spacing w:val="-4"/>
          <w:sz w:val="28"/>
        </w:rPr>
        <w:t> </w:t>
      </w:r>
      <w:r>
        <w:rPr>
          <w:rFonts w:ascii="Arial"/>
          <w:sz w:val="28"/>
        </w:rPr>
        <w:t>the</w:t>
      </w:r>
      <w:r>
        <w:rPr>
          <w:rFonts w:ascii="Arial"/>
          <w:spacing w:val="-4"/>
          <w:sz w:val="28"/>
        </w:rPr>
        <w:t> </w:t>
      </w:r>
      <w:r>
        <w:rPr>
          <w:rFonts w:ascii="Arial"/>
          <w:sz w:val="28"/>
        </w:rPr>
        <w:t>full</w:t>
      </w:r>
      <w:r>
        <w:rPr>
          <w:rFonts w:ascii="Arial"/>
          <w:spacing w:val="-4"/>
          <w:sz w:val="28"/>
        </w:rPr>
        <w:t> </w:t>
      </w:r>
      <w:r>
        <w:rPr>
          <w:rFonts w:ascii="Arial"/>
          <w:spacing w:val="-2"/>
          <w:sz w:val="28"/>
        </w:rPr>
        <w:t>document.</w:t>
      </w:r>
    </w:p>
    <w:p>
      <w:pPr>
        <w:pStyle w:val="BodyText"/>
        <w:spacing w:before="183"/>
        <w:ind w:left="0"/>
        <w:rPr>
          <w:rFonts w:ascii="Arial"/>
          <w:sz w:val="28"/>
        </w:rPr>
      </w:pPr>
    </w:p>
    <w:p>
      <w:pPr>
        <w:spacing w:before="0"/>
        <w:ind w:left="0" w:right="0" w:firstLine="0"/>
        <w:jc w:val="center"/>
        <w:rPr>
          <w:rFonts w:ascii="Arial"/>
          <w:b/>
          <w:sz w:val="30"/>
        </w:rPr>
      </w:pPr>
      <w:hyperlink r:id="rId6">
        <w:r>
          <w:rPr>
            <w:rFonts w:ascii="Arial"/>
            <w:b/>
            <w:color w:val="2980B9"/>
            <w:spacing w:val="-2"/>
            <w:sz w:val="30"/>
            <w:u w:val="single" w:color="2980B9"/>
          </w:rPr>
          <w:t>www.freepdfconvert.com/membership</w:t>
        </w:r>
      </w:hyperlink>
    </w:p>
    <w:sectPr>
      <w:pgSz w:w="12240" w:h="15840"/>
      <w:pgMar w:top="1480" w:bottom="280" w:left="1720" w:right="17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ind w:left="100"/>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spacing w:before="61"/>
      <w:ind w:left="100"/>
      <w:outlineLvl w:val="1"/>
    </w:pPr>
    <w:rPr>
      <w:rFonts w:ascii="Times New Roman" w:hAnsi="Times New Roman" w:eastAsia="Times New Roman" w:cs="Times New Roman"/>
      <w:b/>
      <w:bCs/>
      <w:sz w:val="26"/>
      <w:szCs w:val="26"/>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s://www.freepdfconvert.com/membersh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Jaisheelan M 23MSE004</dc:creator>
  <dcterms:created xsi:type="dcterms:W3CDTF">2024-02-23T03:06:03Z</dcterms:created>
  <dcterms:modified xsi:type="dcterms:W3CDTF">2024-02-23T03:06:03Z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2024-01-02T00:00:00Z</vt:filetime>
  </property>
  <property fmtid="{D5CDD505-2E9C-101B-9397-08002B2CF9AE}" pid="3" name="Creator">
    <vt:lpwstr>Microsoft® Word for Microsoft 365</vt:lpwstr>
  </property>
  <property fmtid="{D5CDD505-2E9C-101B-9397-08002B2CF9AE}" pid="4" name="LastSaved">
    <vt:filetime>2024-02-23T00:00:00Z</vt:filetime>
  </property>
  <property fmtid="{D5CDD505-2E9C-101B-9397-08002B2CF9AE}" pid="5" name="Producer">
    <vt:lpwstr>Microsoft® Word for Microsoft 365</vt:lpwstr>
  </property>
</Properties>
</file>