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49510F" w14:textId="77777777" w:rsidR="00AD3162" w:rsidRDefault="00AD3162" w:rsidP="009F6540">
      <w:pPr>
        <w:spacing w:before="54" w:after="0" w:line="276" w:lineRule="auto"/>
        <w:jc w:val="center"/>
        <w:rPr>
          <w:rFonts w:ascii="Times New Roman" w:hAnsi="Times New Roman" w:cs="Times New Roman"/>
          <w:b/>
          <w:bCs/>
          <w:color w:val="000000" w:themeColor="text1"/>
          <w:sz w:val="28"/>
          <w:szCs w:val="28"/>
        </w:rPr>
      </w:pPr>
      <w:r w:rsidRPr="00AD3162">
        <w:rPr>
          <w:rFonts w:ascii="Times New Roman" w:hAnsi="Times New Roman" w:cs="Times New Roman"/>
          <w:b/>
          <w:bCs/>
          <w:color w:val="000000" w:themeColor="text1"/>
          <w:sz w:val="28"/>
          <w:szCs w:val="28"/>
        </w:rPr>
        <w:t>A REVIEW ARTICLE ON PHARMACOVIGILENCE</w:t>
      </w:r>
    </w:p>
    <w:p w14:paraId="047789AE" w14:textId="66ED0628" w:rsidR="00D14FA6" w:rsidRDefault="00D14FA6" w:rsidP="00D14FA6">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Dr.M.SPHURTHY</w:t>
      </w:r>
      <w:proofErr w:type="spellEnd"/>
      <w:r>
        <w:rPr>
          <w:rFonts w:ascii="Times New Roman" w:hAnsi="Times New Roman" w:cs="Times New Roman"/>
          <w:b/>
          <w:bCs/>
          <w:color w:val="000000" w:themeColor="text1"/>
          <w:sz w:val="24"/>
          <w:szCs w:val="24"/>
        </w:rPr>
        <w:t xml:space="preserve"> MITRA</w:t>
      </w:r>
      <w:r>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MANZIL MOHAMMED KHALEEL</w:t>
      </w: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vertAlign w:val="superscript"/>
        </w:rPr>
        <w:t>2</w:t>
      </w:r>
    </w:p>
    <w:p w14:paraId="78E98A56" w14:textId="77777777" w:rsidR="00D14FA6" w:rsidRDefault="00D14FA6" w:rsidP="00D14FA6">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Associate Professor, Department of Pharmacy Practice, </w:t>
      </w:r>
      <w:proofErr w:type="spellStart"/>
      <w:r>
        <w:rPr>
          <w:rFonts w:ascii="Times New Roman" w:hAnsi="Times New Roman" w:cs="Times New Roman"/>
          <w:color w:val="000000" w:themeColor="text1"/>
        </w:rPr>
        <w:t>Dr.K.V.Subba</w:t>
      </w:r>
      <w:proofErr w:type="spellEnd"/>
      <w:r>
        <w:rPr>
          <w:rFonts w:ascii="Times New Roman" w:hAnsi="Times New Roman" w:cs="Times New Roman"/>
          <w:color w:val="000000" w:themeColor="text1"/>
        </w:rPr>
        <w:t xml:space="preserve"> Reddy Institute Of Pharmacy. Kurnool. </w:t>
      </w:r>
    </w:p>
    <w:p w14:paraId="326CF2F0" w14:textId="77777777" w:rsidR="00D14FA6" w:rsidRDefault="00D14FA6" w:rsidP="00D14FA6">
      <w:pPr>
        <w:pBdr>
          <w:bottom w:val="single" w:sz="4" w:space="1" w:color="auto"/>
        </w:pBdr>
        <w:spacing w:before="54" w:after="0" w:line="276" w:lineRule="auto"/>
        <w:jc w:val="center"/>
        <w:rPr>
          <w:rFonts w:ascii="Times New Roman" w:hAnsi="Times New Roman" w:cs="Times New Roman"/>
          <w:color w:val="000000" w:themeColor="text1"/>
        </w:rPr>
      </w:pPr>
      <w:proofErr w:type="gramStart"/>
      <w:r>
        <w:rPr>
          <w:rFonts w:ascii="Times New Roman" w:hAnsi="Times New Roman" w:cs="Times New Roman"/>
          <w:color w:val="000000" w:themeColor="text1"/>
          <w:vertAlign w:val="superscript"/>
        </w:rPr>
        <w:t>2</w:t>
      </w:r>
      <w:r>
        <w:rPr>
          <w:rFonts w:ascii="Times New Roman" w:hAnsi="Times New Roman" w:cs="Times New Roman"/>
          <w:color w:val="000000" w:themeColor="text1"/>
        </w:rPr>
        <w:t>Student, Department of Phar</w:t>
      </w:r>
      <w:bookmarkStart w:id="0" w:name="_GoBack"/>
      <w:bookmarkEnd w:id="0"/>
      <w:r>
        <w:rPr>
          <w:rFonts w:ascii="Times New Roman" w:hAnsi="Times New Roman" w:cs="Times New Roman"/>
          <w:color w:val="000000" w:themeColor="text1"/>
        </w:rPr>
        <w:t xml:space="preserve">macy Practice, </w:t>
      </w:r>
      <w:proofErr w:type="spellStart"/>
      <w:r>
        <w:rPr>
          <w:rFonts w:ascii="Times New Roman" w:hAnsi="Times New Roman" w:cs="Times New Roman"/>
          <w:color w:val="000000" w:themeColor="text1"/>
        </w:rPr>
        <w:t>Dr.K.V.Subba</w:t>
      </w:r>
      <w:proofErr w:type="spellEnd"/>
      <w:r>
        <w:rPr>
          <w:rFonts w:ascii="Times New Roman" w:hAnsi="Times New Roman" w:cs="Times New Roman"/>
          <w:color w:val="000000" w:themeColor="text1"/>
        </w:rPr>
        <w:t xml:space="preserve"> Reddy Institute Of Pharmacy.</w:t>
      </w:r>
      <w:proofErr w:type="gramEnd"/>
      <w:r>
        <w:rPr>
          <w:rFonts w:ascii="Times New Roman" w:hAnsi="Times New Roman" w:cs="Times New Roman"/>
          <w:color w:val="000000" w:themeColor="text1"/>
        </w:rPr>
        <w:t xml:space="preserve"> Kurnool.</w:t>
      </w:r>
    </w:p>
    <w:p w14:paraId="7C6E1520" w14:textId="1E956DB4"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2C727657" w:rsidR="00DA52F4" w:rsidRPr="001E51F3" w:rsidRDefault="00AF633D"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6ABE396D" w14:textId="766F6116" w:rsidR="00AD3162" w:rsidRPr="00AD3162" w:rsidRDefault="00AD3162" w:rsidP="00AD3162">
      <w:pPr>
        <w:pBdr>
          <w:bottom w:val="single" w:sz="4" w:space="1" w:color="auto"/>
        </w:pBd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roofErr w:type="spellStart"/>
      <w:r w:rsidRPr="00AD3162">
        <w:rPr>
          <w:rFonts w:ascii="Times New Roman" w:hAnsi="Times New Roman" w:cs="Times New Roman"/>
          <w:color w:val="000000" w:themeColor="text1"/>
          <w:sz w:val="20"/>
          <w:szCs w:val="20"/>
        </w:rPr>
        <w:t>Pharmacovigilance</w:t>
      </w:r>
      <w:proofErr w:type="spellEnd"/>
      <w:r w:rsidRPr="00AD3162">
        <w:rPr>
          <w:rFonts w:ascii="Times New Roman" w:hAnsi="Times New Roman" w:cs="Times New Roman"/>
          <w:color w:val="000000" w:themeColor="text1"/>
          <w:sz w:val="20"/>
          <w:szCs w:val="20"/>
        </w:rPr>
        <w:t xml:space="preserve"> is like a sunshade to describe the processes for monitoring and evaluating ADRs and it is a key component of effective drug regulation systems, clinical practice and public health programs. The number of Adverse Drug Reactions (ADRs) reported resulted in an increase in the volume of data handled, and to understand the </w:t>
      </w:r>
      <w:proofErr w:type="spellStart"/>
      <w:r w:rsidRPr="00AD3162">
        <w:rPr>
          <w:rFonts w:ascii="Times New Roman" w:hAnsi="Times New Roman" w:cs="Times New Roman"/>
          <w:color w:val="000000" w:themeColor="text1"/>
          <w:sz w:val="20"/>
          <w:szCs w:val="20"/>
        </w:rPr>
        <w:t>pharmacovigilance</w:t>
      </w:r>
      <w:proofErr w:type="spellEnd"/>
      <w:r w:rsidRPr="00AD3162">
        <w:rPr>
          <w:rFonts w:ascii="Times New Roman" w:hAnsi="Times New Roman" w:cs="Times New Roman"/>
          <w:color w:val="000000" w:themeColor="text1"/>
          <w:sz w:val="20"/>
          <w:szCs w:val="20"/>
        </w:rPr>
        <w:t>, a high level of expertise is required to rapidly detect drug risks as well as to defend the product against an inappropriate removal.</w:t>
      </w:r>
      <w:r>
        <w:rPr>
          <w:rFonts w:ascii="Times New Roman" w:hAnsi="Times New Roman" w:cs="Times New Roman"/>
          <w:color w:val="000000" w:themeColor="text1"/>
          <w:sz w:val="20"/>
          <w:szCs w:val="20"/>
        </w:rPr>
        <w:t xml:space="preserve"> </w:t>
      </w:r>
      <w:r w:rsidRPr="00AD3162">
        <w:rPr>
          <w:rFonts w:ascii="Times New Roman" w:hAnsi="Times New Roman" w:cs="Times New Roman"/>
          <w:color w:val="000000" w:themeColor="text1"/>
          <w:sz w:val="20"/>
          <w:szCs w:val="20"/>
        </w:rPr>
        <w:t xml:space="preserve">The current global network of </w:t>
      </w:r>
      <w:proofErr w:type="spellStart"/>
      <w:r w:rsidRPr="00AD3162">
        <w:rPr>
          <w:rFonts w:ascii="Times New Roman" w:hAnsi="Times New Roman" w:cs="Times New Roman"/>
          <w:color w:val="000000" w:themeColor="text1"/>
          <w:sz w:val="20"/>
          <w:szCs w:val="20"/>
        </w:rPr>
        <w:t>pharmacovigilance</w:t>
      </w:r>
      <w:proofErr w:type="spellEnd"/>
      <w:r w:rsidRPr="00AD3162">
        <w:rPr>
          <w:rFonts w:ascii="Times New Roman" w:hAnsi="Times New Roman" w:cs="Times New Roman"/>
          <w:color w:val="000000" w:themeColor="text1"/>
          <w:sz w:val="20"/>
          <w:szCs w:val="20"/>
        </w:rPr>
        <w:t xml:space="preserve"> centers, coordinated by the Uppsala Monitoring Centre, would be strengthened by an independent system of review.</w:t>
      </w:r>
    </w:p>
    <w:p w14:paraId="1EADF107" w14:textId="47190DBC" w:rsidR="00AD3162" w:rsidRPr="00AD3162" w:rsidRDefault="00AD3162" w:rsidP="00AD3162">
      <w:pPr>
        <w:pBdr>
          <w:bottom w:val="single" w:sz="4" w:space="1" w:color="auto"/>
        </w:pBd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AD3162">
        <w:rPr>
          <w:rFonts w:ascii="Times New Roman" w:hAnsi="Times New Roman" w:cs="Times New Roman"/>
          <w:color w:val="000000" w:themeColor="text1"/>
          <w:sz w:val="20"/>
          <w:szCs w:val="20"/>
        </w:rPr>
        <w:t xml:space="preserve">This would consider litigious and important drug safety issues that have the potential to affect public health adversely beyond national boundaries. Recently, </w:t>
      </w:r>
      <w:proofErr w:type="spellStart"/>
      <w:r w:rsidRPr="00AD3162">
        <w:rPr>
          <w:rFonts w:ascii="Times New Roman" w:hAnsi="Times New Roman" w:cs="Times New Roman"/>
          <w:color w:val="000000" w:themeColor="text1"/>
          <w:sz w:val="20"/>
          <w:szCs w:val="20"/>
        </w:rPr>
        <w:t>pharmacovigilance</w:t>
      </w:r>
      <w:proofErr w:type="spellEnd"/>
      <w:r w:rsidRPr="00AD3162">
        <w:rPr>
          <w:rFonts w:ascii="Times New Roman" w:hAnsi="Times New Roman" w:cs="Times New Roman"/>
          <w:color w:val="000000" w:themeColor="text1"/>
          <w:sz w:val="20"/>
          <w:szCs w:val="20"/>
        </w:rPr>
        <w:t xml:space="preserve"> has been confined, mainly to detect adverse drug events that were previously either unknown or </w:t>
      </w:r>
      <w:proofErr w:type="spellStart"/>
      <w:r w:rsidRPr="00AD3162">
        <w:rPr>
          <w:rFonts w:ascii="Times New Roman" w:hAnsi="Times New Roman" w:cs="Times New Roman"/>
          <w:color w:val="000000" w:themeColor="text1"/>
          <w:sz w:val="20"/>
          <w:szCs w:val="20"/>
        </w:rPr>
        <w:t>porly</w:t>
      </w:r>
      <w:proofErr w:type="spellEnd"/>
      <w:r w:rsidRPr="00AD3162">
        <w:rPr>
          <w:rFonts w:ascii="Times New Roman" w:hAnsi="Times New Roman" w:cs="Times New Roman"/>
          <w:color w:val="000000" w:themeColor="text1"/>
          <w:sz w:val="20"/>
          <w:szCs w:val="20"/>
        </w:rPr>
        <w:t xml:space="preserve"> understood. </w:t>
      </w:r>
      <w:proofErr w:type="spellStart"/>
      <w:r w:rsidRPr="00AD3162">
        <w:rPr>
          <w:rFonts w:ascii="Times New Roman" w:hAnsi="Times New Roman" w:cs="Times New Roman"/>
          <w:color w:val="000000" w:themeColor="text1"/>
          <w:sz w:val="20"/>
          <w:szCs w:val="20"/>
        </w:rPr>
        <w:t>Pharmacovigilance</w:t>
      </w:r>
      <w:proofErr w:type="spellEnd"/>
      <w:r w:rsidRPr="00AD3162">
        <w:rPr>
          <w:rFonts w:ascii="Times New Roman" w:hAnsi="Times New Roman" w:cs="Times New Roman"/>
          <w:color w:val="000000" w:themeColor="text1"/>
          <w:sz w:val="20"/>
          <w:szCs w:val="20"/>
        </w:rPr>
        <w:t xml:space="preserve"> is an important and integral part of clinical research and these days it is growing in many countries. Today many </w:t>
      </w:r>
      <w:proofErr w:type="spellStart"/>
      <w:r w:rsidRPr="00AD3162">
        <w:rPr>
          <w:rFonts w:ascii="Times New Roman" w:hAnsi="Times New Roman" w:cs="Times New Roman"/>
          <w:color w:val="000000" w:themeColor="text1"/>
          <w:sz w:val="20"/>
          <w:szCs w:val="20"/>
        </w:rPr>
        <w:t>pharmacovigilance</w:t>
      </w:r>
      <w:proofErr w:type="spellEnd"/>
      <w:r w:rsidRPr="00AD3162">
        <w:rPr>
          <w:rFonts w:ascii="Times New Roman" w:hAnsi="Times New Roman" w:cs="Times New Roman"/>
          <w:color w:val="000000" w:themeColor="text1"/>
          <w:sz w:val="20"/>
          <w:szCs w:val="20"/>
        </w:rPr>
        <w:t xml:space="preserve"> centers are working for drug safety monitoring in this global pitch, however, at the turn of the millennium </w:t>
      </w:r>
      <w:proofErr w:type="spellStart"/>
      <w:r w:rsidRPr="00AD3162">
        <w:rPr>
          <w:rFonts w:ascii="Times New Roman" w:hAnsi="Times New Roman" w:cs="Times New Roman"/>
          <w:color w:val="000000" w:themeColor="text1"/>
          <w:sz w:val="20"/>
          <w:szCs w:val="20"/>
        </w:rPr>
        <w:t>pharmacovigilance</w:t>
      </w:r>
      <w:proofErr w:type="spellEnd"/>
      <w:r w:rsidRPr="00AD3162">
        <w:rPr>
          <w:rFonts w:ascii="Times New Roman" w:hAnsi="Times New Roman" w:cs="Times New Roman"/>
          <w:color w:val="000000" w:themeColor="text1"/>
          <w:sz w:val="20"/>
          <w:szCs w:val="20"/>
        </w:rPr>
        <w:t xml:space="preserve"> faces major challenges in aspect of better safety and monitoring of drugs.</w:t>
      </w:r>
    </w:p>
    <w:p w14:paraId="306B3666" w14:textId="246777B9" w:rsidR="0082215F" w:rsidRDefault="00AD3162" w:rsidP="0082215F">
      <w:pPr>
        <w:pBdr>
          <w:bottom w:val="single" w:sz="4" w:space="1" w:color="auto"/>
        </w:pBd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AD3162">
        <w:rPr>
          <w:rFonts w:ascii="Times New Roman" w:hAnsi="Times New Roman" w:cs="Times New Roman"/>
          <w:color w:val="000000" w:themeColor="text1"/>
          <w:sz w:val="20"/>
          <w:szCs w:val="20"/>
        </w:rPr>
        <w:t xml:space="preserve">In this review we will discuss about drug safety, worldwide </w:t>
      </w:r>
      <w:proofErr w:type="spellStart"/>
      <w:r w:rsidRPr="00AD3162">
        <w:rPr>
          <w:rFonts w:ascii="Times New Roman" w:hAnsi="Times New Roman" w:cs="Times New Roman"/>
          <w:color w:val="000000" w:themeColor="text1"/>
          <w:sz w:val="20"/>
          <w:szCs w:val="20"/>
        </w:rPr>
        <w:t>pharmacovigilance</w:t>
      </w:r>
      <w:proofErr w:type="spellEnd"/>
      <w:r w:rsidRPr="00AD3162">
        <w:rPr>
          <w:rFonts w:ascii="Times New Roman" w:hAnsi="Times New Roman" w:cs="Times New Roman"/>
          <w:color w:val="000000" w:themeColor="text1"/>
          <w:sz w:val="20"/>
          <w:szCs w:val="20"/>
        </w:rPr>
        <w:t xml:space="preserve"> centers and their role, benefits and challenges of </w:t>
      </w:r>
      <w:proofErr w:type="spellStart"/>
      <w:r w:rsidRPr="00AD3162">
        <w:rPr>
          <w:rFonts w:ascii="Times New Roman" w:hAnsi="Times New Roman" w:cs="Times New Roman"/>
          <w:color w:val="000000" w:themeColor="text1"/>
          <w:sz w:val="20"/>
          <w:szCs w:val="20"/>
        </w:rPr>
        <w:t>pharmacovigilance</w:t>
      </w:r>
      <w:proofErr w:type="spellEnd"/>
      <w:r w:rsidRPr="00AD3162">
        <w:rPr>
          <w:rFonts w:ascii="Times New Roman" w:hAnsi="Times New Roman" w:cs="Times New Roman"/>
          <w:color w:val="000000" w:themeColor="text1"/>
          <w:sz w:val="20"/>
          <w:szCs w:val="20"/>
        </w:rPr>
        <w:t xml:space="preserve"> and its future consideration in healthcare sectors. All drugs have the capacity to cause adverse effects and no drug is completely </w:t>
      </w:r>
      <w:proofErr w:type="spellStart"/>
      <w:r w:rsidRPr="00AD3162">
        <w:rPr>
          <w:rFonts w:ascii="Times New Roman" w:hAnsi="Times New Roman" w:cs="Times New Roman"/>
          <w:color w:val="000000" w:themeColor="text1"/>
          <w:sz w:val="20"/>
          <w:szCs w:val="20"/>
        </w:rPr>
        <w:t>safe.Pharmacovigilance</w:t>
      </w:r>
      <w:proofErr w:type="spellEnd"/>
      <w:r w:rsidRPr="00AD3162">
        <w:rPr>
          <w:rFonts w:ascii="Times New Roman" w:hAnsi="Times New Roman" w:cs="Times New Roman"/>
          <w:color w:val="000000" w:themeColor="text1"/>
          <w:sz w:val="20"/>
          <w:szCs w:val="20"/>
        </w:rPr>
        <w:t xml:space="preserve"> (PV) plays a key role in the healthcare system through assessment, monitoring and discovery of interactions amongst drugs and their effects in human. Pharmaceutical and biotechnological medicines are designed to cure, prevent or treat diseases; </w:t>
      </w:r>
      <w:proofErr w:type="gramStart"/>
      <w:r w:rsidRPr="00AD3162">
        <w:rPr>
          <w:rFonts w:ascii="Times New Roman" w:hAnsi="Times New Roman" w:cs="Times New Roman"/>
          <w:color w:val="000000" w:themeColor="text1"/>
          <w:sz w:val="20"/>
          <w:szCs w:val="20"/>
        </w:rPr>
        <w:t>Thus</w:t>
      </w:r>
      <w:proofErr w:type="gramEnd"/>
      <w:r w:rsidRPr="00AD3162">
        <w:rPr>
          <w:rFonts w:ascii="Times New Roman" w:hAnsi="Times New Roman" w:cs="Times New Roman"/>
          <w:color w:val="000000" w:themeColor="text1"/>
          <w:sz w:val="20"/>
          <w:szCs w:val="20"/>
        </w:rPr>
        <w:t>, for safety medication ADRs monitoring required for each medicine throughout its life cycle, during development of drug such as pre-marketing including early stages of drug design, clinical trials, and post-marketing surveillance.</w:t>
      </w:r>
    </w:p>
    <w:p w14:paraId="075684D6" w14:textId="182055A7" w:rsidR="00DA52F4" w:rsidRPr="001E51F3" w:rsidRDefault="00DA52F4" w:rsidP="00671C07">
      <w:pPr>
        <w:pStyle w:val="ListParagraph"/>
        <w:numPr>
          <w:ilvl w:val="0"/>
          <w:numId w:val="3"/>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31754138" w14:textId="6F954B60" w:rsidR="003A4F8F" w:rsidRPr="003A4F8F" w:rsidRDefault="003A4F8F" w:rsidP="003A4F8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roofErr w:type="spellStart"/>
      <w:r w:rsidRPr="003A4F8F">
        <w:rPr>
          <w:rFonts w:ascii="Times New Roman" w:hAnsi="Times New Roman" w:cs="Times New Roman"/>
          <w:color w:val="000000" w:themeColor="text1"/>
          <w:sz w:val="20"/>
          <w:szCs w:val="20"/>
        </w:rPr>
        <w:t>Pharmacovigilance</w:t>
      </w:r>
      <w:proofErr w:type="spellEnd"/>
      <w:r w:rsidRPr="003A4F8F">
        <w:rPr>
          <w:rFonts w:ascii="Times New Roman" w:hAnsi="Times New Roman" w:cs="Times New Roman"/>
          <w:color w:val="000000" w:themeColor="text1"/>
          <w:sz w:val="20"/>
          <w:szCs w:val="20"/>
        </w:rPr>
        <w:t xml:space="preserve"> is defined as the science of detection, assessment, understanding, and prevention of adverse effects of drugs or other related problems. The importance of </w:t>
      </w:r>
      <w:proofErr w:type="spellStart"/>
      <w:r w:rsidRPr="003A4F8F">
        <w:rPr>
          <w:rFonts w:ascii="Times New Roman" w:hAnsi="Times New Roman" w:cs="Times New Roman"/>
          <w:color w:val="000000" w:themeColor="text1"/>
          <w:sz w:val="20"/>
          <w:szCs w:val="20"/>
        </w:rPr>
        <w:t>pharmacovigilance</w:t>
      </w:r>
      <w:proofErr w:type="spellEnd"/>
      <w:r w:rsidRPr="003A4F8F">
        <w:rPr>
          <w:rFonts w:ascii="Times New Roman" w:hAnsi="Times New Roman" w:cs="Times New Roman"/>
          <w:color w:val="000000" w:themeColor="text1"/>
          <w:sz w:val="20"/>
          <w:szCs w:val="20"/>
        </w:rPr>
        <w:t xml:space="preserve"> was first highlighted in 1848, when a girl named Hannah Greener from England passed away after being administered chloroform for anesthesia to remove an infected toenail. Due to concerns around the safety of using anesthetics, the Lancet set up a commission to tackle this issue, encouraging doctors to report deaths caused by anesthesia.`</w:t>
      </w:r>
    </w:p>
    <w:p w14:paraId="7AA572EE" w14:textId="4D798B86" w:rsidR="003A4F8F" w:rsidRPr="003A4F8F" w:rsidRDefault="003A4F8F" w:rsidP="003A4F8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3A4F8F">
        <w:rPr>
          <w:rFonts w:ascii="Times New Roman" w:hAnsi="Times New Roman" w:cs="Times New Roman"/>
          <w:color w:val="000000" w:themeColor="text1"/>
          <w:sz w:val="20"/>
          <w:szCs w:val="20"/>
        </w:rPr>
        <w:t xml:space="preserve">In 1961, McBride from Australia wrote to the Lancet, reporting his suspicion of thalidomide ingestion during pregnancy causing an increase in congenital malformations in </w:t>
      </w:r>
      <w:proofErr w:type="gramStart"/>
      <w:r w:rsidRPr="003A4F8F">
        <w:rPr>
          <w:rFonts w:ascii="Times New Roman" w:hAnsi="Times New Roman" w:cs="Times New Roman"/>
          <w:color w:val="000000" w:themeColor="text1"/>
          <w:sz w:val="20"/>
          <w:szCs w:val="20"/>
        </w:rPr>
        <w:t>babies[</w:t>
      </w:r>
      <w:proofErr w:type="gramEnd"/>
      <w:r w:rsidRPr="003A4F8F">
        <w:rPr>
          <w:rFonts w:ascii="Times New Roman" w:hAnsi="Times New Roman" w:cs="Times New Roman"/>
          <w:color w:val="000000" w:themeColor="text1"/>
          <w:sz w:val="20"/>
          <w:szCs w:val="20"/>
        </w:rPr>
        <w:t>1]. Thalidomide was marketed in 1957 to alleviate morning sickness and was deemed to be safe for use during pregnancy by the manufacture. However, thalidomide use during pregnancy resulted in abnormal fetal development and limb deformities (</w:t>
      </w:r>
      <w:proofErr w:type="spellStart"/>
      <w:r w:rsidRPr="003A4F8F">
        <w:rPr>
          <w:rFonts w:ascii="Times New Roman" w:hAnsi="Times New Roman" w:cs="Times New Roman"/>
          <w:color w:val="000000" w:themeColor="text1"/>
          <w:sz w:val="20"/>
          <w:szCs w:val="20"/>
        </w:rPr>
        <w:t>phocomelia</w:t>
      </w:r>
      <w:proofErr w:type="spellEnd"/>
      <w:r w:rsidRPr="003A4F8F">
        <w:rPr>
          <w:rFonts w:ascii="Times New Roman" w:hAnsi="Times New Roman" w:cs="Times New Roman"/>
          <w:color w:val="000000" w:themeColor="text1"/>
          <w:sz w:val="20"/>
          <w:szCs w:val="20"/>
        </w:rPr>
        <w:t>) in 46 countries worldwide. This highlighted the importance of safety monitoring of drugs post-marketing, independent of any industrial influence. The thalidomide tragedy served as a catalyst for the formation of the World Health Organization (WHO) International Drug Monitoring Program and the strengthening of regulatory frameworks on drug safety. From this incident, the spontaneous reporting of adverse drug reactions (ADRs) became systematic, organized, and regulated.</w:t>
      </w:r>
    </w:p>
    <w:p w14:paraId="317A2E07" w14:textId="4AEA7204" w:rsidR="003A4F8F" w:rsidRPr="003A4F8F" w:rsidRDefault="003A4F8F" w:rsidP="003A4F8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3A4F8F">
        <w:rPr>
          <w:rFonts w:ascii="Times New Roman" w:hAnsi="Times New Roman" w:cs="Times New Roman"/>
          <w:color w:val="000000" w:themeColor="text1"/>
          <w:sz w:val="20"/>
          <w:szCs w:val="20"/>
        </w:rPr>
        <w:t xml:space="preserve">The WHO-Uppsala Monitoring Centre (WHO-UMC), based in Sweden, was established in 1978. It manages </w:t>
      </w:r>
      <w:proofErr w:type="spellStart"/>
      <w:r w:rsidRPr="003A4F8F">
        <w:rPr>
          <w:rFonts w:ascii="Times New Roman" w:hAnsi="Times New Roman" w:cs="Times New Roman"/>
          <w:color w:val="000000" w:themeColor="text1"/>
          <w:sz w:val="20"/>
          <w:szCs w:val="20"/>
        </w:rPr>
        <w:t>Vigibase</w:t>
      </w:r>
      <w:proofErr w:type="spellEnd"/>
      <w:r w:rsidRPr="003A4F8F">
        <w:rPr>
          <w:rFonts w:ascii="Times New Roman" w:hAnsi="Times New Roman" w:cs="Times New Roman"/>
          <w:color w:val="000000" w:themeColor="text1"/>
          <w:sz w:val="20"/>
          <w:szCs w:val="20"/>
        </w:rPr>
        <w:t xml:space="preserve">, a WHO global database of individual case safety reports. It has over 18 million reports of suspected adverse effects of medicines submitted since 1968 by member countries of the WHO Program for International Drug Monitoring. This database can be used to evaluate the association between various medications and related ADRs. Medication safety monitoring was especially important during the coronavirus disease 2019 (COVID-19) pandemic to determine the safety of drugs, including new drugs, such as </w:t>
      </w:r>
      <w:proofErr w:type="spellStart"/>
      <w:r w:rsidRPr="003A4F8F">
        <w:rPr>
          <w:rFonts w:ascii="Times New Roman" w:hAnsi="Times New Roman" w:cs="Times New Roman"/>
          <w:color w:val="000000" w:themeColor="text1"/>
          <w:sz w:val="20"/>
          <w:szCs w:val="20"/>
        </w:rPr>
        <w:t>remdesivir</w:t>
      </w:r>
      <w:proofErr w:type="spellEnd"/>
      <w:r w:rsidRPr="003A4F8F">
        <w:rPr>
          <w:rFonts w:ascii="Times New Roman" w:hAnsi="Times New Roman" w:cs="Times New Roman"/>
          <w:color w:val="000000" w:themeColor="text1"/>
          <w:sz w:val="20"/>
          <w:szCs w:val="20"/>
        </w:rPr>
        <w:t xml:space="preserve">, or repurposed drugs, such as </w:t>
      </w:r>
      <w:proofErr w:type="spellStart"/>
      <w:r w:rsidRPr="003A4F8F">
        <w:rPr>
          <w:rFonts w:ascii="Times New Roman" w:hAnsi="Times New Roman" w:cs="Times New Roman"/>
          <w:color w:val="000000" w:themeColor="text1"/>
          <w:sz w:val="20"/>
          <w:szCs w:val="20"/>
        </w:rPr>
        <w:t>lopinavir</w:t>
      </w:r>
      <w:proofErr w:type="spellEnd"/>
      <w:r w:rsidRPr="003A4F8F">
        <w:rPr>
          <w:rFonts w:ascii="Times New Roman" w:hAnsi="Times New Roman" w:cs="Times New Roman"/>
          <w:color w:val="000000" w:themeColor="text1"/>
          <w:sz w:val="20"/>
          <w:szCs w:val="20"/>
        </w:rPr>
        <w:t>/ritonavir, against COVID-19.</w:t>
      </w:r>
    </w:p>
    <w:p w14:paraId="2FC5431E" w14:textId="0383B55C" w:rsidR="003A4F8F" w:rsidRDefault="003A4F8F" w:rsidP="003A4F8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roofErr w:type="spellStart"/>
      <w:r w:rsidRPr="003A4F8F">
        <w:rPr>
          <w:rFonts w:ascii="Times New Roman" w:hAnsi="Times New Roman" w:cs="Times New Roman"/>
          <w:color w:val="000000" w:themeColor="text1"/>
          <w:sz w:val="20"/>
          <w:szCs w:val="20"/>
        </w:rPr>
        <w:t>Pharmacovigilance</w:t>
      </w:r>
      <w:proofErr w:type="spellEnd"/>
      <w:r w:rsidRPr="003A4F8F">
        <w:rPr>
          <w:rFonts w:ascii="Times New Roman" w:hAnsi="Times New Roman" w:cs="Times New Roman"/>
          <w:color w:val="000000" w:themeColor="text1"/>
          <w:sz w:val="20"/>
          <w:szCs w:val="20"/>
        </w:rPr>
        <w:t xml:space="preserve"> is used to detect, assess, understand, and prevent the adverse effects of medications. The need for safety monitoring has evolved around unfortunate incidents in history, with deaths caused by anesthesia and congenital malformations from thalidomide use. Reports from adverse drug reactions (ADRs) are stored in a global database and can be used to evaluate the associations between various medications and associated ADRs. Clinicians play</w:t>
      </w:r>
      <w:r>
        <w:rPr>
          <w:rFonts w:ascii="Times New Roman" w:hAnsi="Times New Roman" w:cs="Times New Roman"/>
          <w:color w:val="000000" w:themeColor="text1"/>
          <w:sz w:val="20"/>
          <w:szCs w:val="20"/>
        </w:rPr>
        <w:t xml:space="preserve"> </w:t>
      </w:r>
      <w:r w:rsidRPr="003A4F8F">
        <w:rPr>
          <w:rFonts w:ascii="Times New Roman" w:hAnsi="Times New Roman" w:cs="Times New Roman"/>
          <w:color w:val="000000" w:themeColor="text1"/>
          <w:sz w:val="20"/>
          <w:szCs w:val="20"/>
        </w:rPr>
        <w:t xml:space="preserve">an important role in the </w:t>
      </w:r>
      <w:r w:rsidRPr="003A4F8F">
        <w:rPr>
          <w:rFonts w:ascii="Times New Roman" w:hAnsi="Times New Roman" w:cs="Times New Roman"/>
          <w:color w:val="000000" w:themeColor="text1"/>
          <w:sz w:val="20"/>
          <w:szCs w:val="20"/>
        </w:rPr>
        <w:lastRenderedPageBreak/>
        <w:t xml:space="preserve">recognition and reporting of ADRs to national </w:t>
      </w:r>
      <w:proofErr w:type="spellStart"/>
      <w:r w:rsidRPr="003A4F8F">
        <w:rPr>
          <w:rFonts w:ascii="Times New Roman" w:hAnsi="Times New Roman" w:cs="Times New Roman"/>
          <w:color w:val="000000" w:themeColor="text1"/>
          <w:sz w:val="20"/>
          <w:szCs w:val="20"/>
        </w:rPr>
        <w:t>pharmacovigilance</w:t>
      </w:r>
      <w:proofErr w:type="spellEnd"/>
      <w:r w:rsidRPr="003A4F8F">
        <w:rPr>
          <w:rFonts w:ascii="Times New Roman" w:hAnsi="Times New Roman" w:cs="Times New Roman"/>
          <w:color w:val="000000" w:themeColor="text1"/>
          <w:sz w:val="20"/>
          <w:szCs w:val="20"/>
        </w:rPr>
        <w:t xml:space="preserve"> centers (NPCs). The purpose of NPCs is to make the clinicians understand their functions, including the monitoring, investigation, and assessment of ADR reports, along with periodical benefit-risk assessments of medications via multiple sources. A case study on NPCs and the types of safety issues evaluated by them are provided to illustrate their role in medicine safety surveillance. ADR monitoring was also combined with vaccine safety surveillance approaches. Overall, this study will provide insights to clinicians on the importance of </w:t>
      </w:r>
      <w:proofErr w:type="spellStart"/>
      <w:r w:rsidRPr="003A4F8F">
        <w:rPr>
          <w:rFonts w:ascii="Times New Roman" w:hAnsi="Times New Roman" w:cs="Times New Roman"/>
          <w:color w:val="000000" w:themeColor="text1"/>
          <w:sz w:val="20"/>
          <w:szCs w:val="20"/>
        </w:rPr>
        <w:t>pharmacovigilance</w:t>
      </w:r>
      <w:proofErr w:type="spellEnd"/>
      <w:r w:rsidRPr="003A4F8F">
        <w:rPr>
          <w:rFonts w:ascii="Times New Roman" w:hAnsi="Times New Roman" w:cs="Times New Roman"/>
          <w:color w:val="000000" w:themeColor="text1"/>
          <w:sz w:val="20"/>
          <w:szCs w:val="20"/>
        </w:rPr>
        <w:t xml:space="preserve"> in maintaining patient safety with the proper use of medications.</w:t>
      </w:r>
      <w:r w:rsidR="0082215F">
        <w:rPr>
          <w:rFonts w:ascii="Times New Roman" w:hAnsi="Times New Roman" w:cs="Times New Roman"/>
          <w:color w:val="000000" w:themeColor="text1"/>
          <w:sz w:val="20"/>
          <w:szCs w:val="20"/>
        </w:rPr>
        <w:tab/>
      </w:r>
    </w:p>
    <w:p w14:paraId="21BF9B49" w14:textId="5E42FECB" w:rsidR="003A4F8F" w:rsidRDefault="003A4F8F" w:rsidP="003A4F8F">
      <w:pPr>
        <w:pStyle w:val="ListParagraph"/>
        <w:numPr>
          <w:ilvl w:val="0"/>
          <w:numId w:val="3"/>
        </w:numPr>
        <w:rPr>
          <w:rFonts w:ascii="Times New Roman" w:hAnsi="Times New Roman" w:cs="Times New Roman"/>
          <w:b/>
          <w:color w:val="000000" w:themeColor="text1"/>
          <w:sz w:val="24"/>
          <w:szCs w:val="24"/>
        </w:rPr>
      </w:pPr>
      <w:r w:rsidRPr="003A4F8F">
        <w:rPr>
          <w:rFonts w:ascii="Times New Roman" w:hAnsi="Times New Roman" w:cs="Times New Roman"/>
          <w:b/>
          <w:color w:val="000000" w:themeColor="text1"/>
          <w:sz w:val="24"/>
          <w:szCs w:val="24"/>
        </w:rPr>
        <w:t>PHARMACOVIGILANCE IN DRUG RELATION:</w:t>
      </w:r>
    </w:p>
    <w:p w14:paraId="773BE49E" w14:textId="4AFA1F41" w:rsidR="003A4F8F" w:rsidRPr="003A4F8F" w:rsidRDefault="003A4F8F" w:rsidP="003A4F8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roofErr w:type="spellStart"/>
      <w:r w:rsidRPr="003A4F8F">
        <w:rPr>
          <w:rFonts w:ascii="Times New Roman" w:hAnsi="Times New Roman" w:cs="Times New Roman"/>
          <w:color w:val="000000" w:themeColor="text1"/>
          <w:sz w:val="20"/>
          <w:szCs w:val="20"/>
        </w:rPr>
        <w:t>Pharmacovigilance</w:t>
      </w:r>
      <w:proofErr w:type="spellEnd"/>
      <w:r w:rsidRPr="003A4F8F">
        <w:rPr>
          <w:rFonts w:ascii="Times New Roman" w:hAnsi="Times New Roman" w:cs="Times New Roman"/>
          <w:color w:val="000000" w:themeColor="text1"/>
          <w:sz w:val="20"/>
          <w:szCs w:val="20"/>
        </w:rPr>
        <w:t xml:space="preserve"> programs made strong by links with regulators. Regulators understand that </w:t>
      </w:r>
      <w:proofErr w:type="spellStart"/>
      <w:r w:rsidRPr="003A4F8F">
        <w:rPr>
          <w:rFonts w:ascii="Times New Roman" w:hAnsi="Times New Roman" w:cs="Times New Roman"/>
          <w:color w:val="000000" w:themeColor="text1"/>
          <w:sz w:val="20"/>
          <w:szCs w:val="20"/>
        </w:rPr>
        <w:t>pharmacovigilance</w:t>
      </w:r>
      <w:proofErr w:type="spellEnd"/>
      <w:r w:rsidRPr="003A4F8F">
        <w:rPr>
          <w:rFonts w:ascii="Times New Roman" w:hAnsi="Times New Roman" w:cs="Times New Roman"/>
          <w:color w:val="000000" w:themeColor="text1"/>
          <w:sz w:val="20"/>
          <w:szCs w:val="20"/>
        </w:rPr>
        <w:t xml:space="preserve"> plays a specialized and pivotal role in ensuring ongoing safety of medicinal products.</w:t>
      </w:r>
    </w:p>
    <w:p w14:paraId="597C0E55" w14:textId="77777777" w:rsidR="003A4F8F" w:rsidRPr="003A4F8F" w:rsidRDefault="003A4F8F" w:rsidP="003A4F8F">
      <w:pPr>
        <w:jc w:val="both"/>
        <w:rPr>
          <w:rFonts w:ascii="Times New Roman" w:hAnsi="Times New Roman" w:cs="Times New Roman"/>
          <w:b/>
          <w:color w:val="000000" w:themeColor="text1"/>
          <w:sz w:val="20"/>
          <w:szCs w:val="20"/>
        </w:rPr>
      </w:pPr>
      <w:r w:rsidRPr="003A4F8F">
        <w:rPr>
          <w:rFonts w:ascii="Times New Roman" w:hAnsi="Times New Roman" w:cs="Times New Roman"/>
          <w:b/>
          <w:color w:val="000000" w:themeColor="text1"/>
          <w:sz w:val="20"/>
          <w:szCs w:val="20"/>
        </w:rPr>
        <w:t>Clinical trial regulation:</w:t>
      </w:r>
    </w:p>
    <w:p w14:paraId="09864B41" w14:textId="7E4088F0" w:rsidR="003A4F8F" w:rsidRPr="003A4F8F" w:rsidRDefault="003A4F8F" w:rsidP="003A4F8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3A4F8F">
        <w:rPr>
          <w:rFonts w:ascii="Times New Roman" w:hAnsi="Times New Roman" w:cs="Times New Roman"/>
          <w:color w:val="000000" w:themeColor="text1"/>
          <w:sz w:val="20"/>
          <w:szCs w:val="20"/>
        </w:rPr>
        <w:t xml:space="preserve">In recent years there has been a substantial increase in the number of clinical trials in developed and developing countries. In their approval of clinical trials, regulatory bodies look at safety and efficacy of new products under investigation. Safety monitoring of medicines in common use should be an integral part of clinical practice. Education and training of health professionals in medicine safety, exchange of information between national </w:t>
      </w:r>
      <w:proofErr w:type="spellStart"/>
      <w:r w:rsidRPr="003A4F8F">
        <w:rPr>
          <w:rFonts w:ascii="Times New Roman" w:hAnsi="Times New Roman" w:cs="Times New Roman"/>
          <w:color w:val="000000" w:themeColor="text1"/>
          <w:sz w:val="20"/>
          <w:szCs w:val="20"/>
        </w:rPr>
        <w:t>pharmacovigilance</w:t>
      </w:r>
      <w:proofErr w:type="spellEnd"/>
      <w:r w:rsidRPr="003A4F8F">
        <w:rPr>
          <w:rFonts w:ascii="Times New Roman" w:hAnsi="Times New Roman" w:cs="Times New Roman"/>
          <w:color w:val="000000" w:themeColor="text1"/>
          <w:sz w:val="20"/>
          <w:szCs w:val="20"/>
        </w:rPr>
        <w:t xml:space="preserve"> centers, the coordination of such exchange, and the linking of clinical experience of medicine safety with research and health policy, all serve to enhance effective patient care. A regular flow and exchange of information in this way means that national </w:t>
      </w:r>
      <w:proofErr w:type="spellStart"/>
      <w:r w:rsidRPr="003A4F8F">
        <w:rPr>
          <w:rFonts w:ascii="Times New Roman" w:hAnsi="Times New Roman" w:cs="Times New Roman"/>
          <w:color w:val="000000" w:themeColor="text1"/>
          <w:sz w:val="20"/>
          <w:szCs w:val="20"/>
        </w:rPr>
        <w:t>pharmacovigilance</w:t>
      </w:r>
      <w:proofErr w:type="spellEnd"/>
      <w:r w:rsidRPr="003A4F8F">
        <w:rPr>
          <w:rFonts w:ascii="Times New Roman" w:hAnsi="Times New Roman" w:cs="Times New Roman"/>
          <w:color w:val="000000" w:themeColor="text1"/>
          <w:sz w:val="20"/>
          <w:szCs w:val="20"/>
        </w:rPr>
        <w:t xml:space="preserve"> </w:t>
      </w:r>
      <w:proofErr w:type="spellStart"/>
      <w:r w:rsidRPr="003A4F8F">
        <w:rPr>
          <w:rFonts w:ascii="Times New Roman" w:hAnsi="Times New Roman" w:cs="Times New Roman"/>
          <w:color w:val="000000" w:themeColor="text1"/>
          <w:sz w:val="20"/>
          <w:szCs w:val="20"/>
        </w:rPr>
        <w:t>programmes</w:t>
      </w:r>
      <w:proofErr w:type="spellEnd"/>
      <w:r w:rsidRPr="003A4F8F">
        <w:rPr>
          <w:rFonts w:ascii="Times New Roman" w:hAnsi="Times New Roman" w:cs="Times New Roman"/>
          <w:color w:val="000000" w:themeColor="text1"/>
          <w:sz w:val="20"/>
          <w:szCs w:val="20"/>
        </w:rPr>
        <w:t xml:space="preserve"> are ideally placed to identify gaps in our understanding of medicine-induced diseases. [11]</w:t>
      </w:r>
    </w:p>
    <w:p w14:paraId="5B405A5D" w14:textId="77777777" w:rsidR="003A4F8F" w:rsidRPr="003A4F8F" w:rsidRDefault="003A4F8F" w:rsidP="003A4F8F">
      <w:pPr>
        <w:jc w:val="both"/>
        <w:rPr>
          <w:rFonts w:ascii="Times New Roman" w:hAnsi="Times New Roman" w:cs="Times New Roman"/>
          <w:b/>
          <w:color w:val="000000" w:themeColor="text1"/>
          <w:sz w:val="20"/>
          <w:szCs w:val="20"/>
        </w:rPr>
      </w:pPr>
      <w:r w:rsidRPr="003A4F8F">
        <w:rPr>
          <w:rFonts w:ascii="Times New Roman" w:hAnsi="Times New Roman" w:cs="Times New Roman"/>
          <w:b/>
          <w:color w:val="000000" w:themeColor="text1"/>
          <w:sz w:val="20"/>
          <w:szCs w:val="20"/>
        </w:rPr>
        <w:t xml:space="preserve">Post marketing safety drug monitoring: </w:t>
      </w:r>
    </w:p>
    <w:p w14:paraId="3D2157FA" w14:textId="0CD256DA" w:rsidR="003A4F8F" w:rsidRPr="003A4F8F" w:rsidRDefault="003A4F8F" w:rsidP="003A4F8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3A4F8F">
        <w:rPr>
          <w:rFonts w:ascii="Times New Roman" w:hAnsi="Times New Roman" w:cs="Times New Roman"/>
          <w:color w:val="000000" w:themeColor="text1"/>
          <w:sz w:val="20"/>
          <w:szCs w:val="20"/>
        </w:rPr>
        <w:t>These includes detection of drug interactions, measuring the environmental burden of medicines used in large populations, assessing the contribution of ’inactive’ ingredients to the safety profile, systems for comparing safety profiles of similar medicines, surveillance of the adverse effects on human health of drug residues in animals, e.g. antibiotics and hormones. The Council for International Organizations of Medical Sciences (CIOMS) report on benefit-risk assessment of medicines after marketing has contributed to a more systematic approach to determining the merit of available medicines</w:t>
      </w:r>
      <w:proofErr w:type="gramStart"/>
      <w:r w:rsidRPr="003A4F8F">
        <w:rPr>
          <w:rFonts w:ascii="Times New Roman" w:hAnsi="Times New Roman" w:cs="Times New Roman"/>
          <w:color w:val="000000" w:themeColor="text1"/>
          <w:sz w:val="20"/>
          <w:szCs w:val="20"/>
        </w:rPr>
        <w:t>.[</w:t>
      </w:r>
      <w:proofErr w:type="gramEnd"/>
      <w:r w:rsidRPr="003A4F8F">
        <w:rPr>
          <w:rFonts w:ascii="Times New Roman" w:hAnsi="Times New Roman" w:cs="Times New Roman"/>
          <w:color w:val="000000" w:themeColor="text1"/>
          <w:sz w:val="20"/>
          <w:szCs w:val="20"/>
        </w:rPr>
        <w:t>12]</w:t>
      </w:r>
    </w:p>
    <w:p w14:paraId="782E95A7" w14:textId="77777777" w:rsidR="003A4F8F" w:rsidRPr="003A4F8F" w:rsidRDefault="003A4F8F" w:rsidP="003A4F8F">
      <w:pPr>
        <w:jc w:val="both"/>
        <w:rPr>
          <w:rFonts w:ascii="Times New Roman" w:hAnsi="Times New Roman" w:cs="Times New Roman"/>
          <w:b/>
          <w:color w:val="000000" w:themeColor="text1"/>
          <w:sz w:val="20"/>
          <w:szCs w:val="20"/>
        </w:rPr>
      </w:pPr>
      <w:proofErr w:type="spellStart"/>
      <w:r w:rsidRPr="003A4F8F">
        <w:rPr>
          <w:rFonts w:ascii="Times New Roman" w:hAnsi="Times New Roman" w:cs="Times New Roman"/>
          <w:b/>
          <w:color w:val="000000" w:themeColor="text1"/>
          <w:sz w:val="20"/>
          <w:szCs w:val="20"/>
        </w:rPr>
        <w:t>Pharmacovigilance</w:t>
      </w:r>
      <w:proofErr w:type="spellEnd"/>
      <w:r w:rsidRPr="003A4F8F">
        <w:rPr>
          <w:rFonts w:ascii="Times New Roman" w:hAnsi="Times New Roman" w:cs="Times New Roman"/>
          <w:b/>
          <w:color w:val="000000" w:themeColor="text1"/>
          <w:sz w:val="20"/>
          <w:szCs w:val="20"/>
        </w:rPr>
        <w:t xml:space="preserve"> in national drug Policy:</w:t>
      </w:r>
    </w:p>
    <w:p w14:paraId="73EF1B13" w14:textId="11FC4A50" w:rsidR="003A4F8F" w:rsidRPr="003A4F8F" w:rsidRDefault="003A4F8F" w:rsidP="003A4F8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3A4F8F">
        <w:rPr>
          <w:rFonts w:ascii="Times New Roman" w:hAnsi="Times New Roman" w:cs="Times New Roman"/>
          <w:color w:val="000000" w:themeColor="text1"/>
          <w:sz w:val="20"/>
          <w:szCs w:val="20"/>
        </w:rPr>
        <w:t>The provision of good quality, safe and effective medicines and their appropriate use is the responsibility of national governments. Multidisciplinary collaboration is of great importance in particular, links ne</w:t>
      </w:r>
      <w:r>
        <w:rPr>
          <w:rFonts w:ascii="Times New Roman" w:hAnsi="Times New Roman" w:cs="Times New Roman"/>
          <w:color w:val="000000" w:themeColor="text1"/>
          <w:sz w:val="20"/>
          <w:szCs w:val="20"/>
        </w:rPr>
        <w:t xml:space="preserve">ed to be forged between various </w:t>
      </w:r>
      <w:r w:rsidRPr="003A4F8F">
        <w:rPr>
          <w:rFonts w:ascii="Times New Roman" w:hAnsi="Times New Roman" w:cs="Times New Roman"/>
          <w:color w:val="000000" w:themeColor="text1"/>
          <w:sz w:val="20"/>
          <w:szCs w:val="20"/>
        </w:rPr>
        <w:t>departments of the ministry of health and also with other stakeholders, such as the pharmaceutical industry, universities, nongovernmental organizations (NGOs) and those professional associations having responsibility for education on rational use of medicines and pharmacotherapy monitoring.</w:t>
      </w:r>
    </w:p>
    <w:p w14:paraId="7A21A33E" w14:textId="77777777" w:rsidR="003A4F8F" w:rsidRPr="003A4F8F" w:rsidRDefault="003A4F8F" w:rsidP="003A4F8F">
      <w:pPr>
        <w:jc w:val="both"/>
        <w:rPr>
          <w:rFonts w:ascii="Times New Roman" w:hAnsi="Times New Roman" w:cs="Times New Roman"/>
          <w:b/>
          <w:color w:val="000000" w:themeColor="text1"/>
          <w:sz w:val="20"/>
          <w:szCs w:val="20"/>
        </w:rPr>
      </w:pPr>
      <w:proofErr w:type="spellStart"/>
      <w:r w:rsidRPr="003A4F8F">
        <w:rPr>
          <w:rFonts w:ascii="Times New Roman" w:hAnsi="Times New Roman" w:cs="Times New Roman"/>
          <w:b/>
          <w:color w:val="000000" w:themeColor="text1"/>
          <w:sz w:val="20"/>
          <w:szCs w:val="20"/>
        </w:rPr>
        <w:t>Pharmacovigilance</w:t>
      </w:r>
      <w:proofErr w:type="spellEnd"/>
      <w:r w:rsidRPr="003A4F8F">
        <w:rPr>
          <w:rFonts w:ascii="Times New Roman" w:hAnsi="Times New Roman" w:cs="Times New Roman"/>
          <w:b/>
          <w:color w:val="000000" w:themeColor="text1"/>
          <w:sz w:val="20"/>
          <w:szCs w:val="20"/>
        </w:rPr>
        <w:t xml:space="preserve"> in Disease Control Public Health </w:t>
      </w:r>
      <w:proofErr w:type="spellStart"/>
      <w:r w:rsidRPr="003A4F8F">
        <w:rPr>
          <w:rFonts w:ascii="Times New Roman" w:hAnsi="Times New Roman" w:cs="Times New Roman"/>
          <w:b/>
          <w:color w:val="000000" w:themeColor="text1"/>
          <w:sz w:val="20"/>
          <w:szCs w:val="20"/>
        </w:rPr>
        <w:t>Programmes</w:t>
      </w:r>
      <w:proofErr w:type="spellEnd"/>
      <w:r w:rsidRPr="003A4F8F">
        <w:rPr>
          <w:rFonts w:ascii="Times New Roman" w:hAnsi="Times New Roman" w:cs="Times New Roman"/>
          <w:b/>
          <w:color w:val="000000" w:themeColor="text1"/>
          <w:sz w:val="20"/>
          <w:szCs w:val="20"/>
        </w:rPr>
        <w:t>:</w:t>
      </w:r>
    </w:p>
    <w:p w14:paraId="17B5B1A1" w14:textId="16BB9B88" w:rsidR="003A4F8F" w:rsidRPr="003A4F8F" w:rsidRDefault="003A4F8F" w:rsidP="003A4F8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3A4F8F">
        <w:rPr>
          <w:rFonts w:ascii="Times New Roman" w:hAnsi="Times New Roman" w:cs="Times New Roman"/>
          <w:color w:val="000000" w:themeColor="text1"/>
          <w:sz w:val="20"/>
          <w:szCs w:val="20"/>
        </w:rPr>
        <w:t xml:space="preserve">The monitoring of medicine safety in countries where there is no regulatory or safety monitoring system in place, or in remote areas with little or no health care surveillance or infrastructure, has been identified as a matter for concern. The problems are especially apparent in situations that involve the use of medicines in specific communities, for example, for the treatment of tropical diseases such as malaria, </w:t>
      </w:r>
      <w:proofErr w:type="spellStart"/>
      <w:r w:rsidRPr="003A4F8F">
        <w:rPr>
          <w:rFonts w:ascii="Times New Roman" w:hAnsi="Times New Roman" w:cs="Times New Roman"/>
          <w:color w:val="000000" w:themeColor="text1"/>
          <w:sz w:val="20"/>
          <w:szCs w:val="20"/>
        </w:rPr>
        <w:t>leishmaniasis</w:t>
      </w:r>
      <w:proofErr w:type="spellEnd"/>
      <w:r w:rsidRPr="003A4F8F">
        <w:rPr>
          <w:rFonts w:ascii="Times New Roman" w:hAnsi="Times New Roman" w:cs="Times New Roman"/>
          <w:color w:val="000000" w:themeColor="text1"/>
          <w:sz w:val="20"/>
          <w:szCs w:val="20"/>
        </w:rPr>
        <w:t xml:space="preserve"> and </w:t>
      </w:r>
      <w:proofErr w:type="spellStart"/>
      <w:r w:rsidRPr="003A4F8F">
        <w:rPr>
          <w:rFonts w:ascii="Times New Roman" w:hAnsi="Times New Roman" w:cs="Times New Roman"/>
          <w:color w:val="000000" w:themeColor="text1"/>
          <w:sz w:val="20"/>
          <w:szCs w:val="20"/>
        </w:rPr>
        <w:t>schistosomiasis</w:t>
      </w:r>
      <w:proofErr w:type="spellEnd"/>
      <w:r w:rsidRPr="003A4F8F">
        <w:rPr>
          <w:rFonts w:ascii="Times New Roman" w:hAnsi="Times New Roman" w:cs="Times New Roman"/>
          <w:color w:val="000000" w:themeColor="text1"/>
          <w:sz w:val="20"/>
          <w:szCs w:val="20"/>
        </w:rPr>
        <w:t xml:space="preserve">, and for the treatment of HIV/AIDS and tuberculosis. </w:t>
      </w:r>
      <w:proofErr w:type="spellStart"/>
      <w:r w:rsidRPr="003A4F8F">
        <w:rPr>
          <w:rFonts w:ascii="Times New Roman" w:hAnsi="Times New Roman" w:cs="Times New Roman"/>
          <w:color w:val="000000" w:themeColor="text1"/>
          <w:sz w:val="20"/>
          <w:szCs w:val="20"/>
        </w:rPr>
        <w:t>Pharmacovigilance</w:t>
      </w:r>
      <w:proofErr w:type="spellEnd"/>
      <w:r w:rsidRPr="003A4F8F">
        <w:rPr>
          <w:rFonts w:ascii="Times New Roman" w:hAnsi="Times New Roman" w:cs="Times New Roman"/>
          <w:color w:val="000000" w:themeColor="text1"/>
          <w:sz w:val="20"/>
          <w:szCs w:val="20"/>
        </w:rPr>
        <w:t xml:space="preserve"> should be a priority for every country with a public health disease control programs</w:t>
      </w:r>
      <w:proofErr w:type="gramStart"/>
      <w:r w:rsidRPr="003A4F8F">
        <w:rPr>
          <w:rFonts w:ascii="Times New Roman" w:hAnsi="Times New Roman" w:cs="Times New Roman"/>
          <w:color w:val="000000" w:themeColor="text1"/>
          <w:sz w:val="20"/>
          <w:szCs w:val="20"/>
        </w:rPr>
        <w:t>.[</w:t>
      </w:r>
      <w:proofErr w:type="gramEnd"/>
      <w:r w:rsidRPr="003A4F8F">
        <w:rPr>
          <w:rFonts w:ascii="Times New Roman" w:hAnsi="Times New Roman" w:cs="Times New Roman"/>
          <w:color w:val="000000" w:themeColor="text1"/>
          <w:sz w:val="20"/>
          <w:szCs w:val="20"/>
        </w:rPr>
        <w:t>13]</w:t>
      </w:r>
    </w:p>
    <w:p w14:paraId="3F72F2D1" w14:textId="6242201A" w:rsidR="003A4F8F" w:rsidRPr="003A4F8F" w:rsidRDefault="003A4F8F" w:rsidP="003A4F8F">
      <w:pPr>
        <w:jc w:val="both"/>
        <w:rPr>
          <w:rFonts w:ascii="Times New Roman" w:hAnsi="Times New Roman" w:cs="Times New Roman"/>
          <w:b/>
          <w:color w:val="000000" w:themeColor="text1"/>
          <w:sz w:val="20"/>
          <w:szCs w:val="20"/>
        </w:rPr>
      </w:pPr>
      <w:r w:rsidRPr="003A4F8F">
        <w:rPr>
          <w:rFonts w:ascii="Times New Roman" w:hAnsi="Times New Roman" w:cs="Times New Roman"/>
          <w:b/>
          <w:color w:val="000000" w:themeColor="text1"/>
          <w:sz w:val="20"/>
          <w:szCs w:val="20"/>
        </w:rPr>
        <w:t>PHARMACOVIGILANCE AND INTERNATIONAL HEALTH</w:t>
      </w:r>
    </w:p>
    <w:p w14:paraId="43961C7B" w14:textId="1DD680A1" w:rsidR="003A4F8F" w:rsidRPr="003A4F8F" w:rsidRDefault="003A4F8F" w:rsidP="003A4F8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3A4F8F">
        <w:rPr>
          <w:rFonts w:ascii="Times New Roman" w:hAnsi="Times New Roman" w:cs="Times New Roman"/>
          <w:color w:val="000000" w:themeColor="text1"/>
          <w:sz w:val="20"/>
          <w:szCs w:val="20"/>
        </w:rPr>
        <w:t xml:space="preserve">The current global network of </w:t>
      </w:r>
      <w:proofErr w:type="spellStart"/>
      <w:r w:rsidRPr="003A4F8F">
        <w:rPr>
          <w:rFonts w:ascii="Times New Roman" w:hAnsi="Times New Roman" w:cs="Times New Roman"/>
          <w:color w:val="000000" w:themeColor="text1"/>
          <w:sz w:val="20"/>
          <w:szCs w:val="20"/>
        </w:rPr>
        <w:t>pharmacovigilance</w:t>
      </w:r>
      <w:proofErr w:type="spellEnd"/>
      <w:r w:rsidRPr="003A4F8F">
        <w:rPr>
          <w:rFonts w:ascii="Times New Roman" w:hAnsi="Times New Roman" w:cs="Times New Roman"/>
          <w:color w:val="000000" w:themeColor="text1"/>
          <w:sz w:val="20"/>
          <w:szCs w:val="20"/>
        </w:rPr>
        <w:t xml:space="preserve"> centers is coordinated by the Uppsala Monitoring Centre, would be strengthened by an independent system of review. This would consider contentious and important drug safety issues that have the potential to affect public health adversely beyond national boundaries. The </w:t>
      </w:r>
      <w:proofErr w:type="spellStart"/>
      <w:r w:rsidRPr="003A4F8F">
        <w:rPr>
          <w:rFonts w:ascii="Times New Roman" w:hAnsi="Times New Roman" w:cs="Times New Roman"/>
          <w:color w:val="000000" w:themeColor="text1"/>
          <w:sz w:val="20"/>
          <w:szCs w:val="20"/>
        </w:rPr>
        <w:t>Erice</w:t>
      </w:r>
      <w:proofErr w:type="spellEnd"/>
      <w:r w:rsidRPr="003A4F8F">
        <w:rPr>
          <w:rFonts w:ascii="Times New Roman" w:hAnsi="Times New Roman" w:cs="Times New Roman"/>
          <w:color w:val="000000" w:themeColor="text1"/>
          <w:sz w:val="20"/>
          <w:szCs w:val="20"/>
        </w:rPr>
        <w:t xml:space="preserve"> Declaration provides a framework of values and practice for collection, analysis and subsequent communication of drug safety issues. Today, the burden of ADRs on public health despite the progress in </w:t>
      </w:r>
      <w:proofErr w:type="spellStart"/>
      <w:r w:rsidRPr="003A4F8F">
        <w:rPr>
          <w:rFonts w:ascii="Times New Roman" w:hAnsi="Times New Roman" w:cs="Times New Roman"/>
          <w:color w:val="000000" w:themeColor="text1"/>
          <w:sz w:val="20"/>
          <w:szCs w:val="20"/>
        </w:rPr>
        <w:t>pharmacovigilance</w:t>
      </w:r>
      <w:proofErr w:type="spellEnd"/>
      <w:r w:rsidRPr="003A4F8F">
        <w:rPr>
          <w:rFonts w:ascii="Times New Roman" w:hAnsi="Times New Roman" w:cs="Times New Roman"/>
          <w:color w:val="000000" w:themeColor="text1"/>
          <w:sz w:val="20"/>
          <w:szCs w:val="20"/>
        </w:rPr>
        <w:t xml:space="preserve"> that has been made, the burden on public health of ADRs remains significant. </w:t>
      </w:r>
      <w:proofErr w:type="spellStart"/>
      <w:r w:rsidRPr="003A4F8F">
        <w:rPr>
          <w:rFonts w:ascii="Times New Roman" w:hAnsi="Times New Roman" w:cs="Times New Roman"/>
          <w:color w:val="000000" w:themeColor="text1"/>
          <w:sz w:val="20"/>
          <w:szCs w:val="20"/>
        </w:rPr>
        <w:t>Pharmacoeconomic</w:t>
      </w:r>
      <w:proofErr w:type="spellEnd"/>
      <w:r w:rsidRPr="003A4F8F">
        <w:rPr>
          <w:rFonts w:ascii="Times New Roman" w:hAnsi="Times New Roman" w:cs="Times New Roman"/>
          <w:color w:val="000000" w:themeColor="text1"/>
          <w:sz w:val="20"/>
          <w:szCs w:val="20"/>
        </w:rPr>
        <w:t xml:space="preserve"> studies on the costs of adverse reactions suggest that governments pay considerable amounts from health budgets towards covering costs associated with them. However, it has become increasingly clear that the safety profile of medicines is directly linked with socio-political, economic and cultural factors that in turn affect access to medicines, their utilization patterns and public perceptions of them</w:t>
      </w:r>
      <w:proofErr w:type="gramStart"/>
      <w:r w:rsidRPr="003A4F8F">
        <w:rPr>
          <w:rFonts w:ascii="Times New Roman" w:hAnsi="Times New Roman" w:cs="Times New Roman"/>
          <w:color w:val="000000" w:themeColor="text1"/>
          <w:sz w:val="20"/>
          <w:szCs w:val="20"/>
        </w:rPr>
        <w:t>.[</w:t>
      </w:r>
      <w:proofErr w:type="gramEnd"/>
      <w:r w:rsidRPr="003A4F8F">
        <w:rPr>
          <w:rFonts w:ascii="Times New Roman" w:hAnsi="Times New Roman" w:cs="Times New Roman"/>
          <w:color w:val="000000" w:themeColor="text1"/>
          <w:sz w:val="20"/>
          <w:szCs w:val="20"/>
        </w:rPr>
        <w:t>14,15]</w:t>
      </w:r>
    </w:p>
    <w:p w14:paraId="70CF6CBA" w14:textId="77777777" w:rsidR="003A4F8F" w:rsidRPr="003A4F8F" w:rsidRDefault="003A4F8F" w:rsidP="003A4F8F">
      <w:pPr>
        <w:jc w:val="both"/>
        <w:rPr>
          <w:rFonts w:ascii="Times New Roman" w:hAnsi="Times New Roman" w:cs="Times New Roman"/>
          <w:color w:val="000000" w:themeColor="text1"/>
          <w:sz w:val="20"/>
          <w:szCs w:val="20"/>
        </w:rPr>
      </w:pPr>
    </w:p>
    <w:p w14:paraId="18BA5CE0" w14:textId="112C14F5" w:rsidR="003A4F8F" w:rsidRPr="003A4F8F" w:rsidRDefault="003A4F8F" w:rsidP="003A4F8F">
      <w:pPr>
        <w:jc w:val="both"/>
        <w:rPr>
          <w:rFonts w:ascii="Times New Roman" w:hAnsi="Times New Roman" w:cs="Times New Roman"/>
          <w:color w:val="000000" w:themeColor="text1"/>
          <w:sz w:val="20"/>
          <w:szCs w:val="20"/>
        </w:rPr>
      </w:pPr>
      <w:r w:rsidRPr="003A4F8F">
        <w:rPr>
          <w:rFonts w:ascii="Times New Roman" w:hAnsi="Times New Roman" w:cs="Times New Roman"/>
          <w:color w:val="000000" w:themeColor="text1"/>
          <w:sz w:val="20"/>
          <w:szCs w:val="20"/>
        </w:rPr>
        <w:lastRenderedPageBreak/>
        <w:t xml:space="preserve">Drug utilization: Drug utilization patterns are a major determinant in drug safety. For instance, the use of injectable medicines is more common in developing countries. Direct </w:t>
      </w:r>
      <w:proofErr w:type="spellStart"/>
      <w:r w:rsidRPr="003A4F8F">
        <w:rPr>
          <w:rFonts w:ascii="Times New Roman" w:hAnsi="Times New Roman" w:cs="Times New Roman"/>
          <w:color w:val="000000" w:themeColor="text1"/>
          <w:sz w:val="20"/>
          <w:szCs w:val="20"/>
        </w:rPr>
        <w:t>advertizing</w:t>
      </w:r>
      <w:proofErr w:type="spellEnd"/>
      <w:r w:rsidRPr="003A4F8F">
        <w:rPr>
          <w:rFonts w:ascii="Times New Roman" w:hAnsi="Times New Roman" w:cs="Times New Roman"/>
          <w:color w:val="000000" w:themeColor="text1"/>
          <w:sz w:val="20"/>
          <w:szCs w:val="20"/>
        </w:rPr>
        <w:t xml:space="preserve"> to the consumer of prescription medicines has become commonplace in many countries. With this information patients feel more able to make their own therapeutic decisions, without assistance from doctor or pharmacist. The result has been increasing </w:t>
      </w:r>
      <w:proofErr w:type="spellStart"/>
      <w:r w:rsidRPr="003A4F8F">
        <w:rPr>
          <w:rFonts w:ascii="Times New Roman" w:hAnsi="Times New Roman" w:cs="Times New Roman"/>
          <w:color w:val="000000" w:themeColor="text1"/>
          <w:sz w:val="20"/>
          <w:szCs w:val="20"/>
        </w:rPr>
        <w:t>self medication</w:t>
      </w:r>
      <w:proofErr w:type="spellEnd"/>
      <w:r w:rsidRPr="003A4F8F">
        <w:rPr>
          <w:rFonts w:ascii="Times New Roman" w:hAnsi="Times New Roman" w:cs="Times New Roman"/>
          <w:color w:val="000000" w:themeColor="text1"/>
          <w:sz w:val="20"/>
          <w:szCs w:val="20"/>
        </w:rPr>
        <w:t>, licit and illicit sale of medicin</w:t>
      </w:r>
      <w:r>
        <w:rPr>
          <w:rFonts w:ascii="Times New Roman" w:hAnsi="Times New Roman" w:cs="Times New Roman"/>
          <w:color w:val="000000" w:themeColor="text1"/>
          <w:sz w:val="20"/>
          <w:szCs w:val="20"/>
        </w:rPr>
        <w:t xml:space="preserve">es over the Internet, and over- </w:t>
      </w:r>
      <w:r w:rsidRPr="003A4F8F">
        <w:rPr>
          <w:rFonts w:ascii="Times New Roman" w:hAnsi="Times New Roman" w:cs="Times New Roman"/>
          <w:color w:val="000000" w:themeColor="text1"/>
          <w:sz w:val="20"/>
          <w:szCs w:val="20"/>
        </w:rPr>
        <w:t xml:space="preserve">prescribing by doctors on patients’ demand. This has had considerable effect on increased prescribing. Such public health </w:t>
      </w:r>
      <w:proofErr w:type="spellStart"/>
      <w:r w:rsidRPr="003A4F8F">
        <w:rPr>
          <w:rFonts w:ascii="Times New Roman" w:hAnsi="Times New Roman" w:cs="Times New Roman"/>
          <w:color w:val="000000" w:themeColor="text1"/>
          <w:sz w:val="20"/>
          <w:szCs w:val="20"/>
        </w:rPr>
        <w:t>programmes</w:t>
      </w:r>
      <w:proofErr w:type="spellEnd"/>
      <w:r w:rsidRPr="003A4F8F">
        <w:rPr>
          <w:rFonts w:ascii="Times New Roman" w:hAnsi="Times New Roman" w:cs="Times New Roman"/>
          <w:color w:val="000000" w:themeColor="text1"/>
          <w:sz w:val="20"/>
          <w:szCs w:val="20"/>
        </w:rPr>
        <w:t xml:space="preserve">, however, need not focus only on patients but could be used for the benefit of the general public as well. Such awareness-building and educational initiatives should also include children and elderly populations and could be greatly facilitated through partnerships with the media, educational institutions, governmental and non-governmental organizations. The success of WHO International Drug Monitoring </w:t>
      </w:r>
      <w:proofErr w:type="spellStart"/>
      <w:r w:rsidRPr="003A4F8F">
        <w:rPr>
          <w:rFonts w:ascii="Times New Roman" w:hAnsi="Times New Roman" w:cs="Times New Roman"/>
          <w:color w:val="000000" w:themeColor="text1"/>
          <w:sz w:val="20"/>
          <w:szCs w:val="20"/>
        </w:rPr>
        <w:t>Programmes</w:t>
      </w:r>
      <w:proofErr w:type="spellEnd"/>
      <w:r w:rsidRPr="003A4F8F">
        <w:rPr>
          <w:rFonts w:ascii="Times New Roman" w:hAnsi="Times New Roman" w:cs="Times New Roman"/>
          <w:color w:val="000000" w:themeColor="text1"/>
          <w:sz w:val="20"/>
          <w:szCs w:val="20"/>
        </w:rPr>
        <w:t xml:space="preserve"> is entirely dependent on the contributions of national </w:t>
      </w:r>
      <w:proofErr w:type="spellStart"/>
      <w:r w:rsidRPr="003A4F8F">
        <w:rPr>
          <w:rFonts w:ascii="Times New Roman" w:hAnsi="Times New Roman" w:cs="Times New Roman"/>
          <w:color w:val="000000" w:themeColor="text1"/>
          <w:sz w:val="20"/>
          <w:szCs w:val="20"/>
        </w:rPr>
        <w:t>pharmacovigilance</w:t>
      </w:r>
      <w:proofErr w:type="spellEnd"/>
      <w:r w:rsidRPr="003A4F8F">
        <w:rPr>
          <w:rFonts w:ascii="Times New Roman" w:hAnsi="Times New Roman" w:cs="Times New Roman"/>
          <w:color w:val="000000" w:themeColor="text1"/>
          <w:sz w:val="20"/>
          <w:szCs w:val="20"/>
        </w:rPr>
        <w:t xml:space="preserve"> centers. Ideally every country should have a </w:t>
      </w:r>
      <w:proofErr w:type="spellStart"/>
      <w:r w:rsidRPr="003A4F8F">
        <w:rPr>
          <w:rFonts w:ascii="Times New Roman" w:hAnsi="Times New Roman" w:cs="Times New Roman"/>
          <w:color w:val="000000" w:themeColor="text1"/>
          <w:sz w:val="20"/>
          <w:szCs w:val="20"/>
        </w:rPr>
        <w:t>pharmacovigilance</w:t>
      </w:r>
      <w:proofErr w:type="spellEnd"/>
      <w:r w:rsidRPr="003A4F8F">
        <w:rPr>
          <w:rFonts w:ascii="Times New Roman" w:hAnsi="Times New Roman" w:cs="Times New Roman"/>
          <w:color w:val="000000" w:themeColor="text1"/>
          <w:sz w:val="20"/>
          <w:szCs w:val="20"/>
        </w:rPr>
        <w:t xml:space="preserve"> </w:t>
      </w:r>
      <w:proofErr w:type="spellStart"/>
      <w:r w:rsidRPr="003A4F8F">
        <w:rPr>
          <w:rFonts w:ascii="Times New Roman" w:hAnsi="Times New Roman" w:cs="Times New Roman"/>
          <w:color w:val="000000" w:themeColor="text1"/>
          <w:sz w:val="20"/>
          <w:szCs w:val="20"/>
        </w:rPr>
        <w:t>centre</w:t>
      </w:r>
      <w:proofErr w:type="spellEnd"/>
      <w:proofErr w:type="gramStart"/>
      <w:r w:rsidRPr="003A4F8F">
        <w:rPr>
          <w:rFonts w:ascii="Times New Roman" w:hAnsi="Times New Roman" w:cs="Times New Roman"/>
          <w:color w:val="000000" w:themeColor="text1"/>
          <w:sz w:val="20"/>
          <w:szCs w:val="20"/>
        </w:rPr>
        <w:t>.[</w:t>
      </w:r>
      <w:proofErr w:type="gramEnd"/>
      <w:r w:rsidRPr="003A4F8F">
        <w:rPr>
          <w:rFonts w:ascii="Times New Roman" w:hAnsi="Times New Roman" w:cs="Times New Roman"/>
          <w:color w:val="000000" w:themeColor="text1"/>
          <w:sz w:val="20"/>
          <w:szCs w:val="20"/>
        </w:rPr>
        <w:t>16]</w:t>
      </w:r>
    </w:p>
    <w:p w14:paraId="37D921E7" w14:textId="43AD1C2D" w:rsidR="003A4F8F" w:rsidRPr="003A4F8F" w:rsidRDefault="003A4F8F" w:rsidP="003A4F8F">
      <w:pPr>
        <w:jc w:val="both"/>
        <w:rPr>
          <w:rFonts w:ascii="Times New Roman" w:hAnsi="Times New Roman" w:cs="Times New Roman"/>
          <w:b/>
          <w:color w:val="000000" w:themeColor="text1"/>
          <w:sz w:val="20"/>
          <w:szCs w:val="20"/>
        </w:rPr>
      </w:pPr>
      <w:r w:rsidRPr="003A4F8F">
        <w:rPr>
          <w:rFonts w:ascii="Times New Roman" w:hAnsi="Times New Roman" w:cs="Times New Roman"/>
          <w:b/>
          <w:color w:val="000000" w:themeColor="text1"/>
          <w:sz w:val="20"/>
          <w:szCs w:val="20"/>
        </w:rPr>
        <w:t>PRE-MARKETING CLINICAL TRAILS</w:t>
      </w:r>
    </w:p>
    <w:p w14:paraId="4E14FAB3" w14:textId="631EBD5E" w:rsidR="003A4F8F" w:rsidRPr="003A4F8F" w:rsidRDefault="003A4F8F" w:rsidP="003A4F8F">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3A4F8F">
        <w:rPr>
          <w:rFonts w:ascii="Times New Roman" w:hAnsi="Times New Roman" w:cs="Times New Roman"/>
          <w:color w:val="000000" w:themeColor="text1"/>
          <w:sz w:val="20"/>
          <w:szCs w:val="20"/>
        </w:rPr>
        <w:t xml:space="preserve">Safety monitoring in clinical trials involves collecting adverse events, laboratory investigations and details of the clinical examination of patients. </w:t>
      </w:r>
      <w:proofErr w:type="spellStart"/>
      <w:r w:rsidRPr="003A4F8F">
        <w:rPr>
          <w:rFonts w:ascii="Times New Roman" w:hAnsi="Times New Roman" w:cs="Times New Roman"/>
          <w:color w:val="000000" w:themeColor="text1"/>
          <w:sz w:val="20"/>
          <w:szCs w:val="20"/>
        </w:rPr>
        <w:t>Pharmacovigilance</w:t>
      </w:r>
      <w:proofErr w:type="spellEnd"/>
      <w:r w:rsidRPr="003A4F8F">
        <w:rPr>
          <w:rFonts w:ascii="Times New Roman" w:hAnsi="Times New Roman" w:cs="Times New Roman"/>
          <w:color w:val="000000" w:themeColor="text1"/>
          <w:sz w:val="20"/>
          <w:szCs w:val="20"/>
        </w:rPr>
        <w:t xml:space="preserve"> staff may be involved to varying degrees in all phases of clinical trials, including the planning, execution, data </w:t>
      </w:r>
      <w:proofErr w:type="spellStart"/>
      <w:r w:rsidRPr="003A4F8F">
        <w:rPr>
          <w:rFonts w:ascii="Times New Roman" w:hAnsi="Times New Roman" w:cs="Times New Roman"/>
          <w:color w:val="000000" w:themeColor="text1"/>
          <w:sz w:val="20"/>
          <w:szCs w:val="20"/>
        </w:rPr>
        <w:t>analysisand</w:t>
      </w:r>
      <w:proofErr w:type="spellEnd"/>
      <w:r w:rsidRPr="003A4F8F">
        <w:rPr>
          <w:rFonts w:ascii="Times New Roman" w:hAnsi="Times New Roman" w:cs="Times New Roman"/>
          <w:color w:val="000000" w:themeColor="text1"/>
          <w:sz w:val="20"/>
          <w:szCs w:val="20"/>
        </w:rPr>
        <w:t xml:space="preserve"> reporting of safety information. Safety issues from animal pharmacology and toxicology studies, findings in phase I studies, known ADRs with similar drugs, signals from other studies and special patient groups, (e.g. the elderly) need to be addressed. The practice of collecting all adverse events rather than suspected ADRs arose from the failure of clinical trials to detect serious reactions with </w:t>
      </w:r>
      <w:proofErr w:type="spellStart"/>
      <w:r w:rsidRPr="003A4F8F">
        <w:rPr>
          <w:rFonts w:ascii="Times New Roman" w:hAnsi="Times New Roman" w:cs="Times New Roman"/>
          <w:color w:val="000000" w:themeColor="text1"/>
          <w:sz w:val="20"/>
          <w:szCs w:val="20"/>
        </w:rPr>
        <w:t>practolol</w:t>
      </w:r>
      <w:proofErr w:type="spellEnd"/>
      <w:r w:rsidRPr="003A4F8F">
        <w:rPr>
          <w:rFonts w:ascii="Times New Roman" w:hAnsi="Times New Roman" w:cs="Times New Roman"/>
          <w:color w:val="000000" w:themeColor="text1"/>
          <w:sz w:val="20"/>
          <w:szCs w:val="20"/>
        </w:rPr>
        <w:t xml:space="preserve"> and after several </w:t>
      </w:r>
      <w:proofErr w:type="spellStart"/>
      <w:r w:rsidRPr="003A4F8F">
        <w:rPr>
          <w:rFonts w:ascii="Times New Roman" w:hAnsi="Times New Roman" w:cs="Times New Roman"/>
          <w:color w:val="000000" w:themeColor="text1"/>
          <w:sz w:val="20"/>
          <w:szCs w:val="20"/>
        </w:rPr>
        <w:t>years experience</w:t>
      </w:r>
      <w:proofErr w:type="spellEnd"/>
      <w:r w:rsidRPr="003A4F8F">
        <w:rPr>
          <w:rFonts w:ascii="Times New Roman" w:hAnsi="Times New Roman" w:cs="Times New Roman"/>
          <w:color w:val="000000" w:themeColor="text1"/>
          <w:sz w:val="20"/>
          <w:szCs w:val="20"/>
        </w:rPr>
        <w:t xml:space="preserve"> this is now the approach adopted by companies in most studies. The involvement of </w:t>
      </w:r>
      <w:proofErr w:type="spellStart"/>
      <w:r w:rsidRPr="003A4F8F">
        <w:rPr>
          <w:rFonts w:ascii="Times New Roman" w:hAnsi="Times New Roman" w:cs="Times New Roman"/>
          <w:color w:val="000000" w:themeColor="text1"/>
          <w:sz w:val="20"/>
          <w:szCs w:val="20"/>
        </w:rPr>
        <w:t>pharmacovigilance</w:t>
      </w:r>
      <w:proofErr w:type="spellEnd"/>
      <w:r w:rsidRPr="003A4F8F">
        <w:rPr>
          <w:rFonts w:ascii="Times New Roman" w:hAnsi="Times New Roman" w:cs="Times New Roman"/>
          <w:color w:val="000000" w:themeColor="text1"/>
          <w:sz w:val="20"/>
          <w:szCs w:val="20"/>
        </w:rPr>
        <w:t xml:space="preserve"> staff in clinical trials also includes an important responsibility for the expedited reporting of individual cases and safety updates required by the UK Medicines Control Agency (MCA) and other regulatory authorities</w:t>
      </w:r>
      <w:proofErr w:type="gramStart"/>
      <w:r w:rsidRPr="003A4F8F">
        <w:rPr>
          <w:rFonts w:ascii="Times New Roman" w:hAnsi="Times New Roman" w:cs="Times New Roman"/>
          <w:color w:val="000000" w:themeColor="text1"/>
          <w:sz w:val="20"/>
          <w:szCs w:val="20"/>
        </w:rPr>
        <w:t>.[</w:t>
      </w:r>
      <w:proofErr w:type="gramEnd"/>
      <w:r w:rsidRPr="003A4F8F">
        <w:rPr>
          <w:rFonts w:ascii="Times New Roman" w:hAnsi="Times New Roman" w:cs="Times New Roman"/>
          <w:color w:val="000000" w:themeColor="text1"/>
          <w:sz w:val="20"/>
          <w:szCs w:val="20"/>
        </w:rPr>
        <w:t>17,18]</w:t>
      </w:r>
    </w:p>
    <w:p w14:paraId="4B35AC41" w14:textId="00297BB8" w:rsidR="003A4F8F" w:rsidRPr="003A4F8F" w:rsidRDefault="003A4F8F" w:rsidP="003A4F8F">
      <w:pPr>
        <w:jc w:val="both"/>
        <w:rPr>
          <w:rFonts w:ascii="Times New Roman" w:hAnsi="Times New Roman" w:cs="Times New Roman"/>
          <w:color w:val="000000" w:themeColor="text1"/>
          <w:sz w:val="20"/>
          <w:szCs w:val="20"/>
        </w:rPr>
      </w:pPr>
      <w:r w:rsidRPr="003A4F8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sidRPr="003A4F8F">
        <w:rPr>
          <w:rFonts w:ascii="Times New Roman" w:hAnsi="Times New Roman" w:cs="Times New Roman"/>
          <w:color w:val="000000" w:themeColor="text1"/>
          <w:sz w:val="20"/>
          <w:szCs w:val="20"/>
        </w:rPr>
        <w:t xml:space="preserve">Well conducted clinical trials should be able to identify and </w:t>
      </w:r>
      <w:proofErr w:type="spellStart"/>
      <w:r w:rsidRPr="003A4F8F">
        <w:rPr>
          <w:rFonts w:ascii="Times New Roman" w:hAnsi="Times New Roman" w:cs="Times New Roman"/>
          <w:color w:val="000000" w:themeColor="text1"/>
          <w:sz w:val="20"/>
          <w:szCs w:val="20"/>
        </w:rPr>
        <w:t>characterise</w:t>
      </w:r>
      <w:proofErr w:type="spellEnd"/>
      <w:r w:rsidRPr="003A4F8F">
        <w:rPr>
          <w:rFonts w:ascii="Times New Roman" w:hAnsi="Times New Roman" w:cs="Times New Roman"/>
          <w:color w:val="000000" w:themeColor="text1"/>
          <w:sz w:val="20"/>
          <w:szCs w:val="20"/>
        </w:rPr>
        <w:t xml:space="preserve"> common type </w:t>
      </w:r>
      <w:proofErr w:type="gramStart"/>
      <w:r w:rsidRPr="003A4F8F">
        <w:rPr>
          <w:rFonts w:ascii="Times New Roman" w:hAnsi="Times New Roman" w:cs="Times New Roman"/>
          <w:color w:val="000000" w:themeColor="text1"/>
          <w:sz w:val="20"/>
          <w:szCs w:val="20"/>
        </w:rPr>
        <w:t>A</w:t>
      </w:r>
      <w:proofErr w:type="gramEnd"/>
      <w:r w:rsidRPr="003A4F8F">
        <w:rPr>
          <w:rFonts w:ascii="Times New Roman" w:hAnsi="Times New Roman" w:cs="Times New Roman"/>
          <w:color w:val="000000" w:themeColor="text1"/>
          <w:sz w:val="20"/>
          <w:szCs w:val="20"/>
        </w:rPr>
        <w:t xml:space="preserve"> (pharmacologically mediated) ADRs, indicate how these are tolerated by patients, determine a relationship between ADRs and dose or plasma concentration and identify pre-disposing (risk) factors if at all possible. These issues will usually be presented and discussed in an integrated safety analysis and clinical expert report in the Marketing </w:t>
      </w:r>
      <w:proofErr w:type="spellStart"/>
      <w:r w:rsidRPr="003A4F8F">
        <w:rPr>
          <w:rFonts w:ascii="Times New Roman" w:hAnsi="Times New Roman" w:cs="Times New Roman"/>
          <w:color w:val="000000" w:themeColor="text1"/>
          <w:sz w:val="20"/>
          <w:szCs w:val="20"/>
        </w:rPr>
        <w:t>Authorisation</w:t>
      </w:r>
      <w:proofErr w:type="spellEnd"/>
      <w:r w:rsidRPr="003A4F8F">
        <w:rPr>
          <w:rFonts w:ascii="Times New Roman" w:hAnsi="Times New Roman" w:cs="Times New Roman"/>
          <w:color w:val="000000" w:themeColor="text1"/>
          <w:sz w:val="20"/>
          <w:szCs w:val="20"/>
        </w:rPr>
        <w:t xml:space="preserve"> Application submitted by the company and will be the basis of ADRs, warnings and precautions included in the prescribing information i.e. Summary of Product Character</w:t>
      </w:r>
      <w:r w:rsidR="000156BB">
        <w:rPr>
          <w:rFonts w:ascii="Times New Roman" w:hAnsi="Times New Roman" w:cs="Times New Roman"/>
          <w:color w:val="000000" w:themeColor="text1"/>
          <w:sz w:val="20"/>
          <w:szCs w:val="20"/>
        </w:rPr>
        <w:t>istics (SPC) or data sheet.[19]</w:t>
      </w:r>
    </w:p>
    <w:p w14:paraId="4EB513AA" w14:textId="521C4C09" w:rsidR="003A4F8F" w:rsidRDefault="000156BB" w:rsidP="000156BB">
      <w:pPr>
        <w:spacing w:before="54" w:after="0" w:line="276" w:lineRule="auto"/>
        <w:jc w:val="center"/>
        <w:rPr>
          <w:rFonts w:ascii="Times New Roman" w:hAnsi="Times New Roman" w:cs="Times New Roman"/>
          <w:color w:val="000000" w:themeColor="text1"/>
          <w:sz w:val="20"/>
          <w:szCs w:val="20"/>
        </w:rPr>
      </w:pPr>
      <w:r>
        <w:rPr>
          <w:rFonts w:ascii="Cambria"/>
          <w:noProof/>
          <w:sz w:val="20"/>
          <w:lang w:val="en-IN" w:eastAsia="en-IN"/>
        </w:rPr>
        <w:drawing>
          <wp:inline distT="0" distB="0" distL="0" distR="0" wp14:anchorId="229DCC6A" wp14:editId="7B284A64">
            <wp:extent cx="3965945" cy="3455581"/>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9" cstate="print"/>
                    <a:stretch>
                      <a:fillRect/>
                    </a:stretch>
                  </pic:blipFill>
                  <pic:spPr>
                    <a:xfrm>
                      <a:off x="0" y="0"/>
                      <a:ext cx="3975765" cy="3464138"/>
                    </a:xfrm>
                    <a:prstGeom prst="rect">
                      <a:avLst/>
                    </a:prstGeom>
                  </pic:spPr>
                </pic:pic>
              </a:graphicData>
            </a:graphic>
          </wp:inline>
        </w:drawing>
      </w:r>
    </w:p>
    <w:p w14:paraId="13C039ED" w14:textId="77777777" w:rsidR="003A4F8F" w:rsidRDefault="003A4F8F" w:rsidP="003A4F8F">
      <w:pPr>
        <w:spacing w:before="54" w:after="0" w:line="276" w:lineRule="auto"/>
        <w:jc w:val="both"/>
        <w:rPr>
          <w:rFonts w:ascii="Times New Roman" w:hAnsi="Times New Roman" w:cs="Times New Roman"/>
          <w:color w:val="000000" w:themeColor="text1"/>
          <w:sz w:val="20"/>
          <w:szCs w:val="20"/>
        </w:rPr>
      </w:pPr>
    </w:p>
    <w:p w14:paraId="443F8A69" w14:textId="317F8A2B" w:rsidR="000156BB" w:rsidRDefault="000156BB" w:rsidP="000156BB">
      <w:pPr>
        <w:pStyle w:val="ListParagraph"/>
        <w:numPr>
          <w:ilvl w:val="0"/>
          <w:numId w:val="3"/>
        </w:numPr>
        <w:rPr>
          <w:rFonts w:ascii="Times New Roman" w:hAnsi="Times New Roman" w:cs="Times New Roman"/>
          <w:b/>
          <w:color w:val="000000" w:themeColor="text1"/>
          <w:sz w:val="24"/>
          <w:szCs w:val="24"/>
        </w:rPr>
      </w:pPr>
      <w:r w:rsidRPr="000156BB">
        <w:rPr>
          <w:rFonts w:ascii="Times New Roman" w:hAnsi="Times New Roman" w:cs="Times New Roman"/>
          <w:b/>
          <w:color w:val="000000" w:themeColor="text1"/>
          <w:sz w:val="24"/>
          <w:szCs w:val="24"/>
        </w:rPr>
        <w:t>ROLE OF PHARMACOVIGILANCE DATA:</w:t>
      </w:r>
    </w:p>
    <w:p w14:paraId="00BCBA25" w14:textId="4215A973" w:rsidR="000156BB" w:rsidRPr="000156BB" w:rsidRDefault="000156BB" w:rsidP="000156BB">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roofErr w:type="spellStart"/>
      <w:r w:rsidRPr="000156BB">
        <w:rPr>
          <w:rFonts w:ascii="Times New Roman" w:hAnsi="Times New Roman" w:cs="Times New Roman"/>
          <w:color w:val="000000" w:themeColor="text1"/>
          <w:sz w:val="20"/>
          <w:szCs w:val="20"/>
        </w:rPr>
        <w:t>Pharmacovigilance</w:t>
      </w:r>
      <w:proofErr w:type="spellEnd"/>
      <w:r w:rsidRPr="000156BB">
        <w:rPr>
          <w:rFonts w:ascii="Times New Roman" w:hAnsi="Times New Roman" w:cs="Times New Roman"/>
          <w:color w:val="000000" w:themeColor="text1"/>
          <w:sz w:val="20"/>
          <w:szCs w:val="20"/>
        </w:rPr>
        <w:t xml:space="preserve"> data plays a pivotal role in assessing the safety of drugs throughout their lifecycle. This data encompasses information on Adverse Drug Reactions (ADRs), medication errors, and other safety-related issues. Here's how </w:t>
      </w:r>
      <w:proofErr w:type="spellStart"/>
      <w:r w:rsidRPr="000156BB">
        <w:rPr>
          <w:rFonts w:ascii="Times New Roman" w:hAnsi="Times New Roman" w:cs="Times New Roman"/>
          <w:color w:val="000000" w:themeColor="text1"/>
          <w:sz w:val="20"/>
          <w:szCs w:val="20"/>
        </w:rPr>
        <w:t>pharmacovigilance</w:t>
      </w:r>
      <w:proofErr w:type="spellEnd"/>
      <w:r w:rsidRPr="000156BB">
        <w:rPr>
          <w:rFonts w:ascii="Times New Roman" w:hAnsi="Times New Roman" w:cs="Times New Roman"/>
          <w:color w:val="000000" w:themeColor="text1"/>
          <w:sz w:val="20"/>
          <w:szCs w:val="20"/>
        </w:rPr>
        <w:t xml:space="preserve"> data contributes to identifying and mitigating drug </w:t>
      </w:r>
      <w:proofErr w:type="gramStart"/>
      <w:r w:rsidRPr="000156BB">
        <w:rPr>
          <w:rFonts w:ascii="Times New Roman" w:hAnsi="Times New Roman" w:cs="Times New Roman"/>
          <w:color w:val="000000" w:themeColor="text1"/>
          <w:sz w:val="20"/>
          <w:szCs w:val="20"/>
        </w:rPr>
        <w:t>risks[</w:t>
      </w:r>
      <w:proofErr w:type="gramEnd"/>
      <w:r w:rsidRPr="000156BB">
        <w:rPr>
          <w:rFonts w:ascii="Times New Roman" w:hAnsi="Times New Roman" w:cs="Times New Roman"/>
          <w:color w:val="000000" w:themeColor="text1"/>
          <w:sz w:val="20"/>
          <w:szCs w:val="20"/>
        </w:rPr>
        <w:t>24,25]</w:t>
      </w:r>
    </w:p>
    <w:p w14:paraId="4BF2A5B3" w14:textId="77777777" w:rsidR="000156BB" w:rsidRDefault="000156BB" w:rsidP="000156BB">
      <w:pPr>
        <w:jc w:val="both"/>
        <w:rPr>
          <w:rFonts w:ascii="Times New Roman" w:hAnsi="Times New Roman" w:cs="Times New Roman"/>
          <w:b/>
          <w:color w:val="000000" w:themeColor="text1"/>
          <w:sz w:val="20"/>
          <w:szCs w:val="20"/>
        </w:rPr>
      </w:pPr>
      <w:r w:rsidRPr="000156BB">
        <w:rPr>
          <w:rFonts w:ascii="Times New Roman" w:hAnsi="Times New Roman" w:cs="Times New Roman"/>
          <w:b/>
          <w:color w:val="000000" w:themeColor="text1"/>
          <w:sz w:val="20"/>
          <w:szCs w:val="20"/>
        </w:rPr>
        <w:lastRenderedPageBreak/>
        <w:t>Early detection of adverse events:</w:t>
      </w:r>
    </w:p>
    <w:p w14:paraId="4F701C25" w14:textId="36CB98FF" w:rsidR="000156BB" w:rsidRPr="000156BB" w:rsidRDefault="000156BB" w:rsidP="000156BB">
      <w:pPr>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ab/>
      </w:r>
      <w:proofErr w:type="spellStart"/>
      <w:r w:rsidRPr="000156BB">
        <w:rPr>
          <w:rFonts w:ascii="Times New Roman" w:hAnsi="Times New Roman" w:cs="Times New Roman"/>
          <w:color w:val="000000" w:themeColor="text1"/>
          <w:sz w:val="20"/>
          <w:szCs w:val="20"/>
        </w:rPr>
        <w:t>Pharmacovigilance</w:t>
      </w:r>
      <w:proofErr w:type="spellEnd"/>
      <w:r w:rsidRPr="000156BB">
        <w:rPr>
          <w:rFonts w:ascii="Times New Roman" w:hAnsi="Times New Roman" w:cs="Times New Roman"/>
          <w:color w:val="000000" w:themeColor="text1"/>
          <w:sz w:val="20"/>
          <w:szCs w:val="20"/>
        </w:rPr>
        <w:t xml:space="preserve"> databases collect data from healthcare providers, patients, and regulatory authorities. Analyzing this data allows researchers to detect adverse events that may not have been identified during clinical trials. Early detection enables timely intervention to prevent further harm to patients</w:t>
      </w:r>
      <w:proofErr w:type="gramStart"/>
      <w:r w:rsidRPr="000156BB">
        <w:rPr>
          <w:rFonts w:ascii="Times New Roman" w:hAnsi="Times New Roman" w:cs="Times New Roman"/>
          <w:color w:val="000000" w:themeColor="text1"/>
          <w:sz w:val="20"/>
          <w:szCs w:val="20"/>
        </w:rPr>
        <w:t>.[</w:t>
      </w:r>
      <w:proofErr w:type="gramEnd"/>
      <w:r w:rsidRPr="000156BB">
        <w:rPr>
          <w:rFonts w:ascii="Times New Roman" w:hAnsi="Times New Roman" w:cs="Times New Roman"/>
          <w:color w:val="000000" w:themeColor="text1"/>
          <w:sz w:val="20"/>
          <w:szCs w:val="20"/>
        </w:rPr>
        <w:t>26]</w:t>
      </w:r>
    </w:p>
    <w:p w14:paraId="34A41B40" w14:textId="77777777" w:rsidR="000156BB" w:rsidRPr="000156BB" w:rsidRDefault="000156BB" w:rsidP="000156BB">
      <w:pPr>
        <w:jc w:val="both"/>
        <w:rPr>
          <w:rFonts w:ascii="Times New Roman" w:hAnsi="Times New Roman" w:cs="Times New Roman"/>
          <w:b/>
          <w:color w:val="000000" w:themeColor="text1"/>
          <w:sz w:val="20"/>
          <w:szCs w:val="20"/>
        </w:rPr>
      </w:pPr>
      <w:r w:rsidRPr="000156BB">
        <w:rPr>
          <w:rFonts w:ascii="Times New Roman" w:hAnsi="Times New Roman" w:cs="Times New Roman"/>
          <w:b/>
          <w:color w:val="000000" w:themeColor="text1"/>
          <w:sz w:val="20"/>
          <w:szCs w:val="20"/>
        </w:rPr>
        <w:t>Signal detection:</w:t>
      </w:r>
    </w:p>
    <w:p w14:paraId="6719374B" w14:textId="3BB947BA" w:rsidR="000156BB" w:rsidRPr="000156BB" w:rsidRDefault="000156BB" w:rsidP="000156BB">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roofErr w:type="spellStart"/>
      <w:r w:rsidRPr="000156BB">
        <w:rPr>
          <w:rFonts w:ascii="Times New Roman" w:hAnsi="Times New Roman" w:cs="Times New Roman"/>
          <w:color w:val="000000" w:themeColor="text1"/>
          <w:sz w:val="20"/>
          <w:szCs w:val="20"/>
        </w:rPr>
        <w:t>Pharmacovigilance</w:t>
      </w:r>
      <w:proofErr w:type="spellEnd"/>
      <w:r w:rsidRPr="000156BB">
        <w:rPr>
          <w:rFonts w:ascii="Times New Roman" w:hAnsi="Times New Roman" w:cs="Times New Roman"/>
          <w:color w:val="000000" w:themeColor="text1"/>
          <w:sz w:val="20"/>
          <w:szCs w:val="20"/>
        </w:rPr>
        <w:t xml:space="preserve"> experts use statistical and analytical tools to detect signals or patterns that suggest a potential safety concern. These signals prompt further investigation into the safety of a specific drug, leading to risk mitigation strategies.</w:t>
      </w:r>
    </w:p>
    <w:p w14:paraId="2558C5D7" w14:textId="77777777" w:rsidR="000156BB" w:rsidRPr="000156BB" w:rsidRDefault="000156BB" w:rsidP="000156BB">
      <w:pPr>
        <w:jc w:val="both"/>
        <w:rPr>
          <w:rFonts w:ascii="Times New Roman" w:hAnsi="Times New Roman" w:cs="Times New Roman"/>
          <w:b/>
          <w:color w:val="000000" w:themeColor="text1"/>
          <w:sz w:val="20"/>
          <w:szCs w:val="20"/>
        </w:rPr>
      </w:pPr>
      <w:r w:rsidRPr="000156BB">
        <w:rPr>
          <w:rFonts w:ascii="Times New Roman" w:hAnsi="Times New Roman" w:cs="Times New Roman"/>
          <w:b/>
          <w:color w:val="000000" w:themeColor="text1"/>
          <w:sz w:val="20"/>
          <w:szCs w:val="20"/>
        </w:rPr>
        <w:t>Risk assessment:</w:t>
      </w:r>
    </w:p>
    <w:p w14:paraId="7E433D3C" w14:textId="2B1663C2" w:rsidR="000156BB" w:rsidRPr="000156BB" w:rsidRDefault="000156BB" w:rsidP="000156BB">
      <w:pPr>
        <w:jc w:val="both"/>
        <w:rPr>
          <w:rFonts w:ascii="Times New Roman" w:hAnsi="Times New Roman" w:cs="Times New Roman"/>
          <w:color w:val="000000" w:themeColor="text1"/>
          <w:sz w:val="20"/>
          <w:szCs w:val="20"/>
        </w:rPr>
      </w:pPr>
      <w:r w:rsidRPr="000156BB">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sidRPr="000156BB">
        <w:rPr>
          <w:rFonts w:ascii="Times New Roman" w:hAnsi="Times New Roman" w:cs="Times New Roman"/>
          <w:color w:val="000000" w:themeColor="text1"/>
          <w:sz w:val="20"/>
          <w:szCs w:val="20"/>
        </w:rPr>
        <w:t xml:space="preserve">Once a potential risk is identified, </w:t>
      </w:r>
      <w:proofErr w:type="spellStart"/>
      <w:r w:rsidRPr="000156BB">
        <w:rPr>
          <w:rFonts w:ascii="Times New Roman" w:hAnsi="Times New Roman" w:cs="Times New Roman"/>
          <w:color w:val="000000" w:themeColor="text1"/>
          <w:sz w:val="20"/>
          <w:szCs w:val="20"/>
        </w:rPr>
        <w:t>pharmacovigilance</w:t>
      </w:r>
      <w:proofErr w:type="spellEnd"/>
      <w:r w:rsidRPr="000156BB">
        <w:rPr>
          <w:rFonts w:ascii="Times New Roman" w:hAnsi="Times New Roman" w:cs="Times New Roman"/>
          <w:color w:val="000000" w:themeColor="text1"/>
          <w:sz w:val="20"/>
          <w:szCs w:val="20"/>
        </w:rPr>
        <w:t xml:space="preserve"> data helps assess the severity and frequency of the adverse events. This assessment guides regulatory authorities and healthcare providers in making informed decisions about drug use</w:t>
      </w:r>
      <w:proofErr w:type="gramStart"/>
      <w:r w:rsidRPr="000156BB">
        <w:rPr>
          <w:rFonts w:ascii="Times New Roman" w:hAnsi="Times New Roman" w:cs="Times New Roman"/>
          <w:color w:val="000000" w:themeColor="text1"/>
          <w:sz w:val="20"/>
          <w:szCs w:val="20"/>
        </w:rPr>
        <w:t>.[</w:t>
      </w:r>
      <w:proofErr w:type="gramEnd"/>
      <w:r w:rsidRPr="000156BB">
        <w:rPr>
          <w:rFonts w:ascii="Times New Roman" w:hAnsi="Times New Roman" w:cs="Times New Roman"/>
          <w:color w:val="000000" w:themeColor="text1"/>
          <w:sz w:val="20"/>
          <w:szCs w:val="20"/>
        </w:rPr>
        <w:t>27]</w:t>
      </w:r>
    </w:p>
    <w:p w14:paraId="7F0AE2BF" w14:textId="77777777" w:rsidR="000156BB" w:rsidRPr="000156BB" w:rsidRDefault="000156BB" w:rsidP="000156BB">
      <w:pPr>
        <w:jc w:val="both"/>
        <w:rPr>
          <w:rFonts w:ascii="Times New Roman" w:hAnsi="Times New Roman" w:cs="Times New Roman"/>
          <w:b/>
          <w:color w:val="000000" w:themeColor="text1"/>
          <w:sz w:val="20"/>
          <w:szCs w:val="20"/>
        </w:rPr>
      </w:pPr>
      <w:r w:rsidRPr="000156BB">
        <w:rPr>
          <w:rFonts w:ascii="Times New Roman" w:hAnsi="Times New Roman" w:cs="Times New Roman"/>
          <w:b/>
          <w:color w:val="000000" w:themeColor="text1"/>
          <w:sz w:val="20"/>
          <w:szCs w:val="20"/>
        </w:rPr>
        <w:t>Labeling updates:</w:t>
      </w:r>
    </w:p>
    <w:p w14:paraId="0D7B2505" w14:textId="14FDD3F5" w:rsidR="000156BB" w:rsidRPr="000156BB" w:rsidRDefault="000156BB" w:rsidP="000156BB">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roofErr w:type="spellStart"/>
      <w:r w:rsidRPr="000156BB">
        <w:rPr>
          <w:rFonts w:ascii="Times New Roman" w:hAnsi="Times New Roman" w:cs="Times New Roman"/>
          <w:color w:val="000000" w:themeColor="text1"/>
          <w:sz w:val="20"/>
          <w:szCs w:val="20"/>
        </w:rPr>
        <w:t>Pharmacovigilance</w:t>
      </w:r>
      <w:proofErr w:type="spellEnd"/>
      <w:r w:rsidRPr="000156BB">
        <w:rPr>
          <w:rFonts w:ascii="Times New Roman" w:hAnsi="Times New Roman" w:cs="Times New Roman"/>
          <w:color w:val="000000" w:themeColor="text1"/>
          <w:sz w:val="20"/>
          <w:szCs w:val="20"/>
        </w:rPr>
        <w:t xml:space="preserve"> data often results in updates to drug labels, including warnings, precautions, and contraindications. These label changes provide healthcare professionals and patients with important safety information</w:t>
      </w:r>
      <w:proofErr w:type="gramStart"/>
      <w:r w:rsidRPr="000156BB">
        <w:rPr>
          <w:rFonts w:ascii="Times New Roman" w:hAnsi="Times New Roman" w:cs="Times New Roman"/>
          <w:color w:val="000000" w:themeColor="text1"/>
          <w:sz w:val="20"/>
          <w:szCs w:val="20"/>
        </w:rPr>
        <w:t>.[</w:t>
      </w:r>
      <w:proofErr w:type="gramEnd"/>
      <w:r w:rsidRPr="000156BB">
        <w:rPr>
          <w:rFonts w:ascii="Times New Roman" w:hAnsi="Times New Roman" w:cs="Times New Roman"/>
          <w:color w:val="000000" w:themeColor="text1"/>
          <w:sz w:val="20"/>
          <w:szCs w:val="20"/>
        </w:rPr>
        <w:t>28]</w:t>
      </w:r>
    </w:p>
    <w:p w14:paraId="092D8180" w14:textId="77777777" w:rsidR="000156BB" w:rsidRPr="000156BB" w:rsidRDefault="000156BB" w:rsidP="000156BB">
      <w:pPr>
        <w:jc w:val="both"/>
        <w:rPr>
          <w:rFonts w:ascii="Times New Roman" w:hAnsi="Times New Roman" w:cs="Times New Roman"/>
          <w:b/>
          <w:color w:val="000000" w:themeColor="text1"/>
          <w:sz w:val="20"/>
          <w:szCs w:val="20"/>
        </w:rPr>
      </w:pPr>
      <w:r w:rsidRPr="000156BB">
        <w:rPr>
          <w:rFonts w:ascii="Times New Roman" w:hAnsi="Times New Roman" w:cs="Times New Roman"/>
          <w:b/>
          <w:color w:val="000000" w:themeColor="text1"/>
          <w:sz w:val="20"/>
          <w:szCs w:val="20"/>
        </w:rPr>
        <w:t>Risk minimization strategies:</w:t>
      </w:r>
    </w:p>
    <w:p w14:paraId="65F04268" w14:textId="16C72B7F" w:rsidR="000156BB" w:rsidRPr="000156BB" w:rsidRDefault="000156BB" w:rsidP="000156BB">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t>I</w:t>
      </w:r>
      <w:r w:rsidRPr="000156BB">
        <w:rPr>
          <w:rFonts w:ascii="Times New Roman" w:hAnsi="Times New Roman" w:cs="Times New Roman"/>
          <w:color w:val="000000" w:themeColor="text1"/>
          <w:sz w:val="20"/>
          <w:szCs w:val="20"/>
        </w:rPr>
        <w:t xml:space="preserve">n some cases, </w:t>
      </w:r>
      <w:proofErr w:type="spellStart"/>
      <w:r w:rsidRPr="000156BB">
        <w:rPr>
          <w:rFonts w:ascii="Times New Roman" w:hAnsi="Times New Roman" w:cs="Times New Roman"/>
          <w:color w:val="000000" w:themeColor="text1"/>
          <w:sz w:val="20"/>
          <w:szCs w:val="20"/>
        </w:rPr>
        <w:t>pharmacovigilance</w:t>
      </w:r>
      <w:proofErr w:type="spellEnd"/>
      <w:r w:rsidRPr="000156BB">
        <w:rPr>
          <w:rFonts w:ascii="Times New Roman" w:hAnsi="Times New Roman" w:cs="Times New Roman"/>
          <w:color w:val="000000" w:themeColor="text1"/>
          <w:sz w:val="20"/>
          <w:szCs w:val="20"/>
        </w:rPr>
        <w:t xml:space="preserve"> data may lead to the development of risk minimization strategies, such as restricted distribution programs or Risk Evaluation and Mitigation Strategies (REMS), aimed at ensuring the s</w:t>
      </w:r>
      <w:r>
        <w:rPr>
          <w:rFonts w:ascii="Times New Roman" w:hAnsi="Times New Roman" w:cs="Times New Roman"/>
          <w:color w:val="000000" w:themeColor="text1"/>
          <w:sz w:val="20"/>
          <w:szCs w:val="20"/>
        </w:rPr>
        <w:t xml:space="preserve">afe use of certain medications. </w:t>
      </w:r>
      <w:r w:rsidRPr="000156BB">
        <w:rPr>
          <w:rFonts w:ascii="Times New Roman" w:hAnsi="Times New Roman" w:cs="Times New Roman"/>
          <w:color w:val="000000" w:themeColor="text1"/>
          <w:sz w:val="20"/>
          <w:szCs w:val="20"/>
        </w:rPr>
        <w:t xml:space="preserve">Withdrawal or market restrictions: In extreme cases, </w:t>
      </w:r>
      <w:proofErr w:type="spellStart"/>
      <w:r w:rsidRPr="000156BB">
        <w:rPr>
          <w:rFonts w:ascii="Times New Roman" w:hAnsi="Times New Roman" w:cs="Times New Roman"/>
          <w:color w:val="000000" w:themeColor="text1"/>
          <w:sz w:val="20"/>
          <w:szCs w:val="20"/>
        </w:rPr>
        <w:t>pharmacovigilance</w:t>
      </w:r>
      <w:proofErr w:type="spellEnd"/>
      <w:r w:rsidRPr="000156BB">
        <w:rPr>
          <w:rFonts w:ascii="Times New Roman" w:hAnsi="Times New Roman" w:cs="Times New Roman"/>
          <w:color w:val="000000" w:themeColor="text1"/>
          <w:sz w:val="20"/>
          <w:szCs w:val="20"/>
        </w:rPr>
        <w:t xml:space="preserve"> data may prompt regulatory agencies to withdraw a drug from the market or impose restrictions on its use to protect patient safety.</w:t>
      </w:r>
    </w:p>
    <w:p w14:paraId="59757AB6" w14:textId="77777777" w:rsidR="000156BB" w:rsidRPr="000156BB" w:rsidRDefault="000156BB" w:rsidP="000156BB">
      <w:pPr>
        <w:jc w:val="both"/>
        <w:rPr>
          <w:rFonts w:ascii="Times New Roman" w:hAnsi="Times New Roman" w:cs="Times New Roman"/>
          <w:b/>
          <w:color w:val="000000" w:themeColor="text1"/>
          <w:sz w:val="20"/>
          <w:szCs w:val="20"/>
        </w:rPr>
      </w:pPr>
      <w:r w:rsidRPr="000156BB">
        <w:rPr>
          <w:rFonts w:ascii="Times New Roman" w:hAnsi="Times New Roman" w:cs="Times New Roman"/>
          <w:b/>
          <w:color w:val="000000" w:themeColor="text1"/>
          <w:sz w:val="20"/>
          <w:szCs w:val="20"/>
        </w:rPr>
        <w:t xml:space="preserve">Case studies in </w:t>
      </w:r>
      <w:proofErr w:type="spellStart"/>
      <w:r w:rsidRPr="000156BB">
        <w:rPr>
          <w:rFonts w:ascii="Times New Roman" w:hAnsi="Times New Roman" w:cs="Times New Roman"/>
          <w:b/>
          <w:color w:val="000000" w:themeColor="text1"/>
          <w:sz w:val="20"/>
          <w:szCs w:val="20"/>
        </w:rPr>
        <w:t>pharmacovigilance</w:t>
      </w:r>
      <w:proofErr w:type="spellEnd"/>
    </w:p>
    <w:p w14:paraId="6DB01E86" w14:textId="2D480DD0" w:rsidR="000156BB" w:rsidRPr="000156BB" w:rsidRDefault="000156BB" w:rsidP="000156BB">
      <w:pPr>
        <w:jc w:val="both"/>
        <w:rPr>
          <w:rFonts w:ascii="Times New Roman" w:hAnsi="Times New Roman" w:cs="Times New Roman"/>
          <w:color w:val="000000" w:themeColor="text1"/>
          <w:sz w:val="20"/>
          <w:szCs w:val="20"/>
        </w:rPr>
      </w:pPr>
      <w:r w:rsidRPr="000156BB">
        <w:rPr>
          <w:rFonts w:ascii="Times New Roman" w:hAnsi="Times New Roman" w:cs="Times New Roman"/>
          <w:color w:val="000000" w:themeColor="text1"/>
          <w:sz w:val="20"/>
          <w:szCs w:val="20"/>
        </w:rPr>
        <w:t xml:space="preserve">Several high-profile cases highlight the significance of </w:t>
      </w:r>
      <w:proofErr w:type="spellStart"/>
      <w:r w:rsidRPr="000156BB">
        <w:rPr>
          <w:rFonts w:ascii="Times New Roman" w:hAnsi="Times New Roman" w:cs="Times New Roman"/>
          <w:color w:val="000000" w:themeColor="text1"/>
          <w:sz w:val="20"/>
          <w:szCs w:val="20"/>
        </w:rPr>
        <w:t>pharmacovigilance</w:t>
      </w:r>
      <w:proofErr w:type="spellEnd"/>
      <w:r w:rsidRPr="000156BB">
        <w:rPr>
          <w:rFonts w:ascii="Times New Roman" w:hAnsi="Times New Roman" w:cs="Times New Roman"/>
          <w:color w:val="000000" w:themeColor="text1"/>
          <w:sz w:val="20"/>
          <w:szCs w:val="20"/>
        </w:rPr>
        <w:t xml:space="preserve"> data in mitigating drug risks:</w:t>
      </w:r>
    </w:p>
    <w:p w14:paraId="6536F1AE" w14:textId="77777777" w:rsidR="000156BB" w:rsidRPr="000156BB" w:rsidRDefault="000156BB" w:rsidP="000156BB">
      <w:pPr>
        <w:jc w:val="both"/>
        <w:rPr>
          <w:rFonts w:ascii="Times New Roman" w:hAnsi="Times New Roman" w:cs="Times New Roman"/>
          <w:color w:val="000000" w:themeColor="text1"/>
          <w:sz w:val="20"/>
          <w:szCs w:val="20"/>
        </w:rPr>
      </w:pPr>
      <w:r w:rsidRPr="000156BB">
        <w:rPr>
          <w:rFonts w:ascii="Times New Roman" w:hAnsi="Times New Roman" w:cs="Times New Roman"/>
          <w:b/>
          <w:color w:val="000000" w:themeColor="text1"/>
          <w:sz w:val="20"/>
          <w:szCs w:val="20"/>
        </w:rPr>
        <w:t xml:space="preserve">Thalidomide: </w:t>
      </w:r>
      <w:r w:rsidRPr="000156BB">
        <w:rPr>
          <w:rFonts w:ascii="Times New Roman" w:hAnsi="Times New Roman" w:cs="Times New Roman"/>
          <w:color w:val="000000" w:themeColor="text1"/>
          <w:sz w:val="20"/>
          <w:szCs w:val="20"/>
        </w:rPr>
        <w:t xml:space="preserve">The thalidomide tragedy in the 1960s, where the drug caused severe birth defects, emphasized the importance of rigorous post-marketing surveillance. This incident led to the establishment of comprehensive </w:t>
      </w:r>
      <w:proofErr w:type="spellStart"/>
      <w:r w:rsidRPr="000156BB">
        <w:rPr>
          <w:rFonts w:ascii="Times New Roman" w:hAnsi="Times New Roman" w:cs="Times New Roman"/>
          <w:color w:val="000000" w:themeColor="text1"/>
          <w:sz w:val="20"/>
          <w:szCs w:val="20"/>
        </w:rPr>
        <w:t>pharmacovigilance</w:t>
      </w:r>
      <w:proofErr w:type="spellEnd"/>
      <w:r w:rsidRPr="000156BB">
        <w:rPr>
          <w:rFonts w:ascii="Times New Roman" w:hAnsi="Times New Roman" w:cs="Times New Roman"/>
          <w:color w:val="000000" w:themeColor="text1"/>
          <w:sz w:val="20"/>
          <w:szCs w:val="20"/>
        </w:rPr>
        <w:t xml:space="preserve"> systems</w:t>
      </w:r>
      <w:proofErr w:type="gramStart"/>
      <w:r w:rsidRPr="000156BB">
        <w:rPr>
          <w:rFonts w:ascii="Times New Roman" w:hAnsi="Times New Roman" w:cs="Times New Roman"/>
          <w:color w:val="000000" w:themeColor="text1"/>
          <w:sz w:val="20"/>
          <w:szCs w:val="20"/>
        </w:rPr>
        <w:t>.[</w:t>
      </w:r>
      <w:proofErr w:type="gramEnd"/>
      <w:r w:rsidRPr="000156BB">
        <w:rPr>
          <w:rFonts w:ascii="Times New Roman" w:hAnsi="Times New Roman" w:cs="Times New Roman"/>
          <w:color w:val="000000" w:themeColor="text1"/>
          <w:sz w:val="20"/>
          <w:szCs w:val="20"/>
        </w:rPr>
        <w:t>29]</w:t>
      </w:r>
    </w:p>
    <w:p w14:paraId="17992914" w14:textId="77777777" w:rsidR="000156BB" w:rsidRPr="000156BB" w:rsidRDefault="000156BB" w:rsidP="000156BB">
      <w:pPr>
        <w:jc w:val="both"/>
        <w:rPr>
          <w:rFonts w:ascii="Times New Roman" w:hAnsi="Times New Roman" w:cs="Times New Roman"/>
          <w:color w:val="000000" w:themeColor="text1"/>
          <w:sz w:val="20"/>
          <w:szCs w:val="20"/>
        </w:rPr>
      </w:pPr>
      <w:proofErr w:type="spellStart"/>
      <w:r w:rsidRPr="000156BB">
        <w:rPr>
          <w:rFonts w:ascii="Times New Roman" w:hAnsi="Times New Roman" w:cs="Times New Roman"/>
          <w:b/>
          <w:color w:val="000000" w:themeColor="text1"/>
          <w:sz w:val="20"/>
          <w:szCs w:val="20"/>
        </w:rPr>
        <w:t>Vioxx</w:t>
      </w:r>
      <w:proofErr w:type="spellEnd"/>
      <w:r w:rsidRPr="000156BB">
        <w:rPr>
          <w:rFonts w:ascii="Times New Roman" w:hAnsi="Times New Roman" w:cs="Times New Roman"/>
          <w:b/>
          <w:color w:val="000000" w:themeColor="text1"/>
          <w:sz w:val="20"/>
          <w:szCs w:val="20"/>
        </w:rPr>
        <w:t>:</w:t>
      </w:r>
      <w:r w:rsidRPr="000156BB">
        <w:rPr>
          <w:rFonts w:ascii="Times New Roman" w:hAnsi="Times New Roman" w:cs="Times New Roman"/>
          <w:color w:val="000000" w:themeColor="text1"/>
          <w:sz w:val="20"/>
          <w:szCs w:val="20"/>
        </w:rPr>
        <w:t xml:space="preserve"> The withdrawal of the painkiller </w:t>
      </w:r>
      <w:proofErr w:type="spellStart"/>
      <w:r w:rsidRPr="000156BB">
        <w:rPr>
          <w:rFonts w:ascii="Times New Roman" w:hAnsi="Times New Roman" w:cs="Times New Roman"/>
          <w:color w:val="000000" w:themeColor="text1"/>
          <w:sz w:val="20"/>
          <w:szCs w:val="20"/>
        </w:rPr>
        <w:t>Vioxx</w:t>
      </w:r>
      <w:proofErr w:type="spellEnd"/>
      <w:r w:rsidRPr="000156BB">
        <w:rPr>
          <w:rFonts w:ascii="Times New Roman" w:hAnsi="Times New Roman" w:cs="Times New Roman"/>
          <w:color w:val="000000" w:themeColor="text1"/>
          <w:sz w:val="20"/>
          <w:szCs w:val="20"/>
        </w:rPr>
        <w:t xml:space="preserve"> in 2004 due to an increased risk of cardiovascular events illustrates how </w:t>
      </w:r>
      <w:proofErr w:type="spellStart"/>
      <w:r w:rsidRPr="000156BB">
        <w:rPr>
          <w:rFonts w:ascii="Times New Roman" w:hAnsi="Times New Roman" w:cs="Times New Roman"/>
          <w:color w:val="000000" w:themeColor="text1"/>
          <w:sz w:val="20"/>
          <w:szCs w:val="20"/>
        </w:rPr>
        <w:t>pharmacovigilance</w:t>
      </w:r>
      <w:proofErr w:type="spellEnd"/>
      <w:r w:rsidRPr="000156BB">
        <w:rPr>
          <w:rFonts w:ascii="Times New Roman" w:hAnsi="Times New Roman" w:cs="Times New Roman"/>
          <w:color w:val="000000" w:themeColor="text1"/>
          <w:sz w:val="20"/>
          <w:szCs w:val="20"/>
        </w:rPr>
        <w:t xml:space="preserve"> data can influence regulatory decisions to protect public health.</w:t>
      </w:r>
    </w:p>
    <w:p w14:paraId="755F0ABC" w14:textId="77777777" w:rsidR="000156BB" w:rsidRPr="000156BB" w:rsidRDefault="000156BB" w:rsidP="000156BB">
      <w:pPr>
        <w:jc w:val="both"/>
        <w:rPr>
          <w:rFonts w:ascii="Times New Roman" w:hAnsi="Times New Roman" w:cs="Times New Roman"/>
          <w:color w:val="000000" w:themeColor="text1"/>
          <w:sz w:val="20"/>
          <w:szCs w:val="20"/>
        </w:rPr>
      </w:pPr>
      <w:proofErr w:type="spellStart"/>
      <w:r w:rsidRPr="000156BB">
        <w:rPr>
          <w:rFonts w:ascii="Times New Roman" w:hAnsi="Times New Roman" w:cs="Times New Roman"/>
          <w:b/>
          <w:color w:val="000000" w:themeColor="text1"/>
          <w:sz w:val="20"/>
          <w:szCs w:val="20"/>
        </w:rPr>
        <w:t>Rofecoxib</w:t>
      </w:r>
      <w:proofErr w:type="spellEnd"/>
      <w:r w:rsidRPr="000156BB">
        <w:rPr>
          <w:rFonts w:ascii="Times New Roman" w:hAnsi="Times New Roman" w:cs="Times New Roman"/>
          <w:b/>
          <w:color w:val="000000" w:themeColor="text1"/>
          <w:sz w:val="20"/>
          <w:szCs w:val="20"/>
        </w:rPr>
        <w:t xml:space="preserve"> (Cox-2 Inhibitors):</w:t>
      </w:r>
      <w:r w:rsidRPr="000156BB">
        <w:rPr>
          <w:rFonts w:ascii="Times New Roman" w:hAnsi="Times New Roman" w:cs="Times New Roman"/>
          <w:color w:val="000000" w:themeColor="text1"/>
          <w:sz w:val="20"/>
          <w:szCs w:val="20"/>
        </w:rPr>
        <w:t xml:space="preserve"> </w:t>
      </w:r>
      <w:proofErr w:type="spellStart"/>
      <w:r w:rsidRPr="000156BB">
        <w:rPr>
          <w:rFonts w:ascii="Times New Roman" w:hAnsi="Times New Roman" w:cs="Times New Roman"/>
          <w:color w:val="000000" w:themeColor="text1"/>
          <w:sz w:val="20"/>
          <w:szCs w:val="20"/>
        </w:rPr>
        <w:t>Pharmacovigilance</w:t>
      </w:r>
      <w:proofErr w:type="spellEnd"/>
      <w:r w:rsidRPr="000156BB">
        <w:rPr>
          <w:rFonts w:ascii="Times New Roman" w:hAnsi="Times New Roman" w:cs="Times New Roman"/>
          <w:color w:val="000000" w:themeColor="text1"/>
          <w:sz w:val="20"/>
          <w:szCs w:val="20"/>
        </w:rPr>
        <w:t xml:space="preserve"> data prompted regulatory agencies to closely scrutinize Cox-2 inhibitors, leading to label changes and warnings about their cardiovascular risks</w:t>
      </w:r>
      <w:proofErr w:type="gramStart"/>
      <w:r w:rsidRPr="000156BB">
        <w:rPr>
          <w:rFonts w:ascii="Times New Roman" w:hAnsi="Times New Roman" w:cs="Times New Roman"/>
          <w:color w:val="000000" w:themeColor="text1"/>
          <w:sz w:val="20"/>
          <w:szCs w:val="20"/>
        </w:rPr>
        <w:t>.[</w:t>
      </w:r>
      <w:proofErr w:type="gramEnd"/>
      <w:r w:rsidRPr="000156BB">
        <w:rPr>
          <w:rFonts w:ascii="Times New Roman" w:hAnsi="Times New Roman" w:cs="Times New Roman"/>
          <w:color w:val="000000" w:themeColor="text1"/>
          <w:sz w:val="20"/>
          <w:szCs w:val="20"/>
        </w:rPr>
        <w:t>30]</w:t>
      </w:r>
    </w:p>
    <w:p w14:paraId="5EA36A8D" w14:textId="77A9FEC5" w:rsidR="000156BB" w:rsidRPr="000156BB" w:rsidRDefault="000156BB" w:rsidP="000156BB">
      <w:pPr>
        <w:jc w:val="both"/>
        <w:rPr>
          <w:rFonts w:ascii="Times New Roman" w:hAnsi="Times New Roman" w:cs="Times New Roman"/>
          <w:b/>
          <w:color w:val="000000" w:themeColor="text1"/>
          <w:sz w:val="20"/>
          <w:szCs w:val="20"/>
        </w:rPr>
      </w:pPr>
      <w:r w:rsidRPr="000156BB">
        <w:rPr>
          <w:rFonts w:ascii="Times New Roman" w:hAnsi="Times New Roman" w:cs="Times New Roman"/>
          <w:color w:val="000000" w:themeColor="text1"/>
          <w:sz w:val="20"/>
          <w:szCs w:val="20"/>
        </w:rPr>
        <w:t xml:space="preserve"> </w:t>
      </w:r>
      <w:r w:rsidRPr="000156BB">
        <w:rPr>
          <w:rFonts w:ascii="Times New Roman" w:hAnsi="Times New Roman" w:cs="Times New Roman"/>
          <w:b/>
          <w:color w:val="000000" w:themeColor="text1"/>
          <w:sz w:val="20"/>
          <w:szCs w:val="20"/>
        </w:rPr>
        <w:t xml:space="preserve">Future directions in </w:t>
      </w:r>
      <w:proofErr w:type="spellStart"/>
      <w:r w:rsidRPr="000156BB">
        <w:rPr>
          <w:rFonts w:ascii="Times New Roman" w:hAnsi="Times New Roman" w:cs="Times New Roman"/>
          <w:b/>
          <w:color w:val="000000" w:themeColor="text1"/>
          <w:sz w:val="20"/>
          <w:szCs w:val="20"/>
        </w:rPr>
        <w:t>pharmacovigilance</w:t>
      </w:r>
      <w:proofErr w:type="spellEnd"/>
    </w:p>
    <w:p w14:paraId="46F4F2FC" w14:textId="7D3BC02A" w:rsidR="000156BB" w:rsidRDefault="000156BB" w:rsidP="000156BB">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As the technology and data collection methods continue to advance, </w:t>
      </w:r>
      <w:proofErr w:type="spellStart"/>
      <w:r>
        <w:rPr>
          <w:rFonts w:ascii="Times New Roman" w:hAnsi="Times New Roman" w:cs="Times New Roman"/>
          <w:color w:val="000000" w:themeColor="text1"/>
          <w:sz w:val="20"/>
          <w:szCs w:val="20"/>
        </w:rPr>
        <w:t>pharamacovigilance</w:t>
      </w:r>
      <w:proofErr w:type="spellEnd"/>
      <w:r>
        <w:rPr>
          <w:rFonts w:ascii="Times New Roman" w:hAnsi="Times New Roman" w:cs="Times New Roman"/>
          <w:color w:val="000000" w:themeColor="text1"/>
          <w:sz w:val="20"/>
          <w:szCs w:val="20"/>
        </w:rPr>
        <w:t xml:space="preserve"> is evolving. Here some directions: </w:t>
      </w:r>
    </w:p>
    <w:p w14:paraId="282B98BB" w14:textId="77777777" w:rsidR="000156BB" w:rsidRPr="000156BB" w:rsidRDefault="000156BB" w:rsidP="000156BB">
      <w:pPr>
        <w:jc w:val="both"/>
        <w:rPr>
          <w:rFonts w:ascii="Times New Roman" w:hAnsi="Times New Roman" w:cs="Times New Roman"/>
          <w:b/>
          <w:color w:val="000000" w:themeColor="text1"/>
          <w:sz w:val="20"/>
          <w:szCs w:val="20"/>
        </w:rPr>
      </w:pPr>
      <w:r w:rsidRPr="000156BB">
        <w:rPr>
          <w:rFonts w:ascii="Times New Roman" w:hAnsi="Times New Roman" w:cs="Times New Roman"/>
          <w:b/>
          <w:color w:val="000000" w:themeColor="text1"/>
          <w:sz w:val="20"/>
          <w:szCs w:val="20"/>
        </w:rPr>
        <w:t>Big data analytics:</w:t>
      </w:r>
    </w:p>
    <w:p w14:paraId="28FD9638" w14:textId="784811E4" w:rsidR="000156BB" w:rsidRPr="000156BB" w:rsidRDefault="000156BB" w:rsidP="000156BB">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0156BB">
        <w:rPr>
          <w:rFonts w:ascii="Times New Roman" w:hAnsi="Times New Roman" w:cs="Times New Roman"/>
          <w:color w:val="000000" w:themeColor="text1"/>
          <w:sz w:val="20"/>
          <w:szCs w:val="20"/>
        </w:rPr>
        <w:t xml:space="preserve">Leveraging big data analytics and machine learning will enhance the ability to detect subtle safety signals and trends in </w:t>
      </w:r>
      <w:proofErr w:type="spellStart"/>
      <w:r w:rsidRPr="000156BB">
        <w:rPr>
          <w:rFonts w:ascii="Times New Roman" w:hAnsi="Times New Roman" w:cs="Times New Roman"/>
          <w:color w:val="000000" w:themeColor="text1"/>
          <w:sz w:val="20"/>
          <w:szCs w:val="20"/>
        </w:rPr>
        <w:t>pharmacovigilance</w:t>
      </w:r>
      <w:proofErr w:type="spellEnd"/>
      <w:r w:rsidRPr="000156BB">
        <w:rPr>
          <w:rFonts w:ascii="Times New Roman" w:hAnsi="Times New Roman" w:cs="Times New Roman"/>
          <w:color w:val="000000" w:themeColor="text1"/>
          <w:sz w:val="20"/>
          <w:szCs w:val="20"/>
        </w:rPr>
        <w:t xml:space="preserve"> data</w:t>
      </w:r>
      <w:proofErr w:type="gramStart"/>
      <w:r w:rsidRPr="000156BB">
        <w:rPr>
          <w:rFonts w:ascii="Times New Roman" w:hAnsi="Times New Roman" w:cs="Times New Roman"/>
          <w:color w:val="000000" w:themeColor="text1"/>
          <w:sz w:val="20"/>
          <w:szCs w:val="20"/>
        </w:rPr>
        <w:t>.[</w:t>
      </w:r>
      <w:proofErr w:type="gramEnd"/>
      <w:r w:rsidRPr="000156BB">
        <w:rPr>
          <w:rFonts w:ascii="Times New Roman" w:hAnsi="Times New Roman" w:cs="Times New Roman"/>
          <w:color w:val="000000" w:themeColor="text1"/>
          <w:sz w:val="20"/>
          <w:szCs w:val="20"/>
        </w:rPr>
        <w:t>31]</w:t>
      </w:r>
    </w:p>
    <w:p w14:paraId="6779A408" w14:textId="77777777" w:rsidR="000156BB" w:rsidRPr="000156BB" w:rsidRDefault="000156BB" w:rsidP="000156BB">
      <w:pPr>
        <w:jc w:val="both"/>
        <w:rPr>
          <w:rFonts w:ascii="Times New Roman" w:hAnsi="Times New Roman" w:cs="Times New Roman"/>
          <w:b/>
          <w:color w:val="000000" w:themeColor="text1"/>
          <w:sz w:val="20"/>
          <w:szCs w:val="20"/>
        </w:rPr>
      </w:pPr>
      <w:r w:rsidRPr="000156BB">
        <w:rPr>
          <w:rFonts w:ascii="Times New Roman" w:hAnsi="Times New Roman" w:cs="Times New Roman"/>
          <w:b/>
          <w:color w:val="000000" w:themeColor="text1"/>
          <w:sz w:val="20"/>
          <w:szCs w:val="20"/>
        </w:rPr>
        <w:t>Real-world evidence:</w:t>
      </w:r>
    </w:p>
    <w:p w14:paraId="716485BB" w14:textId="7FE3587A" w:rsidR="000156BB" w:rsidRPr="000156BB" w:rsidRDefault="000156BB" w:rsidP="000156BB">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0156BB">
        <w:rPr>
          <w:rFonts w:ascii="Times New Roman" w:hAnsi="Times New Roman" w:cs="Times New Roman"/>
          <w:color w:val="000000" w:themeColor="text1"/>
          <w:sz w:val="20"/>
          <w:szCs w:val="20"/>
        </w:rPr>
        <w:t>The integration of real-world evidence, such as electronic health records and patient-reported outcomes, will provide a more comprehensive view of drug safety in diverse patient populations.</w:t>
      </w:r>
    </w:p>
    <w:p w14:paraId="08FD8B43" w14:textId="77777777" w:rsidR="000156BB" w:rsidRPr="000156BB" w:rsidRDefault="000156BB" w:rsidP="000156BB">
      <w:pPr>
        <w:jc w:val="both"/>
        <w:rPr>
          <w:rFonts w:ascii="Times New Roman" w:hAnsi="Times New Roman" w:cs="Times New Roman"/>
          <w:b/>
          <w:color w:val="000000" w:themeColor="text1"/>
          <w:sz w:val="20"/>
          <w:szCs w:val="20"/>
        </w:rPr>
      </w:pPr>
      <w:r w:rsidRPr="000156BB">
        <w:rPr>
          <w:rFonts w:ascii="Times New Roman" w:hAnsi="Times New Roman" w:cs="Times New Roman"/>
          <w:b/>
          <w:color w:val="000000" w:themeColor="text1"/>
          <w:sz w:val="20"/>
          <w:szCs w:val="20"/>
        </w:rPr>
        <w:t>Global collaboration:</w:t>
      </w:r>
    </w:p>
    <w:p w14:paraId="04E4715C" w14:textId="4FC63BE0" w:rsidR="000156BB" w:rsidRPr="000156BB" w:rsidRDefault="000156BB" w:rsidP="000156BB">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roofErr w:type="spellStart"/>
      <w:r w:rsidRPr="000156BB">
        <w:rPr>
          <w:rFonts w:ascii="Times New Roman" w:hAnsi="Times New Roman" w:cs="Times New Roman"/>
          <w:color w:val="000000" w:themeColor="text1"/>
          <w:sz w:val="20"/>
          <w:szCs w:val="20"/>
        </w:rPr>
        <w:t>Pharmacovigilance</w:t>
      </w:r>
      <w:proofErr w:type="spellEnd"/>
      <w:r w:rsidRPr="000156BB">
        <w:rPr>
          <w:rFonts w:ascii="Times New Roman" w:hAnsi="Times New Roman" w:cs="Times New Roman"/>
          <w:color w:val="000000" w:themeColor="text1"/>
          <w:sz w:val="20"/>
          <w:szCs w:val="20"/>
        </w:rPr>
        <w:t xml:space="preserve"> efforts are increasingly becoming global collaborations, allowing for the sharing of data and expertise to identify and mitigate drug risks worldwide.</w:t>
      </w:r>
    </w:p>
    <w:p w14:paraId="788DDF65" w14:textId="513D246C" w:rsidR="003A4F8F" w:rsidRDefault="000156BB" w:rsidP="000156BB">
      <w:pPr>
        <w:spacing w:before="54" w:after="0" w:line="276" w:lineRule="auto"/>
        <w:jc w:val="center"/>
        <w:rPr>
          <w:rFonts w:ascii="Times New Roman" w:hAnsi="Times New Roman" w:cs="Times New Roman"/>
          <w:color w:val="000000" w:themeColor="text1"/>
          <w:sz w:val="20"/>
          <w:szCs w:val="20"/>
        </w:rPr>
      </w:pPr>
      <w:r>
        <w:rPr>
          <w:noProof/>
          <w:sz w:val="20"/>
          <w:lang w:val="en-IN" w:eastAsia="en-IN"/>
        </w:rPr>
        <w:lastRenderedPageBreak/>
        <w:drawing>
          <wp:inline distT="0" distB="0" distL="0" distR="0" wp14:anchorId="31AB3487" wp14:editId="1D11A150">
            <wp:extent cx="4859532" cy="3455581"/>
            <wp:effectExtent l="0" t="0" r="0" b="0"/>
            <wp:docPr id="11"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png"/>
                    <pic:cNvPicPr/>
                  </pic:nvPicPr>
                  <pic:blipFill>
                    <a:blip r:embed="rId10" cstate="print"/>
                    <a:stretch>
                      <a:fillRect/>
                    </a:stretch>
                  </pic:blipFill>
                  <pic:spPr>
                    <a:xfrm>
                      <a:off x="0" y="0"/>
                      <a:ext cx="4859699" cy="3455700"/>
                    </a:xfrm>
                    <a:prstGeom prst="rect">
                      <a:avLst/>
                    </a:prstGeom>
                  </pic:spPr>
                </pic:pic>
              </a:graphicData>
            </a:graphic>
          </wp:inline>
        </w:drawing>
      </w:r>
    </w:p>
    <w:p w14:paraId="75C01D46" w14:textId="77777777" w:rsidR="003A4F8F" w:rsidRDefault="003A4F8F" w:rsidP="003A4F8F">
      <w:pPr>
        <w:spacing w:before="54" w:after="0" w:line="276" w:lineRule="auto"/>
        <w:jc w:val="both"/>
        <w:rPr>
          <w:rFonts w:ascii="Times New Roman" w:hAnsi="Times New Roman" w:cs="Times New Roman"/>
          <w:color w:val="000000" w:themeColor="text1"/>
          <w:sz w:val="20"/>
          <w:szCs w:val="20"/>
        </w:rPr>
      </w:pPr>
    </w:p>
    <w:p w14:paraId="697E4A5B" w14:textId="4055291C" w:rsidR="007F4758" w:rsidRDefault="007F4758" w:rsidP="007F4758">
      <w:pPr>
        <w:pStyle w:val="ListParagraph"/>
        <w:numPr>
          <w:ilvl w:val="0"/>
          <w:numId w:val="3"/>
        </w:numPr>
        <w:rPr>
          <w:rFonts w:ascii="Times New Roman" w:hAnsi="Times New Roman" w:cs="Times New Roman"/>
          <w:b/>
          <w:color w:val="000000" w:themeColor="text1"/>
          <w:sz w:val="24"/>
          <w:szCs w:val="24"/>
        </w:rPr>
      </w:pPr>
      <w:r w:rsidRPr="007F4758">
        <w:rPr>
          <w:rFonts w:ascii="Times New Roman" w:hAnsi="Times New Roman" w:cs="Times New Roman"/>
          <w:b/>
          <w:color w:val="000000" w:themeColor="text1"/>
          <w:sz w:val="24"/>
          <w:szCs w:val="24"/>
        </w:rPr>
        <w:t>ADR DATA FLOW</w:t>
      </w:r>
      <w:r>
        <w:rPr>
          <w:rFonts w:ascii="Times New Roman" w:hAnsi="Times New Roman" w:cs="Times New Roman"/>
          <w:b/>
          <w:color w:val="000000" w:themeColor="text1"/>
          <w:sz w:val="24"/>
          <w:szCs w:val="24"/>
        </w:rPr>
        <w:t>:</w:t>
      </w:r>
    </w:p>
    <w:p w14:paraId="1E16FD00" w14:textId="3C0B1D8F" w:rsidR="007F4758" w:rsidRDefault="007F4758" w:rsidP="007F4758">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7F4758">
        <w:rPr>
          <w:rFonts w:ascii="Times New Roman" w:hAnsi="Times New Roman" w:cs="Times New Roman"/>
          <w:color w:val="000000" w:themeColor="text1"/>
          <w:sz w:val="20"/>
          <w:szCs w:val="20"/>
        </w:rPr>
        <w:t xml:space="preserve">ADR reports were collected at the AMC by the PV staff </w:t>
      </w:r>
      <w:proofErr w:type="gramStart"/>
      <w:r w:rsidRPr="007F4758">
        <w:rPr>
          <w:rFonts w:ascii="Times New Roman" w:hAnsi="Times New Roman" w:cs="Times New Roman"/>
          <w:color w:val="000000" w:themeColor="text1"/>
          <w:sz w:val="20"/>
          <w:szCs w:val="20"/>
        </w:rPr>
        <w:t>who</w:t>
      </w:r>
      <w:proofErr w:type="gramEnd"/>
      <w:r w:rsidRPr="007F4758">
        <w:rPr>
          <w:rFonts w:ascii="Times New Roman" w:hAnsi="Times New Roman" w:cs="Times New Roman"/>
          <w:color w:val="000000" w:themeColor="text1"/>
          <w:sz w:val="20"/>
          <w:szCs w:val="20"/>
        </w:rPr>
        <w:t xml:space="preserve"> checked for validity of the report and conducted provisional causality assessment. The ADR forms are then dispatched to the coordinating center. The AMC staff maintains a log of all the activities of the center and the selected AMCs also carry out focused ADR monitoring of drugs as per the watch list. The coordinating centers are conducting causality assessment and upload the reports into the PV database. The coordinating center also prepare a consolidated report of ADRs collected at defined time intervals and then implement and integrate PV activities into public health programs involving mass usage of drugs. Finally, the integrated ADR</w:t>
      </w:r>
      <w:r>
        <w:rPr>
          <w:rFonts w:ascii="Times New Roman" w:hAnsi="Times New Roman" w:cs="Times New Roman"/>
          <w:color w:val="000000" w:themeColor="text1"/>
          <w:sz w:val="20"/>
          <w:szCs w:val="20"/>
        </w:rPr>
        <w:t xml:space="preserve"> </w:t>
      </w:r>
      <w:r w:rsidRPr="007F4758">
        <w:rPr>
          <w:rFonts w:ascii="Times New Roman" w:hAnsi="Times New Roman" w:cs="Times New Roman"/>
          <w:color w:val="000000" w:themeColor="text1"/>
          <w:sz w:val="20"/>
          <w:szCs w:val="20"/>
        </w:rPr>
        <w:t xml:space="preserve">data is then transmitted through </w:t>
      </w:r>
      <w:proofErr w:type="spellStart"/>
      <w:r w:rsidRPr="007F4758">
        <w:rPr>
          <w:rFonts w:ascii="Times New Roman" w:hAnsi="Times New Roman" w:cs="Times New Roman"/>
          <w:color w:val="000000" w:themeColor="text1"/>
          <w:sz w:val="20"/>
          <w:szCs w:val="20"/>
        </w:rPr>
        <w:t>VigiFlow</w:t>
      </w:r>
      <w:proofErr w:type="spellEnd"/>
      <w:r w:rsidRPr="007F4758">
        <w:rPr>
          <w:rFonts w:ascii="Times New Roman" w:hAnsi="Times New Roman" w:cs="Times New Roman"/>
          <w:color w:val="000000" w:themeColor="text1"/>
          <w:sz w:val="20"/>
          <w:szCs w:val="20"/>
        </w:rPr>
        <w:t xml:space="preserve"> interface into the UMC adverse reaction database where signal processing can be carried out (Lindquist 2008). </w:t>
      </w:r>
      <w:proofErr w:type="spellStart"/>
      <w:r w:rsidRPr="007F4758">
        <w:rPr>
          <w:rFonts w:ascii="Times New Roman" w:hAnsi="Times New Roman" w:cs="Times New Roman"/>
          <w:color w:val="000000" w:themeColor="text1"/>
          <w:sz w:val="20"/>
          <w:szCs w:val="20"/>
        </w:rPr>
        <w:t>Programme</w:t>
      </w:r>
      <w:proofErr w:type="spellEnd"/>
      <w:r w:rsidRPr="007F4758">
        <w:rPr>
          <w:rFonts w:ascii="Times New Roman" w:hAnsi="Times New Roman" w:cs="Times New Roman"/>
          <w:color w:val="000000" w:themeColor="text1"/>
          <w:sz w:val="20"/>
          <w:szCs w:val="20"/>
        </w:rPr>
        <w:t xml:space="preserve"> communication of ADR data flow is shown below. There is a quality review panel which ensures the quality of ADR data that has been constituted for maintaining quality assurance in the program. All the centers will be assessed based on performance metrics criteria, completeness of reports, training imparted, and other parameters mentioned in the PV program protocol</w:t>
      </w:r>
      <w:proofErr w:type="gramStart"/>
      <w:r w:rsidRPr="007F4758">
        <w:rPr>
          <w:rFonts w:ascii="Times New Roman" w:hAnsi="Times New Roman" w:cs="Times New Roman"/>
          <w:color w:val="000000" w:themeColor="text1"/>
          <w:sz w:val="20"/>
          <w:szCs w:val="20"/>
        </w:rPr>
        <w:t>.[</w:t>
      </w:r>
      <w:proofErr w:type="gramEnd"/>
      <w:r w:rsidRPr="007F4758">
        <w:rPr>
          <w:rFonts w:ascii="Times New Roman" w:hAnsi="Times New Roman" w:cs="Times New Roman"/>
          <w:color w:val="000000" w:themeColor="text1"/>
          <w:sz w:val="20"/>
          <w:szCs w:val="20"/>
        </w:rPr>
        <w:t>36]</w:t>
      </w:r>
    </w:p>
    <w:p w14:paraId="663002BC" w14:textId="124CE313" w:rsidR="003A4F8F" w:rsidRDefault="000156BB" w:rsidP="000156BB">
      <w:pPr>
        <w:pStyle w:val="ListParagraph"/>
        <w:numPr>
          <w:ilvl w:val="0"/>
          <w:numId w:val="3"/>
        </w:numPr>
        <w:spacing w:before="54" w:after="0" w:line="276" w:lineRule="auto"/>
        <w:jc w:val="both"/>
        <w:rPr>
          <w:rFonts w:ascii="Times New Roman" w:hAnsi="Times New Roman" w:cs="Times New Roman"/>
          <w:b/>
          <w:color w:val="000000" w:themeColor="text1"/>
          <w:sz w:val="24"/>
          <w:szCs w:val="24"/>
        </w:rPr>
      </w:pPr>
      <w:r w:rsidRPr="000156BB">
        <w:rPr>
          <w:rFonts w:ascii="Times New Roman" w:hAnsi="Times New Roman" w:cs="Times New Roman"/>
          <w:b/>
          <w:color w:val="000000" w:themeColor="text1"/>
          <w:sz w:val="24"/>
          <w:szCs w:val="24"/>
        </w:rPr>
        <w:t>FUTURE PROSPECTS:</w:t>
      </w:r>
    </w:p>
    <w:p w14:paraId="400C73D3" w14:textId="49CCAF60" w:rsidR="000156BB" w:rsidRPr="000156BB" w:rsidRDefault="000156BB" w:rsidP="000156B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0156BB">
        <w:rPr>
          <w:rFonts w:ascii="Times New Roman" w:hAnsi="Times New Roman" w:cs="Times New Roman"/>
          <w:color w:val="000000" w:themeColor="text1"/>
          <w:sz w:val="20"/>
          <w:szCs w:val="20"/>
        </w:rPr>
        <w:t xml:space="preserve">As future prospects increase, PV systems capable to detect new </w:t>
      </w:r>
      <w:proofErr w:type="gramStart"/>
      <w:r w:rsidRPr="000156BB">
        <w:rPr>
          <w:rFonts w:ascii="Times New Roman" w:hAnsi="Times New Roman" w:cs="Times New Roman"/>
          <w:color w:val="000000" w:themeColor="text1"/>
          <w:sz w:val="20"/>
          <w:szCs w:val="20"/>
        </w:rPr>
        <w:t>ADRs,</w:t>
      </w:r>
      <w:proofErr w:type="gramEnd"/>
      <w:r w:rsidRPr="000156BB">
        <w:rPr>
          <w:rFonts w:ascii="Times New Roman" w:hAnsi="Times New Roman" w:cs="Times New Roman"/>
          <w:color w:val="000000" w:themeColor="text1"/>
          <w:sz w:val="20"/>
          <w:szCs w:val="20"/>
        </w:rPr>
        <w:t xml:space="preserve"> and taking regulatory actions are needed to protect public health. Little emphasis has been put into generating information that can assist a healthcare professional or a patient in the decision-making process. The gathering and communication of this information is an important goal of PV. Information about the safety of drug active surveillance is necessary. When develop new methods for active post- marketing surveillance, one has to keep in mind that the important to collect complete and accurate data on every serious reported event. Spontaneous reporting is a useful tool in generating signals, but the relatively low number of reports received for a specific association makes it less useful in identifying patient characteristics and risk factors. PV methods must also be able to describe which patients are at risk of developing an ADR. As a source of information, the PV approach would be consistent with the grow</w:t>
      </w:r>
      <w:r>
        <w:rPr>
          <w:rFonts w:ascii="Times New Roman" w:hAnsi="Times New Roman" w:cs="Times New Roman"/>
          <w:color w:val="000000" w:themeColor="text1"/>
          <w:sz w:val="20"/>
          <w:szCs w:val="20"/>
        </w:rPr>
        <w:t xml:space="preserve">ing patient involvement in drug </w:t>
      </w:r>
      <w:r w:rsidRPr="000156BB">
        <w:rPr>
          <w:rFonts w:ascii="Times New Roman" w:hAnsi="Times New Roman" w:cs="Times New Roman"/>
          <w:color w:val="000000" w:themeColor="text1"/>
          <w:sz w:val="20"/>
          <w:szCs w:val="20"/>
        </w:rPr>
        <w:t>safety. The PG could play a role in identifying individual risk factors for the occurrence of certain ADRs. In the future, PV has to concentrate on the patients as a source of information in addition to the more traditional groups, such as the health professionals.</w:t>
      </w:r>
    </w:p>
    <w:p w14:paraId="38C42E69" w14:textId="4C70DC9A" w:rsidR="000156BB" w:rsidRPr="000156BB" w:rsidRDefault="000156BB" w:rsidP="000156B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0156BB">
        <w:rPr>
          <w:rFonts w:ascii="Times New Roman" w:hAnsi="Times New Roman" w:cs="Times New Roman"/>
          <w:color w:val="000000" w:themeColor="text1"/>
          <w:sz w:val="20"/>
          <w:szCs w:val="20"/>
        </w:rPr>
        <w:t xml:space="preserve">At present, the DCGI should act quickly to improve PV so as to integrate Good </w:t>
      </w:r>
      <w:proofErr w:type="spellStart"/>
      <w:r w:rsidRPr="000156BB">
        <w:rPr>
          <w:rFonts w:ascii="Times New Roman" w:hAnsi="Times New Roman" w:cs="Times New Roman"/>
          <w:color w:val="000000" w:themeColor="text1"/>
          <w:sz w:val="20"/>
          <w:szCs w:val="20"/>
        </w:rPr>
        <w:t>Pharmacovigilance</w:t>
      </w:r>
      <w:proofErr w:type="spellEnd"/>
      <w:r w:rsidRPr="000156BB">
        <w:rPr>
          <w:rFonts w:ascii="Times New Roman" w:hAnsi="Times New Roman" w:cs="Times New Roman"/>
          <w:color w:val="000000" w:themeColor="text1"/>
          <w:sz w:val="20"/>
          <w:szCs w:val="20"/>
        </w:rPr>
        <w:t xml:space="preserve"> Practice (GPP) into the processes and procedures to help ensure regulatory compliance and enhance clinical trial safety and post marketing surveillance. An appropriately working PV system is essential if medicines are to be used carefully. It will benefit healthcare professionals, regulatory authorities, pharmaceutical companies and the consumers. It helps pharmaceutical companies to monitor their medicines for risk. Post-marketing PV is currently a challenging and laborious process, not only industry-wide, but also for regulatory agencies.</w:t>
      </w:r>
    </w:p>
    <w:p w14:paraId="2AB01044" w14:textId="20CBDAE9" w:rsidR="000156BB" w:rsidRDefault="000156BB" w:rsidP="000156B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ab/>
      </w:r>
      <w:r w:rsidRPr="000156BB">
        <w:rPr>
          <w:rFonts w:ascii="Times New Roman" w:hAnsi="Times New Roman" w:cs="Times New Roman"/>
          <w:color w:val="000000" w:themeColor="text1"/>
          <w:sz w:val="20"/>
          <w:szCs w:val="20"/>
        </w:rPr>
        <w:t>The aim of the PV is to receive the information, documentation of the work and knowledge online while giving priority to the new and important safety issues. Non-serious events have less priority than serious events but important in comparing the changes in health, although they are also screened routinely. In present time, GlaxoSmithKline has created a powerful new approach to PV, integrating traditional, case-based PV methods with disproportionality and data visualization tools. These tools exist within a system framework that facilitates in-stream review, tracking of safety issues and knowledge management. This very innovative tool and the processes will help to advance PV by improving efficiency and providing new analytical capabilities. Similar approach may be adopted by pharmaceutical companies for prompt detection and analysis of ADRs. Transparency and communication would strengthen consumer reporting, which are positive steps towards involving consumers more in PV.</w:t>
      </w:r>
    </w:p>
    <w:p w14:paraId="5AE5CD52" w14:textId="06101565" w:rsidR="003A4F8F" w:rsidRDefault="007F4758" w:rsidP="007F4758">
      <w:pPr>
        <w:pStyle w:val="ListParagraph"/>
        <w:numPr>
          <w:ilvl w:val="0"/>
          <w:numId w:val="3"/>
        </w:numPr>
        <w:spacing w:before="54" w:after="0" w:line="276" w:lineRule="auto"/>
        <w:jc w:val="both"/>
        <w:rPr>
          <w:rFonts w:ascii="Times New Roman" w:hAnsi="Times New Roman" w:cs="Times New Roman"/>
          <w:b/>
          <w:color w:val="000000" w:themeColor="text1"/>
          <w:sz w:val="24"/>
          <w:szCs w:val="24"/>
        </w:rPr>
      </w:pPr>
      <w:r w:rsidRPr="007F4758">
        <w:rPr>
          <w:rFonts w:ascii="Times New Roman" w:hAnsi="Times New Roman" w:cs="Times New Roman"/>
          <w:b/>
          <w:color w:val="000000" w:themeColor="text1"/>
          <w:sz w:val="24"/>
          <w:szCs w:val="24"/>
        </w:rPr>
        <w:t>CONCLUSION:</w:t>
      </w:r>
    </w:p>
    <w:p w14:paraId="6AEEA75C" w14:textId="71E6EC54" w:rsidR="007F4758" w:rsidRPr="007F4758" w:rsidRDefault="007F4758" w:rsidP="007F4758">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4"/>
          <w:szCs w:val="24"/>
        </w:rPr>
        <w:tab/>
      </w:r>
      <w:r w:rsidRPr="007F4758">
        <w:rPr>
          <w:rFonts w:ascii="Times New Roman" w:hAnsi="Times New Roman" w:cs="Times New Roman"/>
          <w:color w:val="000000" w:themeColor="text1"/>
          <w:sz w:val="20"/>
          <w:szCs w:val="20"/>
        </w:rPr>
        <w:t xml:space="preserve">The PV in India has become an important public health issue as regulators, drug manufacturers, consumers, and healthcare professionals are faced with a number of challenges. The PV in India continues to grow, evolve, and improve. India is the largest producer of pharmaceuticals and now emerging as an important clinical trial hub in the world. Apparently, the requirements for professional specialization, a combined view on </w:t>
      </w:r>
      <w:proofErr w:type="spellStart"/>
      <w:r w:rsidRPr="007F4758">
        <w:rPr>
          <w:rFonts w:ascii="Times New Roman" w:hAnsi="Times New Roman" w:cs="Times New Roman"/>
          <w:color w:val="000000" w:themeColor="text1"/>
          <w:sz w:val="20"/>
          <w:szCs w:val="20"/>
        </w:rPr>
        <w:t>PGx</w:t>
      </w:r>
      <w:proofErr w:type="spellEnd"/>
      <w:r w:rsidRPr="007F4758">
        <w:rPr>
          <w:rFonts w:ascii="Times New Roman" w:hAnsi="Times New Roman" w:cs="Times New Roman"/>
          <w:color w:val="000000" w:themeColor="text1"/>
          <w:sz w:val="20"/>
          <w:szCs w:val="20"/>
        </w:rPr>
        <w:t xml:space="preserve"> and clinical requirements are needed. That helps to identify factors that increase the risk of unwanted outcomes from drug therapy and prior to commencing drug treatment and in tailoring drug treatment for individual patients. The PV has also involved in Data Mining Technology in spontaneous reports submit to the national surveillance systems. The PVPI is coordinated at IPC through NCC under the control of Indian Government to generate an independent data on safety of medicines, which will be at par with global drug safety monitoring standards. National and regional PV systems are well-adapted bodies, attuned to the intricate collection and analysis of ADR data that leads to timely alerts and interventions to protect population health. Furthermore, it is responsible in India of entire campaign to improve PV knowledge and increase the number of ADRs reports up to the gold standard level established by the WHO.</w:t>
      </w:r>
    </w:p>
    <w:p w14:paraId="02E677A3" w14:textId="43055484" w:rsidR="007F4758" w:rsidRPr="007F4758" w:rsidRDefault="007F4758" w:rsidP="007F4758">
      <w:pPr>
        <w:spacing w:before="54" w:after="0" w:line="276" w:lineRule="auto"/>
        <w:jc w:val="both"/>
        <w:rPr>
          <w:rFonts w:ascii="Times New Roman" w:hAnsi="Times New Roman" w:cs="Times New Roman"/>
          <w:color w:val="000000" w:themeColor="text1"/>
          <w:sz w:val="24"/>
          <w:szCs w:val="24"/>
        </w:rPr>
      </w:pPr>
      <w:r w:rsidRPr="007F4758">
        <w:rPr>
          <w:rFonts w:ascii="Times New Roman" w:hAnsi="Times New Roman" w:cs="Times New Roman"/>
          <w:color w:val="000000" w:themeColor="text1"/>
          <w:sz w:val="20"/>
          <w:szCs w:val="20"/>
        </w:rPr>
        <w:tab/>
        <w:t xml:space="preserve">The adverse events reported by PV system will potentially benefit to the community due to their proximity to both the population and public health practitioners, in terms of language and knowledge of the lifestyle and habits of patients, enables easy contact with reporters, for example by telephone, Email, text massages by mobile phones. The development of new and effective medicinal products makes a positive contribution to the health and </w:t>
      </w:r>
      <w:proofErr w:type="spellStart"/>
      <w:r w:rsidRPr="007F4758">
        <w:rPr>
          <w:rFonts w:ascii="Times New Roman" w:hAnsi="Times New Roman" w:cs="Times New Roman"/>
          <w:color w:val="000000" w:themeColor="text1"/>
          <w:sz w:val="20"/>
          <w:szCs w:val="20"/>
        </w:rPr>
        <w:t>well being</w:t>
      </w:r>
      <w:proofErr w:type="spellEnd"/>
      <w:r w:rsidRPr="007F4758">
        <w:rPr>
          <w:rFonts w:ascii="Times New Roman" w:hAnsi="Times New Roman" w:cs="Times New Roman"/>
          <w:color w:val="000000" w:themeColor="text1"/>
          <w:sz w:val="20"/>
          <w:szCs w:val="20"/>
        </w:rPr>
        <w:t xml:space="preserve"> of individuals. However, there is a need to improve PV systems to more effectively monitor and take action on safety issues associated with medicines to enhance their contribution to public health. Hence, PV for medicinal product safety to help the patients get well and to manage optimally or ideally, avoid illness is a collective responsibility of industry, drug regulators and clinicians and other healthcare professionals. The financial support and future projects should help to achieve a more comprehensive PV activity in India.</w:t>
      </w:r>
    </w:p>
    <w:p w14:paraId="24B2CD4B" w14:textId="6EB5A81E" w:rsidR="00DA52F4" w:rsidRPr="001E51F3" w:rsidRDefault="00DA52F4" w:rsidP="00671C07">
      <w:pPr>
        <w:pStyle w:val="ListParagraph"/>
        <w:numPr>
          <w:ilvl w:val="0"/>
          <w:numId w:val="3"/>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17E3392" w14:textId="77777777"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F4758">
        <w:rPr>
          <w:rFonts w:ascii="Times New Roman" w:hAnsi="Times New Roman" w:cs="Times New Roman"/>
          <w:color w:val="000000" w:themeColor="text1"/>
          <w:sz w:val="20"/>
          <w:szCs w:val="20"/>
        </w:rPr>
        <w:t>McBride WG. 1961. Thalidomide and congenital abnormalities. Lancet. 278, 1358 10.1016/S0140-6736(61)90927-8 [</w:t>
      </w:r>
      <w:proofErr w:type="spellStart"/>
      <w:r w:rsidRPr="007F4758">
        <w:rPr>
          <w:rFonts w:ascii="Times New Roman" w:hAnsi="Times New Roman" w:cs="Times New Roman"/>
          <w:color w:val="000000" w:themeColor="text1"/>
          <w:sz w:val="20"/>
          <w:szCs w:val="20"/>
        </w:rPr>
        <w:t>CrossRef</w:t>
      </w:r>
      <w:proofErr w:type="spellEnd"/>
      <w:r w:rsidRPr="007F4758">
        <w:rPr>
          <w:rFonts w:ascii="Times New Roman" w:hAnsi="Times New Roman" w:cs="Times New Roman"/>
          <w:color w:val="000000" w:themeColor="text1"/>
          <w:sz w:val="20"/>
          <w:szCs w:val="20"/>
        </w:rPr>
        <w:t>] [Google Scholar]</w:t>
      </w:r>
    </w:p>
    <w:p w14:paraId="63DD1E22" w14:textId="2A842B83"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F4758">
        <w:rPr>
          <w:rFonts w:ascii="Times New Roman" w:hAnsi="Times New Roman" w:cs="Times New Roman"/>
          <w:color w:val="000000" w:themeColor="text1"/>
          <w:sz w:val="20"/>
          <w:szCs w:val="20"/>
        </w:rPr>
        <w:t xml:space="preserve">Coulter DM. The New Zealand intensive medicines monitoring </w:t>
      </w:r>
      <w:proofErr w:type="spellStart"/>
      <w:r w:rsidRPr="007F4758">
        <w:rPr>
          <w:rFonts w:ascii="Times New Roman" w:hAnsi="Times New Roman" w:cs="Times New Roman"/>
          <w:color w:val="000000" w:themeColor="text1"/>
          <w:sz w:val="20"/>
          <w:szCs w:val="20"/>
        </w:rPr>
        <w:t>programme</w:t>
      </w:r>
      <w:proofErr w:type="spellEnd"/>
      <w:r w:rsidRPr="007F4758">
        <w:rPr>
          <w:rFonts w:ascii="Times New Roman" w:hAnsi="Times New Roman" w:cs="Times New Roman"/>
          <w:color w:val="000000" w:themeColor="text1"/>
          <w:sz w:val="20"/>
          <w:szCs w:val="20"/>
        </w:rPr>
        <w:t xml:space="preserve"> in proactive safety surveillance. </w:t>
      </w:r>
      <w:proofErr w:type="spellStart"/>
      <w:r w:rsidRPr="007F4758">
        <w:rPr>
          <w:rFonts w:ascii="Times New Roman" w:hAnsi="Times New Roman" w:cs="Times New Roman"/>
          <w:color w:val="000000" w:themeColor="text1"/>
          <w:sz w:val="20"/>
          <w:szCs w:val="20"/>
        </w:rPr>
        <w:t>Pharmacoepidemiol</w:t>
      </w:r>
      <w:proofErr w:type="spellEnd"/>
      <w:r w:rsidRPr="007F4758">
        <w:rPr>
          <w:rFonts w:ascii="Times New Roman" w:hAnsi="Times New Roman" w:cs="Times New Roman"/>
          <w:color w:val="000000" w:themeColor="text1"/>
          <w:sz w:val="20"/>
          <w:szCs w:val="20"/>
        </w:rPr>
        <w:t xml:space="preserve"> Drug </w:t>
      </w:r>
      <w:proofErr w:type="spellStart"/>
      <w:r w:rsidRPr="007F4758">
        <w:rPr>
          <w:rFonts w:ascii="Times New Roman" w:hAnsi="Times New Roman" w:cs="Times New Roman"/>
          <w:color w:val="000000" w:themeColor="text1"/>
          <w:sz w:val="20"/>
          <w:szCs w:val="20"/>
        </w:rPr>
        <w:t>Saf</w:t>
      </w:r>
      <w:proofErr w:type="spellEnd"/>
      <w:r w:rsidRPr="007F4758">
        <w:rPr>
          <w:rFonts w:ascii="Times New Roman" w:hAnsi="Times New Roman" w:cs="Times New Roman"/>
          <w:color w:val="000000" w:themeColor="text1"/>
          <w:sz w:val="20"/>
          <w:szCs w:val="20"/>
        </w:rPr>
        <w:t>. 2000</w:t>
      </w:r>
      <w:proofErr w:type="gramStart"/>
      <w:r w:rsidRPr="007F4758">
        <w:rPr>
          <w:rFonts w:ascii="Times New Roman" w:hAnsi="Times New Roman" w:cs="Times New Roman"/>
          <w:color w:val="000000" w:themeColor="text1"/>
          <w:sz w:val="20"/>
          <w:szCs w:val="20"/>
        </w:rPr>
        <w:t>;9:273</w:t>
      </w:r>
      <w:proofErr w:type="gramEnd"/>
      <w:r w:rsidRPr="007F4758">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7F4758">
        <w:rPr>
          <w:rFonts w:ascii="Times New Roman" w:hAnsi="Times New Roman" w:cs="Times New Roman"/>
          <w:color w:val="000000" w:themeColor="text1"/>
          <w:sz w:val="20"/>
          <w:szCs w:val="20"/>
        </w:rPr>
        <w:t>80. [PubMed] [Google Scholar]</w:t>
      </w:r>
    </w:p>
    <w:p w14:paraId="34D9DC8A" w14:textId="4AB4291D"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7F4758">
        <w:rPr>
          <w:rFonts w:ascii="Times New Roman" w:hAnsi="Times New Roman" w:cs="Times New Roman"/>
          <w:color w:val="000000" w:themeColor="text1"/>
          <w:sz w:val="20"/>
          <w:szCs w:val="20"/>
        </w:rPr>
        <w:t>Lared</w:t>
      </w:r>
      <w:proofErr w:type="spellEnd"/>
      <w:r w:rsidRPr="007F4758">
        <w:rPr>
          <w:rFonts w:ascii="Times New Roman" w:hAnsi="Times New Roman" w:cs="Times New Roman"/>
          <w:color w:val="000000" w:themeColor="text1"/>
          <w:sz w:val="20"/>
          <w:szCs w:val="20"/>
        </w:rPr>
        <w:t xml:space="preserve"> NL. Pharmacists’ role in reporting adverse drug reactions in an i</w:t>
      </w:r>
      <w:r>
        <w:rPr>
          <w:rFonts w:ascii="Times New Roman" w:hAnsi="Times New Roman" w:cs="Times New Roman"/>
          <w:color w:val="000000" w:themeColor="text1"/>
          <w:sz w:val="20"/>
          <w:szCs w:val="20"/>
        </w:rPr>
        <w:t>nternational</w:t>
      </w:r>
      <w:r>
        <w:rPr>
          <w:rFonts w:ascii="Times New Roman" w:hAnsi="Times New Roman" w:cs="Times New Roman"/>
          <w:color w:val="000000" w:themeColor="text1"/>
          <w:sz w:val="20"/>
          <w:szCs w:val="20"/>
        </w:rPr>
        <w:tab/>
        <w:t>perspective.</w:t>
      </w:r>
      <w:r>
        <w:rPr>
          <w:rFonts w:ascii="Times New Roman" w:hAnsi="Times New Roman" w:cs="Times New Roman"/>
          <w:color w:val="000000" w:themeColor="text1"/>
          <w:sz w:val="20"/>
          <w:szCs w:val="20"/>
        </w:rPr>
        <w:tab/>
        <w:t xml:space="preserve">2003. </w:t>
      </w:r>
      <w:r w:rsidRPr="007F4758">
        <w:rPr>
          <w:rFonts w:ascii="Times New Roman" w:hAnsi="Times New Roman" w:cs="Times New Roman"/>
          <w:color w:val="000000" w:themeColor="text1"/>
          <w:sz w:val="20"/>
          <w:szCs w:val="20"/>
        </w:rPr>
        <w:t>Available from: http://www.lareb.nl/documents/pds2004_1291.pdf [last cited on 2010 Jan 28] [PubMed]</w:t>
      </w:r>
    </w:p>
    <w:p w14:paraId="66FE7601" w14:textId="5A431A8B"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F4758">
        <w:rPr>
          <w:rFonts w:ascii="Times New Roman" w:hAnsi="Times New Roman" w:cs="Times New Roman"/>
          <w:color w:val="000000" w:themeColor="text1"/>
          <w:sz w:val="20"/>
          <w:szCs w:val="20"/>
        </w:rPr>
        <w:t>Olsson S. The</w:t>
      </w:r>
      <w:r w:rsidRPr="007F4758">
        <w:rPr>
          <w:rFonts w:ascii="Times New Roman" w:hAnsi="Times New Roman" w:cs="Times New Roman"/>
          <w:color w:val="000000" w:themeColor="text1"/>
          <w:sz w:val="20"/>
          <w:szCs w:val="20"/>
        </w:rPr>
        <w:tab/>
        <w:t>role of the WHO</w:t>
      </w:r>
      <w:r w:rsidRPr="007F4758">
        <w:rPr>
          <w:rFonts w:ascii="Times New Roman" w:hAnsi="Times New Roman" w:cs="Times New Roman"/>
          <w:color w:val="000000" w:themeColor="text1"/>
          <w:sz w:val="20"/>
          <w:szCs w:val="20"/>
        </w:rPr>
        <w:tab/>
      </w:r>
      <w:proofErr w:type="spellStart"/>
      <w:r w:rsidRPr="007F4758">
        <w:rPr>
          <w:rFonts w:ascii="Times New Roman" w:hAnsi="Times New Roman" w:cs="Times New Roman"/>
          <w:color w:val="000000" w:themeColor="text1"/>
          <w:sz w:val="20"/>
          <w:szCs w:val="20"/>
        </w:rPr>
        <w:t>Programme</w:t>
      </w:r>
      <w:proofErr w:type="spellEnd"/>
      <w:r w:rsidRPr="007F4758">
        <w:rPr>
          <w:rFonts w:ascii="Times New Roman" w:hAnsi="Times New Roman" w:cs="Times New Roman"/>
          <w:color w:val="000000" w:themeColor="text1"/>
          <w:sz w:val="20"/>
          <w:szCs w:val="20"/>
        </w:rPr>
        <w:tab/>
        <w:t xml:space="preserve">for International Drug Monitoring in coordinating worldwide drug safety efforts. Drug </w:t>
      </w:r>
      <w:proofErr w:type="spellStart"/>
      <w:r w:rsidRPr="007F4758">
        <w:rPr>
          <w:rFonts w:ascii="Times New Roman" w:hAnsi="Times New Roman" w:cs="Times New Roman"/>
          <w:color w:val="000000" w:themeColor="text1"/>
          <w:sz w:val="20"/>
          <w:szCs w:val="20"/>
        </w:rPr>
        <w:t>Saf</w:t>
      </w:r>
      <w:proofErr w:type="spellEnd"/>
      <w:r w:rsidRPr="007F4758">
        <w:rPr>
          <w:rFonts w:ascii="Times New Roman" w:hAnsi="Times New Roman" w:cs="Times New Roman"/>
          <w:color w:val="000000" w:themeColor="text1"/>
          <w:sz w:val="20"/>
          <w:szCs w:val="20"/>
        </w:rPr>
        <w:t>. 1998</w:t>
      </w:r>
      <w:proofErr w:type="gramStart"/>
      <w:r w:rsidRPr="007F4758">
        <w:rPr>
          <w:rFonts w:ascii="Times New Roman" w:hAnsi="Times New Roman" w:cs="Times New Roman"/>
          <w:color w:val="000000" w:themeColor="text1"/>
          <w:sz w:val="20"/>
          <w:szCs w:val="20"/>
        </w:rPr>
        <w:t>;19:1</w:t>
      </w:r>
      <w:proofErr w:type="gramEnd"/>
      <w:r w:rsidRPr="007F4758">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7F4758">
        <w:rPr>
          <w:rFonts w:ascii="Times New Roman" w:hAnsi="Times New Roman" w:cs="Times New Roman"/>
          <w:color w:val="000000" w:themeColor="text1"/>
          <w:sz w:val="20"/>
          <w:szCs w:val="20"/>
        </w:rPr>
        <w:t>10. [PubMed] [Google Scholar]</w:t>
      </w:r>
    </w:p>
    <w:p w14:paraId="233A511B" w14:textId="534B1169"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F4758">
        <w:rPr>
          <w:rFonts w:ascii="Times New Roman" w:hAnsi="Times New Roman" w:cs="Times New Roman"/>
          <w:color w:val="000000" w:themeColor="text1"/>
          <w:sz w:val="20"/>
          <w:szCs w:val="20"/>
        </w:rPr>
        <w:t xml:space="preserve">Coulter DM. The New Zealand intensive medicines monitoring </w:t>
      </w:r>
      <w:proofErr w:type="spellStart"/>
      <w:r w:rsidRPr="007F4758">
        <w:rPr>
          <w:rFonts w:ascii="Times New Roman" w:hAnsi="Times New Roman" w:cs="Times New Roman"/>
          <w:color w:val="000000" w:themeColor="text1"/>
          <w:sz w:val="20"/>
          <w:szCs w:val="20"/>
        </w:rPr>
        <w:t>programme</w:t>
      </w:r>
      <w:proofErr w:type="spellEnd"/>
      <w:r w:rsidRPr="007F4758">
        <w:rPr>
          <w:rFonts w:ascii="Times New Roman" w:hAnsi="Times New Roman" w:cs="Times New Roman"/>
          <w:color w:val="000000" w:themeColor="text1"/>
          <w:sz w:val="20"/>
          <w:szCs w:val="20"/>
        </w:rPr>
        <w:t xml:space="preserve"> in proactive safety surveillance. </w:t>
      </w:r>
      <w:proofErr w:type="spellStart"/>
      <w:r w:rsidRPr="007F4758">
        <w:rPr>
          <w:rFonts w:ascii="Times New Roman" w:hAnsi="Times New Roman" w:cs="Times New Roman"/>
          <w:color w:val="000000" w:themeColor="text1"/>
          <w:sz w:val="20"/>
          <w:szCs w:val="20"/>
        </w:rPr>
        <w:t>Pharmacoepidemiol</w:t>
      </w:r>
      <w:proofErr w:type="spellEnd"/>
      <w:r w:rsidRPr="007F4758">
        <w:rPr>
          <w:rFonts w:ascii="Times New Roman" w:hAnsi="Times New Roman" w:cs="Times New Roman"/>
          <w:color w:val="000000" w:themeColor="text1"/>
          <w:sz w:val="20"/>
          <w:szCs w:val="20"/>
        </w:rPr>
        <w:t xml:space="preserve"> Drug </w:t>
      </w:r>
      <w:proofErr w:type="spellStart"/>
      <w:r w:rsidRPr="007F4758">
        <w:rPr>
          <w:rFonts w:ascii="Times New Roman" w:hAnsi="Times New Roman" w:cs="Times New Roman"/>
          <w:color w:val="000000" w:themeColor="text1"/>
          <w:sz w:val="20"/>
          <w:szCs w:val="20"/>
        </w:rPr>
        <w:t>Saf</w:t>
      </w:r>
      <w:proofErr w:type="spellEnd"/>
      <w:r w:rsidRPr="007F4758">
        <w:rPr>
          <w:rFonts w:ascii="Times New Roman" w:hAnsi="Times New Roman" w:cs="Times New Roman"/>
          <w:color w:val="000000" w:themeColor="text1"/>
          <w:sz w:val="20"/>
          <w:szCs w:val="20"/>
        </w:rPr>
        <w:t>. 2000</w:t>
      </w:r>
      <w:proofErr w:type="gramStart"/>
      <w:r w:rsidRPr="007F4758">
        <w:rPr>
          <w:rFonts w:ascii="Times New Roman" w:hAnsi="Times New Roman" w:cs="Times New Roman"/>
          <w:color w:val="000000" w:themeColor="text1"/>
          <w:sz w:val="20"/>
          <w:szCs w:val="20"/>
        </w:rPr>
        <w:t>;9:273</w:t>
      </w:r>
      <w:proofErr w:type="gramEnd"/>
      <w:r w:rsidRPr="007F4758">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7F4758">
        <w:rPr>
          <w:rFonts w:ascii="Times New Roman" w:hAnsi="Times New Roman" w:cs="Times New Roman"/>
          <w:color w:val="000000" w:themeColor="text1"/>
          <w:sz w:val="20"/>
          <w:szCs w:val="20"/>
        </w:rPr>
        <w:t>80. [PubMed] [Google Scholar]</w:t>
      </w:r>
    </w:p>
    <w:p w14:paraId="0F463EF2" w14:textId="77777777"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F4758">
        <w:rPr>
          <w:rFonts w:ascii="Times New Roman" w:hAnsi="Times New Roman" w:cs="Times New Roman"/>
          <w:color w:val="000000" w:themeColor="text1"/>
          <w:sz w:val="20"/>
          <w:szCs w:val="20"/>
        </w:rPr>
        <w:t xml:space="preserve">Mackay FJ. Post-marketing studies: The work of the drug safety research unit. Drug </w:t>
      </w:r>
      <w:proofErr w:type="spellStart"/>
      <w:r w:rsidRPr="007F4758">
        <w:rPr>
          <w:rFonts w:ascii="Times New Roman" w:hAnsi="Times New Roman" w:cs="Times New Roman"/>
          <w:color w:val="000000" w:themeColor="text1"/>
          <w:sz w:val="20"/>
          <w:szCs w:val="20"/>
        </w:rPr>
        <w:t>Saf</w:t>
      </w:r>
      <w:proofErr w:type="spellEnd"/>
      <w:r w:rsidRPr="007F4758">
        <w:rPr>
          <w:rFonts w:ascii="Times New Roman" w:hAnsi="Times New Roman" w:cs="Times New Roman"/>
          <w:color w:val="000000" w:themeColor="text1"/>
          <w:sz w:val="20"/>
          <w:szCs w:val="20"/>
        </w:rPr>
        <w:t>. 1998</w:t>
      </w:r>
      <w:proofErr w:type="gramStart"/>
      <w:r w:rsidRPr="007F4758">
        <w:rPr>
          <w:rFonts w:ascii="Times New Roman" w:hAnsi="Times New Roman" w:cs="Times New Roman"/>
          <w:color w:val="000000" w:themeColor="text1"/>
          <w:sz w:val="20"/>
          <w:szCs w:val="20"/>
        </w:rPr>
        <w:t>;19:343</w:t>
      </w:r>
      <w:proofErr w:type="gramEnd"/>
      <w:r w:rsidRPr="007F4758">
        <w:rPr>
          <w:rFonts w:ascii="Times New Roman" w:hAnsi="Times New Roman" w:cs="Times New Roman"/>
          <w:color w:val="000000" w:themeColor="text1"/>
          <w:sz w:val="20"/>
          <w:szCs w:val="20"/>
        </w:rPr>
        <w:t>–53. [PubMed] [Google Scholar]</w:t>
      </w:r>
    </w:p>
    <w:p w14:paraId="168A2385" w14:textId="1B888E9C"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7F4758">
        <w:rPr>
          <w:rFonts w:ascii="Times New Roman" w:hAnsi="Times New Roman" w:cs="Times New Roman"/>
          <w:color w:val="000000" w:themeColor="text1"/>
          <w:sz w:val="20"/>
          <w:szCs w:val="20"/>
        </w:rPr>
        <w:t>Folb</w:t>
      </w:r>
      <w:proofErr w:type="spellEnd"/>
      <w:r w:rsidRPr="007F4758">
        <w:rPr>
          <w:rFonts w:ascii="Times New Roman" w:hAnsi="Times New Roman" w:cs="Times New Roman"/>
          <w:color w:val="000000" w:themeColor="text1"/>
          <w:sz w:val="20"/>
          <w:szCs w:val="20"/>
        </w:rPr>
        <w:t xml:space="preserve"> PI, </w:t>
      </w:r>
      <w:proofErr w:type="gramStart"/>
      <w:r w:rsidRPr="007F4758">
        <w:rPr>
          <w:rFonts w:ascii="Times New Roman" w:hAnsi="Times New Roman" w:cs="Times New Roman"/>
          <w:color w:val="000000" w:themeColor="text1"/>
          <w:sz w:val="20"/>
          <w:szCs w:val="20"/>
        </w:rPr>
        <w:t>ten Ham M. Drug monitoring in developing countries</w:t>
      </w:r>
      <w:proofErr w:type="gramEnd"/>
      <w:r w:rsidRPr="007F4758">
        <w:rPr>
          <w:rFonts w:ascii="Times New Roman" w:hAnsi="Times New Roman" w:cs="Times New Roman"/>
          <w:color w:val="000000" w:themeColor="text1"/>
          <w:sz w:val="20"/>
          <w:szCs w:val="20"/>
        </w:rPr>
        <w:t xml:space="preserve">: A drug regulator’s perspective. Drug </w:t>
      </w:r>
      <w:proofErr w:type="spellStart"/>
      <w:r w:rsidRPr="007F4758">
        <w:rPr>
          <w:rFonts w:ascii="Times New Roman" w:hAnsi="Times New Roman" w:cs="Times New Roman"/>
          <w:color w:val="000000" w:themeColor="text1"/>
          <w:sz w:val="20"/>
          <w:szCs w:val="20"/>
        </w:rPr>
        <w:t>Inf</w:t>
      </w:r>
      <w:proofErr w:type="spellEnd"/>
      <w:r w:rsidRPr="007F4758">
        <w:rPr>
          <w:rFonts w:ascii="Times New Roman" w:hAnsi="Times New Roman" w:cs="Times New Roman"/>
          <w:color w:val="000000" w:themeColor="text1"/>
          <w:sz w:val="20"/>
          <w:szCs w:val="20"/>
        </w:rPr>
        <w:t xml:space="preserve"> J. 1995</w:t>
      </w:r>
      <w:proofErr w:type="gramStart"/>
      <w:r w:rsidRPr="007F4758">
        <w:rPr>
          <w:rFonts w:ascii="Times New Roman" w:hAnsi="Times New Roman" w:cs="Times New Roman"/>
          <w:color w:val="000000" w:themeColor="text1"/>
          <w:sz w:val="20"/>
          <w:szCs w:val="20"/>
        </w:rPr>
        <w:t>;29:303</w:t>
      </w:r>
      <w:proofErr w:type="gramEnd"/>
      <w:r w:rsidRPr="007F4758">
        <w:rPr>
          <w:rFonts w:ascii="Times New Roman" w:hAnsi="Times New Roman" w:cs="Times New Roman"/>
          <w:color w:val="000000" w:themeColor="text1"/>
          <w:sz w:val="20"/>
          <w:szCs w:val="20"/>
        </w:rPr>
        <w:t>–5. [Google Scholar]</w:t>
      </w:r>
      <w:r>
        <w:rPr>
          <w:rFonts w:ascii="Times New Roman" w:hAnsi="Times New Roman" w:cs="Times New Roman"/>
          <w:color w:val="000000" w:themeColor="text1"/>
          <w:sz w:val="20"/>
          <w:szCs w:val="20"/>
        </w:rPr>
        <w:t xml:space="preserve"> </w:t>
      </w:r>
      <w:r w:rsidRPr="007F4758">
        <w:rPr>
          <w:rFonts w:ascii="Times New Roman" w:hAnsi="Times New Roman" w:cs="Times New Roman"/>
          <w:color w:val="000000" w:themeColor="text1"/>
          <w:sz w:val="20"/>
          <w:szCs w:val="20"/>
        </w:rPr>
        <w:t xml:space="preserve">Regulator’s    perspective. Drug    </w:t>
      </w:r>
      <w:proofErr w:type="spellStart"/>
      <w:r w:rsidRPr="007F4758">
        <w:rPr>
          <w:rFonts w:ascii="Times New Roman" w:hAnsi="Times New Roman" w:cs="Times New Roman"/>
          <w:color w:val="000000" w:themeColor="text1"/>
          <w:sz w:val="20"/>
          <w:szCs w:val="20"/>
        </w:rPr>
        <w:t>Inf</w:t>
      </w:r>
      <w:proofErr w:type="spellEnd"/>
      <w:r w:rsidRPr="007F4758">
        <w:rPr>
          <w:rFonts w:ascii="Times New Roman" w:hAnsi="Times New Roman" w:cs="Times New Roman"/>
          <w:color w:val="000000" w:themeColor="text1"/>
          <w:sz w:val="20"/>
          <w:szCs w:val="20"/>
        </w:rPr>
        <w:t xml:space="preserve">     J. 1995</w:t>
      </w:r>
      <w:proofErr w:type="gramStart"/>
      <w:r w:rsidRPr="007F4758">
        <w:rPr>
          <w:rFonts w:ascii="Times New Roman" w:hAnsi="Times New Roman" w:cs="Times New Roman"/>
          <w:color w:val="000000" w:themeColor="text1"/>
          <w:sz w:val="20"/>
          <w:szCs w:val="20"/>
        </w:rPr>
        <w:t>;29:303</w:t>
      </w:r>
      <w:proofErr w:type="gramEnd"/>
      <w:r w:rsidRPr="007F4758">
        <w:rPr>
          <w:rFonts w:ascii="Times New Roman" w:hAnsi="Times New Roman" w:cs="Times New Roman"/>
          <w:color w:val="000000" w:themeColor="text1"/>
          <w:sz w:val="20"/>
          <w:szCs w:val="20"/>
        </w:rPr>
        <w:t xml:space="preserve">–5. [Google Scholar08. Moore N. The role of the clinical pharmacologist in the management of ADRs. Drug </w:t>
      </w:r>
      <w:proofErr w:type="spellStart"/>
      <w:r w:rsidRPr="007F4758">
        <w:rPr>
          <w:rFonts w:ascii="Times New Roman" w:hAnsi="Times New Roman" w:cs="Times New Roman"/>
          <w:color w:val="000000" w:themeColor="text1"/>
          <w:sz w:val="20"/>
          <w:szCs w:val="20"/>
        </w:rPr>
        <w:t>Saf</w:t>
      </w:r>
      <w:proofErr w:type="spellEnd"/>
      <w:r w:rsidRPr="007F4758">
        <w:rPr>
          <w:rFonts w:ascii="Times New Roman" w:hAnsi="Times New Roman" w:cs="Times New Roman"/>
          <w:color w:val="000000" w:themeColor="text1"/>
          <w:sz w:val="20"/>
          <w:szCs w:val="20"/>
        </w:rPr>
        <w:t>. 2001</w:t>
      </w:r>
      <w:proofErr w:type="gramStart"/>
      <w:r w:rsidRPr="007F4758">
        <w:rPr>
          <w:rFonts w:ascii="Times New Roman" w:hAnsi="Times New Roman" w:cs="Times New Roman"/>
          <w:color w:val="000000" w:themeColor="text1"/>
          <w:sz w:val="20"/>
          <w:szCs w:val="20"/>
        </w:rPr>
        <w:t>;24:1</w:t>
      </w:r>
      <w:proofErr w:type="gramEnd"/>
      <w:r w:rsidRPr="007F4758">
        <w:rPr>
          <w:rFonts w:ascii="Times New Roman" w:hAnsi="Times New Roman" w:cs="Times New Roman"/>
          <w:color w:val="000000" w:themeColor="text1"/>
          <w:sz w:val="20"/>
          <w:szCs w:val="20"/>
        </w:rPr>
        <w:t>–7. [PubMed] [Google Scholar]</w:t>
      </w:r>
    </w:p>
    <w:p w14:paraId="4C81502D" w14:textId="77777777"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F4758">
        <w:rPr>
          <w:rFonts w:ascii="Times New Roman" w:hAnsi="Times New Roman" w:cs="Times New Roman"/>
          <w:color w:val="000000" w:themeColor="text1"/>
          <w:sz w:val="20"/>
          <w:szCs w:val="20"/>
        </w:rPr>
        <w:t xml:space="preserve">Hall M, McCormack P, Arthurs N, Feely J. The spontaneous reporting of ADRs   by   nurses. Br   J   </w:t>
      </w:r>
      <w:proofErr w:type="spellStart"/>
      <w:r w:rsidRPr="007F4758">
        <w:rPr>
          <w:rFonts w:ascii="Times New Roman" w:hAnsi="Times New Roman" w:cs="Times New Roman"/>
          <w:color w:val="000000" w:themeColor="text1"/>
          <w:sz w:val="20"/>
          <w:szCs w:val="20"/>
        </w:rPr>
        <w:t>Clin</w:t>
      </w:r>
      <w:proofErr w:type="spellEnd"/>
      <w:r w:rsidRPr="007F4758">
        <w:rPr>
          <w:rFonts w:ascii="Times New Roman" w:hAnsi="Times New Roman" w:cs="Times New Roman"/>
          <w:color w:val="000000" w:themeColor="text1"/>
          <w:sz w:val="20"/>
          <w:szCs w:val="20"/>
        </w:rPr>
        <w:t xml:space="preserve">   </w:t>
      </w:r>
      <w:proofErr w:type="spellStart"/>
      <w:r w:rsidRPr="007F4758">
        <w:rPr>
          <w:rFonts w:ascii="Times New Roman" w:hAnsi="Times New Roman" w:cs="Times New Roman"/>
          <w:color w:val="000000" w:themeColor="text1"/>
          <w:sz w:val="20"/>
          <w:szCs w:val="20"/>
        </w:rPr>
        <w:t>Pharmacol</w:t>
      </w:r>
      <w:proofErr w:type="spellEnd"/>
      <w:r w:rsidRPr="007F4758">
        <w:rPr>
          <w:rFonts w:ascii="Times New Roman" w:hAnsi="Times New Roman" w:cs="Times New Roman"/>
          <w:color w:val="000000" w:themeColor="text1"/>
          <w:sz w:val="20"/>
          <w:szCs w:val="20"/>
        </w:rPr>
        <w:t>. 1995</w:t>
      </w:r>
      <w:proofErr w:type="gramStart"/>
      <w:r w:rsidRPr="007F4758">
        <w:rPr>
          <w:rFonts w:ascii="Times New Roman" w:hAnsi="Times New Roman" w:cs="Times New Roman"/>
          <w:color w:val="000000" w:themeColor="text1"/>
          <w:sz w:val="20"/>
          <w:szCs w:val="20"/>
        </w:rPr>
        <w:t>;40:173</w:t>
      </w:r>
      <w:proofErr w:type="gramEnd"/>
      <w:r w:rsidRPr="007F4758">
        <w:rPr>
          <w:rFonts w:ascii="Times New Roman" w:hAnsi="Times New Roman" w:cs="Times New Roman"/>
          <w:color w:val="000000" w:themeColor="text1"/>
          <w:sz w:val="20"/>
          <w:szCs w:val="20"/>
        </w:rPr>
        <w:t>–5. [PMC   free article] [PubMed] [Google Scholar</w:t>
      </w:r>
    </w:p>
    <w:p w14:paraId="17EDA44B" w14:textId="77777777"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F4758">
        <w:rPr>
          <w:rFonts w:ascii="Times New Roman" w:hAnsi="Times New Roman" w:cs="Times New Roman"/>
          <w:color w:val="000000" w:themeColor="text1"/>
          <w:sz w:val="20"/>
          <w:szCs w:val="20"/>
        </w:rPr>
        <w:t xml:space="preserve">Hall M, McCormack P, Arthurs N, Feely J. The spontaneous reporting of ADRs   by   nurses. Br   J   </w:t>
      </w:r>
      <w:proofErr w:type="spellStart"/>
      <w:r w:rsidRPr="007F4758">
        <w:rPr>
          <w:rFonts w:ascii="Times New Roman" w:hAnsi="Times New Roman" w:cs="Times New Roman"/>
          <w:color w:val="000000" w:themeColor="text1"/>
          <w:sz w:val="20"/>
          <w:szCs w:val="20"/>
        </w:rPr>
        <w:t>Clin</w:t>
      </w:r>
      <w:proofErr w:type="spellEnd"/>
      <w:r w:rsidRPr="007F4758">
        <w:rPr>
          <w:rFonts w:ascii="Times New Roman" w:hAnsi="Times New Roman" w:cs="Times New Roman"/>
          <w:color w:val="000000" w:themeColor="text1"/>
          <w:sz w:val="20"/>
          <w:szCs w:val="20"/>
        </w:rPr>
        <w:t xml:space="preserve">   </w:t>
      </w:r>
      <w:proofErr w:type="spellStart"/>
      <w:r w:rsidRPr="007F4758">
        <w:rPr>
          <w:rFonts w:ascii="Times New Roman" w:hAnsi="Times New Roman" w:cs="Times New Roman"/>
          <w:color w:val="000000" w:themeColor="text1"/>
          <w:sz w:val="20"/>
          <w:szCs w:val="20"/>
        </w:rPr>
        <w:t>Pharmacol</w:t>
      </w:r>
      <w:proofErr w:type="spellEnd"/>
      <w:r w:rsidRPr="007F4758">
        <w:rPr>
          <w:rFonts w:ascii="Times New Roman" w:hAnsi="Times New Roman" w:cs="Times New Roman"/>
          <w:color w:val="000000" w:themeColor="text1"/>
          <w:sz w:val="20"/>
          <w:szCs w:val="20"/>
        </w:rPr>
        <w:t>. 1995</w:t>
      </w:r>
      <w:proofErr w:type="gramStart"/>
      <w:r w:rsidRPr="007F4758">
        <w:rPr>
          <w:rFonts w:ascii="Times New Roman" w:hAnsi="Times New Roman" w:cs="Times New Roman"/>
          <w:color w:val="000000" w:themeColor="text1"/>
          <w:sz w:val="20"/>
          <w:szCs w:val="20"/>
        </w:rPr>
        <w:t>;40:173</w:t>
      </w:r>
      <w:proofErr w:type="gramEnd"/>
      <w:r w:rsidRPr="007F4758">
        <w:rPr>
          <w:rFonts w:ascii="Times New Roman" w:hAnsi="Times New Roman" w:cs="Times New Roman"/>
          <w:color w:val="000000" w:themeColor="text1"/>
          <w:sz w:val="20"/>
          <w:szCs w:val="20"/>
        </w:rPr>
        <w:t>–5. [PMC   free article] [PubMed] [Google Scholar</w:t>
      </w:r>
      <w:proofErr w:type="gramStart"/>
      <w:r w:rsidRPr="007F4758">
        <w:rPr>
          <w:rFonts w:ascii="Times New Roman" w:hAnsi="Times New Roman" w:cs="Times New Roman"/>
          <w:color w:val="000000" w:themeColor="text1"/>
          <w:sz w:val="20"/>
          <w:szCs w:val="20"/>
        </w:rPr>
        <w:t>]10</w:t>
      </w:r>
      <w:proofErr w:type="gramEnd"/>
      <w:r w:rsidRPr="007F4758">
        <w:rPr>
          <w:rFonts w:ascii="Times New Roman" w:hAnsi="Times New Roman" w:cs="Times New Roman"/>
          <w:color w:val="000000" w:themeColor="text1"/>
          <w:sz w:val="20"/>
          <w:szCs w:val="20"/>
        </w:rPr>
        <w:t xml:space="preserve">. </w:t>
      </w:r>
      <w:proofErr w:type="spellStart"/>
      <w:r w:rsidRPr="007F4758">
        <w:rPr>
          <w:rFonts w:ascii="Times New Roman" w:hAnsi="Times New Roman" w:cs="Times New Roman"/>
          <w:color w:val="000000" w:themeColor="text1"/>
          <w:sz w:val="20"/>
          <w:szCs w:val="20"/>
        </w:rPr>
        <w:t>Hornbuckle</w:t>
      </w:r>
      <w:proofErr w:type="spellEnd"/>
      <w:r w:rsidRPr="007F4758">
        <w:rPr>
          <w:rFonts w:ascii="Times New Roman" w:hAnsi="Times New Roman" w:cs="Times New Roman"/>
          <w:color w:val="000000" w:themeColor="text1"/>
          <w:sz w:val="20"/>
          <w:szCs w:val="20"/>
        </w:rPr>
        <w:t xml:space="preserve"> K, Wu HH, Fung MC. Evaluation of spontaneous adverse event reports by primary reporter: A 15-year review (1983 to 1997) Drug </w:t>
      </w:r>
      <w:proofErr w:type="spellStart"/>
      <w:r w:rsidRPr="007F4758">
        <w:rPr>
          <w:rFonts w:ascii="Times New Roman" w:hAnsi="Times New Roman" w:cs="Times New Roman"/>
          <w:color w:val="000000" w:themeColor="text1"/>
          <w:sz w:val="20"/>
          <w:szCs w:val="20"/>
        </w:rPr>
        <w:t>Inf</w:t>
      </w:r>
      <w:proofErr w:type="spellEnd"/>
      <w:r w:rsidRPr="007F4758">
        <w:rPr>
          <w:rFonts w:ascii="Times New Roman" w:hAnsi="Times New Roman" w:cs="Times New Roman"/>
          <w:color w:val="000000" w:themeColor="text1"/>
          <w:sz w:val="20"/>
          <w:szCs w:val="20"/>
        </w:rPr>
        <w:t xml:space="preserve"> J. 1999</w:t>
      </w:r>
      <w:proofErr w:type="gramStart"/>
      <w:r w:rsidRPr="007F4758">
        <w:rPr>
          <w:rFonts w:ascii="Times New Roman" w:hAnsi="Times New Roman" w:cs="Times New Roman"/>
          <w:color w:val="000000" w:themeColor="text1"/>
          <w:sz w:val="20"/>
          <w:szCs w:val="20"/>
        </w:rPr>
        <w:t>;33:1117</w:t>
      </w:r>
      <w:proofErr w:type="gramEnd"/>
      <w:r w:rsidRPr="007F4758">
        <w:rPr>
          <w:rFonts w:ascii="Times New Roman" w:hAnsi="Times New Roman" w:cs="Times New Roman"/>
          <w:color w:val="000000" w:themeColor="text1"/>
          <w:sz w:val="20"/>
          <w:szCs w:val="20"/>
        </w:rPr>
        <w:t xml:space="preserve">–24. </w:t>
      </w:r>
      <w:r w:rsidRPr="007F4758">
        <w:rPr>
          <w:rFonts w:ascii="Times New Roman" w:hAnsi="Times New Roman" w:cs="Times New Roman"/>
          <w:color w:val="000000" w:themeColor="text1"/>
          <w:sz w:val="20"/>
          <w:szCs w:val="20"/>
        </w:rPr>
        <w:lastRenderedPageBreak/>
        <w:t>[Google Scholar]</w:t>
      </w:r>
    </w:p>
    <w:p w14:paraId="12C491D6" w14:textId="77777777"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F4758">
        <w:rPr>
          <w:rFonts w:ascii="Times New Roman" w:hAnsi="Times New Roman" w:cs="Times New Roman"/>
          <w:color w:val="000000" w:themeColor="text1"/>
          <w:sz w:val="20"/>
          <w:szCs w:val="20"/>
        </w:rPr>
        <w:t xml:space="preserve">WHO Policy Perspectives on Medicines. Geneva: WHO; 2004. Geneva: World Health Organization. Looking at the </w:t>
      </w:r>
      <w:proofErr w:type="spellStart"/>
      <w:r w:rsidRPr="007F4758">
        <w:rPr>
          <w:rFonts w:ascii="Times New Roman" w:hAnsi="Times New Roman" w:cs="Times New Roman"/>
          <w:color w:val="000000" w:themeColor="text1"/>
          <w:sz w:val="20"/>
          <w:szCs w:val="20"/>
        </w:rPr>
        <w:t>Pharmacovigilance</w:t>
      </w:r>
      <w:proofErr w:type="spellEnd"/>
      <w:r w:rsidRPr="007F4758">
        <w:rPr>
          <w:rFonts w:ascii="Times New Roman" w:hAnsi="Times New Roman" w:cs="Times New Roman"/>
          <w:color w:val="000000" w:themeColor="text1"/>
          <w:sz w:val="20"/>
          <w:szCs w:val="20"/>
        </w:rPr>
        <w:t>: ensuring the safe</w:t>
      </w:r>
      <w:r w:rsidRPr="007F4758">
        <w:rPr>
          <w:rFonts w:ascii="Times New Roman" w:hAnsi="Times New Roman" w:cs="Times New Roman"/>
          <w:color w:val="000000" w:themeColor="text1"/>
          <w:sz w:val="20"/>
          <w:szCs w:val="20"/>
        </w:rPr>
        <w:tab/>
        <w:t>use</w:t>
      </w:r>
      <w:r w:rsidRPr="007F4758">
        <w:rPr>
          <w:rFonts w:ascii="Times New Roman" w:hAnsi="Times New Roman" w:cs="Times New Roman"/>
          <w:color w:val="000000" w:themeColor="text1"/>
          <w:sz w:val="20"/>
          <w:szCs w:val="20"/>
        </w:rPr>
        <w:tab/>
        <w:t>of</w:t>
      </w:r>
      <w:r w:rsidRPr="007F4758">
        <w:rPr>
          <w:rFonts w:ascii="Times New Roman" w:hAnsi="Times New Roman" w:cs="Times New Roman"/>
          <w:color w:val="000000" w:themeColor="text1"/>
          <w:sz w:val="20"/>
          <w:szCs w:val="20"/>
        </w:rPr>
        <w:tab/>
        <w:t>medicines.</w:t>
      </w:r>
      <w:r w:rsidRPr="007F4758">
        <w:rPr>
          <w:rFonts w:ascii="Times New Roman" w:hAnsi="Times New Roman" w:cs="Times New Roman"/>
          <w:color w:val="000000" w:themeColor="text1"/>
          <w:sz w:val="20"/>
          <w:szCs w:val="20"/>
        </w:rPr>
        <w:tab/>
        <w:t>Available from: http://www.whqlibdoc.who.int/hq/2004/WHO_EDM_2004.8.pdf [cited on 2009 Dec 15] [Google Scholar]</w:t>
      </w:r>
    </w:p>
    <w:p w14:paraId="1A1B8840" w14:textId="77777777"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7F4758">
        <w:rPr>
          <w:rFonts w:ascii="Times New Roman" w:hAnsi="Times New Roman" w:cs="Times New Roman"/>
          <w:color w:val="000000" w:themeColor="text1"/>
          <w:sz w:val="20"/>
          <w:szCs w:val="20"/>
        </w:rPr>
        <w:t>Cioms</w:t>
      </w:r>
      <w:proofErr w:type="spellEnd"/>
      <w:r w:rsidRPr="007F4758">
        <w:rPr>
          <w:rFonts w:ascii="Times New Roman" w:hAnsi="Times New Roman" w:cs="Times New Roman"/>
          <w:color w:val="000000" w:themeColor="text1"/>
          <w:sz w:val="20"/>
          <w:szCs w:val="20"/>
        </w:rPr>
        <w:t xml:space="preserve"> CH. Geneva. Benefit-risk balance for marketed drugs. Evaluating safety signals: Report of CIOMS working group IV CIOMS, Geneva. 1998. Available from: http://www.cioms.ch/publications/g4-benefit-risk.pdf [last cited on 2010 Jan 15]</w:t>
      </w:r>
    </w:p>
    <w:p w14:paraId="2D46B9FF" w14:textId="77777777"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F4758">
        <w:rPr>
          <w:rFonts w:ascii="Times New Roman" w:hAnsi="Times New Roman" w:cs="Times New Roman"/>
          <w:color w:val="000000" w:themeColor="text1"/>
          <w:sz w:val="20"/>
          <w:szCs w:val="20"/>
        </w:rPr>
        <w:t xml:space="preserve">WHO Policy Perspectives on Medicines. Geneva: WHO; 2004. Geneva: World Health Organization. Looking at the </w:t>
      </w:r>
      <w:proofErr w:type="spellStart"/>
      <w:r w:rsidRPr="007F4758">
        <w:rPr>
          <w:rFonts w:ascii="Times New Roman" w:hAnsi="Times New Roman" w:cs="Times New Roman"/>
          <w:color w:val="000000" w:themeColor="text1"/>
          <w:sz w:val="20"/>
          <w:szCs w:val="20"/>
        </w:rPr>
        <w:t>Pharmacovigilance</w:t>
      </w:r>
      <w:proofErr w:type="spellEnd"/>
      <w:r w:rsidRPr="007F4758">
        <w:rPr>
          <w:rFonts w:ascii="Times New Roman" w:hAnsi="Times New Roman" w:cs="Times New Roman"/>
          <w:color w:val="000000" w:themeColor="text1"/>
          <w:sz w:val="20"/>
          <w:szCs w:val="20"/>
        </w:rPr>
        <w:t>: ensuring the safe</w:t>
      </w:r>
      <w:r w:rsidRPr="007F4758">
        <w:rPr>
          <w:rFonts w:ascii="Times New Roman" w:hAnsi="Times New Roman" w:cs="Times New Roman"/>
          <w:color w:val="000000" w:themeColor="text1"/>
          <w:sz w:val="20"/>
          <w:szCs w:val="20"/>
        </w:rPr>
        <w:tab/>
        <w:t>use</w:t>
      </w:r>
      <w:r w:rsidRPr="007F4758">
        <w:rPr>
          <w:rFonts w:ascii="Times New Roman" w:hAnsi="Times New Roman" w:cs="Times New Roman"/>
          <w:color w:val="000000" w:themeColor="text1"/>
          <w:sz w:val="20"/>
          <w:szCs w:val="20"/>
        </w:rPr>
        <w:tab/>
        <w:t>of</w:t>
      </w:r>
      <w:r w:rsidRPr="007F4758">
        <w:rPr>
          <w:rFonts w:ascii="Times New Roman" w:hAnsi="Times New Roman" w:cs="Times New Roman"/>
          <w:color w:val="000000" w:themeColor="text1"/>
          <w:sz w:val="20"/>
          <w:szCs w:val="20"/>
        </w:rPr>
        <w:tab/>
        <w:t>medicines.</w:t>
      </w:r>
      <w:r w:rsidRPr="007F4758">
        <w:rPr>
          <w:rFonts w:ascii="Times New Roman" w:hAnsi="Times New Roman" w:cs="Times New Roman"/>
          <w:color w:val="000000" w:themeColor="text1"/>
          <w:sz w:val="20"/>
          <w:szCs w:val="20"/>
        </w:rPr>
        <w:tab/>
        <w:t>Available from: http://www.whqlibdoc.who.int/hq/2004/WHO_EDM_2004.8.pdf [cited on 2009 Dec 15] [Google Scholar]</w:t>
      </w:r>
    </w:p>
    <w:p w14:paraId="0D5A2EB3" w14:textId="77777777"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7F4758">
        <w:rPr>
          <w:rFonts w:ascii="Times New Roman" w:hAnsi="Times New Roman" w:cs="Times New Roman"/>
          <w:color w:val="000000" w:themeColor="text1"/>
          <w:sz w:val="20"/>
          <w:szCs w:val="20"/>
        </w:rPr>
        <w:t>Avorn</w:t>
      </w:r>
      <w:proofErr w:type="spellEnd"/>
      <w:r w:rsidRPr="007F4758">
        <w:rPr>
          <w:rFonts w:ascii="Times New Roman" w:hAnsi="Times New Roman" w:cs="Times New Roman"/>
          <w:color w:val="000000" w:themeColor="text1"/>
          <w:sz w:val="20"/>
          <w:szCs w:val="20"/>
        </w:rPr>
        <w:t xml:space="preserve"> J, Solomon DH. Cultural and economic factors that (</w:t>
      </w:r>
      <w:proofErr w:type="spellStart"/>
      <w:r w:rsidRPr="007F4758">
        <w:rPr>
          <w:rFonts w:ascii="Times New Roman" w:hAnsi="Times New Roman" w:cs="Times New Roman"/>
          <w:color w:val="000000" w:themeColor="text1"/>
          <w:sz w:val="20"/>
          <w:szCs w:val="20"/>
        </w:rPr>
        <w:t>mis</w:t>
      </w:r>
      <w:proofErr w:type="spellEnd"/>
      <w:r w:rsidRPr="007F4758">
        <w:rPr>
          <w:rFonts w:ascii="Times New Roman" w:hAnsi="Times New Roman" w:cs="Times New Roman"/>
          <w:color w:val="000000" w:themeColor="text1"/>
          <w:sz w:val="20"/>
          <w:szCs w:val="20"/>
        </w:rPr>
        <w:t xml:space="preserve">)shape antibiotic use: The </w:t>
      </w:r>
      <w:proofErr w:type="spellStart"/>
      <w:r w:rsidRPr="007F4758">
        <w:rPr>
          <w:rFonts w:ascii="Times New Roman" w:hAnsi="Times New Roman" w:cs="Times New Roman"/>
          <w:color w:val="000000" w:themeColor="text1"/>
          <w:sz w:val="20"/>
          <w:szCs w:val="20"/>
        </w:rPr>
        <w:t>nonpharmacologic</w:t>
      </w:r>
      <w:proofErr w:type="spellEnd"/>
      <w:r w:rsidRPr="007F4758">
        <w:rPr>
          <w:rFonts w:ascii="Times New Roman" w:hAnsi="Times New Roman" w:cs="Times New Roman"/>
          <w:color w:val="000000" w:themeColor="text1"/>
          <w:sz w:val="20"/>
          <w:szCs w:val="20"/>
        </w:rPr>
        <w:t xml:space="preserve"> basis of   therapeutics. Ann   Intern Med. 2000</w:t>
      </w:r>
      <w:proofErr w:type="gramStart"/>
      <w:r w:rsidRPr="007F4758">
        <w:rPr>
          <w:rFonts w:ascii="Times New Roman" w:hAnsi="Times New Roman" w:cs="Times New Roman"/>
          <w:color w:val="000000" w:themeColor="text1"/>
          <w:sz w:val="20"/>
          <w:szCs w:val="20"/>
        </w:rPr>
        <w:t>;133:128</w:t>
      </w:r>
      <w:proofErr w:type="gramEnd"/>
      <w:r w:rsidRPr="007F4758">
        <w:rPr>
          <w:rFonts w:ascii="Times New Roman" w:hAnsi="Times New Roman" w:cs="Times New Roman"/>
          <w:color w:val="000000" w:themeColor="text1"/>
          <w:sz w:val="20"/>
          <w:szCs w:val="20"/>
        </w:rPr>
        <w:t>–35. [PubMed] [Google Scholar]</w:t>
      </w:r>
    </w:p>
    <w:p w14:paraId="57BE524E" w14:textId="77777777"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F4758">
        <w:rPr>
          <w:rFonts w:ascii="Times New Roman" w:hAnsi="Times New Roman" w:cs="Times New Roman"/>
          <w:color w:val="000000" w:themeColor="text1"/>
          <w:sz w:val="20"/>
          <w:szCs w:val="20"/>
        </w:rPr>
        <w:t xml:space="preserve">Ball LK, Evans G, </w:t>
      </w:r>
      <w:proofErr w:type="spellStart"/>
      <w:proofErr w:type="gramStart"/>
      <w:r w:rsidRPr="007F4758">
        <w:rPr>
          <w:rFonts w:ascii="Times New Roman" w:hAnsi="Times New Roman" w:cs="Times New Roman"/>
          <w:color w:val="000000" w:themeColor="text1"/>
          <w:sz w:val="20"/>
          <w:szCs w:val="20"/>
        </w:rPr>
        <w:t>Bostrom</w:t>
      </w:r>
      <w:proofErr w:type="spellEnd"/>
      <w:proofErr w:type="gramEnd"/>
      <w:r w:rsidRPr="007F4758">
        <w:rPr>
          <w:rFonts w:ascii="Times New Roman" w:hAnsi="Times New Roman" w:cs="Times New Roman"/>
          <w:color w:val="000000" w:themeColor="text1"/>
          <w:sz w:val="20"/>
          <w:szCs w:val="20"/>
        </w:rPr>
        <w:t xml:space="preserve"> A. Risky business: Challenges in vaccine risk communication. Pediatrics. 1998</w:t>
      </w:r>
      <w:proofErr w:type="gramStart"/>
      <w:r w:rsidRPr="007F4758">
        <w:rPr>
          <w:rFonts w:ascii="Times New Roman" w:hAnsi="Times New Roman" w:cs="Times New Roman"/>
          <w:color w:val="000000" w:themeColor="text1"/>
          <w:sz w:val="20"/>
          <w:szCs w:val="20"/>
        </w:rPr>
        <w:t>;101:453</w:t>
      </w:r>
      <w:proofErr w:type="gramEnd"/>
      <w:r w:rsidRPr="007F4758">
        <w:rPr>
          <w:rFonts w:ascii="Times New Roman" w:hAnsi="Times New Roman" w:cs="Times New Roman"/>
          <w:color w:val="000000" w:themeColor="text1"/>
          <w:sz w:val="20"/>
          <w:szCs w:val="20"/>
        </w:rPr>
        <w:t>–8. [PubMed] [Google Scholar]</w:t>
      </w:r>
    </w:p>
    <w:p w14:paraId="3B686CE7" w14:textId="77777777"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F4758">
        <w:rPr>
          <w:rFonts w:ascii="Times New Roman" w:hAnsi="Times New Roman" w:cs="Times New Roman"/>
          <w:color w:val="000000" w:themeColor="text1"/>
          <w:sz w:val="20"/>
          <w:szCs w:val="20"/>
        </w:rPr>
        <w:t xml:space="preserve">WHO Policy Perspectives on Medicines. Geneva: WHO; 2004. Geneva: World Health Organization. Looking at the </w:t>
      </w:r>
      <w:proofErr w:type="spellStart"/>
      <w:r w:rsidRPr="007F4758">
        <w:rPr>
          <w:rFonts w:ascii="Times New Roman" w:hAnsi="Times New Roman" w:cs="Times New Roman"/>
          <w:color w:val="000000" w:themeColor="text1"/>
          <w:sz w:val="20"/>
          <w:szCs w:val="20"/>
        </w:rPr>
        <w:t>Pharmacovigilance</w:t>
      </w:r>
      <w:proofErr w:type="spellEnd"/>
      <w:r w:rsidRPr="007F4758">
        <w:rPr>
          <w:rFonts w:ascii="Times New Roman" w:hAnsi="Times New Roman" w:cs="Times New Roman"/>
          <w:color w:val="000000" w:themeColor="text1"/>
          <w:sz w:val="20"/>
          <w:szCs w:val="20"/>
        </w:rPr>
        <w:t>: ensuring the safe</w:t>
      </w:r>
      <w:r w:rsidRPr="007F4758">
        <w:rPr>
          <w:rFonts w:ascii="Times New Roman" w:hAnsi="Times New Roman" w:cs="Times New Roman"/>
          <w:color w:val="000000" w:themeColor="text1"/>
          <w:sz w:val="20"/>
          <w:szCs w:val="20"/>
        </w:rPr>
        <w:tab/>
        <w:t>use</w:t>
      </w:r>
      <w:r w:rsidRPr="007F4758">
        <w:rPr>
          <w:rFonts w:ascii="Times New Roman" w:hAnsi="Times New Roman" w:cs="Times New Roman"/>
          <w:color w:val="000000" w:themeColor="text1"/>
          <w:sz w:val="20"/>
          <w:szCs w:val="20"/>
        </w:rPr>
        <w:tab/>
        <w:t>of</w:t>
      </w:r>
      <w:r w:rsidRPr="007F4758">
        <w:rPr>
          <w:rFonts w:ascii="Times New Roman" w:hAnsi="Times New Roman" w:cs="Times New Roman"/>
          <w:color w:val="000000" w:themeColor="text1"/>
          <w:sz w:val="20"/>
          <w:szCs w:val="20"/>
        </w:rPr>
        <w:tab/>
        <w:t>medicines.</w:t>
      </w:r>
      <w:r w:rsidRPr="007F4758">
        <w:rPr>
          <w:rFonts w:ascii="Times New Roman" w:hAnsi="Times New Roman" w:cs="Times New Roman"/>
          <w:color w:val="000000" w:themeColor="text1"/>
          <w:sz w:val="20"/>
          <w:szCs w:val="20"/>
        </w:rPr>
        <w:tab/>
        <w:t>Available from: http://www.whqlibdoc.who.int/hq/2004/WHO_EDM_2004.8.pdf [cited on 2009 Dec 15] [Google Scholar</w:t>
      </w:r>
    </w:p>
    <w:p w14:paraId="3026A958" w14:textId="77777777"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7F4758">
        <w:rPr>
          <w:rFonts w:ascii="Times New Roman" w:hAnsi="Times New Roman" w:cs="Times New Roman"/>
          <w:color w:val="000000" w:themeColor="text1"/>
          <w:sz w:val="20"/>
          <w:szCs w:val="20"/>
        </w:rPr>
        <w:t>Wallander</w:t>
      </w:r>
      <w:proofErr w:type="spellEnd"/>
      <w:r w:rsidRPr="007F4758">
        <w:rPr>
          <w:rFonts w:ascii="Times New Roman" w:hAnsi="Times New Roman" w:cs="Times New Roman"/>
          <w:color w:val="000000" w:themeColor="text1"/>
          <w:sz w:val="20"/>
          <w:szCs w:val="20"/>
        </w:rPr>
        <w:t xml:space="preserve"> MA. The way towards adverse event monitoring in clinical trials. Drug Safety. 1993</w:t>
      </w:r>
      <w:proofErr w:type="gramStart"/>
      <w:r w:rsidRPr="007F4758">
        <w:rPr>
          <w:rFonts w:ascii="Times New Roman" w:hAnsi="Times New Roman" w:cs="Times New Roman"/>
          <w:color w:val="000000" w:themeColor="text1"/>
          <w:sz w:val="20"/>
          <w:szCs w:val="20"/>
        </w:rPr>
        <w:t>;8:251</w:t>
      </w:r>
      <w:proofErr w:type="gramEnd"/>
      <w:r w:rsidRPr="007F4758">
        <w:rPr>
          <w:rFonts w:ascii="Times New Roman" w:hAnsi="Times New Roman" w:cs="Times New Roman"/>
          <w:color w:val="000000" w:themeColor="text1"/>
          <w:sz w:val="20"/>
          <w:szCs w:val="20"/>
        </w:rPr>
        <w:t>–262. [PubMed] [Google Scholar]</w:t>
      </w:r>
    </w:p>
    <w:p w14:paraId="3E706B64" w14:textId="77777777"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F4758">
        <w:rPr>
          <w:rFonts w:ascii="Times New Roman" w:hAnsi="Times New Roman" w:cs="Times New Roman"/>
          <w:color w:val="000000" w:themeColor="text1"/>
          <w:sz w:val="20"/>
          <w:szCs w:val="20"/>
        </w:rPr>
        <w:t>Medicines Act 1968. Guidance notes on applications for clinical trial exemptions and clinical trial certificates. MCA. 1996. pp. 94–99</w:t>
      </w:r>
    </w:p>
    <w:p w14:paraId="79D4C234" w14:textId="77777777"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F4758">
        <w:rPr>
          <w:rFonts w:ascii="Times New Roman" w:hAnsi="Times New Roman" w:cs="Times New Roman"/>
          <w:color w:val="000000" w:themeColor="text1"/>
          <w:sz w:val="20"/>
          <w:szCs w:val="20"/>
        </w:rPr>
        <w:t>Rawlins MD, Thompson JW. Mechanisms of adverse drug reactions. In: Davis DM, editor. Textbook of adverse drug reactions. 4. Oxford University Press; 1991. pp. 18–45. [Google Scholar]</w:t>
      </w:r>
    </w:p>
    <w:p w14:paraId="7D88839C" w14:textId="47F97BEB"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F4758">
        <w:rPr>
          <w:rFonts w:ascii="Times New Roman" w:hAnsi="Times New Roman" w:cs="Times New Roman"/>
          <w:color w:val="000000" w:themeColor="text1"/>
          <w:sz w:val="20"/>
          <w:szCs w:val="20"/>
        </w:rPr>
        <w:t xml:space="preserve">Rawlins MD, </w:t>
      </w:r>
      <w:proofErr w:type="spellStart"/>
      <w:r w:rsidRPr="007F4758">
        <w:rPr>
          <w:rFonts w:ascii="Times New Roman" w:hAnsi="Times New Roman" w:cs="Times New Roman"/>
          <w:color w:val="000000" w:themeColor="text1"/>
          <w:sz w:val="20"/>
          <w:szCs w:val="20"/>
        </w:rPr>
        <w:t>Jefferys</w:t>
      </w:r>
      <w:proofErr w:type="spellEnd"/>
      <w:r w:rsidRPr="007F4758">
        <w:rPr>
          <w:rFonts w:ascii="Times New Roman" w:hAnsi="Times New Roman" w:cs="Times New Roman"/>
          <w:color w:val="000000" w:themeColor="text1"/>
          <w:sz w:val="20"/>
          <w:szCs w:val="20"/>
        </w:rPr>
        <w:t xml:space="preserve"> DB. Study of United Kingdom product </w:t>
      </w:r>
      <w:proofErr w:type="spellStart"/>
      <w:r w:rsidRPr="007F4758">
        <w:rPr>
          <w:rFonts w:ascii="Times New Roman" w:hAnsi="Times New Roman" w:cs="Times New Roman"/>
          <w:color w:val="000000" w:themeColor="text1"/>
          <w:sz w:val="20"/>
          <w:szCs w:val="20"/>
        </w:rPr>
        <w:t>licence</w:t>
      </w:r>
      <w:proofErr w:type="spellEnd"/>
      <w:r w:rsidRPr="007F4758">
        <w:rPr>
          <w:rFonts w:ascii="Times New Roman" w:hAnsi="Times New Roman" w:cs="Times New Roman"/>
          <w:color w:val="000000" w:themeColor="text1"/>
          <w:sz w:val="20"/>
          <w:szCs w:val="20"/>
        </w:rPr>
        <w:t xml:space="preserve"> applications containing new active substances, 1987–9. Br Med</w:t>
      </w:r>
      <w:r>
        <w:rPr>
          <w:rFonts w:ascii="Times New Roman" w:hAnsi="Times New Roman" w:cs="Times New Roman"/>
          <w:color w:val="000000" w:themeColor="text1"/>
          <w:sz w:val="20"/>
          <w:szCs w:val="20"/>
        </w:rPr>
        <w:t xml:space="preserve"> </w:t>
      </w:r>
      <w:r w:rsidRPr="007F4758">
        <w:rPr>
          <w:rFonts w:ascii="Times New Roman" w:hAnsi="Times New Roman" w:cs="Times New Roman"/>
          <w:color w:val="000000" w:themeColor="text1"/>
          <w:sz w:val="20"/>
          <w:szCs w:val="20"/>
        </w:rPr>
        <w:t>J. 1991</w:t>
      </w:r>
      <w:proofErr w:type="gramStart"/>
      <w:r w:rsidRPr="007F4758">
        <w:rPr>
          <w:rFonts w:ascii="Times New Roman" w:hAnsi="Times New Roman" w:cs="Times New Roman"/>
          <w:color w:val="000000" w:themeColor="text1"/>
          <w:sz w:val="20"/>
          <w:szCs w:val="20"/>
        </w:rPr>
        <w:t>;302:223</w:t>
      </w:r>
      <w:proofErr w:type="gramEnd"/>
      <w:r w:rsidRPr="007F4758">
        <w:rPr>
          <w:rFonts w:ascii="Times New Roman" w:hAnsi="Times New Roman" w:cs="Times New Roman"/>
          <w:color w:val="000000" w:themeColor="text1"/>
          <w:sz w:val="20"/>
          <w:szCs w:val="20"/>
        </w:rPr>
        <w:t>–225. [PMC free article] [PubMed] [Google Scholar]</w:t>
      </w:r>
    </w:p>
    <w:p w14:paraId="792DE0CB" w14:textId="77777777"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F4758">
        <w:rPr>
          <w:rFonts w:ascii="Times New Roman" w:hAnsi="Times New Roman" w:cs="Times New Roman"/>
          <w:color w:val="000000" w:themeColor="text1"/>
          <w:sz w:val="20"/>
          <w:szCs w:val="20"/>
        </w:rPr>
        <w:t>Talbot JCC. Drug safety—a shared responsibility. Edinburgh: Churchill Livingstone; 1991. Spontaneous reporting; pp. 37–45. [Google Scholar]</w:t>
      </w:r>
    </w:p>
    <w:p w14:paraId="7015C5F4" w14:textId="77777777"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F4758">
        <w:rPr>
          <w:rFonts w:ascii="Times New Roman" w:hAnsi="Times New Roman" w:cs="Times New Roman"/>
          <w:color w:val="000000" w:themeColor="text1"/>
          <w:sz w:val="20"/>
          <w:szCs w:val="20"/>
        </w:rPr>
        <w:t>Henry D, Lim LY, Rodriguez LAG, et al. Variability in risk of gastrointestinal complications with individual non-steroidal anti-inflammatory drugs: results of a collaborative meta-analysis. Br Med J. 1996</w:t>
      </w:r>
      <w:proofErr w:type="gramStart"/>
      <w:r w:rsidRPr="007F4758">
        <w:rPr>
          <w:rFonts w:ascii="Times New Roman" w:hAnsi="Times New Roman" w:cs="Times New Roman"/>
          <w:color w:val="000000" w:themeColor="text1"/>
          <w:sz w:val="20"/>
          <w:szCs w:val="20"/>
        </w:rPr>
        <w:t>;312:1563</w:t>
      </w:r>
      <w:proofErr w:type="gramEnd"/>
      <w:r w:rsidRPr="007F4758">
        <w:rPr>
          <w:rFonts w:ascii="Times New Roman" w:hAnsi="Times New Roman" w:cs="Times New Roman"/>
          <w:color w:val="000000" w:themeColor="text1"/>
          <w:sz w:val="20"/>
          <w:szCs w:val="20"/>
        </w:rPr>
        <w:t>– 1566. [PMC free article] [PubMed] [Google Scholar]</w:t>
      </w:r>
    </w:p>
    <w:p w14:paraId="61D2DE5C" w14:textId="75690EDE"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F4758">
        <w:rPr>
          <w:rFonts w:ascii="Times New Roman" w:hAnsi="Times New Roman" w:cs="Times New Roman"/>
          <w:color w:val="000000" w:themeColor="text1"/>
          <w:sz w:val="20"/>
          <w:szCs w:val="20"/>
        </w:rPr>
        <w:t xml:space="preserve">Edwards R, </w:t>
      </w:r>
      <w:proofErr w:type="spellStart"/>
      <w:r w:rsidRPr="007F4758">
        <w:rPr>
          <w:rFonts w:ascii="Times New Roman" w:hAnsi="Times New Roman" w:cs="Times New Roman"/>
          <w:color w:val="000000" w:themeColor="text1"/>
          <w:sz w:val="20"/>
          <w:szCs w:val="20"/>
        </w:rPr>
        <w:t>Wiholm</w:t>
      </w:r>
      <w:proofErr w:type="spellEnd"/>
      <w:r w:rsidRPr="007F4758">
        <w:rPr>
          <w:rFonts w:ascii="Times New Roman" w:hAnsi="Times New Roman" w:cs="Times New Roman"/>
          <w:color w:val="000000" w:themeColor="text1"/>
          <w:sz w:val="20"/>
          <w:szCs w:val="20"/>
        </w:rPr>
        <w:t xml:space="preserve"> BE, Martinez C. Concepts in risk-benefit assessment. A simple merit analysis of a medicine? Drug Safety. 1996</w:t>
      </w:r>
      <w:proofErr w:type="gramStart"/>
      <w:r w:rsidRPr="007F4758">
        <w:rPr>
          <w:rFonts w:ascii="Times New Roman" w:hAnsi="Times New Roman" w:cs="Times New Roman"/>
          <w:color w:val="000000" w:themeColor="text1"/>
          <w:sz w:val="20"/>
          <w:szCs w:val="20"/>
        </w:rPr>
        <w:t>;15:1</w:t>
      </w:r>
      <w:proofErr w:type="gramEnd"/>
      <w:r w:rsidRPr="007F4758">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7F4758">
        <w:rPr>
          <w:rFonts w:ascii="Times New Roman" w:hAnsi="Times New Roman" w:cs="Times New Roman"/>
          <w:color w:val="000000" w:themeColor="text1"/>
          <w:sz w:val="20"/>
          <w:szCs w:val="20"/>
        </w:rPr>
        <w:t>7. [PubMed] [Google Scholar]</w:t>
      </w:r>
    </w:p>
    <w:p w14:paraId="457650C4" w14:textId="4602C34F"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F4758">
        <w:rPr>
          <w:rFonts w:ascii="Times New Roman" w:hAnsi="Times New Roman" w:cs="Times New Roman"/>
          <w:color w:val="000000" w:themeColor="text1"/>
          <w:sz w:val="20"/>
          <w:szCs w:val="20"/>
        </w:rPr>
        <w:t xml:space="preserve">Roma P, </w:t>
      </w:r>
      <w:proofErr w:type="spellStart"/>
      <w:r w:rsidRPr="007F4758">
        <w:rPr>
          <w:rFonts w:ascii="Times New Roman" w:hAnsi="Times New Roman" w:cs="Times New Roman"/>
          <w:color w:val="000000" w:themeColor="text1"/>
          <w:sz w:val="20"/>
          <w:szCs w:val="20"/>
        </w:rPr>
        <w:t>Monaro</w:t>
      </w:r>
      <w:proofErr w:type="spellEnd"/>
      <w:r w:rsidRPr="007F4758">
        <w:rPr>
          <w:rFonts w:ascii="Times New Roman" w:hAnsi="Times New Roman" w:cs="Times New Roman"/>
          <w:color w:val="000000" w:themeColor="text1"/>
          <w:sz w:val="20"/>
          <w:szCs w:val="20"/>
        </w:rPr>
        <w:t xml:space="preserve"> M, </w:t>
      </w:r>
      <w:proofErr w:type="spellStart"/>
      <w:r w:rsidRPr="007F4758">
        <w:rPr>
          <w:rFonts w:ascii="Times New Roman" w:hAnsi="Times New Roman" w:cs="Times New Roman"/>
          <w:color w:val="000000" w:themeColor="text1"/>
          <w:sz w:val="20"/>
          <w:szCs w:val="20"/>
        </w:rPr>
        <w:t>Colasanti</w:t>
      </w:r>
      <w:proofErr w:type="spellEnd"/>
      <w:r w:rsidRPr="007F4758">
        <w:rPr>
          <w:rFonts w:ascii="Times New Roman" w:hAnsi="Times New Roman" w:cs="Times New Roman"/>
          <w:color w:val="000000" w:themeColor="text1"/>
          <w:sz w:val="20"/>
          <w:szCs w:val="20"/>
        </w:rPr>
        <w:t xml:space="preserve"> M, Ricci E, </w:t>
      </w:r>
      <w:proofErr w:type="spellStart"/>
      <w:r w:rsidRPr="007F4758">
        <w:rPr>
          <w:rFonts w:ascii="Times New Roman" w:hAnsi="Times New Roman" w:cs="Times New Roman"/>
          <w:color w:val="000000" w:themeColor="text1"/>
          <w:sz w:val="20"/>
          <w:szCs w:val="20"/>
        </w:rPr>
        <w:t>Biondi</w:t>
      </w:r>
      <w:proofErr w:type="spellEnd"/>
      <w:r w:rsidRPr="007F4758">
        <w:rPr>
          <w:rFonts w:ascii="Times New Roman" w:hAnsi="Times New Roman" w:cs="Times New Roman"/>
          <w:color w:val="000000" w:themeColor="text1"/>
          <w:sz w:val="20"/>
          <w:szCs w:val="20"/>
        </w:rPr>
        <w:t xml:space="preserve"> S, Di </w:t>
      </w:r>
      <w:proofErr w:type="spellStart"/>
      <w:r w:rsidRPr="007F4758">
        <w:rPr>
          <w:rFonts w:ascii="Times New Roman" w:hAnsi="Times New Roman" w:cs="Times New Roman"/>
          <w:color w:val="000000" w:themeColor="text1"/>
          <w:sz w:val="20"/>
          <w:szCs w:val="20"/>
        </w:rPr>
        <w:t>Domenico</w:t>
      </w:r>
      <w:proofErr w:type="spellEnd"/>
      <w:r w:rsidRPr="007F4758">
        <w:rPr>
          <w:rFonts w:ascii="Times New Roman" w:hAnsi="Times New Roman" w:cs="Times New Roman"/>
          <w:color w:val="000000" w:themeColor="text1"/>
          <w:sz w:val="20"/>
          <w:szCs w:val="20"/>
        </w:rPr>
        <w:t xml:space="preserve"> A, et al. A 2-month follow-up study of psychological distress among Italian people during the COVID-19 lockdown. </w:t>
      </w:r>
      <w:proofErr w:type="spellStart"/>
      <w:r w:rsidRPr="007F4758">
        <w:rPr>
          <w:rFonts w:ascii="Times New Roman" w:hAnsi="Times New Roman" w:cs="Times New Roman"/>
          <w:color w:val="000000" w:themeColor="text1"/>
          <w:sz w:val="20"/>
          <w:szCs w:val="20"/>
        </w:rPr>
        <w:t>Int</w:t>
      </w:r>
      <w:proofErr w:type="spellEnd"/>
      <w:r w:rsidRPr="007F4758">
        <w:rPr>
          <w:rFonts w:ascii="Times New Roman" w:hAnsi="Times New Roman" w:cs="Times New Roman"/>
          <w:color w:val="000000" w:themeColor="text1"/>
          <w:sz w:val="20"/>
          <w:szCs w:val="20"/>
        </w:rPr>
        <w:t xml:space="preserve"> J Environ Res Public Health. 2020</w:t>
      </w:r>
      <w:proofErr w:type="gramStart"/>
      <w:r w:rsidRPr="007F4758">
        <w:rPr>
          <w:rFonts w:ascii="Times New Roman" w:hAnsi="Times New Roman" w:cs="Times New Roman"/>
          <w:color w:val="000000" w:themeColor="text1"/>
          <w:sz w:val="20"/>
          <w:szCs w:val="20"/>
        </w:rPr>
        <w:t>;17</w:t>
      </w:r>
      <w:proofErr w:type="gramEnd"/>
      <w:r w:rsidRPr="007F4758">
        <w:rPr>
          <w:rFonts w:ascii="Times New Roman" w:hAnsi="Times New Roman" w:cs="Times New Roman"/>
          <w:color w:val="000000" w:themeColor="text1"/>
          <w:sz w:val="20"/>
          <w:szCs w:val="20"/>
        </w:rPr>
        <w:t>(21):8180.</w:t>
      </w:r>
      <w:r>
        <w:rPr>
          <w:rFonts w:ascii="Times New Roman" w:hAnsi="Times New Roman" w:cs="Times New Roman"/>
          <w:color w:val="000000" w:themeColor="text1"/>
          <w:sz w:val="20"/>
          <w:szCs w:val="20"/>
        </w:rPr>
        <w:t xml:space="preserve"> </w:t>
      </w:r>
      <w:r w:rsidRPr="007F4758">
        <w:rPr>
          <w:rFonts w:ascii="Times New Roman" w:hAnsi="Times New Roman" w:cs="Times New Roman"/>
          <w:color w:val="000000" w:themeColor="text1"/>
          <w:sz w:val="20"/>
          <w:szCs w:val="20"/>
        </w:rPr>
        <w:t>[</w:t>
      </w:r>
      <w:proofErr w:type="spellStart"/>
      <w:r w:rsidRPr="007F4758">
        <w:rPr>
          <w:rFonts w:ascii="Times New Roman" w:hAnsi="Times New Roman" w:cs="Times New Roman"/>
          <w:color w:val="000000" w:themeColor="text1"/>
          <w:sz w:val="20"/>
          <w:szCs w:val="20"/>
        </w:rPr>
        <w:t>Crossref</w:t>
      </w:r>
      <w:proofErr w:type="spellEnd"/>
      <w:r w:rsidRPr="007F4758">
        <w:rPr>
          <w:rFonts w:ascii="Times New Roman" w:hAnsi="Times New Roman" w:cs="Times New Roman"/>
          <w:color w:val="000000" w:themeColor="text1"/>
          <w:sz w:val="20"/>
          <w:szCs w:val="20"/>
        </w:rPr>
        <w:t>] [Google Scholar] [PubMed]</w:t>
      </w:r>
    </w:p>
    <w:p w14:paraId="1806BF32" w14:textId="359BE345"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F4758">
        <w:rPr>
          <w:rFonts w:ascii="Times New Roman" w:hAnsi="Times New Roman" w:cs="Times New Roman"/>
          <w:color w:val="000000" w:themeColor="text1"/>
          <w:sz w:val="20"/>
          <w:szCs w:val="20"/>
        </w:rPr>
        <w:t xml:space="preserve">Wang N, Li Y, Wang Q, Lei C, Liu Y, Zhu S. Psychological impact of COVID‐19 pandemic on healthcare workers in China Xi’an   central hospital. Brain </w:t>
      </w:r>
      <w:proofErr w:type="spellStart"/>
      <w:r w:rsidRPr="007F4758">
        <w:rPr>
          <w:rFonts w:ascii="Times New Roman" w:hAnsi="Times New Roman" w:cs="Times New Roman"/>
          <w:color w:val="000000" w:themeColor="text1"/>
          <w:sz w:val="20"/>
          <w:szCs w:val="20"/>
        </w:rPr>
        <w:t>Behav</w:t>
      </w:r>
      <w:proofErr w:type="spellEnd"/>
      <w:r w:rsidRPr="007F4758">
        <w:rPr>
          <w:rFonts w:ascii="Times New Roman" w:hAnsi="Times New Roman" w:cs="Times New Roman"/>
          <w:color w:val="000000" w:themeColor="text1"/>
          <w:sz w:val="20"/>
          <w:szCs w:val="20"/>
        </w:rPr>
        <w:t>. 2021</w:t>
      </w:r>
      <w:proofErr w:type="gramStart"/>
      <w:r w:rsidRPr="007F4758">
        <w:rPr>
          <w:rFonts w:ascii="Times New Roman" w:hAnsi="Times New Roman" w:cs="Times New Roman"/>
          <w:color w:val="000000" w:themeColor="text1"/>
          <w:sz w:val="20"/>
          <w:szCs w:val="20"/>
        </w:rPr>
        <w:t>;11</w:t>
      </w:r>
      <w:proofErr w:type="gramEnd"/>
      <w:r w:rsidRPr="007F4758">
        <w:rPr>
          <w:rFonts w:ascii="Times New Roman" w:hAnsi="Times New Roman" w:cs="Times New Roman"/>
          <w:color w:val="000000" w:themeColor="text1"/>
          <w:sz w:val="20"/>
          <w:szCs w:val="20"/>
        </w:rPr>
        <w:t>(3):2028.</w:t>
      </w:r>
      <w:r>
        <w:rPr>
          <w:rFonts w:ascii="Times New Roman" w:hAnsi="Times New Roman" w:cs="Times New Roman"/>
          <w:color w:val="000000" w:themeColor="text1"/>
          <w:sz w:val="20"/>
          <w:szCs w:val="20"/>
        </w:rPr>
        <w:t xml:space="preserve"> </w:t>
      </w:r>
      <w:r w:rsidRPr="007F4758">
        <w:rPr>
          <w:rFonts w:ascii="Times New Roman" w:hAnsi="Times New Roman" w:cs="Times New Roman"/>
          <w:color w:val="000000" w:themeColor="text1"/>
          <w:sz w:val="20"/>
          <w:szCs w:val="20"/>
        </w:rPr>
        <w:t>[</w:t>
      </w:r>
      <w:proofErr w:type="spellStart"/>
      <w:r w:rsidRPr="007F4758">
        <w:rPr>
          <w:rFonts w:ascii="Times New Roman" w:hAnsi="Times New Roman" w:cs="Times New Roman"/>
          <w:color w:val="000000" w:themeColor="text1"/>
          <w:sz w:val="20"/>
          <w:szCs w:val="20"/>
        </w:rPr>
        <w:t>Crossref</w:t>
      </w:r>
      <w:proofErr w:type="spellEnd"/>
      <w:r w:rsidRPr="007F4758">
        <w:rPr>
          <w:rFonts w:ascii="Times New Roman" w:hAnsi="Times New Roman" w:cs="Times New Roman"/>
          <w:color w:val="000000" w:themeColor="text1"/>
          <w:sz w:val="20"/>
          <w:szCs w:val="20"/>
        </w:rPr>
        <w:t>] [Google Scholar] [PubMed]</w:t>
      </w:r>
    </w:p>
    <w:p w14:paraId="5EEC28EC" w14:textId="39C34554"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F4758">
        <w:rPr>
          <w:rFonts w:ascii="Times New Roman" w:hAnsi="Times New Roman" w:cs="Times New Roman"/>
          <w:color w:val="000000" w:themeColor="text1"/>
          <w:sz w:val="20"/>
          <w:szCs w:val="20"/>
        </w:rPr>
        <w:t xml:space="preserve">Huang L, Wang Y, Liu J, Ye P, Chen X, </w:t>
      </w:r>
      <w:proofErr w:type="spellStart"/>
      <w:r w:rsidRPr="007F4758">
        <w:rPr>
          <w:rFonts w:ascii="Times New Roman" w:hAnsi="Times New Roman" w:cs="Times New Roman"/>
          <w:color w:val="000000" w:themeColor="text1"/>
          <w:sz w:val="20"/>
          <w:szCs w:val="20"/>
        </w:rPr>
        <w:t>Xu</w:t>
      </w:r>
      <w:proofErr w:type="spellEnd"/>
      <w:r w:rsidRPr="007F4758">
        <w:rPr>
          <w:rFonts w:ascii="Times New Roman" w:hAnsi="Times New Roman" w:cs="Times New Roman"/>
          <w:color w:val="000000" w:themeColor="text1"/>
          <w:sz w:val="20"/>
          <w:szCs w:val="20"/>
        </w:rPr>
        <w:t xml:space="preserve"> H, et al. Factors influencing anxiety of health care workers in the radiology department with high exposure risk to COVID-19. Med </w:t>
      </w:r>
      <w:proofErr w:type="spellStart"/>
      <w:r w:rsidRPr="007F4758">
        <w:rPr>
          <w:rFonts w:ascii="Times New Roman" w:hAnsi="Times New Roman" w:cs="Times New Roman"/>
          <w:color w:val="000000" w:themeColor="text1"/>
          <w:sz w:val="20"/>
          <w:szCs w:val="20"/>
        </w:rPr>
        <w:t>Sci</w:t>
      </w:r>
      <w:proofErr w:type="spellEnd"/>
      <w:r w:rsidRPr="007F4758">
        <w:rPr>
          <w:rFonts w:ascii="Times New Roman" w:hAnsi="Times New Roman" w:cs="Times New Roman"/>
          <w:color w:val="000000" w:themeColor="text1"/>
          <w:sz w:val="20"/>
          <w:szCs w:val="20"/>
        </w:rPr>
        <w:t xml:space="preserve"> </w:t>
      </w:r>
      <w:proofErr w:type="spellStart"/>
      <w:r w:rsidRPr="007F4758">
        <w:rPr>
          <w:rFonts w:ascii="Times New Roman" w:hAnsi="Times New Roman" w:cs="Times New Roman"/>
          <w:color w:val="000000" w:themeColor="text1"/>
          <w:sz w:val="20"/>
          <w:szCs w:val="20"/>
        </w:rPr>
        <w:t>Monit</w:t>
      </w:r>
      <w:proofErr w:type="spellEnd"/>
      <w:r w:rsidRPr="007F4758">
        <w:rPr>
          <w:rFonts w:ascii="Times New Roman" w:hAnsi="Times New Roman" w:cs="Times New Roman"/>
          <w:color w:val="000000" w:themeColor="text1"/>
          <w:sz w:val="20"/>
          <w:szCs w:val="20"/>
        </w:rPr>
        <w:t>. 2020</w:t>
      </w:r>
      <w:proofErr w:type="gramStart"/>
      <w:r w:rsidRPr="007F4758">
        <w:rPr>
          <w:rFonts w:ascii="Times New Roman" w:hAnsi="Times New Roman" w:cs="Times New Roman"/>
          <w:color w:val="000000" w:themeColor="text1"/>
          <w:sz w:val="20"/>
          <w:szCs w:val="20"/>
        </w:rPr>
        <w:t>;26:926008</w:t>
      </w:r>
      <w:proofErr w:type="gramEnd"/>
      <w:r w:rsidRPr="007F4758">
        <w:rPr>
          <w:rFonts w:ascii="Times New Roman" w:hAnsi="Times New Roman" w:cs="Times New Roman"/>
          <w:color w:val="000000" w:themeColor="text1"/>
          <w:sz w:val="20"/>
          <w:szCs w:val="20"/>
        </w:rPr>
        <w:t>-926011.</w:t>
      </w:r>
      <w:r>
        <w:rPr>
          <w:rFonts w:ascii="Times New Roman" w:hAnsi="Times New Roman" w:cs="Times New Roman"/>
          <w:color w:val="000000" w:themeColor="text1"/>
          <w:sz w:val="20"/>
          <w:szCs w:val="20"/>
        </w:rPr>
        <w:t xml:space="preserve"> </w:t>
      </w:r>
      <w:r w:rsidRPr="007F4758">
        <w:rPr>
          <w:rFonts w:ascii="Times New Roman" w:hAnsi="Times New Roman" w:cs="Times New Roman"/>
          <w:color w:val="000000" w:themeColor="text1"/>
          <w:sz w:val="20"/>
          <w:szCs w:val="20"/>
        </w:rPr>
        <w:t>[</w:t>
      </w:r>
      <w:proofErr w:type="spellStart"/>
      <w:r w:rsidRPr="007F4758">
        <w:rPr>
          <w:rFonts w:ascii="Times New Roman" w:hAnsi="Times New Roman" w:cs="Times New Roman"/>
          <w:color w:val="000000" w:themeColor="text1"/>
          <w:sz w:val="20"/>
          <w:szCs w:val="20"/>
        </w:rPr>
        <w:t>Crossref</w:t>
      </w:r>
      <w:proofErr w:type="spellEnd"/>
      <w:r w:rsidRPr="007F4758">
        <w:rPr>
          <w:rFonts w:ascii="Times New Roman" w:hAnsi="Times New Roman" w:cs="Times New Roman"/>
          <w:color w:val="000000" w:themeColor="text1"/>
          <w:sz w:val="20"/>
          <w:szCs w:val="20"/>
        </w:rPr>
        <w:t>] [Google Scholar] [PubMed]</w:t>
      </w:r>
    </w:p>
    <w:p w14:paraId="37D2F867" w14:textId="3E971EE0"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F4758">
        <w:rPr>
          <w:rFonts w:ascii="Times New Roman" w:hAnsi="Times New Roman" w:cs="Times New Roman"/>
          <w:color w:val="000000" w:themeColor="text1"/>
          <w:sz w:val="20"/>
          <w:szCs w:val="20"/>
        </w:rPr>
        <w:t xml:space="preserve">Alonso J, </w:t>
      </w:r>
      <w:proofErr w:type="spellStart"/>
      <w:r w:rsidRPr="007F4758">
        <w:rPr>
          <w:rFonts w:ascii="Times New Roman" w:hAnsi="Times New Roman" w:cs="Times New Roman"/>
          <w:color w:val="000000" w:themeColor="text1"/>
          <w:sz w:val="20"/>
          <w:szCs w:val="20"/>
        </w:rPr>
        <w:t>Vilagut</w:t>
      </w:r>
      <w:proofErr w:type="spellEnd"/>
      <w:r w:rsidRPr="007F4758">
        <w:rPr>
          <w:rFonts w:ascii="Times New Roman" w:hAnsi="Times New Roman" w:cs="Times New Roman"/>
          <w:color w:val="000000" w:themeColor="text1"/>
          <w:sz w:val="20"/>
          <w:szCs w:val="20"/>
        </w:rPr>
        <w:t xml:space="preserve"> G, </w:t>
      </w:r>
      <w:proofErr w:type="spellStart"/>
      <w:r w:rsidRPr="007F4758">
        <w:rPr>
          <w:rFonts w:ascii="Times New Roman" w:hAnsi="Times New Roman" w:cs="Times New Roman"/>
          <w:color w:val="000000" w:themeColor="text1"/>
          <w:sz w:val="20"/>
          <w:szCs w:val="20"/>
        </w:rPr>
        <w:t>Mortier</w:t>
      </w:r>
      <w:proofErr w:type="spellEnd"/>
      <w:r w:rsidRPr="007F4758">
        <w:rPr>
          <w:rFonts w:ascii="Times New Roman" w:hAnsi="Times New Roman" w:cs="Times New Roman"/>
          <w:color w:val="000000" w:themeColor="text1"/>
          <w:sz w:val="20"/>
          <w:szCs w:val="20"/>
        </w:rPr>
        <w:t xml:space="preserve"> P, </w:t>
      </w:r>
      <w:proofErr w:type="spellStart"/>
      <w:r w:rsidRPr="007F4758">
        <w:rPr>
          <w:rFonts w:ascii="Times New Roman" w:hAnsi="Times New Roman" w:cs="Times New Roman"/>
          <w:color w:val="000000" w:themeColor="text1"/>
          <w:sz w:val="20"/>
          <w:szCs w:val="20"/>
        </w:rPr>
        <w:t>Ferrer</w:t>
      </w:r>
      <w:proofErr w:type="spellEnd"/>
      <w:r w:rsidRPr="007F4758">
        <w:rPr>
          <w:rFonts w:ascii="Times New Roman" w:hAnsi="Times New Roman" w:cs="Times New Roman"/>
          <w:color w:val="000000" w:themeColor="text1"/>
          <w:sz w:val="20"/>
          <w:szCs w:val="20"/>
        </w:rPr>
        <w:t xml:space="preserve"> M, </w:t>
      </w:r>
      <w:proofErr w:type="spellStart"/>
      <w:r w:rsidRPr="007F4758">
        <w:rPr>
          <w:rFonts w:ascii="Times New Roman" w:hAnsi="Times New Roman" w:cs="Times New Roman"/>
          <w:color w:val="000000" w:themeColor="text1"/>
          <w:sz w:val="20"/>
          <w:szCs w:val="20"/>
        </w:rPr>
        <w:t>Alayo</w:t>
      </w:r>
      <w:proofErr w:type="spellEnd"/>
      <w:r w:rsidRPr="007F4758">
        <w:rPr>
          <w:rFonts w:ascii="Times New Roman" w:hAnsi="Times New Roman" w:cs="Times New Roman"/>
          <w:color w:val="000000" w:themeColor="text1"/>
          <w:sz w:val="20"/>
          <w:szCs w:val="20"/>
        </w:rPr>
        <w:t xml:space="preserve"> I, Aragón-Peña A, et al. Mental health impact of the first wave of COVID-19 pandemic on Spanish healthcare workers: A large cross-sectional survey. Rev </w:t>
      </w:r>
      <w:proofErr w:type="spellStart"/>
      <w:r w:rsidRPr="007F4758">
        <w:rPr>
          <w:rFonts w:ascii="Times New Roman" w:hAnsi="Times New Roman" w:cs="Times New Roman"/>
          <w:color w:val="000000" w:themeColor="text1"/>
          <w:sz w:val="20"/>
          <w:szCs w:val="20"/>
        </w:rPr>
        <w:t>Psiquiatr</w:t>
      </w:r>
      <w:proofErr w:type="spellEnd"/>
      <w:r w:rsidRPr="007F4758">
        <w:rPr>
          <w:rFonts w:ascii="Times New Roman" w:hAnsi="Times New Roman" w:cs="Times New Roman"/>
          <w:color w:val="000000" w:themeColor="text1"/>
          <w:sz w:val="20"/>
          <w:szCs w:val="20"/>
        </w:rPr>
        <w:t xml:space="preserve"> </w:t>
      </w:r>
      <w:proofErr w:type="spellStart"/>
      <w:r w:rsidRPr="007F4758">
        <w:rPr>
          <w:rFonts w:ascii="Times New Roman" w:hAnsi="Times New Roman" w:cs="Times New Roman"/>
          <w:color w:val="000000" w:themeColor="text1"/>
          <w:sz w:val="20"/>
          <w:szCs w:val="20"/>
        </w:rPr>
        <w:t>Salud</w:t>
      </w:r>
      <w:proofErr w:type="spellEnd"/>
      <w:r w:rsidRPr="007F4758">
        <w:rPr>
          <w:rFonts w:ascii="Times New Roman" w:hAnsi="Times New Roman" w:cs="Times New Roman"/>
          <w:color w:val="000000" w:themeColor="text1"/>
          <w:sz w:val="20"/>
          <w:szCs w:val="20"/>
        </w:rPr>
        <w:t xml:space="preserve"> </w:t>
      </w:r>
      <w:proofErr w:type="spellStart"/>
      <w:r w:rsidRPr="007F4758">
        <w:rPr>
          <w:rFonts w:ascii="Times New Roman" w:hAnsi="Times New Roman" w:cs="Times New Roman"/>
          <w:color w:val="000000" w:themeColor="text1"/>
          <w:sz w:val="20"/>
          <w:szCs w:val="20"/>
        </w:rPr>
        <w:t>Ment</w:t>
      </w:r>
      <w:proofErr w:type="spellEnd"/>
      <w:r w:rsidRPr="007F4758">
        <w:rPr>
          <w:rFonts w:ascii="Times New Roman" w:hAnsi="Times New Roman" w:cs="Times New Roman"/>
          <w:color w:val="000000" w:themeColor="text1"/>
          <w:sz w:val="20"/>
          <w:szCs w:val="20"/>
        </w:rPr>
        <w:t>. 2021</w:t>
      </w:r>
      <w:proofErr w:type="gramStart"/>
      <w:r w:rsidRPr="007F4758">
        <w:rPr>
          <w:rFonts w:ascii="Times New Roman" w:hAnsi="Times New Roman" w:cs="Times New Roman"/>
          <w:color w:val="000000" w:themeColor="text1"/>
          <w:sz w:val="20"/>
          <w:szCs w:val="20"/>
        </w:rPr>
        <w:t>;14</w:t>
      </w:r>
      <w:proofErr w:type="gramEnd"/>
      <w:r w:rsidRPr="007F4758">
        <w:rPr>
          <w:rFonts w:ascii="Times New Roman" w:hAnsi="Times New Roman" w:cs="Times New Roman"/>
          <w:color w:val="000000" w:themeColor="text1"/>
          <w:sz w:val="20"/>
          <w:szCs w:val="20"/>
        </w:rPr>
        <w:t>(2):90-105.</w:t>
      </w:r>
      <w:r>
        <w:rPr>
          <w:rFonts w:ascii="Times New Roman" w:hAnsi="Times New Roman" w:cs="Times New Roman"/>
          <w:color w:val="000000" w:themeColor="text1"/>
          <w:sz w:val="20"/>
          <w:szCs w:val="20"/>
        </w:rPr>
        <w:t xml:space="preserve"> </w:t>
      </w:r>
      <w:r w:rsidRPr="007F4758">
        <w:rPr>
          <w:rFonts w:ascii="Times New Roman" w:hAnsi="Times New Roman" w:cs="Times New Roman"/>
          <w:color w:val="000000" w:themeColor="text1"/>
          <w:sz w:val="20"/>
          <w:szCs w:val="20"/>
        </w:rPr>
        <w:t>[</w:t>
      </w:r>
      <w:proofErr w:type="spellStart"/>
      <w:r w:rsidRPr="007F4758">
        <w:rPr>
          <w:rFonts w:ascii="Times New Roman" w:hAnsi="Times New Roman" w:cs="Times New Roman"/>
          <w:color w:val="000000" w:themeColor="text1"/>
          <w:sz w:val="20"/>
          <w:szCs w:val="20"/>
        </w:rPr>
        <w:t>Crossref</w:t>
      </w:r>
      <w:proofErr w:type="spellEnd"/>
      <w:r w:rsidRPr="007F4758">
        <w:rPr>
          <w:rFonts w:ascii="Times New Roman" w:hAnsi="Times New Roman" w:cs="Times New Roman"/>
          <w:color w:val="000000" w:themeColor="text1"/>
          <w:sz w:val="20"/>
          <w:szCs w:val="20"/>
        </w:rPr>
        <w:t>] [Google Scholar] [PubMed]</w:t>
      </w:r>
    </w:p>
    <w:p w14:paraId="7291F2B3" w14:textId="0AC87626"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7F4758">
        <w:rPr>
          <w:rFonts w:ascii="Times New Roman" w:hAnsi="Times New Roman" w:cs="Times New Roman"/>
          <w:color w:val="000000" w:themeColor="text1"/>
          <w:sz w:val="20"/>
          <w:szCs w:val="20"/>
        </w:rPr>
        <w:t>Mazza</w:t>
      </w:r>
      <w:proofErr w:type="spellEnd"/>
      <w:r w:rsidRPr="007F4758">
        <w:rPr>
          <w:rFonts w:ascii="Times New Roman" w:hAnsi="Times New Roman" w:cs="Times New Roman"/>
          <w:color w:val="000000" w:themeColor="text1"/>
          <w:sz w:val="20"/>
          <w:szCs w:val="20"/>
        </w:rPr>
        <w:t xml:space="preserve"> C, </w:t>
      </w:r>
      <w:proofErr w:type="spellStart"/>
      <w:r w:rsidRPr="007F4758">
        <w:rPr>
          <w:rFonts w:ascii="Times New Roman" w:hAnsi="Times New Roman" w:cs="Times New Roman"/>
          <w:color w:val="000000" w:themeColor="text1"/>
          <w:sz w:val="20"/>
          <w:szCs w:val="20"/>
        </w:rPr>
        <w:t>Colasanti</w:t>
      </w:r>
      <w:proofErr w:type="spellEnd"/>
      <w:r w:rsidRPr="007F4758">
        <w:rPr>
          <w:rFonts w:ascii="Times New Roman" w:hAnsi="Times New Roman" w:cs="Times New Roman"/>
          <w:color w:val="000000" w:themeColor="text1"/>
          <w:sz w:val="20"/>
          <w:szCs w:val="20"/>
        </w:rPr>
        <w:t xml:space="preserve"> M, Ricci E, Di </w:t>
      </w:r>
      <w:proofErr w:type="spellStart"/>
      <w:r w:rsidRPr="007F4758">
        <w:rPr>
          <w:rFonts w:ascii="Times New Roman" w:hAnsi="Times New Roman" w:cs="Times New Roman"/>
          <w:color w:val="000000" w:themeColor="text1"/>
          <w:sz w:val="20"/>
          <w:szCs w:val="20"/>
        </w:rPr>
        <w:t>Giandomenico</w:t>
      </w:r>
      <w:proofErr w:type="spellEnd"/>
      <w:r w:rsidRPr="007F4758">
        <w:rPr>
          <w:rFonts w:ascii="Times New Roman" w:hAnsi="Times New Roman" w:cs="Times New Roman"/>
          <w:color w:val="000000" w:themeColor="text1"/>
          <w:sz w:val="20"/>
          <w:szCs w:val="20"/>
        </w:rPr>
        <w:t xml:space="preserve"> S, </w:t>
      </w:r>
      <w:proofErr w:type="spellStart"/>
      <w:r w:rsidRPr="007F4758">
        <w:rPr>
          <w:rFonts w:ascii="Times New Roman" w:hAnsi="Times New Roman" w:cs="Times New Roman"/>
          <w:color w:val="000000" w:themeColor="text1"/>
          <w:sz w:val="20"/>
          <w:szCs w:val="20"/>
        </w:rPr>
        <w:t>Marchetti</w:t>
      </w:r>
      <w:proofErr w:type="spellEnd"/>
      <w:r w:rsidRPr="007F4758">
        <w:rPr>
          <w:rFonts w:ascii="Times New Roman" w:hAnsi="Times New Roman" w:cs="Times New Roman"/>
          <w:color w:val="000000" w:themeColor="text1"/>
          <w:sz w:val="20"/>
          <w:szCs w:val="20"/>
        </w:rPr>
        <w:t xml:space="preserve"> D, </w:t>
      </w:r>
      <w:proofErr w:type="spellStart"/>
      <w:r w:rsidRPr="007F4758">
        <w:rPr>
          <w:rFonts w:ascii="Times New Roman" w:hAnsi="Times New Roman" w:cs="Times New Roman"/>
          <w:color w:val="000000" w:themeColor="text1"/>
          <w:sz w:val="20"/>
          <w:szCs w:val="20"/>
        </w:rPr>
        <w:t>Fontanesi</w:t>
      </w:r>
      <w:proofErr w:type="spellEnd"/>
      <w:r w:rsidRPr="007F4758">
        <w:rPr>
          <w:rFonts w:ascii="Times New Roman" w:hAnsi="Times New Roman" w:cs="Times New Roman"/>
          <w:color w:val="000000" w:themeColor="text1"/>
          <w:sz w:val="20"/>
          <w:szCs w:val="20"/>
        </w:rPr>
        <w:t xml:space="preserve"> L, et al. The COVID-19 outbreak and psychological distress in healthcare workers: The role of personality traits, attachment styles, and </w:t>
      </w:r>
      <w:proofErr w:type="spellStart"/>
      <w:r w:rsidRPr="007F4758">
        <w:rPr>
          <w:rFonts w:ascii="Times New Roman" w:hAnsi="Times New Roman" w:cs="Times New Roman"/>
          <w:color w:val="000000" w:themeColor="text1"/>
          <w:sz w:val="20"/>
          <w:szCs w:val="20"/>
        </w:rPr>
        <w:t>sociodemographic</w:t>
      </w:r>
      <w:proofErr w:type="spellEnd"/>
      <w:r w:rsidRPr="007F4758">
        <w:rPr>
          <w:rFonts w:ascii="Times New Roman" w:hAnsi="Times New Roman" w:cs="Times New Roman"/>
          <w:color w:val="000000" w:themeColor="text1"/>
          <w:sz w:val="20"/>
          <w:szCs w:val="20"/>
        </w:rPr>
        <w:t xml:space="preserve"> factors. . Sustainability 2021;13(9):4992.[</w:t>
      </w:r>
      <w:proofErr w:type="spellStart"/>
      <w:r w:rsidRPr="007F4758">
        <w:rPr>
          <w:rFonts w:ascii="Times New Roman" w:hAnsi="Times New Roman" w:cs="Times New Roman"/>
          <w:color w:val="000000" w:themeColor="text1"/>
          <w:sz w:val="20"/>
          <w:szCs w:val="20"/>
        </w:rPr>
        <w:t>Crossref</w:t>
      </w:r>
      <w:proofErr w:type="spellEnd"/>
      <w:r w:rsidRPr="007F4758">
        <w:rPr>
          <w:rFonts w:ascii="Times New Roman" w:hAnsi="Times New Roman" w:cs="Times New Roman"/>
          <w:color w:val="000000" w:themeColor="text1"/>
          <w:sz w:val="20"/>
          <w:szCs w:val="20"/>
        </w:rPr>
        <w:t>] [Google Scholar]</w:t>
      </w:r>
    </w:p>
    <w:p w14:paraId="7050A366" w14:textId="314214B8"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7F4758">
        <w:rPr>
          <w:rFonts w:ascii="Times New Roman" w:hAnsi="Times New Roman" w:cs="Times New Roman"/>
          <w:color w:val="000000" w:themeColor="text1"/>
          <w:sz w:val="20"/>
          <w:szCs w:val="20"/>
        </w:rPr>
        <w:t>Długosz</w:t>
      </w:r>
      <w:proofErr w:type="spellEnd"/>
      <w:r w:rsidRPr="007F4758">
        <w:rPr>
          <w:rFonts w:ascii="Times New Roman" w:hAnsi="Times New Roman" w:cs="Times New Roman"/>
          <w:color w:val="000000" w:themeColor="text1"/>
          <w:sz w:val="20"/>
          <w:szCs w:val="20"/>
        </w:rPr>
        <w:t xml:space="preserve"> P. Factors influencing mental health among American youth in the time of the Covid-19 pandemic. </w:t>
      </w:r>
      <w:proofErr w:type="spellStart"/>
      <w:r w:rsidRPr="007F4758">
        <w:rPr>
          <w:rFonts w:ascii="Times New Roman" w:hAnsi="Times New Roman" w:cs="Times New Roman"/>
          <w:color w:val="000000" w:themeColor="text1"/>
          <w:sz w:val="20"/>
          <w:szCs w:val="20"/>
        </w:rPr>
        <w:t>Pers</w:t>
      </w:r>
      <w:proofErr w:type="spellEnd"/>
      <w:r w:rsidRPr="007F4758">
        <w:rPr>
          <w:rFonts w:ascii="Times New Roman" w:hAnsi="Times New Roman" w:cs="Times New Roman"/>
          <w:color w:val="000000" w:themeColor="text1"/>
          <w:sz w:val="20"/>
          <w:szCs w:val="20"/>
        </w:rPr>
        <w:t xml:space="preserve"> </w:t>
      </w:r>
      <w:proofErr w:type="spellStart"/>
      <w:r w:rsidRPr="007F4758">
        <w:rPr>
          <w:rFonts w:ascii="Times New Roman" w:hAnsi="Times New Roman" w:cs="Times New Roman"/>
          <w:color w:val="000000" w:themeColor="text1"/>
          <w:sz w:val="20"/>
          <w:szCs w:val="20"/>
        </w:rPr>
        <w:t>Individ</w:t>
      </w:r>
      <w:proofErr w:type="spellEnd"/>
      <w:r w:rsidRPr="007F4758">
        <w:rPr>
          <w:rFonts w:ascii="Times New Roman" w:hAnsi="Times New Roman" w:cs="Times New Roman"/>
          <w:color w:val="000000" w:themeColor="text1"/>
          <w:sz w:val="20"/>
          <w:szCs w:val="20"/>
        </w:rPr>
        <w:t xml:space="preserve"> Dif. 2021</w:t>
      </w:r>
      <w:proofErr w:type="gramStart"/>
      <w:r w:rsidRPr="007F4758">
        <w:rPr>
          <w:rFonts w:ascii="Times New Roman" w:hAnsi="Times New Roman" w:cs="Times New Roman"/>
          <w:color w:val="000000" w:themeColor="text1"/>
          <w:sz w:val="20"/>
          <w:szCs w:val="20"/>
        </w:rPr>
        <w:t>;175:110711</w:t>
      </w:r>
      <w:proofErr w:type="gramEnd"/>
      <w:r w:rsidRPr="007F4758">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7F4758">
        <w:rPr>
          <w:rFonts w:ascii="Times New Roman" w:hAnsi="Times New Roman" w:cs="Times New Roman"/>
          <w:color w:val="000000" w:themeColor="text1"/>
          <w:sz w:val="20"/>
          <w:szCs w:val="20"/>
        </w:rPr>
        <w:t>[</w:t>
      </w:r>
      <w:proofErr w:type="spellStart"/>
      <w:r w:rsidRPr="007F4758">
        <w:rPr>
          <w:rFonts w:ascii="Times New Roman" w:hAnsi="Times New Roman" w:cs="Times New Roman"/>
          <w:color w:val="000000" w:themeColor="text1"/>
          <w:sz w:val="20"/>
          <w:szCs w:val="20"/>
        </w:rPr>
        <w:t>Crossref</w:t>
      </w:r>
      <w:proofErr w:type="spellEnd"/>
      <w:r w:rsidRPr="007F4758">
        <w:rPr>
          <w:rFonts w:ascii="Times New Roman" w:hAnsi="Times New Roman" w:cs="Times New Roman"/>
          <w:color w:val="000000" w:themeColor="text1"/>
          <w:sz w:val="20"/>
          <w:szCs w:val="20"/>
        </w:rPr>
        <w:t>] [Google Scholar] [PubMed]</w:t>
      </w:r>
    </w:p>
    <w:p w14:paraId="7EEBAD76" w14:textId="089218C4"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F4758">
        <w:rPr>
          <w:rFonts w:ascii="Times New Roman" w:hAnsi="Times New Roman" w:cs="Times New Roman"/>
          <w:color w:val="000000" w:themeColor="text1"/>
          <w:sz w:val="20"/>
          <w:szCs w:val="20"/>
        </w:rPr>
        <w:t xml:space="preserve">Gómez-Salgado J, Andrés-Villas M, </w:t>
      </w:r>
      <w:proofErr w:type="spellStart"/>
      <w:r w:rsidRPr="007F4758">
        <w:rPr>
          <w:rFonts w:ascii="Times New Roman" w:hAnsi="Times New Roman" w:cs="Times New Roman"/>
          <w:color w:val="000000" w:themeColor="text1"/>
          <w:sz w:val="20"/>
          <w:szCs w:val="20"/>
        </w:rPr>
        <w:t>Domínguez</w:t>
      </w:r>
      <w:proofErr w:type="spellEnd"/>
      <w:r w:rsidRPr="007F4758">
        <w:rPr>
          <w:rFonts w:ascii="Times New Roman" w:hAnsi="Times New Roman" w:cs="Times New Roman"/>
          <w:color w:val="000000" w:themeColor="text1"/>
          <w:sz w:val="20"/>
          <w:szCs w:val="20"/>
        </w:rPr>
        <w:t xml:space="preserve">-Salas S, </w:t>
      </w:r>
      <w:proofErr w:type="spellStart"/>
      <w:r w:rsidRPr="007F4758">
        <w:rPr>
          <w:rFonts w:ascii="Times New Roman" w:hAnsi="Times New Roman" w:cs="Times New Roman"/>
          <w:color w:val="000000" w:themeColor="text1"/>
          <w:sz w:val="20"/>
          <w:szCs w:val="20"/>
        </w:rPr>
        <w:t>Díaz-Milanés</w:t>
      </w:r>
      <w:proofErr w:type="spellEnd"/>
      <w:r w:rsidRPr="007F4758">
        <w:rPr>
          <w:rFonts w:ascii="Times New Roman" w:hAnsi="Times New Roman" w:cs="Times New Roman"/>
          <w:color w:val="000000" w:themeColor="text1"/>
          <w:sz w:val="20"/>
          <w:szCs w:val="20"/>
        </w:rPr>
        <w:t xml:space="preserve"> D, Ruiz-</w:t>
      </w:r>
      <w:proofErr w:type="spellStart"/>
      <w:r w:rsidRPr="007F4758">
        <w:rPr>
          <w:rFonts w:ascii="Times New Roman" w:hAnsi="Times New Roman" w:cs="Times New Roman"/>
          <w:color w:val="000000" w:themeColor="text1"/>
          <w:sz w:val="20"/>
          <w:szCs w:val="20"/>
        </w:rPr>
        <w:t>Frutos</w:t>
      </w:r>
      <w:proofErr w:type="spellEnd"/>
      <w:r w:rsidRPr="007F4758">
        <w:rPr>
          <w:rFonts w:ascii="Times New Roman" w:hAnsi="Times New Roman" w:cs="Times New Roman"/>
          <w:color w:val="000000" w:themeColor="text1"/>
          <w:sz w:val="20"/>
          <w:szCs w:val="20"/>
        </w:rPr>
        <w:t xml:space="preserve"> C. Related health factors of psychological distress during the COVID-19 pandemic in Spain. </w:t>
      </w:r>
      <w:proofErr w:type="spellStart"/>
      <w:r w:rsidRPr="007F4758">
        <w:rPr>
          <w:rFonts w:ascii="Times New Roman" w:hAnsi="Times New Roman" w:cs="Times New Roman"/>
          <w:color w:val="000000" w:themeColor="text1"/>
          <w:sz w:val="20"/>
          <w:szCs w:val="20"/>
        </w:rPr>
        <w:t>Int</w:t>
      </w:r>
      <w:proofErr w:type="spellEnd"/>
      <w:r w:rsidRPr="007F4758">
        <w:rPr>
          <w:rFonts w:ascii="Times New Roman" w:hAnsi="Times New Roman" w:cs="Times New Roman"/>
          <w:color w:val="000000" w:themeColor="text1"/>
          <w:sz w:val="20"/>
          <w:szCs w:val="20"/>
        </w:rPr>
        <w:t xml:space="preserve"> J Environ Res Public Health. 2020</w:t>
      </w:r>
      <w:proofErr w:type="gramStart"/>
      <w:r w:rsidRPr="007F4758">
        <w:rPr>
          <w:rFonts w:ascii="Times New Roman" w:hAnsi="Times New Roman" w:cs="Times New Roman"/>
          <w:color w:val="000000" w:themeColor="text1"/>
          <w:sz w:val="20"/>
          <w:szCs w:val="20"/>
        </w:rPr>
        <w:t>;17</w:t>
      </w:r>
      <w:proofErr w:type="gramEnd"/>
      <w:r w:rsidRPr="007F4758">
        <w:rPr>
          <w:rFonts w:ascii="Times New Roman" w:hAnsi="Times New Roman" w:cs="Times New Roman"/>
          <w:color w:val="000000" w:themeColor="text1"/>
          <w:sz w:val="20"/>
          <w:szCs w:val="20"/>
        </w:rPr>
        <w:t>(11):3947.</w:t>
      </w:r>
      <w:r>
        <w:rPr>
          <w:rFonts w:ascii="Times New Roman" w:hAnsi="Times New Roman" w:cs="Times New Roman"/>
          <w:color w:val="000000" w:themeColor="text1"/>
          <w:sz w:val="20"/>
          <w:szCs w:val="20"/>
        </w:rPr>
        <w:t xml:space="preserve"> </w:t>
      </w:r>
      <w:r w:rsidRPr="007F4758">
        <w:rPr>
          <w:rFonts w:ascii="Times New Roman" w:hAnsi="Times New Roman" w:cs="Times New Roman"/>
          <w:color w:val="000000" w:themeColor="text1"/>
          <w:sz w:val="20"/>
          <w:szCs w:val="20"/>
        </w:rPr>
        <w:t>[</w:t>
      </w:r>
      <w:proofErr w:type="spellStart"/>
      <w:r w:rsidRPr="007F4758">
        <w:rPr>
          <w:rFonts w:ascii="Times New Roman" w:hAnsi="Times New Roman" w:cs="Times New Roman"/>
          <w:color w:val="000000" w:themeColor="text1"/>
          <w:sz w:val="20"/>
          <w:szCs w:val="20"/>
        </w:rPr>
        <w:t>Crossref</w:t>
      </w:r>
      <w:proofErr w:type="spellEnd"/>
      <w:r w:rsidRPr="007F4758">
        <w:rPr>
          <w:rFonts w:ascii="Times New Roman" w:hAnsi="Times New Roman" w:cs="Times New Roman"/>
          <w:color w:val="000000" w:themeColor="text1"/>
          <w:sz w:val="20"/>
          <w:szCs w:val="20"/>
        </w:rPr>
        <w:t>] [Google Scholar] [PubMed]</w:t>
      </w:r>
    </w:p>
    <w:p w14:paraId="057F5B5A" w14:textId="3BCA3ACD"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7F4758">
        <w:rPr>
          <w:rFonts w:ascii="Times New Roman" w:hAnsi="Times New Roman" w:cs="Times New Roman"/>
          <w:color w:val="000000" w:themeColor="text1"/>
          <w:sz w:val="20"/>
          <w:szCs w:val="20"/>
        </w:rPr>
        <w:t>Sahebi</w:t>
      </w:r>
      <w:proofErr w:type="spellEnd"/>
      <w:r w:rsidRPr="007F4758">
        <w:rPr>
          <w:rFonts w:ascii="Times New Roman" w:hAnsi="Times New Roman" w:cs="Times New Roman"/>
          <w:color w:val="000000" w:themeColor="text1"/>
          <w:sz w:val="20"/>
          <w:szCs w:val="20"/>
        </w:rPr>
        <w:t xml:space="preserve"> A, </w:t>
      </w:r>
      <w:proofErr w:type="spellStart"/>
      <w:r w:rsidRPr="007F4758">
        <w:rPr>
          <w:rFonts w:ascii="Times New Roman" w:hAnsi="Times New Roman" w:cs="Times New Roman"/>
          <w:color w:val="000000" w:themeColor="text1"/>
          <w:sz w:val="20"/>
          <w:szCs w:val="20"/>
        </w:rPr>
        <w:t>Nejati-Zarnaqi</w:t>
      </w:r>
      <w:proofErr w:type="spellEnd"/>
      <w:r w:rsidRPr="007F4758">
        <w:rPr>
          <w:rFonts w:ascii="Times New Roman" w:hAnsi="Times New Roman" w:cs="Times New Roman"/>
          <w:color w:val="000000" w:themeColor="text1"/>
          <w:sz w:val="20"/>
          <w:szCs w:val="20"/>
        </w:rPr>
        <w:t xml:space="preserve"> B, </w:t>
      </w:r>
      <w:proofErr w:type="spellStart"/>
      <w:r w:rsidRPr="007F4758">
        <w:rPr>
          <w:rFonts w:ascii="Times New Roman" w:hAnsi="Times New Roman" w:cs="Times New Roman"/>
          <w:color w:val="000000" w:themeColor="text1"/>
          <w:sz w:val="20"/>
          <w:szCs w:val="20"/>
        </w:rPr>
        <w:t>Moayedi</w:t>
      </w:r>
      <w:proofErr w:type="spellEnd"/>
      <w:r w:rsidRPr="007F4758">
        <w:rPr>
          <w:rFonts w:ascii="Times New Roman" w:hAnsi="Times New Roman" w:cs="Times New Roman"/>
          <w:color w:val="000000" w:themeColor="text1"/>
          <w:sz w:val="20"/>
          <w:szCs w:val="20"/>
        </w:rPr>
        <w:t xml:space="preserve"> S, </w:t>
      </w:r>
      <w:proofErr w:type="spellStart"/>
      <w:r w:rsidRPr="007F4758">
        <w:rPr>
          <w:rFonts w:ascii="Times New Roman" w:hAnsi="Times New Roman" w:cs="Times New Roman"/>
          <w:color w:val="000000" w:themeColor="text1"/>
          <w:sz w:val="20"/>
          <w:szCs w:val="20"/>
        </w:rPr>
        <w:t>Yousefi</w:t>
      </w:r>
      <w:proofErr w:type="spellEnd"/>
      <w:r w:rsidRPr="007F4758">
        <w:rPr>
          <w:rFonts w:ascii="Times New Roman" w:hAnsi="Times New Roman" w:cs="Times New Roman"/>
          <w:color w:val="000000" w:themeColor="text1"/>
          <w:sz w:val="20"/>
          <w:szCs w:val="20"/>
        </w:rPr>
        <w:t xml:space="preserve"> K, Torres M, </w:t>
      </w:r>
      <w:proofErr w:type="spellStart"/>
      <w:r w:rsidRPr="007F4758">
        <w:rPr>
          <w:rFonts w:ascii="Times New Roman" w:hAnsi="Times New Roman" w:cs="Times New Roman"/>
          <w:color w:val="000000" w:themeColor="text1"/>
          <w:sz w:val="20"/>
          <w:szCs w:val="20"/>
        </w:rPr>
        <w:t>Golitaleb</w:t>
      </w:r>
      <w:proofErr w:type="spellEnd"/>
      <w:r>
        <w:rPr>
          <w:rFonts w:ascii="Times New Roman" w:hAnsi="Times New Roman" w:cs="Times New Roman"/>
          <w:color w:val="000000" w:themeColor="text1"/>
          <w:sz w:val="20"/>
          <w:szCs w:val="20"/>
        </w:rPr>
        <w:t xml:space="preserve"> </w:t>
      </w:r>
      <w:r w:rsidRPr="007F4758">
        <w:rPr>
          <w:rFonts w:ascii="Times New Roman" w:hAnsi="Times New Roman" w:cs="Times New Roman"/>
          <w:color w:val="000000" w:themeColor="text1"/>
          <w:sz w:val="20"/>
          <w:szCs w:val="20"/>
        </w:rPr>
        <w:t xml:space="preserve">M. The prevalence of anxiety and depression among healthcare workers during the COVID-19 pandemic: An umbrella review of meta-analyses. </w:t>
      </w:r>
      <w:proofErr w:type="spellStart"/>
      <w:r w:rsidRPr="007F4758">
        <w:rPr>
          <w:rFonts w:ascii="Times New Roman" w:hAnsi="Times New Roman" w:cs="Times New Roman"/>
          <w:color w:val="000000" w:themeColor="text1"/>
          <w:sz w:val="20"/>
          <w:szCs w:val="20"/>
        </w:rPr>
        <w:t>Prog</w:t>
      </w:r>
      <w:proofErr w:type="spellEnd"/>
      <w:r w:rsidRPr="007F4758">
        <w:rPr>
          <w:rFonts w:ascii="Times New Roman" w:hAnsi="Times New Roman" w:cs="Times New Roman"/>
          <w:color w:val="000000" w:themeColor="text1"/>
          <w:sz w:val="20"/>
          <w:szCs w:val="20"/>
        </w:rPr>
        <w:t xml:space="preserve"> </w:t>
      </w:r>
      <w:proofErr w:type="spellStart"/>
      <w:r w:rsidRPr="007F4758">
        <w:rPr>
          <w:rFonts w:ascii="Times New Roman" w:hAnsi="Times New Roman" w:cs="Times New Roman"/>
          <w:color w:val="000000" w:themeColor="text1"/>
          <w:sz w:val="20"/>
          <w:szCs w:val="20"/>
        </w:rPr>
        <w:lastRenderedPageBreak/>
        <w:t>Neuropsychopharmacol</w:t>
      </w:r>
      <w:proofErr w:type="spellEnd"/>
      <w:r w:rsidRPr="007F4758">
        <w:rPr>
          <w:rFonts w:ascii="Times New Roman" w:hAnsi="Times New Roman" w:cs="Times New Roman"/>
          <w:color w:val="000000" w:themeColor="text1"/>
          <w:sz w:val="20"/>
          <w:szCs w:val="20"/>
        </w:rPr>
        <w:t xml:space="preserve"> </w:t>
      </w:r>
      <w:proofErr w:type="spellStart"/>
      <w:r w:rsidRPr="007F4758">
        <w:rPr>
          <w:rFonts w:ascii="Times New Roman" w:hAnsi="Times New Roman" w:cs="Times New Roman"/>
          <w:color w:val="000000" w:themeColor="text1"/>
          <w:sz w:val="20"/>
          <w:szCs w:val="20"/>
        </w:rPr>
        <w:t>Biol</w:t>
      </w:r>
      <w:proofErr w:type="spellEnd"/>
      <w:r w:rsidRPr="007F4758">
        <w:rPr>
          <w:rFonts w:ascii="Times New Roman" w:hAnsi="Times New Roman" w:cs="Times New Roman"/>
          <w:color w:val="000000" w:themeColor="text1"/>
          <w:sz w:val="20"/>
          <w:szCs w:val="20"/>
        </w:rPr>
        <w:t xml:space="preserve"> Psychiatry. 2021</w:t>
      </w:r>
      <w:proofErr w:type="gramStart"/>
      <w:r w:rsidRPr="007F4758">
        <w:rPr>
          <w:rFonts w:ascii="Times New Roman" w:hAnsi="Times New Roman" w:cs="Times New Roman"/>
          <w:color w:val="000000" w:themeColor="text1"/>
          <w:sz w:val="20"/>
          <w:szCs w:val="20"/>
        </w:rPr>
        <w:t>;107:110247</w:t>
      </w:r>
      <w:proofErr w:type="gramEnd"/>
      <w:r w:rsidRPr="007F4758">
        <w:rPr>
          <w:rFonts w:ascii="Times New Roman" w:hAnsi="Times New Roman" w:cs="Times New Roman"/>
          <w:color w:val="000000" w:themeColor="text1"/>
          <w:sz w:val="20"/>
          <w:szCs w:val="20"/>
        </w:rPr>
        <w:t>.</w:t>
      </w:r>
    </w:p>
    <w:p w14:paraId="1487F9C7" w14:textId="77777777"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7F4758">
        <w:rPr>
          <w:rFonts w:ascii="Times New Roman" w:hAnsi="Times New Roman" w:cs="Times New Roman"/>
          <w:color w:val="000000" w:themeColor="text1"/>
          <w:sz w:val="20"/>
          <w:szCs w:val="20"/>
        </w:rPr>
        <w:t>Hauben</w:t>
      </w:r>
      <w:proofErr w:type="spellEnd"/>
      <w:r w:rsidRPr="007F4758">
        <w:rPr>
          <w:rFonts w:ascii="Times New Roman" w:hAnsi="Times New Roman" w:cs="Times New Roman"/>
          <w:color w:val="000000" w:themeColor="text1"/>
          <w:sz w:val="20"/>
          <w:szCs w:val="20"/>
        </w:rPr>
        <w:t xml:space="preserve"> M. 2004. Application of an empiric Bayesian data mining algorithm to     reports     of      pancreatitis      associated      with      atypical antipsychotics. Pharmacotherapy. 24, 1122-29. 10.1592/phco.24.13.1122.38098 [Abstract] [</w:t>
      </w:r>
      <w:proofErr w:type="spellStart"/>
      <w:r w:rsidRPr="007F4758">
        <w:rPr>
          <w:rFonts w:ascii="Times New Roman" w:hAnsi="Times New Roman" w:cs="Times New Roman"/>
          <w:color w:val="000000" w:themeColor="text1"/>
          <w:sz w:val="20"/>
          <w:szCs w:val="20"/>
        </w:rPr>
        <w:t>CrossRef</w:t>
      </w:r>
      <w:proofErr w:type="spellEnd"/>
      <w:r w:rsidRPr="007F4758">
        <w:rPr>
          <w:rFonts w:ascii="Times New Roman" w:hAnsi="Times New Roman" w:cs="Times New Roman"/>
          <w:color w:val="000000" w:themeColor="text1"/>
          <w:sz w:val="20"/>
          <w:szCs w:val="20"/>
        </w:rPr>
        <w:t>] [Google Scholar]</w:t>
      </w:r>
    </w:p>
    <w:p w14:paraId="3F860676" w14:textId="77777777"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7F4758">
        <w:rPr>
          <w:rFonts w:ascii="Times New Roman" w:hAnsi="Times New Roman" w:cs="Times New Roman"/>
          <w:color w:val="000000" w:themeColor="text1"/>
          <w:sz w:val="20"/>
          <w:szCs w:val="20"/>
        </w:rPr>
        <w:t>Harpaz</w:t>
      </w:r>
      <w:proofErr w:type="spellEnd"/>
      <w:r w:rsidRPr="007F4758">
        <w:rPr>
          <w:rFonts w:ascii="Times New Roman" w:hAnsi="Times New Roman" w:cs="Times New Roman"/>
          <w:color w:val="000000" w:themeColor="text1"/>
          <w:sz w:val="20"/>
          <w:szCs w:val="20"/>
        </w:rPr>
        <w:t xml:space="preserve"> R, </w:t>
      </w:r>
      <w:proofErr w:type="spellStart"/>
      <w:r w:rsidRPr="007F4758">
        <w:rPr>
          <w:rFonts w:ascii="Times New Roman" w:hAnsi="Times New Roman" w:cs="Times New Roman"/>
          <w:color w:val="000000" w:themeColor="text1"/>
          <w:sz w:val="20"/>
          <w:szCs w:val="20"/>
        </w:rPr>
        <w:t>DuMouchel</w:t>
      </w:r>
      <w:proofErr w:type="spellEnd"/>
      <w:r w:rsidRPr="007F4758">
        <w:rPr>
          <w:rFonts w:ascii="Times New Roman" w:hAnsi="Times New Roman" w:cs="Times New Roman"/>
          <w:color w:val="000000" w:themeColor="text1"/>
          <w:sz w:val="20"/>
          <w:szCs w:val="20"/>
        </w:rPr>
        <w:t xml:space="preserve"> W, Shah NH, Madigan D, Ryan P, et al. 2012. Novel Data-Mining Methodologies for Adverse Drug Event Discovery and Analysis. </w:t>
      </w:r>
      <w:proofErr w:type="spellStart"/>
      <w:r w:rsidRPr="007F4758">
        <w:rPr>
          <w:rFonts w:ascii="Times New Roman" w:hAnsi="Times New Roman" w:cs="Times New Roman"/>
          <w:color w:val="000000" w:themeColor="text1"/>
          <w:sz w:val="20"/>
          <w:szCs w:val="20"/>
        </w:rPr>
        <w:t>Clin</w:t>
      </w:r>
      <w:proofErr w:type="spellEnd"/>
      <w:r w:rsidRPr="007F4758">
        <w:rPr>
          <w:rFonts w:ascii="Times New Roman" w:hAnsi="Times New Roman" w:cs="Times New Roman"/>
          <w:color w:val="000000" w:themeColor="text1"/>
          <w:sz w:val="20"/>
          <w:szCs w:val="20"/>
        </w:rPr>
        <w:t xml:space="preserve"> </w:t>
      </w:r>
      <w:proofErr w:type="spellStart"/>
      <w:r w:rsidRPr="007F4758">
        <w:rPr>
          <w:rFonts w:ascii="Times New Roman" w:hAnsi="Times New Roman" w:cs="Times New Roman"/>
          <w:color w:val="000000" w:themeColor="text1"/>
          <w:sz w:val="20"/>
          <w:szCs w:val="20"/>
        </w:rPr>
        <w:t>Pharmacol</w:t>
      </w:r>
      <w:proofErr w:type="spellEnd"/>
      <w:r w:rsidRPr="007F4758">
        <w:rPr>
          <w:rFonts w:ascii="Times New Roman" w:hAnsi="Times New Roman" w:cs="Times New Roman"/>
          <w:color w:val="000000" w:themeColor="text1"/>
          <w:sz w:val="20"/>
          <w:szCs w:val="20"/>
        </w:rPr>
        <w:t xml:space="preserve"> </w:t>
      </w:r>
      <w:proofErr w:type="spellStart"/>
      <w:r w:rsidRPr="007F4758">
        <w:rPr>
          <w:rFonts w:ascii="Times New Roman" w:hAnsi="Times New Roman" w:cs="Times New Roman"/>
          <w:color w:val="000000" w:themeColor="text1"/>
          <w:sz w:val="20"/>
          <w:szCs w:val="20"/>
        </w:rPr>
        <w:t>Ther</w:t>
      </w:r>
      <w:proofErr w:type="spellEnd"/>
      <w:r w:rsidRPr="007F4758">
        <w:rPr>
          <w:rFonts w:ascii="Times New Roman" w:hAnsi="Times New Roman" w:cs="Times New Roman"/>
          <w:color w:val="000000" w:themeColor="text1"/>
          <w:sz w:val="20"/>
          <w:szCs w:val="20"/>
        </w:rPr>
        <w:t>. 91, 1010-21. 10.1038/clpt.2012.50 [Europe PMC free article] [Abstract] [</w:t>
      </w:r>
      <w:proofErr w:type="spellStart"/>
      <w:r w:rsidRPr="007F4758">
        <w:rPr>
          <w:rFonts w:ascii="Times New Roman" w:hAnsi="Times New Roman" w:cs="Times New Roman"/>
          <w:color w:val="000000" w:themeColor="text1"/>
          <w:sz w:val="20"/>
          <w:szCs w:val="20"/>
        </w:rPr>
        <w:t>CrossRef</w:t>
      </w:r>
      <w:proofErr w:type="spellEnd"/>
      <w:r w:rsidRPr="007F4758">
        <w:rPr>
          <w:rFonts w:ascii="Times New Roman" w:hAnsi="Times New Roman" w:cs="Times New Roman"/>
          <w:color w:val="000000" w:themeColor="text1"/>
          <w:sz w:val="20"/>
          <w:szCs w:val="20"/>
        </w:rPr>
        <w:t>] [Google Scholar]</w:t>
      </w:r>
    </w:p>
    <w:p w14:paraId="487FE1CA" w14:textId="0A691922"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7F4758">
        <w:rPr>
          <w:rFonts w:ascii="Times New Roman" w:hAnsi="Times New Roman" w:cs="Times New Roman"/>
          <w:color w:val="000000" w:themeColor="text1"/>
          <w:sz w:val="20"/>
          <w:szCs w:val="20"/>
        </w:rPr>
        <w:t>Moride</w:t>
      </w:r>
      <w:proofErr w:type="spellEnd"/>
      <w:r w:rsidRPr="007F4758">
        <w:rPr>
          <w:rFonts w:ascii="Times New Roman" w:hAnsi="Times New Roman" w:cs="Times New Roman"/>
          <w:color w:val="000000" w:themeColor="text1"/>
          <w:sz w:val="20"/>
          <w:szCs w:val="20"/>
        </w:rPr>
        <w:t xml:space="preserve"> Y, </w:t>
      </w:r>
      <w:proofErr w:type="spellStart"/>
      <w:r w:rsidRPr="007F4758">
        <w:rPr>
          <w:rFonts w:ascii="Times New Roman" w:hAnsi="Times New Roman" w:cs="Times New Roman"/>
          <w:color w:val="000000" w:themeColor="text1"/>
          <w:sz w:val="20"/>
          <w:szCs w:val="20"/>
        </w:rPr>
        <w:t>Haramburu</w:t>
      </w:r>
      <w:proofErr w:type="spellEnd"/>
      <w:r w:rsidRPr="007F4758">
        <w:rPr>
          <w:rFonts w:ascii="Times New Roman" w:hAnsi="Times New Roman" w:cs="Times New Roman"/>
          <w:color w:val="000000" w:themeColor="text1"/>
          <w:sz w:val="20"/>
          <w:szCs w:val="20"/>
        </w:rPr>
        <w:t xml:space="preserve"> F, </w:t>
      </w:r>
      <w:proofErr w:type="spellStart"/>
      <w:r w:rsidRPr="007F4758">
        <w:rPr>
          <w:rFonts w:ascii="Times New Roman" w:hAnsi="Times New Roman" w:cs="Times New Roman"/>
          <w:color w:val="000000" w:themeColor="text1"/>
          <w:sz w:val="20"/>
          <w:szCs w:val="20"/>
        </w:rPr>
        <w:t>Requejo</w:t>
      </w:r>
      <w:proofErr w:type="spellEnd"/>
      <w:r w:rsidRPr="007F4758">
        <w:rPr>
          <w:rFonts w:ascii="Times New Roman" w:hAnsi="Times New Roman" w:cs="Times New Roman"/>
          <w:color w:val="000000" w:themeColor="text1"/>
          <w:sz w:val="20"/>
          <w:szCs w:val="20"/>
        </w:rPr>
        <w:t xml:space="preserve"> A, </w:t>
      </w:r>
      <w:proofErr w:type="spellStart"/>
      <w:r w:rsidRPr="007F4758">
        <w:rPr>
          <w:rFonts w:ascii="Times New Roman" w:hAnsi="Times New Roman" w:cs="Times New Roman"/>
          <w:color w:val="000000" w:themeColor="text1"/>
          <w:sz w:val="20"/>
          <w:szCs w:val="20"/>
        </w:rPr>
        <w:t>Begaud</w:t>
      </w:r>
      <w:proofErr w:type="spellEnd"/>
      <w:r w:rsidRPr="007F4758">
        <w:rPr>
          <w:rFonts w:ascii="Times New Roman" w:hAnsi="Times New Roman" w:cs="Times New Roman"/>
          <w:color w:val="000000" w:themeColor="text1"/>
          <w:sz w:val="20"/>
          <w:szCs w:val="20"/>
        </w:rPr>
        <w:t xml:space="preserve"> B. 1997. Under-reporting of adverse drug reactions in general practice. </w:t>
      </w:r>
      <w:r>
        <w:rPr>
          <w:rFonts w:ascii="Times New Roman" w:hAnsi="Times New Roman" w:cs="Times New Roman"/>
          <w:color w:val="000000" w:themeColor="text1"/>
          <w:sz w:val="20"/>
          <w:szCs w:val="20"/>
        </w:rPr>
        <w:t xml:space="preserve">Br J </w:t>
      </w:r>
      <w:proofErr w:type="spellStart"/>
      <w:r>
        <w:rPr>
          <w:rFonts w:ascii="Times New Roman" w:hAnsi="Times New Roman" w:cs="Times New Roman"/>
          <w:color w:val="000000" w:themeColor="text1"/>
          <w:sz w:val="20"/>
          <w:szCs w:val="20"/>
        </w:rPr>
        <w:t>Clin</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Pharmacol</w:t>
      </w:r>
      <w:proofErr w:type="spellEnd"/>
      <w:r>
        <w:rPr>
          <w:rFonts w:ascii="Times New Roman" w:hAnsi="Times New Roman" w:cs="Times New Roman"/>
          <w:color w:val="000000" w:themeColor="text1"/>
          <w:sz w:val="20"/>
          <w:szCs w:val="20"/>
        </w:rPr>
        <w:t xml:space="preserve">. 43(2), 177 </w:t>
      </w:r>
      <w:r w:rsidRPr="007F4758">
        <w:rPr>
          <w:rFonts w:ascii="Times New Roman" w:hAnsi="Times New Roman" w:cs="Times New Roman"/>
          <w:color w:val="000000" w:themeColor="text1"/>
          <w:sz w:val="20"/>
          <w:szCs w:val="20"/>
        </w:rPr>
        <w:t>81. [Europe PMC free article] [Abstract] [Google Scholar]</w:t>
      </w:r>
    </w:p>
    <w:p w14:paraId="6D05E583" w14:textId="77777777"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7F4758">
        <w:rPr>
          <w:rFonts w:ascii="Times New Roman" w:hAnsi="Times New Roman" w:cs="Times New Roman"/>
          <w:color w:val="000000" w:themeColor="text1"/>
          <w:sz w:val="20"/>
          <w:szCs w:val="20"/>
        </w:rPr>
        <w:t>Biswas</w:t>
      </w:r>
      <w:proofErr w:type="spellEnd"/>
      <w:r w:rsidRPr="007F4758">
        <w:rPr>
          <w:rFonts w:ascii="Times New Roman" w:hAnsi="Times New Roman" w:cs="Times New Roman"/>
          <w:color w:val="000000" w:themeColor="text1"/>
          <w:sz w:val="20"/>
          <w:szCs w:val="20"/>
        </w:rPr>
        <w:t xml:space="preserve"> P, </w:t>
      </w:r>
      <w:proofErr w:type="spellStart"/>
      <w:r w:rsidRPr="007F4758">
        <w:rPr>
          <w:rFonts w:ascii="Times New Roman" w:hAnsi="Times New Roman" w:cs="Times New Roman"/>
          <w:color w:val="000000" w:themeColor="text1"/>
          <w:sz w:val="20"/>
          <w:szCs w:val="20"/>
        </w:rPr>
        <w:t>Biswas</w:t>
      </w:r>
      <w:proofErr w:type="spellEnd"/>
      <w:r w:rsidRPr="007F4758">
        <w:rPr>
          <w:rFonts w:ascii="Times New Roman" w:hAnsi="Times New Roman" w:cs="Times New Roman"/>
          <w:color w:val="000000" w:themeColor="text1"/>
          <w:sz w:val="20"/>
          <w:szCs w:val="20"/>
        </w:rPr>
        <w:t xml:space="preserve"> AK. 2007. Setting Standards for Proactive </w:t>
      </w:r>
      <w:proofErr w:type="spellStart"/>
      <w:r w:rsidRPr="007F4758">
        <w:rPr>
          <w:rFonts w:ascii="Times New Roman" w:hAnsi="Times New Roman" w:cs="Times New Roman"/>
          <w:color w:val="000000" w:themeColor="text1"/>
          <w:sz w:val="20"/>
          <w:szCs w:val="20"/>
        </w:rPr>
        <w:t>Pharmacovigilance</w:t>
      </w:r>
      <w:proofErr w:type="spellEnd"/>
      <w:r w:rsidRPr="007F4758">
        <w:rPr>
          <w:rFonts w:ascii="Times New Roman" w:hAnsi="Times New Roman" w:cs="Times New Roman"/>
          <w:color w:val="000000" w:themeColor="text1"/>
          <w:sz w:val="20"/>
          <w:szCs w:val="20"/>
        </w:rPr>
        <w:t xml:space="preserve"> in India: The Way Forward. Indian J </w:t>
      </w:r>
      <w:proofErr w:type="spellStart"/>
      <w:r w:rsidRPr="007F4758">
        <w:rPr>
          <w:rFonts w:ascii="Times New Roman" w:hAnsi="Times New Roman" w:cs="Times New Roman"/>
          <w:color w:val="000000" w:themeColor="text1"/>
          <w:sz w:val="20"/>
          <w:szCs w:val="20"/>
        </w:rPr>
        <w:t>Pharmacol</w:t>
      </w:r>
      <w:proofErr w:type="spellEnd"/>
      <w:r w:rsidRPr="007F4758">
        <w:rPr>
          <w:rFonts w:ascii="Times New Roman" w:hAnsi="Times New Roman" w:cs="Times New Roman"/>
          <w:color w:val="000000" w:themeColor="text1"/>
          <w:sz w:val="20"/>
          <w:szCs w:val="20"/>
        </w:rPr>
        <w:t>. 39, 124-28. 10.4103/0253-7613.33431 [</w:t>
      </w:r>
      <w:proofErr w:type="spellStart"/>
      <w:r w:rsidRPr="007F4758">
        <w:rPr>
          <w:rFonts w:ascii="Times New Roman" w:hAnsi="Times New Roman" w:cs="Times New Roman"/>
          <w:color w:val="000000" w:themeColor="text1"/>
          <w:sz w:val="20"/>
          <w:szCs w:val="20"/>
        </w:rPr>
        <w:t>CrossRef</w:t>
      </w:r>
      <w:proofErr w:type="spellEnd"/>
      <w:r w:rsidRPr="007F4758">
        <w:rPr>
          <w:rFonts w:ascii="Times New Roman" w:hAnsi="Times New Roman" w:cs="Times New Roman"/>
          <w:color w:val="000000" w:themeColor="text1"/>
          <w:sz w:val="20"/>
          <w:szCs w:val="20"/>
        </w:rPr>
        <w:t>] [Google Scholar]</w:t>
      </w:r>
    </w:p>
    <w:p w14:paraId="1642B858" w14:textId="77777777" w:rsidR="007F4758" w:rsidRPr="007F4758" w:rsidRDefault="007F4758" w:rsidP="007F4758">
      <w:pPr>
        <w:pStyle w:val="ListParagraph"/>
        <w:widowControl w:val="0"/>
        <w:numPr>
          <w:ilvl w:val="0"/>
          <w:numId w:val="2"/>
        </w:numPr>
        <w:autoSpaceDE w:val="0"/>
        <w:autoSpaceDN w:val="0"/>
        <w:spacing w:before="60" w:after="0" w:line="276" w:lineRule="auto"/>
        <w:jc w:val="both"/>
        <w:rPr>
          <w:rFonts w:ascii="Times New Roman" w:hAnsi="Times New Roman" w:cs="Times New Roman"/>
          <w:color w:val="000000" w:themeColor="text1"/>
          <w:sz w:val="20"/>
          <w:szCs w:val="20"/>
        </w:rPr>
      </w:pPr>
      <w:r w:rsidRPr="007F4758">
        <w:rPr>
          <w:rFonts w:ascii="Times New Roman" w:hAnsi="Times New Roman" w:cs="Times New Roman"/>
          <w:color w:val="000000" w:themeColor="text1"/>
          <w:sz w:val="20"/>
          <w:szCs w:val="20"/>
        </w:rPr>
        <w:t xml:space="preserve">Lindquist M. 2008. </w:t>
      </w:r>
      <w:proofErr w:type="spellStart"/>
      <w:r w:rsidRPr="007F4758">
        <w:rPr>
          <w:rFonts w:ascii="Times New Roman" w:hAnsi="Times New Roman" w:cs="Times New Roman"/>
          <w:color w:val="000000" w:themeColor="text1"/>
          <w:sz w:val="20"/>
          <w:szCs w:val="20"/>
        </w:rPr>
        <w:t>VigiBase</w:t>
      </w:r>
      <w:proofErr w:type="spellEnd"/>
      <w:r w:rsidRPr="007F4758">
        <w:rPr>
          <w:rFonts w:ascii="Times New Roman" w:hAnsi="Times New Roman" w:cs="Times New Roman"/>
          <w:color w:val="000000" w:themeColor="text1"/>
          <w:sz w:val="20"/>
          <w:szCs w:val="20"/>
        </w:rPr>
        <w:t xml:space="preserve">, the WHO Global ICSR Database System: Basic Facts. Drug </w:t>
      </w:r>
      <w:proofErr w:type="spellStart"/>
      <w:proofErr w:type="gramStart"/>
      <w:r w:rsidRPr="007F4758">
        <w:rPr>
          <w:rFonts w:ascii="Times New Roman" w:hAnsi="Times New Roman" w:cs="Times New Roman"/>
          <w:color w:val="000000" w:themeColor="text1"/>
          <w:sz w:val="20"/>
          <w:szCs w:val="20"/>
        </w:rPr>
        <w:t>Inf</w:t>
      </w:r>
      <w:proofErr w:type="spellEnd"/>
      <w:proofErr w:type="gramEnd"/>
      <w:r w:rsidRPr="007F4758">
        <w:rPr>
          <w:rFonts w:ascii="Times New Roman" w:hAnsi="Times New Roman" w:cs="Times New Roman"/>
          <w:color w:val="000000" w:themeColor="text1"/>
          <w:sz w:val="20"/>
          <w:szCs w:val="20"/>
        </w:rPr>
        <w:t xml:space="preserve"> J. 42, 409-19. [Google Scholar]</w:t>
      </w:r>
    </w:p>
    <w:sectPr w:rsidR="007F4758" w:rsidRPr="007F4758" w:rsidSect="00B442A8">
      <w:headerReference w:type="even" r:id="rId11"/>
      <w:headerReference w:type="default" r:id="rId12"/>
      <w:footerReference w:type="even" r:id="rId13"/>
      <w:footerReference w:type="default" r:id="rId14"/>
      <w:type w:val="continuous"/>
      <w:pgSz w:w="11907" w:h="16839" w:code="9"/>
      <w:pgMar w:top="131"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68B60" w14:textId="77777777" w:rsidR="0058562B" w:rsidRDefault="0058562B" w:rsidP="00C556D7">
      <w:pPr>
        <w:spacing w:after="0" w:line="240" w:lineRule="auto"/>
      </w:pPr>
      <w:r>
        <w:separator/>
      </w:r>
    </w:p>
  </w:endnote>
  <w:endnote w:type="continuationSeparator" w:id="0">
    <w:p w14:paraId="40F8CFB3" w14:textId="77777777" w:rsidR="0058562B" w:rsidRDefault="0058562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FA46" w14:textId="77777777" w:rsidR="004808B7" w:rsidRDefault="004808B7">
    <w:pPr>
      <w:pStyle w:val="Footer"/>
    </w:pPr>
  </w:p>
  <w:p w14:paraId="33252581" w14:textId="77777777" w:rsidR="00F568EE" w:rsidRDefault="00F568EE"/>
  <w:p w14:paraId="6634A1E6" w14:textId="77777777" w:rsidR="00F568EE" w:rsidRDefault="00F568EE"/>
  <w:p w14:paraId="00E09A0F" w14:textId="77777777" w:rsidR="00F568EE" w:rsidRDefault="00F568EE"/>
  <w:p w14:paraId="0D615CD1" w14:textId="77777777" w:rsidR="00F568EE" w:rsidRDefault="00F568EE"/>
  <w:p w14:paraId="309B6848" w14:textId="77777777" w:rsidR="00F568EE" w:rsidRDefault="00F568EE"/>
  <w:p w14:paraId="2F5479C2" w14:textId="77777777" w:rsidR="00F568EE" w:rsidRDefault="00F568EE"/>
  <w:p w14:paraId="2D1FE410" w14:textId="77777777" w:rsidR="00F707DB" w:rsidRDefault="00F707DB"/>
  <w:p w14:paraId="0EAA618C" w14:textId="77777777" w:rsidR="00F707DB" w:rsidRDefault="00F707DB"/>
  <w:p w14:paraId="01985B9D" w14:textId="77777777" w:rsidR="00F707DB" w:rsidRDefault="00F707DB"/>
  <w:p w14:paraId="48B9B358" w14:textId="77777777" w:rsidR="00F707DB" w:rsidRDefault="00F707DB"/>
  <w:p w14:paraId="351E8FE4" w14:textId="77777777" w:rsidR="00F707DB" w:rsidRDefault="00F707DB"/>
  <w:p w14:paraId="43C87489" w14:textId="77777777" w:rsidR="00F707DB" w:rsidRDefault="00F707DB"/>
  <w:p w14:paraId="5037C9D6" w14:textId="77777777" w:rsidR="003C2963" w:rsidRDefault="003C2963"/>
  <w:p w14:paraId="08073D40" w14:textId="77777777" w:rsidR="003C2963" w:rsidRDefault="003C2963"/>
  <w:p w14:paraId="34C9991A" w14:textId="77777777" w:rsidR="003C2963" w:rsidRDefault="003C2963"/>
  <w:p w14:paraId="149F3AC1" w14:textId="77777777" w:rsidR="003C2963" w:rsidRDefault="003C2963"/>
  <w:p w14:paraId="64E07C86" w14:textId="77777777" w:rsidR="003C2963" w:rsidRDefault="003C2963"/>
  <w:p w14:paraId="4339F6C9" w14:textId="77777777" w:rsidR="003C2963" w:rsidRDefault="003C2963"/>
  <w:p w14:paraId="400DA095" w14:textId="77777777" w:rsidR="003C2963" w:rsidRDefault="003C2963"/>
  <w:p w14:paraId="4E10E89B" w14:textId="77777777" w:rsidR="00E836C2" w:rsidRDefault="00E836C2"/>
  <w:p w14:paraId="02D40719" w14:textId="77777777" w:rsidR="00E836C2" w:rsidRDefault="00E836C2"/>
  <w:p w14:paraId="5371F741" w14:textId="77777777" w:rsidR="00E836C2" w:rsidRDefault="00E836C2"/>
  <w:p w14:paraId="0C33EA59" w14:textId="77777777" w:rsidR="00E836C2" w:rsidRDefault="00E836C2"/>
  <w:p w14:paraId="7FE91621" w14:textId="77777777" w:rsidR="00E836C2" w:rsidRDefault="00E836C2"/>
  <w:p w14:paraId="19B44012" w14:textId="77777777" w:rsidR="00E836C2" w:rsidRDefault="00E836C2"/>
  <w:p w14:paraId="2A8417FB" w14:textId="77777777" w:rsidR="00E836C2" w:rsidRDefault="00E836C2"/>
  <w:p w14:paraId="5D116026" w14:textId="77777777" w:rsidR="00E836C2" w:rsidRDefault="00E836C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209949671"/>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D14FA6">
          <w:rPr>
            <w:b/>
            <w:bCs/>
            <w:noProof/>
          </w:rPr>
          <w:t>1</w:t>
        </w:r>
        <w:r w:rsidRPr="001E51F3">
          <w:rPr>
            <w:b/>
            <w:bCs/>
            <w:noProof/>
          </w:rPr>
          <w:fldChar w:fldCharType="end"/>
        </w:r>
        <w:r w:rsidRPr="001E51F3">
          <w:rPr>
            <w:b/>
            <w:bCs/>
          </w:rPr>
          <w:t xml:space="preserve"> </w:t>
        </w:r>
      </w:sdtContent>
    </w:sdt>
  </w:p>
  <w:p w14:paraId="1A74E681" w14:textId="77777777" w:rsidR="00E836C2" w:rsidRDefault="00E836C2" w:rsidP="007F475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15ABA48" w14:textId="77777777" w:rsidR="0058562B" w:rsidRDefault="0058562B" w:rsidP="00C556D7">
      <w:pPr>
        <w:spacing w:after="0" w:line="240" w:lineRule="auto"/>
      </w:pPr>
      <w:r>
        <w:separator/>
      </w:r>
    </w:p>
  </w:footnote>
  <w:footnote w:type="continuationSeparator" w:id="0">
    <w:p w14:paraId="3E6DE6AF" w14:textId="77777777" w:rsidR="0058562B" w:rsidRDefault="0058562B"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3373" w14:textId="77777777" w:rsidR="004808B7" w:rsidRDefault="004808B7">
    <w:pPr>
      <w:pStyle w:val="Header"/>
    </w:pPr>
  </w:p>
  <w:p w14:paraId="75F1D3EA" w14:textId="77777777" w:rsidR="00F568EE" w:rsidRDefault="00F568EE"/>
  <w:p w14:paraId="54E22BA2" w14:textId="77777777" w:rsidR="00F568EE" w:rsidRDefault="00F568EE"/>
  <w:p w14:paraId="1860CE1E" w14:textId="77777777" w:rsidR="00F568EE" w:rsidRDefault="00F568EE"/>
  <w:p w14:paraId="374721D7" w14:textId="77777777" w:rsidR="00F568EE" w:rsidRDefault="00F568EE"/>
  <w:p w14:paraId="46BCB19B" w14:textId="77777777" w:rsidR="00F568EE" w:rsidRDefault="00F568EE"/>
  <w:p w14:paraId="40747D9F" w14:textId="77777777" w:rsidR="00F568EE" w:rsidRDefault="00F568EE"/>
  <w:p w14:paraId="09B42002" w14:textId="77777777" w:rsidR="00F707DB" w:rsidRDefault="00F707DB"/>
  <w:p w14:paraId="572F956E" w14:textId="77777777" w:rsidR="00F707DB" w:rsidRDefault="00F707DB"/>
  <w:p w14:paraId="24AFA043" w14:textId="77777777" w:rsidR="00F707DB" w:rsidRDefault="00F707DB"/>
  <w:p w14:paraId="3BE31C9C" w14:textId="77777777" w:rsidR="00F707DB" w:rsidRDefault="00F707DB"/>
  <w:p w14:paraId="320FD503" w14:textId="77777777" w:rsidR="00F707DB" w:rsidRDefault="00F707DB"/>
  <w:p w14:paraId="3D95E131" w14:textId="77777777" w:rsidR="00F707DB" w:rsidRDefault="00F707DB"/>
  <w:p w14:paraId="3F7EB6EC" w14:textId="77777777" w:rsidR="003C2963" w:rsidRDefault="003C2963"/>
  <w:p w14:paraId="2D7B4CC6" w14:textId="77777777" w:rsidR="003C2963" w:rsidRDefault="003C2963"/>
  <w:p w14:paraId="021741FB" w14:textId="77777777" w:rsidR="003C2963" w:rsidRDefault="003C2963"/>
  <w:p w14:paraId="199BD08A" w14:textId="77777777" w:rsidR="003C2963" w:rsidRDefault="003C2963"/>
  <w:p w14:paraId="765A3C0D" w14:textId="77777777" w:rsidR="003C2963" w:rsidRDefault="003C2963"/>
  <w:p w14:paraId="56F0D6F4" w14:textId="77777777" w:rsidR="003C2963" w:rsidRDefault="003C2963"/>
  <w:p w14:paraId="46AC7249" w14:textId="77777777" w:rsidR="003C2963" w:rsidRDefault="003C2963"/>
  <w:p w14:paraId="45E3359A" w14:textId="77777777" w:rsidR="00E836C2" w:rsidRDefault="00E836C2"/>
  <w:p w14:paraId="5E3E7BC2" w14:textId="77777777" w:rsidR="00E836C2" w:rsidRDefault="00E836C2"/>
  <w:p w14:paraId="5E4B515B" w14:textId="77777777" w:rsidR="00E836C2" w:rsidRDefault="00E836C2"/>
  <w:p w14:paraId="1F3D6707" w14:textId="77777777" w:rsidR="00E836C2" w:rsidRDefault="00E836C2"/>
  <w:p w14:paraId="5EDEE8EF" w14:textId="77777777" w:rsidR="00E836C2" w:rsidRDefault="00E836C2"/>
  <w:p w14:paraId="72AB72E5" w14:textId="77777777" w:rsidR="00E836C2" w:rsidRDefault="00E836C2"/>
  <w:p w14:paraId="64E6AA61" w14:textId="77777777" w:rsidR="00E836C2" w:rsidRDefault="00E836C2"/>
  <w:p w14:paraId="4F23DC1E" w14:textId="77777777" w:rsidR="00E836C2" w:rsidRDefault="00E836C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6128B"/>
    <w:multiLevelType w:val="hybridMultilevel"/>
    <w:tmpl w:val="0F9C593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nsid w:val="0E00376C"/>
    <w:multiLevelType w:val="hybridMultilevel"/>
    <w:tmpl w:val="AD2862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29E6D41"/>
    <w:multiLevelType w:val="hybridMultilevel"/>
    <w:tmpl w:val="424CBA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75018AC"/>
    <w:multiLevelType w:val="hybridMultilevel"/>
    <w:tmpl w:val="4970C9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E3644D2"/>
    <w:multiLevelType w:val="hybridMultilevel"/>
    <w:tmpl w:val="D66685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
    <w:nsid w:val="22B41EAD"/>
    <w:multiLevelType w:val="hybridMultilevel"/>
    <w:tmpl w:val="236082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4062507"/>
    <w:multiLevelType w:val="hybridMultilevel"/>
    <w:tmpl w:val="55283C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5BB2C4E"/>
    <w:multiLevelType w:val="hybridMultilevel"/>
    <w:tmpl w:val="C8A60F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4B71FD6"/>
    <w:multiLevelType w:val="hybridMultilevel"/>
    <w:tmpl w:val="1E5AAB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75F7306"/>
    <w:multiLevelType w:val="hybridMultilevel"/>
    <w:tmpl w:val="1C8455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6D81719"/>
    <w:multiLevelType w:val="hybridMultilevel"/>
    <w:tmpl w:val="7DF6D6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A281E38"/>
    <w:multiLevelType w:val="hybridMultilevel"/>
    <w:tmpl w:val="EC286A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AA27B08"/>
    <w:multiLevelType w:val="hybridMultilevel"/>
    <w:tmpl w:val="5F18BA8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nsid w:val="52210AA8"/>
    <w:multiLevelType w:val="hybridMultilevel"/>
    <w:tmpl w:val="E320E0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43426A5"/>
    <w:multiLevelType w:val="hybridMultilevel"/>
    <w:tmpl w:val="799231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4604188"/>
    <w:multiLevelType w:val="hybridMultilevel"/>
    <w:tmpl w:val="8496FC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5112E69"/>
    <w:multiLevelType w:val="hybridMultilevel"/>
    <w:tmpl w:val="1BC478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55B5E19"/>
    <w:multiLevelType w:val="hybridMultilevel"/>
    <w:tmpl w:val="6BFC30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32D067F"/>
    <w:multiLevelType w:val="hybridMultilevel"/>
    <w:tmpl w:val="CE1A3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5355F19"/>
    <w:multiLevelType w:val="hybridMultilevel"/>
    <w:tmpl w:val="084CD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53614D3"/>
    <w:multiLevelType w:val="hybridMultilevel"/>
    <w:tmpl w:val="B4268488"/>
    <w:lvl w:ilvl="0" w:tplc="40090001">
      <w:start w:val="1"/>
      <w:numFmt w:val="bullet"/>
      <w:lvlText w:val=""/>
      <w:lvlJc w:val="left"/>
      <w:pPr>
        <w:ind w:left="720" w:hanging="360"/>
      </w:pPr>
      <w:rPr>
        <w:rFonts w:ascii="Symbol" w:hAnsi="Symbol" w:hint="default"/>
      </w:rPr>
    </w:lvl>
    <w:lvl w:ilvl="1" w:tplc="E0BAF6AE">
      <w:numFmt w:val="bullet"/>
      <w:lvlText w:val="•"/>
      <w:lvlJc w:val="left"/>
      <w:pPr>
        <w:ind w:left="1800" w:hanging="72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B3E770F"/>
    <w:multiLevelType w:val="hybridMultilevel"/>
    <w:tmpl w:val="957AFB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C0B1FBA"/>
    <w:multiLevelType w:val="hybridMultilevel"/>
    <w:tmpl w:val="B9D00F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E0A5008"/>
    <w:multiLevelType w:val="hybridMultilevel"/>
    <w:tmpl w:val="259089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790338B3"/>
    <w:multiLevelType w:val="hybridMultilevel"/>
    <w:tmpl w:val="CA4A29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EB530F0"/>
    <w:multiLevelType w:val="hybridMultilevel"/>
    <w:tmpl w:val="353A78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F593ECF"/>
    <w:multiLevelType w:val="hybridMultilevel"/>
    <w:tmpl w:val="AA5E6B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15"/>
  </w:num>
  <w:num w:numId="4">
    <w:abstractNumId w:val="18"/>
  </w:num>
  <w:num w:numId="5">
    <w:abstractNumId w:val="27"/>
  </w:num>
  <w:num w:numId="6">
    <w:abstractNumId w:val="7"/>
  </w:num>
  <w:num w:numId="7">
    <w:abstractNumId w:val="19"/>
  </w:num>
  <w:num w:numId="8">
    <w:abstractNumId w:val="11"/>
  </w:num>
  <w:num w:numId="9">
    <w:abstractNumId w:val="3"/>
  </w:num>
  <w:num w:numId="10">
    <w:abstractNumId w:val="17"/>
  </w:num>
  <w:num w:numId="11">
    <w:abstractNumId w:val="16"/>
  </w:num>
  <w:num w:numId="12">
    <w:abstractNumId w:val="14"/>
  </w:num>
  <w:num w:numId="13">
    <w:abstractNumId w:val="5"/>
  </w:num>
  <w:num w:numId="14">
    <w:abstractNumId w:val="8"/>
  </w:num>
  <w:num w:numId="15">
    <w:abstractNumId w:val="10"/>
  </w:num>
  <w:num w:numId="16">
    <w:abstractNumId w:val="1"/>
  </w:num>
  <w:num w:numId="17">
    <w:abstractNumId w:val="28"/>
  </w:num>
  <w:num w:numId="18">
    <w:abstractNumId w:val="25"/>
  </w:num>
  <w:num w:numId="19">
    <w:abstractNumId w:val="6"/>
  </w:num>
  <w:num w:numId="20">
    <w:abstractNumId w:val="4"/>
  </w:num>
  <w:num w:numId="21">
    <w:abstractNumId w:val="24"/>
  </w:num>
  <w:num w:numId="22">
    <w:abstractNumId w:val="22"/>
  </w:num>
  <w:num w:numId="23">
    <w:abstractNumId w:val="2"/>
  </w:num>
  <w:num w:numId="24">
    <w:abstractNumId w:val="20"/>
  </w:num>
  <w:num w:numId="25">
    <w:abstractNumId w:val="21"/>
  </w:num>
  <w:num w:numId="26">
    <w:abstractNumId w:val="29"/>
  </w:num>
  <w:num w:numId="27">
    <w:abstractNumId w:val="9"/>
  </w:num>
  <w:num w:numId="28">
    <w:abstractNumId w:val="12"/>
  </w:num>
  <w:num w:numId="29">
    <w:abstractNumId w:val="23"/>
  </w:num>
  <w:num w:numId="3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156BB"/>
    <w:rsid w:val="00032B58"/>
    <w:rsid w:val="00062B06"/>
    <w:rsid w:val="000649B0"/>
    <w:rsid w:val="00066A7A"/>
    <w:rsid w:val="000717AD"/>
    <w:rsid w:val="00081E20"/>
    <w:rsid w:val="000846F5"/>
    <w:rsid w:val="00091059"/>
    <w:rsid w:val="00095D77"/>
    <w:rsid w:val="000A3933"/>
    <w:rsid w:val="000A5BB0"/>
    <w:rsid w:val="000B1932"/>
    <w:rsid w:val="000C2D11"/>
    <w:rsid w:val="000D501F"/>
    <w:rsid w:val="000D7425"/>
    <w:rsid w:val="000D79A3"/>
    <w:rsid w:val="000E5718"/>
    <w:rsid w:val="000E5931"/>
    <w:rsid w:val="000F2747"/>
    <w:rsid w:val="000F2DCD"/>
    <w:rsid w:val="0010160E"/>
    <w:rsid w:val="00115146"/>
    <w:rsid w:val="00125B8F"/>
    <w:rsid w:val="00127B8C"/>
    <w:rsid w:val="00130820"/>
    <w:rsid w:val="0013642C"/>
    <w:rsid w:val="00140E84"/>
    <w:rsid w:val="0014571A"/>
    <w:rsid w:val="00157BEC"/>
    <w:rsid w:val="00157DEF"/>
    <w:rsid w:val="001669B3"/>
    <w:rsid w:val="00167C79"/>
    <w:rsid w:val="0017211F"/>
    <w:rsid w:val="0018026F"/>
    <w:rsid w:val="001814AA"/>
    <w:rsid w:val="00184AD1"/>
    <w:rsid w:val="00187922"/>
    <w:rsid w:val="00187AC0"/>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47397"/>
    <w:rsid w:val="002650CA"/>
    <w:rsid w:val="00273038"/>
    <w:rsid w:val="002A579C"/>
    <w:rsid w:val="002E3BA2"/>
    <w:rsid w:val="002E72CF"/>
    <w:rsid w:val="002F3187"/>
    <w:rsid w:val="002F43A5"/>
    <w:rsid w:val="003265E6"/>
    <w:rsid w:val="00350F8D"/>
    <w:rsid w:val="00361C3F"/>
    <w:rsid w:val="003656D1"/>
    <w:rsid w:val="00392E5A"/>
    <w:rsid w:val="0039695E"/>
    <w:rsid w:val="003A3AED"/>
    <w:rsid w:val="003A4F8F"/>
    <w:rsid w:val="003B13EB"/>
    <w:rsid w:val="003B34DD"/>
    <w:rsid w:val="003C2963"/>
    <w:rsid w:val="003C3221"/>
    <w:rsid w:val="003C4071"/>
    <w:rsid w:val="003C6D94"/>
    <w:rsid w:val="003D2120"/>
    <w:rsid w:val="003E2ECA"/>
    <w:rsid w:val="003E49D7"/>
    <w:rsid w:val="003E7930"/>
    <w:rsid w:val="003F6F2B"/>
    <w:rsid w:val="004161D7"/>
    <w:rsid w:val="0044570C"/>
    <w:rsid w:val="00446FEA"/>
    <w:rsid w:val="00450069"/>
    <w:rsid w:val="004623B5"/>
    <w:rsid w:val="004779E7"/>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8562B"/>
    <w:rsid w:val="005A48C2"/>
    <w:rsid w:val="005B3887"/>
    <w:rsid w:val="005B73A4"/>
    <w:rsid w:val="005C1D19"/>
    <w:rsid w:val="005D265F"/>
    <w:rsid w:val="005F717A"/>
    <w:rsid w:val="006110CA"/>
    <w:rsid w:val="00617A82"/>
    <w:rsid w:val="00632466"/>
    <w:rsid w:val="00633CDF"/>
    <w:rsid w:val="006413AE"/>
    <w:rsid w:val="00654EC1"/>
    <w:rsid w:val="00671C07"/>
    <w:rsid w:val="00690A1B"/>
    <w:rsid w:val="006918DA"/>
    <w:rsid w:val="006962A4"/>
    <w:rsid w:val="006A5E5C"/>
    <w:rsid w:val="006A6434"/>
    <w:rsid w:val="006B2ED8"/>
    <w:rsid w:val="006C11CA"/>
    <w:rsid w:val="006C74D5"/>
    <w:rsid w:val="006D7E62"/>
    <w:rsid w:val="006F51F4"/>
    <w:rsid w:val="00717542"/>
    <w:rsid w:val="00732B32"/>
    <w:rsid w:val="00756E86"/>
    <w:rsid w:val="00767719"/>
    <w:rsid w:val="0079243B"/>
    <w:rsid w:val="007B170D"/>
    <w:rsid w:val="007C3596"/>
    <w:rsid w:val="007D5C9A"/>
    <w:rsid w:val="007E75BA"/>
    <w:rsid w:val="007E79D6"/>
    <w:rsid w:val="007F4758"/>
    <w:rsid w:val="007F4C35"/>
    <w:rsid w:val="007F6CE4"/>
    <w:rsid w:val="00814B7E"/>
    <w:rsid w:val="0082215F"/>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B5247"/>
    <w:rsid w:val="009C713B"/>
    <w:rsid w:val="009E4D95"/>
    <w:rsid w:val="009E7E3D"/>
    <w:rsid w:val="009F6540"/>
    <w:rsid w:val="00A0162A"/>
    <w:rsid w:val="00A4268C"/>
    <w:rsid w:val="00A479FE"/>
    <w:rsid w:val="00A61FC8"/>
    <w:rsid w:val="00A66F99"/>
    <w:rsid w:val="00A71E07"/>
    <w:rsid w:val="00A730E3"/>
    <w:rsid w:val="00A846B7"/>
    <w:rsid w:val="00A921E2"/>
    <w:rsid w:val="00A95514"/>
    <w:rsid w:val="00AA1805"/>
    <w:rsid w:val="00AB1E91"/>
    <w:rsid w:val="00AC095F"/>
    <w:rsid w:val="00AD11A2"/>
    <w:rsid w:val="00AD3162"/>
    <w:rsid w:val="00AD52FF"/>
    <w:rsid w:val="00AD55FF"/>
    <w:rsid w:val="00AE3668"/>
    <w:rsid w:val="00AF633D"/>
    <w:rsid w:val="00B0156E"/>
    <w:rsid w:val="00B07F98"/>
    <w:rsid w:val="00B127F4"/>
    <w:rsid w:val="00B17F4E"/>
    <w:rsid w:val="00B21E66"/>
    <w:rsid w:val="00B27F70"/>
    <w:rsid w:val="00B442A8"/>
    <w:rsid w:val="00B60F30"/>
    <w:rsid w:val="00B71A47"/>
    <w:rsid w:val="00B76621"/>
    <w:rsid w:val="00B82E3B"/>
    <w:rsid w:val="00BA6D24"/>
    <w:rsid w:val="00BB0EDC"/>
    <w:rsid w:val="00BC087A"/>
    <w:rsid w:val="00BC37A0"/>
    <w:rsid w:val="00BD0DF3"/>
    <w:rsid w:val="00BE5B25"/>
    <w:rsid w:val="00C13545"/>
    <w:rsid w:val="00C20B7A"/>
    <w:rsid w:val="00C27209"/>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14FA6"/>
    <w:rsid w:val="00D25854"/>
    <w:rsid w:val="00D3084A"/>
    <w:rsid w:val="00D43775"/>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836C2"/>
    <w:rsid w:val="00EA6189"/>
    <w:rsid w:val="00EB0728"/>
    <w:rsid w:val="00EB432A"/>
    <w:rsid w:val="00EB588E"/>
    <w:rsid w:val="00EE1166"/>
    <w:rsid w:val="00EE526E"/>
    <w:rsid w:val="00F01E52"/>
    <w:rsid w:val="00F141E8"/>
    <w:rsid w:val="00F14345"/>
    <w:rsid w:val="00F14F23"/>
    <w:rsid w:val="00F21C38"/>
    <w:rsid w:val="00F42C71"/>
    <w:rsid w:val="00F43ABE"/>
    <w:rsid w:val="00F568EE"/>
    <w:rsid w:val="00F62C11"/>
    <w:rsid w:val="00F65276"/>
    <w:rsid w:val="00F707DB"/>
    <w:rsid w:val="00FA454B"/>
    <w:rsid w:val="00FC6D5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B442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454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E3668"/>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B442A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FA454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AE3668"/>
    <w:rPr>
      <w:rFonts w:asciiTheme="majorHAnsi" w:eastAsiaTheme="majorEastAsia" w:hAnsiTheme="majorHAnsi" w:cstheme="majorBidi"/>
      <w:b/>
      <w:b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B442A8"/>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454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AE3668"/>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B442A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FA454B"/>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semiHidden/>
    <w:rsid w:val="00AE3668"/>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825604">
      <w:bodyDiv w:val="1"/>
      <w:marLeft w:val="0"/>
      <w:marRight w:val="0"/>
      <w:marTop w:val="0"/>
      <w:marBottom w:val="0"/>
      <w:divBdr>
        <w:top w:val="none" w:sz="0" w:space="0" w:color="auto"/>
        <w:left w:val="none" w:sz="0" w:space="0" w:color="auto"/>
        <w:bottom w:val="none" w:sz="0" w:space="0" w:color="auto"/>
        <w:right w:val="none" w:sz="0" w:space="0" w:color="auto"/>
      </w:divBdr>
    </w:div>
    <w:div w:id="43528920">
      <w:bodyDiv w:val="1"/>
      <w:marLeft w:val="0"/>
      <w:marRight w:val="0"/>
      <w:marTop w:val="0"/>
      <w:marBottom w:val="0"/>
      <w:divBdr>
        <w:top w:val="none" w:sz="0" w:space="0" w:color="auto"/>
        <w:left w:val="none" w:sz="0" w:space="0" w:color="auto"/>
        <w:bottom w:val="none" w:sz="0" w:space="0" w:color="auto"/>
        <w:right w:val="none" w:sz="0" w:space="0" w:color="auto"/>
      </w:divBdr>
    </w:div>
    <w:div w:id="173305293">
      <w:bodyDiv w:val="1"/>
      <w:marLeft w:val="0"/>
      <w:marRight w:val="0"/>
      <w:marTop w:val="0"/>
      <w:marBottom w:val="0"/>
      <w:divBdr>
        <w:top w:val="none" w:sz="0" w:space="0" w:color="auto"/>
        <w:left w:val="none" w:sz="0" w:space="0" w:color="auto"/>
        <w:bottom w:val="none" w:sz="0" w:space="0" w:color="auto"/>
        <w:right w:val="none" w:sz="0" w:space="0" w:color="auto"/>
      </w:divBdr>
    </w:div>
    <w:div w:id="277638520">
      <w:bodyDiv w:val="1"/>
      <w:marLeft w:val="0"/>
      <w:marRight w:val="0"/>
      <w:marTop w:val="0"/>
      <w:marBottom w:val="0"/>
      <w:divBdr>
        <w:top w:val="none" w:sz="0" w:space="0" w:color="auto"/>
        <w:left w:val="none" w:sz="0" w:space="0" w:color="auto"/>
        <w:bottom w:val="none" w:sz="0" w:space="0" w:color="auto"/>
        <w:right w:val="none" w:sz="0" w:space="0" w:color="auto"/>
      </w:divBdr>
    </w:div>
    <w:div w:id="363024627">
      <w:bodyDiv w:val="1"/>
      <w:marLeft w:val="0"/>
      <w:marRight w:val="0"/>
      <w:marTop w:val="0"/>
      <w:marBottom w:val="0"/>
      <w:divBdr>
        <w:top w:val="none" w:sz="0" w:space="0" w:color="auto"/>
        <w:left w:val="none" w:sz="0" w:space="0" w:color="auto"/>
        <w:bottom w:val="none" w:sz="0" w:space="0" w:color="auto"/>
        <w:right w:val="none" w:sz="0" w:space="0" w:color="auto"/>
      </w:divBdr>
    </w:div>
    <w:div w:id="397558262">
      <w:bodyDiv w:val="1"/>
      <w:marLeft w:val="0"/>
      <w:marRight w:val="0"/>
      <w:marTop w:val="0"/>
      <w:marBottom w:val="0"/>
      <w:divBdr>
        <w:top w:val="none" w:sz="0" w:space="0" w:color="auto"/>
        <w:left w:val="none" w:sz="0" w:space="0" w:color="auto"/>
        <w:bottom w:val="none" w:sz="0" w:space="0" w:color="auto"/>
        <w:right w:val="none" w:sz="0" w:space="0" w:color="auto"/>
      </w:divBdr>
    </w:div>
    <w:div w:id="508981021">
      <w:bodyDiv w:val="1"/>
      <w:marLeft w:val="0"/>
      <w:marRight w:val="0"/>
      <w:marTop w:val="0"/>
      <w:marBottom w:val="0"/>
      <w:divBdr>
        <w:top w:val="none" w:sz="0" w:space="0" w:color="auto"/>
        <w:left w:val="none" w:sz="0" w:space="0" w:color="auto"/>
        <w:bottom w:val="none" w:sz="0" w:space="0" w:color="auto"/>
        <w:right w:val="none" w:sz="0" w:space="0" w:color="auto"/>
      </w:divBdr>
    </w:div>
    <w:div w:id="532110476">
      <w:bodyDiv w:val="1"/>
      <w:marLeft w:val="0"/>
      <w:marRight w:val="0"/>
      <w:marTop w:val="0"/>
      <w:marBottom w:val="0"/>
      <w:divBdr>
        <w:top w:val="none" w:sz="0" w:space="0" w:color="auto"/>
        <w:left w:val="none" w:sz="0" w:space="0" w:color="auto"/>
        <w:bottom w:val="none" w:sz="0" w:space="0" w:color="auto"/>
        <w:right w:val="none" w:sz="0" w:space="0" w:color="auto"/>
      </w:divBdr>
    </w:div>
    <w:div w:id="640042740">
      <w:bodyDiv w:val="1"/>
      <w:marLeft w:val="0"/>
      <w:marRight w:val="0"/>
      <w:marTop w:val="0"/>
      <w:marBottom w:val="0"/>
      <w:divBdr>
        <w:top w:val="none" w:sz="0" w:space="0" w:color="auto"/>
        <w:left w:val="none" w:sz="0" w:space="0" w:color="auto"/>
        <w:bottom w:val="none" w:sz="0" w:space="0" w:color="auto"/>
        <w:right w:val="none" w:sz="0" w:space="0" w:color="auto"/>
      </w:divBdr>
    </w:div>
    <w:div w:id="676690836">
      <w:bodyDiv w:val="1"/>
      <w:marLeft w:val="0"/>
      <w:marRight w:val="0"/>
      <w:marTop w:val="0"/>
      <w:marBottom w:val="0"/>
      <w:divBdr>
        <w:top w:val="none" w:sz="0" w:space="0" w:color="auto"/>
        <w:left w:val="none" w:sz="0" w:space="0" w:color="auto"/>
        <w:bottom w:val="none" w:sz="0" w:space="0" w:color="auto"/>
        <w:right w:val="none" w:sz="0" w:space="0" w:color="auto"/>
      </w:divBdr>
    </w:div>
    <w:div w:id="685130646">
      <w:bodyDiv w:val="1"/>
      <w:marLeft w:val="0"/>
      <w:marRight w:val="0"/>
      <w:marTop w:val="0"/>
      <w:marBottom w:val="0"/>
      <w:divBdr>
        <w:top w:val="none" w:sz="0" w:space="0" w:color="auto"/>
        <w:left w:val="none" w:sz="0" w:space="0" w:color="auto"/>
        <w:bottom w:val="none" w:sz="0" w:space="0" w:color="auto"/>
        <w:right w:val="none" w:sz="0" w:space="0" w:color="auto"/>
      </w:divBdr>
    </w:div>
    <w:div w:id="805587433">
      <w:bodyDiv w:val="1"/>
      <w:marLeft w:val="0"/>
      <w:marRight w:val="0"/>
      <w:marTop w:val="0"/>
      <w:marBottom w:val="0"/>
      <w:divBdr>
        <w:top w:val="none" w:sz="0" w:space="0" w:color="auto"/>
        <w:left w:val="none" w:sz="0" w:space="0" w:color="auto"/>
        <w:bottom w:val="none" w:sz="0" w:space="0" w:color="auto"/>
        <w:right w:val="none" w:sz="0" w:space="0" w:color="auto"/>
      </w:divBdr>
    </w:div>
    <w:div w:id="897208148">
      <w:bodyDiv w:val="1"/>
      <w:marLeft w:val="0"/>
      <w:marRight w:val="0"/>
      <w:marTop w:val="0"/>
      <w:marBottom w:val="0"/>
      <w:divBdr>
        <w:top w:val="none" w:sz="0" w:space="0" w:color="auto"/>
        <w:left w:val="none" w:sz="0" w:space="0" w:color="auto"/>
        <w:bottom w:val="none" w:sz="0" w:space="0" w:color="auto"/>
        <w:right w:val="none" w:sz="0" w:space="0" w:color="auto"/>
      </w:divBdr>
    </w:div>
    <w:div w:id="962689641">
      <w:bodyDiv w:val="1"/>
      <w:marLeft w:val="0"/>
      <w:marRight w:val="0"/>
      <w:marTop w:val="0"/>
      <w:marBottom w:val="0"/>
      <w:divBdr>
        <w:top w:val="none" w:sz="0" w:space="0" w:color="auto"/>
        <w:left w:val="none" w:sz="0" w:space="0" w:color="auto"/>
        <w:bottom w:val="none" w:sz="0" w:space="0" w:color="auto"/>
        <w:right w:val="none" w:sz="0" w:space="0" w:color="auto"/>
      </w:divBdr>
    </w:div>
    <w:div w:id="1220289318">
      <w:bodyDiv w:val="1"/>
      <w:marLeft w:val="0"/>
      <w:marRight w:val="0"/>
      <w:marTop w:val="0"/>
      <w:marBottom w:val="0"/>
      <w:divBdr>
        <w:top w:val="none" w:sz="0" w:space="0" w:color="auto"/>
        <w:left w:val="none" w:sz="0" w:space="0" w:color="auto"/>
        <w:bottom w:val="none" w:sz="0" w:space="0" w:color="auto"/>
        <w:right w:val="none" w:sz="0" w:space="0" w:color="auto"/>
      </w:divBdr>
    </w:div>
    <w:div w:id="1353846127">
      <w:bodyDiv w:val="1"/>
      <w:marLeft w:val="0"/>
      <w:marRight w:val="0"/>
      <w:marTop w:val="0"/>
      <w:marBottom w:val="0"/>
      <w:divBdr>
        <w:top w:val="none" w:sz="0" w:space="0" w:color="auto"/>
        <w:left w:val="none" w:sz="0" w:space="0" w:color="auto"/>
        <w:bottom w:val="none" w:sz="0" w:space="0" w:color="auto"/>
        <w:right w:val="none" w:sz="0" w:space="0" w:color="auto"/>
      </w:divBdr>
    </w:div>
    <w:div w:id="136683264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91818412">
      <w:bodyDiv w:val="1"/>
      <w:marLeft w:val="0"/>
      <w:marRight w:val="0"/>
      <w:marTop w:val="0"/>
      <w:marBottom w:val="0"/>
      <w:divBdr>
        <w:top w:val="none" w:sz="0" w:space="0" w:color="auto"/>
        <w:left w:val="none" w:sz="0" w:space="0" w:color="auto"/>
        <w:bottom w:val="none" w:sz="0" w:space="0" w:color="auto"/>
        <w:right w:val="none" w:sz="0" w:space="0" w:color="auto"/>
      </w:divBdr>
    </w:div>
    <w:div w:id="1602951107">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11009805">
      <w:bodyDiv w:val="1"/>
      <w:marLeft w:val="0"/>
      <w:marRight w:val="0"/>
      <w:marTop w:val="0"/>
      <w:marBottom w:val="0"/>
      <w:divBdr>
        <w:top w:val="none" w:sz="0" w:space="0" w:color="auto"/>
        <w:left w:val="none" w:sz="0" w:space="0" w:color="auto"/>
        <w:bottom w:val="none" w:sz="0" w:space="0" w:color="auto"/>
        <w:right w:val="none" w:sz="0" w:space="0" w:color="auto"/>
      </w:divBdr>
    </w:div>
    <w:div w:id="1713580178">
      <w:bodyDiv w:val="1"/>
      <w:marLeft w:val="0"/>
      <w:marRight w:val="0"/>
      <w:marTop w:val="0"/>
      <w:marBottom w:val="0"/>
      <w:divBdr>
        <w:top w:val="none" w:sz="0" w:space="0" w:color="auto"/>
        <w:left w:val="none" w:sz="0" w:space="0" w:color="auto"/>
        <w:bottom w:val="none" w:sz="0" w:space="0" w:color="auto"/>
        <w:right w:val="none" w:sz="0" w:space="0" w:color="auto"/>
      </w:divBdr>
    </w:div>
    <w:div w:id="1788890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3C9A44-F77D-4F17-A0D5-DCE1D0D44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4524</Words>
  <Characters>25789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Windows User</cp:lastModifiedBy>
  <cp:revision>3</cp:revision>
  <cp:lastPrinted>2021-02-22T14:39:00Z</cp:lastPrinted>
  <dcterms:created xsi:type="dcterms:W3CDTF">2024-02-22T01:09:00Z</dcterms:created>
  <dcterms:modified xsi:type="dcterms:W3CDTF">2024-02-22T15:20:00Z</dcterms:modified>
</cp:coreProperties>
</file>